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919E08B" w:rsidR="00B60939" w:rsidRPr="00AE3438" w:rsidRDefault="00CF0C12" w:rsidP="00EF487F">
      <w:pPr>
        <w:pStyle w:val="1-MainHeading"/>
      </w:pPr>
      <w:bookmarkStart w:id="0" w:name="_Toc114054842"/>
      <w:r w:rsidRPr="00AE3438">
        <w:t>6.05</w:t>
      </w:r>
      <w:r w:rsidR="00163F66" w:rsidRPr="00AE3438">
        <w:tab/>
      </w:r>
      <w:r w:rsidRPr="00AE3438">
        <w:t>ONAS</w:t>
      </w:r>
      <w:r w:rsidR="00D46C80" w:rsidRPr="00AE3438">
        <w:t>E</w:t>
      </w:r>
      <w:r w:rsidRPr="00AE3438">
        <w:t>MNOGENE ABEPARVOVEC</w:t>
      </w:r>
      <w:r w:rsidR="00163F66" w:rsidRPr="00AE3438">
        <w:t>,</w:t>
      </w:r>
      <w:r w:rsidR="00163F66" w:rsidRPr="00AE3438">
        <w:br/>
      </w:r>
      <w:r w:rsidR="0009592D" w:rsidRPr="00AE3438">
        <w:t>S</w:t>
      </w:r>
      <w:r w:rsidR="00EF487F" w:rsidRPr="00AE3438">
        <w:t>olution for injection,</w:t>
      </w:r>
      <w:r w:rsidR="00EF487F" w:rsidRPr="00AE3438">
        <w:br/>
        <w:t xml:space="preserve">customised based on patient weight </w:t>
      </w:r>
      <w:r w:rsidR="00163F66" w:rsidRPr="00AE3438">
        <w:br/>
      </w:r>
      <w:r w:rsidRPr="00AE3438">
        <w:t>Zolgensma</w:t>
      </w:r>
      <w:r w:rsidR="00B60939" w:rsidRPr="00AE3438">
        <w:t>®</w:t>
      </w:r>
      <w:r w:rsidR="004A6040" w:rsidRPr="00AE3438">
        <w:t>,</w:t>
      </w:r>
      <w:r w:rsidR="004A6040" w:rsidRPr="00AE3438">
        <w:br/>
      </w:r>
      <w:r w:rsidRPr="00AE3438">
        <w:t xml:space="preserve">Novartis Pharmaceuticals </w:t>
      </w:r>
      <w:r w:rsidR="00EF487F" w:rsidRPr="00AE3438">
        <w:t xml:space="preserve">Australia </w:t>
      </w:r>
      <w:r w:rsidRPr="00AE3438">
        <w:t>Pty Ltd.</w:t>
      </w:r>
      <w:bookmarkEnd w:id="0"/>
      <w:r w:rsidRPr="00AE3438">
        <w:t xml:space="preserve"> </w:t>
      </w:r>
    </w:p>
    <w:p w14:paraId="11C00795" w14:textId="3DFB6D23" w:rsidR="00B50DB8" w:rsidRPr="00AE3438" w:rsidRDefault="00B50DB8" w:rsidP="004A6040">
      <w:pPr>
        <w:pStyle w:val="2-SectionHeading"/>
      </w:pPr>
      <w:bookmarkStart w:id="1" w:name="_Toc114054844"/>
      <w:r w:rsidRPr="00AE3438">
        <w:t xml:space="preserve">Purpose of </w:t>
      </w:r>
      <w:r w:rsidR="00CD7193" w:rsidRPr="00AE3438">
        <w:t>s</w:t>
      </w:r>
      <w:r w:rsidR="00BB3A45" w:rsidRPr="00AE3438">
        <w:t>ubmission</w:t>
      </w:r>
      <w:bookmarkEnd w:id="1"/>
    </w:p>
    <w:p w14:paraId="743C9EA6" w14:textId="7D790E43" w:rsidR="00C50DE2" w:rsidRPr="00AE3438" w:rsidRDefault="00C50DE2" w:rsidP="004E18E9">
      <w:pPr>
        <w:pStyle w:val="3-BodyText"/>
      </w:pPr>
      <w:r w:rsidRPr="00AE3438">
        <w:t xml:space="preserve">The Category 2 submission requested </w:t>
      </w:r>
      <w:r w:rsidR="006E0EAB" w:rsidRPr="00AE3438">
        <w:t xml:space="preserve">an extension to the Section 100 (Highly Specialised Drugs Program), Authority Required listing of onasemnogene abeparvovec (ONA) for treatment of spinal muscular atrophy (SMA) to include </w:t>
      </w:r>
      <w:r w:rsidR="00420ABA" w:rsidRPr="00AE3438">
        <w:t xml:space="preserve">pre-symptomatic </w:t>
      </w:r>
      <w:r w:rsidR="006E0EAB" w:rsidRPr="00AE3438">
        <w:t xml:space="preserve">patients who are </w:t>
      </w:r>
      <w:r w:rsidR="00420ABA" w:rsidRPr="00AE3438">
        <w:t>genetically diagnosed with SMA and have</w:t>
      </w:r>
      <w:r w:rsidR="006E0EAB" w:rsidRPr="00AE3438">
        <w:t xml:space="preserve"> 3 copies of the Survival Motor Neuron 2 (</w:t>
      </w:r>
      <w:r w:rsidR="006E0EAB" w:rsidRPr="00AE3438">
        <w:rPr>
          <w:i/>
        </w:rPr>
        <w:t>SMN2)</w:t>
      </w:r>
      <w:r w:rsidR="006E0EAB" w:rsidRPr="00AE3438">
        <w:t xml:space="preserve"> gene. </w:t>
      </w:r>
    </w:p>
    <w:p w14:paraId="735EF36F" w14:textId="198D2726" w:rsidR="006E0EAB" w:rsidRPr="00AE3438" w:rsidRDefault="006E0EAB" w:rsidP="004E18E9">
      <w:pPr>
        <w:pStyle w:val="3-BodyText"/>
      </w:pPr>
      <w:r w:rsidRPr="00AE3438">
        <w:t xml:space="preserve">Listing was requested on </w:t>
      </w:r>
      <w:r w:rsidR="008421AD" w:rsidRPr="00AE3438">
        <w:t xml:space="preserve">the basis of </w:t>
      </w:r>
      <w:r w:rsidRPr="00AE3438">
        <w:t xml:space="preserve">a cost-utility analysis of ONA </w:t>
      </w:r>
      <w:r w:rsidR="004C608D" w:rsidRPr="00AE3438">
        <w:t>versus disease modifying therap</w:t>
      </w:r>
      <w:r w:rsidR="00AA517E" w:rsidRPr="00AE3438">
        <w:t>ies</w:t>
      </w:r>
      <w:r w:rsidR="004C608D" w:rsidRPr="00AE3438">
        <w:t xml:space="preserve"> (DMTs) i.e.</w:t>
      </w:r>
      <w:r w:rsidR="004E40CE" w:rsidRPr="00AE3438">
        <w:t>,</w:t>
      </w:r>
      <w:r w:rsidR="004C608D" w:rsidRPr="00AE3438">
        <w:t xml:space="preserve"> nusinersen in active treatment of symptomatic patients with SMA.</w:t>
      </w:r>
    </w:p>
    <w:p w14:paraId="59FB4DA8" w14:textId="52C5AF54" w:rsidR="004C608D" w:rsidRPr="00AE3438" w:rsidRDefault="00E042E8" w:rsidP="00E042E8">
      <w:pPr>
        <w:pStyle w:val="Caption"/>
        <w:jc w:val="left"/>
      </w:pPr>
      <w:bookmarkStart w:id="2" w:name="_Ref113303228"/>
      <w:r w:rsidRPr="00AE3438">
        <w:t xml:space="preserve">Table </w:t>
      </w:r>
      <w:r w:rsidR="008E4E26">
        <w:fldChar w:fldCharType="begin"/>
      </w:r>
      <w:r w:rsidR="008E4E26">
        <w:instrText xml:space="preserve"> SEQ Table \* ARABIC </w:instrText>
      </w:r>
      <w:r w:rsidR="008E4E26">
        <w:fldChar w:fldCharType="separate"/>
      </w:r>
      <w:r w:rsidR="008E4E26">
        <w:rPr>
          <w:noProof/>
        </w:rPr>
        <w:t>1</w:t>
      </w:r>
      <w:r w:rsidR="008E4E26">
        <w:rPr>
          <w:noProof/>
        </w:rPr>
        <w:fldChar w:fldCharType="end"/>
      </w:r>
      <w:bookmarkEnd w:id="2"/>
      <w:r w:rsidRPr="00AE3438">
        <w:t>:</w:t>
      </w:r>
      <w:r w:rsidR="004C608D" w:rsidRPr="00AE3438">
        <w:rPr>
          <w:rStyle w:val="CommentReference"/>
          <w:b/>
          <w:szCs w:val="24"/>
        </w:rPr>
        <w:t xml:space="preserve">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8027"/>
      </w:tblGrid>
      <w:tr w:rsidR="004C608D" w:rsidRPr="00AE3438" w14:paraId="026CD95C" w14:textId="77777777" w:rsidTr="00027CE2">
        <w:tc>
          <w:tcPr>
            <w:tcW w:w="1129" w:type="dxa"/>
            <w:vAlign w:val="center"/>
          </w:tcPr>
          <w:p w14:paraId="18DF1E72" w14:textId="77777777" w:rsidR="004C608D" w:rsidRPr="00AE3438" w:rsidRDefault="004C608D" w:rsidP="00027CE2">
            <w:pPr>
              <w:pStyle w:val="In-tableHeading"/>
              <w:rPr>
                <w:lang w:val="en-AU"/>
              </w:rPr>
            </w:pPr>
            <w:r w:rsidRPr="00AE3438">
              <w:rPr>
                <w:lang w:val="en-AU"/>
              </w:rPr>
              <w:t>Component</w:t>
            </w:r>
          </w:p>
        </w:tc>
        <w:tc>
          <w:tcPr>
            <w:tcW w:w="8027" w:type="dxa"/>
            <w:vAlign w:val="center"/>
          </w:tcPr>
          <w:p w14:paraId="429FAAEB" w14:textId="77777777" w:rsidR="004C608D" w:rsidRPr="00AE3438" w:rsidRDefault="004C608D" w:rsidP="00027CE2">
            <w:pPr>
              <w:pStyle w:val="In-tableHeading"/>
              <w:rPr>
                <w:lang w:val="en-AU"/>
              </w:rPr>
            </w:pPr>
            <w:r w:rsidRPr="00AE3438">
              <w:rPr>
                <w:lang w:val="en-AU"/>
              </w:rPr>
              <w:t>Description</w:t>
            </w:r>
          </w:p>
        </w:tc>
      </w:tr>
      <w:tr w:rsidR="004C608D" w:rsidRPr="00AE3438" w14:paraId="1343534A" w14:textId="77777777" w:rsidTr="00027CE2">
        <w:tc>
          <w:tcPr>
            <w:tcW w:w="1129" w:type="dxa"/>
            <w:vAlign w:val="center"/>
          </w:tcPr>
          <w:p w14:paraId="24DB45B0" w14:textId="77777777" w:rsidR="004C608D" w:rsidRPr="00AE3438" w:rsidRDefault="004C608D" w:rsidP="00027CE2">
            <w:pPr>
              <w:pStyle w:val="TableText0"/>
            </w:pPr>
            <w:r w:rsidRPr="00AE3438">
              <w:t>Population</w:t>
            </w:r>
          </w:p>
        </w:tc>
        <w:tc>
          <w:tcPr>
            <w:tcW w:w="8027" w:type="dxa"/>
            <w:vAlign w:val="center"/>
          </w:tcPr>
          <w:p w14:paraId="0B0D2B50" w14:textId="77777777" w:rsidR="004C608D" w:rsidRPr="00AE3438" w:rsidRDefault="004C608D" w:rsidP="00027CE2">
            <w:pPr>
              <w:pStyle w:val="TableText0"/>
            </w:pPr>
            <w:r w:rsidRPr="00AE3438">
              <w:t>Paediatric patients less than 9 months of age with spinal muscular atrophy (SMA) with bi-allelic mutations in the SMN1 gene and 3 copies of the SMN2 gene</w:t>
            </w:r>
          </w:p>
        </w:tc>
      </w:tr>
      <w:tr w:rsidR="004C608D" w:rsidRPr="00AE3438" w14:paraId="7847436E" w14:textId="77777777" w:rsidTr="004C608D">
        <w:tc>
          <w:tcPr>
            <w:tcW w:w="1129" w:type="dxa"/>
            <w:shd w:val="clear" w:color="auto" w:fill="auto"/>
            <w:vAlign w:val="center"/>
          </w:tcPr>
          <w:p w14:paraId="18DEEC57" w14:textId="77777777" w:rsidR="004C608D" w:rsidRPr="00AE3438" w:rsidRDefault="004C608D" w:rsidP="00027CE2">
            <w:pPr>
              <w:pStyle w:val="TableText0"/>
            </w:pPr>
            <w:r w:rsidRPr="00AE3438">
              <w:t>Intervention</w:t>
            </w:r>
          </w:p>
        </w:tc>
        <w:tc>
          <w:tcPr>
            <w:tcW w:w="8027" w:type="dxa"/>
            <w:shd w:val="clear" w:color="auto" w:fill="auto"/>
            <w:vAlign w:val="center"/>
          </w:tcPr>
          <w:p w14:paraId="3B1D90C2" w14:textId="096FBF2C" w:rsidR="004C608D" w:rsidRPr="00AE3438" w:rsidRDefault="004C608D" w:rsidP="00027CE2">
            <w:pPr>
              <w:pStyle w:val="TableText0"/>
            </w:pPr>
            <w:r w:rsidRPr="00AE3438">
              <w:t>Onasemnogene abeparvovec (</w:t>
            </w:r>
            <w:r w:rsidR="00AA517E" w:rsidRPr="00AE3438">
              <w:t>ONA</w:t>
            </w:r>
            <w:r w:rsidRPr="00AE3438">
              <w:t xml:space="preserve">), administered as a single intravenous infusion through a venous catheter delivered over 60 minutes. </w:t>
            </w:r>
            <w:r w:rsidRPr="00AE3438">
              <w:rPr>
                <w:rFonts w:eastAsia="MS Gothic" w:cs="Times New Roman"/>
              </w:rPr>
              <w:t>The recommended dose is 1.1 x 10</w:t>
            </w:r>
            <w:r w:rsidRPr="00AE3438">
              <w:rPr>
                <w:rFonts w:eastAsia="MS Gothic" w:cs="Times New Roman"/>
                <w:vertAlign w:val="superscript"/>
              </w:rPr>
              <w:t>14</w:t>
            </w:r>
            <w:r w:rsidRPr="00AE3438">
              <w:rPr>
                <w:rFonts w:eastAsia="MS Gothic" w:cs="Times New Roman"/>
              </w:rPr>
              <w:t xml:space="preserve"> vector genomes per kilogram (vg/kg) of body weight, to be individually made up by the sponsor for each patient. To manage possible liver function abnormalities, all patients should receive oral prednisolone (1</w:t>
            </w:r>
            <w:r w:rsidR="00D849DE" w:rsidRPr="00AE3438">
              <w:rPr>
                <w:rFonts w:eastAsia="MS Gothic" w:cs="Times New Roman"/>
              </w:rPr>
              <w:t xml:space="preserve"> </w:t>
            </w:r>
            <w:r w:rsidRPr="00AE3438">
              <w:rPr>
                <w:rFonts w:eastAsia="MS Gothic" w:cs="Times New Roman"/>
              </w:rPr>
              <w:t>mg/kg) starting one day before ONA infusion and continued for 30 days post. At the end of the 30-day period, for patients with normal liver function, prednisolone dose should be tapered over the next 28 days. For patients with hepatic impairment, oral prednisolone (1 mg/kg per day) should continue until liver function results become unremarkable, at which time prednisolone dose should be tapered over the next 28 days.</w:t>
            </w:r>
          </w:p>
        </w:tc>
      </w:tr>
      <w:tr w:rsidR="004C608D" w:rsidRPr="00AE3438" w14:paraId="12C85452" w14:textId="77777777" w:rsidTr="00027CE2">
        <w:tc>
          <w:tcPr>
            <w:tcW w:w="1129" w:type="dxa"/>
            <w:vAlign w:val="center"/>
          </w:tcPr>
          <w:p w14:paraId="60F2D4CF" w14:textId="77777777" w:rsidR="004C608D" w:rsidRPr="00AE3438" w:rsidRDefault="004C608D" w:rsidP="00027CE2">
            <w:pPr>
              <w:pStyle w:val="TableText0"/>
            </w:pPr>
            <w:r w:rsidRPr="00AE3438">
              <w:t>Comparator</w:t>
            </w:r>
          </w:p>
        </w:tc>
        <w:tc>
          <w:tcPr>
            <w:tcW w:w="8027" w:type="dxa"/>
            <w:vAlign w:val="center"/>
          </w:tcPr>
          <w:p w14:paraId="5EDB0128" w14:textId="08C008E2" w:rsidR="004C608D" w:rsidRPr="00AE3438" w:rsidRDefault="004C608D" w:rsidP="00027CE2">
            <w:pPr>
              <w:pStyle w:val="TableText0"/>
            </w:pPr>
            <w:r w:rsidRPr="00AE3438">
              <w:t>Usual care / watchful waiting</w:t>
            </w:r>
            <w:r w:rsidR="001032A3" w:rsidRPr="00AE3438">
              <w:t xml:space="preserve"> and treat as symptoms appear.</w:t>
            </w:r>
          </w:p>
        </w:tc>
      </w:tr>
      <w:tr w:rsidR="004C608D" w:rsidRPr="00AE3438" w14:paraId="6132E232" w14:textId="77777777" w:rsidTr="00027CE2">
        <w:tc>
          <w:tcPr>
            <w:tcW w:w="1129" w:type="dxa"/>
            <w:vAlign w:val="center"/>
          </w:tcPr>
          <w:p w14:paraId="2A5779C6" w14:textId="77777777" w:rsidR="004C608D" w:rsidRPr="00AE3438" w:rsidRDefault="004C608D" w:rsidP="00027CE2">
            <w:pPr>
              <w:pStyle w:val="TableText0"/>
            </w:pPr>
            <w:r w:rsidRPr="00AE3438">
              <w:t>Outcomes</w:t>
            </w:r>
          </w:p>
        </w:tc>
        <w:tc>
          <w:tcPr>
            <w:tcW w:w="8027" w:type="dxa"/>
            <w:vAlign w:val="center"/>
          </w:tcPr>
          <w:p w14:paraId="78E76C4E" w14:textId="77777777" w:rsidR="004C608D" w:rsidRPr="00AE3438" w:rsidRDefault="004C608D" w:rsidP="00027CE2">
            <w:pPr>
              <w:pStyle w:val="TableText0"/>
            </w:pPr>
            <w:r w:rsidRPr="00AE3438">
              <w:t>Milestone developments (i.e. standing and walking)</w:t>
            </w:r>
          </w:p>
        </w:tc>
      </w:tr>
      <w:tr w:rsidR="004C608D" w:rsidRPr="00AE3438" w14:paraId="19D8D835" w14:textId="77777777" w:rsidTr="00027CE2">
        <w:tc>
          <w:tcPr>
            <w:tcW w:w="1129" w:type="dxa"/>
            <w:vAlign w:val="center"/>
          </w:tcPr>
          <w:p w14:paraId="781C8DB9" w14:textId="77777777" w:rsidR="004C608D" w:rsidRPr="00AE3438" w:rsidRDefault="004C608D" w:rsidP="00027CE2">
            <w:pPr>
              <w:pStyle w:val="TableText0"/>
            </w:pPr>
            <w:r w:rsidRPr="00AE3438">
              <w:t>Clinical claim</w:t>
            </w:r>
          </w:p>
        </w:tc>
        <w:tc>
          <w:tcPr>
            <w:tcW w:w="8027" w:type="dxa"/>
            <w:vAlign w:val="center"/>
          </w:tcPr>
          <w:p w14:paraId="7A75F22E" w14:textId="26B16C70" w:rsidR="004C608D" w:rsidRPr="00AE3438" w:rsidRDefault="004C608D" w:rsidP="00027CE2">
            <w:pPr>
              <w:pStyle w:val="TableText0"/>
            </w:pPr>
            <w:r w:rsidRPr="00AE3438">
              <w:t>Pre</w:t>
            </w:r>
            <w:r w:rsidR="00AA517E" w:rsidRPr="00AE3438">
              <w:t>-</w:t>
            </w:r>
            <w:r w:rsidRPr="00AE3438">
              <w:t xml:space="preserve">symptomatic treatment of patients with SMA with bi-allelic mutations in the SMN1 gene and 3 copies of the SMN2 gene with </w:t>
            </w:r>
            <w:r w:rsidR="00AA517E" w:rsidRPr="00AE3438">
              <w:t>ONA</w:t>
            </w:r>
            <w:r w:rsidRPr="00AE3438">
              <w:t xml:space="preserve"> is superior in terms of effectiveness (development milestones) and non-inferior in terms of safety compared to</w:t>
            </w:r>
            <w:r w:rsidR="00D849DE" w:rsidRPr="00AE3438">
              <w:t xml:space="preserve"> usual care / watchful waiting</w:t>
            </w:r>
            <w:r w:rsidR="001032A3" w:rsidRPr="00AE3438">
              <w:t xml:space="preserve"> and treat as symptoms appear</w:t>
            </w:r>
            <w:r w:rsidR="00D849DE" w:rsidRPr="00AE3438">
              <w:t>.</w:t>
            </w:r>
          </w:p>
        </w:tc>
      </w:tr>
    </w:tbl>
    <w:p w14:paraId="0E85EEEB" w14:textId="77777777" w:rsidR="004C608D" w:rsidRPr="00AE3438" w:rsidRDefault="004C608D" w:rsidP="004C608D">
      <w:pPr>
        <w:pStyle w:val="FooterTableFigure"/>
      </w:pPr>
      <w:r w:rsidRPr="00AE3438">
        <w:t>Source: Table 1.1, p4 of the submission.</w:t>
      </w:r>
    </w:p>
    <w:p w14:paraId="432B5934" w14:textId="106288B4" w:rsidR="004C608D" w:rsidRPr="00AE3438" w:rsidRDefault="00AA517E" w:rsidP="004C608D">
      <w:pPr>
        <w:pStyle w:val="FooterTableFigure"/>
      </w:pPr>
      <w:r w:rsidRPr="00AE3438">
        <w:t xml:space="preserve">DMT=disease modifying therapy; </w:t>
      </w:r>
      <w:r w:rsidR="004C608D" w:rsidRPr="00AE3438">
        <w:t xml:space="preserve">SMA=spinal muscular atrophy; </w:t>
      </w:r>
      <w:r w:rsidR="004C608D" w:rsidRPr="00AE3438">
        <w:rPr>
          <w:i/>
        </w:rPr>
        <w:t>SMN1</w:t>
      </w:r>
      <w:r w:rsidR="004C608D" w:rsidRPr="00AE3438">
        <w:t xml:space="preserve">=survival motor neuron 1; </w:t>
      </w:r>
      <w:r w:rsidR="004C608D" w:rsidRPr="00AE3438">
        <w:rPr>
          <w:i/>
        </w:rPr>
        <w:t>SMN2</w:t>
      </w:r>
      <w:r w:rsidR="004C608D" w:rsidRPr="00AE3438">
        <w:t>=survival motor neuron 2</w:t>
      </w:r>
    </w:p>
    <w:p w14:paraId="6B4AB6C2" w14:textId="7F01D731" w:rsidR="005C25FF" w:rsidRPr="00AE3438" w:rsidRDefault="005C25FF" w:rsidP="004A6040">
      <w:pPr>
        <w:pStyle w:val="2-SectionHeading"/>
      </w:pPr>
      <w:bookmarkStart w:id="3" w:name="_Toc114054845"/>
      <w:r w:rsidRPr="00AE3438">
        <w:t>Background</w:t>
      </w:r>
      <w:bookmarkEnd w:id="3"/>
    </w:p>
    <w:p w14:paraId="2C521D6D" w14:textId="78CF03EE" w:rsidR="005C25FF" w:rsidRPr="00AE3438" w:rsidRDefault="005C25FF" w:rsidP="004A6040">
      <w:pPr>
        <w:pStyle w:val="4-SubsectionHeading"/>
      </w:pPr>
      <w:bookmarkStart w:id="4" w:name="_Toc22897638"/>
      <w:bookmarkStart w:id="5" w:name="_Toc114054846"/>
      <w:r w:rsidRPr="00AE3438">
        <w:t>Registration status</w:t>
      </w:r>
      <w:bookmarkEnd w:id="4"/>
      <w:bookmarkEnd w:id="5"/>
    </w:p>
    <w:p w14:paraId="71C90629" w14:textId="547ED91A" w:rsidR="004C608D" w:rsidRPr="00AE3438" w:rsidRDefault="004C608D" w:rsidP="004C608D">
      <w:pPr>
        <w:pStyle w:val="3-BodyText"/>
      </w:pPr>
      <w:r w:rsidRPr="00AE3438">
        <w:t>ONA was registered by the TGA on 4 March 2021 for the following indication:</w:t>
      </w:r>
    </w:p>
    <w:p w14:paraId="1BD95D27" w14:textId="7E5FEA85" w:rsidR="004C608D" w:rsidRPr="00AE3438" w:rsidRDefault="004C608D" w:rsidP="004C608D">
      <w:pPr>
        <w:pStyle w:val="3-BodyText"/>
        <w:numPr>
          <w:ilvl w:val="0"/>
          <w:numId w:val="0"/>
        </w:numPr>
        <w:ind w:left="720"/>
      </w:pPr>
      <w:r w:rsidRPr="00AE3438">
        <w:t xml:space="preserve">“Zolgensma® (onasemnogene abeparvovec) is indicated for the treatment of paediatric patients less than 9 months of age with symptomatic or presymptomatic </w:t>
      </w:r>
      <w:r w:rsidRPr="00AE3438">
        <w:lastRenderedPageBreak/>
        <w:t>spinal muscular atrophy with bi-allelic mutations in the survival motor neuron 1 (</w:t>
      </w:r>
      <w:r w:rsidRPr="00AE3438">
        <w:rPr>
          <w:i/>
        </w:rPr>
        <w:t>SMN1</w:t>
      </w:r>
      <w:r w:rsidRPr="00AE3438">
        <w:t xml:space="preserve">) gene and 1 to 3 copies of the </w:t>
      </w:r>
      <w:r w:rsidRPr="00AE3438">
        <w:rPr>
          <w:i/>
        </w:rPr>
        <w:t>SMN2</w:t>
      </w:r>
      <w:r w:rsidRPr="00AE3438">
        <w:t xml:space="preserve"> gene.”</w:t>
      </w:r>
    </w:p>
    <w:p w14:paraId="3E2A6EAB" w14:textId="469C8C0C" w:rsidR="005C25FF" w:rsidRPr="00AE3438" w:rsidRDefault="005C25FF" w:rsidP="004E18E9">
      <w:pPr>
        <w:pStyle w:val="4-SubsectionHeading"/>
      </w:pPr>
      <w:bookmarkStart w:id="6" w:name="_Toc22897639"/>
      <w:bookmarkStart w:id="7" w:name="_Toc114054847"/>
      <w:r w:rsidRPr="00AE3438">
        <w:t>Previous PBAC consideration</w:t>
      </w:r>
      <w:bookmarkEnd w:id="6"/>
      <w:bookmarkEnd w:id="7"/>
    </w:p>
    <w:p w14:paraId="3C2CB93C" w14:textId="0F3EDA2B" w:rsidR="002C5399" w:rsidRPr="00AE3438" w:rsidRDefault="002C5399" w:rsidP="002E4F02">
      <w:pPr>
        <w:pStyle w:val="3-BodyText"/>
      </w:pPr>
      <w:r w:rsidRPr="00AE3438">
        <w:t>Currently, DMTs for SMA listed on the PBS include nusinersen and risdiplam for ongoing treatment of symptomatic Type I, II or IIIa and nusinersen for pre</w:t>
      </w:r>
      <w:r w:rsidR="005E5E9E" w:rsidRPr="00AE3438">
        <w:noBreakHyphen/>
      </w:r>
      <w:r w:rsidRPr="00AE3438">
        <w:t>symptomatic</w:t>
      </w:r>
      <w:r w:rsidR="008421AD" w:rsidRPr="00AE3438">
        <w:t xml:space="preserve"> initiation of treatment </w:t>
      </w:r>
      <w:r w:rsidR="00115827" w:rsidRPr="00AE3438">
        <w:t>in</w:t>
      </w:r>
      <w:r w:rsidR="008421AD" w:rsidRPr="00AE3438">
        <w:t xml:space="preserve"> patients with</w:t>
      </w:r>
      <w:r w:rsidRPr="00AE3438">
        <w:t xml:space="preserve"> SMA </w:t>
      </w:r>
      <w:r w:rsidR="005508DF" w:rsidRPr="00AE3438">
        <w:t xml:space="preserve">and </w:t>
      </w:r>
      <w:r w:rsidRPr="00AE3438">
        <w:t xml:space="preserve">1 to 2 copies of </w:t>
      </w:r>
      <w:r w:rsidRPr="00AE3438">
        <w:rPr>
          <w:i/>
        </w:rPr>
        <w:t>SMN2</w:t>
      </w:r>
      <w:r w:rsidRPr="00AE3438">
        <w:t>.</w:t>
      </w:r>
      <w:r w:rsidRPr="00AE3438">
        <w:rPr>
          <w:i/>
        </w:rPr>
        <w:t xml:space="preserve"> </w:t>
      </w:r>
      <w:bookmarkStart w:id="8" w:name="_Hlk113978283"/>
      <w:r w:rsidR="00402C9A" w:rsidRPr="00AE3438">
        <w:rPr>
          <w:iCs/>
        </w:rPr>
        <w:t xml:space="preserve">Nusinersen was also listed on 1 August 2022 for </w:t>
      </w:r>
      <w:r w:rsidR="005E5E9E" w:rsidRPr="00AE3438">
        <w:rPr>
          <w:iCs/>
        </w:rPr>
        <w:t xml:space="preserve">patients with </w:t>
      </w:r>
      <w:r w:rsidR="00402C9A" w:rsidRPr="00AE3438">
        <w:rPr>
          <w:iCs/>
        </w:rPr>
        <w:t xml:space="preserve">adult </w:t>
      </w:r>
      <w:r w:rsidR="00AC32FC" w:rsidRPr="00AE3438">
        <w:rPr>
          <w:iCs/>
        </w:rPr>
        <w:t xml:space="preserve">onset SMA who were </w:t>
      </w:r>
      <w:r w:rsidR="00402C9A" w:rsidRPr="00AE3438">
        <w:rPr>
          <w:iCs/>
        </w:rPr>
        <w:t xml:space="preserve">diagnosed </w:t>
      </w:r>
      <w:r w:rsidR="00AC32FC" w:rsidRPr="00AE3438">
        <w:rPr>
          <w:iCs/>
        </w:rPr>
        <w:t>before 19 years of age (primarily SMA Types II and III)</w:t>
      </w:r>
      <w:r w:rsidR="00402C9A" w:rsidRPr="00AE3438">
        <w:rPr>
          <w:iCs/>
        </w:rPr>
        <w:t>.</w:t>
      </w:r>
      <w:r w:rsidR="00AC32FC" w:rsidRPr="00AE3438">
        <w:rPr>
          <w:iCs/>
        </w:rPr>
        <w:t xml:space="preserve"> </w:t>
      </w:r>
      <w:r w:rsidR="00283A39">
        <w:rPr>
          <w:iCs/>
        </w:rPr>
        <w:t xml:space="preserve">In September 2022 nusinersen was listed for patients with symptomatic Type IIIb/c SMA. </w:t>
      </w:r>
      <w:r w:rsidR="00AC32FC" w:rsidRPr="00AE3438">
        <w:rPr>
          <w:iCs/>
        </w:rPr>
        <w:t>SMA</w:t>
      </w:r>
      <w:r w:rsidR="00283A39">
        <w:rPr>
          <w:iCs/>
        </w:rPr>
        <w:t xml:space="preserve"> with</w:t>
      </w:r>
      <w:r w:rsidR="00AC32FC" w:rsidRPr="00AE3438">
        <w:rPr>
          <w:iCs/>
        </w:rPr>
        <w:t xml:space="preserve"> symptom onset after 19 years is considered to be Type IV SMA and is not PBS</w:t>
      </w:r>
      <w:r w:rsidR="005E5E9E" w:rsidRPr="00AE3438">
        <w:rPr>
          <w:iCs/>
        </w:rPr>
        <w:noBreakHyphen/>
      </w:r>
      <w:r w:rsidR="00AC32FC" w:rsidRPr="00AE3438">
        <w:rPr>
          <w:iCs/>
        </w:rPr>
        <w:t>subsidised.</w:t>
      </w:r>
      <w:r w:rsidR="00AC32FC" w:rsidRPr="00AE3438">
        <w:rPr>
          <w:i/>
        </w:rPr>
        <w:t xml:space="preserve"> </w:t>
      </w:r>
    </w:p>
    <w:bookmarkEnd w:id="8"/>
    <w:p w14:paraId="28BDB1A0" w14:textId="02CC1178" w:rsidR="00AA517E" w:rsidRPr="00AE3438" w:rsidRDefault="004C608D" w:rsidP="00470872">
      <w:pPr>
        <w:pStyle w:val="3-BodyText"/>
      </w:pPr>
      <w:r w:rsidRPr="00AE3438">
        <w:t xml:space="preserve">ONA was listed on the PBS in May 2022 as a once-off treatment in patients aged less than 9 months with symptomatic SMA Type I or pre-symptomatic SMA with 1 to 2 copies of </w:t>
      </w:r>
      <w:r w:rsidRPr="00AE3438">
        <w:rPr>
          <w:i/>
        </w:rPr>
        <w:t>SMN2</w:t>
      </w:r>
      <w:r w:rsidRPr="00AE3438">
        <w:t xml:space="preserve"> on a cost minimisation basis versus risdiplam</w:t>
      </w:r>
      <w:r w:rsidR="005336F8" w:rsidRPr="00AE3438">
        <w:t>, which was the least costly DMT for SMA.</w:t>
      </w:r>
      <w:r w:rsidR="002C5399" w:rsidRPr="00AE3438">
        <w:t xml:space="preserve"> </w:t>
      </w:r>
      <w:r w:rsidR="002C5399" w:rsidRPr="00AE3438">
        <w:rPr>
          <w:iCs/>
        </w:rPr>
        <w:t xml:space="preserve">If listed, ONA would become the first DMT available for patients who are pre-symptomatic with 3 copies of </w:t>
      </w:r>
      <w:r w:rsidR="002C5399" w:rsidRPr="00283A39">
        <w:rPr>
          <w:i/>
        </w:rPr>
        <w:t>SMN2</w:t>
      </w:r>
      <w:r w:rsidR="002C5399" w:rsidRPr="00AE3438">
        <w:rPr>
          <w:iCs/>
        </w:rPr>
        <w:t>.</w:t>
      </w:r>
      <w:r w:rsidR="00AC32FC" w:rsidRPr="00AE3438">
        <w:rPr>
          <w:i/>
        </w:rPr>
        <w:t xml:space="preserve"> </w:t>
      </w:r>
    </w:p>
    <w:p w14:paraId="1CBFB029" w14:textId="74F8D55A" w:rsidR="00B245B1" w:rsidRPr="00AE3438" w:rsidRDefault="005336F8" w:rsidP="002E4F02">
      <w:pPr>
        <w:pStyle w:val="3-BodyText"/>
        <w:rPr>
          <w:iCs/>
        </w:rPr>
      </w:pPr>
      <w:r w:rsidRPr="00AE3438">
        <w:rPr>
          <w:iCs/>
        </w:rPr>
        <w:t xml:space="preserve">In the May 2021 addendum to the November 2020 meeting, the PBAC noted the proposed population </w:t>
      </w:r>
      <w:r w:rsidR="002C5399" w:rsidRPr="00AE3438">
        <w:rPr>
          <w:iCs/>
        </w:rPr>
        <w:t xml:space="preserve">for ONA </w:t>
      </w:r>
      <w:r w:rsidRPr="00AE3438">
        <w:rPr>
          <w:iCs/>
        </w:rPr>
        <w:t xml:space="preserve">was revised to patients aged less than 9 months, with 1-3 copies of the </w:t>
      </w:r>
      <w:r w:rsidRPr="00283A39">
        <w:rPr>
          <w:i/>
        </w:rPr>
        <w:t>SMN2</w:t>
      </w:r>
      <w:r w:rsidRPr="00AE3438">
        <w:rPr>
          <w:iCs/>
        </w:rPr>
        <w:t xml:space="preserve"> gene</w:t>
      </w:r>
      <w:r w:rsidR="00D13392" w:rsidRPr="00AE3438">
        <w:rPr>
          <w:iCs/>
        </w:rPr>
        <w:t>. The PBAC also noted</w:t>
      </w:r>
      <w:r w:rsidRPr="00AE3438">
        <w:rPr>
          <w:iCs/>
        </w:rPr>
        <w:t xml:space="preserve"> that </w:t>
      </w:r>
      <w:r w:rsidR="00D13392" w:rsidRPr="00AE3438">
        <w:rPr>
          <w:iCs/>
        </w:rPr>
        <w:t>pre</w:t>
      </w:r>
      <w:r w:rsidR="00321522" w:rsidRPr="00AE3438">
        <w:rPr>
          <w:iCs/>
        </w:rPr>
        <w:t>-</w:t>
      </w:r>
      <w:r w:rsidR="00D13392" w:rsidRPr="00AE3438">
        <w:rPr>
          <w:iCs/>
        </w:rPr>
        <w:t xml:space="preserve">symptomatic </w:t>
      </w:r>
      <w:r w:rsidRPr="00AE3438">
        <w:rPr>
          <w:iCs/>
        </w:rPr>
        <w:t xml:space="preserve">patients with 3 copies of </w:t>
      </w:r>
      <w:r w:rsidRPr="00283A39">
        <w:rPr>
          <w:i/>
        </w:rPr>
        <w:t>SMN2</w:t>
      </w:r>
      <w:r w:rsidRPr="00AE3438">
        <w:rPr>
          <w:iCs/>
        </w:rPr>
        <w:t xml:space="preserve"> were not eligible for treatment with nusinersen. The PBAC considered the request for inclusion of </w:t>
      </w:r>
      <w:r w:rsidR="00D13392" w:rsidRPr="00AE3438">
        <w:rPr>
          <w:iCs/>
        </w:rPr>
        <w:t>pre</w:t>
      </w:r>
      <w:r w:rsidR="00321522" w:rsidRPr="00AE3438">
        <w:rPr>
          <w:iCs/>
        </w:rPr>
        <w:t>-</w:t>
      </w:r>
      <w:r w:rsidR="00D13392" w:rsidRPr="00AE3438">
        <w:rPr>
          <w:iCs/>
        </w:rPr>
        <w:t xml:space="preserve">symptomatic </w:t>
      </w:r>
      <w:r w:rsidRPr="00AE3438">
        <w:rPr>
          <w:iCs/>
        </w:rPr>
        <w:t xml:space="preserve">patients with 3 copies of </w:t>
      </w:r>
      <w:r w:rsidRPr="00283A39">
        <w:rPr>
          <w:i/>
        </w:rPr>
        <w:t>SMN2</w:t>
      </w:r>
      <w:r w:rsidRPr="00AE3438">
        <w:rPr>
          <w:iCs/>
        </w:rPr>
        <w:t xml:space="preserve"> was not adequately supported</w:t>
      </w:r>
      <w:r w:rsidR="00B245B1" w:rsidRPr="00AE3438">
        <w:rPr>
          <w:iCs/>
        </w:rPr>
        <w:t xml:space="preserve"> and at the requested price ONA was unlikely to be cost-effective in these patients</w:t>
      </w:r>
      <w:r w:rsidRPr="00AE3438">
        <w:rPr>
          <w:iCs/>
        </w:rPr>
        <w:t xml:space="preserve">, </w:t>
      </w:r>
      <w:r w:rsidR="00470872" w:rsidRPr="00AE3438">
        <w:rPr>
          <w:iCs/>
        </w:rPr>
        <w:t>not</w:t>
      </w:r>
      <w:r w:rsidR="00B245B1" w:rsidRPr="00AE3438">
        <w:rPr>
          <w:iCs/>
        </w:rPr>
        <w:t>ing</w:t>
      </w:r>
      <w:r w:rsidR="00470872" w:rsidRPr="00AE3438">
        <w:rPr>
          <w:iCs/>
        </w:rPr>
        <w:t xml:space="preserve"> that some patients with 3 copies of </w:t>
      </w:r>
      <w:r w:rsidR="00470872" w:rsidRPr="00283A39">
        <w:rPr>
          <w:i/>
        </w:rPr>
        <w:t>SMN2</w:t>
      </w:r>
      <w:r w:rsidR="00470872" w:rsidRPr="00AE3438">
        <w:rPr>
          <w:iCs/>
        </w:rPr>
        <w:t xml:space="preserve"> may manifest with later onset of symptoms and less severe disease phenotype (SMA Type II or III)</w:t>
      </w:r>
      <w:r w:rsidR="00B245B1" w:rsidRPr="00AE3438">
        <w:rPr>
          <w:iCs/>
        </w:rPr>
        <w:t xml:space="preserve"> (paragraphs 8.1 and 8.5, onasemnogene abeparvovec </w:t>
      </w:r>
      <w:r w:rsidR="00875284" w:rsidRPr="00875284">
        <w:rPr>
          <w:iCs/>
        </w:rPr>
        <w:t xml:space="preserve">Public Summary Document </w:t>
      </w:r>
      <w:r w:rsidR="00875284">
        <w:rPr>
          <w:iCs/>
        </w:rPr>
        <w:t>(</w:t>
      </w:r>
      <w:r w:rsidR="00B245B1" w:rsidRPr="00AE3438">
        <w:rPr>
          <w:iCs/>
        </w:rPr>
        <w:t>PSD</w:t>
      </w:r>
      <w:r w:rsidR="00875284">
        <w:rPr>
          <w:iCs/>
        </w:rPr>
        <w:t>)</w:t>
      </w:r>
      <w:r w:rsidR="009D176E" w:rsidRPr="00AE3438">
        <w:rPr>
          <w:iCs/>
        </w:rPr>
        <w:t>,</w:t>
      </w:r>
      <w:r w:rsidR="00B245B1" w:rsidRPr="00AE3438">
        <w:rPr>
          <w:iCs/>
        </w:rPr>
        <w:t xml:space="preserve"> November 2020 PBAC meeting with May 2021 </w:t>
      </w:r>
      <w:r w:rsidR="001032A3" w:rsidRPr="00AE3438">
        <w:rPr>
          <w:iCs/>
        </w:rPr>
        <w:t xml:space="preserve">and September 2021 </w:t>
      </w:r>
      <w:r w:rsidR="00B245B1" w:rsidRPr="00AE3438">
        <w:rPr>
          <w:iCs/>
        </w:rPr>
        <w:t>Addendum).</w:t>
      </w:r>
      <w:r w:rsidR="005E5E9E" w:rsidRPr="00054F33">
        <w:rPr>
          <w:iCs/>
        </w:rPr>
        <w:t xml:space="preserve"> The ESC noted that despite this advice the sponsor had requested a substantially higher price for ONA in pre-symptomatic patients with 3 copies of </w:t>
      </w:r>
      <w:r w:rsidR="005E5E9E" w:rsidRPr="00283A39">
        <w:rPr>
          <w:i/>
        </w:rPr>
        <w:t>SMN2</w:t>
      </w:r>
      <w:r w:rsidR="005E5E9E" w:rsidRPr="00054F33">
        <w:rPr>
          <w:iCs/>
        </w:rPr>
        <w:t xml:space="preserve"> than was accepted by the PBAC as being cost-effective for patients with 1-2 copies of </w:t>
      </w:r>
      <w:r w:rsidR="005E5E9E" w:rsidRPr="00283A39">
        <w:rPr>
          <w:i/>
        </w:rPr>
        <w:t>SMN2</w:t>
      </w:r>
      <w:r w:rsidR="005E5E9E" w:rsidRPr="00054F33">
        <w:rPr>
          <w:iCs/>
        </w:rPr>
        <w:t>.</w:t>
      </w:r>
    </w:p>
    <w:p w14:paraId="27B54EF6" w14:textId="579E9F06" w:rsidR="005336F8" w:rsidRPr="00AE3438" w:rsidRDefault="005336F8" w:rsidP="002E4F02">
      <w:pPr>
        <w:pStyle w:val="3-BodyText"/>
        <w:rPr>
          <w:iCs/>
        </w:rPr>
      </w:pPr>
      <w:r w:rsidRPr="00AE3438">
        <w:rPr>
          <w:iCs/>
        </w:rPr>
        <w:t>Nusinersen was previously considered by the PBAC for pre</w:t>
      </w:r>
      <w:r w:rsidR="005070B1" w:rsidRPr="00AE3438">
        <w:rPr>
          <w:iCs/>
        </w:rPr>
        <w:t>-</w:t>
      </w:r>
      <w:r w:rsidRPr="00AE3438">
        <w:rPr>
          <w:iCs/>
        </w:rPr>
        <w:t xml:space="preserve">symptomatic </w:t>
      </w:r>
      <w:r w:rsidR="00546A50" w:rsidRPr="00AE3438">
        <w:rPr>
          <w:iCs/>
        </w:rPr>
        <w:t xml:space="preserve">initiation of </w:t>
      </w:r>
      <w:r w:rsidRPr="00AE3438">
        <w:rPr>
          <w:iCs/>
        </w:rPr>
        <w:t>treatment of patients</w:t>
      </w:r>
      <w:r w:rsidR="00D46C80" w:rsidRPr="00AE3438">
        <w:rPr>
          <w:iCs/>
        </w:rPr>
        <w:t xml:space="preserve"> with</w:t>
      </w:r>
      <w:r w:rsidRPr="00AE3438">
        <w:rPr>
          <w:iCs/>
        </w:rPr>
        <w:t xml:space="preserve"> 1-3 </w:t>
      </w:r>
      <w:r w:rsidRPr="00283A39">
        <w:rPr>
          <w:i/>
        </w:rPr>
        <w:t>SMN2</w:t>
      </w:r>
      <w:r w:rsidRPr="00AE3438">
        <w:rPr>
          <w:iCs/>
        </w:rPr>
        <w:t xml:space="preserve"> copies in July and Nov</w:t>
      </w:r>
      <w:r w:rsidR="00D46C80" w:rsidRPr="00AE3438">
        <w:rPr>
          <w:iCs/>
        </w:rPr>
        <w:t>ember</w:t>
      </w:r>
      <w:r w:rsidRPr="00AE3438">
        <w:rPr>
          <w:iCs/>
        </w:rPr>
        <w:t xml:space="preserve"> 2019, </w:t>
      </w:r>
      <w:r w:rsidR="00283A39">
        <w:rPr>
          <w:iCs/>
        </w:rPr>
        <w:t>proposed changes were not recommended</w:t>
      </w:r>
      <w:r w:rsidRPr="00AE3438">
        <w:rPr>
          <w:iCs/>
        </w:rPr>
        <w:t xml:space="preserve"> due to uncertain incremental benefit versus symptomatic treatment. </w:t>
      </w:r>
      <w:bookmarkStart w:id="9" w:name="_Hlk120702183"/>
      <w:r w:rsidRPr="00AE3438">
        <w:rPr>
          <w:iCs/>
        </w:rPr>
        <w:t xml:space="preserve">The PBAC also noted advice from MSAC that while </w:t>
      </w:r>
      <w:r w:rsidRPr="00283A39">
        <w:rPr>
          <w:i/>
        </w:rPr>
        <w:t>SMN2</w:t>
      </w:r>
      <w:r w:rsidRPr="00AE3438">
        <w:rPr>
          <w:iCs/>
        </w:rPr>
        <w:t xml:space="preserve"> copy number variation offers some prognostic value</w:t>
      </w:r>
      <w:r w:rsidR="00D46C80" w:rsidRPr="00AE3438">
        <w:rPr>
          <w:iCs/>
        </w:rPr>
        <w:t>, it</w:t>
      </w:r>
      <w:r w:rsidR="009F562E" w:rsidRPr="00AE3438">
        <w:rPr>
          <w:iCs/>
        </w:rPr>
        <w:t xml:space="preserve"> </w:t>
      </w:r>
      <w:r w:rsidRPr="00AE3438">
        <w:rPr>
          <w:iCs/>
        </w:rPr>
        <w:t xml:space="preserve">was more reliable for infants with two or less copies of </w:t>
      </w:r>
      <w:r w:rsidRPr="00283A39">
        <w:rPr>
          <w:i/>
        </w:rPr>
        <w:t>SMN2</w:t>
      </w:r>
      <w:r w:rsidRPr="00AE3438">
        <w:rPr>
          <w:iCs/>
        </w:rPr>
        <w:t xml:space="preserve"> compared to three or less copies of </w:t>
      </w:r>
      <w:r w:rsidRPr="00283A39">
        <w:rPr>
          <w:i/>
        </w:rPr>
        <w:t>SMN2</w:t>
      </w:r>
      <w:r w:rsidRPr="00AE3438">
        <w:rPr>
          <w:iCs/>
        </w:rPr>
        <w:t xml:space="preserve"> (paragraph 11.2, nusinersen PSD</w:t>
      </w:r>
      <w:r w:rsidR="009D176E" w:rsidRPr="00AE3438">
        <w:rPr>
          <w:iCs/>
        </w:rPr>
        <w:t>,</w:t>
      </w:r>
      <w:r w:rsidRPr="00AE3438">
        <w:rPr>
          <w:iCs/>
        </w:rPr>
        <w:t xml:space="preserve"> Nov 2019 PBAC meeting).</w:t>
      </w:r>
      <w:bookmarkEnd w:id="9"/>
      <w:r w:rsidRPr="00AE3438">
        <w:rPr>
          <w:iCs/>
        </w:rPr>
        <w:t xml:space="preserve"> Pre-symptomatic</w:t>
      </w:r>
      <w:r w:rsidR="007B3B85" w:rsidRPr="00AE3438">
        <w:rPr>
          <w:iCs/>
        </w:rPr>
        <w:t xml:space="preserve"> initiation of</w:t>
      </w:r>
      <w:r w:rsidRPr="00AE3438">
        <w:rPr>
          <w:iCs/>
        </w:rPr>
        <w:t xml:space="preserve"> treatment with nusinersen was ultimately recommended by the PBAC in July 2020 for infants with two or less copies of </w:t>
      </w:r>
      <w:r w:rsidRPr="00283A39">
        <w:rPr>
          <w:i/>
        </w:rPr>
        <w:t>SMN2</w:t>
      </w:r>
      <w:r w:rsidRPr="00AE3438">
        <w:rPr>
          <w:iCs/>
        </w:rPr>
        <w:t xml:space="preserve"> after a resubmission in this subpopulation (paragraph 7.1</w:t>
      </w:r>
      <w:r w:rsidR="009D176E" w:rsidRPr="00AE3438">
        <w:rPr>
          <w:iCs/>
        </w:rPr>
        <w:t>,</w:t>
      </w:r>
      <w:r w:rsidRPr="00AE3438">
        <w:rPr>
          <w:iCs/>
        </w:rPr>
        <w:t xml:space="preserve"> nusinersen PSD</w:t>
      </w:r>
      <w:r w:rsidR="009D176E" w:rsidRPr="00AE3438">
        <w:rPr>
          <w:iCs/>
        </w:rPr>
        <w:t>,</w:t>
      </w:r>
      <w:r w:rsidRPr="00AE3438">
        <w:rPr>
          <w:iCs/>
        </w:rPr>
        <w:t xml:space="preserve"> July 2020 PBAC meeting)</w:t>
      </w:r>
      <w:r w:rsidR="00662C2B" w:rsidRPr="00AE3438">
        <w:rPr>
          <w:iCs/>
        </w:rPr>
        <w:t>.</w:t>
      </w:r>
    </w:p>
    <w:p w14:paraId="0BBA7F0C" w14:textId="347B128F" w:rsidR="00C761FA" w:rsidRPr="000C49F8" w:rsidRDefault="00B50DB8" w:rsidP="00D77C6B">
      <w:pPr>
        <w:pStyle w:val="2-SectionHeading"/>
        <w:spacing w:after="0"/>
      </w:pPr>
      <w:bookmarkStart w:id="10" w:name="_Toc107902078"/>
      <w:bookmarkStart w:id="11" w:name="_Toc114054848"/>
      <w:bookmarkEnd w:id="10"/>
      <w:r w:rsidRPr="00AE3438">
        <w:lastRenderedPageBreak/>
        <w:t>Requested listing</w:t>
      </w:r>
      <w:bookmarkEnd w:id="11"/>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0"/>
        <w:gridCol w:w="1779"/>
        <w:gridCol w:w="812"/>
        <w:gridCol w:w="811"/>
        <w:gridCol w:w="812"/>
        <w:gridCol w:w="1831"/>
      </w:tblGrid>
      <w:tr w:rsidR="00480A94" w:rsidRPr="00AE3438" w14:paraId="383464F9" w14:textId="77777777" w:rsidTr="00662C2B">
        <w:trPr>
          <w:cantSplit/>
          <w:trHeight w:val="20"/>
        </w:trPr>
        <w:tc>
          <w:tcPr>
            <w:tcW w:w="2970" w:type="dxa"/>
            <w:vAlign w:val="center"/>
          </w:tcPr>
          <w:p w14:paraId="256B532E" w14:textId="77777777" w:rsidR="00480A94" w:rsidRPr="00AE3438" w:rsidRDefault="00480A94" w:rsidP="00480A94">
            <w:pPr>
              <w:rPr>
                <w:rFonts w:ascii="Arial Narrow" w:hAnsi="Arial Narrow"/>
                <w:b/>
                <w:bCs/>
                <w:sz w:val="20"/>
                <w:szCs w:val="20"/>
              </w:rPr>
            </w:pPr>
            <w:bookmarkStart w:id="12" w:name="_Hlk104809082"/>
            <w:r w:rsidRPr="00AE3438">
              <w:rPr>
                <w:rFonts w:ascii="Arial Narrow" w:hAnsi="Arial Narrow"/>
                <w:b/>
                <w:bCs/>
                <w:sz w:val="20"/>
                <w:szCs w:val="20"/>
              </w:rPr>
              <w:t>MEDICINAL PRODUCT</w:t>
            </w:r>
          </w:p>
          <w:p w14:paraId="2162E1A8" w14:textId="77777777" w:rsidR="00480A94" w:rsidRPr="00AE3438" w:rsidRDefault="00480A94" w:rsidP="00480A94">
            <w:pPr>
              <w:rPr>
                <w:rFonts w:ascii="Arial Narrow" w:hAnsi="Arial Narrow"/>
                <w:b/>
                <w:sz w:val="20"/>
                <w:szCs w:val="20"/>
              </w:rPr>
            </w:pPr>
            <w:r w:rsidRPr="00AE3438">
              <w:rPr>
                <w:rFonts w:ascii="Arial Narrow" w:hAnsi="Arial Narrow"/>
                <w:b/>
                <w:bCs/>
                <w:sz w:val="20"/>
                <w:szCs w:val="20"/>
              </w:rPr>
              <w:t>medicinal product pack</w:t>
            </w:r>
          </w:p>
        </w:tc>
        <w:tc>
          <w:tcPr>
            <w:tcW w:w="1779" w:type="dxa"/>
            <w:vAlign w:val="center"/>
          </w:tcPr>
          <w:p w14:paraId="6977AA9E" w14:textId="77777777" w:rsidR="00480A94" w:rsidRPr="00AE3438" w:rsidRDefault="00480A94" w:rsidP="00480A94">
            <w:pPr>
              <w:pStyle w:val="TableText0"/>
              <w:keepNext w:val="0"/>
              <w:rPr>
                <w:b/>
                <w:bCs w:val="0"/>
                <w:szCs w:val="20"/>
              </w:rPr>
            </w:pPr>
            <w:r w:rsidRPr="00AE3438">
              <w:rPr>
                <w:b/>
                <w:bCs w:val="0"/>
                <w:snapToGrid w:val="0"/>
              </w:rPr>
              <w:t xml:space="preserve">Dispensed Price for Max. Qty </w:t>
            </w:r>
          </w:p>
        </w:tc>
        <w:tc>
          <w:tcPr>
            <w:tcW w:w="812" w:type="dxa"/>
            <w:vAlign w:val="center"/>
          </w:tcPr>
          <w:p w14:paraId="2ED95F45" w14:textId="77777777" w:rsidR="00480A94" w:rsidRPr="00AE3438" w:rsidRDefault="00480A94" w:rsidP="00480A94">
            <w:pPr>
              <w:jc w:val="center"/>
              <w:rPr>
                <w:rFonts w:ascii="Arial Narrow" w:hAnsi="Arial Narrow"/>
                <w:b/>
                <w:sz w:val="20"/>
                <w:szCs w:val="20"/>
              </w:rPr>
            </w:pPr>
            <w:r w:rsidRPr="00AE3438">
              <w:rPr>
                <w:rFonts w:ascii="Arial Narrow" w:hAnsi="Arial Narrow"/>
                <w:b/>
                <w:sz w:val="20"/>
                <w:szCs w:val="20"/>
              </w:rPr>
              <w:t>Max. qty packs</w:t>
            </w:r>
          </w:p>
        </w:tc>
        <w:tc>
          <w:tcPr>
            <w:tcW w:w="811" w:type="dxa"/>
            <w:vAlign w:val="center"/>
          </w:tcPr>
          <w:p w14:paraId="642894CF" w14:textId="77777777" w:rsidR="00480A94" w:rsidRPr="00AE3438" w:rsidRDefault="00480A94" w:rsidP="00480A94">
            <w:pPr>
              <w:jc w:val="center"/>
              <w:rPr>
                <w:rFonts w:ascii="Arial Narrow" w:hAnsi="Arial Narrow"/>
                <w:b/>
                <w:sz w:val="20"/>
                <w:szCs w:val="20"/>
              </w:rPr>
            </w:pPr>
            <w:r w:rsidRPr="00AE3438">
              <w:rPr>
                <w:rFonts w:ascii="Arial Narrow" w:hAnsi="Arial Narrow"/>
                <w:b/>
                <w:sz w:val="20"/>
                <w:szCs w:val="20"/>
              </w:rPr>
              <w:t>Max. qty units</w:t>
            </w:r>
          </w:p>
        </w:tc>
        <w:tc>
          <w:tcPr>
            <w:tcW w:w="812" w:type="dxa"/>
            <w:vAlign w:val="center"/>
          </w:tcPr>
          <w:p w14:paraId="03E1B2A1" w14:textId="77777777" w:rsidR="00480A94" w:rsidRPr="00AE3438" w:rsidRDefault="00480A94" w:rsidP="00480A94">
            <w:pPr>
              <w:jc w:val="center"/>
              <w:rPr>
                <w:rFonts w:ascii="Arial Narrow" w:hAnsi="Arial Narrow"/>
                <w:b/>
                <w:sz w:val="20"/>
                <w:szCs w:val="20"/>
              </w:rPr>
            </w:pPr>
            <w:r w:rsidRPr="00AE3438">
              <w:rPr>
                <w:rFonts w:ascii="Arial Narrow" w:hAnsi="Arial Narrow"/>
                <w:b/>
                <w:sz w:val="20"/>
                <w:szCs w:val="20"/>
              </w:rPr>
              <w:t>№.of</w:t>
            </w:r>
          </w:p>
          <w:p w14:paraId="048E6D69" w14:textId="77777777" w:rsidR="00480A94" w:rsidRPr="00AE3438" w:rsidRDefault="00480A94" w:rsidP="00480A94">
            <w:pPr>
              <w:jc w:val="center"/>
              <w:rPr>
                <w:rFonts w:ascii="Arial Narrow" w:hAnsi="Arial Narrow"/>
                <w:b/>
                <w:sz w:val="20"/>
                <w:szCs w:val="20"/>
              </w:rPr>
            </w:pPr>
            <w:r w:rsidRPr="00AE3438">
              <w:rPr>
                <w:rFonts w:ascii="Arial Narrow" w:hAnsi="Arial Narrow"/>
                <w:b/>
                <w:sz w:val="20"/>
                <w:szCs w:val="20"/>
              </w:rPr>
              <w:t>Rpts</w:t>
            </w:r>
          </w:p>
        </w:tc>
        <w:tc>
          <w:tcPr>
            <w:tcW w:w="1831" w:type="dxa"/>
            <w:vAlign w:val="center"/>
          </w:tcPr>
          <w:p w14:paraId="6707FAFB" w14:textId="77777777" w:rsidR="00480A94" w:rsidRPr="00AE3438" w:rsidRDefault="00480A94" w:rsidP="00662C2B">
            <w:pPr>
              <w:jc w:val="center"/>
              <w:rPr>
                <w:rFonts w:ascii="Arial Narrow" w:hAnsi="Arial Narrow"/>
                <w:b/>
                <w:sz w:val="20"/>
                <w:szCs w:val="20"/>
              </w:rPr>
            </w:pPr>
            <w:r w:rsidRPr="00AE3438">
              <w:rPr>
                <w:rFonts w:ascii="Arial Narrow" w:hAnsi="Arial Narrow"/>
                <w:b/>
                <w:sz w:val="20"/>
                <w:szCs w:val="20"/>
              </w:rPr>
              <w:t>Available brands</w:t>
            </w:r>
          </w:p>
        </w:tc>
      </w:tr>
      <w:tr w:rsidR="00480A94" w:rsidRPr="00AE3438" w14:paraId="56DD99CD" w14:textId="77777777" w:rsidTr="00027CE2">
        <w:trPr>
          <w:cantSplit/>
          <w:trHeight w:val="20"/>
        </w:trPr>
        <w:tc>
          <w:tcPr>
            <w:tcW w:w="9015" w:type="dxa"/>
            <w:gridSpan w:val="6"/>
            <w:vAlign w:val="center"/>
          </w:tcPr>
          <w:p w14:paraId="4D126C9D" w14:textId="77777777" w:rsidR="00480A94" w:rsidRPr="00AE3438" w:rsidRDefault="00480A94" w:rsidP="00480A94">
            <w:pPr>
              <w:pStyle w:val="TableText0"/>
              <w:keepNext w:val="0"/>
              <w:rPr>
                <w:rFonts w:cs="Arial"/>
                <w:szCs w:val="20"/>
              </w:rPr>
            </w:pPr>
            <w:r w:rsidRPr="00AE3438">
              <w:rPr>
                <w:smallCaps/>
              </w:rPr>
              <w:t>Onasemnogene Abeparvovec</w:t>
            </w:r>
          </w:p>
        </w:tc>
      </w:tr>
      <w:tr w:rsidR="00480A94" w:rsidRPr="00AE3438" w14:paraId="5564FFBC" w14:textId="77777777" w:rsidTr="00662C2B">
        <w:trPr>
          <w:cantSplit/>
          <w:trHeight w:val="20"/>
        </w:trPr>
        <w:tc>
          <w:tcPr>
            <w:tcW w:w="2970" w:type="dxa"/>
            <w:shd w:val="clear" w:color="auto" w:fill="auto"/>
            <w:vAlign w:val="center"/>
          </w:tcPr>
          <w:p w14:paraId="0E62345A" w14:textId="77777777" w:rsidR="00480A94" w:rsidRPr="00AE3438" w:rsidRDefault="00480A94" w:rsidP="00480A94">
            <w:pPr>
              <w:pStyle w:val="TableText0"/>
              <w:keepNext w:val="0"/>
            </w:pPr>
            <w:r w:rsidRPr="00AE3438">
              <w:t>Onasemnogene abeparvovec</w:t>
            </w:r>
          </w:p>
          <w:p w14:paraId="687F233B" w14:textId="77777777" w:rsidR="00480A94" w:rsidRPr="00AE3438" w:rsidRDefault="00480A94" w:rsidP="00480A94">
            <w:pPr>
              <w:pStyle w:val="TableText0"/>
              <w:keepNext w:val="0"/>
            </w:pPr>
            <w:r w:rsidRPr="00AE3438">
              <w:t>Liquid in vial 1.1 x 10</w:t>
            </w:r>
            <w:r w:rsidRPr="00AE3438">
              <w:rPr>
                <w:vertAlign w:val="superscript"/>
              </w:rPr>
              <w:t>14</w:t>
            </w:r>
            <w:r w:rsidRPr="00AE3438">
              <w:t xml:space="preserve"> vg/kg</w:t>
            </w:r>
          </w:p>
        </w:tc>
        <w:tc>
          <w:tcPr>
            <w:tcW w:w="1779" w:type="dxa"/>
            <w:shd w:val="clear" w:color="auto" w:fill="auto"/>
            <w:vAlign w:val="center"/>
          </w:tcPr>
          <w:p w14:paraId="707773A9" w14:textId="2E34EDBA" w:rsidR="00480A94" w:rsidRPr="00AE3438" w:rsidRDefault="00480A94" w:rsidP="00480A94">
            <w:pPr>
              <w:pStyle w:val="TableText0"/>
              <w:keepNext w:val="0"/>
              <w:jc w:val="center"/>
              <w:rPr>
                <w:szCs w:val="20"/>
              </w:rPr>
            </w:pPr>
            <w:r w:rsidRPr="00AE3438">
              <w:t>$</w:t>
            </w:r>
            <w:r w:rsidR="00284C02" w:rsidRPr="00284C02">
              <w:rPr>
                <w:color w:val="000000"/>
                <w:shd w:val="solid" w:color="000000" w:fill="000000"/>
                <w14:textFill>
                  <w14:solidFill>
                    <w14:srgbClr w14:val="000000">
                      <w14:alpha w14:val="100000"/>
                    </w14:srgbClr>
                  </w14:solidFill>
                </w14:textFill>
              </w:rPr>
              <w:t>|</w:t>
            </w:r>
          </w:p>
        </w:tc>
        <w:tc>
          <w:tcPr>
            <w:tcW w:w="812" w:type="dxa"/>
            <w:shd w:val="clear" w:color="auto" w:fill="auto"/>
            <w:vAlign w:val="center"/>
          </w:tcPr>
          <w:p w14:paraId="319D0372" w14:textId="77777777" w:rsidR="00480A94" w:rsidRPr="00AE3438" w:rsidRDefault="00480A94" w:rsidP="00480A94">
            <w:pPr>
              <w:jc w:val="center"/>
              <w:rPr>
                <w:rFonts w:ascii="Arial Narrow" w:hAnsi="Arial Narrow"/>
                <w:sz w:val="20"/>
                <w:szCs w:val="20"/>
              </w:rPr>
            </w:pPr>
            <w:r w:rsidRPr="00AE3438">
              <w:rPr>
                <w:rFonts w:ascii="Arial Narrow" w:hAnsi="Arial Narrow"/>
                <w:sz w:val="20"/>
              </w:rPr>
              <w:t>1</w:t>
            </w:r>
          </w:p>
        </w:tc>
        <w:tc>
          <w:tcPr>
            <w:tcW w:w="811" w:type="dxa"/>
            <w:shd w:val="clear" w:color="auto" w:fill="auto"/>
            <w:vAlign w:val="center"/>
          </w:tcPr>
          <w:p w14:paraId="6F99F95D" w14:textId="77777777" w:rsidR="00480A94" w:rsidRPr="00AE3438" w:rsidRDefault="00480A94" w:rsidP="00480A94">
            <w:pPr>
              <w:jc w:val="center"/>
              <w:rPr>
                <w:rFonts w:ascii="Arial Narrow" w:hAnsi="Arial Narrow"/>
                <w:sz w:val="20"/>
                <w:szCs w:val="20"/>
              </w:rPr>
            </w:pPr>
            <w:r w:rsidRPr="00AE3438">
              <w:rPr>
                <w:rFonts w:ascii="Arial Narrow" w:hAnsi="Arial Narrow"/>
                <w:sz w:val="20"/>
              </w:rPr>
              <w:t>1</w:t>
            </w:r>
          </w:p>
        </w:tc>
        <w:tc>
          <w:tcPr>
            <w:tcW w:w="812" w:type="dxa"/>
            <w:shd w:val="clear" w:color="auto" w:fill="auto"/>
            <w:vAlign w:val="center"/>
          </w:tcPr>
          <w:p w14:paraId="01005389" w14:textId="77777777" w:rsidR="00480A94" w:rsidRPr="00AE3438" w:rsidRDefault="00480A94" w:rsidP="00480A94">
            <w:pPr>
              <w:jc w:val="center"/>
              <w:rPr>
                <w:rFonts w:ascii="Arial Narrow" w:hAnsi="Arial Narrow"/>
                <w:sz w:val="20"/>
                <w:szCs w:val="20"/>
              </w:rPr>
            </w:pPr>
            <w:r w:rsidRPr="00AE3438">
              <w:rPr>
                <w:rFonts w:ascii="Arial Narrow" w:hAnsi="Arial Narrow"/>
                <w:sz w:val="20"/>
              </w:rPr>
              <w:t>0</w:t>
            </w:r>
          </w:p>
        </w:tc>
        <w:tc>
          <w:tcPr>
            <w:tcW w:w="1831" w:type="dxa"/>
            <w:shd w:val="clear" w:color="auto" w:fill="auto"/>
            <w:vAlign w:val="center"/>
          </w:tcPr>
          <w:p w14:paraId="04914DDE" w14:textId="77777777" w:rsidR="00480A94" w:rsidRPr="00AE3438" w:rsidRDefault="00480A94" w:rsidP="00662C2B">
            <w:pPr>
              <w:jc w:val="center"/>
              <w:rPr>
                <w:rFonts w:ascii="Arial Narrow" w:hAnsi="Arial Narrow"/>
                <w:sz w:val="20"/>
                <w:szCs w:val="20"/>
              </w:rPr>
            </w:pPr>
            <w:r w:rsidRPr="00AE3438">
              <w:rPr>
                <w:rFonts w:ascii="Arial Narrow" w:hAnsi="Arial Narrow"/>
                <w:sz w:val="20"/>
                <w:szCs w:val="20"/>
              </w:rPr>
              <w:t>Zolgensma®</w:t>
            </w:r>
          </w:p>
        </w:tc>
      </w:tr>
    </w:tbl>
    <w:p w14:paraId="705635DB" w14:textId="18F8859C" w:rsidR="00480A94" w:rsidRPr="00AE3438" w:rsidRDefault="00480A94" w:rsidP="00480A94">
      <w:pPr>
        <w:pStyle w:val="TableFoo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28" w:type="dxa"/>
          <w:bottom w:w="15" w:type="dxa"/>
          <w:right w:w="28" w:type="dxa"/>
        </w:tblCellMar>
        <w:tblLook w:val="04A0" w:firstRow="1" w:lastRow="0" w:firstColumn="1" w:lastColumn="0" w:noHBand="0" w:noVBand="1"/>
      </w:tblPr>
      <w:tblGrid>
        <w:gridCol w:w="9017"/>
      </w:tblGrid>
      <w:tr w:rsidR="00480A94" w:rsidRPr="00D77C6B" w14:paraId="43D3F9A5" w14:textId="77777777" w:rsidTr="00D77C6B">
        <w:trPr>
          <w:trHeight w:val="20"/>
        </w:trPr>
        <w:tc>
          <w:tcPr>
            <w:tcW w:w="5000" w:type="pct"/>
            <w:shd w:val="clear" w:color="auto" w:fill="auto"/>
          </w:tcPr>
          <w:p w14:paraId="02098F88" w14:textId="77777777" w:rsidR="00480A94" w:rsidRPr="00D77C6B" w:rsidRDefault="00480A94" w:rsidP="00D77C6B">
            <w:pPr>
              <w:pStyle w:val="TableText0"/>
              <w:keepNext w:val="0"/>
              <w:widowControl w:val="0"/>
            </w:pPr>
            <w:r w:rsidRPr="00D77C6B">
              <w:rPr>
                <w:b/>
              </w:rPr>
              <w:t xml:space="preserve">Category / Program: </w:t>
            </w:r>
            <w:r w:rsidRPr="00D77C6B">
              <w:t>Section 100 – Highly Specialised Drugs Program (Public hospital code only)</w:t>
            </w:r>
          </w:p>
        </w:tc>
      </w:tr>
      <w:tr w:rsidR="00480A94" w:rsidRPr="00D77C6B" w14:paraId="147C1719" w14:textId="77777777" w:rsidTr="00D77C6B">
        <w:trPr>
          <w:trHeight w:val="20"/>
        </w:trPr>
        <w:tc>
          <w:tcPr>
            <w:tcW w:w="5000" w:type="pct"/>
            <w:shd w:val="clear" w:color="auto" w:fill="auto"/>
          </w:tcPr>
          <w:p w14:paraId="361D1359" w14:textId="77777777" w:rsidR="00480A94" w:rsidRPr="00D77C6B" w:rsidRDefault="00480A94" w:rsidP="00D77C6B">
            <w:pPr>
              <w:pStyle w:val="TableText0"/>
              <w:keepNext w:val="0"/>
              <w:widowControl w:val="0"/>
              <w:rPr>
                <w:b/>
              </w:rPr>
            </w:pPr>
            <w:r w:rsidRPr="00D77C6B">
              <w:rPr>
                <w:b/>
              </w:rPr>
              <w:t xml:space="preserve">Prescriber type: </w:t>
            </w:r>
            <w:r w:rsidRPr="00D77C6B">
              <w:fldChar w:fldCharType="begin">
                <w:ffData>
                  <w:name w:val=""/>
                  <w:enabled/>
                  <w:calcOnExit w:val="0"/>
                  <w:checkBox>
                    <w:sizeAuto/>
                    <w:default w:val="1"/>
                  </w:checkBox>
                </w:ffData>
              </w:fldChar>
            </w:r>
            <w:r w:rsidRPr="00D77C6B">
              <w:instrText xml:space="preserve"> FORMCHECKBOX </w:instrText>
            </w:r>
            <w:r w:rsidR="008E4E26">
              <w:fldChar w:fldCharType="separate"/>
            </w:r>
            <w:r w:rsidRPr="00D77C6B">
              <w:fldChar w:fldCharType="end"/>
            </w:r>
            <w:r w:rsidRPr="00D77C6B">
              <w:t>Medical Practitioners</w:t>
            </w:r>
          </w:p>
        </w:tc>
      </w:tr>
      <w:tr w:rsidR="00480A94" w:rsidRPr="00D77C6B" w14:paraId="3FEBD088" w14:textId="77777777" w:rsidTr="00D77C6B">
        <w:trPr>
          <w:trHeight w:val="20"/>
        </w:trPr>
        <w:tc>
          <w:tcPr>
            <w:tcW w:w="5000" w:type="pct"/>
            <w:shd w:val="clear" w:color="auto" w:fill="auto"/>
          </w:tcPr>
          <w:p w14:paraId="778EE4C8" w14:textId="77777777" w:rsidR="00480A94" w:rsidRPr="00D77C6B" w:rsidRDefault="00480A94" w:rsidP="00D77C6B">
            <w:pPr>
              <w:pStyle w:val="TableText0"/>
              <w:keepNext w:val="0"/>
              <w:widowControl w:val="0"/>
              <w:rPr>
                <w:rFonts w:eastAsia="Times New Roman"/>
              </w:rPr>
            </w:pPr>
            <w:r w:rsidRPr="00D77C6B">
              <w:rPr>
                <w:b/>
              </w:rPr>
              <w:t xml:space="preserve">Restriction type: </w:t>
            </w:r>
            <w:r w:rsidRPr="00D77C6B">
              <w:rPr>
                <w:rFonts w:eastAsia="Times New Roman"/>
              </w:rPr>
              <w:fldChar w:fldCharType="begin">
                <w:ffData>
                  <w:name w:val=""/>
                  <w:enabled/>
                  <w:calcOnExit w:val="0"/>
                  <w:checkBox>
                    <w:sizeAuto/>
                    <w:default w:val="1"/>
                  </w:checkBox>
                </w:ffData>
              </w:fldChar>
            </w:r>
            <w:r w:rsidRPr="00D77C6B">
              <w:rPr>
                <w:rFonts w:eastAsia="Times New Roman"/>
              </w:rPr>
              <w:instrText xml:space="preserve"> FORMCHECKBOX </w:instrText>
            </w:r>
            <w:r w:rsidR="008E4E26">
              <w:rPr>
                <w:rFonts w:eastAsia="Times New Roman"/>
              </w:rPr>
            </w:r>
            <w:r w:rsidR="008E4E26">
              <w:rPr>
                <w:rFonts w:eastAsia="Times New Roman"/>
              </w:rPr>
              <w:fldChar w:fldCharType="separate"/>
            </w:r>
            <w:r w:rsidRPr="00D77C6B">
              <w:rPr>
                <w:rFonts w:eastAsia="Times New Roman"/>
              </w:rPr>
              <w:fldChar w:fldCharType="end"/>
            </w:r>
            <w:r w:rsidRPr="00D77C6B">
              <w:rPr>
                <w:rFonts w:eastAsia="Times New Roman"/>
              </w:rPr>
              <w:t>Authority Required (in writing only via post/HPOS upload)</w:t>
            </w:r>
          </w:p>
        </w:tc>
      </w:tr>
      <w:tr w:rsidR="00D77C6B" w:rsidRPr="00D77C6B" w14:paraId="568B5A7D" w14:textId="77777777" w:rsidTr="00D77C6B">
        <w:trPr>
          <w:trHeight w:val="20"/>
        </w:trPr>
        <w:tc>
          <w:tcPr>
            <w:tcW w:w="5000" w:type="pct"/>
            <w:shd w:val="clear" w:color="auto" w:fill="auto"/>
            <w:vAlign w:val="center"/>
          </w:tcPr>
          <w:p w14:paraId="2EAA19EB" w14:textId="77777777" w:rsidR="00D77C6B" w:rsidRPr="00D77C6B" w:rsidRDefault="00D77C6B" w:rsidP="00D77C6B">
            <w:pPr>
              <w:pStyle w:val="TableText0"/>
              <w:keepNext w:val="0"/>
              <w:widowControl w:val="0"/>
              <w:rPr>
                <w:rFonts w:eastAsia="Times New Roman"/>
              </w:rPr>
            </w:pPr>
            <w:r w:rsidRPr="00D77C6B">
              <w:rPr>
                <w:b/>
              </w:rPr>
              <w:t xml:space="preserve">Administrative Advice: </w:t>
            </w:r>
            <w:r w:rsidRPr="00D77C6B">
              <w:rPr>
                <w:rFonts w:eastAsia="Times New Roman"/>
              </w:rPr>
              <w:t>No increase in the maximum quantity or number of units may be authorised.</w:t>
            </w:r>
          </w:p>
          <w:p w14:paraId="3DD52DA6" w14:textId="4857F90F" w:rsidR="00D77C6B" w:rsidRPr="00D77C6B" w:rsidRDefault="00D77C6B" w:rsidP="00D77C6B">
            <w:pPr>
              <w:pStyle w:val="TableText0"/>
              <w:keepNext w:val="0"/>
              <w:widowControl w:val="0"/>
              <w:rPr>
                <w:rFonts w:eastAsia="Times New Roman"/>
              </w:rPr>
            </w:pPr>
            <w:r w:rsidRPr="00D77C6B">
              <w:rPr>
                <w:rFonts w:eastAsia="Times New Roman"/>
              </w:rPr>
              <w:t>No increase in the maximum number of repeats may be authorised.</w:t>
            </w:r>
          </w:p>
          <w:p w14:paraId="4F77F695" w14:textId="4C0AB366" w:rsidR="00D77C6B" w:rsidRPr="00D77C6B" w:rsidRDefault="00D77C6B" w:rsidP="00D77C6B">
            <w:pPr>
              <w:pStyle w:val="TableText0"/>
              <w:keepNext w:val="0"/>
              <w:widowControl w:val="0"/>
              <w:rPr>
                <w:rFonts w:eastAsia="Times New Roman"/>
              </w:rPr>
            </w:pPr>
            <w:r w:rsidRPr="00D77C6B">
              <w:rPr>
                <w:rFonts w:eastAsia="Times New Roman"/>
              </w:rPr>
              <w:t>Special Pricing Arrangements apply.</w:t>
            </w:r>
          </w:p>
          <w:p w14:paraId="650F978D" w14:textId="77777777" w:rsidR="00D77C6B" w:rsidRPr="00D77C6B" w:rsidRDefault="00D77C6B" w:rsidP="00D77C6B">
            <w:pPr>
              <w:pStyle w:val="TableText0"/>
              <w:keepNext w:val="0"/>
              <w:widowControl w:val="0"/>
              <w:rPr>
                <w:rFonts w:eastAsia="Times New Roman"/>
              </w:rPr>
            </w:pPr>
            <w:r w:rsidRPr="00D77C6B">
              <w:rPr>
                <w:rFonts w:eastAsia="Times New Roman"/>
              </w:rPr>
              <w:t>Any queries concerning the arrangements to prescribe may be directed to Services Australia on 1800 700 270 (hours of operation 8 a.m. to 5 p.m. Monday to Friday).</w:t>
            </w:r>
          </w:p>
          <w:p w14:paraId="2235E20D" w14:textId="77777777" w:rsidR="00D77C6B" w:rsidRPr="00D77C6B" w:rsidRDefault="00D77C6B" w:rsidP="00D77C6B">
            <w:pPr>
              <w:pStyle w:val="TableText0"/>
              <w:keepNext w:val="0"/>
              <w:widowControl w:val="0"/>
              <w:rPr>
                <w:rFonts w:eastAsia="Times New Roman"/>
              </w:rPr>
            </w:pPr>
            <w:r w:rsidRPr="00D77C6B">
              <w:rPr>
                <w:rFonts w:eastAsia="Times New Roman"/>
              </w:rPr>
              <w:t>Prescribing information (including Authority Application forms and other relevant documentation as applicable) is available on the Services Australia website at www.servicesaustralia.gov.au</w:t>
            </w:r>
          </w:p>
          <w:p w14:paraId="082DE0CC" w14:textId="77777777" w:rsidR="00D77C6B" w:rsidRPr="00D77C6B" w:rsidRDefault="00D77C6B" w:rsidP="00D77C6B">
            <w:pPr>
              <w:pStyle w:val="TableText0"/>
              <w:keepNext w:val="0"/>
              <w:widowControl w:val="0"/>
              <w:rPr>
                <w:rFonts w:eastAsia="Times New Roman"/>
              </w:rPr>
            </w:pPr>
            <w:r w:rsidRPr="00D77C6B">
              <w:rPr>
                <w:rFonts w:eastAsia="Times New Roman"/>
              </w:rPr>
              <w:t>Applications for authority to prescribe should be submitted online using the form upload facility in Health Professional Online Services (HPOS) at www.servicesaustralia.gov.au/hpos</w:t>
            </w:r>
          </w:p>
          <w:p w14:paraId="63159DF1" w14:textId="77777777" w:rsidR="00D77C6B" w:rsidRPr="00D77C6B" w:rsidRDefault="00D77C6B" w:rsidP="00D77C6B">
            <w:pPr>
              <w:pStyle w:val="TableText0"/>
              <w:keepNext w:val="0"/>
              <w:widowControl w:val="0"/>
              <w:rPr>
                <w:rFonts w:eastAsia="Times New Roman"/>
              </w:rPr>
            </w:pPr>
            <w:r w:rsidRPr="00D77C6B">
              <w:rPr>
                <w:rFonts w:eastAsia="Times New Roman"/>
              </w:rPr>
              <w:t>Or mailed to:</w:t>
            </w:r>
          </w:p>
          <w:p w14:paraId="4F590A5B" w14:textId="77777777" w:rsidR="00D77C6B" w:rsidRPr="00D77C6B" w:rsidRDefault="00D77C6B" w:rsidP="00D77C6B">
            <w:pPr>
              <w:pStyle w:val="TableText0"/>
              <w:keepNext w:val="0"/>
              <w:widowControl w:val="0"/>
              <w:rPr>
                <w:rFonts w:eastAsia="Times New Roman"/>
              </w:rPr>
            </w:pPr>
            <w:r w:rsidRPr="00D77C6B">
              <w:rPr>
                <w:rFonts w:eastAsia="Times New Roman"/>
              </w:rPr>
              <w:t>Services Australia</w:t>
            </w:r>
          </w:p>
          <w:p w14:paraId="25EF1CCD" w14:textId="77777777" w:rsidR="00D77C6B" w:rsidRPr="00D77C6B" w:rsidRDefault="00D77C6B" w:rsidP="00D77C6B">
            <w:pPr>
              <w:pStyle w:val="TableText0"/>
              <w:keepNext w:val="0"/>
              <w:widowControl w:val="0"/>
              <w:rPr>
                <w:rFonts w:eastAsia="Times New Roman"/>
              </w:rPr>
            </w:pPr>
            <w:r w:rsidRPr="00D77C6B">
              <w:rPr>
                <w:rFonts w:eastAsia="Times New Roman"/>
              </w:rPr>
              <w:t>Complex Drugs</w:t>
            </w:r>
          </w:p>
          <w:p w14:paraId="6130B2D9" w14:textId="77777777" w:rsidR="00D77C6B" w:rsidRPr="00D77C6B" w:rsidRDefault="00D77C6B" w:rsidP="00D77C6B">
            <w:pPr>
              <w:pStyle w:val="TableText0"/>
              <w:keepNext w:val="0"/>
              <w:widowControl w:val="0"/>
              <w:rPr>
                <w:rFonts w:eastAsia="Times New Roman"/>
              </w:rPr>
            </w:pPr>
            <w:r w:rsidRPr="00D77C6B">
              <w:rPr>
                <w:rFonts w:eastAsia="Times New Roman"/>
              </w:rPr>
              <w:t>Reply Paid 9826</w:t>
            </w:r>
          </w:p>
          <w:p w14:paraId="244A0886" w14:textId="77777777" w:rsidR="00D77C6B" w:rsidRPr="00D77C6B" w:rsidRDefault="00D77C6B" w:rsidP="00D77C6B">
            <w:pPr>
              <w:pStyle w:val="TableText0"/>
              <w:keepNext w:val="0"/>
              <w:widowControl w:val="0"/>
              <w:rPr>
                <w:rFonts w:eastAsia="Times New Roman"/>
              </w:rPr>
            </w:pPr>
            <w:r w:rsidRPr="00D77C6B">
              <w:rPr>
                <w:rFonts w:eastAsia="Times New Roman"/>
              </w:rPr>
              <w:t>HOBART TAS 7001</w:t>
            </w:r>
          </w:p>
          <w:p w14:paraId="680E096C" w14:textId="77777777" w:rsidR="00D77C6B" w:rsidRPr="00D77C6B" w:rsidRDefault="00D77C6B" w:rsidP="00D77C6B">
            <w:pPr>
              <w:pStyle w:val="TableText0"/>
              <w:keepNext w:val="0"/>
              <w:widowControl w:val="0"/>
              <w:rPr>
                <w:rFonts w:eastAsia="Times New Roman"/>
              </w:rPr>
            </w:pPr>
            <w:r w:rsidRPr="00D77C6B">
              <w:rPr>
                <w:rFonts w:eastAsia="Times New Roman"/>
              </w:rPr>
              <w:t>Other disease modifying therapies for this condition are: (i) nusinersen, (ii) risdiplam.</w:t>
            </w:r>
          </w:p>
          <w:p w14:paraId="39221272" w14:textId="77777777" w:rsidR="00D77C6B" w:rsidRPr="00D77C6B" w:rsidRDefault="00D77C6B" w:rsidP="00D77C6B">
            <w:pPr>
              <w:pStyle w:val="TableText0"/>
              <w:keepNext w:val="0"/>
              <w:widowControl w:val="0"/>
              <w:rPr>
                <w:rFonts w:eastAsia="Times New Roman"/>
              </w:rPr>
            </w:pPr>
            <w:r w:rsidRPr="00D77C6B">
              <w:rPr>
                <w:rFonts w:eastAsia="Times New Roman"/>
              </w:rPr>
              <w:t>Recognised hospitals in the management of SMA are Queensland Children's Hospital (Brisbane), Royal Children's Hospital Melbourne, Monash Children's Hospital (Melbourne), John Hunter Hospital (Newcastle), Sydney Children's Hospital Randwick, Children's Hospital at Westmead, Adelaide Women and Children's Hospital and Perth Children's Hospital.</w:t>
            </w:r>
          </w:p>
          <w:p w14:paraId="0541F292" w14:textId="77777777" w:rsidR="00D77C6B" w:rsidRPr="00D77C6B" w:rsidRDefault="00D77C6B" w:rsidP="00D77C6B">
            <w:pPr>
              <w:pStyle w:val="TableText0"/>
              <w:keepNext w:val="0"/>
              <w:widowControl w:val="0"/>
              <w:rPr>
                <w:rFonts w:eastAsia="Times New Roman"/>
              </w:rPr>
            </w:pPr>
            <w:r w:rsidRPr="00D77C6B">
              <w:rPr>
                <w:rFonts w:eastAsia="Times New Roman"/>
              </w:rPr>
              <w:t>Accredited treatment centres and suppliers are those organisations accredited by the Gene Technology Regulator under section 92 of the Gene Technology Act 2000.</w:t>
            </w:r>
          </w:p>
          <w:p w14:paraId="4E038269" w14:textId="77777777" w:rsidR="00D77C6B" w:rsidRPr="00D77C6B" w:rsidRDefault="00D77C6B" w:rsidP="00D77C6B">
            <w:pPr>
              <w:pStyle w:val="TableText0"/>
              <w:keepNext w:val="0"/>
              <w:widowControl w:val="0"/>
              <w:rPr>
                <w:rFonts w:eastAsia="Times New Roman"/>
              </w:rPr>
            </w:pPr>
            <w:r w:rsidRPr="00D77C6B">
              <w:rPr>
                <w:rFonts w:eastAsia="Times New Roman"/>
              </w:rPr>
              <w:t>The following website provides a list of accredited organisations and may update without notice:</w:t>
            </w:r>
          </w:p>
          <w:p w14:paraId="0BBC6C17" w14:textId="1618788C" w:rsidR="00D77C6B" w:rsidRPr="00D77C6B" w:rsidRDefault="00D77C6B" w:rsidP="00D77C6B">
            <w:pPr>
              <w:pStyle w:val="TableText0"/>
              <w:keepNext w:val="0"/>
              <w:widowControl w:val="0"/>
              <w:rPr>
                <w:rFonts w:cs="Open Sans"/>
                <w:color w:val="222222"/>
                <w:szCs w:val="20"/>
              </w:rPr>
            </w:pPr>
            <w:r w:rsidRPr="00D77C6B">
              <w:rPr>
                <w:rFonts w:eastAsia="Times New Roman"/>
              </w:rPr>
              <w:t>https://www.ogtr.gov.au/what-weve-approved/accredited-organisations</w:t>
            </w:r>
          </w:p>
        </w:tc>
      </w:tr>
      <w:tr w:rsidR="00480A94" w:rsidRPr="00D77C6B" w14:paraId="1D8C4B64" w14:textId="77777777" w:rsidTr="00D77C6B">
        <w:trPr>
          <w:trHeight w:val="20"/>
        </w:trPr>
        <w:tc>
          <w:tcPr>
            <w:tcW w:w="5000" w:type="pct"/>
            <w:shd w:val="clear" w:color="auto" w:fill="auto"/>
            <w:vAlign w:val="center"/>
            <w:hideMark/>
          </w:tcPr>
          <w:p w14:paraId="18C375D6" w14:textId="77777777" w:rsidR="00480A94" w:rsidRPr="00D77C6B" w:rsidRDefault="00480A94" w:rsidP="00D77C6B">
            <w:pPr>
              <w:pStyle w:val="TableText0"/>
              <w:keepNext w:val="0"/>
              <w:widowControl w:val="0"/>
            </w:pPr>
            <w:r w:rsidRPr="00D77C6B">
              <w:rPr>
                <w:b/>
              </w:rPr>
              <w:t>Indication:</w:t>
            </w:r>
            <w:r w:rsidRPr="00D77C6B">
              <w:t xml:space="preserve"> Spinal muscular atrophy (SMA)</w:t>
            </w:r>
          </w:p>
        </w:tc>
      </w:tr>
      <w:tr w:rsidR="00480A94" w:rsidRPr="00D77C6B" w14:paraId="4D91914C" w14:textId="77777777" w:rsidTr="00D77C6B">
        <w:trPr>
          <w:trHeight w:val="20"/>
        </w:trPr>
        <w:tc>
          <w:tcPr>
            <w:tcW w:w="5000" w:type="pct"/>
            <w:shd w:val="clear" w:color="auto" w:fill="auto"/>
            <w:vAlign w:val="center"/>
            <w:hideMark/>
          </w:tcPr>
          <w:p w14:paraId="2A34FB18" w14:textId="77777777" w:rsidR="00480A94" w:rsidRPr="00D77C6B" w:rsidRDefault="00480A94" w:rsidP="00D77C6B">
            <w:pPr>
              <w:pStyle w:val="TableText0"/>
              <w:keepNext w:val="0"/>
              <w:widowControl w:val="0"/>
            </w:pPr>
            <w:r w:rsidRPr="00D77C6B">
              <w:rPr>
                <w:b/>
              </w:rPr>
              <w:t>Treatment Phase:</w:t>
            </w:r>
            <w:r w:rsidRPr="00D77C6B">
              <w:t xml:space="preserve"> Use in a patient untreated with disease modifying therapies for this condition</w:t>
            </w:r>
          </w:p>
        </w:tc>
      </w:tr>
      <w:tr w:rsidR="00480A94" w:rsidRPr="00D77C6B" w14:paraId="1C7436E1" w14:textId="77777777" w:rsidTr="00D77C6B">
        <w:trPr>
          <w:trHeight w:val="20"/>
        </w:trPr>
        <w:tc>
          <w:tcPr>
            <w:tcW w:w="5000" w:type="pct"/>
            <w:shd w:val="clear" w:color="auto" w:fill="auto"/>
            <w:vAlign w:val="center"/>
            <w:hideMark/>
          </w:tcPr>
          <w:p w14:paraId="647FF8AF" w14:textId="77777777" w:rsidR="00480A94" w:rsidRPr="00D77C6B" w:rsidRDefault="00480A94" w:rsidP="00D77C6B">
            <w:pPr>
              <w:pStyle w:val="TableText0"/>
              <w:keepNext w:val="0"/>
              <w:widowControl w:val="0"/>
            </w:pPr>
            <w:r w:rsidRPr="00D77C6B">
              <w:rPr>
                <w:b/>
              </w:rPr>
              <w:t>Clinical criteria:</w:t>
            </w:r>
          </w:p>
        </w:tc>
      </w:tr>
      <w:tr w:rsidR="00480A94" w:rsidRPr="00D77C6B" w14:paraId="4F432E5F" w14:textId="77777777" w:rsidTr="00D77C6B">
        <w:trPr>
          <w:trHeight w:val="20"/>
        </w:trPr>
        <w:tc>
          <w:tcPr>
            <w:tcW w:w="5000" w:type="pct"/>
            <w:shd w:val="clear" w:color="auto" w:fill="auto"/>
            <w:vAlign w:val="center"/>
            <w:hideMark/>
          </w:tcPr>
          <w:p w14:paraId="316A1F65" w14:textId="77777777" w:rsidR="00480A94" w:rsidRPr="00D77C6B" w:rsidRDefault="00480A94" w:rsidP="00D77C6B">
            <w:pPr>
              <w:pStyle w:val="TableText0"/>
              <w:keepNext w:val="0"/>
              <w:widowControl w:val="0"/>
            </w:pPr>
            <w:r w:rsidRPr="00D77C6B">
              <w:t>The condition must have genetic confirmation of 5q homozygous deletion of the survival motor neuron 1 (</w:t>
            </w:r>
            <w:r w:rsidRPr="00D77C6B">
              <w:rPr>
                <w:i/>
                <w:iCs/>
              </w:rPr>
              <w:t>SMN1</w:t>
            </w:r>
            <w:r w:rsidRPr="00D77C6B">
              <w:t>) gene; or</w:t>
            </w:r>
          </w:p>
        </w:tc>
      </w:tr>
      <w:tr w:rsidR="00480A94" w:rsidRPr="00D77C6B" w14:paraId="21041DB2" w14:textId="77777777" w:rsidTr="00D77C6B">
        <w:trPr>
          <w:trHeight w:val="20"/>
        </w:trPr>
        <w:tc>
          <w:tcPr>
            <w:tcW w:w="5000" w:type="pct"/>
            <w:shd w:val="clear" w:color="auto" w:fill="auto"/>
            <w:vAlign w:val="center"/>
          </w:tcPr>
          <w:p w14:paraId="5F56D3B1" w14:textId="77777777" w:rsidR="00480A94" w:rsidRPr="00D77C6B" w:rsidRDefault="00480A94" w:rsidP="00D77C6B">
            <w:pPr>
              <w:pStyle w:val="TableText0"/>
              <w:keepNext w:val="0"/>
              <w:widowControl w:val="0"/>
              <w:rPr>
                <w:color w:val="0066FF"/>
              </w:rPr>
            </w:pPr>
            <w:r w:rsidRPr="00D77C6B">
              <w:t xml:space="preserve">The condition must have genetic confirmation of deletion of one copy of the SMN1 gene in addition to a pathogenic/likely pathogenic variant in the remaining single copy of the </w:t>
            </w:r>
            <w:r w:rsidRPr="00D77C6B">
              <w:rPr>
                <w:i/>
                <w:iCs/>
              </w:rPr>
              <w:t xml:space="preserve">SMN1 </w:t>
            </w:r>
            <w:r w:rsidRPr="00D77C6B">
              <w:t>gene.</w:t>
            </w:r>
          </w:p>
        </w:tc>
      </w:tr>
      <w:tr w:rsidR="00480A94" w:rsidRPr="00D77C6B" w14:paraId="6BEA3D3A" w14:textId="77777777" w:rsidTr="00D77C6B">
        <w:trPr>
          <w:trHeight w:val="20"/>
        </w:trPr>
        <w:tc>
          <w:tcPr>
            <w:tcW w:w="5000" w:type="pct"/>
            <w:shd w:val="clear" w:color="auto" w:fill="auto"/>
            <w:vAlign w:val="center"/>
            <w:hideMark/>
          </w:tcPr>
          <w:p w14:paraId="35F3FAD3" w14:textId="77777777" w:rsidR="00480A94" w:rsidRPr="00D77C6B" w:rsidRDefault="00480A94" w:rsidP="00D77C6B">
            <w:pPr>
              <w:pStyle w:val="TableText0"/>
              <w:keepNext w:val="0"/>
              <w:widowControl w:val="0"/>
            </w:pPr>
            <w:r w:rsidRPr="00D77C6B">
              <w:rPr>
                <w:b/>
              </w:rPr>
              <w:t>AND</w:t>
            </w:r>
          </w:p>
        </w:tc>
      </w:tr>
      <w:tr w:rsidR="00480A94" w:rsidRPr="00D77C6B" w14:paraId="551AD93B" w14:textId="77777777" w:rsidTr="00D77C6B">
        <w:trPr>
          <w:trHeight w:val="20"/>
        </w:trPr>
        <w:tc>
          <w:tcPr>
            <w:tcW w:w="5000" w:type="pct"/>
            <w:shd w:val="clear" w:color="auto" w:fill="auto"/>
            <w:vAlign w:val="center"/>
            <w:hideMark/>
          </w:tcPr>
          <w:p w14:paraId="143BCC57" w14:textId="77777777" w:rsidR="00480A94" w:rsidRPr="00D77C6B" w:rsidRDefault="00480A94" w:rsidP="00D77C6B">
            <w:pPr>
              <w:pStyle w:val="TableText0"/>
              <w:keepNext w:val="0"/>
              <w:widowControl w:val="0"/>
            </w:pPr>
            <w:r w:rsidRPr="00D77C6B">
              <w:rPr>
                <w:b/>
              </w:rPr>
              <w:t>Clinical criteria:</w:t>
            </w:r>
          </w:p>
        </w:tc>
      </w:tr>
      <w:tr w:rsidR="00480A94" w:rsidRPr="00D77C6B" w14:paraId="36655325" w14:textId="77777777" w:rsidTr="00D77C6B">
        <w:trPr>
          <w:trHeight w:val="20"/>
        </w:trPr>
        <w:tc>
          <w:tcPr>
            <w:tcW w:w="5000" w:type="pct"/>
            <w:shd w:val="clear" w:color="auto" w:fill="auto"/>
            <w:vAlign w:val="center"/>
          </w:tcPr>
          <w:p w14:paraId="020C8C0C" w14:textId="77777777" w:rsidR="00480A94" w:rsidRPr="00D77C6B" w:rsidRDefault="00480A94" w:rsidP="00D77C6B">
            <w:pPr>
              <w:pStyle w:val="TableText0"/>
              <w:keepNext w:val="0"/>
              <w:widowControl w:val="0"/>
            </w:pPr>
            <w:r w:rsidRPr="00D77C6B">
              <w:t>Patient must have experienced at least two of the defined signs/symptoms of Type 1 SMA specified below; or</w:t>
            </w:r>
          </w:p>
        </w:tc>
      </w:tr>
      <w:tr w:rsidR="00480A94" w:rsidRPr="00D77C6B" w14:paraId="1AF8C196" w14:textId="77777777" w:rsidTr="00D77C6B">
        <w:trPr>
          <w:trHeight w:val="20"/>
        </w:trPr>
        <w:tc>
          <w:tcPr>
            <w:tcW w:w="5000" w:type="pct"/>
            <w:shd w:val="clear" w:color="auto" w:fill="auto"/>
            <w:vAlign w:val="center"/>
          </w:tcPr>
          <w:p w14:paraId="6833816B" w14:textId="77777777" w:rsidR="00480A94" w:rsidRPr="00D77C6B" w:rsidRDefault="00480A94" w:rsidP="00D77C6B">
            <w:pPr>
              <w:pStyle w:val="TableText0"/>
              <w:keepNext w:val="0"/>
              <w:widowControl w:val="0"/>
            </w:pPr>
            <w:r w:rsidRPr="00D77C6B">
              <w:t>The condition must be presymptomatic SMA, with genetic confirmation that there are 1 to</w:t>
            </w:r>
            <w:r w:rsidRPr="00D77C6B">
              <w:rPr>
                <w:i/>
              </w:rPr>
              <w:t xml:space="preserve"> </w:t>
            </w:r>
            <w:r w:rsidRPr="00D77C6B">
              <w:t>3 copies of the survival motor neuron 2 (</w:t>
            </w:r>
            <w:r w:rsidRPr="00D77C6B">
              <w:rPr>
                <w:i/>
                <w:iCs/>
              </w:rPr>
              <w:t>SMN2</w:t>
            </w:r>
            <w:r w:rsidRPr="00D77C6B">
              <w:t>) gene</w:t>
            </w:r>
          </w:p>
        </w:tc>
      </w:tr>
      <w:tr w:rsidR="00480A94" w:rsidRPr="00D77C6B" w14:paraId="0456C80B" w14:textId="77777777" w:rsidTr="00D77C6B">
        <w:trPr>
          <w:trHeight w:val="20"/>
        </w:trPr>
        <w:tc>
          <w:tcPr>
            <w:tcW w:w="5000" w:type="pct"/>
            <w:shd w:val="clear" w:color="auto" w:fill="auto"/>
            <w:vAlign w:val="center"/>
            <w:hideMark/>
          </w:tcPr>
          <w:p w14:paraId="5427578E" w14:textId="77777777" w:rsidR="00480A94" w:rsidRPr="00D77C6B" w:rsidRDefault="00480A94" w:rsidP="00D77C6B">
            <w:pPr>
              <w:pStyle w:val="TableText0"/>
              <w:keepNext w:val="0"/>
              <w:widowControl w:val="0"/>
            </w:pPr>
            <w:r w:rsidRPr="00D77C6B">
              <w:rPr>
                <w:b/>
              </w:rPr>
              <w:t>Treatment criteria:</w:t>
            </w:r>
          </w:p>
        </w:tc>
      </w:tr>
      <w:tr w:rsidR="00480A94" w:rsidRPr="00D77C6B" w14:paraId="42001482" w14:textId="77777777" w:rsidTr="00D77C6B">
        <w:trPr>
          <w:trHeight w:val="20"/>
        </w:trPr>
        <w:tc>
          <w:tcPr>
            <w:tcW w:w="5000" w:type="pct"/>
            <w:shd w:val="clear" w:color="auto" w:fill="auto"/>
            <w:vAlign w:val="center"/>
          </w:tcPr>
          <w:p w14:paraId="1044FF3A" w14:textId="77777777" w:rsidR="00480A94" w:rsidRPr="00D77C6B" w:rsidRDefault="00480A94" w:rsidP="00D77C6B">
            <w:pPr>
              <w:pStyle w:val="TableText0"/>
              <w:keepNext w:val="0"/>
              <w:widowControl w:val="0"/>
              <w:rPr>
                <w:iCs/>
              </w:rPr>
            </w:pPr>
            <w:r w:rsidRPr="00D77C6B">
              <w:rPr>
                <w:iCs/>
              </w:rPr>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 of a recognised hospital in the management of SMA.</w:t>
            </w:r>
          </w:p>
        </w:tc>
      </w:tr>
      <w:tr w:rsidR="00480A94" w:rsidRPr="00D77C6B" w14:paraId="107664E2" w14:textId="77777777" w:rsidTr="00D77C6B">
        <w:trPr>
          <w:trHeight w:val="20"/>
        </w:trPr>
        <w:tc>
          <w:tcPr>
            <w:tcW w:w="5000" w:type="pct"/>
            <w:shd w:val="clear" w:color="auto" w:fill="auto"/>
            <w:vAlign w:val="center"/>
          </w:tcPr>
          <w:p w14:paraId="181FA129" w14:textId="77777777" w:rsidR="00480A94" w:rsidRPr="00D77C6B" w:rsidRDefault="00480A94" w:rsidP="00D77C6B">
            <w:pPr>
              <w:pStyle w:val="TableText0"/>
              <w:keepNext w:val="0"/>
              <w:widowControl w:val="0"/>
              <w:rPr>
                <w:b/>
                <w:iCs/>
              </w:rPr>
            </w:pPr>
            <w:r w:rsidRPr="00D77C6B">
              <w:rPr>
                <w:b/>
                <w:iCs/>
              </w:rPr>
              <w:t>AND</w:t>
            </w:r>
          </w:p>
        </w:tc>
      </w:tr>
      <w:tr w:rsidR="00480A94" w:rsidRPr="00D77C6B" w14:paraId="579556D4" w14:textId="77777777" w:rsidTr="00D77C6B">
        <w:trPr>
          <w:trHeight w:val="20"/>
        </w:trPr>
        <w:tc>
          <w:tcPr>
            <w:tcW w:w="5000" w:type="pct"/>
            <w:shd w:val="clear" w:color="auto" w:fill="auto"/>
            <w:vAlign w:val="center"/>
          </w:tcPr>
          <w:p w14:paraId="2908F46A" w14:textId="77777777" w:rsidR="00480A94" w:rsidRPr="00D77C6B" w:rsidRDefault="00480A94" w:rsidP="00D77C6B">
            <w:pPr>
              <w:pStyle w:val="TableText0"/>
              <w:keepNext w:val="0"/>
              <w:widowControl w:val="0"/>
              <w:rPr>
                <w:b/>
                <w:iCs/>
              </w:rPr>
            </w:pPr>
            <w:r w:rsidRPr="00D77C6B">
              <w:rPr>
                <w:b/>
                <w:iCs/>
              </w:rPr>
              <w:t>Treatment criteria</w:t>
            </w:r>
          </w:p>
        </w:tc>
      </w:tr>
      <w:tr w:rsidR="00480A94" w:rsidRPr="00D77C6B" w14:paraId="4CB75FA3" w14:textId="77777777" w:rsidTr="00D77C6B">
        <w:trPr>
          <w:trHeight w:val="20"/>
        </w:trPr>
        <w:tc>
          <w:tcPr>
            <w:tcW w:w="5000" w:type="pct"/>
            <w:shd w:val="clear" w:color="auto" w:fill="auto"/>
            <w:vAlign w:val="center"/>
          </w:tcPr>
          <w:p w14:paraId="1730F86E" w14:textId="77777777" w:rsidR="00480A94" w:rsidRPr="00D77C6B" w:rsidRDefault="00480A94" w:rsidP="00D77C6B">
            <w:pPr>
              <w:pStyle w:val="TableText0"/>
              <w:keepNext w:val="0"/>
              <w:widowControl w:val="0"/>
              <w:rPr>
                <w:iCs/>
              </w:rPr>
            </w:pPr>
            <w:r w:rsidRPr="00D77C6B">
              <w:rPr>
                <w:iCs/>
              </w:rPr>
              <w:t>Patient must be undergoing treatment with this pharmaceutical benefit once only in a lifetime</w:t>
            </w:r>
          </w:p>
        </w:tc>
      </w:tr>
      <w:tr w:rsidR="00480A94" w:rsidRPr="00D77C6B" w14:paraId="00E0EE80" w14:textId="77777777" w:rsidTr="00D77C6B">
        <w:trPr>
          <w:trHeight w:val="20"/>
        </w:trPr>
        <w:tc>
          <w:tcPr>
            <w:tcW w:w="5000" w:type="pct"/>
            <w:shd w:val="clear" w:color="auto" w:fill="auto"/>
            <w:vAlign w:val="center"/>
          </w:tcPr>
          <w:p w14:paraId="31DCDB97" w14:textId="77777777" w:rsidR="00480A94" w:rsidRPr="00D77C6B" w:rsidRDefault="00480A94" w:rsidP="00D77C6B">
            <w:pPr>
              <w:pStyle w:val="TableText0"/>
              <w:keepNext w:val="0"/>
              <w:widowControl w:val="0"/>
              <w:rPr>
                <w:iCs/>
              </w:rPr>
            </w:pPr>
            <w:r w:rsidRPr="00D77C6B">
              <w:rPr>
                <w:b/>
                <w:iCs/>
              </w:rPr>
              <w:t>AND</w:t>
            </w:r>
          </w:p>
        </w:tc>
      </w:tr>
      <w:tr w:rsidR="00480A94" w:rsidRPr="00D77C6B" w14:paraId="02A36D53" w14:textId="77777777" w:rsidTr="00D77C6B">
        <w:trPr>
          <w:trHeight w:val="20"/>
        </w:trPr>
        <w:tc>
          <w:tcPr>
            <w:tcW w:w="5000" w:type="pct"/>
            <w:shd w:val="clear" w:color="auto" w:fill="auto"/>
            <w:vAlign w:val="center"/>
          </w:tcPr>
          <w:p w14:paraId="502A5248" w14:textId="77777777" w:rsidR="00480A94" w:rsidRPr="00D77C6B" w:rsidRDefault="00480A94" w:rsidP="00D77C6B">
            <w:pPr>
              <w:pStyle w:val="TableText0"/>
              <w:keepNext w:val="0"/>
              <w:widowControl w:val="0"/>
              <w:rPr>
                <w:iCs/>
              </w:rPr>
            </w:pPr>
            <w:r w:rsidRPr="00D77C6B">
              <w:rPr>
                <w:b/>
                <w:iCs/>
              </w:rPr>
              <w:lastRenderedPageBreak/>
              <w:t>Treatment criteria</w:t>
            </w:r>
          </w:p>
        </w:tc>
      </w:tr>
      <w:tr w:rsidR="00480A94" w:rsidRPr="00D77C6B" w14:paraId="3DDA404A" w14:textId="77777777" w:rsidTr="00D77C6B">
        <w:trPr>
          <w:trHeight w:val="20"/>
        </w:trPr>
        <w:tc>
          <w:tcPr>
            <w:tcW w:w="5000" w:type="pct"/>
            <w:shd w:val="clear" w:color="auto" w:fill="auto"/>
            <w:vAlign w:val="center"/>
          </w:tcPr>
          <w:p w14:paraId="52A5CDF0" w14:textId="77777777" w:rsidR="00480A94" w:rsidRPr="00D77C6B" w:rsidRDefault="00480A94" w:rsidP="00D77C6B">
            <w:pPr>
              <w:pStyle w:val="TableText0"/>
              <w:keepNext w:val="0"/>
              <w:widowControl w:val="0"/>
              <w:rPr>
                <w:iCs/>
              </w:rPr>
            </w:pPr>
            <w:r w:rsidRPr="00D77C6B">
              <w:rPr>
                <w:iCs/>
              </w:rPr>
              <w:t>Patient must not be undergoing treatment with this pharmaceutical benefit through this listing where prior treatment has occurred with any of: (i) nusinersen, (ii) risdiplam</w:t>
            </w:r>
          </w:p>
        </w:tc>
      </w:tr>
      <w:tr w:rsidR="00480A94" w:rsidRPr="00D77C6B" w14:paraId="70C989E1" w14:textId="77777777" w:rsidTr="00D77C6B">
        <w:trPr>
          <w:trHeight w:val="20"/>
        </w:trPr>
        <w:tc>
          <w:tcPr>
            <w:tcW w:w="5000" w:type="pct"/>
            <w:shd w:val="clear" w:color="auto" w:fill="auto"/>
            <w:vAlign w:val="center"/>
            <w:hideMark/>
          </w:tcPr>
          <w:p w14:paraId="78E12807" w14:textId="77777777" w:rsidR="00480A94" w:rsidRPr="00D77C6B" w:rsidRDefault="00480A94" w:rsidP="00D77C6B">
            <w:pPr>
              <w:pStyle w:val="TableText0"/>
              <w:keepNext w:val="0"/>
              <w:widowControl w:val="0"/>
            </w:pPr>
            <w:r w:rsidRPr="00D77C6B">
              <w:rPr>
                <w:b/>
              </w:rPr>
              <w:t>Population criteria:</w:t>
            </w:r>
          </w:p>
        </w:tc>
      </w:tr>
      <w:tr w:rsidR="00480A94" w:rsidRPr="00D77C6B" w14:paraId="76901F81" w14:textId="77777777" w:rsidTr="00D77C6B">
        <w:trPr>
          <w:trHeight w:val="20"/>
        </w:trPr>
        <w:tc>
          <w:tcPr>
            <w:tcW w:w="5000" w:type="pct"/>
            <w:shd w:val="clear" w:color="auto" w:fill="auto"/>
            <w:vAlign w:val="center"/>
          </w:tcPr>
          <w:p w14:paraId="7EBB67F5" w14:textId="77777777" w:rsidR="00480A94" w:rsidRPr="00D77C6B" w:rsidRDefault="00480A94" w:rsidP="00D77C6B">
            <w:pPr>
              <w:pStyle w:val="TableText0"/>
              <w:keepNext w:val="0"/>
              <w:widowControl w:val="0"/>
              <w:rPr>
                <w:color w:val="0066FF"/>
              </w:rPr>
            </w:pPr>
            <w:r w:rsidRPr="00D77C6B">
              <w:t>Patient must be no older than 9 months of age</w:t>
            </w:r>
          </w:p>
        </w:tc>
      </w:tr>
      <w:tr w:rsidR="00480A94" w:rsidRPr="00D77C6B" w14:paraId="62E7855E" w14:textId="77777777" w:rsidTr="00D77C6B">
        <w:trPr>
          <w:trHeight w:val="20"/>
        </w:trPr>
        <w:tc>
          <w:tcPr>
            <w:tcW w:w="5000" w:type="pct"/>
            <w:shd w:val="clear" w:color="auto" w:fill="auto"/>
            <w:vAlign w:val="center"/>
          </w:tcPr>
          <w:p w14:paraId="1215A1A9" w14:textId="77777777" w:rsidR="00480A94" w:rsidRPr="00D77C6B" w:rsidRDefault="00480A94" w:rsidP="00D77C6B">
            <w:pPr>
              <w:pStyle w:val="TableText0"/>
              <w:keepNext w:val="0"/>
              <w:widowControl w:val="0"/>
            </w:pPr>
            <w:r w:rsidRPr="00D77C6B">
              <w:rPr>
                <w:b/>
              </w:rPr>
              <w:t>Population criteria:</w:t>
            </w:r>
          </w:p>
        </w:tc>
      </w:tr>
      <w:tr w:rsidR="00480A94" w:rsidRPr="00D77C6B" w14:paraId="45D7FFC7" w14:textId="77777777" w:rsidTr="00D77C6B">
        <w:trPr>
          <w:trHeight w:val="20"/>
        </w:trPr>
        <w:tc>
          <w:tcPr>
            <w:tcW w:w="5000" w:type="pct"/>
            <w:shd w:val="clear" w:color="auto" w:fill="auto"/>
            <w:vAlign w:val="center"/>
          </w:tcPr>
          <w:p w14:paraId="66F45118" w14:textId="77777777" w:rsidR="00480A94" w:rsidRPr="00D77C6B" w:rsidRDefault="00480A94" w:rsidP="00D77C6B">
            <w:pPr>
              <w:pStyle w:val="TableText0"/>
              <w:keepNext w:val="0"/>
              <w:widowControl w:val="0"/>
            </w:pPr>
            <w:r w:rsidRPr="00D77C6B">
              <w:t>Patient must have symptomatic Type 1 SMA; or</w:t>
            </w:r>
          </w:p>
        </w:tc>
      </w:tr>
      <w:tr w:rsidR="00480A94" w:rsidRPr="00D77C6B" w14:paraId="5D568423" w14:textId="77777777" w:rsidTr="00D77C6B">
        <w:trPr>
          <w:trHeight w:val="20"/>
        </w:trPr>
        <w:tc>
          <w:tcPr>
            <w:tcW w:w="5000" w:type="pct"/>
            <w:shd w:val="clear" w:color="auto" w:fill="auto"/>
            <w:vAlign w:val="center"/>
          </w:tcPr>
          <w:p w14:paraId="0A7C4B04" w14:textId="77777777" w:rsidR="00480A94" w:rsidRPr="00D77C6B" w:rsidRDefault="00480A94" w:rsidP="00D77C6B">
            <w:pPr>
              <w:pStyle w:val="TableText0"/>
              <w:keepNext w:val="0"/>
              <w:widowControl w:val="0"/>
            </w:pPr>
            <w:r w:rsidRPr="00D77C6B">
              <w:t>Patient must have presymptomatic SMA</w:t>
            </w:r>
          </w:p>
        </w:tc>
      </w:tr>
      <w:tr w:rsidR="00A54B4A" w:rsidRPr="00D77C6B" w14:paraId="014237C4" w14:textId="77777777" w:rsidTr="00D77C6B">
        <w:trPr>
          <w:trHeight w:val="20"/>
        </w:trPr>
        <w:tc>
          <w:tcPr>
            <w:tcW w:w="5000" w:type="pct"/>
            <w:shd w:val="clear" w:color="auto" w:fill="auto"/>
            <w:vAlign w:val="center"/>
          </w:tcPr>
          <w:p w14:paraId="37B4365D" w14:textId="77777777" w:rsidR="00A54B4A" w:rsidRPr="00A54B4A" w:rsidRDefault="00A54B4A" w:rsidP="00D77C6B">
            <w:pPr>
              <w:pStyle w:val="TableText0"/>
              <w:keepNext w:val="0"/>
              <w:widowControl w:val="0"/>
              <w:rPr>
                <w:b/>
              </w:rPr>
            </w:pPr>
            <w:r w:rsidRPr="00A54B4A">
              <w:rPr>
                <w:b/>
              </w:rPr>
              <w:t>Prescribing Instructions:</w:t>
            </w:r>
          </w:p>
          <w:p w14:paraId="17965EB6" w14:textId="77777777" w:rsidR="00A54B4A" w:rsidRPr="00A54B4A" w:rsidRDefault="00A54B4A" w:rsidP="00D77C6B">
            <w:pPr>
              <w:pStyle w:val="TableText0"/>
              <w:keepNext w:val="0"/>
              <w:widowControl w:val="0"/>
              <w:rPr>
                <w:bCs w:val="0"/>
              </w:rPr>
            </w:pPr>
            <w:r w:rsidRPr="00A54B4A">
              <w:rPr>
                <w:bCs w:val="0"/>
              </w:rPr>
              <w:t>In the relevant PBS Authority Application form, specify the following:</w:t>
            </w:r>
          </w:p>
          <w:p w14:paraId="7EBC262F" w14:textId="77777777" w:rsidR="00A54B4A" w:rsidRPr="00A54B4A" w:rsidRDefault="00A54B4A" w:rsidP="00D77C6B">
            <w:pPr>
              <w:pStyle w:val="TableText0"/>
              <w:keepNext w:val="0"/>
              <w:widowControl w:val="0"/>
              <w:rPr>
                <w:bCs w:val="0"/>
              </w:rPr>
            </w:pPr>
            <w:r w:rsidRPr="00A54B4A">
              <w:rPr>
                <w:bCs w:val="0"/>
              </w:rPr>
              <w:t>(i) the SMA type being treated: symptomatic Type 1 SMA, or, pre-symptomatic SMA;</w:t>
            </w:r>
          </w:p>
          <w:p w14:paraId="1311D083" w14:textId="77777777" w:rsidR="00A54B4A" w:rsidRPr="00A54B4A" w:rsidRDefault="00A54B4A" w:rsidP="00D77C6B">
            <w:pPr>
              <w:pStyle w:val="TableText0"/>
              <w:keepNext w:val="0"/>
              <w:widowControl w:val="0"/>
              <w:rPr>
                <w:bCs w:val="0"/>
              </w:rPr>
            </w:pPr>
            <w:r w:rsidRPr="00A54B4A">
              <w:rPr>
                <w:bCs w:val="0"/>
              </w:rPr>
              <w:t>(ii) for Type 1 SMA, the signs/symptoms that the patient has experienced, together with the patient's age at the onset of these signs/symptoms.</w:t>
            </w:r>
          </w:p>
          <w:p w14:paraId="2D78F9BF" w14:textId="77777777" w:rsidR="00A54B4A" w:rsidRPr="00A54B4A" w:rsidRDefault="00A54B4A" w:rsidP="00D77C6B">
            <w:pPr>
              <w:pStyle w:val="TableText0"/>
              <w:keepNext w:val="0"/>
              <w:widowControl w:val="0"/>
              <w:rPr>
                <w:bCs w:val="0"/>
              </w:rPr>
            </w:pPr>
            <w:r w:rsidRPr="00A54B4A">
              <w:rPr>
                <w:bCs w:val="0"/>
              </w:rPr>
              <w:t>State the weight of the patient in kilograms and request the appropriate product pack presentation with respect to the mix of 5.5 mL and 8.3 mL vials.</w:t>
            </w:r>
          </w:p>
          <w:p w14:paraId="1511EB28" w14:textId="77777777" w:rsidR="00A54B4A" w:rsidRPr="00A54B4A" w:rsidRDefault="00A54B4A" w:rsidP="00D77C6B">
            <w:pPr>
              <w:pStyle w:val="TableText0"/>
              <w:keepNext w:val="0"/>
              <w:widowControl w:val="0"/>
              <w:rPr>
                <w:bCs w:val="0"/>
              </w:rPr>
            </w:pPr>
            <w:r w:rsidRPr="00A54B4A">
              <w:rPr>
                <w:bCs w:val="0"/>
              </w:rPr>
              <w:t>Confirm that genetic testing has been completed to demonstrate the following in support of an SMA diagnosis:</w:t>
            </w:r>
          </w:p>
          <w:p w14:paraId="6B771E0B" w14:textId="77777777" w:rsidR="00A54B4A" w:rsidRPr="00A54B4A" w:rsidRDefault="00A54B4A" w:rsidP="00D77C6B">
            <w:pPr>
              <w:pStyle w:val="TableText0"/>
              <w:keepNext w:val="0"/>
              <w:widowControl w:val="0"/>
              <w:rPr>
                <w:bCs w:val="0"/>
              </w:rPr>
            </w:pPr>
            <w:r w:rsidRPr="00A54B4A">
              <w:rPr>
                <w:bCs w:val="0"/>
              </w:rPr>
              <w:t>(i) 5q homozygous deletion of the survival motor neuron 1 (SMN1) gene; or</w:t>
            </w:r>
          </w:p>
          <w:p w14:paraId="53C874E5" w14:textId="77777777" w:rsidR="00A54B4A" w:rsidRPr="00A54B4A" w:rsidRDefault="00A54B4A" w:rsidP="00D77C6B">
            <w:pPr>
              <w:pStyle w:val="TableText0"/>
              <w:keepNext w:val="0"/>
              <w:widowControl w:val="0"/>
              <w:rPr>
                <w:bCs w:val="0"/>
              </w:rPr>
            </w:pPr>
            <w:r w:rsidRPr="00A54B4A">
              <w:rPr>
                <w:bCs w:val="0"/>
              </w:rPr>
              <w:t>(ii) deletion of one copy of the SMN1 gene in addition to a pathogenic/likely pathogenic variance in the remaining single copy of the SMN1 gene.</w:t>
            </w:r>
          </w:p>
          <w:p w14:paraId="4C395A6B" w14:textId="77777777" w:rsidR="00A54B4A" w:rsidRPr="00A54B4A" w:rsidRDefault="00A54B4A" w:rsidP="00D77C6B">
            <w:pPr>
              <w:pStyle w:val="TableText0"/>
              <w:keepNext w:val="0"/>
              <w:widowControl w:val="0"/>
              <w:rPr>
                <w:bCs w:val="0"/>
              </w:rPr>
            </w:pPr>
            <w:r w:rsidRPr="00A54B4A">
              <w:rPr>
                <w:bCs w:val="0"/>
              </w:rPr>
              <w:t>If the condition is pre-symptomatic SMA, confirm that there is genetic test finding that substantiates the number of SMN2 gene copies determined by quantitative polymerase chain reaction (qPCR) or multiple ligation dependent probe amplification (MLPA).</w:t>
            </w:r>
          </w:p>
          <w:p w14:paraId="4F4EA3EC" w14:textId="77777777" w:rsidR="00A54B4A" w:rsidRPr="00A54B4A" w:rsidRDefault="00A54B4A" w:rsidP="00D77C6B">
            <w:pPr>
              <w:pStyle w:val="TableText0"/>
              <w:keepNext w:val="0"/>
              <w:widowControl w:val="0"/>
              <w:rPr>
                <w:bCs w:val="0"/>
              </w:rPr>
            </w:pPr>
            <w:r w:rsidRPr="00A54B4A">
              <w:rPr>
                <w:bCs w:val="0"/>
              </w:rPr>
              <w:t>Quote the date, pathology provider name and any unique identifying serial number/code that links the genetic test result to the patient.</w:t>
            </w:r>
          </w:p>
          <w:p w14:paraId="16F3618A" w14:textId="77777777" w:rsidR="00A54B4A" w:rsidRPr="00A54B4A" w:rsidRDefault="00A54B4A" w:rsidP="00D77C6B">
            <w:pPr>
              <w:pStyle w:val="TableText0"/>
              <w:keepNext w:val="0"/>
              <w:widowControl w:val="0"/>
              <w:rPr>
                <w:bCs w:val="0"/>
              </w:rPr>
            </w:pPr>
            <w:r w:rsidRPr="00A54B4A">
              <w:rPr>
                <w:bCs w:val="0"/>
              </w:rPr>
              <w:t>Defined signs and symptoms of type I SMA are:</w:t>
            </w:r>
          </w:p>
          <w:p w14:paraId="11F1A594" w14:textId="77777777" w:rsidR="00A54B4A" w:rsidRPr="00A54B4A" w:rsidRDefault="00A54B4A" w:rsidP="00D77C6B">
            <w:pPr>
              <w:pStyle w:val="TableText0"/>
              <w:keepNext w:val="0"/>
              <w:widowControl w:val="0"/>
              <w:rPr>
                <w:bCs w:val="0"/>
              </w:rPr>
            </w:pPr>
            <w:r w:rsidRPr="00A54B4A">
              <w:rPr>
                <w:bCs w:val="0"/>
              </w:rPr>
              <w:t>i) Onset before 6 months of age; and</w:t>
            </w:r>
          </w:p>
          <w:p w14:paraId="7E69EC50" w14:textId="77777777" w:rsidR="00A54B4A" w:rsidRPr="00A54B4A" w:rsidRDefault="00A54B4A" w:rsidP="00D77C6B">
            <w:pPr>
              <w:pStyle w:val="TableText0"/>
              <w:keepNext w:val="0"/>
              <w:widowControl w:val="0"/>
              <w:rPr>
                <w:bCs w:val="0"/>
              </w:rPr>
            </w:pPr>
            <w:r w:rsidRPr="00A54B4A">
              <w:rPr>
                <w:bCs w:val="0"/>
              </w:rPr>
              <w:t>ii) Failure to meet or regression in ability to perform age-appropriate motor milestones; or</w:t>
            </w:r>
          </w:p>
          <w:p w14:paraId="409BB931" w14:textId="77777777" w:rsidR="00A54B4A" w:rsidRPr="00A54B4A" w:rsidRDefault="00A54B4A" w:rsidP="00D77C6B">
            <w:pPr>
              <w:pStyle w:val="TableText0"/>
              <w:keepNext w:val="0"/>
              <w:widowControl w:val="0"/>
              <w:rPr>
                <w:bCs w:val="0"/>
              </w:rPr>
            </w:pPr>
            <w:r w:rsidRPr="00A54B4A">
              <w:rPr>
                <w:bCs w:val="0"/>
              </w:rPr>
              <w:t>iii) Proximal weakness; or</w:t>
            </w:r>
          </w:p>
          <w:p w14:paraId="311C57A8" w14:textId="77777777" w:rsidR="00A54B4A" w:rsidRPr="00A54B4A" w:rsidRDefault="00A54B4A" w:rsidP="00D77C6B">
            <w:pPr>
              <w:pStyle w:val="TableText0"/>
              <w:keepNext w:val="0"/>
              <w:widowControl w:val="0"/>
              <w:rPr>
                <w:bCs w:val="0"/>
              </w:rPr>
            </w:pPr>
            <w:r w:rsidRPr="00A54B4A">
              <w:rPr>
                <w:bCs w:val="0"/>
              </w:rPr>
              <w:t>iv) Hypotonia; or</w:t>
            </w:r>
          </w:p>
          <w:p w14:paraId="275B8D1E" w14:textId="77777777" w:rsidR="00A54B4A" w:rsidRPr="00A54B4A" w:rsidRDefault="00A54B4A" w:rsidP="00D77C6B">
            <w:pPr>
              <w:pStyle w:val="TableText0"/>
              <w:keepNext w:val="0"/>
              <w:widowControl w:val="0"/>
              <w:rPr>
                <w:bCs w:val="0"/>
              </w:rPr>
            </w:pPr>
            <w:r w:rsidRPr="00A54B4A">
              <w:rPr>
                <w:bCs w:val="0"/>
              </w:rPr>
              <w:t>v) Absence of deep tendon reflexes; or</w:t>
            </w:r>
          </w:p>
          <w:p w14:paraId="7E417D81" w14:textId="77777777" w:rsidR="00A54B4A" w:rsidRPr="00A54B4A" w:rsidRDefault="00A54B4A" w:rsidP="00D77C6B">
            <w:pPr>
              <w:pStyle w:val="TableText0"/>
              <w:keepNext w:val="0"/>
              <w:widowControl w:val="0"/>
              <w:rPr>
                <w:bCs w:val="0"/>
              </w:rPr>
            </w:pPr>
            <w:r w:rsidRPr="00A54B4A">
              <w:rPr>
                <w:bCs w:val="0"/>
              </w:rPr>
              <w:t>vi) Failure to gain weight appropriate for age; or</w:t>
            </w:r>
          </w:p>
          <w:p w14:paraId="3178B440" w14:textId="77777777" w:rsidR="00A54B4A" w:rsidRPr="00A54B4A" w:rsidRDefault="00A54B4A" w:rsidP="00D77C6B">
            <w:pPr>
              <w:pStyle w:val="TableText0"/>
              <w:keepNext w:val="0"/>
              <w:widowControl w:val="0"/>
              <w:rPr>
                <w:bCs w:val="0"/>
              </w:rPr>
            </w:pPr>
            <w:r w:rsidRPr="00A54B4A">
              <w:rPr>
                <w:bCs w:val="0"/>
              </w:rPr>
              <w:t>vii) Any active chronic neurogenic changes; or</w:t>
            </w:r>
          </w:p>
          <w:p w14:paraId="3A1636D4" w14:textId="2EB734C5" w:rsidR="00A54B4A" w:rsidRPr="00D77C6B" w:rsidRDefault="00A54B4A" w:rsidP="00D77C6B">
            <w:pPr>
              <w:pStyle w:val="TableText0"/>
              <w:keepNext w:val="0"/>
              <w:widowControl w:val="0"/>
              <w:rPr>
                <w:bCs w:val="0"/>
              </w:rPr>
            </w:pPr>
            <w:r w:rsidRPr="00A54B4A">
              <w:rPr>
                <w:bCs w:val="0"/>
              </w:rPr>
              <w:t>viii) A compound muscle action potential below normative values for an age-matched child.</w:t>
            </w:r>
          </w:p>
        </w:tc>
      </w:tr>
      <w:tr w:rsidR="00A54B4A" w:rsidRPr="00AE3438" w14:paraId="426A6E3F" w14:textId="77777777" w:rsidTr="00D77C6B">
        <w:trPr>
          <w:trHeight w:val="20"/>
        </w:trPr>
        <w:tc>
          <w:tcPr>
            <w:tcW w:w="5000" w:type="pct"/>
            <w:shd w:val="clear" w:color="auto" w:fill="auto"/>
            <w:vAlign w:val="center"/>
          </w:tcPr>
          <w:p w14:paraId="67A86653" w14:textId="7B92D0C9" w:rsidR="00A54B4A" w:rsidRPr="00A54B4A" w:rsidRDefault="00A54B4A" w:rsidP="00D77C6B">
            <w:pPr>
              <w:pStyle w:val="TableText0"/>
              <w:keepNext w:val="0"/>
              <w:widowControl w:val="0"/>
              <w:rPr>
                <w:rFonts w:cs="Arial"/>
                <w:b/>
              </w:rPr>
            </w:pPr>
            <w:r w:rsidRPr="00D77C6B">
              <w:rPr>
                <w:rFonts w:eastAsia="Times New Roman"/>
                <w:b/>
                <w:bCs w:val="0"/>
              </w:rPr>
              <w:t xml:space="preserve">Administrative </w:t>
            </w:r>
            <w:r w:rsidR="00D77C6B">
              <w:rPr>
                <w:rFonts w:eastAsia="Times New Roman"/>
                <w:b/>
                <w:bCs w:val="0"/>
              </w:rPr>
              <w:t>A</w:t>
            </w:r>
            <w:r w:rsidRPr="00D77C6B">
              <w:rPr>
                <w:rFonts w:eastAsia="Times New Roman"/>
                <w:b/>
                <w:bCs w:val="0"/>
              </w:rPr>
              <w:t>dvice:</w:t>
            </w:r>
            <w:r w:rsidRPr="00D77C6B">
              <w:rPr>
                <w:rFonts w:eastAsia="Times New Roman"/>
              </w:rPr>
              <w:t xml:space="preserve"> An outcome on the authority application is not immediate, but will follow in due course. Electronic upload is encouraged to reduce processing time.</w:t>
            </w:r>
          </w:p>
        </w:tc>
      </w:tr>
    </w:tbl>
    <w:p w14:paraId="581D95D2" w14:textId="23C63831" w:rsidR="00480A94" w:rsidRPr="00AE3438" w:rsidRDefault="00480A94" w:rsidP="009A65A9">
      <w:pPr>
        <w:pStyle w:val="FooterTableFigure"/>
      </w:pPr>
      <w:r w:rsidRPr="00AE3438">
        <w:t>Source: Table 1.13, pp28-30 of the submission.</w:t>
      </w:r>
    </w:p>
    <w:bookmarkEnd w:id="12"/>
    <w:p w14:paraId="33370E4C" w14:textId="6BA1CB3F" w:rsidR="00F7668E" w:rsidRPr="00AE3438" w:rsidRDefault="00F7668E" w:rsidP="00F7668E">
      <w:pPr>
        <w:pStyle w:val="3-BodyText"/>
        <w:rPr>
          <w:iCs/>
        </w:rPr>
      </w:pPr>
      <w:r w:rsidRPr="00AE3438">
        <w:rPr>
          <w:iCs/>
        </w:rPr>
        <w:t xml:space="preserve">The requested restriction was based on ONA’s current PBS restriction, with exception of the following modification: “The condition must be presymptomatic SMA, with genetic confirmation that there are 1 to </w:t>
      </w:r>
      <w:r w:rsidR="00103703">
        <w:rPr>
          <w:iCs/>
          <w:strike/>
        </w:rPr>
        <w:t>2</w:t>
      </w:r>
      <w:r w:rsidRPr="00103703">
        <w:rPr>
          <w:i/>
        </w:rPr>
        <w:t>3</w:t>
      </w:r>
      <w:r w:rsidRPr="00AE3438">
        <w:rPr>
          <w:iCs/>
        </w:rPr>
        <w:t xml:space="preserve"> copies of the survival motor neuron 2 (</w:t>
      </w:r>
      <w:r w:rsidRPr="00AE3438">
        <w:rPr>
          <w:i/>
        </w:rPr>
        <w:t>SMN2</w:t>
      </w:r>
      <w:r w:rsidRPr="00AE3438">
        <w:rPr>
          <w:iCs/>
        </w:rPr>
        <w:t xml:space="preserve">) gene”. </w:t>
      </w:r>
    </w:p>
    <w:p w14:paraId="2A7B8AF0" w14:textId="6D96F4C5" w:rsidR="00480A94" w:rsidRPr="00AE3438" w:rsidRDefault="00480A94" w:rsidP="00480A94">
      <w:pPr>
        <w:pStyle w:val="ExecSumBodyText"/>
        <w:numPr>
          <w:ilvl w:val="1"/>
          <w:numId w:val="1"/>
        </w:numPr>
        <w:rPr>
          <w:iCs/>
        </w:rPr>
      </w:pPr>
      <w:r w:rsidRPr="00AE3438">
        <w:rPr>
          <w:iCs/>
        </w:rPr>
        <w:t xml:space="preserve">The proposed </w:t>
      </w:r>
      <w:r w:rsidR="00AF709E" w:rsidRPr="00AE3438">
        <w:rPr>
          <w:iCs/>
        </w:rPr>
        <w:t xml:space="preserve">effective </w:t>
      </w:r>
      <w:r w:rsidRPr="00AE3438">
        <w:rPr>
          <w:iCs/>
        </w:rPr>
        <w:t xml:space="preserve">price for ONA treatment in patients with 3 copies of </w:t>
      </w:r>
      <w:r w:rsidRPr="00AE3438">
        <w:rPr>
          <w:i/>
        </w:rPr>
        <w:t>SMN2</w:t>
      </w:r>
      <w:r w:rsidRPr="00AE3438">
        <w:rPr>
          <w:iCs/>
        </w:rPr>
        <w:t xml:space="preserve"> gene </w:t>
      </w:r>
      <w:r w:rsidR="00CA5AA6">
        <w:rPr>
          <w:iCs/>
        </w:rPr>
        <w:t>($</w:t>
      </w:r>
      <w:r w:rsidR="00284C02" w:rsidRPr="008E4E26">
        <w:rPr>
          <w:iCs/>
          <w:color w:val="000000"/>
          <w:w w:val="15"/>
          <w:shd w:val="solid" w:color="000000" w:fill="000000"/>
          <w:fitText w:val="-20" w:id="-1305197568"/>
          <w14:textFill>
            <w14:solidFill>
              <w14:srgbClr w14:val="000000">
                <w14:alpha w14:val="100000"/>
              </w14:srgbClr>
            </w14:solidFill>
          </w14:textFill>
        </w:rPr>
        <w:t xml:space="preserve">|  </w:t>
      </w:r>
      <w:r w:rsidR="00284C02" w:rsidRPr="008E4E26">
        <w:rPr>
          <w:iCs/>
          <w:color w:val="000000"/>
          <w:spacing w:val="-69"/>
          <w:w w:val="15"/>
          <w:shd w:val="solid" w:color="000000" w:fill="000000"/>
          <w:fitText w:val="-20" w:id="-1305197568"/>
          <w14:textFill>
            <w14:solidFill>
              <w14:srgbClr w14:val="000000">
                <w14:alpha w14:val="100000"/>
              </w14:srgbClr>
            </w14:solidFill>
          </w14:textFill>
        </w:rPr>
        <w:t>|</w:t>
      </w:r>
      <w:r w:rsidR="00CA5AA6">
        <w:rPr>
          <w:iCs/>
        </w:rPr>
        <w:t xml:space="preserve">) </w:t>
      </w:r>
      <w:r w:rsidRPr="00AE3438">
        <w:rPr>
          <w:iCs/>
        </w:rPr>
        <w:t xml:space="preserve">is higher than the current published </w:t>
      </w:r>
      <w:r w:rsidR="00F62F3F">
        <w:rPr>
          <w:iCs/>
        </w:rPr>
        <w:t>price</w:t>
      </w:r>
      <w:r w:rsidR="00F62F3F" w:rsidRPr="00AE3438">
        <w:rPr>
          <w:iCs/>
        </w:rPr>
        <w:t xml:space="preserve"> </w:t>
      </w:r>
      <w:r w:rsidRPr="00AE3438">
        <w:rPr>
          <w:iCs/>
        </w:rPr>
        <w:t xml:space="preserve">for ONA </w:t>
      </w:r>
      <w:bookmarkStart w:id="13" w:name="_Hlk120723237"/>
      <w:r w:rsidRPr="00AE3438">
        <w:rPr>
          <w:iCs/>
        </w:rPr>
        <w:t xml:space="preserve">in the treatment of symptomatic SMA Type I or pre-symptomatic SMA with 1 to 2 copies of </w:t>
      </w:r>
      <w:r w:rsidRPr="00AE3438">
        <w:rPr>
          <w:i/>
        </w:rPr>
        <w:t xml:space="preserve">SMN2 </w:t>
      </w:r>
      <w:bookmarkEnd w:id="13"/>
      <w:r w:rsidRPr="00AE3438">
        <w:rPr>
          <w:iCs/>
        </w:rPr>
        <w:t xml:space="preserve">(published </w:t>
      </w:r>
      <w:r w:rsidR="00F62F3F">
        <w:rPr>
          <w:iCs/>
        </w:rPr>
        <w:t>price</w:t>
      </w:r>
      <w:r w:rsidR="00F62F3F" w:rsidRPr="00AE3438">
        <w:rPr>
          <w:iCs/>
        </w:rPr>
        <w:t xml:space="preserve"> </w:t>
      </w:r>
      <w:r w:rsidRPr="00AE3438">
        <w:rPr>
          <w:iCs/>
        </w:rPr>
        <w:t xml:space="preserve">$2,557,773.87). A special pricing arrangement (SPA) also applies to the current PBS listing of ONA, with </w:t>
      </w:r>
      <w:r w:rsidR="00F62F3F">
        <w:rPr>
          <w:iCs/>
        </w:rPr>
        <w:t xml:space="preserve">an </w:t>
      </w:r>
      <w:r w:rsidRPr="00AE3438">
        <w:rPr>
          <w:iCs/>
        </w:rPr>
        <w:t xml:space="preserve">effective </w:t>
      </w:r>
      <w:r w:rsidR="00F62F3F">
        <w:rPr>
          <w:iCs/>
        </w:rPr>
        <w:t>price</w:t>
      </w:r>
      <w:r w:rsidR="00F62F3F" w:rsidRPr="00AE3438">
        <w:rPr>
          <w:iCs/>
        </w:rPr>
        <w:t xml:space="preserve"> </w:t>
      </w:r>
      <w:r w:rsidRPr="00AE3438">
        <w:rPr>
          <w:iCs/>
        </w:rPr>
        <w:t>of $</w:t>
      </w:r>
      <w:r w:rsidR="00284C02" w:rsidRPr="008E4E26">
        <w:rPr>
          <w:iCs/>
          <w:color w:val="000000"/>
          <w:w w:val="15"/>
          <w:shd w:val="solid" w:color="000000" w:fill="000000"/>
          <w:fitText w:val="-20" w:id="-1305197567"/>
          <w14:textFill>
            <w14:solidFill>
              <w14:srgbClr w14:val="000000">
                <w14:alpha w14:val="100000"/>
              </w14:srgbClr>
            </w14:solidFill>
          </w14:textFill>
        </w:rPr>
        <w:t xml:space="preserve">|  </w:t>
      </w:r>
      <w:r w:rsidR="00284C02" w:rsidRPr="008E4E26">
        <w:rPr>
          <w:iCs/>
          <w:color w:val="000000"/>
          <w:spacing w:val="-69"/>
          <w:w w:val="15"/>
          <w:shd w:val="solid" w:color="000000" w:fill="000000"/>
          <w:fitText w:val="-20" w:id="-1305197567"/>
          <w14:textFill>
            <w14:solidFill>
              <w14:srgbClr w14:val="000000">
                <w14:alpha w14:val="100000"/>
              </w14:srgbClr>
            </w14:solidFill>
          </w14:textFill>
        </w:rPr>
        <w:t>|</w:t>
      </w:r>
      <w:r w:rsidRPr="00AE3438">
        <w:rPr>
          <w:iCs/>
        </w:rPr>
        <w:t xml:space="preserve">, including a performance rebate as part of a risk sharing arrangement (RSA). No SPA was proposed in the current submission. </w:t>
      </w:r>
    </w:p>
    <w:p w14:paraId="6173DA38" w14:textId="59825BC0" w:rsidR="00480A94" w:rsidRPr="00AE3438" w:rsidRDefault="002A6FB8" w:rsidP="00D30D5B">
      <w:pPr>
        <w:pStyle w:val="ExecSumBodyText"/>
        <w:numPr>
          <w:ilvl w:val="1"/>
          <w:numId w:val="1"/>
        </w:numPr>
        <w:rPr>
          <w:iCs/>
        </w:rPr>
      </w:pPr>
      <w:r w:rsidRPr="00AE3438">
        <w:rPr>
          <w:iCs/>
        </w:rPr>
        <w:t>T</w:t>
      </w:r>
      <w:r w:rsidR="00480A94" w:rsidRPr="00AE3438">
        <w:rPr>
          <w:iCs/>
        </w:rPr>
        <w:t xml:space="preserve">he requested </w:t>
      </w:r>
      <w:r w:rsidR="00462B39">
        <w:rPr>
          <w:iCs/>
        </w:rPr>
        <w:t xml:space="preserve">substantially higher </w:t>
      </w:r>
      <w:r w:rsidR="00480A94" w:rsidRPr="00AE3438">
        <w:rPr>
          <w:iCs/>
        </w:rPr>
        <w:t xml:space="preserve">price for ONA </w:t>
      </w:r>
      <w:r w:rsidR="00462B39">
        <w:rPr>
          <w:iCs/>
        </w:rPr>
        <w:t xml:space="preserve">in this submission </w:t>
      </w:r>
      <w:r w:rsidR="00C33876" w:rsidRPr="00AE3438">
        <w:rPr>
          <w:iCs/>
        </w:rPr>
        <w:t>was</w:t>
      </w:r>
      <w:r w:rsidR="001C2FB7" w:rsidRPr="00AE3438">
        <w:rPr>
          <w:iCs/>
        </w:rPr>
        <w:t xml:space="preserve"> inconsistent with the request to expand the restriction to patients with potentially less severe </w:t>
      </w:r>
      <w:r w:rsidR="001C2FB7" w:rsidRPr="00AE3438">
        <w:rPr>
          <w:iCs/>
        </w:rPr>
        <w:lastRenderedPageBreak/>
        <w:t>phenotype where the benefit is likely to be smaller.</w:t>
      </w:r>
      <w:r w:rsidR="004C4414" w:rsidRPr="00AE3438">
        <w:rPr>
          <w:iCs/>
        </w:rPr>
        <w:t xml:space="preserve"> </w:t>
      </w:r>
      <w:r w:rsidR="004C4414" w:rsidRPr="00054F33">
        <w:rPr>
          <w:iCs/>
        </w:rPr>
        <w:t xml:space="preserve">The </w:t>
      </w:r>
      <w:r w:rsidR="00462B39">
        <w:rPr>
          <w:iCs/>
        </w:rPr>
        <w:t xml:space="preserve">PBAC agreed with the </w:t>
      </w:r>
      <w:r w:rsidR="004C4414" w:rsidRPr="00054F33">
        <w:rPr>
          <w:iCs/>
        </w:rPr>
        <w:t xml:space="preserve">ESC </w:t>
      </w:r>
      <w:r w:rsidR="008D3662" w:rsidRPr="00054F33">
        <w:rPr>
          <w:iCs/>
        </w:rPr>
        <w:t>that as the proportion of patients who would benefit and the magnitude of any benefit are unknown</w:t>
      </w:r>
      <w:r w:rsidR="00277618" w:rsidRPr="00054F33">
        <w:rPr>
          <w:iCs/>
        </w:rPr>
        <w:t xml:space="preserve"> based on the evidence presented, the </w:t>
      </w:r>
      <w:r w:rsidR="00462B39">
        <w:rPr>
          <w:iCs/>
        </w:rPr>
        <w:t>price</w:t>
      </w:r>
      <w:r w:rsidR="00462B39" w:rsidRPr="00054F33">
        <w:rPr>
          <w:iCs/>
        </w:rPr>
        <w:t xml:space="preserve"> </w:t>
      </w:r>
      <w:r w:rsidR="00277618" w:rsidRPr="00054F33">
        <w:rPr>
          <w:iCs/>
        </w:rPr>
        <w:t>requested was not adequately justified</w:t>
      </w:r>
      <w:r w:rsidR="008D3662" w:rsidRPr="00054F33">
        <w:rPr>
          <w:iCs/>
        </w:rPr>
        <w:t>.</w:t>
      </w:r>
      <w:r w:rsidR="008D3662" w:rsidRPr="00AE3438">
        <w:rPr>
          <w:i/>
        </w:rPr>
        <w:t xml:space="preserve"> </w:t>
      </w:r>
    </w:p>
    <w:p w14:paraId="706A3440" w14:textId="607A71C3" w:rsidR="00480A94" w:rsidRPr="00AE3438" w:rsidRDefault="00480A94" w:rsidP="009D1C84">
      <w:pPr>
        <w:pStyle w:val="3-BodyText"/>
        <w:jc w:val="left"/>
        <w:rPr>
          <w:iCs/>
        </w:rPr>
      </w:pPr>
      <w:r w:rsidRPr="00AE3438">
        <w:rPr>
          <w:iCs/>
        </w:rPr>
        <w:t xml:space="preserve">The submission proposed a risk sharing arrangement (RSA) </w:t>
      </w:r>
      <w:r w:rsidR="00593519" w:rsidRPr="00AE3438">
        <w:rPr>
          <w:iCs/>
        </w:rPr>
        <w:t>where the Commonwealth would be</w:t>
      </w:r>
      <w:r w:rsidRPr="00AE3438">
        <w:rPr>
          <w:iCs/>
        </w:rPr>
        <w:t xml:space="preserve"> reimburse</w:t>
      </w:r>
      <w:r w:rsidR="00593519" w:rsidRPr="00AE3438">
        <w:rPr>
          <w:iCs/>
        </w:rPr>
        <w:t>d</w:t>
      </w:r>
      <w:r w:rsidRPr="00AE3438">
        <w:rPr>
          <w:iCs/>
        </w:rPr>
        <w:t xml:space="preserve"> for the high upfront expenditure in cases where expected outcomes were not achieved. The submission proposed that the current outcomes-based RSA for ONA for SMA Type I and pre-symptomatic patients with 1 or 2 copies of </w:t>
      </w:r>
      <w:r w:rsidRPr="00AE3438">
        <w:rPr>
          <w:i/>
        </w:rPr>
        <w:t>SMN2</w:t>
      </w:r>
      <w:r w:rsidRPr="00AE3438">
        <w:rPr>
          <w:iCs/>
        </w:rPr>
        <w:t xml:space="preserve"> gene will apply to the proposed population of pre-symptomatic patients with 3 copies of </w:t>
      </w:r>
      <w:r w:rsidRPr="00AE3438">
        <w:rPr>
          <w:i/>
        </w:rPr>
        <w:t>SMN2</w:t>
      </w:r>
      <w:r w:rsidRPr="00AE3438">
        <w:rPr>
          <w:iCs/>
        </w:rPr>
        <w:t xml:space="preserve">, </w:t>
      </w:r>
      <w:r w:rsidRPr="00003936">
        <w:rPr>
          <w:iCs/>
        </w:rPr>
        <w:t>whereby</w:t>
      </w:r>
      <w:r w:rsidR="00284C02" w:rsidRPr="008E4E26">
        <w:rPr>
          <w:iCs/>
          <w:color w:val="000000"/>
          <w:w w:val="15"/>
          <w:shd w:val="solid" w:color="000000" w:fill="000000"/>
          <w:fitText w:val="-20" w:id="-1305197566"/>
          <w14:textFill>
            <w14:solidFill>
              <w14:srgbClr w14:val="000000">
                <w14:alpha w14:val="100000"/>
              </w14:srgbClr>
            </w14:solidFill>
          </w14:textFill>
        </w:rPr>
        <w:t xml:space="preserve">|  </w:t>
      </w:r>
      <w:r w:rsidR="00284C02" w:rsidRPr="008E4E26">
        <w:rPr>
          <w:iCs/>
          <w:color w:val="000000"/>
          <w:spacing w:val="-69"/>
          <w:w w:val="15"/>
          <w:shd w:val="solid" w:color="000000" w:fill="000000"/>
          <w:fitText w:val="-20" w:id="-1305197566"/>
          <w14:textFill>
            <w14:solidFill>
              <w14:srgbClr w14:val="000000">
                <w14:alpha w14:val="100000"/>
              </w14:srgbClr>
            </w14:solidFill>
          </w14:textFill>
        </w:rPr>
        <w:t>|</w:t>
      </w:r>
      <w:r w:rsidR="009D1C84">
        <w:rPr>
          <w:iCs/>
          <w:color w:val="000000"/>
          <w:shd w:val="solid" w:color="000000" w:fill="000000"/>
          <w14:textFill>
            <w14:solidFill>
              <w14:srgbClr w14:val="000000">
                <w14:alpha w14:val="100000"/>
              </w14:srgbClr>
            </w14:solidFill>
          </w14:textFill>
        </w:rPr>
        <w:t xml:space="preserve"> ##############################################</w:t>
      </w:r>
    </w:p>
    <w:p w14:paraId="217541DC" w14:textId="42625843" w:rsidR="00480A94" w:rsidRDefault="00480A94" w:rsidP="00D30D5B">
      <w:pPr>
        <w:pStyle w:val="ExecSumBodyText"/>
        <w:numPr>
          <w:ilvl w:val="1"/>
          <w:numId w:val="1"/>
        </w:numPr>
        <w:rPr>
          <w:iCs/>
        </w:rPr>
      </w:pPr>
      <w:r w:rsidRPr="00AE3438">
        <w:rPr>
          <w:iCs/>
        </w:rPr>
        <w:t xml:space="preserve">The submission indicated that the process for genetic testing of </w:t>
      </w:r>
      <w:r w:rsidRPr="00AE3438">
        <w:rPr>
          <w:i/>
        </w:rPr>
        <w:t>SMN1</w:t>
      </w:r>
      <w:r w:rsidRPr="00AE3438">
        <w:rPr>
          <w:iCs/>
        </w:rPr>
        <w:t xml:space="preserve"> and </w:t>
      </w:r>
      <w:r w:rsidRPr="00AE3438">
        <w:rPr>
          <w:i/>
        </w:rPr>
        <w:t>SMN2</w:t>
      </w:r>
      <w:r w:rsidRPr="00AE3438">
        <w:rPr>
          <w:iCs/>
        </w:rPr>
        <w:t xml:space="preserve"> will be through the </w:t>
      </w:r>
      <w:bookmarkStart w:id="14" w:name="_Hlk120548258"/>
      <w:r w:rsidR="00A846AB" w:rsidRPr="00AE3438">
        <w:rPr>
          <w:iCs/>
        </w:rPr>
        <w:t xml:space="preserve">newborn bloodspot screening </w:t>
      </w:r>
      <w:bookmarkEnd w:id="14"/>
      <w:r w:rsidR="00A846AB" w:rsidRPr="00AE3438">
        <w:rPr>
          <w:iCs/>
        </w:rPr>
        <w:t>(</w:t>
      </w:r>
      <w:r w:rsidRPr="00AE3438">
        <w:rPr>
          <w:iCs/>
        </w:rPr>
        <w:t>NBS</w:t>
      </w:r>
      <w:r w:rsidR="00A846AB" w:rsidRPr="00AE3438">
        <w:rPr>
          <w:iCs/>
        </w:rPr>
        <w:t>)</w:t>
      </w:r>
      <w:r w:rsidRPr="00AE3438">
        <w:rPr>
          <w:iCs/>
        </w:rPr>
        <w:t xml:space="preserve"> program</w:t>
      </w:r>
      <w:r w:rsidR="00A846AB" w:rsidRPr="00AE3438">
        <w:rPr>
          <w:iCs/>
        </w:rPr>
        <w:t>, which has a 99.9% coverage based on newborn screening in NSW</w:t>
      </w:r>
      <w:r w:rsidRPr="00AE3438">
        <w:rPr>
          <w:iCs/>
        </w:rPr>
        <w:t>.</w:t>
      </w:r>
      <w:r w:rsidR="00A846AB" w:rsidRPr="00AE3438">
        <w:rPr>
          <w:iCs/>
        </w:rPr>
        <w:t xml:space="preserve"> However, there are likely varying proportions of patients diagnosed pre-symptomatically, given SMA screening is currently discrepant across the states and territories of Australia with varying implementation timeframe for NBS. See </w:t>
      </w:r>
      <w:r w:rsidR="009F562E" w:rsidRPr="00AE3438">
        <w:rPr>
          <w:iCs/>
        </w:rPr>
        <w:t>paragraph</w:t>
      </w:r>
      <w:r w:rsidR="0037623D" w:rsidRPr="00AE3438">
        <w:rPr>
          <w:iCs/>
        </w:rPr>
        <w:t>s</w:t>
      </w:r>
      <w:r w:rsidR="009F562E" w:rsidRPr="00AE3438">
        <w:rPr>
          <w:iCs/>
        </w:rPr>
        <w:t xml:space="preserve"> </w:t>
      </w:r>
      <w:r w:rsidR="009F562E" w:rsidRPr="00AE3438">
        <w:rPr>
          <w:iCs/>
        </w:rPr>
        <w:fldChar w:fldCharType="begin"/>
      </w:r>
      <w:r w:rsidR="009F562E" w:rsidRPr="00AE3438">
        <w:rPr>
          <w:iCs/>
        </w:rPr>
        <w:instrText xml:space="preserve"> REF _Ref113287888 \r \h </w:instrText>
      </w:r>
      <w:r w:rsidR="00C761FA" w:rsidRPr="00AE3438">
        <w:rPr>
          <w:iCs/>
        </w:rPr>
        <w:instrText xml:space="preserve"> \* MERGEFORMAT </w:instrText>
      </w:r>
      <w:r w:rsidR="009F562E" w:rsidRPr="00AE3438">
        <w:rPr>
          <w:iCs/>
        </w:rPr>
      </w:r>
      <w:r w:rsidR="009F562E" w:rsidRPr="00AE3438">
        <w:rPr>
          <w:iCs/>
        </w:rPr>
        <w:fldChar w:fldCharType="separate"/>
      </w:r>
      <w:r w:rsidR="008E4E26">
        <w:rPr>
          <w:iCs/>
        </w:rPr>
        <w:t>4.9</w:t>
      </w:r>
      <w:r w:rsidR="009F562E" w:rsidRPr="00AE3438">
        <w:rPr>
          <w:iCs/>
        </w:rPr>
        <w:fldChar w:fldCharType="end"/>
      </w:r>
      <w:r w:rsidR="0037623D" w:rsidRPr="00AE3438">
        <w:rPr>
          <w:iCs/>
        </w:rPr>
        <w:t xml:space="preserve"> to</w:t>
      </w:r>
      <w:r w:rsidR="00D34A9D" w:rsidRPr="00AE3438">
        <w:rPr>
          <w:iCs/>
        </w:rPr>
        <w:t xml:space="preserve"> </w:t>
      </w:r>
      <w:r w:rsidR="009F562E" w:rsidRPr="00AE3438">
        <w:rPr>
          <w:iCs/>
        </w:rPr>
        <w:fldChar w:fldCharType="begin"/>
      </w:r>
      <w:r w:rsidR="009F562E" w:rsidRPr="00AE3438">
        <w:rPr>
          <w:iCs/>
        </w:rPr>
        <w:instrText xml:space="preserve"> REF _Ref113287892 \r \h </w:instrText>
      </w:r>
      <w:r w:rsidR="00C761FA" w:rsidRPr="00AE3438">
        <w:rPr>
          <w:iCs/>
        </w:rPr>
        <w:instrText xml:space="preserve"> \* MERGEFORMAT </w:instrText>
      </w:r>
      <w:r w:rsidR="009F562E" w:rsidRPr="00AE3438">
        <w:rPr>
          <w:iCs/>
        </w:rPr>
      </w:r>
      <w:r w:rsidR="009F562E" w:rsidRPr="00AE3438">
        <w:rPr>
          <w:iCs/>
        </w:rPr>
        <w:fldChar w:fldCharType="separate"/>
      </w:r>
      <w:r w:rsidR="008E4E26">
        <w:rPr>
          <w:iCs/>
        </w:rPr>
        <w:t>4.11</w:t>
      </w:r>
      <w:r w:rsidR="009F562E" w:rsidRPr="00AE3438">
        <w:rPr>
          <w:iCs/>
        </w:rPr>
        <w:fldChar w:fldCharType="end"/>
      </w:r>
      <w:r w:rsidR="00D34A9D" w:rsidRPr="00AE3438">
        <w:rPr>
          <w:iCs/>
        </w:rPr>
        <w:t xml:space="preserve"> </w:t>
      </w:r>
      <w:r w:rsidR="00A846AB" w:rsidRPr="00AE3438">
        <w:rPr>
          <w:iCs/>
        </w:rPr>
        <w:t>below.</w:t>
      </w:r>
    </w:p>
    <w:p w14:paraId="7D2DE753" w14:textId="1532DFF1" w:rsidR="00054F33" w:rsidRPr="009A65A9" w:rsidRDefault="00054F33" w:rsidP="009A65A9">
      <w:pPr>
        <w:ind w:firstLine="709"/>
        <w:rPr>
          <w:rFonts w:asciiTheme="minorHAnsi" w:hAnsiTheme="minorHAnsi"/>
          <w:i/>
        </w:rPr>
      </w:pPr>
      <w:bookmarkStart w:id="15" w:name="_Hlk76375324"/>
      <w:r w:rsidRPr="00C33D30">
        <w:rPr>
          <w:rFonts w:asciiTheme="minorHAnsi" w:hAnsiTheme="minorHAnsi"/>
          <w:i/>
        </w:rPr>
        <w:t>For more detail on PBAC’s view, see section 7 PBAC outcome.</w:t>
      </w:r>
      <w:bookmarkEnd w:id="15"/>
    </w:p>
    <w:p w14:paraId="7075B85C" w14:textId="62A47B7B" w:rsidR="00B50DB8" w:rsidRPr="00AE3438" w:rsidDel="00195452" w:rsidRDefault="00203181" w:rsidP="004E18E9">
      <w:pPr>
        <w:pStyle w:val="2-SectionHeading"/>
      </w:pPr>
      <w:bookmarkStart w:id="16" w:name="_Toc114054849"/>
      <w:r w:rsidRPr="00AE3438" w:rsidDel="00195452">
        <w:t xml:space="preserve">Population and </w:t>
      </w:r>
      <w:r w:rsidR="008E0D3C" w:rsidRPr="00AE3438" w:rsidDel="00195452">
        <w:t>d</w:t>
      </w:r>
      <w:r w:rsidRPr="00AE3438" w:rsidDel="00195452">
        <w:t>isease</w:t>
      </w:r>
      <w:bookmarkEnd w:id="16"/>
    </w:p>
    <w:p w14:paraId="5631E0BE" w14:textId="618BDF81" w:rsidR="00480A94" w:rsidRPr="00AE3438" w:rsidRDefault="00480A94" w:rsidP="004E18E9">
      <w:pPr>
        <w:pStyle w:val="3-BodyText"/>
      </w:pPr>
      <w:r w:rsidRPr="00AE3438">
        <w:t xml:space="preserve">SMA is a rare autosomal recessive progressive neuromuscular disease caused by mutations or deletions in the </w:t>
      </w:r>
      <w:r w:rsidRPr="00AE3438">
        <w:rPr>
          <w:i/>
        </w:rPr>
        <w:t>SMN1</w:t>
      </w:r>
      <w:r w:rsidRPr="00AE3438">
        <w:t xml:space="preserve"> gene on chromosome 5q. Alterations to this gene result in deficiency of SMN protein, which in turn, results in loss of motor function and respiratory failure. SMA is classified into types (0, I, II, III and IV) and subtypes (a, b, c) based on age of onset and maximal motor function achieved. There is a</w:t>
      </w:r>
      <w:r w:rsidR="00625BE3" w:rsidRPr="00AE3438">
        <w:t>lso a</w:t>
      </w:r>
      <w:r w:rsidRPr="00AE3438">
        <w:t xml:space="preserve"> clinical spectrum of disease </w:t>
      </w:r>
      <w:r w:rsidR="00625BE3" w:rsidRPr="00AE3438">
        <w:t xml:space="preserve">associated with the number of copies of </w:t>
      </w:r>
      <w:r w:rsidR="00625BE3" w:rsidRPr="00AE3438">
        <w:rPr>
          <w:i/>
          <w:iCs/>
        </w:rPr>
        <w:t>SMN2</w:t>
      </w:r>
      <w:r w:rsidR="00625BE3" w:rsidRPr="00AE3438">
        <w:t xml:space="preserve"> gene </w:t>
      </w:r>
      <w:r w:rsidRPr="00AE3438">
        <w:t xml:space="preserve">with earlier age of onset associated with lower </w:t>
      </w:r>
      <w:r w:rsidR="00625BE3" w:rsidRPr="00AE3438">
        <w:t xml:space="preserve">number of </w:t>
      </w:r>
      <w:r w:rsidRPr="00AE3438">
        <w:rPr>
          <w:i/>
        </w:rPr>
        <w:t>SMN2</w:t>
      </w:r>
      <w:r w:rsidRPr="00AE3438">
        <w:t xml:space="preserve"> copies and increased severity of symptoms. Patients with SMA typically develop weak muscles and may have trouble walking and breathing.</w:t>
      </w:r>
    </w:p>
    <w:p w14:paraId="3E1BB4F8" w14:textId="569930A0" w:rsidR="00480A94" w:rsidRPr="00AE3438" w:rsidRDefault="00027CE2" w:rsidP="004E18E9">
      <w:pPr>
        <w:pStyle w:val="3-BodyText"/>
      </w:pPr>
      <w:r w:rsidRPr="00AE3438">
        <w:t>The submission’s target population was SMA patients who were identified prior to symptom development</w:t>
      </w:r>
      <w:r w:rsidR="00BD3485" w:rsidRPr="00AE3438">
        <w:t>,</w:t>
      </w:r>
      <w:r w:rsidRPr="00AE3438">
        <w:t xml:space="preserve"> with 3 copies of </w:t>
      </w:r>
      <w:r w:rsidRPr="00AE3438">
        <w:rPr>
          <w:i/>
        </w:rPr>
        <w:t>SMN2</w:t>
      </w:r>
      <w:r w:rsidRPr="00AE3438">
        <w:t xml:space="preserve"> gene. There are currently no published studies on the natural history of this population and their progression through life. While infants with a later age of onset have better functional ability initially, their condition deteriorates over time and often results in disability, regardless of SMA type.</w:t>
      </w:r>
    </w:p>
    <w:p w14:paraId="2899FCFC" w14:textId="0FF745F3" w:rsidR="00027CE2" w:rsidRPr="00AE3438" w:rsidRDefault="00027CE2" w:rsidP="004E18E9">
      <w:pPr>
        <w:pStyle w:val="3-BodyText"/>
      </w:pPr>
      <w:r w:rsidRPr="00AE3438">
        <w:t xml:space="preserve">Prior to the development of therapies, the traditional classification of SMA was by its phenotypes. However, there is significant overlap in patient clinical status across different phenotypes as it also depends on the stage of the disease </w:t>
      </w:r>
      <w:r w:rsidR="00F61DCE" w:rsidRPr="00AE3438">
        <w:t>(</w:t>
      </w:r>
      <w:r w:rsidRPr="00AE3438">
        <w:t>e.g.</w:t>
      </w:r>
      <w:r w:rsidR="00562BED" w:rsidRPr="00AE3438">
        <w:t>,</w:t>
      </w:r>
      <w:r w:rsidRPr="00AE3438">
        <w:t xml:space="preserve"> severe SMA Type II in advanced stages can be more severe compared with a patient in early stages of SMA Type I</w:t>
      </w:r>
      <w:r w:rsidR="00F61DCE" w:rsidRPr="00AE3438">
        <w:t>)</w:t>
      </w:r>
      <w:r w:rsidRPr="00AE3438">
        <w:t xml:space="preserve">. Emerging DMTs, in particular SMN-dependent treatments for SMA, their adjacent clinical trials and natural history studies have shown that classification </w:t>
      </w:r>
      <w:r w:rsidRPr="00AE3438">
        <w:lastRenderedPageBreak/>
        <w:t xml:space="preserve">based solely on motor assessment at the initial presentation was limited. For example, patients </w:t>
      </w:r>
      <w:r w:rsidR="00BD3485" w:rsidRPr="00AE3438">
        <w:t xml:space="preserve">who were </w:t>
      </w:r>
      <w:r w:rsidRPr="00AE3438">
        <w:t>classified at diagnosis as Type I or II but achieved motor milestones (sitting or ambulation, respectively) would thus cross the boundaries of the traditional classifications.</w:t>
      </w:r>
      <w:r w:rsidR="00224CF2" w:rsidRPr="00AE3438">
        <w:t xml:space="preserve"> Children with Type III could learn to walk unassisted and retain this ability for a variable amount of time. In Type III non-ambulatory patients, the majority with an age of onset before 3 years lose the ability to walk in childhood or early adulthood. Type IV is rare (&lt;1% SMA cases), adult onset SMA (age &gt;18 years) and on the mild end of the SMA spectrum. Patients usually gain and keep their ability to walk and live a normal lifespan.</w:t>
      </w:r>
    </w:p>
    <w:p w14:paraId="4AF499BD" w14:textId="2F538763" w:rsidR="00027CE2" w:rsidRPr="00AE3438" w:rsidRDefault="00027CE2" w:rsidP="004E18E9">
      <w:pPr>
        <w:pStyle w:val="3-BodyText"/>
        <w:rPr>
          <w:iCs/>
        </w:rPr>
      </w:pPr>
      <w:r w:rsidRPr="00AE3438">
        <w:rPr>
          <w:iCs/>
        </w:rPr>
        <w:t>Guidelines and consensus statements (Mercuri et al 2018</w:t>
      </w:r>
      <w:r w:rsidRPr="00AE3438">
        <w:rPr>
          <w:rStyle w:val="FootnoteReference"/>
          <w:iCs/>
        </w:rPr>
        <w:footnoteReference w:id="1"/>
      </w:r>
      <w:r w:rsidRPr="00AE3438">
        <w:rPr>
          <w:iCs/>
        </w:rPr>
        <w:t>, Finkel et al 2018</w:t>
      </w:r>
      <w:r w:rsidRPr="00AE3438">
        <w:rPr>
          <w:rStyle w:val="FootnoteReference"/>
          <w:iCs/>
        </w:rPr>
        <w:footnoteReference w:id="2"/>
      </w:r>
      <w:r w:rsidRPr="00AE3438">
        <w:rPr>
          <w:iCs/>
        </w:rPr>
        <w:t>, Kirschner et al 2020</w:t>
      </w:r>
      <w:r w:rsidRPr="00AE3438">
        <w:rPr>
          <w:rStyle w:val="FootnoteReference"/>
          <w:iCs/>
        </w:rPr>
        <w:footnoteReference w:id="3"/>
      </w:r>
      <w:r w:rsidRPr="00AE3438">
        <w:rPr>
          <w:iCs/>
        </w:rPr>
        <w:t xml:space="preserve">) have recommended an update to the classification of SMA, acknowledging the SMA phenotypes as a continuum and that classification by types alone </w:t>
      </w:r>
      <w:r w:rsidR="00F61DCE" w:rsidRPr="00AE3438">
        <w:rPr>
          <w:iCs/>
        </w:rPr>
        <w:t xml:space="preserve">is </w:t>
      </w:r>
      <w:r w:rsidRPr="00AE3438">
        <w:rPr>
          <w:iCs/>
        </w:rPr>
        <w:t>not sufficient to define the patient populations who might benefit most from gene therapy. In symptomatic patients, the age at onset, disease duration</w:t>
      </w:r>
      <w:r w:rsidR="00265B57" w:rsidRPr="00AE3438">
        <w:rPr>
          <w:iCs/>
        </w:rPr>
        <w:t xml:space="preserve"> (interval between symptom onset to starting treatment)</w:t>
      </w:r>
      <w:r w:rsidRPr="00AE3438">
        <w:rPr>
          <w:iCs/>
        </w:rPr>
        <w:t xml:space="preserve"> and motor function status at the start of treatment are the most important factors that predict response to treatment, whereas in pre-symptomatic patients</w:t>
      </w:r>
      <w:r w:rsidR="00F61A09" w:rsidRPr="00AE3438">
        <w:rPr>
          <w:iCs/>
        </w:rPr>
        <w:t>,</w:t>
      </w:r>
      <w:r w:rsidRPr="00AE3438">
        <w:rPr>
          <w:iCs/>
        </w:rPr>
        <w:t xml:space="preserve"> </w:t>
      </w:r>
      <w:r w:rsidRPr="007E71CB">
        <w:rPr>
          <w:i/>
        </w:rPr>
        <w:t>SMN2</w:t>
      </w:r>
      <w:r w:rsidRPr="00AE3438">
        <w:rPr>
          <w:iCs/>
        </w:rPr>
        <w:t xml:space="preserve"> copy number is the most important predictor of clinical severity and age of onset (Kirschner et al 2020). The new classification system consists of non</w:t>
      </w:r>
      <w:r w:rsidR="00562BED" w:rsidRPr="00AE3438">
        <w:rPr>
          <w:iCs/>
        </w:rPr>
        <w:t>-</w:t>
      </w:r>
      <w:r w:rsidRPr="00AE3438">
        <w:rPr>
          <w:iCs/>
        </w:rPr>
        <w:t xml:space="preserve">sitters, sitters, and walkers. </w:t>
      </w:r>
      <w:r w:rsidR="00E042E8" w:rsidRPr="00AE3438">
        <w:rPr>
          <w:iCs/>
        </w:rPr>
        <w:fldChar w:fldCharType="begin"/>
      </w:r>
      <w:r w:rsidR="00E042E8" w:rsidRPr="00AE3438">
        <w:rPr>
          <w:iCs/>
        </w:rPr>
        <w:instrText xml:space="preserve"> REF _Ref113303183 \h </w:instrText>
      </w:r>
      <w:r w:rsidR="00C761FA" w:rsidRPr="00AE3438">
        <w:rPr>
          <w:iCs/>
        </w:rPr>
        <w:instrText xml:space="preserve"> \* MERGEFORMAT </w:instrText>
      </w:r>
      <w:r w:rsidR="00E042E8" w:rsidRPr="00AE3438">
        <w:rPr>
          <w:iCs/>
        </w:rPr>
      </w:r>
      <w:r w:rsidR="00E042E8" w:rsidRPr="00AE3438">
        <w:rPr>
          <w:iCs/>
        </w:rPr>
        <w:fldChar w:fldCharType="separate"/>
      </w:r>
      <w:r w:rsidR="008E4E26" w:rsidRPr="00AE3438">
        <w:rPr>
          <w:iCs/>
        </w:rPr>
        <w:t xml:space="preserve">Figure </w:t>
      </w:r>
      <w:r w:rsidR="008E4E26">
        <w:rPr>
          <w:iCs/>
        </w:rPr>
        <w:t>1</w:t>
      </w:r>
      <w:r w:rsidR="00E042E8" w:rsidRPr="00AE3438">
        <w:rPr>
          <w:iCs/>
        </w:rPr>
        <w:fldChar w:fldCharType="end"/>
      </w:r>
      <w:r w:rsidR="00E042E8" w:rsidRPr="00AE3438">
        <w:rPr>
          <w:iCs/>
        </w:rPr>
        <w:t xml:space="preserve"> </w:t>
      </w:r>
      <w:r w:rsidRPr="00AE3438">
        <w:rPr>
          <w:iCs/>
        </w:rPr>
        <w:t xml:space="preserve">presents clinical forms of SMA according to the new and original classifications and their correlations with </w:t>
      </w:r>
      <w:r w:rsidRPr="00AE3438">
        <w:rPr>
          <w:i/>
        </w:rPr>
        <w:t>SMN2</w:t>
      </w:r>
      <w:r w:rsidRPr="00AE3438">
        <w:rPr>
          <w:iCs/>
        </w:rPr>
        <w:t xml:space="preserve"> copy numbers based on a review study by Wirth et al 2020</w:t>
      </w:r>
      <w:r w:rsidRPr="00AE3438">
        <w:rPr>
          <w:rStyle w:val="FootnoteReference"/>
          <w:iCs/>
        </w:rPr>
        <w:footnoteReference w:id="4"/>
      </w:r>
      <w:r w:rsidRPr="00AE3438">
        <w:rPr>
          <w:iCs/>
        </w:rPr>
        <w:t>.</w:t>
      </w:r>
    </w:p>
    <w:p w14:paraId="62FC3093" w14:textId="66F3E2A7" w:rsidR="00027CE2" w:rsidRPr="00AE3438" w:rsidRDefault="00E042E8" w:rsidP="00E042E8">
      <w:pPr>
        <w:pStyle w:val="Caption"/>
        <w:rPr>
          <w:b w:val="0"/>
          <w:iCs/>
          <w:szCs w:val="20"/>
        </w:rPr>
      </w:pPr>
      <w:bookmarkStart w:id="17" w:name="_Ref113303183"/>
      <w:r w:rsidRPr="00AE3438">
        <w:rPr>
          <w:iCs/>
        </w:rPr>
        <w:lastRenderedPageBreak/>
        <w:t xml:space="preserve">Figure </w:t>
      </w:r>
      <w:r w:rsidRPr="00AE3438">
        <w:rPr>
          <w:iCs/>
        </w:rPr>
        <w:fldChar w:fldCharType="begin"/>
      </w:r>
      <w:r w:rsidRPr="00AE3438">
        <w:rPr>
          <w:iCs/>
        </w:rPr>
        <w:instrText xml:space="preserve"> SEQ Figure \* ARABIC </w:instrText>
      </w:r>
      <w:r w:rsidRPr="00AE3438">
        <w:rPr>
          <w:iCs/>
        </w:rPr>
        <w:fldChar w:fldCharType="separate"/>
      </w:r>
      <w:r w:rsidR="008E4E26">
        <w:rPr>
          <w:iCs/>
          <w:noProof/>
        </w:rPr>
        <w:t>1</w:t>
      </w:r>
      <w:r w:rsidRPr="00AE3438">
        <w:rPr>
          <w:iCs/>
        </w:rPr>
        <w:fldChar w:fldCharType="end"/>
      </w:r>
      <w:bookmarkEnd w:id="17"/>
      <w:r w:rsidR="00027CE2" w:rsidRPr="00AE3438">
        <w:rPr>
          <w:iCs/>
          <w:szCs w:val="20"/>
        </w:rPr>
        <w:t xml:space="preserve">: Clinical forms of SMA based on the new and original classifications and their correlations with </w:t>
      </w:r>
      <w:r w:rsidR="00027CE2" w:rsidRPr="00AE3438">
        <w:rPr>
          <w:i/>
          <w:szCs w:val="20"/>
        </w:rPr>
        <w:t xml:space="preserve">SMN2 </w:t>
      </w:r>
      <w:r w:rsidR="00027CE2" w:rsidRPr="00AE3438">
        <w:rPr>
          <w:iCs/>
          <w:szCs w:val="20"/>
        </w:rPr>
        <w:t>copy numbers.</w:t>
      </w:r>
    </w:p>
    <w:p w14:paraId="7FE072E1" w14:textId="77777777" w:rsidR="00027CE2" w:rsidRPr="00AE3438" w:rsidRDefault="00027CE2" w:rsidP="00027CE2">
      <w:pPr>
        <w:rPr>
          <w:i/>
        </w:rPr>
      </w:pPr>
      <w:r w:rsidRPr="00AE3438">
        <w:rPr>
          <w:i/>
          <w:noProof/>
          <w:lang w:eastAsia="zh-CN"/>
        </w:rPr>
        <w:drawing>
          <wp:inline distT="0" distB="0" distL="0" distR="0" wp14:anchorId="0C4D86F3" wp14:editId="6AC9C158">
            <wp:extent cx="5398134" cy="3183147"/>
            <wp:effectExtent l="0" t="0" r="0" b="0"/>
            <wp:docPr id="7" name="Picture 7" descr="Figure 1: Clinical forms of SMA based on the new and original classifications and their correlations with SMN2 copy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 Clinical forms of SMA based on the new and original classifications and their correlations with SMN2 copy numbers."/>
                    <pic:cNvPicPr/>
                  </pic:nvPicPr>
                  <pic:blipFill>
                    <a:blip r:embed="rId8"/>
                    <a:stretch>
                      <a:fillRect/>
                    </a:stretch>
                  </pic:blipFill>
                  <pic:spPr>
                    <a:xfrm>
                      <a:off x="0" y="0"/>
                      <a:ext cx="5405577" cy="3187536"/>
                    </a:xfrm>
                    <a:prstGeom prst="rect">
                      <a:avLst/>
                    </a:prstGeom>
                  </pic:spPr>
                </pic:pic>
              </a:graphicData>
            </a:graphic>
          </wp:inline>
        </w:drawing>
      </w:r>
    </w:p>
    <w:p w14:paraId="60A42F20" w14:textId="77777777" w:rsidR="00027CE2" w:rsidRPr="00AE3438" w:rsidRDefault="00027CE2" w:rsidP="00027CE2">
      <w:pPr>
        <w:rPr>
          <w:rFonts w:ascii="Arial Narrow" w:hAnsi="Arial Narrow"/>
          <w:iCs/>
          <w:sz w:val="18"/>
          <w:szCs w:val="18"/>
        </w:rPr>
      </w:pPr>
      <w:r w:rsidRPr="00AE3438">
        <w:rPr>
          <w:rFonts w:ascii="Arial Narrow" w:hAnsi="Arial Narrow"/>
          <w:iCs/>
          <w:sz w:val="18"/>
          <w:szCs w:val="18"/>
        </w:rPr>
        <w:t>Source: Figure 1, Wirth et al 2020.</w:t>
      </w:r>
    </w:p>
    <w:p w14:paraId="15B0D58A" w14:textId="5120AC40" w:rsidR="00027CE2" w:rsidRPr="00AE3438" w:rsidRDefault="00027CE2" w:rsidP="00027CE2">
      <w:pPr>
        <w:rPr>
          <w:rFonts w:ascii="Arial Narrow" w:hAnsi="Arial Narrow"/>
          <w:iCs/>
          <w:sz w:val="18"/>
          <w:szCs w:val="18"/>
        </w:rPr>
      </w:pPr>
      <w:r w:rsidRPr="00AE3438">
        <w:rPr>
          <w:rFonts w:ascii="Arial Narrow" w:hAnsi="Arial Narrow"/>
          <w:iCs/>
          <w:sz w:val="18"/>
          <w:szCs w:val="18"/>
        </w:rPr>
        <w:t>SMA=spinal muscular atrophy; SMN=survival motor neuron;</w:t>
      </w:r>
    </w:p>
    <w:p w14:paraId="3BFCCCB9" w14:textId="665CD401" w:rsidR="00027CE2" w:rsidRPr="00AE3438" w:rsidRDefault="00027CE2" w:rsidP="00027CE2">
      <w:pPr>
        <w:rPr>
          <w:rFonts w:ascii="Arial Narrow" w:hAnsi="Arial Narrow"/>
          <w:iCs/>
          <w:sz w:val="18"/>
          <w:szCs w:val="18"/>
        </w:rPr>
      </w:pPr>
      <w:r w:rsidRPr="00AE3438">
        <w:rPr>
          <w:rFonts w:ascii="Arial Narrow" w:hAnsi="Arial Narrow"/>
          <w:iCs/>
          <w:sz w:val="18"/>
          <w:szCs w:val="18"/>
        </w:rPr>
        <w:t>Non</w:t>
      </w:r>
      <w:r w:rsidR="00562BED" w:rsidRPr="00AE3438">
        <w:rPr>
          <w:rFonts w:ascii="Arial Narrow" w:hAnsi="Arial Narrow"/>
          <w:iCs/>
          <w:sz w:val="18"/>
          <w:szCs w:val="18"/>
        </w:rPr>
        <w:t>-</w:t>
      </w:r>
      <w:r w:rsidRPr="00AE3438">
        <w:rPr>
          <w:rFonts w:ascii="Arial Narrow" w:hAnsi="Arial Narrow"/>
          <w:iCs/>
          <w:sz w:val="18"/>
          <w:szCs w:val="18"/>
        </w:rPr>
        <w:t xml:space="preserve">sitters include all Type 0 and Type I patients and some Type II patients who are unable to sit independently. </w:t>
      </w:r>
    </w:p>
    <w:p w14:paraId="6C46BAE2" w14:textId="77777777" w:rsidR="00027CE2" w:rsidRPr="00AE3438" w:rsidRDefault="00027CE2" w:rsidP="00027CE2">
      <w:pPr>
        <w:rPr>
          <w:rFonts w:ascii="Arial Narrow" w:hAnsi="Arial Narrow"/>
          <w:iCs/>
          <w:sz w:val="18"/>
          <w:szCs w:val="18"/>
        </w:rPr>
      </w:pPr>
      <w:r w:rsidRPr="00AE3438">
        <w:rPr>
          <w:rFonts w:ascii="Arial Narrow" w:hAnsi="Arial Narrow"/>
          <w:iCs/>
          <w:sz w:val="18"/>
          <w:szCs w:val="18"/>
        </w:rPr>
        <w:t xml:space="preserve">Sitters include the remaining Type II and some Type III patients who are unable to walk independently. </w:t>
      </w:r>
    </w:p>
    <w:p w14:paraId="707C5C98" w14:textId="77777777" w:rsidR="00027CE2" w:rsidRPr="00AE3438" w:rsidRDefault="00027CE2" w:rsidP="00027CE2">
      <w:pPr>
        <w:rPr>
          <w:rFonts w:ascii="Arial Narrow" w:hAnsi="Arial Narrow"/>
          <w:iCs/>
          <w:sz w:val="18"/>
          <w:szCs w:val="18"/>
        </w:rPr>
      </w:pPr>
      <w:r w:rsidRPr="00AE3438">
        <w:rPr>
          <w:rFonts w:ascii="Arial Narrow" w:hAnsi="Arial Narrow"/>
          <w:iCs/>
          <w:sz w:val="18"/>
          <w:szCs w:val="18"/>
        </w:rPr>
        <w:t xml:space="preserve">Walkers include the remaining Type III and all Type IV patients. </w:t>
      </w:r>
    </w:p>
    <w:p w14:paraId="4C001DF1" w14:textId="26DC03A8" w:rsidR="00027CE2" w:rsidRPr="009A65A9" w:rsidRDefault="00027CE2" w:rsidP="009A65A9">
      <w:pPr>
        <w:spacing w:after="120"/>
        <w:rPr>
          <w:rFonts w:ascii="Arial Narrow" w:hAnsi="Arial Narrow"/>
          <w:iCs/>
          <w:sz w:val="18"/>
          <w:szCs w:val="18"/>
        </w:rPr>
      </w:pPr>
      <w:r w:rsidRPr="00AE3438">
        <w:rPr>
          <w:rFonts w:ascii="Arial Narrow" w:hAnsi="Arial Narrow"/>
          <w:iCs/>
          <w:sz w:val="18"/>
          <w:szCs w:val="18"/>
        </w:rPr>
        <w:t>The correlations between clinical severity and SMN2 copy numbers are depicted according to the original classification, as no correlation studies for the new classification are available. Type 0 SMA cases reported so far always carry one SMN2 copy, and in most studies these were included under type I.</w:t>
      </w:r>
    </w:p>
    <w:p w14:paraId="78E1E0E8" w14:textId="12B3BA24" w:rsidR="00027CE2" w:rsidRPr="00AE3438" w:rsidRDefault="00027CE2" w:rsidP="00185957">
      <w:pPr>
        <w:pStyle w:val="3-BodyText"/>
        <w:rPr>
          <w:iCs/>
        </w:rPr>
      </w:pPr>
      <w:r w:rsidRPr="00AE3438">
        <w:rPr>
          <w:iCs/>
        </w:rPr>
        <w:t xml:space="preserve">Although the severity of the SMA phenotype is influenced mainly by the </w:t>
      </w:r>
      <w:r w:rsidRPr="00AE3438">
        <w:rPr>
          <w:i/>
        </w:rPr>
        <w:t>SMN2</w:t>
      </w:r>
      <w:r w:rsidRPr="00AE3438">
        <w:rPr>
          <w:iCs/>
        </w:rPr>
        <w:t xml:space="preserve"> copy number, with more copies resulting in a milder phenotype, this correlation is not absolute. </w:t>
      </w:r>
      <w:r w:rsidR="00453BD0">
        <w:rPr>
          <w:iCs/>
        </w:rPr>
        <w:t>T</w:t>
      </w:r>
      <w:r w:rsidR="00453BD0" w:rsidRPr="00054F33">
        <w:rPr>
          <w:iCs/>
        </w:rPr>
        <w:t>he Pre</w:t>
      </w:r>
      <w:r w:rsidR="00453BD0" w:rsidRPr="00054F33">
        <w:rPr>
          <w:iCs/>
        </w:rPr>
        <w:noBreakHyphen/>
        <w:t>Sub-Committee Response (PSCR) noted data from Cusco et al 2020 found an ‘unexpected discordance’ between copy number and disease severity with children with 3 or 4 copies of the gene showing more severe disease than expected.</w:t>
      </w:r>
      <w:r w:rsidR="00453BD0">
        <w:rPr>
          <w:iCs/>
        </w:rPr>
        <w:t xml:space="preserve"> </w:t>
      </w:r>
      <w:r w:rsidRPr="00AE3438">
        <w:rPr>
          <w:iCs/>
        </w:rPr>
        <w:t xml:space="preserve">Wirth et al 2020 reported that the predictive value of 3 copies of </w:t>
      </w:r>
      <w:r w:rsidRPr="00AE3438">
        <w:rPr>
          <w:i/>
        </w:rPr>
        <w:t>SMN2</w:t>
      </w:r>
      <w:r w:rsidRPr="00AE3438">
        <w:rPr>
          <w:iCs/>
        </w:rPr>
        <w:t xml:space="preserve"> is less than that of 2 or 4 copies</w:t>
      </w:r>
      <w:r w:rsidR="00B245B1" w:rsidRPr="00AE3438">
        <w:rPr>
          <w:iCs/>
        </w:rPr>
        <w:t xml:space="preserve">. </w:t>
      </w:r>
      <w:r w:rsidRPr="00AE3438">
        <w:rPr>
          <w:iCs/>
        </w:rPr>
        <w:t xml:space="preserve">In consideration of the prognostic value of </w:t>
      </w:r>
      <w:r w:rsidRPr="00AE3438">
        <w:rPr>
          <w:i/>
        </w:rPr>
        <w:t>SMN2</w:t>
      </w:r>
      <w:r w:rsidRPr="00AE3438">
        <w:rPr>
          <w:iCs/>
        </w:rPr>
        <w:t xml:space="preserve"> copy number for the severity of SMA to determine eligibility for </w:t>
      </w:r>
      <w:r w:rsidR="00D54DE8" w:rsidRPr="00AE3438">
        <w:rPr>
          <w:iCs/>
        </w:rPr>
        <w:t xml:space="preserve">nusinersen in </w:t>
      </w:r>
      <w:r w:rsidRPr="00AE3438">
        <w:rPr>
          <w:iCs/>
        </w:rPr>
        <w:t>pre</w:t>
      </w:r>
      <w:r w:rsidR="006D6FED" w:rsidRPr="00AE3438">
        <w:rPr>
          <w:iCs/>
        </w:rPr>
        <w:noBreakHyphen/>
      </w:r>
      <w:r w:rsidRPr="00AE3438">
        <w:rPr>
          <w:iCs/>
        </w:rPr>
        <w:t xml:space="preserve">symptomatic </w:t>
      </w:r>
      <w:r w:rsidR="00D54DE8" w:rsidRPr="00AE3438">
        <w:rPr>
          <w:iCs/>
        </w:rPr>
        <w:t xml:space="preserve">patients </w:t>
      </w:r>
      <w:r w:rsidRPr="00AE3438">
        <w:rPr>
          <w:iCs/>
        </w:rPr>
        <w:t xml:space="preserve">(MSAC application number 1589, 2019), the </w:t>
      </w:r>
      <w:r w:rsidR="00562BED" w:rsidRPr="00AE3438">
        <w:rPr>
          <w:iCs/>
        </w:rPr>
        <w:t>Medical Services Advisory Committee (</w:t>
      </w:r>
      <w:r w:rsidRPr="00AE3438">
        <w:rPr>
          <w:iCs/>
        </w:rPr>
        <w:t>MSAC</w:t>
      </w:r>
      <w:r w:rsidR="00562BED" w:rsidRPr="00AE3438">
        <w:rPr>
          <w:iCs/>
        </w:rPr>
        <w:t>)</w:t>
      </w:r>
      <w:r w:rsidRPr="00AE3438">
        <w:rPr>
          <w:iCs/>
        </w:rPr>
        <w:t xml:space="preserve"> also noted that three copies of </w:t>
      </w:r>
      <w:r w:rsidRPr="00AE3438">
        <w:rPr>
          <w:i/>
        </w:rPr>
        <w:t>SMN2</w:t>
      </w:r>
      <w:r w:rsidRPr="00AE3438">
        <w:rPr>
          <w:iCs/>
        </w:rPr>
        <w:t xml:space="preserve"> resulted in infants developing all types of SMA, from Type I (most severe) to Type IV (least severe), with most developing Type II.</w:t>
      </w:r>
      <w:r w:rsidR="00B245B1" w:rsidRPr="00AE3438">
        <w:rPr>
          <w:iCs/>
        </w:rPr>
        <w:t xml:space="preserve"> Based on a meta-analysis of world-wide data, Calucho et al 2018 reported that in patients with 3 </w:t>
      </w:r>
      <w:r w:rsidR="00B245B1" w:rsidRPr="007E71CB">
        <w:rPr>
          <w:i/>
        </w:rPr>
        <w:t>SMN2</w:t>
      </w:r>
      <w:r w:rsidR="00B245B1" w:rsidRPr="00AE3438">
        <w:rPr>
          <w:iCs/>
        </w:rPr>
        <w:t xml:space="preserve"> copies, the majority would develop SMA Type II (53%) and Type III (30%) and 17% would develop the more severe Type I and would never sit.</w:t>
      </w:r>
      <w:r w:rsidR="00224CF2" w:rsidRPr="00AE3438">
        <w:rPr>
          <w:iCs/>
        </w:rPr>
        <w:t xml:space="preserve"> </w:t>
      </w:r>
      <w:r w:rsidRPr="00AE3438">
        <w:rPr>
          <w:iCs/>
        </w:rPr>
        <w:t xml:space="preserve">The PBAC had also previously noted that for SMA Type I, while the majority of patients (80%) had ≤2 copies of the </w:t>
      </w:r>
      <w:r w:rsidRPr="00AE3438">
        <w:rPr>
          <w:i/>
        </w:rPr>
        <w:t>SMN2</w:t>
      </w:r>
      <w:r w:rsidRPr="00AE3438">
        <w:rPr>
          <w:iCs/>
        </w:rPr>
        <w:t xml:space="preserve"> gene, 20% had 3 copies of SMN2. </w:t>
      </w:r>
      <w:r w:rsidR="00185957" w:rsidRPr="00AE3438">
        <w:rPr>
          <w:iCs/>
        </w:rPr>
        <w:t xml:space="preserve">Patients with 3 copies of the </w:t>
      </w:r>
      <w:r w:rsidR="00185957" w:rsidRPr="00AE3438">
        <w:rPr>
          <w:i/>
        </w:rPr>
        <w:t>SMN2</w:t>
      </w:r>
      <w:r w:rsidR="00185957" w:rsidRPr="00AE3438">
        <w:rPr>
          <w:iCs/>
        </w:rPr>
        <w:t xml:space="preserve"> gene could also manifest as either Types III or IV </w:t>
      </w:r>
      <w:r w:rsidR="00185957" w:rsidRPr="00AE3438">
        <w:rPr>
          <w:iCs/>
        </w:rPr>
        <w:lastRenderedPageBreak/>
        <w:t>SMA (paragraph 4.3, onasemnogene abeparvovec PSD</w:t>
      </w:r>
      <w:r w:rsidR="009D176E" w:rsidRPr="00AE3438">
        <w:rPr>
          <w:iCs/>
        </w:rPr>
        <w:t>,</w:t>
      </w:r>
      <w:r w:rsidR="00185957" w:rsidRPr="00AE3438">
        <w:rPr>
          <w:iCs/>
        </w:rPr>
        <w:t xml:space="preserve"> November 2020 PBAC meeting).</w:t>
      </w:r>
      <w:r w:rsidR="00FB0DED">
        <w:rPr>
          <w:iCs/>
        </w:rPr>
        <w:t xml:space="preserve"> </w:t>
      </w:r>
    </w:p>
    <w:p w14:paraId="2E01D616" w14:textId="23BEDAE6" w:rsidR="00DA64B3" w:rsidRPr="00AE3438" w:rsidRDefault="00FB0DED" w:rsidP="00DA64B3">
      <w:pPr>
        <w:pStyle w:val="3-BodyText"/>
      </w:pPr>
      <w:r>
        <w:rPr>
          <w:iCs/>
        </w:rPr>
        <w:t xml:space="preserve">The PBAC noted that descriptions of SMA Type </w:t>
      </w:r>
      <w:r w:rsidR="00224C5C">
        <w:rPr>
          <w:iCs/>
        </w:rPr>
        <w:t xml:space="preserve">and </w:t>
      </w:r>
      <w:r>
        <w:rPr>
          <w:iCs/>
        </w:rPr>
        <w:t>phenotype reflect the natural history of disease</w:t>
      </w:r>
      <w:r w:rsidR="00224C5C">
        <w:rPr>
          <w:iCs/>
        </w:rPr>
        <w:t xml:space="preserve"> and don’t reflect a scenario where</w:t>
      </w:r>
      <w:r>
        <w:rPr>
          <w:iCs/>
        </w:rPr>
        <w:t xml:space="preserve"> patients are treated </w:t>
      </w:r>
      <w:r w:rsidR="00224C5C">
        <w:rPr>
          <w:iCs/>
        </w:rPr>
        <w:t xml:space="preserve">with DMTs </w:t>
      </w:r>
      <w:r>
        <w:rPr>
          <w:iCs/>
        </w:rPr>
        <w:t>pre-symptomatically or soon after symptoms appear</w:t>
      </w:r>
      <w:r w:rsidR="00224C5C">
        <w:rPr>
          <w:iCs/>
        </w:rPr>
        <w:t xml:space="preserve">. </w:t>
      </w:r>
      <w:r w:rsidR="00DA64B3" w:rsidRPr="00AE3438">
        <w:t>At the November 2020 meeting, the PBAC noted that while ONA (and nusinersen) improved motor function, neither treatment was able to cure SMA, with patients in the trials remaining significantly disabled (paragraph 6.23, onasemnogene abeparvovec PSD, November 2020 PBAC meeting).</w:t>
      </w:r>
    </w:p>
    <w:p w14:paraId="4239CC61" w14:textId="13F8C502" w:rsidR="00E71D46" w:rsidRPr="00AE3438" w:rsidRDefault="00DA64B3" w:rsidP="00E71D46">
      <w:pPr>
        <w:pStyle w:val="3-BodyText"/>
      </w:pPr>
      <w:r w:rsidRPr="00AE3438">
        <w:t xml:space="preserve">The difference between the current and proposed clinical management was earlier treatment with ONA in patients diagnosed with 3 copies of </w:t>
      </w:r>
      <w:r w:rsidRPr="00AE3438">
        <w:rPr>
          <w:i/>
        </w:rPr>
        <w:t>SMN2</w:t>
      </w:r>
      <w:r w:rsidRPr="00AE3438">
        <w:t xml:space="preserve"> prior to symptom development. Currently, these patients would receive PBS listed treatments when symptoms are present.</w:t>
      </w:r>
      <w:r w:rsidR="00E71D46" w:rsidRPr="00E71D46">
        <w:rPr>
          <w:iCs/>
        </w:rPr>
        <w:t xml:space="preserve"> </w:t>
      </w:r>
      <w:r w:rsidR="00E71D46">
        <w:rPr>
          <w:iCs/>
        </w:rPr>
        <w:t>The pre-PBAC response stated that the international standard is to treat upon diagnosis of SMA (with or without symptoms), in order to minimise the loss of irreplaceable motor neurons</w:t>
      </w:r>
      <w:r w:rsidR="00E71D46" w:rsidRPr="00AE3438">
        <w:rPr>
          <w:iCs/>
        </w:rPr>
        <w:t xml:space="preserve">. </w:t>
      </w:r>
      <w:r w:rsidR="00E71D46" w:rsidRPr="00054F33">
        <w:rPr>
          <w:iCs/>
        </w:rPr>
        <w:t>The ESC considered that the move to pre</w:t>
      </w:r>
      <w:r w:rsidR="00E71D46" w:rsidRPr="00054F33">
        <w:rPr>
          <w:iCs/>
        </w:rPr>
        <w:noBreakHyphen/>
        <w:t>symptomatic treatment in patients who may have otherwise gone on to develop less severe disease represents a substantial shift to preventive treatment. The ESC considered this may require a different approach to consideration of cost</w:t>
      </w:r>
      <w:r w:rsidR="00E71D46">
        <w:rPr>
          <w:iCs/>
        </w:rPr>
        <w:noBreakHyphen/>
      </w:r>
      <w:r w:rsidR="00E71D46" w:rsidRPr="00054F33">
        <w:rPr>
          <w:iCs/>
        </w:rPr>
        <w:t>effectiveness compared with when DMTs first became available as potentially life</w:t>
      </w:r>
      <w:r w:rsidR="00E71D46">
        <w:rPr>
          <w:iCs/>
        </w:rPr>
        <w:noBreakHyphen/>
      </w:r>
      <w:r w:rsidR="00E71D46" w:rsidRPr="00054F33">
        <w:rPr>
          <w:iCs/>
        </w:rPr>
        <w:t xml:space="preserve">saving treatments for patients with severe disease. </w:t>
      </w:r>
    </w:p>
    <w:p w14:paraId="7DFAE80B" w14:textId="73D683DF" w:rsidR="00C5373F" w:rsidRPr="009A65A9" w:rsidRDefault="00FB0DED" w:rsidP="009A65A9">
      <w:pPr>
        <w:pStyle w:val="3-BodyText"/>
      </w:pPr>
      <w:r w:rsidRPr="00AE3438">
        <w:t>ONA is a once per life-time gene replacement therapy consisting of a non-replicating recombinant adeno-associated viral (AAV</w:t>
      </w:r>
      <w:r w:rsidRPr="00AE3438">
        <w:rPr>
          <w:vertAlign w:val="subscript"/>
        </w:rPr>
        <w:t>9</w:t>
      </w:r>
      <w:r w:rsidRPr="00AE3438">
        <w:t>) vector containing the human SMN gene under control of the chicken beta-actin promoter. It is designed to deliver a copy of the gene encoding the human SMN protein. ONA is administered as a single-dose intravenous (IV) infusion delivered over 60 minutes. The recommended dose is 1.1 x 10</w:t>
      </w:r>
      <w:r w:rsidRPr="00AE3438">
        <w:rPr>
          <w:vertAlign w:val="superscript"/>
        </w:rPr>
        <w:t>14</w:t>
      </w:r>
      <w:r w:rsidRPr="00AE3438">
        <w:t xml:space="preserve"> vector genomes per kilogram (vg/kg) of bodyweight. All patients should receive oral prednisolone (1 mg/kg) to manage possible liver function abnormalities, started one day prior to treatment, and for at least 30 days post-treatment.</w:t>
      </w:r>
    </w:p>
    <w:p w14:paraId="621641ED" w14:textId="48D28DCC" w:rsidR="00115739" w:rsidRPr="00AE3438" w:rsidRDefault="00115739" w:rsidP="00115739">
      <w:pPr>
        <w:pStyle w:val="3-BodyText"/>
        <w:numPr>
          <w:ilvl w:val="0"/>
          <w:numId w:val="0"/>
        </w:numPr>
        <w:rPr>
          <w:u w:val="single"/>
        </w:rPr>
      </w:pPr>
      <w:r w:rsidRPr="00AE3438">
        <w:rPr>
          <w:u w:val="single"/>
        </w:rPr>
        <w:t>Newborn bloodspot screening</w:t>
      </w:r>
      <w:r w:rsidR="00AF423D" w:rsidRPr="00AE3438">
        <w:rPr>
          <w:u w:val="single"/>
        </w:rPr>
        <w:t xml:space="preserve"> (NBS)</w:t>
      </w:r>
    </w:p>
    <w:p w14:paraId="742B3E6B" w14:textId="701D3410" w:rsidR="00027CE2" w:rsidRPr="00AE3438" w:rsidRDefault="00AF423D" w:rsidP="004E18E9">
      <w:pPr>
        <w:pStyle w:val="3-BodyText"/>
        <w:rPr>
          <w:i/>
        </w:rPr>
      </w:pPr>
      <w:bookmarkStart w:id="18" w:name="_Ref113287888"/>
      <w:r w:rsidRPr="00AE3438">
        <w:t xml:space="preserve">NBS will identify and diagnose patients with SMA for treatment prior to symptom development. However, NBS funding is not available in all states and territories. An estimated 90% of the population would be screened for SMA by end of 2023 based on the jurisdictions that have indicated fully funded programs (New South Wales and Australian Capital Territory) and program commencement in December 2022-June 2023 (Western Australia, Victoria and Queensland). This would increase to 97% coverage if South Australia was included. </w:t>
      </w:r>
      <w:r w:rsidRPr="00AE3438">
        <w:rPr>
          <w:iCs/>
        </w:rPr>
        <w:t xml:space="preserve">A variable proportion of the patient population will likely be diagnosed </w:t>
      </w:r>
      <w:r w:rsidR="007A3DE9" w:rsidRPr="00AE3438">
        <w:rPr>
          <w:iCs/>
        </w:rPr>
        <w:t xml:space="preserve">based on NBS and </w:t>
      </w:r>
      <w:r w:rsidRPr="00AE3438">
        <w:rPr>
          <w:iCs/>
        </w:rPr>
        <w:t>based on symptoms given that the current status of SMA screening is discrepant across the states and territories of Australia with varying implementation timeframe</w:t>
      </w:r>
      <w:r w:rsidR="007A3DE9" w:rsidRPr="00AE3438">
        <w:rPr>
          <w:iCs/>
        </w:rPr>
        <w:t>s</w:t>
      </w:r>
      <w:r w:rsidRPr="00AE3438">
        <w:rPr>
          <w:iCs/>
        </w:rPr>
        <w:t>.</w:t>
      </w:r>
      <w:bookmarkEnd w:id="18"/>
    </w:p>
    <w:p w14:paraId="6CED1BC1" w14:textId="349BEB4B" w:rsidR="00AF423D" w:rsidRPr="00AE3438" w:rsidRDefault="00AF423D" w:rsidP="004E18E9">
      <w:pPr>
        <w:pStyle w:val="3-BodyText"/>
      </w:pPr>
      <w:r w:rsidRPr="00AE3438">
        <w:t xml:space="preserve">NSW and ACT have continued SMA screening following a pilot. All children born in NSW/ACT are offered screening within 48-72 hours of birth, with a 0.1% opt-out rate. </w:t>
      </w:r>
      <w:r w:rsidRPr="00AE3438">
        <w:lastRenderedPageBreak/>
        <w:t xml:space="preserve">The process of SMA screening in the NBS involved a first-tier screening test on dried blood sample to determine homozygous deletion of </w:t>
      </w:r>
      <w:r w:rsidRPr="00AE3438">
        <w:rPr>
          <w:i/>
        </w:rPr>
        <w:t>SMN1</w:t>
      </w:r>
      <w:r w:rsidRPr="00AE3438">
        <w:t xml:space="preserve"> and a second-tier test was performed on those positive at first tier. Second tier screening screens for </w:t>
      </w:r>
      <w:r w:rsidRPr="00AE3438">
        <w:rPr>
          <w:i/>
        </w:rPr>
        <w:t>SMN1</w:t>
      </w:r>
      <w:r w:rsidRPr="00AE3438">
        <w:t xml:space="preserve"> homozygous deletion on a second dried blood sample and </w:t>
      </w:r>
      <w:r w:rsidRPr="00AE3438">
        <w:rPr>
          <w:i/>
        </w:rPr>
        <w:t>SMN2</w:t>
      </w:r>
      <w:r w:rsidRPr="00AE3438">
        <w:t xml:space="preserve"> copy number on the first and second dried blood sample. The NBS pilot protocol on all tested dried bloodspot cards had a sensitivity of 100%, specificity greater than 99.9%, false-positive rate less than 0.001%, and positive predictive value of 95.5%.</w:t>
      </w:r>
    </w:p>
    <w:p w14:paraId="687AFAEF" w14:textId="370C2F60" w:rsidR="00AF423D" w:rsidRPr="00AE3438" w:rsidRDefault="00AF423D" w:rsidP="004E18E9">
      <w:pPr>
        <w:pStyle w:val="3-BodyText"/>
        <w:rPr>
          <w:iCs/>
        </w:rPr>
      </w:pPr>
      <w:bookmarkStart w:id="19" w:name="_Ref113287892"/>
      <w:r w:rsidRPr="00AE3438">
        <w:rPr>
          <w:iCs/>
        </w:rPr>
        <w:t xml:space="preserve">As </w:t>
      </w:r>
      <w:r w:rsidR="007B0523" w:rsidRPr="00AE3438">
        <w:rPr>
          <w:iCs/>
        </w:rPr>
        <w:t>of</w:t>
      </w:r>
      <w:r w:rsidRPr="00AE3438">
        <w:rPr>
          <w:iCs/>
        </w:rPr>
        <w:t xml:space="preserve"> January 2021, this pilot had detected 22 children from 252,081 babies screened (Newson et al 2022). However, the potential incidence of SMA may potentially reduce over time with reproductive genetic carrier screening and prenatal diagnosis of SMA on the horizon, which may change reproductive/intervention options. In July 2020, the MSAC recommended for reimbursement (but not yet implemented) pre-conception genetic carrier testing for inherited conditions including SMA (application number 1573). MSAC </w:t>
      </w:r>
      <w:r w:rsidR="00F030C8" w:rsidRPr="00AE3438">
        <w:rPr>
          <w:iCs/>
        </w:rPr>
        <w:t>has also</w:t>
      </w:r>
      <w:r w:rsidRPr="00AE3438">
        <w:rPr>
          <w:iCs/>
        </w:rPr>
        <w:t xml:space="preserve"> </w:t>
      </w:r>
      <w:r w:rsidR="00F030C8" w:rsidRPr="00AE3438">
        <w:rPr>
          <w:iCs/>
        </w:rPr>
        <w:t xml:space="preserve">considered </w:t>
      </w:r>
      <w:r w:rsidRPr="00AE3438">
        <w:rPr>
          <w:iCs/>
        </w:rPr>
        <w:t>the expanded reproductive carrier screening of couples for joint carrier status of genes associated with autosomal recessive and X-linked conditions, which encompasses SMA (application number 1637</w:t>
      </w:r>
      <w:r w:rsidR="003E7E2F" w:rsidRPr="00AE3438">
        <w:rPr>
          <w:iCs/>
        </w:rPr>
        <w:t xml:space="preserve">, </w:t>
      </w:r>
      <w:r w:rsidR="00BB46AC" w:rsidRPr="00AE3438">
        <w:rPr>
          <w:iCs/>
        </w:rPr>
        <w:t>Application form and PICO confirmation</w:t>
      </w:r>
      <w:r w:rsidRPr="00AE3438">
        <w:rPr>
          <w:iCs/>
        </w:rPr>
        <w:t>).</w:t>
      </w:r>
      <w:bookmarkEnd w:id="19"/>
    </w:p>
    <w:p w14:paraId="70B27EE1" w14:textId="77777777" w:rsidR="00054F33" w:rsidRPr="00C33D30" w:rsidRDefault="00054F33" w:rsidP="00054F33">
      <w:pPr>
        <w:ind w:firstLine="709"/>
        <w:rPr>
          <w:rFonts w:asciiTheme="minorHAnsi" w:hAnsiTheme="minorHAnsi"/>
          <w:i/>
        </w:rPr>
      </w:pPr>
      <w:bookmarkStart w:id="20" w:name="_Toc114054850"/>
      <w:r w:rsidRPr="00C33D30">
        <w:rPr>
          <w:rFonts w:asciiTheme="minorHAnsi" w:hAnsiTheme="minorHAnsi"/>
          <w:i/>
        </w:rPr>
        <w:t>For more detail on PBAC’s view, see section 7 PBAC outcome.</w:t>
      </w:r>
    </w:p>
    <w:p w14:paraId="51E5AE96" w14:textId="136A63B1" w:rsidR="00B50DB8" w:rsidRPr="00AE3438" w:rsidRDefault="00B50DB8" w:rsidP="004E18E9">
      <w:pPr>
        <w:pStyle w:val="2-SectionHeading"/>
      </w:pPr>
      <w:r w:rsidRPr="00AE3438">
        <w:t>Comparator</w:t>
      </w:r>
      <w:bookmarkEnd w:id="20"/>
    </w:p>
    <w:p w14:paraId="250BB7A3" w14:textId="6131B73F" w:rsidR="00AF423D" w:rsidRPr="00AE3438" w:rsidRDefault="00AF423D" w:rsidP="00882E3C">
      <w:pPr>
        <w:pStyle w:val="3-BodyText"/>
        <w:rPr>
          <w:iCs/>
          <w:snapToGrid/>
        </w:rPr>
      </w:pPr>
      <w:r w:rsidRPr="00AE3438">
        <w:t>The submission nominated watchful waiting</w:t>
      </w:r>
      <w:r w:rsidR="00C622C4" w:rsidRPr="00AE3438">
        <w:t xml:space="preserve"> and treat as symptoms appear</w:t>
      </w:r>
      <w:r w:rsidRPr="00AE3438">
        <w:t xml:space="preserve"> as the main comparator. Patients identified with pre-symptomatic SMA and 3 copies of </w:t>
      </w:r>
      <w:r w:rsidRPr="00AE3438">
        <w:rPr>
          <w:i/>
        </w:rPr>
        <w:t>SMN2</w:t>
      </w:r>
      <w:r w:rsidRPr="00AE3438">
        <w:t xml:space="preserve"> currently wait to show symptoms </w:t>
      </w:r>
      <w:r w:rsidR="00970829" w:rsidRPr="00AE3438">
        <w:t xml:space="preserve">before </w:t>
      </w:r>
      <w:r w:rsidRPr="00AE3438">
        <w:t>receiv</w:t>
      </w:r>
      <w:r w:rsidR="00970829" w:rsidRPr="00AE3438">
        <w:t>ing</w:t>
      </w:r>
      <w:r w:rsidRPr="00AE3438">
        <w:t xml:space="preserve"> treatment with DMTs on the PBS. </w:t>
      </w:r>
      <w:r w:rsidR="003E7E2F" w:rsidRPr="00AE3438">
        <w:rPr>
          <w:iCs/>
        </w:rPr>
        <w:t>Currently, t</w:t>
      </w:r>
      <w:r w:rsidRPr="00AE3438">
        <w:rPr>
          <w:iCs/>
        </w:rPr>
        <w:t xml:space="preserve">he period of wait-to-treat may vary (from 0 days to 18 years) depending on symptom onset, with potential delays in the </w:t>
      </w:r>
      <w:r w:rsidR="003E7E2F" w:rsidRPr="00AE3438">
        <w:rPr>
          <w:iCs/>
        </w:rPr>
        <w:t xml:space="preserve">mean </w:t>
      </w:r>
      <w:r w:rsidRPr="00AE3438">
        <w:rPr>
          <w:iCs/>
        </w:rPr>
        <w:t xml:space="preserve">time between symptom onset and </w:t>
      </w:r>
      <w:r w:rsidR="00DE36E5" w:rsidRPr="00AE3438">
        <w:rPr>
          <w:iCs/>
        </w:rPr>
        <w:t xml:space="preserve">genetic </w:t>
      </w:r>
      <w:r w:rsidRPr="00AE3438">
        <w:rPr>
          <w:iCs/>
        </w:rPr>
        <w:t xml:space="preserve">diagnosis of 3.6, 14.3 and 43.6 months for SMA </w:t>
      </w:r>
      <w:r w:rsidR="00DE36E5" w:rsidRPr="00AE3438">
        <w:rPr>
          <w:iCs/>
        </w:rPr>
        <w:t>T</w:t>
      </w:r>
      <w:r w:rsidRPr="00AE3438">
        <w:rPr>
          <w:iCs/>
        </w:rPr>
        <w:t xml:space="preserve">ypes </w:t>
      </w:r>
      <w:r w:rsidR="00DE36E5" w:rsidRPr="00AE3438">
        <w:rPr>
          <w:iCs/>
        </w:rPr>
        <w:t>I</w:t>
      </w:r>
      <w:r w:rsidRPr="00AE3438">
        <w:rPr>
          <w:iCs/>
        </w:rPr>
        <w:t xml:space="preserve">, </w:t>
      </w:r>
      <w:r w:rsidR="00DE36E5" w:rsidRPr="00AE3438">
        <w:rPr>
          <w:iCs/>
        </w:rPr>
        <w:t xml:space="preserve">II </w:t>
      </w:r>
      <w:r w:rsidRPr="00AE3438">
        <w:rPr>
          <w:iCs/>
        </w:rPr>
        <w:t xml:space="preserve">and </w:t>
      </w:r>
      <w:r w:rsidR="00DE36E5" w:rsidRPr="00AE3438">
        <w:rPr>
          <w:iCs/>
        </w:rPr>
        <w:t>III</w:t>
      </w:r>
      <w:r w:rsidRPr="00AE3438">
        <w:rPr>
          <w:iCs/>
        </w:rPr>
        <w:t>, respectively (Davidson et al 2022)</w:t>
      </w:r>
      <w:r w:rsidRPr="00AE3438">
        <w:rPr>
          <w:rStyle w:val="FootnoteReference"/>
          <w:iCs/>
        </w:rPr>
        <w:footnoteReference w:id="5"/>
      </w:r>
      <w:r w:rsidRPr="00AE3438">
        <w:rPr>
          <w:iCs/>
        </w:rPr>
        <w:t xml:space="preserve">. </w:t>
      </w:r>
      <w:r w:rsidR="00350AA2" w:rsidRPr="00AE3438">
        <w:rPr>
          <w:iCs/>
        </w:rPr>
        <w:t>However, e</w:t>
      </w:r>
      <w:r w:rsidR="00DE36E5" w:rsidRPr="00AE3438">
        <w:rPr>
          <w:iCs/>
        </w:rPr>
        <w:t>arly detection of SMA, such as NBS</w:t>
      </w:r>
      <w:r w:rsidR="00E71D46">
        <w:rPr>
          <w:iCs/>
        </w:rPr>
        <w:t>,</w:t>
      </w:r>
      <w:r w:rsidR="00DE36E5" w:rsidRPr="00AE3438">
        <w:rPr>
          <w:iCs/>
        </w:rPr>
        <w:t xml:space="preserve"> will likely reduce this delay and expediate initiation of treatment. </w:t>
      </w:r>
      <w:r w:rsidR="00E042E8" w:rsidRPr="00AE3438">
        <w:rPr>
          <w:iCs/>
        </w:rPr>
        <w:fldChar w:fldCharType="begin"/>
      </w:r>
      <w:r w:rsidR="00E042E8" w:rsidRPr="00AE3438">
        <w:rPr>
          <w:iCs/>
        </w:rPr>
        <w:instrText xml:space="preserve"> REF _Ref113303235 \h </w:instrText>
      </w:r>
      <w:r w:rsidR="00C761FA" w:rsidRPr="00AE3438">
        <w:rPr>
          <w:iCs/>
        </w:rPr>
        <w:instrText xml:space="preserve"> \* MERGEFORMAT </w:instrText>
      </w:r>
      <w:r w:rsidR="00E042E8" w:rsidRPr="00AE3438">
        <w:rPr>
          <w:iCs/>
        </w:rPr>
      </w:r>
      <w:r w:rsidR="00E042E8" w:rsidRPr="00AE3438">
        <w:rPr>
          <w:iCs/>
        </w:rPr>
        <w:fldChar w:fldCharType="separate"/>
      </w:r>
      <w:r w:rsidR="008E4E26" w:rsidRPr="00AE3438">
        <w:rPr>
          <w:iCs/>
        </w:rPr>
        <w:t xml:space="preserve">Table </w:t>
      </w:r>
      <w:r w:rsidR="008E4E26">
        <w:rPr>
          <w:iCs/>
        </w:rPr>
        <w:t>2</w:t>
      </w:r>
      <w:r w:rsidR="00E042E8" w:rsidRPr="00AE3438">
        <w:rPr>
          <w:iCs/>
        </w:rPr>
        <w:fldChar w:fldCharType="end"/>
      </w:r>
      <w:r w:rsidR="00E042E8" w:rsidRPr="00AE3438">
        <w:rPr>
          <w:iCs/>
        </w:rPr>
        <w:t xml:space="preserve"> </w:t>
      </w:r>
      <w:r w:rsidRPr="00AE3438">
        <w:rPr>
          <w:iCs/>
        </w:rPr>
        <w:t>summarises the age of symptomatic and pre-symptomatic treatments with DMTs on the PBS.</w:t>
      </w:r>
    </w:p>
    <w:p w14:paraId="13058527" w14:textId="1BEB3DF4" w:rsidR="00AF423D" w:rsidRPr="00AE3438" w:rsidRDefault="00E042E8" w:rsidP="00DA64B3">
      <w:pPr>
        <w:pStyle w:val="Caption"/>
        <w:rPr>
          <w:b w:val="0"/>
          <w:iCs/>
          <w:szCs w:val="20"/>
        </w:rPr>
      </w:pPr>
      <w:bookmarkStart w:id="21" w:name="_Ref113303235"/>
      <w:r w:rsidRPr="00AE3438">
        <w:rPr>
          <w:iCs/>
        </w:rPr>
        <w:lastRenderedPageBreak/>
        <w:t xml:space="preserve">Table </w:t>
      </w:r>
      <w:r w:rsidRPr="00AE3438">
        <w:rPr>
          <w:iCs/>
        </w:rPr>
        <w:fldChar w:fldCharType="begin"/>
      </w:r>
      <w:r w:rsidRPr="00AE3438">
        <w:rPr>
          <w:iCs/>
        </w:rPr>
        <w:instrText xml:space="preserve"> SEQ Table \* ARABIC </w:instrText>
      </w:r>
      <w:r w:rsidRPr="00AE3438">
        <w:rPr>
          <w:iCs/>
        </w:rPr>
        <w:fldChar w:fldCharType="separate"/>
      </w:r>
      <w:r w:rsidR="008E4E26">
        <w:rPr>
          <w:iCs/>
          <w:noProof/>
        </w:rPr>
        <w:t>2</w:t>
      </w:r>
      <w:r w:rsidRPr="00AE3438">
        <w:rPr>
          <w:iCs/>
        </w:rPr>
        <w:fldChar w:fldCharType="end"/>
      </w:r>
      <w:bookmarkEnd w:id="21"/>
      <w:r w:rsidR="00AF423D" w:rsidRPr="00AE3438">
        <w:rPr>
          <w:iCs/>
          <w:szCs w:val="20"/>
        </w:rPr>
        <w:t>: Age of symptomatic and pre-symptomatic treatment with DMTs on the PBS</w:t>
      </w:r>
    </w:p>
    <w:tbl>
      <w:tblPr>
        <w:tblStyle w:val="TableGrid"/>
        <w:tblW w:w="5000" w:type="pct"/>
        <w:tblCellMar>
          <w:left w:w="28" w:type="dxa"/>
          <w:right w:w="28" w:type="dxa"/>
        </w:tblCellMar>
        <w:tblLook w:val="04A0" w:firstRow="1" w:lastRow="0" w:firstColumn="1" w:lastColumn="0" w:noHBand="0" w:noVBand="1"/>
      </w:tblPr>
      <w:tblGrid>
        <w:gridCol w:w="417"/>
        <w:gridCol w:w="287"/>
        <w:gridCol w:w="427"/>
        <w:gridCol w:w="1417"/>
        <w:gridCol w:w="1408"/>
        <w:gridCol w:w="439"/>
        <w:gridCol w:w="1839"/>
        <w:gridCol w:w="853"/>
        <w:gridCol w:w="994"/>
        <w:gridCol w:w="936"/>
      </w:tblGrid>
      <w:tr w:rsidR="00AF423D" w:rsidRPr="00AE3438" w14:paraId="4DDF49E7" w14:textId="77777777" w:rsidTr="00470872">
        <w:tc>
          <w:tcPr>
            <w:tcW w:w="2194" w:type="pct"/>
            <w:gridSpan w:val="5"/>
            <w:vAlign w:val="center"/>
          </w:tcPr>
          <w:p w14:paraId="55D1F0E0"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Age of pre-symptomatic treatment by SMN2 copy</w:t>
            </w:r>
          </w:p>
        </w:tc>
        <w:tc>
          <w:tcPr>
            <w:tcW w:w="2806" w:type="pct"/>
            <w:gridSpan w:val="5"/>
            <w:vAlign w:val="center"/>
          </w:tcPr>
          <w:p w14:paraId="721294B1"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Age of symptomatic treatment by SMA Type</w:t>
            </w:r>
          </w:p>
        </w:tc>
      </w:tr>
      <w:tr w:rsidR="00AF423D" w:rsidRPr="00AE3438" w14:paraId="76CA90C7" w14:textId="77777777" w:rsidTr="00470872">
        <w:tc>
          <w:tcPr>
            <w:tcW w:w="627" w:type="pct"/>
            <w:gridSpan w:val="3"/>
            <w:tcBorders>
              <w:bottom w:val="single" w:sz="4" w:space="0" w:color="auto"/>
            </w:tcBorders>
            <w:vAlign w:val="center"/>
          </w:tcPr>
          <w:p w14:paraId="0A2309A6"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Likely SMN2 copy number</w:t>
            </w:r>
          </w:p>
        </w:tc>
        <w:tc>
          <w:tcPr>
            <w:tcW w:w="786" w:type="pct"/>
            <w:vAlign w:val="center"/>
          </w:tcPr>
          <w:p w14:paraId="7D35D9E7"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ONA</w:t>
            </w:r>
          </w:p>
        </w:tc>
        <w:tc>
          <w:tcPr>
            <w:tcW w:w="781" w:type="pct"/>
            <w:vAlign w:val="center"/>
          </w:tcPr>
          <w:p w14:paraId="15F56064"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NUSI</w:t>
            </w:r>
          </w:p>
        </w:tc>
        <w:tc>
          <w:tcPr>
            <w:tcW w:w="243" w:type="pct"/>
            <w:vAlign w:val="center"/>
          </w:tcPr>
          <w:p w14:paraId="017F9E58"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Type</w:t>
            </w:r>
          </w:p>
        </w:tc>
        <w:tc>
          <w:tcPr>
            <w:tcW w:w="1020" w:type="pct"/>
            <w:vAlign w:val="center"/>
          </w:tcPr>
          <w:p w14:paraId="17EA4A6C"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Age at symptom onset</w:t>
            </w:r>
          </w:p>
        </w:tc>
        <w:tc>
          <w:tcPr>
            <w:tcW w:w="473" w:type="pct"/>
            <w:vAlign w:val="center"/>
          </w:tcPr>
          <w:p w14:paraId="1235CA69"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ONA</w:t>
            </w:r>
          </w:p>
        </w:tc>
        <w:tc>
          <w:tcPr>
            <w:tcW w:w="551" w:type="pct"/>
            <w:vAlign w:val="center"/>
          </w:tcPr>
          <w:p w14:paraId="34A2CD76"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NUSI</w:t>
            </w:r>
          </w:p>
        </w:tc>
        <w:tc>
          <w:tcPr>
            <w:tcW w:w="519" w:type="pct"/>
            <w:vAlign w:val="center"/>
          </w:tcPr>
          <w:p w14:paraId="64B1099C" w14:textId="77777777" w:rsidR="00AF423D" w:rsidRPr="00AE3438" w:rsidRDefault="00AF423D" w:rsidP="00DA64B3">
            <w:pPr>
              <w:keepNext/>
              <w:keepLines/>
              <w:jc w:val="center"/>
              <w:rPr>
                <w:rFonts w:ascii="Arial Narrow" w:hAnsi="Arial Narrow"/>
                <w:b/>
                <w:iCs/>
                <w:sz w:val="20"/>
                <w:szCs w:val="20"/>
              </w:rPr>
            </w:pPr>
            <w:r w:rsidRPr="00AE3438">
              <w:rPr>
                <w:rFonts w:ascii="Arial Narrow" w:hAnsi="Arial Narrow"/>
                <w:b/>
                <w:iCs/>
                <w:sz w:val="20"/>
                <w:szCs w:val="20"/>
              </w:rPr>
              <w:t>RISD</w:t>
            </w:r>
          </w:p>
        </w:tc>
      </w:tr>
      <w:tr w:rsidR="00AF423D" w:rsidRPr="00AE3438" w14:paraId="65377840" w14:textId="77777777" w:rsidTr="00470872">
        <w:trPr>
          <w:trHeight w:val="199"/>
        </w:trPr>
        <w:tc>
          <w:tcPr>
            <w:tcW w:w="231" w:type="pct"/>
            <w:tcBorders>
              <w:right w:val="nil"/>
            </w:tcBorders>
            <w:shd w:val="clear" w:color="auto" w:fill="BFBFBF" w:themeFill="background1" w:themeFillShade="BF"/>
            <w:vAlign w:val="center"/>
          </w:tcPr>
          <w:p w14:paraId="5421286A"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1</w:t>
            </w:r>
          </w:p>
        </w:tc>
        <w:tc>
          <w:tcPr>
            <w:tcW w:w="159" w:type="pct"/>
            <w:tcBorders>
              <w:left w:val="nil"/>
              <w:right w:val="nil"/>
            </w:tcBorders>
            <w:vAlign w:val="center"/>
          </w:tcPr>
          <w:p w14:paraId="171849BF" w14:textId="77777777" w:rsidR="00AF423D" w:rsidRPr="00AE3438" w:rsidRDefault="00AF423D" w:rsidP="00DA64B3">
            <w:pPr>
              <w:keepNext/>
              <w:keepLines/>
              <w:jc w:val="center"/>
              <w:rPr>
                <w:rFonts w:ascii="Arial Narrow" w:hAnsi="Arial Narrow"/>
                <w:iCs/>
                <w:sz w:val="20"/>
                <w:szCs w:val="20"/>
              </w:rPr>
            </w:pPr>
          </w:p>
        </w:tc>
        <w:tc>
          <w:tcPr>
            <w:tcW w:w="237" w:type="pct"/>
            <w:tcBorders>
              <w:left w:val="nil"/>
            </w:tcBorders>
          </w:tcPr>
          <w:p w14:paraId="19D1D2B2" w14:textId="77777777" w:rsidR="00AF423D" w:rsidRPr="00AE3438" w:rsidRDefault="00AF423D" w:rsidP="00DA64B3">
            <w:pPr>
              <w:keepNext/>
              <w:keepLines/>
              <w:jc w:val="center"/>
              <w:rPr>
                <w:rFonts w:ascii="Arial Narrow" w:hAnsi="Arial Narrow"/>
                <w:iCs/>
                <w:sz w:val="20"/>
                <w:szCs w:val="20"/>
              </w:rPr>
            </w:pPr>
          </w:p>
        </w:tc>
        <w:tc>
          <w:tcPr>
            <w:tcW w:w="786" w:type="pct"/>
          </w:tcPr>
          <w:p w14:paraId="218CB3E2"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≤9 months</w:t>
            </w:r>
          </w:p>
        </w:tc>
        <w:tc>
          <w:tcPr>
            <w:tcW w:w="781" w:type="pct"/>
            <w:vAlign w:val="center"/>
          </w:tcPr>
          <w:p w14:paraId="2DDDA7F0"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≤36 months</w:t>
            </w:r>
          </w:p>
        </w:tc>
        <w:tc>
          <w:tcPr>
            <w:tcW w:w="243" w:type="pct"/>
            <w:vAlign w:val="center"/>
          </w:tcPr>
          <w:p w14:paraId="2B807CED"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0</w:t>
            </w:r>
          </w:p>
        </w:tc>
        <w:tc>
          <w:tcPr>
            <w:tcW w:w="1020" w:type="pct"/>
            <w:vAlign w:val="center"/>
          </w:tcPr>
          <w:p w14:paraId="7B4568A9"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Prenatal</w:t>
            </w:r>
          </w:p>
        </w:tc>
        <w:tc>
          <w:tcPr>
            <w:tcW w:w="473" w:type="pct"/>
            <w:vAlign w:val="center"/>
          </w:tcPr>
          <w:p w14:paraId="30CD100F"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551" w:type="pct"/>
          </w:tcPr>
          <w:p w14:paraId="45EDE23F"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519" w:type="pct"/>
          </w:tcPr>
          <w:p w14:paraId="520D59B6"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r>
      <w:tr w:rsidR="00AF423D" w:rsidRPr="00AE3438" w14:paraId="33ED6B3E" w14:textId="77777777" w:rsidTr="00470872">
        <w:trPr>
          <w:trHeight w:val="199"/>
        </w:trPr>
        <w:tc>
          <w:tcPr>
            <w:tcW w:w="231" w:type="pct"/>
            <w:tcBorders>
              <w:right w:val="nil"/>
            </w:tcBorders>
            <w:shd w:val="clear" w:color="auto" w:fill="BFBFBF" w:themeFill="background1" w:themeFillShade="BF"/>
            <w:vAlign w:val="center"/>
          </w:tcPr>
          <w:p w14:paraId="1C0D26FD"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1</w:t>
            </w:r>
          </w:p>
        </w:tc>
        <w:tc>
          <w:tcPr>
            <w:tcW w:w="159" w:type="pct"/>
            <w:tcBorders>
              <w:left w:val="nil"/>
              <w:right w:val="nil"/>
            </w:tcBorders>
            <w:shd w:val="clear" w:color="auto" w:fill="BFBFBF" w:themeFill="background1" w:themeFillShade="BF"/>
            <w:vAlign w:val="center"/>
          </w:tcPr>
          <w:p w14:paraId="3F9D756D"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2</w:t>
            </w:r>
          </w:p>
        </w:tc>
        <w:tc>
          <w:tcPr>
            <w:tcW w:w="237" w:type="pct"/>
            <w:tcBorders>
              <w:left w:val="nil"/>
            </w:tcBorders>
          </w:tcPr>
          <w:p w14:paraId="16AEB54F"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w:t>
            </w:r>
          </w:p>
        </w:tc>
        <w:tc>
          <w:tcPr>
            <w:tcW w:w="786" w:type="pct"/>
          </w:tcPr>
          <w:p w14:paraId="476E61F4"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≤9 months</w:t>
            </w:r>
          </w:p>
        </w:tc>
        <w:tc>
          <w:tcPr>
            <w:tcW w:w="781" w:type="pct"/>
            <w:vAlign w:val="center"/>
          </w:tcPr>
          <w:p w14:paraId="70B0A7B4"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≤36 months</w:t>
            </w:r>
          </w:p>
        </w:tc>
        <w:tc>
          <w:tcPr>
            <w:tcW w:w="243" w:type="pct"/>
            <w:vAlign w:val="center"/>
          </w:tcPr>
          <w:p w14:paraId="441E8AF8"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I</w:t>
            </w:r>
          </w:p>
        </w:tc>
        <w:tc>
          <w:tcPr>
            <w:tcW w:w="1020" w:type="pct"/>
            <w:vAlign w:val="center"/>
          </w:tcPr>
          <w:p w14:paraId="62C61931"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&lt;6 months</w:t>
            </w:r>
          </w:p>
        </w:tc>
        <w:tc>
          <w:tcPr>
            <w:tcW w:w="473" w:type="pct"/>
            <w:vAlign w:val="center"/>
          </w:tcPr>
          <w:p w14:paraId="64C1697B"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≤9 months</w:t>
            </w:r>
          </w:p>
        </w:tc>
        <w:tc>
          <w:tcPr>
            <w:tcW w:w="551" w:type="pct"/>
            <w:vAlign w:val="center"/>
          </w:tcPr>
          <w:p w14:paraId="6AF8771C"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 years</w:t>
            </w:r>
          </w:p>
        </w:tc>
        <w:tc>
          <w:tcPr>
            <w:tcW w:w="519" w:type="pct"/>
            <w:vAlign w:val="center"/>
          </w:tcPr>
          <w:p w14:paraId="58FE6ECC"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 years</w:t>
            </w:r>
          </w:p>
        </w:tc>
      </w:tr>
      <w:tr w:rsidR="00AF423D" w:rsidRPr="00AE3438" w14:paraId="313837D0" w14:textId="77777777" w:rsidTr="00470872">
        <w:tc>
          <w:tcPr>
            <w:tcW w:w="231" w:type="pct"/>
            <w:tcBorders>
              <w:right w:val="nil"/>
            </w:tcBorders>
            <w:shd w:val="clear" w:color="auto" w:fill="BFBFBF" w:themeFill="background1" w:themeFillShade="BF"/>
            <w:vAlign w:val="center"/>
          </w:tcPr>
          <w:p w14:paraId="3637E8EA"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2</w:t>
            </w:r>
          </w:p>
        </w:tc>
        <w:tc>
          <w:tcPr>
            <w:tcW w:w="159" w:type="pct"/>
            <w:tcBorders>
              <w:left w:val="nil"/>
              <w:right w:val="nil"/>
            </w:tcBorders>
            <w:vAlign w:val="center"/>
          </w:tcPr>
          <w:p w14:paraId="19EF261D"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w:t>
            </w:r>
          </w:p>
        </w:tc>
        <w:tc>
          <w:tcPr>
            <w:tcW w:w="237" w:type="pct"/>
            <w:tcBorders>
              <w:left w:val="nil"/>
            </w:tcBorders>
          </w:tcPr>
          <w:p w14:paraId="0695D67E"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4</w:t>
            </w:r>
          </w:p>
        </w:tc>
        <w:tc>
          <w:tcPr>
            <w:tcW w:w="786" w:type="pct"/>
          </w:tcPr>
          <w:p w14:paraId="3D525CD7"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≤9 months</w:t>
            </w:r>
          </w:p>
        </w:tc>
        <w:tc>
          <w:tcPr>
            <w:tcW w:w="781" w:type="pct"/>
            <w:vAlign w:val="center"/>
          </w:tcPr>
          <w:p w14:paraId="1BC07F5F"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≤36 months</w:t>
            </w:r>
          </w:p>
        </w:tc>
        <w:tc>
          <w:tcPr>
            <w:tcW w:w="243" w:type="pct"/>
            <w:vAlign w:val="center"/>
          </w:tcPr>
          <w:p w14:paraId="42E31C21"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II</w:t>
            </w:r>
          </w:p>
        </w:tc>
        <w:tc>
          <w:tcPr>
            <w:tcW w:w="1020" w:type="pct"/>
            <w:vAlign w:val="center"/>
          </w:tcPr>
          <w:p w14:paraId="1DBAF5CF"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6-18 months</w:t>
            </w:r>
          </w:p>
        </w:tc>
        <w:tc>
          <w:tcPr>
            <w:tcW w:w="473" w:type="pct"/>
          </w:tcPr>
          <w:p w14:paraId="2874B52E"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551" w:type="pct"/>
            <w:vAlign w:val="center"/>
          </w:tcPr>
          <w:p w14:paraId="20577B48" w14:textId="7509F452"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≤18 years</w:t>
            </w:r>
          </w:p>
        </w:tc>
        <w:tc>
          <w:tcPr>
            <w:tcW w:w="519" w:type="pct"/>
            <w:vAlign w:val="center"/>
          </w:tcPr>
          <w:p w14:paraId="57213D44"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 years</w:t>
            </w:r>
          </w:p>
        </w:tc>
      </w:tr>
      <w:tr w:rsidR="00AF423D" w:rsidRPr="00AE3438" w14:paraId="2B332266" w14:textId="77777777" w:rsidTr="00470872">
        <w:tc>
          <w:tcPr>
            <w:tcW w:w="231" w:type="pct"/>
            <w:tcBorders>
              <w:right w:val="nil"/>
            </w:tcBorders>
            <w:vAlign w:val="center"/>
          </w:tcPr>
          <w:p w14:paraId="54C205CC"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w:t>
            </w:r>
          </w:p>
        </w:tc>
        <w:tc>
          <w:tcPr>
            <w:tcW w:w="159" w:type="pct"/>
            <w:tcBorders>
              <w:left w:val="nil"/>
              <w:right w:val="nil"/>
            </w:tcBorders>
            <w:vAlign w:val="center"/>
          </w:tcPr>
          <w:p w14:paraId="326537C8"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4</w:t>
            </w:r>
          </w:p>
        </w:tc>
        <w:tc>
          <w:tcPr>
            <w:tcW w:w="237" w:type="pct"/>
            <w:tcBorders>
              <w:left w:val="nil"/>
            </w:tcBorders>
          </w:tcPr>
          <w:p w14:paraId="7019B0DF" w14:textId="77777777" w:rsidR="00AF423D" w:rsidRPr="00AE3438" w:rsidRDefault="00AF423D" w:rsidP="00DA64B3">
            <w:pPr>
              <w:keepNext/>
              <w:keepLines/>
              <w:jc w:val="center"/>
              <w:rPr>
                <w:rFonts w:ascii="Arial Narrow" w:hAnsi="Arial Narrow"/>
                <w:iCs/>
                <w:sz w:val="20"/>
                <w:szCs w:val="20"/>
              </w:rPr>
            </w:pPr>
          </w:p>
        </w:tc>
        <w:tc>
          <w:tcPr>
            <w:tcW w:w="786" w:type="pct"/>
          </w:tcPr>
          <w:p w14:paraId="24A34437"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781" w:type="pct"/>
          </w:tcPr>
          <w:p w14:paraId="267CA65B"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243" w:type="pct"/>
            <w:vAlign w:val="center"/>
          </w:tcPr>
          <w:p w14:paraId="1706C9A0"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IIIa</w:t>
            </w:r>
          </w:p>
        </w:tc>
        <w:tc>
          <w:tcPr>
            <w:tcW w:w="1020" w:type="pct"/>
            <w:vAlign w:val="center"/>
          </w:tcPr>
          <w:p w14:paraId="7A71CD6C"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18 months to 3 years</w:t>
            </w:r>
          </w:p>
        </w:tc>
        <w:tc>
          <w:tcPr>
            <w:tcW w:w="473" w:type="pct"/>
          </w:tcPr>
          <w:p w14:paraId="7AE2A151"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551" w:type="pct"/>
            <w:vMerge w:val="restart"/>
            <w:vAlign w:val="center"/>
          </w:tcPr>
          <w:p w14:paraId="63538EA5" w14:textId="19EEDFD5"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≤18 years</w:t>
            </w:r>
          </w:p>
        </w:tc>
        <w:tc>
          <w:tcPr>
            <w:tcW w:w="519" w:type="pct"/>
            <w:vAlign w:val="center"/>
          </w:tcPr>
          <w:p w14:paraId="17943147"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≤3 years</w:t>
            </w:r>
          </w:p>
        </w:tc>
      </w:tr>
      <w:tr w:rsidR="00AF423D" w:rsidRPr="00AE3438" w14:paraId="3A32729C" w14:textId="77777777" w:rsidTr="00470872">
        <w:tc>
          <w:tcPr>
            <w:tcW w:w="231" w:type="pct"/>
            <w:tcBorders>
              <w:bottom w:val="single" w:sz="4" w:space="0" w:color="auto"/>
              <w:right w:val="nil"/>
            </w:tcBorders>
            <w:vAlign w:val="center"/>
          </w:tcPr>
          <w:p w14:paraId="63BB5FF8" w14:textId="77777777" w:rsidR="00AF423D" w:rsidRPr="00AE3438" w:rsidRDefault="00AF423D" w:rsidP="00DA64B3">
            <w:pPr>
              <w:keepNext/>
              <w:keepLines/>
              <w:jc w:val="center"/>
              <w:rPr>
                <w:rFonts w:ascii="Arial Narrow" w:hAnsi="Arial Narrow"/>
                <w:iCs/>
                <w:sz w:val="20"/>
                <w:szCs w:val="20"/>
              </w:rPr>
            </w:pPr>
          </w:p>
        </w:tc>
        <w:tc>
          <w:tcPr>
            <w:tcW w:w="159" w:type="pct"/>
            <w:tcBorders>
              <w:left w:val="nil"/>
              <w:bottom w:val="single" w:sz="4" w:space="0" w:color="auto"/>
              <w:right w:val="nil"/>
            </w:tcBorders>
            <w:vAlign w:val="center"/>
          </w:tcPr>
          <w:p w14:paraId="265DA0C9"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4</w:t>
            </w:r>
          </w:p>
        </w:tc>
        <w:tc>
          <w:tcPr>
            <w:tcW w:w="237" w:type="pct"/>
            <w:tcBorders>
              <w:left w:val="nil"/>
              <w:bottom w:val="single" w:sz="4" w:space="0" w:color="auto"/>
            </w:tcBorders>
          </w:tcPr>
          <w:p w14:paraId="70EE03E0" w14:textId="77777777" w:rsidR="00AF423D" w:rsidRPr="00AE3438" w:rsidRDefault="00AF423D" w:rsidP="00DA64B3">
            <w:pPr>
              <w:keepNext/>
              <w:keepLines/>
              <w:jc w:val="center"/>
              <w:rPr>
                <w:rFonts w:ascii="Arial Narrow" w:hAnsi="Arial Narrow"/>
                <w:iCs/>
                <w:sz w:val="20"/>
                <w:szCs w:val="20"/>
              </w:rPr>
            </w:pPr>
          </w:p>
        </w:tc>
        <w:tc>
          <w:tcPr>
            <w:tcW w:w="786" w:type="pct"/>
          </w:tcPr>
          <w:p w14:paraId="7617A5CD"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781" w:type="pct"/>
          </w:tcPr>
          <w:p w14:paraId="0440AC60"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243" w:type="pct"/>
            <w:vAlign w:val="center"/>
          </w:tcPr>
          <w:p w14:paraId="40219EF0"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IIIb</w:t>
            </w:r>
          </w:p>
        </w:tc>
        <w:tc>
          <w:tcPr>
            <w:tcW w:w="1020" w:type="pct"/>
            <w:vAlign w:val="center"/>
          </w:tcPr>
          <w:p w14:paraId="64DB42A3"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&gt;3 years</w:t>
            </w:r>
          </w:p>
        </w:tc>
        <w:tc>
          <w:tcPr>
            <w:tcW w:w="473" w:type="pct"/>
          </w:tcPr>
          <w:p w14:paraId="4A98652B"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551" w:type="pct"/>
            <w:vMerge/>
            <w:vAlign w:val="center"/>
          </w:tcPr>
          <w:p w14:paraId="536E096C" w14:textId="77777777" w:rsidR="00AF423D" w:rsidRPr="00AE3438" w:rsidRDefault="00AF423D" w:rsidP="00DA64B3">
            <w:pPr>
              <w:keepNext/>
              <w:keepLines/>
              <w:jc w:val="center"/>
              <w:rPr>
                <w:rFonts w:ascii="Arial Narrow" w:hAnsi="Arial Narrow"/>
                <w:iCs/>
                <w:sz w:val="20"/>
                <w:szCs w:val="20"/>
              </w:rPr>
            </w:pPr>
          </w:p>
        </w:tc>
        <w:tc>
          <w:tcPr>
            <w:tcW w:w="519" w:type="pct"/>
          </w:tcPr>
          <w:p w14:paraId="3F6C562A"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r>
      <w:tr w:rsidR="00AF423D" w:rsidRPr="00AE3438" w14:paraId="5103C56B" w14:textId="77777777" w:rsidTr="00470872">
        <w:tc>
          <w:tcPr>
            <w:tcW w:w="231" w:type="pct"/>
            <w:tcBorders>
              <w:bottom w:val="single" w:sz="4" w:space="0" w:color="auto"/>
              <w:right w:val="nil"/>
            </w:tcBorders>
            <w:vAlign w:val="center"/>
          </w:tcPr>
          <w:p w14:paraId="3C638CFC" w14:textId="77777777" w:rsidR="00AF423D" w:rsidRPr="00AE3438" w:rsidRDefault="00AF423D" w:rsidP="00DA64B3">
            <w:pPr>
              <w:keepNext/>
              <w:keepLines/>
              <w:jc w:val="center"/>
              <w:rPr>
                <w:rFonts w:ascii="Arial Narrow" w:hAnsi="Arial Narrow"/>
                <w:iCs/>
                <w:sz w:val="20"/>
                <w:szCs w:val="20"/>
              </w:rPr>
            </w:pPr>
          </w:p>
        </w:tc>
        <w:tc>
          <w:tcPr>
            <w:tcW w:w="159" w:type="pct"/>
            <w:tcBorders>
              <w:left w:val="nil"/>
              <w:bottom w:val="single" w:sz="4" w:space="0" w:color="auto"/>
              <w:right w:val="nil"/>
            </w:tcBorders>
            <w:vAlign w:val="center"/>
          </w:tcPr>
          <w:p w14:paraId="52246FDF"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4</w:t>
            </w:r>
          </w:p>
        </w:tc>
        <w:tc>
          <w:tcPr>
            <w:tcW w:w="237" w:type="pct"/>
            <w:tcBorders>
              <w:left w:val="nil"/>
              <w:bottom w:val="single" w:sz="4" w:space="0" w:color="auto"/>
            </w:tcBorders>
          </w:tcPr>
          <w:p w14:paraId="5AE48D0F" w14:textId="77777777" w:rsidR="00AF423D" w:rsidRPr="00AE3438" w:rsidRDefault="00AF423D" w:rsidP="00DA64B3">
            <w:pPr>
              <w:keepNext/>
              <w:keepLines/>
              <w:jc w:val="center"/>
              <w:rPr>
                <w:rFonts w:ascii="Arial Narrow" w:hAnsi="Arial Narrow"/>
                <w:iCs/>
                <w:sz w:val="20"/>
                <w:szCs w:val="20"/>
              </w:rPr>
            </w:pPr>
          </w:p>
        </w:tc>
        <w:tc>
          <w:tcPr>
            <w:tcW w:w="786" w:type="pct"/>
            <w:tcBorders>
              <w:bottom w:val="single" w:sz="4" w:space="0" w:color="auto"/>
            </w:tcBorders>
          </w:tcPr>
          <w:p w14:paraId="0D046A7E"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781" w:type="pct"/>
            <w:tcBorders>
              <w:bottom w:val="single" w:sz="4" w:space="0" w:color="auto"/>
            </w:tcBorders>
          </w:tcPr>
          <w:p w14:paraId="7D7628C7"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243" w:type="pct"/>
            <w:vAlign w:val="center"/>
          </w:tcPr>
          <w:p w14:paraId="390765A9"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IIIc</w:t>
            </w:r>
          </w:p>
        </w:tc>
        <w:tc>
          <w:tcPr>
            <w:tcW w:w="1020" w:type="pct"/>
            <w:vAlign w:val="center"/>
          </w:tcPr>
          <w:p w14:paraId="6BD3D889"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&gt;12 to ≤18 years</w:t>
            </w:r>
          </w:p>
        </w:tc>
        <w:tc>
          <w:tcPr>
            <w:tcW w:w="473" w:type="pct"/>
          </w:tcPr>
          <w:p w14:paraId="3926FF4C"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c>
          <w:tcPr>
            <w:tcW w:w="551" w:type="pct"/>
            <w:vMerge/>
            <w:vAlign w:val="center"/>
          </w:tcPr>
          <w:p w14:paraId="281CE672" w14:textId="77777777" w:rsidR="00AF423D" w:rsidRPr="00AE3438" w:rsidRDefault="00AF423D" w:rsidP="00DA64B3">
            <w:pPr>
              <w:keepNext/>
              <w:keepLines/>
              <w:jc w:val="center"/>
              <w:rPr>
                <w:rFonts w:ascii="Arial Narrow" w:hAnsi="Arial Narrow"/>
                <w:iCs/>
                <w:sz w:val="20"/>
                <w:szCs w:val="20"/>
              </w:rPr>
            </w:pPr>
          </w:p>
        </w:tc>
        <w:tc>
          <w:tcPr>
            <w:tcW w:w="519" w:type="pct"/>
          </w:tcPr>
          <w:p w14:paraId="77C1631A" w14:textId="77777777" w:rsidR="00AF423D" w:rsidRPr="00AE3438" w:rsidRDefault="00AF423D" w:rsidP="00DA64B3">
            <w:pPr>
              <w:keepNext/>
              <w:keepLines/>
              <w:jc w:val="center"/>
              <w:rPr>
                <w:rFonts w:ascii="Arial Narrow" w:hAnsi="Arial Narrow"/>
                <w:iCs/>
                <w:sz w:val="20"/>
                <w:szCs w:val="20"/>
              </w:rPr>
            </w:pPr>
            <w:r w:rsidRPr="00AE3438">
              <w:rPr>
                <w:rFonts w:ascii="Arial Narrow" w:hAnsi="Arial Narrow"/>
                <w:iCs/>
                <w:sz w:val="20"/>
                <w:szCs w:val="20"/>
              </w:rPr>
              <w:t>n/a</w:t>
            </w:r>
          </w:p>
        </w:tc>
      </w:tr>
    </w:tbl>
    <w:p w14:paraId="18B98625" w14:textId="62BFC7C4" w:rsidR="00AF423D" w:rsidRPr="00AE3438" w:rsidRDefault="00AF423D" w:rsidP="00DA64B3">
      <w:pPr>
        <w:keepNext/>
        <w:keepLines/>
        <w:rPr>
          <w:rFonts w:ascii="Arial Narrow" w:hAnsi="Arial Narrow"/>
          <w:iCs/>
          <w:sz w:val="18"/>
          <w:szCs w:val="18"/>
        </w:rPr>
      </w:pPr>
      <w:r w:rsidRPr="00AE3438">
        <w:rPr>
          <w:rFonts w:ascii="Arial Narrow" w:hAnsi="Arial Narrow"/>
          <w:iCs/>
          <w:sz w:val="18"/>
          <w:szCs w:val="18"/>
          <w:shd w:val="clear" w:color="auto" w:fill="BFBFBF" w:themeFill="background1" w:themeFillShade="BF"/>
        </w:rPr>
        <w:t>Grey</w:t>
      </w:r>
      <w:r w:rsidRPr="00AE3438">
        <w:rPr>
          <w:rFonts w:ascii="Arial Narrow" w:hAnsi="Arial Narrow"/>
          <w:iCs/>
          <w:sz w:val="18"/>
          <w:szCs w:val="18"/>
        </w:rPr>
        <w:t xml:space="preserve"> shading indicates SMN2 copy number treated by DMTs (ONA and NUSI) listed on the PBS in pre</w:t>
      </w:r>
      <w:r w:rsidR="00E61302" w:rsidRPr="00AE3438">
        <w:rPr>
          <w:rFonts w:ascii="Arial Narrow" w:hAnsi="Arial Narrow"/>
          <w:iCs/>
          <w:sz w:val="18"/>
          <w:szCs w:val="18"/>
        </w:rPr>
        <w:t>-</w:t>
      </w:r>
      <w:r w:rsidRPr="00AE3438">
        <w:rPr>
          <w:rFonts w:ascii="Arial Narrow" w:hAnsi="Arial Narrow"/>
          <w:iCs/>
          <w:sz w:val="18"/>
          <w:szCs w:val="18"/>
        </w:rPr>
        <w:t>symptomatic treatment.</w:t>
      </w:r>
    </w:p>
    <w:p w14:paraId="205BFEFA" w14:textId="77777777" w:rsidR="00AF423D" w:rsidRPr="00AE3438" w:rsidRDefault="00AF423D" w:rsidP="00DA64B3">
      <w:pPr>
        <w:keepNext/>
        <w:keepLines/>
        <w:rPr>
          <w:rFonts w:ascii="Arial Narrow" w:hAnsi="Arial Narrow"/>
          <w:iCs/>
          <w:sz w:val="18"/>
          <w:szCs w:val="18"/>
        </w:rPr>
      </w:pPr>
      <w:r w:rsidRPr="00AE3438">
        <w:rPr>
          <w:rFonts w:ascii="Arial Narrow" w:hAnsi="Arial Narrow"/>
          <w:iCs/>
          <w:sz w:val="18"/>
          <w:szCs w:val="18"/>
        </w:rPr>
        <w:t>Source: compiled during the evaluation.</w:t>
      </w:r>
    </w:p>
    <w:p w14:paraId="10C1239B" w14:textId="37432B5E" w:rsidR="00AF423D" w:rsidRPr="009A65A9" w:rsidRDefault="00AF423D" w:rsidP="009A65A9">
      <w:pPr>
        <w:keepNext/>
        <w:keepLines/>
        <w:spacing w:after="120"/>
        <w:rPr>
          <w:rFonts w:ascii="Arial Narrow" w:hAnsi="Arial Narrow"/>
          <w:iCs/>
          <w:sz w:val="18"/>
          <w:szCs w:val="18"/>
        </w:rPr>
      </w:pPr>
      <w:r w:rsidRPr="00AE3438">
        <w:rPr>
          <w:rFonts w:ascii="Arial Narrow" w:hAnsi="Arial Narrow"/>
          <w:iCs/>
          <w:sz w:val="18"/>
          <w:szCs w:val="18"/>
        </w:rPr>
        <w:t xml:space="preserve">DMT=disease modifying </w:t>
      </w:r>
      <w:r w:rsidR="00D77E1A">
        <w:rPr>
          <w:rFonts w:ascii="Arial Narrow" w:hAnsi="Arial Narrow"/>
          <w:iCs/>
          <w:sz w:val="18"/>
          <w:szCs w:val="18"/>
        </w:rPr>
        <w:t>therapy</w:t>
      </w:r>
      <w:r w:rsidRPr="00AE3438">
        <w:rPr>
          <w:rFonts w:ascii="Arial Narrow" w:hAnsi="Arial Narrow"/>
          <w:iCs/>
          <w:sz w:val="18"/>
          <w:szCs w:val="18"/>
        </w:rPr>
        <w:t>; NUSI=nusinersen; ONA=onasemnogene abeparvovec; RISD=risdiplam; n/a=not available; SMA=spinal muscular atrophy; SMN2=survival motor neuron;</w:t>
      </w:r>
    </w:p>
    <w:p w14:paraId="15361F26" w14:textId="625E283B" w:rsidR="00AF423D" w:rsidRPr="00AE3438" w:rsidRDefault="00AF423D" w:rsidP="00AF423D">
      <w:pPr>
        <w:pStyle w:val="3-BodyText"/>
        <w:rPr>
          <w:i/>
          <w:snapToGrid/>
        </w:rPr>
      </w:pPr>
      <w:r w:rsidRPr="00AE3438">
        <w:rPr>
          <w:snapToGrid/>
        </w:rPr>
        <w:t xml:space="preserve">The submission also </w:t>
      </w:r>
      <w:r w:rsidRPr="00AE3438">
        <w:rPr>
          <w:iCs/>
          <w:snapToGrid/>
        </w:rPr>
        <w:t>appropriately</w:t>
      </w:r>
      <w:r w:rsidRPr="00AE3438">
        <w:rPr>
          <w:snapToGrid/>
        </w:rPr>
        <w:t xml:space="preserve"> nominated nusinersen and risdiplam as near market comparators. Although nusinersen is available on the PBS for pre-symptomatic treatment in patients with 2 copies of </w:t>
      </w:r>
      <w:r w:rsidRPr="00AE3438">
        <w:rPr>
          <w:i/>
          <w:snapToGrid/>
        </w:rPr>
        <w:t>SMN2</w:t>
      </w:r>
      <w:r w:rsidRPr="00AE3438">
        <w:rPr>
          <w:snapToGrid/>
        </w:rPr>
        <w:t xml:space="preserve">, neither drug </w:t>
      </w:r>
      <w:r w:rsidR="00C622C4" w:rsidRPr="00AE3438">
        <w:rPr>
          <w:snapToGrid/>
        </w:rPr>
        <w:t xml:space="preserve">is </w:t>
      </w:r>
      <w:r w:rsidRPr="00AE3438">
        <w:rPr>
          <w:snapToGrid/>
        </w:rPr>
        <w:t xml:space="preserve">currently PBS-listed for pre-symptomatic treatment in 3 copies of </w:t>
      </w:r>
      <w:r w:rsidRPr="00AE3438">
        <w:rPr>
          <w:i/>
          <w:snapToGrid/>
        </w:rPr>
        <w:t>SMN2</w:t>
      </w:r>
      <w:r w:rsidRPr="00AE3438">
        <w:rPr>
          <w:snapToGrid/>
        </w:rPr>
        <w:t xml:space="preserve">. However, studies of nusinersen and risdiplam in pre-symptomatic patients with 2 or 3 copies of </w:t>
      </w:r>
      <w:r w:rsidRPr="00AE3438">
        <w:rPr>
          <w:i/>
          <w:snapToGrid/>
        </w:rPr>
        <w:t>SMN2</w:t>
      </w:r>
      <w:r w:rsidRPr="00AE3438">
        <w:rPr>
          <w:snapToGrid/>
        </w:rPr>
        <w:t xml:space="preserve"> were identified in the submission. </w:t>
      </w:r>
      <w:r w:rsidRPr="00AE3438">
        <w:rPr>
          <w:iCs/>
          <w:snapToGrid/>
        </w:rPr>
        <w:t>Of note, the PBAC previously considered that “on balance ONA would likely deliver similar clinical outcomes to [nusinersen] in matched patients” (paragraph 7.1</w:t>
      </w:r>
      <w:r w:rsidR="00A3352F" w:rsidRPr="00AE3438">
        <w:rPr>
          <w:iCs/>
          <w:snapToGrid/>
        </w:rPr>
        <w:t>,</w:t>
      </w:r>
      <w:r w:rsidRPr="00AE3438">
        <w:rPr>
          <w:iCs/>
          <w:snapToGrid/>
        </w:rPr>
        <w:t xml:space="preserve"> onasemnogene abeparvovec PSD</w:t>
      </w:r>
      <w:r w:rsidR="009D176E" w:rsidRPr="00AE3438">
        <w:rPr>
          <w:iCs/>
          <w:snapToGrid/>
        </w:rPr>
        <w:t>,</w:t>
      </w:r>
      <w:r w:rsidRPr="00AE3438">
        <w:rPr>
          <w:iCs/>
          <w:snapToGrid/>
        </w:rPr>
        <w:t xml:space="preserve"> November 2020 PBAC meeting). Risdiplam was recommended for listing on PBS on the basis of a cost-minimisation analysis versus nusinersen (paragraph 7.1, risdiplam PSD</w:t>
      </w:r>
      <w:r w:rsidR="009D176E" w:rsidRPr="00AE3438">
        <w:rPr>
          <w:iCs/>
          <w:snapToGrid/>
        </w:rPr>
        <w:t>,</w:t>
      </w:r>
      <w:r w:rsidRPr="00AE3438">
        <w:rPr>
          <w:iCs/>
          <w:snapToGrid/>
        </w:rPr>
        <w:t xml:space="preserve"> March 2021 PBAC meeting).</w:t>
      </w:r>
    </w:p>
    <w:p w14:paraId="487D2FA2" w14:textId="77777777" w:rsidR="00054F33" w:rsidRPr="00C33D30" w:rsidRDefault="00054F33" w:rsidP="00054F33">
      <w:pPr>
        <w:ind w:firstLine="709"/>
        <w:rPr>
          <w:rFonts w:asciiTheme="minorHAnsi" w:hAnsiTheme="minorHAnsi"/>
          <w:i/>
        </w:rPr>
      </w:pPr>
      <w:bookmarkStart w:id="22" w:name="_Toc114054851"/>
      <w:bookmarkStart w:id="23" w:name="_Toc22897640"/>
      <w:r w:rsidRPr="00C33D30">
        <w:rPr>
          <w:rFonts w:asciiTheme="minorHAnsi" w:hAnsiTheme="minorHAnsi"/>
          <w:i/>
        </w:rPr>
        <w:t>For more detail on PBAC’s view, see section 7 PBAC outcome.</w:t>
      </w:r>
    </w:p>
    <w:p w14:paraId="7F9C27C8" w14:textId="77777777" w:rsidR="00223D5A" w:rsidRPr="00AE3438" w:rsidRDefault="00223D5A" w:rsidP="00223D5A">
      <w:pPr>
        <w:pStyle w:val="2-SectionHeading"/>
      </w:pPr>
      <w:r w:rsidRPr="00AE3438">
        <w:t>Consideration of the evidence</w:t>
      </w:r>
      <w:bookmarkEnd w:id="22"/>
    </w:p>
    <w:p w14:paraId="0E90B81B" w14:textId="77777777" w:rsidR="00054F33" w:rsidRPr="006E1229" w:rsidRDefault="00054F33" w:rsidP="00054F33">
      <w:pPr>
        <w:pStyle w:val="4-SubsectionHeading"/>
      </w:pPr>
      <w:bookmarkStart w:id="24" w:name="_Hlk76375935"/>
      <w:bookmarkStart w:id="25" w:name="_Toc114054852"/>
      <w:r w:rsidRPr="006E1229">
        <w:t>Sponsor hearing</w:t>
      </w:r>
    </w:p>
    <w:p w14:paraId="60F3A718" w14:textId="0D47EE82" w:rsidR="00054F33" w:rsidRPr="00836F75" w:rsidRDefault="00AC6649" w:rsidP="00054F33">
      <w:pPr>
        <w:widowControl w:val="0"/>
        <w:numPr>
          <w:ilvl w:val="1"/>
          <w:numId w:val="1"/>
        </w:numPr>
        <w:spacing w:after="120"/>
        <w:rPr>
          <w:rFonts w:asciiTheme="minorHAnsi" w:hAnsiTheme="minorHAnsi"/>
          <w:bCs/>
          <w:snapToGrid w:val="0"/>
        </w:rPr>
      </w:pPr>
      <w:bookmarkStart w:id="26" w:name="_Hlk76382586"/>
      <w:r>
        <w:rPr>
          <w:rFonts w:asciiTheme="minorHAnsi" w:hAnsiTheme="minorHAnsi"/>
          <w:bCs/>
          <w:snapToGrid w:val="0"/>
        </w:rPr>
        <w:t xml:space="preserve">The sponsor requested a hearing for this item. </w:t>
      </w:r>
      <w:r w:rsidR="005475F2">
        <w:rPr>
          <w:rFonts w:asciiTheme="minorHAnsi" w:hAnsiTheme="minorHAnsi"/>
          <w:bCs/>
          <w:snapToGrid w:val="0"/>
        </w:rPr>
        <w:t xml:space="preserve">The hearing included a paediatric neurologist, an advocate for SMA patients and a parent of a child with SMA. </w:t>
      </w:r>
      <w:r w:rsidR="009757C4">
        <w:rPr>
          <w:rFonts w:asciiTheme="minorHAnsi" w:hAnsiTheme="minorHAnsi"/>
          <w:bCs/>
          <w:snapToGrid w:val="0"/>
        </w:rPr>
        <w:t xml:space="preserve">The clinician </w:t>
      </w:r>
      <w:r w:rsidR="00592C67">
        <w:rPr>
          <w:rFonts w:asciiTheme="minorHAnsi" w:hAnsiTheme="minorHAnsi"/>
          <w:bCs/>
          <w:snapToGrid w:val="0"/>
        </w:rPr>
        <w:t>noted tha</w:t>
      </w:r>
      <w:r w:rsidR="00DD382D">
        <w:rPr>
          <w:rFonts w:asciiTheme="minorHAnsi" w:hAnsiTheme="minorHAnsi"/>
          <w:bCs/>
          <w:snapToGrid w:val="0"/>
        </w:rPr>
        <w:t xml:space="preserve">t the available evidence across all current DMTs indicate better outcomes for patients </w:t>
      </w:r>
      <w:r w:rsidR="0017121F">
        <w:rPr>
          <w:rFonts w:asciiTheme="minorHAnsi" w:hAnsiTheme="minorHAnsi"/>
          <w:bCs/>
          <w:snapToGrid w:val="0"/>
        </w:rPr>
        <w:t>the earlier they are treated</w:t>
      </w:r>
      <w:r w:rsidR="00DD382D">
        <w:rPr>
          <w:rFonts w:asciiTheme="minorHAnsi" w:hAnsiTheme="minorHAnsi"/>
          <w:bCs/>
          <w:snapToGrid w:val="0"/>
        </w:rPr>
        <w:t>. The clinician considered that</w:t>
      </w:r>
      <w:r w:rsidR="00DA6981">
        <w:rPr>
          <w:rFonts w:asciiTheme="minorHAnsi" w:hAnsiTheme="minorHAnsi"/>
          <w:bCs/>
          <w:snapToGrid w:val="0"/>
        </w:rPr>
        <w:t xml:space="preserve"> patients should receive treatment as early as possible irrespective of whether they have 2 or 3 copies of </w:t>
      </w:r>
      <w:r w:rsidR="00DA6981" w:rsidRPr="00B344B7">
        <w:rPr>
          <w:rFonts w:asciiTheme="minorHAnsi" w:hAnsiTheme="minorHAnsi"/>
          <w:bCs/>
          <w:i/>
          <w:iCs/>
          <w:snapToGrid w:val="0"/>
        </w:rPr>
        <w:t>SMN</w:t>
      </w:r>
      <w:r w:rsidR="00B344B7" w:rsidRPr="00B344B7">
        <w:rPr>
          <w:rFonts w:asciiTheme="minorHAnsi" w:hAnsiTheme="minorHAnsi"/>
          <w:bCs/>
          <w:i/>
          <w:iCs/>
          <w:snapToGrid w:val="0"/>
        </w:rPr>
        <w:t>2</w:t>
      </w:r>
      <w:r w:rsidR="00DA6981">
        <w:rPr>
          <w:rFonts w:asciiTheme="minorHAnsi" w:hAnsiTheme="minorHAnsi"/>
          <w:bCs/>
          <w:snapToGrid w:val="0"/>
        </w:rPr>
        <w:t xml:space="preserve">, noting that </w:t>
      </w:r>
      <w:r w:rsidR="00DA6981" w:rsidRPr="00DA6981">
        <w:rPr>
          <w:rFonts w:asciiTheme="minorHAnsi" w:hAnsiTheme="minorHAnsi"/>
          <w:bCs/>
          <w:snapToGrid w:val="0"/>
        </w:rPr>
        <w:t>pathological processes</w:t>
      </w:r>
      <w:r w:rsidR="00DA6981">
        <w:rPr>
          <w:rFonts w:asciiTheme="minorHAnsi" w:hAnsiTheme="minorHAnsi"/>
          <w:bCs/>
          <w:snapToGrid w:val="0"/>
        </w:rPr>
        <w:t xml:space="preserve"> of SMA</w:t>
      </w:r>
      <w:r w:rsidR="00DA6981" w:rsidRPr="00DA6981">
        <w:rPr>
          <w:rFonts w:asciiTheme="minorHAnsi" w:hAnsiTheme="minorHAnsi"/>
          <w:bCs/>
          <w:snapToGrid w:val="0"/>
        </w:rPr>
        <w:t xml:space="preserve"> begin in uter</w:t>
      </w:r>
      <w:r w:rsidR="00DA6981">
        <w:rPr>
          <w:rFonts w:asciiTheme="minorHAnsi" w:hAnsiTheme="minorHAnsi"/>
          <w:bCs/>
          <w:snapToGrid w:val="0"/>
        </w:rPr>
        <w:t xml:space="preserve">o. </w:t>
      </w:r>
      <w:r w:rsidR="007A5637">
        <w:rPr>
          <w:rFonts w:asciiTheme="minorHAnsi" w:hAnsiTheme="minorHAnsi"/>
          <w:bCs/>
          <w:snapToGrid w:val="0"/>
        </w:rPr>
        <w:t xml:space="preserve">The SMA patient advocate noted that because no treatments are currently available for </w:t>
      </w:r>
      <w:r w:rsidR="00A86480">
        <w:rPr>
          <w:rFonts w:asciiTheme="minorHAnsi" w:hAnsiTheme="minorHAnsi"/>
          <w:bCs/>
          <w:snapToGrid w:val="0"/>
        </w:rPr>
        <w:t xml:space="preserve">pre-symptomatic </w:t>
      </w:r>
      <w:r w:rsidR="007A5637">
        <w:rPr>
          <w:rFonts w:asciiTheme="minorHAnsi" w:hAnsiTheme="minorHAnsi"/>
          <w:bCs/>
          <w:snapToGrid w:val="0"/>
        </w:rPr>
        <w:t xml:space="preserve">patients </w:t>
      </w:r>
      <w:r w:rsidR="00735128">
        <w:rPr>
          <w:rFonts w:asciiTheme="minorHAnsi" w:hAnsiTheme="minorHAnsi"/>
          <w:bCs/>
          <w:snapToGrid w:val="0"/>
        </w:rPr>
        <w:t xml:space="preserve">who are </w:t>
      </w:r>
      <w:r w:rsidR="00A86480">
        <w:rPr>
          <w:rFonts w:asciiTheme="minorHAnsi" w:hAnsiTheme="minorHAnsi"/>
          <w:bCs/>
          <w:snapToGrid w:val="0"/>
        </w:rPr>
        <w:t xml:space="preserve">genetically diagnosed with SMA </w:t>
      </w:r>
      <w:r w:rsidR="00735128">
        <w:rPr>
          <w:rFonts w:asciiTheme="minorHAnsi" w:hAnsiTheme="minorHAnsi"/>
          <w:bCs/>
          <w:snapToGrid w:val="0"/>
        </w:rPr>
        <w:t xml:space="preserve">and have </w:t>
      </w:r>
      <w:r w:rsidR="007A5637">
        <w:rPr>
          <w:rFonts w:asciiTheme="minorHAnsi" w:hAnsiTheme="minorHAnsi"/>
          <w:bCs/>
          <w:snapToGrid w:val="0"/>
        </w:rPr>
        <w:t xml:space="preserve">3 </w:t>
      </w:r>
      <w:r w:rsidR="007A5637" w:rsidRPr="007A5637">
        <w:rPr>
          <w:rFonts w:asciiTheme="minorHAnsi" w:hAnsiTheme="minorHAnsi"/>
          <w:bCs/>
          <w:i/>
          <w:iCs/>
          <w:snapToGrid w:val="0"/>
        </w:rPr>
        <w:t>SMN2</w:t>
      </w:r>
      <w:r w:rsidR="007A5637">
        <w:rPr>
          <w:rFonts w:asciiTheme="minorHAnsi" w:hAnsiTheme="minorHAnsi"/>
          <w:bCs/>
          <w:snapToGrid w:val="0"/>
        </w:rPr>
        <w:t xml:space="preserve"> copies, </w:t>
      </w:r>
      <w:r w:rsidR="005D0D8C">
        <w:rPr>
          <w:rFonts w:asciiTheme="minorHAnsi" w:hAnsiTheme="minorHAnsi"/>
          <w:bCs/>
          <w:snapToGrid w:val="0"/>
        </w:rPr>
        <w:t>there have been situations where not all children</w:t>
      </w:r>
      <w:r w:rsidR="00A86480">
        <w:rPr>
          <w:rFonts w:asciiTheme="minorHAnsi" w:hAnsiTheme="minorHAnsi"/>
          <w:bCs/>
          <w:snapToGrid w:val="0"/>
        </w:rPr>
        <w:t xml:space="preserve"> within a family</w:t>
      </w:r>
      <w:r w:rsidR="00735128">
        <w:rPr>
          <w:rFonts w:asciiTheme="minorHAnsi" w:hAnsiTheme="minorHAnsi"/>
          <w:bCs/>
          <w:snapToGrid w:val="0"/>
        </w:rPr>
        <w:t xml:space="preserve"> of carriers have been able to receive treatment.</w:t>
      </w:r>
      <w:r w:rsidR="0094526D">
        <w:rPr>
          <w:rFonts w:asciiTheme="minorHAnsi" w:hAnsiTheme="minorHAnsi"/>
          <w:bCs/>
          <w:snapToGrid w:val="0"/>
        </w:rPr>
        <w:t xml:space="preserve"> </w:t>
      </w:r>
      <w:r w:rsidR="00825FDC">
        <w:rPr>
          <w:rFonts w:asciiTheme="minorHAnsi" w:hAnsiTheme="minorHAnsi"/>
          <w:bCs/>
          <w:snapToGrid w:val="0"/>
        </w:rPr>
        <w:t xml:space="preserve">The SMA patient advocate considered that availability of ONA for pre-symptomatic treatment of patients with 3 copies of </w:t>
      </w:r>
      <w:r w:rsidR="00825FDC" w:rsidRPr="00B344B7">
        <w:rPr>
          <w:rFonts w:asciiTheme="minorHAnsi" w:hAnsiTheme="minorHAnsi"/>
          <w:bCs/>
          <w:i/>
          <w:iCs/>
          <w:snapToGrid w:val="0"/>
        </w:rPr>
        <w:t>SMN</w:t>
      </w:r>
      <w:r w:rsidR="00825FDC" w:rsidRPr="005F6CBF">
        <w:rPr>
          <w:rFonts w:asciiTheme="minorHAnsi" w:hAnsiTheme="minorHAnsi"/>
          <w:bCs/>
          <w:i/>
          <w:iCs/>
          <w:snapToGrid w:val="0"/>
        </w:rPr>
        <w:t xml:space="preserve">2 </w:t>
      </w:r>
      <w:r w:rsidR="00825FDC">
        <w:rPr>
          <w:rFonts w:asciiTheme="minorHAnsi" w:hAnsiTheme="minorHAnsi"/>
          <w:bCs/>
          <w:snapToGrid w:val="0"/>
        </w:rPr>
        <w:t xml:space="preserve">would ensure equity of access. </w:t>
      </w:r>
      <w:r w:rsidR="0094526D">
        <w:rPr>
          <w:rFonts w:asciiTheme="minorHAnsi" w:hAnsiTheme="minorHAnsi"/>
          <w:bCs/>
          <w:snapToGrid w:val="0"/>
        </w:rPr>
        <w:t>The parent of a child with SMA</w:t>
      </w:r>
      <w:r w:rsidR="00825FDC">
        <w:rPr>
          <w:rFonts w:asciiTheme="minorHAnsi" w:hAnsiTheme="minorHAnsi"/>
          <w:bCs/>
          <w:snapToGrid w:val="0"/>
        </w:rPr>
        <w:t xml:space="preserve"> with 3 copies of </w:t>
      </w:r>
      <w:r w:rsidR="00825FDC" w:rsidRPr="00825FDC">
        <w:rPr>
          <w:rFonts w:asciiTheme="minorHAnsi" w:hAnsiTheme="minorHAnsi"/>
          <w:bCs/>
          <w:i/>
          <w:iCs/>
          <w:snapToGrid w:val="0"/>
        </w:rPr>
        <w:t>SMN</w:t>
      </w:r>
      <w:r w:rsidR="00825FDC" w:rsidRPr="005F6CBF">
        <w:rPr>
          <w:rFonts w:asciiTheme="minorHAnsi" w:hAnsiTheme="minorHAnsi"/>
          <w:bCs/>
          <w:i/>
          <w:iCs/>
          <w:snapToGrid w:val="0"/>
        </w:rPr>
        <w:t>2</w:t>
      </w:r>
      <w:r w:rsidR="00825FDC">
        <w:rPr>
          <w:rFonts w:asciiTheme="minorHAnsi" w:hAnsiTheme="minorHAnsi"/>
          <w:bCs/>
          <w:snapToGrid w:val="0"/>
        </w:rPr>
        <w:t xml:space="preserve">, who was diagnosed at 11 months </w:t>
      </w:r>
      <w:r w:rsidR="0094526D">
        <w:rPr>
          <w:rFonts w:asciiTheme="minorHAnsi" w:hAnsiTheme="minorHAnsi"/>
          <w:bCs/>
          <w:snapToGrid w:val="0"/>
        </w:rPr>
        <w:t xml:space="preserve">noted the </w:t>
      </w:r>
      <w:r w:rsidR="00F92F67">
        <w:rPr>
          <w:rFonts w:asciiTheme="minorHAnsi" w:hAnsiTheme="minorHAnsi"/>
          <w:bCs/>
          <w:snapToGrid w:val="0"/>
        </w:rPr>
        <w:t>significant improvements their child experienced after receiving treatment</w:t>
      </w:r>
      <w:r w:rsidR="00825FDC">
        <w:rPr>
          <w:rFonts w:asciiTheme="minorHAnsi" w:hAnsiTheme="minorHAnsi"/>
          <w:bCs/>
          <w:snapToGrid w:val="0"/>
        </w:rPr>
        <w:t xml:space="preserve">. Despite </w:t>
      </w:r>
      <w:r w:rsidR="00D42801">
        <w:rPr>
          <w:rFonts w:asciiTheme="minorHAnsi" w:hAnsiTheme="minorHAnsi"/>
          <w:bCs/>
          <w:snapToGrid w:val="0"/>
        </w:rPr>
        <w:t>treatment</w:t>
      </w:r>
      <w:r w:rsidR="00825FDC">
        <w:rPr>
          <w:rFonts w:asciiTheme="minorHAnsi" w:hAnsiTheme="minorHAnsi"/>
          <w:bCs/>
          <w:snapToGrid w:val="0"/>
        </w:rPr>
        <w:t xml:space="preserve">, </w:t>
      </w:r>
      <w:r w:rsidR="00D42801">
        <w:rPr>
          <w:rFonts w:asciiTheme="minorHAnsi" w:hAnsiTheme="minorHAnsi"/>
          <w:bCs/>
          <w:snapToGrid w:val="0"/>
        </w:rPr>
        <w:t xml:space="preserve">at 6 years of age </w:t>
      </w:r>
      <w:r w:rsidR="00825FDC">
        <w:rPr>
          <w:rFonts w:asciiTheme="minorHAnsi" w:hAnsiTheme="minorHAnsi"/>
          <w:bCs/>
          <w:snapToGrid w:val="0"/>
        </w:rPr>
        <w:t xml:space="preserve">the child </w:t>
      </w:r>
      <w:r w:rsidR="00D42801">
        <w:rPr>
          <w:rFonts w:asciiTheme="minorHAnsi" w:hAnsiTheme="minorHAnsi"/>
          <w:bCs/>
          <w:snapToGrid w:val="0"/>
        </w:rPr>
        <w:t xml:space="preserve">requires use of a wheelchair at times, depending on safety considerations and her level of fatigue. The </w:t>
      </w:r>
      <w:r w:rsidR="00825FDC">
        <w:rPr>
          <w:rFonts w:asciiTheme="minorHAnsi" w:hAnsiTheme="minorHAnsi"/>
          <w:bCs/>
          <w:snapToGrid w:val="0"/>
        </w:rPr>
        <w:t xml:space="preserve">parent noted that outcomes may have been different for the </w:t>
      </w:r>
      <w:r w:rsidR="00825FDC">
        <w:rPr>
          <w:rFonts w:asciiTheme="minorHAnsi" w:hAnsiTheme="minorHAnsi"/>
          <w:bCs/>
          <w:snapToGrid w:val="0"/>
        </w:rPr>
        <w:lastRenderedPageBreak/>
        <w:t>child if treatment had been available</w:t>
      </w:r>
      <w:r w:rsidR="00F92F67">
        <w:rPr>
          <w:rFonts w:asciiTheme="minorHAnsi" w:hAnsiTheme="minorHAnsi"/>
          <w:bCs/>
          <w:snapToGrid w:val="0"/>
        </w:rPr>
        <w:t xml:space="preserve"> </w:t>
      </w:r>
      <w:r w:rsidR="00D42801">
        <w:rPr>
          <w:rFonts w:asciiTheme="minorHAnsi" w:hAnsiTheme="minorHAnsi"/>
          <w:bCs/>
          <w:snapToGrid w:val="0"/>
        </w:rPr>
        <w:t xml:space="preserve">earlier </w:t>
      </w:r>
      <w:r w:rsidR="00C74DAD">
        <w:rPr>
          <w:rFonts w:asciiTheme="minorHAnsi" w:hAnsiTheme="minorHAnsi"/>
          <w:bCs/>
          <w:snapToGrid w:val="0"/>
        </w:rPr>
        <w:t xml:space="preserve">and strongly supported making </w:t>
      </w:r>
      <w:r w:rsidR="007E71CB">
        <w:rPr>
          <w:rFonts w:asciiTheme="minorHAnsi" w:hAnsiTheme="minorHAnsi"/>
          <w:bCs/>
          <w:snapToGrid w:val="0"/>
        </w:rPr>
        <w:t>ONA</w:t>
      </w:r>
      <w:r w:rsidR="00C74DAD">
        <w:rPr>
          <w:rFonts w:asciiTheme="minorHAnsi" w:hAnsiTheme="minorHAnsi"/>
          <w:bCs/>
          <w:snapToGrid w:val="0"/>
        </w:rPr>
        <w:t xml:space="preserve"> available</w:t>
      </w:r>
      <w:r w:rsidR="00FF2A34">
        <w:rPr>
          <w:rFonts w:asciiTheme="minorHAnsi" w:hAnsiTheme="minorHAnsi"/>
          <w:bCs/>
          <w:snapToGrid w:val="0"/>
        </w:rPr>
        <w:t xml:space="preserve"> to treat children as early as possible. </w:t>
      </w:r>
    </w:p>
    <w:bookmarkEnd w:id="26"/>
    <w:p w14:paraId="5E3152CF" w14:textId="77777777" w:rsidR="00054F33" w:rsidRPr="006E1229" w:rsidRDefault="00054F33" w:rsidP="00054F33">
      <w:pPr>
        <w:pStyle w:val="4-SubsectionHeading"/>
      </w:pPr>
      <w:r w:rsidRPr="006E1229">
        <w:t>Consumer comments</w:t>
      </w:r>
    </w:p>
    <w:p w14:paraId="4E3D4543" w14:textId="545200CC" w:rsidR="0010763B" w:rsidRDefault="00054F33" w:rsidP="00054F33">
      <w:pPr>
        <w:widowControl w:val="0"/>
        <w:numPr>
          <w:ilvl w:val="1"/>
          <w:numId w:val="1"/>
        </w:numPr>
        <w:spacing w:after="120"/>
        <w:rPr>
          <w:rFonts w:asciiTheme="minorHAnsi" w:hAnsiTheme="minorHAnsi"/>
          <w:bCs/>
          <w:snapToGrid w:val="0"/>
        </w:rPr>
      </w:pPr>
      <w:bookmarkStart w:id="27" w:name="_Hlk76382618"/>
      <w:r w:rsidRPr="00836F75">
        <w:rPr>
          <w:rFonts w:asciiTheme="minorHAnsi" w:hAnsiTheme="minorHAnsi"/>
          <w:bCs/>
          <w:snapToGrid w:val="0"/>
        </w:rPr>
        <w:t>The PBAC noted and welcomed the input from individuals (</w:t>
      </w:r>
      <w:r w:rsidR="00FF2A34">
        <w:rPr>
          <w:rFonts w:asciiTheme="minorHAnsi" w:hAnsiTheme="minorHAnsi"/>
          <w:bCs/>
          <w:snapToGrid w:val="0"/>
        </w:rPr>
        <w:t>22</w:t>
      </w:r>
      <w:r w:rsidRPr="00836F75">
        <w:rPr>
          <w:rFonts w:asciiTheme="minorHAnsi" w:hAnsiTheme="minorHAnsi"/>
          <w:bCs/>
          <w:snapToGrid w:val="0"/>
        </w:rPr>
        <w:t>), health care professionals (</w:t>
      </w:r>
      <w:r w:rsidR="00FF2A34">
        <w:rPr>
          <w:rFonts w:asciiTheme="minorHAnsi" w:hAnsiTheme="minorHAnsi"/>
          <w:bCs/>
          <w:snapToGrid w:val="0"/>
        </w:rPr>
        <w:t>4</w:t>
      </w:r>
      <w:r w:rsidRPr="00836F75">
        <w:rPr>
          <w:rFonts w:asciiTheme="minorHAnsi" w:hAnsiTheme="minorHAnsi"/>
          <w:bCs/>
          <w:snapToGrid w:val="0"/>
        </w:rPr>
        <w:t>) and organisations (</w:t>
      </w:r>
      <w:r w:rsidR="00FF2A34">
        <w:rPr>
          <w:rFonts w:asciiTheme="minorHAnsi" w:hAnsiTheme="minorHAnsi"/>
          <w:bCs/>
          <w:snapToGrid w:val="0"/>
        </w:rPr>
        <w:t>2</w:t>
      </w:r>
      <w:r w:rsidRPr="00836F75">
        <w:rPr>
          <w:rFonts w:asciiTheme="minorHAnsi" w:hAnsiTheme="minorHAnsi"/>
          <w:bCs/>
          <w:snapToGrid w:val="0"/>
        </w:rPr>
        <w:t xml:space="preserve">) via the Consumer Comments facility on the PBS website. </w:t>
      </w:r>
      <w:r w:rsidR="0010763B">
        <w:rPr>
          <w:rFonts w:asciiTheme="minorHAnsi" w:hAnsiTheme="minorHAnsi"/>
          <w:bCs/>
          <w:snapToGrid w:val="0"/>
        </w:rPr>
        <w:t xml:space="preserve">The comments emphasised </w:t>
      </w:r>
      <w:r w:rsidR="0010763B" w:rsidRPr="0010763B">
        <w:rPr>
          <w:rFonts w:asciiTheme="minorHAnsi" w:hAnsiTheme="minorHAnsi"/>
          <w:bCs/>
          <w:snapToGrid w:val="0"/>
        </w:rPr>
        <w:t>the importance of early intervention in the treatment of SMA in order to prevent irreversible motor neuron loss.</w:t>
      </w:r>
      <w:r w:rsidR="001721A6">
        <w:rPr>
          <w:rFonts w:asciiTheme="minorHAnsi" w:hAnsiTheme="minorHAnsi"/>
          <w:bCs/>
          <w:snapToGrid w:val="0"/>
        </w:rPr>
        <w:t xml:space="preserve"> </w:t>
      </w:r>
      <w:r w:rsidR="009048C5">
        <w:rPr>
          <w:rFonts w:asciiTheme="minorHAnsi" w:hAnsiTheme="minorHAnsi"/>
          <w:bCs/>
          <w:snapToGrid w:val="0"/>
        </w:rPr>
        <w:t xml:space="preserve">The comments noted that while the side effect profile of </w:t>
      </w:r>
      <w:r w:rsidR="007E71CB">
        <w:rPr>
          <w:rFonts w:asciiTheme="minorHAnsi" w:hAnsiTheme="minorHAnsi"/>
          <w:bCs/>
          <w:snapToGrid w:val="0"/>
        </w:rPr>
        <w:t>ONA</w:t>
      </w:r>
      <w:r w:rsidR="009048C5">
        <w:rPr>
          <w:rFonts w:asciiTheme="minorHAnsi" w:hAnsiTheme="minorHAnsi"/>
          <w:bCs/>
          <w:snapToGrid w:val="0"/>
        </w:rPr>
        <w:t xml:space="preserve"> was not yet completely understood, the treatment demonstrated a favourable safety profile in clinical trials.</w:t>
      </w:r>
      <w:r w:rsidR="00AC5D64">
        <w:rPr>
          <w:rFonts w:asciiTheme="minorHAnsi" w:hAnsiTheme="minorHAnsi"/>
          <w:bCs/>
          <w:snapToGrid w:val="0"/>
        </w:rPr>
        <w:t xml:space="preserve"> It was also noted that the prevention of SMA symptoms through early treatment may reduce future healthcare costs.</w:t>
      </w:r>
      <w:r w:rsidR="002C6829">
        <w:rPr>
          <w:rFonts w:asciiTheme="minorHAnsi" w:hAnsiTheme="minorHAnsi"/>
          <w:bCs/>
          <w:snapToGrid w:val="0"/>
        </w:rPr>
        <w:t xml:space="preserve"> </w:t>
      </w:r>
      <w:r w:rsidR="008C66DB">
        <w:rPr>
          <w:rFonts w:asciiTheme="minorHAnsi" w:hAnsiTheme="minorHAnsi"/>
          <w:bCs/>
          <w:snapToGrid w:val="0"/>
        </w:rPr>
        <w:t xml:space="preserve">Comments from parents of children </w:t>
      </w:r>
      <w:r w:rsidR="007615FA">
        <w:rPr>
          <w:rFonts w:asciiTheme="minorHAnsi" w:hAnsiTheme="minorHAnsi"/>
          <w:bCs/>
          <w:snapToGrid w:val="0"/>
        </w:rPr>
        <w:t xml:space="preserve">genetically </w:t>
      </w:r>
      <w:r w:rsidR="008C66DB">
        <w:rPr>
          <w:rFonts w:asciiTheme="minorHAnsi" w:hAnsiTheme="minorHAnsi"/>
          <w:bCs/>
          <w:snapToGrid w:val="0"/>
        </w:rPr>
        <w:t xml:space="preserve">diagnosed with SMA who </w:t>
      </w:r>
      <w:r w:rsidR="007615FA">
        <w:rPr>
          <w:rFonts w:asciiTheme="minorHAnsi" w:hAnsiTheme="minorHAnsi"/>
          <w:bCs/>
          <w:snapToGrid w:val="0"/>
        </w:rPr>
        <w:t>were treated with</w:t>
      </w:r>
      <w:r w:rsidR="008C66DB">
        <w:rPr>
          <w:rFonts w:asciiTheme="minorHAnsi" w:hAnsiTheme="minorHAnsi"/>
          <w:bCs/>
          <w:snapToGrid w:val="0"/>
        </w:rPr>
        <w:t xml:space="preserve"> </w:t>
      </w:r>
      <w:r w:rsidR="00326B2E">
        <w:rPr>
          <w:rFonts w:asciiTheme="minorHAnsi" w:hAnsiTheme="minorHAnsi"/>
          <w:bCs/>
          <w:snapToGrid w:val="0"/>
        </w:rPr>
        <w:t>ONA shortly after birth</w:t>
      </w:r>
      <w:r w:rsidR="00283A6D">
        <w:rPr>
          <w:rFonts w:asciiTheme="minorHAnsi" w:hAnsiTheme="minorHAnsi"/>
          <w:bCs/>
          <w:snapToGrid w:val="0"/>
        </w:rPr>
        <w:t>,</w:t>
      </w:r>
      <w:r w:rsidR="007615FA">
        <w:rPr>
          <w:rFonts w:asciiTheme="minorHAnsi" w:hAnsiTheme="minorHAnsi"/>
          <w:bCs/>
          <w:snapToGrid w:val="0"/>
        </w:rPr>
        <w:t xml:space="preserve"> </w:t>
      </w:r>
      <w:r w:rsidR="008C66DB">
        <w:rPr>
          <w:rFonts w:asciiTheme="minorHAnsi" w:hAnsiTheme="minorHAnsi"/>
          <w:bCs/>
          <w:snapToGrid w:val="0"/>
        </w:rPr>
        <w:t>described benefits of treatment including remaining asymptomatic</w:t>
      </w:r>
      <w:r w:rsidR="00AC5D64">
        <w:rPr>
          <w:rFonts w:asciiTheme="minorHAnsi" w:hAnsiTheme="minorHAnsi"/>
          <w:bCs/>
          <w:snapToGrid w:val="0"/>
        </w:rPr>
        <w:t xml:space="preserve"> and meeting normal developmental milestones. </w:t>
      </w:r>
      <w:r w:rsidR="00590402">
        <w:rPr>
          <w:rFonts w:asciiTheme="minorHAnsi" w:hAnsiTheme="minorHAnsi"/>
          <w:bCs/>
          <w:snapToGrid w:val="0"/>
        </w:rPr>
        <w:t xml:space="preserve">Comments </w:t>
      </w:r>
      <w:r w:rsidR="00DB73B9">
        <w:rPr>
          <w:rFonts w:asciiTheme="minorHAnsi" w:hAnsiTheme="minorHAnsi"/>
          <w:bCs/>
          <w:snapToGrid w:val="0"/>
        </w:rPr>
        <w:t xml:space="preserve">from parents of children with SMA who were treated with ONA following the development of symptoms </w:t>
      </w:r>
      <w:r w:rsidR="00283A6D">
        <w:rPr>
          <w:rFonts w:asciiTheme="minorHAnsi" w:hAnsiTheme="minorHAnsi"/>
          <w:bCs/>
          <w:snapToGrid w:val="0"/>
        </w:rPr>
        <w:t>indicated a perception that their child would have</w:t>
      </w:r>
      <w:r w:rsidR="0021385A">
        <w:rPr>
          <w:rFonts w:asciiTheme="minorHAnsi" w:hAnsiTheme="minorHAnsi"/>
          <w:bCs/>
          <w:snapToGrid w:val="0"/>
        </w:rPr>
        <w:t xml:space="preserve"> even better outcomes if treated prior to symptom onset. </w:t>
      </w:r>
      <w:r w:rsidR="00283A6D">
        <w:rPr>
          <w:rFonts w:asciiTheme="minorHAnsi" w:hAnsiTheme="minorHAnsi"/>
          <w:bCs/>
          <w:snapToGrid w:val="0"/>
        </w:rPr>
        <w:t xml:space="preserve"> </w:t>
      </w:r>
    </w:p>
    <w:p w14:paraId="54E934DA" w14:textId="3943924B" w:rsidR="00AC5D64" w:rsidRDefault="0052398D" w:rsidP="00054F33">
      <w:pPr>
        <w:widowControl w:val="0"/>
        <w:numPr>
          <w:ilvl w:val="1"/>
          <w:numId w:val="1"/>
        </w:numPr>
        <w:spacing w:after="120"/>
        <w:rPr>
          <w:rFonts w:asciiTheme="minorHAnsi" w:hAnsiTheme="minorHAnsi"/>
          <w:bCs/>
          <w:snapToGrid w:val="0"/>
        </w:rPr>
      </w:pPr>
      <w:r>
        <w:rPr>
          <w:rFonts w:asciiTheme="minorHAnsi" w:hAnsiTheme="minorHAnsi"/>
          <w:bCs/>
          <w:snapToGrid w:val="0"/>
        </w:rPr>
        <w:t>The National Paediatric Medicines Forum</w:t>
      </w:r>
      <w:r w:rsidR="00641756">
        <w:rPr>
          <w:rFonts w:asciiTheme="minorHAnsi" w:hAnsiTheme="minorHAnsi"/>
          <w:bCs/>
          <w:snapToGrid w:val="0"/>
        </w:rPr>
        <w:t xml:space="preserve"> (NPMF)</w:t>
      </w:r>
      <w:r>
        <w:rPr>
          <w:rFonts w:asciiTheme="minorHAnsi" w:hAnsiTheme="minorHAnsi"/>
          <w:bCs/>
          <w:snapToGrid w:val="0"/>
        </w:rPr>
        <w:t xml:space="preserve"> noted that </w:t>
      </w:r>
      <w:r w:rsidR="005F31B1">
        <w:rPr>
          <w:rFonts w:asciiTheme="minorHAnsi" w:hAnsiTheme="minorHAnsi"/>
          <w:bCs/>
          <w:snapToGrid w:val="0"/>
        </w:rPr>
        <w:t>minimal adverse events</w:t>
      </w:r>
      <w:r w:rsidR="00641756">
        <w:rPr>
          <w:rFonts w:asciiTheme="minorHAnsi" w:hAnsiTheme="minorHAnsi"/>
          <w:bCs/>
          <w:snapToGrid w:val="0"/>
        </w:rPr>
        <w:t xml:space="preserve"> have been</w:t>
      </w:r>
      <w:r w:rsidR="005F31B1">
        <w:rPr>
          <w:rFonts w:asciiTheme="minorHAnsi" w:hAnsiTheme="minorHAnsi"/>
          <w:bCs/>
          <w:snapToGrid w:val="0"/>
        </w:rPr>
        <w:t xml:space="preserve"> reported for </w:t>
      </w:r>
      <w:r w:rsidR="007E71CB">
        <w:rPr>
          <w:rFonts w:asciiTheme="minorHAnsi" w:hAnsiTheme="minorHAnsi"/>
          <w:bCs/>
          <w:snapToGrid w:val="0"/>
        </w:rPr>
        <w:t>ONA</w:t>
      </w:r>
      <w:r w:rsidR="005F31B1">
        <w:rPr>
          <w:rFonts w:asciiTheme="minorHAnsi" w:hAnsiTheme="minorHAnsi"/>
          <w:bCs/>
          <w:snapToGrid w:val="0"/>
        </w:rPr>
        <w:t xml:space="preserve"> so far across paediatric facilities. </w:t>
      </w:r>
      <w:r w:rsidR="00641756">
        <w:rPr>
          <w:rFonts w:asciiTheme="minorHAnsi" w:hAnsiTheme="minorHAnsi"/>
          <w:bCs/>
          <w:snapToGrid w:val="0"/>
        </w:rPr>
        <w:t xml:space="preserve">The NPMF noted </w:t>
      </w:r>
      <w:r w:rsidR="00A05799">
        <w:rPr>
          <w:rFonts w:asciiTheme="minorHAnsi" w:hAnsiTheme="minorHAnsi"/>
          <w:bCs/>
          <w:snapToGrid w:val="0"/>
        </w:rPr>
        <w:t xml:space="preserve">that </w:t>
      </w:r>
      <w:r w:rsidR="00641756">
        <w:rPr>
          <w:rFonts w:asciiTheme="minorHAnsi" w:hAnsiTheme="minorHAnsi"/>
          <w:bCs/>
          <w:snapToGrid w:val="0"/>
        </w:rPr>
        <w:t>w</w:t>
      </w:r>
      <w:r w:rsidR="005F31B1" w:rsidRPr="005F31B1">
        <w:rPr>
          <w:rFonts w:asciiTheme="minorHAnsi" w:hAnsiTheme="minorHAnsi"/>
          <w:bCs/>
          <w:snapToGrid w:val="0"/>
        </w:rPr>
        <w:t>ith paediatric sites developing facilities to prepare and administer gene therapies</w:t>
      </w:r>
      <w:r w:rsidR="00A05799">
        <w:rPr>
          <w:rFonts w:asciiTheme="minorHAnsi" w:hAnsiTheme="minorHAnsi"/>
          <w:bCs/>
          <w:snapToGrid w:val="0"/>
        </w:rPr>
        <w:t>,</w:t>
      </w:r>
      <w:r w:rsidR="005F31B1" w:rsidRPr="005F31B1">
        <w:rPr>
          <w:rFonts w:asciiTheme="minorHAnsi" w:hAnsiTheme="minorHAnsi"/>
          <w:bCs/>
          <w:snapToGrid w:val="0"/>
        </w:rPr>
        <w:t xml:space="preserve"> as well as the formation of state based newborn screening programs</w:t>
      </w:r>
      <w:r w:rsidR="00A05799">
        <w:rPr>
          <w:rFonts w:asciiTheme="minorHAnsi" w:hAnsiTheme="minorHAnsi"/>
          <w:bCs/>
          <w:snapToGrid w:val="0"/>
        </w:rPr>
        <w:t>, many more children would be able to receive treatment quickly if the listing was recommended by the PBAC.</w:t>
      </w:r>
      <w:r w:rsidR="005F31B1" w:rsidRPr="005F31B1">
        <w:rPr>
          <w:rFonts w:asciiTheme="minorHAnsi" w:hAnsiTheme="minorHAnsi"/>
          <w:bCs/>
          <w:snapToGrid w:val="0"/>
        </w:rPr>
        <w:t xml:space="preserve"> </w:t>
      </w:r>
    </w:p>
    <w:p w14:paraId="35D60506" w14:textId="44AA2EB5" w:rsidR="00A05799" w:rsidRDefault="00A05799" w:rsidP="00054F33">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Spinal Muscular Atrophy Australia strongly supported expanding the current PBS listing of </w:t>
      </w:r>
      <w:r w:rsidR="007E71CB">
        <w:rPr>
          <w:rFonts w:asciiTheme="minorHAnsi" w:hAnsiTheme="minorHAnsi"/>
          <w:bCs/>
          <w:snapToGrid w:val="0"/>
        </w:rPr>
        <w:t>ONA</w:t>
      </w:r>
      <w:r>
        <w:rPr>
          <w:rFonts w:asciiTheme="minorHAnsi" w:hAnsiTheme="minorHAnsi"/>
          <w:bCs/>
          <w:snapToGrid w:val="0"/>
        </w:rPr>
        <w:t xml:space="preserve"> to include the pre-symptomatic treatment of </w:t>
      </w:r>
      <w:r w:rsidR="00A94015">
        <w:rPr>
          <w:rFonts w:asciiTheme="minorHAnsi" w:hAnsiTheme="minorHAnsi"/>
          <w:bCs/>
          <w:snapToGrid w:val="0"/>
        </w:rPr>
        <w:t xml:space="preserve">patients genetically diagnosed with SMA who have 3 </w:t>
      </w:r>
      <w:r w:rsidR="00A94015" w:rsidRPr="00A94015">
        <w:rPr>
          <w:rFonts w:asciiTheme="minorHAnsi" w:hAnsiTheme="minorHAnsi"/>
          <w:bCs/>
          <w:i/>
          <w:iCs/>
          <w:snapToGrid w:val="0"/>
        </w:rPr>
        <w:t>SMN</w:t>
      </w:r>
      <w:r w:rsidR="00A94015" w:rsidRPr="00FD64E0">
        <w:rPr>
          <w:rFonts w:asciiTheme="minorHAnsi" w:hAnsiTheme="minorHAnsi"/>
          <w:bCs/>
          <w:snapToGrid w:val="0"/>
        </w:rPr>
        <w:t>2</w:t>
      </w:r>
      <w:r w:rsidR="00A94015">
        <w:rPr>
          <w:rFonts w:asciiTheme="minorHAnsi" w:hAnsiTheme="minorHAnsi"/>
          <w:bCs/>
          <w:snapToGrid w:val="0"/>
        </w:rPr>
        <w:t xml:space="preserve"> copies. </w:t>
      </w:r>
      <w:r w:rsidR="00A67BE3">
        <w:rPr>
          <w:rFonts w:asciiTheme="minorHAnsi" w:hAnsiTheme="minorHAnsi"/>
          <w:bCs/>
          <w:snapToGrid w:val="0"/>
        </w:rPr>
        <w:t xml:space="preserve">Spinal Muscular Atrophy Australia noted that while advances in diagnostics and treatments has changed the SMA landscape considerably over the last few years, access to treatment is not equitable for all </w:t>
      </w:r>
      <w:r w:rsidR="00A85F62">
        <w:rPr>
          <w:rFonts w:asciiTheme="minorHAnsi" w:hAnsiTheme="minorHAnsi"/>
          <w:bCs/>
          <w:snapToGrid w:val="0"/>
        </w:rPr>
        <w:t>children</w:t>
      </w:r>
      <w:r w:rsidR="00851F4F">
        <w:rPr>
          <w:rFonts w:asciiTheme="minorHAnsi" w:hAnsiTheme="minorHAnsi"/>
          <w:bCs/>
          <w:snapToGrid w:val="0"/>
        </w:rPr>
        <w:t xml:space="preserve"> </w:t>
      </w:r>
      <w:r w:rsidR="00A67BE3">
        <w:rPr>
          <w:rFonts w:asciiTheme="minorHAnsi" w:hAnsiTheme="minorHAnsi"/>
          <w:bCs/>
          <w:snapToGrid w:val="0"/>
        </w:rPr>
        <w:t>genetically diagnosed with SMA.</w:t>
      </w:r>
      <w:r w:rsidR="00851F4F">
        <w:rPr>
          <w:rFonts w:asciiTheme="minorHAnsi" w:hAnsiTheme="minorHAnsi"/>
          <w:bCs/>
          <w:snapToGrid w:val="0"/>
        </w:rPr>
        <w:t xml:space="preserve"> Spinal Muscular Atrophy Australia </w:t>
      </w:r>
      <w:r w:rsidR="00DF125E">
        <w:rPr>
          <w:rFonts w:asciiTheme="minorHAnsi" w:hAnsiTheme="minorHAnsi"/>
          <w:bCs/>
          <w:snapToGrid w:val="0"/>
        </w:rPr>
        <w:t xml:space="preserve">noted that treating children with SMA who have 3 </w:t>
      </w:r>
      <w:r w:rsidR="00DF125E" w:rsidRPr="00DF125E">
        <w:rPr>
          <w:rFonts w:asciiTheme="minorHAnsi" w:hAnsiTheme="minorHAnsi"/>
          <w:bCs/>
          <w:i/>
          <w:iCs/>
          <w:snapToGrid w:val="0"/>
        </w:rPr>
        <w:t>SMN</w:t>
      </w:r>
      <w:r w:rsidR="00DF125E" w:rsidRPr="00FD64E0">
        <w:rPr>
          <w:rFonts w:asciiTheme="minorHAnsi" w:hAnsiTheme="minorHAnsi"/>
          <w:bCs/>
          <w:snapToGrid w:val="0"/>
        </w:rPr>
        <w:t>2</w:t>
      </w:r>
      <w:r w:rsidR="000B5CD3">
        <w:rPr>
          <w:rFonts w:asciiTheme="minorHAnsi" w:hAnsiTheme="minorHAnsi"/>
          <w:bCs/>
          <w:i/>
          <w:iCs/>
          <w:snapToGrid w:val="0"/>
        </w:rPr>
        <w:t xml:space="preserve"> </w:t>
      </w:r>
      <w:r w:rsidR="000B5CD3" w:rsidRPr="000B5CD3">
        <w:rPr>
          <w:rFonts w:asciiTheme="minorHAnsi" w:hAnsiTheme="minorHAnsi"/>
          <w:bCs/>
          <w:snapToGrid w:val="0"/>
        </w:rPr>
        <w:t>copies</w:t>
      </w:r>
      <w:r w:rsidR="00DF125E" w:rsidRPr="000B5CD3">
        <w:rPr>
          <w:rFonts w:asciiTheme="minorHAnsi" w:hAnsiTheme="minorHAnsi"/>
          <w:bCs/>
          <w:snapToGrid w:val="0"/>
        </w:rPr>
        <w:t xml:space="preserve"> </w:t>
      </w:r>
      <w:r w:rsidR="00DF125E">
        <w:rPr>
          <w:rFonts w:asciiTheme="minorHAnsi" w:hAnsiTheme="minorHAnsi"/>
          <w:bCs/>
          <w:snapToGrid w:val="0"/>
        </w:rPr>
        <w:t xml:space="preserve">after the development of symptoms could mean these children </w:t>
      </w:r>
      <w:r w:rsidR="000B5CD3">
        <w:rPr>
          <w:rFonts w:asciiTheme="minorHAnsi" w:hAnsiTheme="minorHAnsi"/>
          <w:bCs/>
          <w:snapToGrid w:val="0"/>
        </w:rPr>
        <w:t>would</w:t>
      </w:r>
      <w:r w:rsidR="00DF125E">
        <w:rPr>
          <w:rFonts w:asciiTheme="minorHAnsi" w:hAnsiTheme="minorHAnsi"/>
          <w:bCs/>
          <w:snapToGrid w:val="0"/>
        </w:rPr>
        <w:t xml:space="preserve"> not achieve the same outcomes as children who are </w:t>
      </w:r>
      <w:r w:rsidR="000B5CD3">
        <w:rPr>
          <w:rFonts w:asciiTheme="minorHAnsi" w:hAnsiTheme="minorHAnsi"/>
          <w:bCs/>
          <w:snapToGrid w:val="0"/>
        </w:rPr>
        <w:t xml:space="preserve">currently </w:t>
      </w:r>
      <w:r w:rsidR="00DF125E">
        <w:rPr>
          <w:rFonts w:asciiTheme="minorHAnsi" w:hAnsiTheme="minorHAnsi"/>
          <w:bCs/>
          <w:snapToGrid w:val="0"/>
        </w:rPr>
        <w:t xml:space="preserve">eligible to receive </w:t>
      </w:r>
      <w:r w:rsidR="000B5CD3">
        <w:rPr>
          <w:rFonts w:asciiTheme="minorHAnsi" w:hAnsiTheme="minorHAnsi"/>
          <w:bCs/>
          <w:snapToGrid w:val="0"/>
        </w:rPr>
        <w:t xml:space="preserve">subsidised </w:t>
      </w:r>
      <w:r w:rsidR="00DF125E">
        <w:rPr>
          <w:rFonts w:asciiTheme="minorHAnsi" w:hAnsiTheme="minorHAnsi"/>
          <w:bCs/>
          <w:snapToGrid w:val="0"/>
        </w:rPr>
        <w:t>treatment earlier</w:t>
      </w:r>
      <w:r w:rsidR="000B5CD3">
        <w:rPr>
          <w:rFonts w:asciiTheme="minorHAnsi" w:hAnsiTheme="minorHAnsi"/>
          <w:bCs/>
          <w:snapToGrid w:val="0"/>
        </w:rPr>
        <w:t>,</w:t>
      </w:r>
      <w:r w:rsidR="00C72ED3">
        <w:rPr>
          <w:rFonts w:asciiTheme="minorHAnsi" w:hAnsiTheme="minorHAnsi"/>
          <w:bCs/>
          <w:snapToGrid w:val="0"/>
        </w:rPr>
        <w:t xml:space="preserve"> </w:t>
      </w:r>
      <w:r w:rsidR="00DF125E">
        <w:rPr>
          <w:rFonts w:asciiTheme="minorHAnsi" w:hAnsiTheme="minorHAnsi"/>
          <w:bCs/>
          <w:snapToGrid w:val="0"/>
        </w:rPr>
        <w:t xml:space="preserve">and </w:t>
      </w:r>
      <w:r w:rsidR="00851F4F">
        <w:rPr>
          <w:rFonts w:asciiTheme="minorHAnsi" w:hAnsiTheme="minorHAnsi"/>
          <w:bCs/>
          <w:snapToGrid w:val="0"/>
        </w:rPr>
        <w:t xml:space="preserve">highlighted </w:t>
      </w:r>
      <w:r w:rsidR="000B5CD3">
        <w:rPr>
          <w:rFonts w:asciiTheme="minorHAnsi" w:hAnsiTheme="minorHAnsi"/>
          <w:bCs/>
          <w:snapToGrid w:val="0"/>
        </w:rPr>
        <w:t>the distress that</w:t>
      </w:r>
      <w:r w:rsidR="00851F4F">
        <w:rPr>
          <w:rFonts w:asciiTheme="minorHAnsi" w:hAnsiTheme="minorHAnsi"/>
          <w:bCs/>
          <w:snapToGrid w:val="0"/>
        </w:rPr>
        <w:t xml:space="preserve"> watching and waiting for </w:t>
      </w:r>
      <w:r w:rsidR="00851F4F" w:rsidRPr="00851F4F">
        <w:rPr>
          <w:rFonts w:asciiTheme="minorHAnsi" w:hAnsiTheme="minorHAnsi"/>
          <w:bCs/>
          <w:snapToGrid w:val="0"/>
        </w:rPr>
        <w:t xml:space="preserve">symptoms </w:t>
      </w:r>
      <w:r w:rsidR="000B5CD3">
        <w:rPr>
          <w:rFonts w:asciiTheme="minorHAnsi" w:hAnsiTheme="minorHAnsi"/>
          <w:bCs/>
          <w:snapToGrid w:val="0"/>
        </w:rPr>
        <w:t xml:space="preserve">has on parents and families. </w:t>
      </w:r>
    </w:p>
    <w:bookmarkEnd w:id="24"/>
    <w:bookmarkEnd w:id="27"/>
    <w:p w14:paraId="609C0765" w14:textId="07C32C2F" w:rsidR="00B60939" w:rsidRPr="00AE3438" w:rsidRDefault="00B60939" w:rsidP="002E4F02">
      <w:pPr>
        <w:pStyle w:val="4-SubsectionHeading"/>
      </w:pPr>
      <w:r w:rsidRPr="00AE3438">
        <w:t xml:space="preserve">Clinical </w:t>
      </w:r>
      <w:r w:rsidR="00D5243B" w:rsidRPr="00AE3438">
        <w:t>studies</w:t>
      </w:r>
      <w:bookmarkEnd w:id="23"/>
      <w:bookmarkEnd w:id="25"/>
    </w:p>
    <w:p w14:paraId="66987D60" w14:textId="7D0D24A7" w:rsidR="00B80681" w:rsidRPr="00AE3438" w:rsidRDefault="00B80681" w:rsidP="002E4F02">
      <w:pPr>
        <w:pStyle w:val="3-BodyText"/>
      </w:pPr>
      <w:r w:rsidRPr="00AE3438">
        <w:t xml:space="preserve">The submission was based on one single-arm study of ONA in pre-symptomatic patients (SPR1NT) and its long-term follow-up (LT-002, interim data), and 12 studies for symptomatic </w:t>
      </w:r>
      <w:r w:rsidR="007A3DE9" w:rsidRPr="00AE3438">
        <w:t>SMA treatment</w:t>
      </w:r>
      <w:r w:rsidRPr="00AE3438">
        <w:t xml:space="preserve"> with DMTs on the PBS</w:t>
      </w:r>
      <w:r w:rsidR="007A3DE9" w:rsidRPr="00AE3438">
        <w:t xml:space="preserve"> for patients with SMA Types I to III</w:t>
      </w:r>
      <w:r w:rsidRPr="00AE3438">
        <w:t xml:space="preserve">. These included 4 open-label studies of ONA as symptomatic treatment: START and its long-term follow-up START-LTFU (also known as LT-001) and STRIVE-US, STRIVE-EU, and their long-term follow-up (also in LT-002). There were 6 studies for </w:t>
      </w:r>
      <w:r w:rsidRPr="00AE3438">
        <w:lastRenderedPageBreak/>
        <w:t>nusinersen: 2 sham-controlled RCTs (ENDEAR and CHERISH)</w:t>
      </w:r>
      <w:r w:rsidR="00970829" w:rsidRPr="00AE3438">
        <w:t>,</w:t>
      </w:r>
      <w:r w:rsidRPr="00AE3438">
        <w:t xml:space="preserve"> 2 dose-escalating studies (CS2 and CS3A) and 2 open-label follow-up extension studies (CS2/CS12 and SHINE (interim data)). Patients in CS2 who continued in the open-label safety study CS12 were analysed in CS2/CS12 (Darras et al 2019). SHINE was a long-term extension study which enrolled patients from shorter term nusinersen studies ENDEAR, CHERISH, EMBRACE, CS12 and CS3A. The submission included two studies for risdiplam: FIREFISH and SUNFISH, both comprising an exploratory dose finding part and a second open-label efficacy part using the risdiplam dose from the first part (interim data).</w:t>
      </w:r>
    </w:p>
    <w:p w14:paraId="68817AE7" w14:textId="15C9268F" w:rsidR="00B80681" w:rsidRPr="00AE3438" w:rsidRDefault="00B80681" w:rsidP="002E4F02">
      <w:pPr>
        <w:pStyle w:val="3-BodyText"/>
      </w:pPr>
      <w:r w:rsidRPr="00AE3438">
        <w:t xml:space="preserve">All the studies were considered by the PBAC in previous </w:t>
      </w:r>
      <w:bookmarkStart w:id="28" w:name="_Hlk120612134"/>
      <w:r w:rsidRPr="00AE3438">
        <w:t xml:space="preserve">submissions of DMTs for SMA </w:t>
      </w:r>
      <w:bookmarkEnd w:id="28"/>
      <w:r w:rsidRPr="00AE3438">
        <w:t xml:space="preserve">or the </w:t>
      </w:r>
      <w:r w:rsidR="00F5725F" w:rsidRPr="00AE3438">
        <w:t>R</w:t>
      </w:r>
      <w:r w:rsidRPr="00AE3438">
        <w:t xml:space="preserve">eview of SMA ‘whole of disease’ treatment evidence March 2021 </w:t>
      </w:r>
      <w:r w:rsidR="00771653" w:rsidRPr="009B39DD">
        <w:t>commissioned and provided by Biogen</w:t>
      </w:r>
      <w:r w:rsidR="00771653" w:rsidRPr="00AE3438">
        <w:rPr>
          <w:i/>
          <w:iCs/>
        </w:rPr>
        <w:t xml:space="preserve"> </w:t>
      </w:r>
      <w:r w:rsidRPr="00AE3438">
        <w:t>(Attachment 14 of the submission).</w:t>
      </w:r>
    </w:p>
    <w:p w14:paraId="35311919" w14:textId="14C43B65" w:rsidR="00B80681" w:rsidRPr="00AE3438" w:rsidRDefault="00B80681" w:rsidP="002E4F02">
      <w:pPr>
        <w:pStyle w:val="3-BodyText"/>
      </w:pPr>
      <w:r w:rsidRPr="00AE3438">
        <w:t xml:space="preserve">The submission identified in “Attachment 8 Near market comparator analysis”, two ongoing studies of DMTs for treatment in pre-symptomatic patients: nusinersen (NURTURE) and risdiplam (RAINBOWFISH), which were excluded from the main analysis on the grounds of ‘wrong population’. </w:t>
      </w:r>
      <w:r w:rsidR="009D7AF6" w:rsidRPr="00AE3438">
        <w:rPr>
          <w:iCs/>
        </w:rPr>
        <w:t xml:space="preserve">Given the scarcity of data for </w:t>
      </w:r>
      <w:r w:rsidR="00F3074F" w:rsidRPr="00AE3438">
        <w:rPr>
          <w:iCs/>
        </w:rPr>
        <w:t>p</w:t>
      </w:r>
      <w:r w:rsidR="009D7AF6" w:rsidRPr="00AE3438">
        <w:rPr>
          <w:iCs/>
        </w:rPr>
        <w:t>re</w:t>
      </w:r>
      <w:r w:rsidR="00D22BF5" w:rsidRPr="00AE3438">
        <w:rPr>
          <w:iCs/>
        </w:rPr>
        <w:noBreakHyphen/>
      </w:r>
      <w:r w:rsidR="009D7AF6" w:rsidRPr="00AE3438">
        <w:rPr>
          <w:iCs/>
        </w:rPr>
        <w:t>symptomatic</w:t>
      </w:r>
      <w:r w:rsidR="00F3074F" w:rsidRPr="00AE3438">
        <w:rPr>
          <w:iCs/>
        </w:rPr>
        <w:t xml:space="preserve"> treatment with DMTs, these studies were</w:t>
      </w:r>
      <w:r w:rsidR="000D184E" w:rsidRPr="00AE3438">
        <w:rPr>
          <w:iCs/>
        </w:rPr>
        <w:t xml:space="preserve"> included</w:t>
      </w:r>
      <w:r w:rsidR="00F3074F" w:rsidRPr="00AE3438">
        <w:rPr>
          <w:iCs/>
        </w:rPr>
        <w:t xml:space="preserve"> </w:t>
      </w:r>
      <w:r w:rsidR="009D7AF6" w:rsidRPr="00AE3438">
        <w:rPr>
          <w:iCs/>
        </w:rPr>
        <w:t xml:space="preserve">during the evaluation to </w:t>
      </w:r>
      <w:r w:rsidR="00C061AA" w:rsidRPr="00AE3438">
        <w:rPr>
          <w:iCs/>
        </w:rPr>
        <w:t>provide context</w:t>
      </w:r>
      <w:r w:rsidR="00D22BF5" w:rsidRPr="00AE3438">
        <w:rPr>
          <w:iCs/>
        </w:rPr>
        <w:t>,</w:t>
      </w:r>
      <w:r w:rsidR="00C061AA" w:rsidRPr="00AE3438">
        <w:rPr>
          <w:iCs/>
        </w:rPr>
        <w:t xml:space="preserve"> particularly </w:t>
      </w:r>
      <w:r w:rsidR="00F3074F" w:rsidRPr="00AE3438">
        <w:rPr>
          <w:iCs/>
        </w:rPr>
        <w:t xml:space="preserve">the </w:t>
      </w:r>
      <w:r w:rsidR="00C061AA" w:rsidRPr="00AE3438">
        <w:rPr>
          <w:iCs/>
        </w:rPr>
        <w:t xml:space="preserve">likely </w:t>
      </w:r>
      <w:r w:rsidR="00F3074F" w:rsidRPr="00AE3438">
        <w:rPr>
          <w:iCs/>
        </w:rPr>
        <w:t xml:space="preserve">difference in efficacy between </w:t>
      </w:r>
      <w:r w:rsidR="009D7AF6" w:rsidRPr="00AE3438">
        <w:rPr>
          <w:iCs/>
        </w:rPr>
        <w:t>pre</w:t>
      </w:r>
      <w:r w:rsidR="00D22BF5" w:rsidRPr="00AE3438">
        <w:rPr>
          <w:iCs/>
        </w:rPr>
        <w:noBreakHyphen/>
      </w:r>
      <w:r w:rsidR="009D7AF6" w:rsidRPr="00AE3438">
        <w:rPr>
          <w:iCs/>
        </w:rPr>
        <w:t xml:space="preserve">symptomatic </w:t>
      </w:r>
      <w:r w:rsidR="00F3074F" w:rsidRPr="00AE3438">
        <w:rPr>
          <w:iCs/>
        </w:rPr>
        <w:t xml:space="preserve">and </w:t>
      </w:r>
      <w:r w:rsidR="009D7AF6" w:rsidRPr="00AE3438">
        <w:rPr>
          <w:iCs/>
        </w:rPr>
        <w:t xml:space="preserve">symptomatic treatment </w:t>
      </w:r>
      <w:r w:rsidR="00F3074F" w:rsidRPr="00AE3438">
        <w:rPr>
          <w:iCs/>
        </w:rPr>
        <w:t>using the same drug</w:t>
      </w:r>
      <w:r w:rsidR="00C061AA" w:rsidRPr="00AE3438">
        <w:rPr>
          <w:iCs/>
        </w:rPr>
        <w:t>, given that information is lack</w:t>
      </w:r>
      <w:r w:rsidR="000D184E" w:rsidRPr="00AE3438">
        <w:rPr>
          <w:iCs/>
        </w:rPr>
        <w:t>ing</w:t>
      </w:r>
      <w:r w:rsidR="00C061AA" w:rsidRPr="00AE3438">
        <w:rPr>
          <w:iCs/>
        </w:rPr>
        <w:t xml:space="preserve"> for ONA in symptomatic treatment of patients with Type II or III SMA</w:t>
      </w:r>
      <w:r w:rsidR="009D7AF6" w:rsidRPr="00AE3438">
        <w:rPr>
          <w:iCs/>
        </w:rPr>
        <w:t xml:space="preserve">. </w:t>
      </w:r>
      <w:r w:rsidR="00C061AA" w:rsidRPr="00AE3438">
        <w:rPr>
          <w:iCs/>
        </w:rPr>
        <w:t>B</w:t>
      </w:r>
      <w:r w:rsidRPr="00AE3438">
        <w:rPr>
          <w:iCs/>
        </w:rPr>
        <w:t xml:space="preserve">oth </w:t>
      </w:r>
      <w:r w:rsidR="00C061AA" w:rsidRPr="00AE3438">
        <w:rPr>
          <w:iCs/>
        </w:rPr>
        <w:t xml:space="preserve">NURTURE and RAINBOWFISH </w:t>
      </w:r>
      <w:r w:rsidRPr="00AE3438">
        <w:rPr>
          <w:iCs/>
        </w:rPr>
        <w:t xml:space="preserve">were previously presented and considered by the PBAC and included patients with 2 or 3 copies of </w:t>
      </w:r>
      <w:r w:rsidRPr="00AE3438">
        <w:rPr>
          <w:i/>
        </w:rPr>
        <w:t>SMN2</w:t>
      </w:r>
      <w:r w:rsidRPr="00AE3438">
        <w:rPr>
          <w:iCs/>
        </w:rPr>
        <w:t xml:space="preserve"> who received treatment pre-symptomatically and reported comparable outcomes such as motor functions and survival at 24 months.</w:t>
      </w:r>
    </w:p>
    <w:p w14:paraId="65752FCB" w14:textId="6A1DBB26" w:rsidR="00B80681" w:rsidRPr="00AE3438" w:rsidRDefault="00B80681" w:rsidP="002E4F02">
      <w:pPr>
        <w:pStyle w:val="3-BodyText"/>
      </w:pPr>
      <w:r w:rsidRPr="00AE3438">
        <w:t>The submission also identified six systematic reviews evaluat</w:t>
      </w:r>
      <w:r w:rsidR="00AB669F" w:rsidRPr="00AE3438">
        <w:t>ing</w:t>
      </w:r>
      <w:r w:rsidRPr="00AE3438">
        <w:t xml:space="preserve"> the efficacy and safety of nusinersen in symptomatic paediatric or adult patients with SMA, in terms of motor milestones, survival and adverse events. </w:t>
      </w:r>
    </w:p>
    <w:p w14:paraId="37E6F809" w14:textId="77777777" w:rsidR="00B80681" w:rsidRPr="00AE3438" w:rsidRDefault="00B80681" w:rsidP="00B80681">
      <w:pPr>
        <w:pStyle w:val="3-BodyText"/>
      </w:pPr>
      <w:r w:rsidRPr="00AE3438">
        <w:t xml:space="preserve">In addition, four SMA natural history studies were identified and used in the modelled economic evaluation: </w:t>
      </w:r>
    </w:p>
    <w:p w14:paraId="38A1AF6F" w14:textId="3A2BFAA9" w:rsidR="00B80681" w:rsidRPr="00AE3438" w:rsidRDefault="00B80681" w:rsidP="00054F33">
      <w:pPr>
        <w:pStyle w:val="ListParagraph"/>
        <w:numPr>
          <w:ilvl w:val="0"/>
          <w:numId w:val="5"/>
        </w:numPr>
        <w:spacing w:after="0"/>
      </w:pPr>
      <w:r w:rsidRPr="00AE3438">
        <w:t>National Network for Excellence in Neuroscience Clinical Trials (NeuroN</w:t>
      </w:r>
      <w:r w:rsidR="007A3DE9" w:rsidRPr="00AE3438">
        <w:t>ext</w:t>
      </w:r>
      <w:r w:rsidRPr="00AE3438">
        <w:t>)</w:t>
      </w:r>
      <w:r w:rsidR="00347484" w:rsidRPr="00AE3438">
        <w:t xml:space="preserve"> a US prospective, multicentre, natural history study (Kolb 2017), that enrolled 53 SMA patients between November 2012 and September 2014 and were followed for 24 months;</w:t>
      </w:r>
    </w:p>
    <w:p w14:paraId="69D5BD88" w14:textId="6991BEF1" w:rsidR="00347484" w:rsidRPr="00AE3438" w:rsidRDefault="009956B0" w:rsidP="00054F33">
      <w:pPr>
        <w:pStyle w:val="ListParagraph"/>
        <w:numPr>
          <w:ilvl w:val="0"/>
          <w:numId w:val="5"/>
        </w:numPr>
        <w:spacing w:after="0"/>
      </w:pPr>
      <w:r w:rsidRPr="00AE3438">
        <w:t>Paediatric Neuromuscular Clinical Research Network for SMA (PNCR)</w:t>
      </w:r>
      <w:r w:rsidR="00347484" w:rsidRPr="00AE3438">
        <w:t xml:space="preserve"> cohort study investigating the natural history of SMA (Finkel 2014), 79 patients (34 Type I and 45 Type II) enrolled between May 2005 and April 2009 were followed for 36 months;</w:t>
      </w:r>
    </w:p>
    <w:p w14:paraId="1FB91572" w14:textId="42A1D407" w:rsidR="00347484" w:rsidRPr="00AE3438" w:rsidRDefault="00347484" w:rsidP="00054F33">
      <w:pPr>
        <w:pStyle w:val="ListParagraph"/>
        <w:numPr>
          <w:ilvl w:val="0"/>
          <w:numId w:val="5"/>
        </w:numPr>
        <w:spacing w:after="0"/>
      </w:pPr>
      <w:r w:rsidRPr="00AE3438">
        <w:t>Gregoretti 2013, Italian medical records on 194 patients with SMA Type I reviewed from 1992-2010; and</w:t>
      </w:r>
    </w:p>
    <w:p w14:paraId="27B409CE" w14:textId="6B5581FD" w:rsidR="00347484" w:rsidRPr="00AE3438" w:rsidRDefault="00347484" w:rsidP="00054F33">
      <w:pPr>
        <w:pStyle w:val="ListParagraph"/>
        <w:numPr>
          <w:ilvl w:val="0"/>
          <w:numId w:val="5"/>
        </w:numPr>
        <w:spacing w:after="0"/>
      </w:pPr>
      <w:r w:rsidRPr="00AE3438">
        <w:t>Zerres 1997, German natural history data since 1985, 569 patients (240 Type II and 329 Type III).</w:t>
      </w:r>
    </w:p>
    <w:p w14:paraId="7FC36248" w14:textId="4A68C2B1" w:rsidR="00B80681" w:rsidRPr="00AE3438" w:rsidRDefault="00B80681" w:rsidP="00347484">
      <w:pPr>
        <w:pStyle w:val="3-BodyText"/>
        <w:numPr>
          <w:ilvl w:val="0"/>
          <w:numId w:val="0"/>
        </w:numPr>
        <w:ind w:left="720"/>
      </w:pPr>
      <w:r w:rsidRPr="00AE3438">
        <w:lastRenderedPageBreak/>
        <w:t>NeuroNext, PNCR and Gregoretti 2013 were previously considered by the PBAC in the November 2021 submission of ONA for symptomatic Type I SMA.</w:t>
      </w:r>
    </w:p>
    <w:p w14:paraId="60E6FEB3" w14:textId="5F9A5FB3" w:rsidR="00347484" w:rsidRPr="00AE3438" w:rsidRDefault="00347484" w:rsidP="00347484">
      <w:pPr>
        <w:pStyle w:val="3-BodyText"/>
      </w:pPr>
      <w:r w:rsidRPr="00AE3438">
        <w:t>Details of the studies presented in the submission are provided in the table below.</w:t>
      </w:r>
    </w:p>
    <w:p w14:paraId="37E026E0" w14:textId="70BD041F" w:rsidR="00347484" w:rsidRPr="00AE3438" w:rsidRDefault="00E042E8" w:rsidP="00E042E8">
      <w:pPr>
        <w:pStyle w:val="Caption"/>
        <w:jc w:val="left"/>
      </w:pPr>
      <w:r w:rsidRPr="00AE3438">
        <w:t xml:space="preserve">Table </w:t>
      </w:r>
      <w:r w:rsidR="008E4E26">
        <w:fldChar w:fldCharType="begin"/>
      </w:r>
      <w:r w:rsidR="008E4E26">
        <w:instrText xml:space="preserve"> SEQ Table \* ARABIC </w:instrText>
      </w:r>
      <w:r w:rsidR="008E4E26">
        <w:fldChar w:fldCharType="separate"/>
      </w:r>
      <w:r w:rsidR="008E4E26">
        <w:rPr>
          <w:noProof/>
        </w:rPr>
        <w:t>3</w:t>
      </w:r>
      <w:r w:rsidR="008E4E26">
        <w:rPr>
          <w:noProof/>
        </w:rPr>
        <w:fldChar w:fldCharType="end"/>
      </w:r>
      <w:r w:rsidR="00347484" w:rsidRPr="00AE3438">
        <w:rPr>
          <w:rStyle w:val="CommentReference"/>
          <w:b/>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42"/>
        <w:gridCol w:w="5459"/>
        <w:gridCol w:w="2216"/>
      </w:tblGrid>
      <w:tr w:rsidR="00347484" w:rsidRPr="00AE3438" w14:paraId="74409811" w14:textId="77777777" w:rsidTr="00BD02D3">
        <w:trPr>
          <w:cantSplit/>
          <w:tblHeader/>
        </w:trPr>
        <w:tc>
          <w:tcPr>
            <w:tcW w:w="744" w:type="pct"/>
            <w:vAlign w:val="center"/>
          </w:tcPr>
          <w:p w14:paraId="2D401E04" w14:textId="77777777" w:rsidR="00347484" w:rsidRPr="00AE3438" w:rsidRDefault="00347484" w:rsidP="00BD02D3">
            <w:pPr>
              <w:pStyle w:val="In-tableHeading"/>
              <w:keepNext w:val="0"/>
              <w:rPr>
                <w:lang w:val="en-AU"/>
              </w:rPr>
            </w:pPr>
            <w:r w:rsidRPr="00AE3438">
              <w:rPr>
                <w:lang w:val="en-AU"/>
              </w:rPr>
              <w:t>Trial ID</w:t>
            </w:r>
          </w:p>
        </w:tc>
        <w:tc>
          <w:tcPr>
            <w:tcW w:w="3027" w:type="pct"/>
            <w:vAlign w:val="center"/>
          </w:tcPr>
          <w:p w14:paraId="0FCC539A" w14:textId="77777777" w:rsidR="00347484" w:rsidRPr="00AE3438" w:rsidRDefault="00347484" w:rsidP="00BD02D3">
            <w:pPr>
              <w:pStyle w:val="In-tableHeading"/>
              <w:keepNext w:val="0"/>
              <w:rPr>
                <w:lang w:val="en-AU"/>
              </w:rPr>
            </w:pPr>
            <w:r w:rsidRPr="00AE3438">
              <w:rPr>
                <w:lang w:val="en-AU"/>
              </w:rPr>
              <w:t>Protocol title/ Publication title</w:t>
            </w:r>
          </w:p>
        </w:tc>
        <w:tc>
          <w:tcPr>
            <w:tcW w:w="1229" w:type="pct"/>
            <w:vAlign w:val="center"/>
          </w:tcPr>
          <w:p w14:paraId="2CAFEDC0" w14:textId="77777777" w:rsidR="00347484" w:rsidRPr="00AE3438" w:rsidRDefault="00347484" w:rsidP="00BD02D3">
            <w:pPr>
              <w:pStyle w:val="In-tableHeading"/>
              <w:keepNext w:val="0"/>
              <w:rPr>
                <w:lang w:val="en-AU"/>
              </w:rPr>
            </w:pPr>
            <w:r w:rsidRPr="00AE3438">
              <w:rPr>
                <w:lang w:val="en-AU"/>
              </w:rPr>
              <w:t>Publication citation</w:t>
            </w:r>
          </w:p>
        </w:tc>
      </w:tr>
      <w:tr w:rsidR="00347484" w:rsidRPr="00AE3438" w14:paraId="1D3671E3" w14:textId="77777777" w:rsidTr="00BD02D3">
        <w:trPr>
          <w:cantSplit/>
        </w:trPr>
        <w:tc>
          <w:tcPr>
            <w:tcW w:w="5000" w:type="pct"/>
            <w:gridSpan w:val="3"/>
            <w:shd w:val="clear" w:color="auto" w:fill="EEECE1" w:themeFill="background2"/>
            <w:vAlign w:val="center"/>
          </w:tcPr>
          <w:p w14:paraId="6D16C2A7" w14:textId="77777777" w:rsidR="00347484" w:rsidRPr="00AE3438" w:rsidRDefault="00347484" w:rsidP="00BD02D3">
            <w:pPr>
              <w:pStyle w:val="In-tableHeading"/>
              <w:keepNext w:val="0"/>
              <w:rPr>
                <w:lang w:val="en-AU"/>
              </w:rPr>
            </w:pPr>
            <w:r w:rsidRPr="00AE3438">
              <w:rPr>
                <w:color w:val="00B050"/>
                <w:lang w:val="en-AU"/>
              </w:rPr>
              <w:t xml:space="preserve">Pre-symptomatic </w:t>
            </w:r>
            <w:r w:rsidRPr="00AE3438">
              <w:rPr>
                <w:lang w:val="en-AU"/>
              </w:rPr>
              <w:t>treatment of SMA</w:t>
            </w:r>
          </w:p>
        </w:tc>
      </w:tr>
      <w:tr w:rsidR="00347484" w:rsidRPr="00AE3438" w14:paraId="5D2584B3" w14:textId="77777777" w:rsidTr="00BD02D3">
        <w:trPr>
          <w:cantSplit/>
        </w:trPr>
        <w:tc>
          <w:tcPr>
            <w:tcW w:w="5000" w:type="pct"/>
            <w:gridSpan w:val="3"/>
            <w:vAlign w:val="center"/>
          </w:tcPr>
          <w:p w14:paraId="4CBBD6A0" w14:textId="77777777" w:rsidR="00347484" w:rsidRPr="00AE3438" w:rsidRDefault="00347484" w:rsidP="00BD02D3">
            <w:pPr>
              <w:pStyle w:val="In-tableHeading"/>
              <w:keepNext w:val="0"/>
              <w:rPr>
                <w:lang w:val="en-AU"/>
              </w:rPr>
            </w:pPr>
            <w:r w:rsidRPr="00AE3438">
              <w:rPr>
                <w:lang w:val="en-AU"/>
              </w:rPr>
              <w:t>ONA</w:t>
            </w:r>
          </w:p>
        </w:tc>
      </w:tr>
      <w:tr w:rsidR="00347484" w:rsidRPr="00AE3438" w14:paraId="5B111E07" w14:textId="77777777" w:rsidTr="00BD02D3">
        <w:trPr>
          <w:cantSplit/>
        </w:trPr>
        <w:tc>
          <w:tcPr>
            <w:tcW w:w="744" w:type="pct"/>
            <w:vMerge w:val="restart"/>
            <w:shd w:val="clear" w:color="auto" w:fill="auto"/>
            <w:vAlign w:val="center"/>
          </w:tcPr>
          <w:p w14:paraId="0360B94C" w14:textId="77777777" w:rsidR="00347484" w:rsidRPr="00AE3438" w:rsidRDefault="00347484" w:rsidP="00BD02D3">
            <w:pPr>
              <w:pStyle w:val="TableText0"/>
              <w:keepNext w:val="0"/>
            </w:pPr>
            <w:r w:rsidRPr="00AE3438">
              <w:t>SPR1NT</w:t>
            </w:r>
          </w:p>
          <w:p w14:paraId="30B14C29" w14:textId="77777777" w:rsidR="00347484" w:rsidRPr="00AE3438" w:rsidRDefault="00347484" w:rsidP="00BD02D3">
            <w:pPr>
              <w:pStyle w:val="TableText0"/>
              <w:keepNext w:val="0"/>
            </w:pPr>
            <w:r w:rsidRPr="00AE3438">
              <w:t>NCT03505099</w:t>
            </w:r>
          </w:p>
          <w:p w14:paraId="1CC3998A" w14:textId="77777777" w:rsidR="00347484" w:rsidRPr="00AE3438" w:rsidRDefault="00347484" w:rsidP="00BD02D3">
            <w:pPr>
              <w:pStyle w:val="TableText0"/>
              <w:keepNext w:val="0"/>
            </w:pPr>
            <w:r w:rsidRPr="00AE3438">
              <w:t>(completed)</w:t>
            </w:r>
          </w:p>
        </w:tc>
        <w:tc>
          <w:tcPr>
            <w:tcW w:w="3027" w:type="pct"/>
            <w:tcBorders>
              <w:bottom w:val="nil"/>
            </w:tcBorders>
            <w:vAlign w:val="center"/>
          </w:tcPr>
          <w:p w14:paraId="16E5F20A" w14:textId="77777777" w:rsidR="00347484" w:rsidRPr="00AE3438" w:rsidRDefault="00347484" w:rsidP="00BD02D3">
            <w:pPr>
              <w:pStyle w:val="TableText0"/>
              <w:keepNext w:val="0"/>
              <w:rPr>
                <w:szCs w:val="18"/>
              </w:rPr>
            </w:pPr>
            <w:r w:rsidRPr="00AE3438">
              <w:rPr>
                <w:szCs w:val="18"/>
              </w:rPr>
              <w:t xml:space="preserve">AVXS-101-CL-304. A global study of a single, one-time dose of AVXS-101 delivered to infants with genetically diagnosed and presymptomatic spinal muscular atrophy with multiple copies of SMN2. </w:t>
            </w:r>
          </w:p>
        </w:tc>
        <w:tc>
          <w:tcPr>
            <w:tcW w:w="1229" w:type="pct"/>
            <w:tcBorders>
              <w:bottom w:val="nil"/>
            </w:tcBorders>
            <w:vAlign w:val="center"/>
          </w:tcPr>
          <w:p w14:paraId="0E83383C" w14:textId="77777777" w:rsidR="00347484" w:rsidRPr="00AE3438" w:rsidRDefault="00347484" w:rsidP="00BD02D3">
            <w:pPr>
              <w:pStyle w:val="TableText0"/>
              <w:keepNext w:val="0"/>
            </w:pPr>
            <w:r w:rsidRPr="00AE3438">
              <w:rPr>
                <w:szCs w:val="18"/>
              </w:rPr>
              <w:t>October 2021.</w:t>
            </w:r>
          </w:p>
        </w:tc>
      </w:tr>
      <w:tr w:rsidR="00347484" w:rsidRPr="00AE3438" w14:paraId="5BC1140F" w14:textId="77777777" w:rsidTr="00BD02D3">
        <w:trPr>
          <w:cantSplit/>
          <w:trHeight w:val="698"/>
        </w:trPr>
        <w:tc>
          <w:tcPr>
            <w:tcW w:w="744" w:type="pct"/>
            <w:vMerge/>
            <w:shd w:val="clear" w:color="auto" w:fill="auto"/>
            <w:vAlign w:val="center"/>
          </w:tcPr>
          <w:p w14:paraId="3AB9D047" w14:textId="77777777" w:rsidR="00347484" w:rsidRPr="00AE3438" w:rsidRDefault="00347484" w:rsidP="00BD02D3">
            <w:pPr>
              <w:pStyle w:val="TableText0"/>
              <w:keepNext w:val="0"/>
            </w:pPr>
          </w:p>
        </w:tc>
        <w:tc>
          <w:tcPr>
            <w:tcW w:w="3027" w:type="pct"/>
            <w:tcBorders>
              <w:top w:val="nil"/>
            </w:tcBorders>
            <w:vAlign w:val="center"/>
          </w:tcPr>
          <w:p w14:paraId="0578168D" w14:textId="77777777" w:rsidR="00347484" w:rsidRPr="00AE3438" w:rsidRDefault="00347484" w:rsidP="00BD02D3">
            <w:pPr>
              <w:pStyle w:val="TableText0"/>
              <w:keepNext w:val="0"/>
              <w:rPr>
                <w:szCs w:val="18"/>
              </w:rPr>
            </w:pPr>
            <w:r w:rsidRPr="00AE3438">
              <w:rPr>
                <w:szCs w:val="18"/>
              </w:rPr>
              <w:t xml:space="preserve">Strauss et al. Onasemnogene abeparvovec for presymptomatic infants with three copies of MSN2 at risk for spinal muscular atrophy: The Phase III SPR1NT trial. </w:t>
            </w:r>
          </w:p>
        </w:tc>
        <w:tc>
          <w:tcPr>
            <w:tcW w:w="1229" w:type="pct"/>
            <w:tcBorders>
              <w:top w:val="nil"/>
            </w:tcBorders>
            <w:vAlign w:val="center"/>
          </w:tcPr>
          <w:p w14:paraId="6B05E222" w14:textId="77777777" w:rsidR="00347484" w:rsidRPr="00AE3438" w:rsidRDefault="00347484" w:rsidP="00BD02D3">
            <w:pPr>
              <w:pStyle w:val="TableText0"/>
              <w:keepNext w:val="0"/>
              <w:rPr>
                <w:szCs w:val="18"/>
              </w:rPr>
            </w:pPr>
            <w:r w:rsidRPr="00AE3438">
              <w:rPr>
                <w:szCs w:val="18"/>
              </w:rPr>
              <w:t>Nature Medicine 2022; 28(7):1390-1397.</w:t>
            </w:r>
          </w:p>
        </w:tc>
      </w:tr>
      <w:tr w:rsidR="00347484" w:rsidRPr="00AE3438" w14:paraId="588CD93F" w14:textId="77777777" w:rsidTr="00BD02D3">
        <w:trPr>
          <w:cantSplit/>
          <w:trHeight w:val="91"/>
        </w:trPr>
        <w:tc>
          <w:tcPr>
            <w:tcW w:w="744" w:type="pct"/>
            <w:vMerge w:val="restart"/>
            <w:vAlign w:val="center"/>
          </w:tcPr>
          <w:p w14:paraId="192B57E5" w14:textId="77777777" w:rsidR="00347484" w:rsidRPr="00AE3438" w:rsidRDefault="00347484" w:rsidP="00BD02D3">
            <w:pPr>
              <w:pStyle w:val="TableText0"/>
              <w:keepNext w:val="0"/>
            </w:pPr>
            <w:r w:rsidRPr="00AE3438">
              <w:t>LT-002</w:t>
            </w:r>
          </w:p>
          <w:p w14:paraId="2ED7BADE" w14:textId="77777777" w:rsidR="00347484" w:rsidRPr="00AE3438" w:rsidRDefault="00347484" w:rsidP="00BD02D3">
            <w:pPr>
              <w:pStyle w:val="TableText0"/>
              <w:keepNext w:val="0"/>
            </w:pPr>
            <w:r w:rsidRPr="00AE3438">
              <w:t>NCT04042025</w:t>
            </w:r>
          </w:p>
          <w:p w14:paraId="2528A5D9" w14:textId="77777777" w:rsidR="00347484" w:rsidRPr="00AE3438" w:rsidRDefault="00347484" w:rsidP="00BD02D3">
            <w:pPr>
              <w:pStyle w:val="TableText0"/>
              <w:keepNext w:val="0"/>
            </w:pPr>
            <w:r w:rsidRPr="00AE3438">
              <w:t>(interim)</w:t>
            </w:r>
          </w:p>
        </w:tc>
        <w:tc>
          <w:tcPr>
            <w:tcW w:w="3027" w:type="pct"/>
            <w:tcBorders>
              <w:bottom w:val="nil"/>
            </w:tcBorders>
            <w:vAlign w:val="center"/>
          </w:tcPr>
          <w:p w14:paraId="236F4F73" w14:textId="77777777" w:rsidR="00347484" w:rsidRPr="00AE3438" w:rsidRDefault="00347484" w:rsidP="00BD02D3">
            <w:pPr>
              <w:pStyle w:val="TableText0"/>
              <w:keepNext w:val="0"/>
            </w:pPr>
            <w:r w:rsidRPr="00AE3438">
              <w:t>AVXS101/AV101 (onasemnogene abeparvovec). Summary of data from long-term follow-up studies. [Study LT-001 and Study LT-002].</w:t>
            </w:r>
          </w:p>
        </w:tc>
        <w:tc>
          <w:tcPr>
            <w:tcW w:w="1229" w:type="pct"/>
            <w:tcBorders>
              <w:bottom w:val="nil"/>
            </w:tcBorders>
            <w:vAlign w:val="center"/>
          </w:tcPr>
          <w:p w14:paraId="0047AB8C" w14:textId="77777777" w:rsidR="00347484" w:rsidRPr="00AE3438" w:rsidRDefault="00347484" w:rsidP="00BD02D3">
            <w:pPr>
              <w:pStyle w:val="TableText0"/>
              <w:keepNext w:val="0"/>
            </w:pPr>
            <w:r w:rsidRPr="00AE3438">
              <w:t>October 2021.</w:t>
            </w:r>
          </w:p>
        </w:tc>
      </w:tr>
      <w:tr w:rsidR="00347484" w:rsidRPr="00AE3438" w14:paraId="4A5ABA96" w14:textId="77777777" w:rsidTr="00BD02D3">
        <w:trPr>
          <w:cantSplit/>
        </w:trPr>
        <w:tc>
          <w:tcPr>
            <w:tcW w:w="744" w:type="pct"/>
            <w:vMerge/>
            <w:tcBorders>
              <w:bottom w:val="nil"/>
            </w:tcBorders>
            <w:vAlign w:val="center"/>
          </w:tcPr>
          <w:p w14:paraId="2E77395B" w14:textId="77777777" w:rsidR="00347484" w:rsidRPr="00AE3438" w:rsidRDefault="00347484" w:rsidP="00BD02D3">
            <w:pPr>
              <w:pStyle w:val="TableText0"/>
              <w:keepNext w:val="0"/>
            </w:pPr>
          </w:p>
        </w:tc>
        <w:tc>
          <w:tcPr>
            <w:tcW w:w="3027" w:type="pct"/>
            <w:tcBorders>
              <w:top w:val="nil"/>
              <w:bottom w:val="single" w:sz="4" w:space="0" w:color="auto"/>
            </w:tcBorders>
            <w:vAlign w:val="center"/>
          </w:tcPr>
          <w:p w14:paraId="2EE01666" w14:textId="77777777" w:rsidR="00347484" w:rsidRPr="00AE3438" w:rsidRDefault="00347484" w:rsidP="00BD02D3">
            <w:pPr>
              <w:pStyle w:val="TableText0"/>
              <w:keepNext w:val="0"/>
            </w:pPr>
            <w:r w:rsidRPr="00AE3438">
              <w:t>Long-term Follow-up Study of Patients Receiving Onasemnogene Abeparvovec-xioi</w:t>
            </w:r>
          </w:p>
        </w:tc>
        <w:tc>
          <w:tcPr>
            <w:tcW w:w="1229" w:type="pct"/>
            <w:tcBorders>
              <w:top w:val="nil"/>
              <w:bottom w:val="single" w:sz="4" w:space="0" w:color="auto"/>
            </w:tcBorders>
            <w:vAlign w:val="center"/>
          </w:tcPr>
          <w:p w14:paraId="65C825B0" w14:textId="77777777" w:rsidR="00347484" w:rsidRPr="00AE3438" w:rsidRDefault="00347484" w:rsidP="00BD02D3">
            <w:pPr>
              <w:pStyle w:val="TableText0"/>
              <w:keepNext w:val="0"/>
            </w:pPr>
          </w:p>
        </w:tc>
      </w:tr>
      <w:tr w:rsidR="00347484" w:rsidRPr="00AE3438" w14:paraId="589BD50C" w14:textId="77777777" w:rsidTr="00BD02D3">
        <w:trPr>
          <w:cantSplit/>
        </w:trPr>
        <w:tc>
          <w:tcPr>
            <w:tcW w:w="5000" w:type="pct"/>
            <w:gridSpan w:val="3"/>
            <w:tcBorders>
              <w:bottom w:val="nil"/>
            </w:tcBorders>
            <w:vAlign w:val="center"/>
          </w:tcPr>
          <w:p w14:paraId="15B4EAAE" w14:textId="77777777" w:rsidR="00347484" w:rsidRPr="00AE3438" w:rsidRDefault="00347484" w:rsidP="00BD02D3">
            <w:pPr>
              <w:pStyle w:val="TableText0"/>
              <w:keepNext w:val="0"/>
              <w:rPr>
                <w:b/>
              </w:rPr>
            </w:pPr>
            <w:r w:rsidRPr="00AE3438">
              <w:rPr>
                <w:b/>
              </w:rPr>
              <w:t>NUSI</w:t>
            </w:r>
          </w:p>
        </w:tc>
      </w:tr>
      <w:tr w:rsidR="00347484" w:rsidRPr="00AE3438" w14:paraId="44811B53" w14:textId="77777777" w:rsidTr="00BD02D3">
        <w:trPr>
          <w:cantSplit/>
          <w:trHeight w:val="417"/>
        </w:trPr>
        <w:tc>
          <w:tcPr>
            <w:tcW w:w="744" w:type="pct"/>
            <w:shd w:val="clear" w:color="auto" w:fill="auto"/>
            <w:vAlign w:val="center"/>
          </w:tcPr>
          <w:p w14:paraId="6D492445" w14:textId="77777777" w:rsidR="00347484" w:rsidRPr="00AE3438" w:rsidRDefault="00347484" w:rsidP="00BD02D3">
            <w:pPr>
              <w:pStyle w:val="TableText0"/>
              <w:keepNext w:val="0"/>
              <w:rPr>
                <w:iCs/>
              </w:rPr>
            </w:pPr>
            <w:r w:rsidRPr="00AE3438">
              <w:rPr>
                <w:iCs/>
              </w:rPr>
              <w:t>NURTURE</w:t>
            </w:r>
          </w:p>
          <w:p w14:paraId="2A014F06" w14:textId="77777777" w:rsidR="00347484" w:rsidRPr="00AE3438" w:rsidRDefault="00347484" w:rsidP="00BD02D3">
            <w:pPr>
              <w:pStyle w:val="TableText0"/>
              <w:keepNext w:val="0"/>
              <w:rPr>
                <w:iCs/>
              </w:rPr>
            </w:pPr>
            <w:r w:rsidRPr="00AE3438">
              <w:rPr>
                <w:iCs/>
              </w:rPr>
              <w:t>NCT02386553</w:t>
            </w:r>
          </w:p>
          <w:p w14:paraId="0F4158A6" w14:textId="77777777" w:rsidR="00347484" w:rsidRPr="00AE3438" w:rsidRDefault="00347484" w:rsidP="00BD02D3">
            <w:pPr>
              <w:pStyle w:val="TableText0"/>
              <w:keepNext w:val="0"/>
              <w:rPr>
                <w:iCs/>
              </w:rPr>
            </w:pPr>
            <w:r w:rsidRPr="00AE3438">
              <w:rPr>
                <w:iCs/>
              </w:rPr>
              <w:t>(ongoing)</w:t>
            </w:r>
          </w:p>
        </w:tc>
        <w:tc>
          <w:tcPr>
            <w:tcW w:w="3027" w:type="pct"/>
            <w:shd w:val="clear" w:color="auto" w:fill="auto"/>
            <w:vAlign w:val="center"/>
          </w:tcPr>
          <w:p w14:paraId="58F28602" w14:textId="77777777" w:rsidR="00347484" w:rsidRPr="00AE3438" w:rsidRDefault="00347484" w:rsidP="00BD02D3">
            <w:pPr>
              <w:pStyle w:val="TableText0"/>
              <w:keepNext w:val="0"/>
            </w:pPr>
            <w:r w:rsidRPr="00AE3438">
              <w:rPr>
                <w:szCs w:val="18"/>
              </w:rPr>
              <w:t>De Vivo D, Bertini E, Swoboda K, et al. Nusinersen initiated in infants during the presymptomatic stage of spinal muscular atrophy: Interim efficacy and safety results from the Phase 2 NURTURE study.</w:t>
            </w:r>
          </w:p>
        </w:tc>
        <w:tc>
          <w:tcPr>
            <w:tcW w:w="1229" w:type="pct"/>
            <w:shd w:val="clear" w:color="auto" w:fill="auto"/>
            <w:vAlign w:val="center"/>
          </w:tcPr>
          <w:p w14:paraId="6B0BF349" w14:textId="77777777" w:rsidR="00347484" w:rsidRPr="00AE3438" w:rsidRDefault="00347484" w:rsidP="00BD02D3">
            <w:pPr>
              <w:pStyle w:val="TableText0"/>
              <w:keepNext w:val="0"/>
            </w:pPr>
            <w:r w:rsidRPr="00AE3438">
              <w:rPr>
                <w:szCs w:val="18"/>
              </w:rPr>
              <w:t>Neuromuscular Disorders 2019; 29(11):842-856.</w:t>
            </w:r>
          </w:p>
        </w:tc>
      </w:tr>
      <w:tr w:rsidR="00347484" w:rsidRPr="00AE3438" w14:paraId="73351D90" w14:textId="77777777" w:rsidTr="00BD02D3">
        <w:trPr>
          <w:cantSplit/>
        </w:trPr>
        <w:tc>
          <w:tcPr>
            <w:tcW w:w="5000" w:type="pct"/>
            <w:gridSpan w:val="3"/>
            <w:tcBorders>
              <w:bottom w:val="nil"/>
            </w:tcBorders>
            <w:shd w:val="clear" w:color="auto" w:fill="auto"/>
            <w:vAlign w:val="center"/>
          </w:tcPr>
          <w:p w14:paraId="280216E5" w14:textId="77777777" w:rsidR="00347484" w:rsidRPr="00AE3438" w:rsidRDefault="00347484" w:rsidP="00BD02D3">
            <w:pPr>
              <w:pStyle w:val="TableText0"/>
              <w:keepNext w:val="0"/>
              <w:rPr>
                <w:b/>
              </w:rPr>
            </w:pPr>
            <w:r w:rsidRPr="00AE3438">
              <w:rPr>
                <w:b/>
              </w:rPr>
              <w:t>RISD</w:t>
            </w:r>
          </w:p>
        </w:tc>
      </w:tr>
      <w:tr w:rsidR="00347484" w:rsidRPr="00AE3438" w14:paraId="45BC89EA" w14:textId="77777777" w:rsidTr="00BD02D3">
        <w:trPr>
          <w:cantSplit/>
        </w:trPr>
        <w:tc>
          <w:tcPr>
            <w:tcW w:w="744" w:type="pct"/>
            <w:tcBorders>
              <w:bottom w:val="nil"/>
            </w:tcBorders>
            <w:shd w:val="clear" w:color="auto" w:fill="auto"/>
            <w:vAlign w:val="center"/>
          </w:tcPr>
          <w:p w14:paraId="57BC1D5D" w14:textId="77777777" w:rsidR="00347484" w:rsidRPr="00AE3438" w:rsidRDefault="00347484" w:rsidP="00BD02D3">
            <w:pPr>
              <w:pStyle w:val="TableText0"/>
              <w:keepNext w:val="0"/>
              <w:rPr>
                <w:iCs/>
              </w:rPr>
            </w:pPr>
            <w:r w:rsidRPr="00AE3438">
              <w:rPr>
                <w:iCs/>
              </w:rPr>
              <w:t>RAINBOWFISH</w:t>
            </w:r>
          </w:p>
          <w:p w14:paraId="66BF62F5" w14:textId="77777777" w:rsidR="00347484" w:rsidRPr="00AE3438" w:rsidRDefault="00347484" w:rsidP="00BD02D3">
            <w:pPr>
              <w:pStyle w:val="TableText0"/>
              <w:keepNext w:val="0"/>
              <w:rPr>
                <w:iCs/>
              </w:rPr>
            </w:pPr>
            <w:r w:rsidRPr="00AE3438">
              <w:rPr>
                <w:iCs/>
              </w:rPr>
              <w:t>NCT03779334</w:t>
            </w:r>
          </w:p>
          <w:p w14:paraId="5744399A" w14:textId="77777777" w:rsidR="00347484" w:rsidRPr="00AE3438" w:rsidRDefault="00347484" w:rsidP="00BD02D3">
            <w:pPr>
              <w:pStyle w:val="TableText0"/>
              <w:keepNext w:val="0"/>
              <w:rPr>
                <w:iCs/>
              </w:rPr>
            </w:pPr>
            <w:r w:rsidRPr="00AE3438">
              <w:rPr>
                <w:iCs/>
              </w:rPr>
              <w:t>(ongoing)</w:t>
            </w:r>
          </w:p>
        </w:tc>
        <w:tc>
          <w:tcPr>
            <w:tcW w:w="3027" w:type="pct"/>
            <w:tcBorders>
              <w:bottom w:val="nil"/>
            </w:tcBorders>
            <w:shd w:val="clear" w:color="auto" w:fill="auto"/>
            <w:vAlign w:val="center"/>
          </w:tcPr>
          <w:p w14:paraId="6F62B8A9" w14:textId="77777777" w:rsidR="00347484" w:rsidRPr="00AE3438" w:rsidRDefault="00347484" w:rsidP="00BD02D3">
            <w:pPr>
              <w:pStyle w:val="TableText0"/>
              <w:keepNext w:val="0"/>
            </w:pPr>
            <w:r w:rsidRPr="00AE3438">
              <w:t xml:space="preserve">Finkel RS, et al. RAINBOWFISH: Preliminary efficacy and safety data in risdiplam-treated infants with presymptomatic SMA. </w:t>
            </w:r>
          </w:p>
        </w:tc>
        <w:tc>
          <w:tcPr>
            <w:tcW w:w="1229" w:type="pct"/>
            <w:tcBorders>
              <w:bottom w:val="nil"/>
            </w:tcBorders>
            <w:shd w:val="clear" w:color="auto" w:fill="auto"/>
            <w:vAlign w:val="center"/>
          </w:tcPr>
          <w:p w14:paraId="395324EE" w14:textId="77777777" w:rsidR="00347484" w:rsidRPr="00AE3438" w:rsidRDefault="00347484" w:rsidP="00BD02D3">
            <w:pPr>
              <w:pStyle w:val="TableText0"/>
              <w:keepNext w:val="0"/>
            </w:pPr>
            <w:r w:rsidRPr="00AE3438">
              <w:t>MDA Clinical and Scientific Conference 2022, poster 76.</w:t>
            </w:r>
          </w:p>
        </w:tc>
      </w:tr>
      <w:tr w:rsidR="00347484" w:rsidRPr="00AE3438" w14:paraId="40FC8F53" w14:textId="77777777" w:rsidTr="00BD02D3">
        <w:trPr>
          <w:cantSplit/>
        </w:trPr>
        <w:tc>
          <w:tcPr>
            <w:tcW w:w="5000" w:type="pct"/>
            <w:gridSpan w:val="3"/>
            <w:tcBorders>
              <w:bottom w:val="nil"/>
            </w:tcBorders>
            <w:shd w:val="clear" w:color="auto" w:fill="EEECE1" w:themeFill="background2"/>
            <w:vAlign w:val="center"/>
          </w:tcPr>
          <w:p w14:paraId="6D03AC79" w14:textId="77777777" w:rsidR="00347484" w:rsidRPr="00AE3438" w:rsidRDefault="00347484" w:rsidP="00BD02D3">
            <w:pPr>
              <w:pStyle w:val="TableText0"/>
              <w:keepNext w:val="0"/>
              <w:rPr>
                <w:b/>
              </w:rPr>
            </w:pPr>
            <w:r w:rsidRPr="00AE3438">
              <w:rPr>
                <w:b/>
                <w:color w:val="D60093"/>
                <w:szCs w:val="20"/>
              </w:rPr>
              <w:t>Symptomatic</w:t>
            </w:r>
            <w:r w:rsidRPr="00AE3438">
              <w:rPr>
                <w:b/>
              </w:rPr>
              <w:t xml:space="preserve"> treatment of SMA</w:t>
            </w:r>
          </w:p>
        </w:tc>
      </w:tr>
      <w:tr w:rsidR="00347484" w:rsidRPr="00AE3438" w14:paraId="6014F995" w14:textId="77777777" w:rsidTr="00BD02D3">
        <w:trPr>
          <w:cantSplit/>
        </w:trPr>
        <w:tc>
          <w:tcPr>
            <w:tcW w:w="5000" w:type="pct"/>
            <w:gridSpan w:val="3"/>
            <w:tcBorders>
              <w:bottom w:val="nil"/>
            </w:tcBorders>
            <w:vAlign w:val="center"/>
          </w:tcPr>
          <w:p w14:paraId="34133640" w14:textId="77777777" w:rsidR="00347484" w:rsidRPr="00AE3438" w:rsidRDefault="00347484" w:rsidP="00BD02D3">
            <w:pPr>
              <w:pStyle w:val="TableText0"/>
              <w:keepNext w:val="0"/>
              <w:rPr>
                <w:b/>
              </w:rPr>
            </w:pPr>
            <w:r w:rsidRPr="00AE3438">
              <w:rPr>
                <w:b/>
              </w:rPr>
              <w:t>ONA</w:t>
            </w:r>
          </w:p>
        </w:tc>
      </w:tr>
      <w:tr w:rsidR="00347484" w:rsidRPr="00AE3438" w14:paraId="58D3C529" w14:textId="77777777" w:rsidTr="00BD02D3">
        <w:trPr>
          <w:cantSplit/>
          <w:trHeight w:val="150"/>
        </w:trPr>
        <w:tc>
          <w:tcPr>
            <w:tcW w:w="744" w:type="pct"/>
            <w:vMerge w:val="restart"/>
            <w:shd w:val="clear" w:color="auto" w:fill="auto"/>
            <w:vAlign w:val="center"/>
          </w:tcPr>
          <w:p w14:paraId="1FB7BC25" w14:textId="77777777" w:rsidR="00347484" w:rsidRPr="00AE3438" w:rsidRDefault="00347484" w:rsidP="00BD02D3">
            <w:pPr>
              <w:pStyle w:val="TableText0"/>
              <w:keepNext w:val="0"/>
            </w:pPr>
            <w:r w:rsidRPr="00AE3438">
              <w:t>START</w:t>
            </w:r>
          </w:p>
          <w:p w14:paraId="66B9AA4F" w14:textId="77777777" w:rsidR="00347484" w:rsidRPr="00AE3438" w:rsidRDefault="00347484" w:rsidP="00BD02D3">
            <w:pPr>
              <w:pStyle w:val="TableText0"/>
              <w:keepNext w:val="0"/>
            </w:pPr>
            <w:r w:rsidRPr="00AE3438">
              <w:t>NCT02122952</w:t>
            </w:r>
          </w:p>
          <w:p w14:paraId="7BC794DA" w14:textId="77777777" w:rsidR="00347484" w:rsidRPr="00AE3438" w:rsidRDefault="00347484" w:rsidP="00BD02D3">
            <w:pPr>
              <w:pStyle w:val="TableText0"/>
              <w:keepNext w:val="0"/>
            </w:pPr>
            <w:r w:rsidRPr="00AE3438">
              <w:t>(completed)</w:t>
            </w:r>
          </w:p>
        </w:tc>
        <w:tc>
          <w:tcPr>
            <w:tcW w:w="3027" w:type="pct"/>
            <w:tcBorders>
              <w:bottom w:val="nil"/>
            </w:tcBorders>
            <w:shd w:val="clear" w:color="auto" w:fill="auto"/>
            <w:vAlign w:val="center"/>
          </w:tcPr>
          <w:p w14:paraId="32A66E93" w14:textId="77777777" w:rsidR="00347484" w:rsidRPr="00AE3438" w:rsidRDefault="00347484" w:rsidP="00BD02D3">
            <w:pPr>
              <w:pStyle w:val="TableText0"/>
              <w:keepNext w:val="0"/>
            </w:pPr>
            <w:r w:rsidRPr="00AE3438">
              <w:t>AVXS-101-CL-101 Clinical Study Report. Phase I Gene Transfer Clinical Trial for Spinal Muscular Atrophy Type 1 Delivering AVXS-101.</w:t>
            </w:r>
          </w:p>
        </w:tc>
        <w:tc>
          <w:tcPr>
            <w:tcW w:w="1229" w:type="pct"/>
            <w:tcBorders>
              <w:bottom w:val="nil"/>
            </w:tcBorders>
            <w:shd w:val="clear" w:color="auto" w:fill="auto"/>
            <w:vAlign w:val="center"/>
          </w:tcPr>
          <w:p w14:paraId="35ECCF26" w14:textId="77777777" w:rsidR="00347484" w:rsidRPr="00AE3438" w:rsidRDefault="00347484" w:rsidP="00BD02D3">
            <w:pPr>
              <w:pStyle w:val="TableText0"/>
              <w:keepNext w:val="0"/>
            </w:pPr>
            <w:r w:rsidRPr="00AE3438">
              <w:t>August 2018</w:t>
            </w:r>
          </w:p>
        </w:tc>
      </w:tr>
      <w:tr w:rsidR="00347484" w:rsidRPr="00AE3438" w14:paraId="36B08782" w14:textId="77777777" w:rsidTr="00BD02D3">
        <w:trPr>
          <w:cantSplit/>
          <w:trHeight w:val="384"/>
        </w:trPr>
        <w:tc>
          <w:tcPr>
            <w:tcW w:w="744" w:type="pct"/>
            <w:vMerge/>
            <w:shd w:val="clear" w:color="auto" w:fill="auto"/>
            <w:vAlign w:val="center"/>
          </w:tcPr>
          <w:p w14:paraId="4F3FA65C" w14:textId="77777777" w:rsidR="00347484" w:rsidRPr="00AE3438" w:rsidRDefault="00347484" w:rsidP="00BD02D3">
            <w:pPr>
              <w:pStyle w:val="TableText0"/>
              <w:keepNext w:val="0"/>
            </w:pPr>
          </w:p>
        </w:tc>
        <w:tc>
          <w:tcPr>
            <w:tcW w:w="3027" w:type="pct"/>
            <w:tcBorders>
              <w:top w:val="nil"/>
              <w:bottom w:val="single" w:sz="4" w:space="0" w:color="auto"/>
            </w:tcBorders>
            <w:shd w:val="clear" w:color="auto" w:fill="auto"/>
            <w:vAlign w:val="center"/>
          </w:tcPr>
          <w:p w14:paraId="57DE09E9" w14:textId="77777777" w:rsidR="00347484" w:rsidRPr="00AE3438" w:rsidRDefault="00347484" w:rsidP="00BD02D3">
            <w:pPr>
              <w:pStyle w:val="TableText0"/>
              <w:keepNext w:val="0"/>
            </w:pPr>
            <w:r w:rsidRPr="00AE3438">
              <w:t>Mendell JR, et al. Single-dose gene-replacement therapy for spinal muscular atrophy.</w:t>
            </w:r>
          </w:p>
        </w:tc>
        <w:tc>
          <w:tcPr>
            <w:tcW w:w="1229" w:type="pct"/>
            <w:tcBorders>
              <w:top w:val="nil"/>
              <w:bottom w:val="single" w:sz="4" w:space="0" w:color="auto"/>
            </w:tcBorders>
            <w:shd w:val="clear" w:color="auto" w:fill="auto"/>
            <w:vAlign w:val="center"/>
          </w:tcPr>
          <w:p w14:paraId="7C2F1E76" w14:textId="77777777" w:rsidR="00347484" w:rsidRPr="00AE3438" w:rsidRDefault="00347484" w:rsidP="00BD02D3">
            <w:pPr>
              <w:pStyle w:val="TableText0"/>
              <w:keepNext w:val="0"/>
            </w:pPr>
            <w:r w:rsidRPr="00AE3438">
              <w:t>New England Journal of Medicine 2017; 377(18):1713-1722.</w:t>
            </w:r>
          </w:p>
        </w:tc>
      </w:tr>
      <w:tr w:rsidR="00347484" w:rsidRPr="00AE3438" w14:paraId="51AAE0DC" w14:textId="77777777" w:rsidTr="00BD02D3">
        <w:trPr>
          <w:cantSplit/>
        </w:trPr>
        <w:tc>
          <w:tcPr>
            <w:tcW w:w="744" w:type="pct"/>
            <w:vMerge w:val="restart"/>
            <w:shd w:val="clear" w:color="auto" w:fill="auto"/>
            <w:vAlign w:val="center"/>
          </w:tcPr>
          <w:p w14:paraId="2D4B5CC5" w14:textId="77777777" w:rsidR="00347484" w:rsidRPr="00AE3438" w:rsidRDefault="00347484" w:rsidP="00BD02D3">
            <w:pPr>
              <w:pStyle w:val="TableText0"/>
              <w:rPr>
                <w:iCs/>
              </w:rPr>
            </w:pPr>
            <w:r w:rsidRPr="00AE3438">
              <w:rPr>
                <w:iCs/>
              </w:rPr>
              <w:t>START-LTFU (LTFU)</w:t>
            </w:r>
          </w:p>
          <w:p w14:paraId="3F32C38A" w14:textId="77777777" w:rsidR="00347484" w:rsidRPr="00AE3438" w:rsidRDefault="00347484" w:rsidP="00BD02D3">
            <w:pPr>
              <w:pStyle w:val="TableText0"/>
            </w:pPr>
            <w:r w:rsidRPr="00AE3438">
              <w:t>NCT03421977</w:t>
            </w:r>
          </w:p>
          <w:p w14:paraId="19845409" w14:textId="77777777" w:rsidR="00347484" w:rsidRPr="00AE3438" w:rsidRDefault="00347484" w:rsidP="00BD02D3">
            <w:pPr>
              <w:pStyle w:val="TableText0"/>
            </w:pPr>
            <w:r w:rsidRPr="00AE3438">
              <w:t>(interim)</w:t>
            </w:r>
          </w:p>
        </w:tc>
        <w:tc>
          <w:tcPr>
            <w:tcW w:w="3027" w:type="pct"/>
            <w:tcBorders>
              <w:bottom w:val="nil"/>
            </w:tcBorders>
            <w:shd w:val="clear" w:color="auto" w:fill="auto"/>
            <w:vAlign w:val="center"/>
          </w:tcPr>
          <w:p w14:paraId="04989B04" w14:textId="77777777" w:rsidR="00347484" w:rsidRPr="00AE3438" w:rsidRDefault="00347484" w:rsidP="00BD02D3">
            <w:pPr>
              <w:pStyle w:val="TableText0"/>
              <w:keepNext w:val="0"/>
            </w:pPr>
            <w:r w:rsidRPr="00AE3438">
              <w:t>AVXS101/AV101 (onasemnogene abeparvovec). Summary of data from long-term follow-up studies. [Study LT-001 and Study LT-002].</w:t>
            </w:r>
          </w:p>
        </w:tc>
        <w:tc>
          <w:tcPr>
            <w:tcW w:w="1229" w:type="pct"/>
            <w:tcBorders>
              <w:bottom w:val="nil"/>
            </w:tcBorders>
            <w:shd w:val="clear" w:color="auto" w:fill="auto"/>
            <w:vAlign w:val="center"/>
          </w:tcPr>
          <w:p w14:paraId="6D7F8F57" w14:textId="77777777" w:rsidR="00347484" w:rsidRPr="00AE3438" w:rsidRDefault="00347484" w:rsidP="00BD02D3">
            <w:pPr>
              <w:pStyle w:val="TableText0"/>
              <w:keepNext w:val="0"/>
            </w:pPr>
            <w:r w:rsidRPr="00AE3438">
              <w:t>October 2021.</w:t>
            </w:r>
          </w:p>
        </w:tc>
      </w:tr>
      <w:tr w:rsidR="00347484" w:rsidRPr="00AE3438" w14:paraId="6042D076" w14:textId="77777777" w:rsidTr="00BD02D3">
        <w:trPr>
          <w:cantSplit/>
          <w:trHeight w:val="263"/>
        </w:trPr>
        <w:tc>
          <w:tcPr>
            <w:tcW w:w="744" w:type="pct"/>
            <w:vMerge/>
            <w:shd w:val="clear" w:color="auto" w:fill="B8CCE4" w:themeFill="accent1" w:themeFillTint="66"/>
            <w:vAlign w:val="center"/>
          </w:tcPr>
          <w:p w14:paraId="23813343" w14:textId="77777777" w:rsidR="00347484" w:rsidRPr="00AE3438" w:rsidRDefault="00347484" w:rsidP="00BD02D3">
            <w:pPr>
              <w:pStyle w:val="TableText0"/>
              <w:keepNext w:val="0"/>
            </w:pPr>
          </w:p>
        </w:tc>
        <w:tc>
          <w:tcPr>
            <w:tcW w:w="3027" w:type="pct"/>
            <w:tcBorders>
              <w:top w:val="nil"/>
            </w:tcBorders>
            <w:vAlign w:val="center"/>
          </w:tcPr>
          <w:p w14:paraId="2E9854ED" w14:textId="77777777" w:rsidR="00347484" w:rsidRPr="00AE3438" w:rsidRDefault="00347484" w:rsidP="00BD02D3">
            <w:pPr>
              <w:pStyle w:val="TableText0"/>
              <w:keepNext w:val="0"/>
            </w:pPr>
            <w:r w:rsidRPr="00AE3438">
              <w:t xml:space="preserve">Mendell JR, et al. Five-Year Extension Results of the Phase 1 START Trial of Onasemnogene Abeparvovec in Spinal Muscular Atrophy. </w:t>
            </w:r>
          </w:p>
        </w:tc>
        <w:tc>
          <w:tcPr>
            <w:tcW w:w="1229" w:type="pct"/>
            <w:tcBorders>
              <w:top w:val="nil"/>
            </w:tcBorders>
            <w:vAlign w:val="center"/>
          </w:tcPr>
          <w:p w14:paraId="24FEDBCB" w14:textId="77777777" w:rsidR="00347484" w:rsidRPr="00AE3438" w:rsidRDefault="00347484" w:rsidP="00BD02D3">
            <w:pPr>
              <w:pStyle w:val="TableText0"/>
              <w:keepNext w:val="0"/>
            </w:pPr>
            <w:r w:rsidRPr="00AE3438">
              <w:t>JAMA Neurology 2021; 78(7): 834-841.</w:t>
            </w:r>
          </w:p>
        </w:tc>
      </w:tr>
      <w:tr w:rsidR="00347484" w:rsidRPr="00AE3438" w14:paraId="6E2AC28B" w14:textId="77777777" w:rsidTr="00BD02D3">
        <w:trPr>
          <w:cantSplit/>
        </w:trPr>
        <w:tc>
          <w:tcPr>
            <w:tcW w:w="744" w:type="pct"/>
            <w:vMerge w:val="restart"/>
            <w:shd w:val="clear" w:color="auto" w:fill="auto"/>
            <w:vAlign w:val="center"/>
          </w:tcPr>
          <w:p w14:paraId="7E443746" w14:textId="77777777" w:rsidR="00347484" w:rsidRPr="00AE3438" w:rsidRDefault="00347484" w:rsidP="00BD02D3">
            <w:pPr>
              <w:pStyle w:val="TableText0"/>
              <w:keepNext w:val="0"/>
            </w:pPr>
            <w:r w:rsidRPr="00AE3438">
              <w:t>STR1VE-US</w:t>
            </w:r>
          </w:p>
          <w:p w14:paraId="1A0974AA" w14:textId="77777777" w:rsidR="00347484" w:rsidRPr="00AE3438" w:rsidRDefault="00347484" w:rsidP="00BD02D3">
            <w:pPr>
              <w:pStyle w:val="TableText0"/>
              <w:keepNext w:val="0"/>
            </w:pPr>
            <w:r w:rsidRPr="00AE3438">
              <w:t>NCT03306277</w:t>
            </w:r>
          </w:p>
          <w:p w14:paraId="77CD5786" w14:textId="77777777" w:rsidR="00347484" w:rsidRPr="00AE3438" w:rsidRDefault="00347484" w:rsidP="00BD02D3">
            <w:pPr>
              <w:pStyle w:val="TableText0"/>
              <w:keepNext w:val="0"/>
            </w:pPr>
            <w:r w:rsidRPr="00AE3438">
              <w:t>(completed)</w:t>
            </w:r>
          </w:p>
        </w:tc>
        <w:tc>
          <w:tcPr>
            <w:tcW w:w="3027" w:type="pct"/>
            <w:tcBorders>
              <w:bottom w:val="nil"/>
            </w:tcBorders>
            <w:shd w:val="clear" w:color="auto" w:fill="auto"/>
            <w:vAlign w:val="center"/>
          </w:tcPr>
          <w:p w14:paraId="1BA3B19C" w14:textId="77777777" w:rsidR="00347484" w:rsidRPr="00AE3438" w:rsidRDefault="00347484" w:rsidP="00BD02D3">
            <w:pPr>
              <w:pStyle w:val="TableText0"/>
              <w:keepNext w:val="0"/>
            </w:pPr>
            <w:r w:rsidRPr="00AE3438">
              <w:t>AVXS-101-CL-303 Clinical Study Report. Phase 3, Open-label, Single-arm, Single-dose Gene Replacement Therapy Clinical Trial for Patients with Spinal Muscular Atrophy Type 1 with One or Two SMN2 Copies Delivering AVXS-101 by Intravenous Infusion.</w:t>
            </w:r>
          </w:p>
        </w:tc>
        <w:tc>
          <w:tcPr>
            <w:tcW w:w="1229" w:type="pct"/>
            <w:tcBorders>
              <w:bottom w:val="nil"/>
            </w:tcBorders>
            <w:shd w:val="clear" w:color="auto" w:fill="auto"/>
            <w:vAlign w:val="center"/>
          </w:tcPr>
          <w:p w14:paraId="71E15FF2" w14:textId="77777777" w:rsidR="00347484" w:rsidRPr="00AE3438" w:rsidRDefault="00347484" w:rsidP="00BD02D3">
            <w:pPr>
              <w:pStyle w:val="TableText0"/>
              <w:keepNext w:val="0"/>
            </w:pPr>
            <w:r w:rsidRPr="00AE3438">
              <w:t>March 2020</w:t>
            </w:r>
          </w:p>
        </w:tc>
      </w:tr>
      <w:tr w:rsidR="00347484" w:rsidRPr="00AE3438" w14:paraId="6AAC88D9" w14:textId="77777777" w:rsidTr="00FF10C6">
        <w:trPr>
          <w:cantSplit/>
        </w:trPr>
        <w:tc>
          <w:tcPr>
            <w:tcW w:w="744" w:type="pct"/>
            <w:vMerge/>
            <w:tcBorders>
              <w:bottom w:val="single" w:sz="4" w:space="0" w:color="auto"/>
            </w:tcBorders>
            <w:shd w:val="clear" w:color="auto" w:fill="B8CCE4" w:themeFill="accent1" w:themeFillTint="66"/>
            <w:vAlign w:val="center"/>
          </w:tcPr>
          <w:p w14:paraId="7976439B" w14:textId="77777777" w:rsidR="00347484" w:rsidRPr="00AE3438" w:rsidRDefault="00347484" w:rsidP="00BD02D3">
            <w:pPr>
              <w:pStyle w:val="TableText0"/>
              <w:keepNext w:val="0"/>
            </w:pPr>
          </w:p>
        </w:tc>
        <w:tc>
          <w:tcPr>
            <w:tcW w:w="3027" w:type="pct"/>
            <w:tcBorders>
              <w:top w:val="nil"/>
              <w:bottom w:val="nil"/>
            </w:tcBorders>
            <w:shd w:val="clear" w:color="auto" w:fill="auto"/>
            <w:vAlign w:val="center"/>
          </w:tcPr>
          <w:p w14:paraId="490C8DEA" w14:textId="77777777" w:rsidR="00347484" w:rsidRPr="00AE3438" w:rsidRDefault="00347484" w:rsidP="00BD02D3">
            <w:pPr>
              <w:pStyle w:val="TableText0"/>
              <w:keepNext w:val="0"/>
            </w:pPr>
            <w:r w:rsidRPr="00AE3438">
              <w:t xml:space="preserve">Day JW, et al. Onasemnogene abeparvovec gene therapy for symptomatic infantile-onset spinal muscular atrophy in patients with two copies of SMN2 (STR1VE): an open-label, single-arm, multicentre, phase 3 trial. </w:t>
            </w:r>
          </w:p>
        </w:tc>
        <w:tc>
          <w:tcPr>
            <w:tcW w:w="1229" w:type="pct"/>
            <w:tcBorders>
              <w:top w:val="nil"/>
              <w:bottom w:val="nil"/>
            </w:tcBorders>
            <w:shd w:val="clear" w:color="auto" w:fill="auto"/>
            <w:vAlign w:val="center"/>
          </w:tcPr>
          <w:p w14:paraId="01AD268C" w14:textId="77777777" w:rsidR="00347484" w:rsidRPr="00AE3438" w:rsidRDefault="00347484" w:rsidP="00BD02D3">
            <w:pPr>
              <w:pStyle w:val="TableText0"/>
              <w:keepNext w:val="0"/>
            </w:pPr>
            <w:r w:rsidRPr="00AE3438">
              <w:t>The Lancet Neurology 2021; 20(4):284-293.</w:t>
            </w:r>
          </w:p>
        </w:tc>
      </w:tr>
      <w:tr w:rsidR="00347484" w:rsidRPr="00AE3438" w14:paraId="1D16FD00" w14:textId="77777777" w:rsidTr="00FF10C6">
        <w:trPr>
          <w:cantSplit/>
        </w:trPr>
        <w:tc>
          <w:tcPr>
            <w:tcW w:w="744" w:type="pct"/>
            <w:vMerge w:val="restart"/>
            <w:vAlign w:val="center"/>
          </w:tcPr>
          <w:p w14:paraId="780ACB51" w14:textId="77777777" w:rsidR="00347484" w:rsidRPr="00AE3438" w:rsidRDefault="00347484" w:rsidP="00BD02D3">
            <w:pPr>
              <w:pStyle w:val="TableText0"/>
            </w:pPr>
            <w:r w:rsidRPr="00AE3438">
              <w:t>STR1VE-EU</w:t>
            </w:r>
          </w:p>
          <w:p w14:paraId="5126D524" w14:textId="77777777" w:rsidR="00347484" w:rsidRPr="00AE3438" w:rsidRDefault="00347484" w:rsidP="00BD02D3">
            <w:pPr>
              <w:pStyle w:val="TableText0"/>
              <w:keepNext w:val="0"/>
            </w:pPr>
            <w:r w:rsidRPr="00AE3438">
              <w:t>NCT03461289</w:t>
            </w:r>
          </w:p>
          <w:p w14:paraId="59CBA383" w14:textId="77777777" w:rsidR="00347484" w:rsidRPr="00AE3438" w:rsidRDefault="00347484" w:rsidP="00BD02D3">
            <w:pPr>
              <w:pStyle w:val="TableText0"/>
              <w:keepNext w:val="0"/>
            </w:pPr>
            <w:r w:rsidRPr="00AE3438">
              <w:t>(completed)</w:t>
            </w:r>
          </w:p>
        </w:tc>
        <w:tc>
          <w:tcPr>
            <w:tcW w:w="3027" w:type="pct"/>
            <w:tcBorders>
              <w:bottom w:val="nil"/>
            </w:tcBorders>
            <w:vAlign w:val="center"/>
          </w:tcPr>
          <w:p w14:paraId="744CC5D5" w14:textId="77777777" w:rsidR="00347484" w:rsidRPr="00AE3438" w:rsidRDefault="00347484" w:rsidP="00BD02D3">
            <w:pPr>
              <w:pStyle w:val="TableText0"/>
              <w:keepNext w:val="0"/>
            </w:pPr>
            <w:r w:rsidRPr="00AE3438">
              <w:t>AVXS-101-CL-302 Clinical Study Report. Phase 3, Open-Label, Single-Arm, Single-Dose Gene Replacement Therapy Clinical Trial for Patients with Spinal Muscular Atrophy Type 1 with One or Two SMN2 Copies Delivering AVXS-101 by Intravenous Infusion.</w:t>
            </w:r>
          </w:p>
        </w:tc>
        <w:tc>
          <w:tcPr>
            <w:tcW w:w="1229" w:type="pct"/>
            <w:tcBorders>
              <w:bottom w:val="nil"/>
            </w:tcBorders>
            <w:vAlign w:val="center"/>
          </w:tcPr>
          <w:p w14:paraId="404E7623" w14:textId="77777777" w:rsidR="00347484" w:rsidRPr="00AE3438" w:rsidRDefault="00347484" w:rsidP="00BD02D3">
            <w:pPr>
              <w:pStyle w:val="TableText0"/>
              <w:keepNext w:val="0"/>
            </w:pPr>
            <w:r w:rsidRPr="00AE3438">
              <w:t>April 2021</w:t>
            </w:r>
          </w:p>
        </w:tc>
      </w:tr>
      <w:tr w:rsidR="00347484" w:rsidRPr="00AE3438" w14:paraId="400F145D" w14:textId="77777777" w:rsidTr="00FF10C6">
        <w:trPr>
          <w:cantSplit/>
        </w:trPr>
        <w:tc>
          <w:tcPr>
            <w:tcW w:w="744" w:type="pct"/>
            <w:vMerge/>
            <w:tcBorders>
              <w:bottom w:val="single" w:sz="4" w:space="0" w:color="auto"/>
            </w:tcBorders>
            <w:vAlign w:val="center"/>
          </w:tcPr>
          <w:p w14:paraId="15F4AC23" w14:textId="77777777" w:rsidR="00347484" w:rsidRPr="00AE3438" w:rsidRDefault="00347484" w:rsidP="00BD02D3">
            <w:pPr>
              <w:pStyle w:val="TableText0"/>
              <w:keepNext w:val="0"/>
            </w:pPr>
          </w:p>
        </w:tc>
        <w:tc>
          <w:tcPr>
            <w:tcW w:w="3027" w:type="pct"/>
            <w:tcBorders>
              <w:top w:val="nil"/>
              <w:bottom w:val="single" w:sz="4" w:space="0" w:color="auto"/>
            </w:tcBorders>
            <w:vAlign w:val="center"/>
          </w:tcPr>
          <w:p w14:paraId="667C8AF6" w14:textId="77777777" w:rsidR="00347484" w:rsidRPr="00AE3438" w:rsidRDefault="00347484" w:rsidP="00BD02D3">
            <w:pPr>
              <w:pStyle w:val="TableText0"/>
              <w:keepNext w:val="0"/>
            </w:pPr>
            <w:r w:rsidRPr="00AE3438">
              <w:t xml:space="preserve">Mercuri E, et al. Onasemnogene abeparvovec gene therapy for symptomatic infantile-onset spinal muscular atrophy type 1 (STR1VE-EU): an open-label, single-arm, multicentre, phase 3 trial. </w:t>
            </w:r>
          </w:p>
        </w:tc>
        <w:tc>
          <w:tcPr>
            <w:tcW w:w="1229" w:type="pct"/>
            <w:tcBorders>
              <w:top w:val="nil"/>
              <w:bottom w:val="single" w:sz="4" w:space="0" w:color="auto"/>
            </w:tcBorders>
            <w:vAlign w:val="center"/>
          </w:tcPr>
          <w:p w14:paraId="52EBEDD0" w14:textId="77777777" w:rsidR="00347484" w:rsidRPr="00AE3438" w:rsidRDefault="00347484" w:rsidP="00BD02D3">
            <w:pPr>
              <w:pStyle w:val="TableText0"/>
              <w:keepNext w:val="0"/>
            </w:pPr>
            <w:r w:rsidRPr="00AE3438">
              <w:t>The Lancet Neurology 2021; 20(10):832-841.</w:t>
            </w:r>
          </w:p>
        </w:tc>
      </w:tr>
      <w:tr w:rsidR="00347484" w:rsidRPr="00AE3438" w14:paraId="44230965" w14:textId="77777777" w:rsidTr="00BD02D3">
        <w:trPr>
          <w:cantSplit/>
        </w:trPr>
        <w:tc>
          <w:tcPr>
            <w:tcW w:w="5000" w:type="pct"/>
            <w:gridSpan w:val="3"/>
            <w:tcBorders>
              <w:bottom w:val="nil"/>
            </w:tcBorders>
            <w:vAlign w:val="center"/>
          </w:tcPr>
          <w:p w14:paraId="1D8CF86C" w14:textId="77777777" w:rsidR="00347484" w:rsidRPr="00AE3438" w:rsidRDefault="00347484" w:rsidP="00FF10C6">
            <w:pPr>
              <w:pStyle w:val="TableText0"/>
              <w:rPr>
                <w:b/>
              </w:rPr>
            </w:pPr>
            <w:r w:rsidRPr="00AE3438">
              <w:rPr>
                <w:b/>
              </w:rPr>
              <w:lastRenderedPageBreak/>
              <w:t>NUSI</w:t>
            </w:r>
          </w:p>
        </w:tc>
      </w:tr>
      <w:tr w:rsidR="00347484" w:rsidRPr="00AE3438" w14:paraId="2DDAF129" w14:textId="77777777" w:rsidTr="00BD02D3">
        <w:trPr>
          <w:cantSplit/>
        </w:trPr>
        <w:tc>
          <w:tcPr>
            <w:tcW w:w="744" w:type="pct"/>
            <w:tcBorders>
              <w:bottom w:val="nil"/>
            </w:tcBorders>
            <w:shd w:val="clear" w:color="auto" w:fill="auto"/>
            <w:vAlign w:val="center"/>
          </w:tcPr>
          <w:p w14:paraId="0F2C5072" w14:textId="77777777" w:rsidR="00347484" w:rsidRPr="00AE3438" w:rsidRDefault="00347484" w:rsidP="00BD02D3">
            <w:pPr>
              <w:pStyle w:val="TableText0"/>
            </w:pPr>
            <w:r w:rsidRPr="00AE3438">
              <w:t>ENDEAR</w:t>
            </w:r>
          </w:p>
          <w:p w14:paraId="3216D658" w14:textId="77777777" w:rsidR="00347484" w:rsidRPr="00AE3438" w:rsidRDefault="00347484" w:rsidP="00BD02D3">
            <w:pPr>
              <w:pStyle w:val="TableText0"/>
              <w:keepNext w:val="0"/>
            </w:pPr>
            <w:r w:rsidRPr="00AE3438">
              <w:t>NCT02193074</w:t>
            </w:r>
          </w:p>
        </w:tc>
        <w:tc>
          <w:tcPr>
            <w:tcW w:w="3027" w:type="pct"/>
            <w:tcBorders>
              <w:bottom w:val="nil"/>
            </w:tcBorders>
            <w:shd w:val="clear" w:color="auto" w:fill="auto"/>
            <w:vAlign w:val="center"/>
          </w:tcPr>
          <w:p w14:paraId="3129B8E6" w14:textId="77777777" w:rsidR="00347484" w:rsidRPr="00AE3438" w:rsidRDefault="00347484" w:rsidP="00BD02D3">
            <w:pPr>
              <w:pStyle w:val="TableText0"/>
              <w:keepNext w:val="0"/>
            </w:pPr>
            <w:r w:rsidRPr="00AE3438">
              <w:t xml:space="preserve">Finkel RS, et al. Nusinersen versus sham control in infantile-onset spinal muscular atrophy. </w:t>
            </w:r>
          </w:p>
        </w:tc>
        <w:tc>
          <w:tcPr>
            <w:tcW w:w="1229" w:type="pct"/>
            <w:tcBorders>
              <w:bottom w:val="nil"/>
            </w:tcBorders>
            <w:shd w:val="clear" w:color="auto" w:fill="auto"/>
            <w:vAlign w:val="center"/>
          </w:tcPr>
          <w:p w14:paraId="28A71B9C" w14:textId="77777777" w:rsidR="00347484" w:rsidRPr="00AE3438" w:rsidRDefault="00347484" w:rsidP="00BD02D3">
            <w:pPr>
              <w:pStyle w:val="TableText0"/>
              <w:keepNext w:val="0"/>
            </w:pPr>
            <w:r w:rsidRPr="00AE3438">
              <w:t>New England Journal of Medicine 2017; 377(18):1723</w:t>
            </w:r>
            <w:r w:rsidRPr="00AE3438">
              <w:rPr>
                <w:rFonts w:ascii="Cambria Math" w:hAnsi="Cambria Math" w:cs="Cambria Math"/>
              </w:rPr>
              <w:t>‐</w:t>
            </w:r>
            <w:r w:rsidRPr="00AE3438">
              <w:t>1732.</w:t>
            </w:r>
          </w:p>
        </w:tc>
      </w:tr>
      <w:tr w:rsidR="00347484" w:rsidRPr="00AE3438" w14:paraId="7C5706AF" w14:textId="77777777" w:rsidTr="00BD02D3">
        <w:trPr>
          <w:cantSplit/>
        </w:trPr>
        <w:tc>
          <w:tcPr>
            <w:tcW w:w="744" w:type="pct"/>
            <w:vMerge w:val="restart"/>
            <w:shd w:val="clear" w:color="auto" w:fill="auto"/>
            <w:vAlign w:val="center"/>
          </w:tcPr>
          <w:p w14:paraId="4362824B" w14:textId="77777777" w:rsidR="00347484" w:rsidRPr="00AE3438" w:rsidRDefault="00347484" w:rsidP="00BD02D3">
            <w:pPr>
              <w:pStyle w:val="TableText0"/>
            </w:pPr>
            <w:r w:rsidRPr="00AE3438">
              <w:t>CS3A</w:t>
            </w:r>
          </w:p>
          <w:p w14:paraId="352D4D44" w14:textId="77777777" w:rsidR="00347484" w:rsidRPr="00AE3438" w:rsidRDefault="00347484" w:rsidP="00BD02D3">
            <w:pPr>
              <w:pStyle w:val="TableText0"/>
            </w:pPr>
            <w:r w:rsidRPr="00AE3438">
              <w:t>NCT01839656</w:t>
            </w:r>
          </w:p>
        </w:tc>
        <w:tc>
          <w:tcPr>
            <w:tcW w:w="3027" w:type="pct"/>
            <w:tcBorders>
              <w:bottom w:val="nil"/>
            </w:tcBorders>
            <w:shd w:val="clear" w:color="auto" w:fill="auto"/>
            <w:vAlign w:val="center"/>
          </w:tcPr>
          <w:p w14:paraId="25F9F143" w14:textId="77777777" w:rsidR="00347484" w:rsidRPr="00AE3438" w:rsidRDefault="00347484" w:rsidP="00BD02D3">
            <w:pPr>
              <w:pStyle w:val="TableText0"/>
              <w:keepNext w:val="0"/>
            </w:pPr>
            <w:r w:rsidRPr="00AE3438">
              <w:t xml:space="preserve">Finkel RS, et al. Treatment of infantile-onset spinal muscular atrophy with nusinersen: a phase 2, open-label, dose-escalation study. </w:t>
            </w:r>
          </w:p>
        </w:tc>
        <w:tc>
          <w:tcPr>
            <w:tcW w:w="1229" w:type="pct"/>
            <w:tcBorders>
              <w:bottom w:val="nil"/>
            </w:tcBorders>
            <w:shd w:val="clear" w:color="auto" w:fill="auto"/>
            <w:vAlign w:val="center"/>
          </w:tcPr>
          <w:p w14:paraId="00A95CBA" w14:textId="77777777" w:rsidR="00347484" w:rsidRPr="00AE3438" w:rsidRDefault="00347484" w:rsidP="00BD02D3">
            <w:pPr>
              <w:pStyle w:val="TableText0"/>
              <w:keepNext w:val="0"/>
            </w:pPr>
            <w:r w:rsidRPr="00AE3438">
              <w:t>Lancet 2016; 388(10063):3017</w:t>
            </w:r>
            <w:r w:rsidRPr="00AE3438">
              <w:rPr>
                <w:rFonts w:ascii="Cambria Math" w:hAnsi="Cambria Math" w:cs="Cambria Math"/>
              </w:rPr>
              <w:t>‐</w:t>
            </w:r>
            <w:r w:rsidRPr="00AE3438">
              <w:t>3026.</w:t>
            </w:r>
          </w:p>
        </w:tc>
      </w:tr>
      <w:tr w:rsidR="00347484" w:rsidRPr="00AE3438" w14:paraId="25E9DE4C" w14:textId="77777777" w:rsidTr="00BD02D3">
        <w:trPr>
          <w:cantSplit/>
        </w:trPr>
        <w:tc>
          <w:tcPr>
            <w:tcW w:w="744" w:type="pct"/>
            <w:vMerge/>
            <w:tcBorders>
              <w:bottom w:val="nil"/>
            </w:tcBorders>
            <w:shd w:val="clear" w:color="auto" w:fill="auto"/>
            <w:vAlign w:val="center"/>
          </w:tcPr>
          <w:p w14:paraId="31A873D8" w14:textId="77777777" w:rsidR="00347484" w:rsidRPr="00AE3438" w:rsidRDefault="00347484" w:rsidP="00BD02D3">
            <w:pPr>
              <w:pStyle w:val="TableText0"/>
              <w:keepNext w:val="0"/>
            </w:pPr>
          </w:p>
        </w:tc>
        <w:tc>
          <w:tcPr>
            <w:tcW w:w="3027" w:type="pct"/>
            <w:tcBorders>
              <w:top w:val="nil"/>
              <w:bottom w:val="nil"/>
            </w:tcBorders>
            <w:shd w:val="clear" w:color="auto" w:fill="auto"/>
            <w:vAlign w:val="center"/>
          </w:tcPr>
          <w:p w14:paraId="2670E5AF" w14:textId="77777777" w:rsidR="00347484" w:rsidRPr="00AE3438" w:rsidRDefault="00347484" w:rsidP="00BD02D3">
            <w:pPr>
              <w:pStyle w:val="TableText0"/>
              <w:keepNext w:val="0"/>
            </w:pPr>
            <w:r w:rsidRPr="00AE3438">
              <w:t>Finkel RS, et al. Treatment of infantile-onset spinal muscular atrophy with nusinersen: final report of a phase 2, open-label, multicentre, dose-escalation study.</w:t>
            </w:r>
          </w:p>
        </w:tc>
        <w:tc>
          <w:tcPr>
            <w:tcW w:w="1229" w:type="pct"/>
            <w:tcBorders>
              <w:top w:val="nil"/>
              <w:bottom w:val="nil"/>
            </w:tcBorders>
            <w:shd w:val="clear" w:color="auto" w:fill="auto"/>
            <w:vAlign w:val="center"/>
          </w:tcPr>
          <w:p w14:paraId="54283799" w14:textId="77777777" w:rsidR="00347484" w:rsidRPr="00AE3438" w:rsidRDefault="00347484" w:rsidP="00BD02D3">
            <w:pPr>
              <w:pStyle w:val="TableText0"/>
              <w:keepNext w:val="0"/>
            </w:pPr>
            <w:r w:rsidRPr="00AE3438">
              <w:t>The Lancet Child and Adolescent Health 2021; 5(7):491-500.</w:t>
            </w:r>
          </w:p>
        </w:tc>
      </w:tr>
      <w:tr w:rsidR="00347484" w:rsidRPr="00AE3438" w14:paraId="678D7C2F" w14:textId="77777777" w:rsidTr="00BD02D3">
        <w:trPr>
          <w:cantSplit/>
        </w:trPr>
        <w:tc>
          <w:tcPr>
            <w:tcW w:w="744" w:type="pct"/>
            <w:tcBorders>
              <w:bottom w:val="nil"/>
            </w:tcBorders>
            <w:shd w:val="clear" w:color="auto" w:fill="auto"/>
            <w:vAlign w:val="center"/>
          </w:tcPr>
          <w:p w14:paraId="1801CACD" w14:textId="77777777" w:rsidR="00347484" w:rsidRPr="00AE3438" w:rsidRDefault="00347484" w:rsidP="00BD02D3">
            <w:pPr>
              <w:pStyle w:val="TableText0"/>
              <w:keepNext w:val="0"/>
            </w:pPr>
            <w:r w:rsidRPr="00AE3438">
              <w:t>SHINE/ENDEAR</w:t>
            </w:r>
          </w:p>
          <w:p w14:paraId="17CDCF00" w14:textId="77777777" w:rsidR="00347484" w:rsidRPr="00AE3438" w:rsidRDefault="00347484" w:rsidP="00BD02D3">
            <w:pPr>
              <w:pStyle w:val="TableText0"/>
              <w:keepNext w:val="0"/>
            </w:pPr>
            <w:r w:rsidRPr="00AE3438">
              <w:t>NCT02594124</w:t>
            </w:r>
          </w:p>
        </w:tc>
        <w:tc>
          <w:tcPr>
            <w:tcW w:w="3027" w:type="pct"/>
            <w:tcBorders>
              <w:bottom w:val="nil"/>
            </w:tcBorders>
            <w:shd w:val="clear" w:color="auto" w:fill="auto"/>
            <w:vAlign w:val="center"/>
          </w:tcPr>
          <w:p w14:paraId="4D8AF323" w14:textId="77777777" w:rsidR="00347484" w:rsidRPr="00AE3438" w:rsidRDefault="00347484" w:rsidP="00BD02D3">
            <w:pPr>
              <w:pStyle w:val="TableText0"/>
              <w:keepNext w:val="0"/>
            </w:pPr>
            <w:r w:rsidRPr="00AE3438">
              <w:t>Castro D, Finkel RS, Farrar MA, et al. Nusinersen in infantile-onset spinal muscular atrophy: Results from longer-term treatment from the open-label SHINE extension study. [Conference presentation, data presented only for patients who started treatment in the ENDEAR trial]</w:t>
            </w:r>
          </w:p>
        </w:tc>
        <w:tc>
          <w:tcPr>
            <w:tcW w:w="1229" w:type="pct"/>
            <w:tcBorders>
              <w:bottom w:val="nil"/>
            </w:tcBorders>
            <w:shd w:val="clear" w:color="auto" w:fill="auto"/>
            <w:vAlign w:val="center"/>
          </w:tcPr>
          <w:p w14:paraId="669E7222" w14:textId="77777777" w:rsidR="00347484" w:rsidRPr="00AE3438" w:rsidRDefault="00347484" w:rsidP="00BD02D3">
            <w:pPr>
              <w:pStyle w:val="TableText0"/>
              <w:keepNext w:val="0"/>
            </w:pPr>
            <w:r w:rsidRPr="00AE3438">
              <w:t>American Academy of Neurology Annual Meeting 2020.</w:t>
            </w:r>
          </w:p>
        </w:tc>
      </w:tr>
      <w:tr w:rsidR="00347484" w:rsidRPr="00AE3438" w14:paraId="67CDE36A" w14:textId="77777777" w:rsidTr="00BD02D3">
        <w:trPr>
          <w:cantSplit/>
        </w:trPr>
        <w:tc>
          <w:tcPr>
            <w:tcW w:w="744" w:type="pct"/>
            <w:tcBorders>
              <w:bottom w:val="nil"/>
            </w:tcBorders>
            <w:shd w:val="clear" w:color="auto" w:fill="auto"/>
            <w:vAlign w:val="center"/>
          </w:tcPr>
          <w:p w14:paraId="39E1FE40" w14:textId="77777777" w:rsidR="00347484" w:rsidRPr="00AE3438" w:rsidRDefault="00347484" w:rsidP="00BD02D3">
            <w:pPr>
              <w:pStyle w:val="TableText0"/>
            </w:pPr>
            <w:r w:rsidRPr="00AE3438">
              <w:t>CHERISH</w:t>
            </w:r>
          </w:p>
          <w:p w14:paraId="2DE3BBA9" w14:textId="77777777" w:rsidR="00347484" w:rsidRPr="00AE3438" w:rsidRDefault="00347484" w:rsidP="00BD02D3">
            <w:pPr>
              <w:pStyle w:val="TableText0"/>
              <w:keepNext w:val="0"/>
            </w:pPr>
            <w:r w:rsidRPr="00AE3438">
              <w:t>NCT02292537</w:t>
            </w:r>
          </w:p>
        </w:tc>
        <w:tc>
          <w:tcPr>
            <w:tcW w:w="3027" w:type="pct"/>
            <w:tcBorders>
              <w:bottom w:val="nil"/>
            </w:tcBorders>
            <w:shd w:val="clear" w:color="auto" w:fill="auto"/>
            <w:vAlign w:val="center"/>
          </w:tcPr>
          <w:p w14:paraId="14A31724" w14:textId="77777777" w:rsidR="00347484" w:rsidRPr="00AE3438" w:rsidRDefault="00347484" w:rsidP="00BD02D3">
            <w:pPr>
              <w:pStyle w:val="TableText0"/>
              <w:keepNext w:val="0"/>
            </w:pPr>
            <w:r w:rsidRPr="00AE3438">
              <w:t xml:space="preserve">Mercuri E, et al. Nusinersen versus Sham Control in Later-Onset Spinal Muscular Atrophy [Clinical Trial, Phase III; Comparative Study; Multicenter Study; Randomized Controlled Trial]. </w:t>
            </w:r>
          </w:p>
        </w:tc>
        <w:tc>
          <w:tcPr>
            <w:tcW w:w="1229" w:type="pct"/>
            <w:tcBorders>
              <w:bottom w:val="nil"/>
            </w:tcBorders>
            <w:shd w:val="clear" w:color="auto" w:fill="auto"/>
            <w:vAlign w:val="center"/>
          </w:tcPr>
          <w:p w14:paraId="4FBB8443" w14:textId="77777777" w:rsidR="00347484" w:rsidRPr="00AE3438" w:rsidRDefault="00347484" w:rsidP="00BD02D3">
            <w:pPr>
              <w:pStyle w:val="TableText0"/>
              <w:keepNext w:val="0"/>
            </w:pPr>
            <w:r w:rsidRPr="00AE3438">
              <w:t>New England Journal of Medicine 2018; 378(7):625</w:t>
            </w:r>
            <w:r w:rsidRPr="00AE3438">
              <w:rPr>
                <w:rFonts w:ascii="Cambria Math" w:hAnsi="Cambria Math" w:cs="Cambria Math"/>
              </w:rPr>
              <w:t>‐</w:t>
            </w:r>
            <w:r w:rsidRPr="00AE3438">
              <w:t>635.</w:t>
            </w:r>
          </w:p>
        </w:tc>
      </w:tr>
      <w:tr w:rsidR="00347484" w:rsidRPr="00AE3438" w14:paraId="2ADE13A2" w14:textId="77777777" w:rsidTr="00BD02D3">
        <w:trPr>
          <w:cantSplit/>
        </w:trPr>
        <w:tc>
          <w:tcPr>
            <w:tcW w:w="744" w:type="pct"/>
            <w:tcBorders>
              <w:bottom w:val="nil"/>
            </w:tcBorders>
            <w:shd w:val="clear" w:color="auto" w:fill="auto"/>
            <w:vAlign w:val="center"/>
          </w:tcPr>
          <w:p w14:paraId="609A5AFB" w14:textId="77777777" w:rsidR="00347484" w:rsidRPr="00AE3438" w:rsidRDefault="00347484" w:rsidP="00BD02D3">
            <w:pPr>
              <w:pStyle w:val="TableText0"/>
              <w:keepNext w:val="0"/>
            </w:pPr>
            <w:r w:rsidRPr="00AE3438">
              <w:t>CS2</w:t>
            </w:r>
          </w:p>
          <w:p w14:paraId="1CA14A98" w14:textId="77777777" w:rsidR="00347484" w:rsidRPr="00AE3438" w:rsidRDefault="00347484" w:rsidP="00BD02D3">
            <w:pPr>
              <w:pStyle w:val="TableText0"/>
              <w:keepNext w:val="0"/>
            </w:pPr>
            <w:r w:rsidRPr="00AE3438">
              <w:t>NCT01703988</w:t>
            </w:r>
          </w:p>
        </w:tc>
        <w:tc>
          <w:tcPr>
            <w:tcW w:w="3027" w:type="pct"/>
            <w:tcBorders>
              <w:bottom w:val="nil"/>
            </w:tcBorders>
            <w:shd w:val="clear" w:color="auto" w:fill="auto"/>
            <w:vAlign w:val="center"/>
          </w:tcPr>
          <w:p w14:paraId="72B762E9" w14:textId="77777777" w:rsidR="00347484" w:rsidRPr="00AE3438" w:rsidRDefault="00347484" w:rsidP="00BD02D3">
            <w:pPr>
              <w:pStyle w:val="TableText0"/>
              <w:keepNext w:val="0"/>
            </w:pPr>
            <w:r w:rsidRPr="00AE3438">
              <w:t>Chiriboga CA, et al. Results from a phase 1 study of nusinersen (ISIS-SMN Rx) in children with spinal muscular atrophy.</w:t>
            </w:r>
          </w:p>
        </w:tc>
        <w:tc>
          <w:tcPr>
            <w:tcW w:w="1229" w:type="pct"/>
            <w:tcBorders>
              <w:bottom w:val="nil"/>
            </w:tcBorders>
            <w:shd w:val="clear" w:color="auto" w:fill="auto"/>
            <w:vAlign w:val="center"/>
          </w:tcPr>
          <w:p w14:paraId="005A7F9B" w14:textId="77777777" w:rsidR="00347484" w:rsidRPr="00AE3438" w:rsidRDefault="00347484" w:rsidP="00BD02D3">
            <w:pPr>
              <w:pStyle w:val="TableText0"/>
              <w:keepNext w:val="0"/>
            </w:pPr>
            <w:r w:rsidRPr="00AE3438">
              <w:t>Neurology 2016; 86(10):890-897.</w:t>
            </w:r>
          </w:p>
        </w:tc>
      </w:tr>
      <w:tr w:rsidR="00347484" w:rsidRPr="00AE3438" w14:paraId="4B4D308A" w14:textId="77777777" w:rsidTr="00BD02D3">
        <w:trPr>
          <w:cantSplit/>
        </w:trPr>
        <w:tc>
          <w:tcPr>
            <w:tcW w:w="744" w:type="pct"/>
            <w:tcBorders>
              <w:bottom w:val="nil"/>
            </w:tcBorders>
            <w:shd w:val="clear" w:color="auto" w:fill="auto"/>
            <w:vAlign w:val="center"/>
          </w:tcPr>
          <w:p w14:paraId="24A3FBC8" w14:textId="77777777" w:rsidR="00347484" w:rsidRPr="00AE3438" w:rsidRDefault="00347484" w:rsidP="00BD02D3">
            <w:pPr>
              <w:pStyle w:val="TableText0"/>
              <w:keepNext w:val="0"/>
              <w:rPr>
                <w:i/>
              </w:rPr>
            </w:pPr>
            <w:r w:rsidRPr="00AE3438">
              <w:t xml:space="preserve">SHINE/CS2A </w:t>
            </w:r>
            <w:r w:rsidRPr="00AE3438">
              <w:rPr>
                <w:i/>
              </w:rPr>
              <w:t>(CS2/CS12)</w:t>
            </w:r>
          </w:p>
          <w:p w14:paraId="41FEE5EC" w14:textId="77777777" w:rsidR="00347484" w:rsidRPr="00AE3438" w:rsidRDefault="00347484" w:rsidP="00BD02D3">
            <w:pPr>
              <w:pStyle w:val="TableText0"/>
              <w:keepNext w:val="0"/>
            </w:pPr>
            <w:r w:rsidRPr="00AE3438">
              <w:t>NCT01703988</w:t>
            </w:r>
          </w:p>
        </w:tc>
        <w:tc>
          <w:tcPr>
            <w:tcW w:w="3027" w:type="pct"/>
            <w:tcBorders>
              <w:bottom w:val="nil"/>
            </w:tcBorders>
            <w:shd w:val="clear" w:color="auto" w:fill="auto"/>
            <w:vAlign w:val="center"/>
          </w:tcPr>
          <w:p w14:paraId="6AC76666" w14:textId="77777777" w:rsidR="00347484" w:rsidRPr="00AE3438" w:rsidRDefault="00347484" w:rsidP="00BD02D3">
            <w:pPr>
              <w:pStyle w:val="TableText0"/>
              <w:keepNext w:val="0"/>
            </w:pPr>
            <w:r w:rsidRPr="00AE3438">
              <w:t xml:space="preserve">Darras BT, et al. Nusinersen in later-onset spinal muscular atrophy: Long-term results from the phase 1/2 studies [LT extension of CS2/CS12]. </w:t>
            </w:r>
          </w:p>
        </w:tc>
        <w:tc>
          <w:tcPr>
            <w:tcW w:w="1229" w:type="pct"/>
            <w:tcBorders>
              <w:bottom w:val="nil"/>
            </w:tcBorders>
            <w:shd w:val="clear" w:color="auto" w:fill="auto"/>
            <w:vAlign w:val="center"/>
          </w:tcPr>
          <w:p w14:paraId="7EB044D2" w14:textId="77777777" w:rsidR="00347484" w:rsidRPr="00AE3438" w:rsidRDefault="00347484" w:rsidP="00BD02D3">
            <w:pPr>
              <w:pStyle w:val="TableText0"/>
              <w:keepNext w:val="0"/>
            </w:pPr>
            <w:r w:rsidRPr="00AE3438">
              <w:t>Neurology 2019; 92(21):e2492-e2506.</w:t>
            </w:r>
          </w:p>
        </w:tc>
      </w:tr>
      <w:tr w:rsidR="00347484" w:rsidRPr="00AE3438" w14:paraId="4851A1F8" w14:textId="77777777" w:rsidTr="00BD02D3">
        <w:trPr>
          <w:cantSplit/>
        </w:trPr>
        <w:tc>
          <w:tcPr>
            <w:tcW w:w="744" w:type="pct"/>
            <w:tcBorders>
              <w:bottom w:val="nil"/>
            </w:tcBorders>
            <w:shd w:val="clear" w:color="auto" w:fill="auto"/>
            <w:vAlign w:val="center"/>
          </w:tcPr>
          <w:p w14:paraId="6B4BE889" w14:textId="77777777" w:rsidR="00347484" w:rsidRPr="00AE3438" w:rsidRDefault="00347484" w:rsidP="00BD02D3">
            <w:pPr>
              <w:pStyle w:val="TableText0"/>
            </w:pPr>
            <w:r w:rsidRPr="00AE3438">
              <w:t>SHINE/CHERISH</w:t>
            </w:r>
          </w:p>
          <w:p w14:paraId="5A24B7C5" w14:textId="77777777" w:rsidR="00347484" w:rsidRPr="00AE3438" w:rsidRDefault="00347484" w:rsidP="00BD02D3">
            <w:pPr>
              <w:pStyle w:val="TableText0"/>
              <w:keepNext w:val="0"/>
            </w:pPr>
            <w:r w:rsidRPr="00AE3438">
              <w:t>NCT02594124</w:t>
            </w:r>
          </w:p>
        </w:tc>
        <w:tc>
          <w:tcPr>
            <w:tcW w:w="3027" w:type="pct"/>
            <w:tcBorders>
              <w:bottom w:val="nil"/>
            </w:tcBorders>
            <w:shd w:val="clear" w:color="auto" w:fill="auto"/>
            <w:vAlign w:val="center"/>
          </w:tcPr>
          <w:p w14:paraId="4DAADEE7" w14:textId="77777777" w:rsidR="00347484" w:rsidRPr="00AE3438" w:rsidRDefault="00347484" w:rsidP="00BD02D3">
            <w:pPr>
              <w:pStyle w:val="TableText0"/>
              <w:keepNext w:val="0"/>
            </w:pPr>
            <w:r w:rsidRPr="00AE3438">
              <w:t xml:space="preserve">Kirschner J, et al. Interim report on the safety and efficacy of longer-term treatment with nusinersen in later-onset spinal muscular atrophy (SMA): Results from the shine study. </w:t>
            </w:r>
          </w:p>
        </w:tc>
        <w:tc>
          <w:tcPr>
            <w:tcW w:w="1229" w:type="pct"/>
            <w:tcBorders>
              <w:bottom w:val="nil"/>
            </w:tcBorders>
            <w:shd w:val="clear" w:color="auto" w:fill="auto"/>
            <w:vAlign w:val="center"/>
          </w:tcPr>
          <w:p w14:paraId="2F3611B2" w14:textId="77777777" w:rsidR="00347484" w:rsidRPr="00AE3438" w:rsidRDefault="00347484" w:rsidP="00BD02D3">
            <w:pPr>
              <w:pStyle w:val="TableText0"/>
              <w:keepNext w:val="0"/>
            </w:pPr>
            <w:r w:rsidRPr="00AE3438">
              <w:t>Journal of the Neurological Sciences 2019; 405:248-249.</w:t>
            </w:r>
          </w:p>
        </w:tc>
      </w:tr>
      <w:tr w:rsidR="00347484" w:rsidRPr="00AE3438" w14:paraId="544D2137" w14:textId="77777777" w:rsidTr="00BD02D3">
        <w:trPr>
          <w:cantSplit/>
        </w:trPr>
        <w:tc>
          <w:tcPr>
            <w:tcW w:w="744" w:type="pct"/>
            <w:tcBorders>
              <w:bottom w:val="nil"/>
            </w:tcBorders>
            <w:shd w:val="clear" w:color="auto" w:fill="auto"/>
            <w:vAlign w:val="center"/>
          </w:tcPr>
          <w:p w14:paraId="7EBF8BCB" w14:textId="286450A5" w:rsidR="00347484" w:rsidRPr="00AE3438" w:rsidRDefault="00347484" w:rsidP="00BD02D3">
            <w:pPr>
              <w:pStyle w:val="TableText0"/>
              <w:rPr>
                <w:iCs/>
                <w:vertAlign w:val="superscript"/>
              </w:rPr>
            </w:pPr>
            <w:r w:rsidRPr="00AE3438">
              <w:rPr>
                <w:iCs/>
              </w:rPr>
              <w:t>EMBRACE</w:t>
            </w:r>
            <w:r w:rsidR="002D78FD" w:rsidRPr="00AE3438">
              <w:rPr>
                <w:iCs/>
              </w:rPr>
              <w:t xml:space="preserve"> </w:t>
            </w:r>
            <w:r w:rsidR="002D78FD" w:rsidRPr="00AE3438">
              <w:rPr>
                <w:iCs/>
                <w:vertAlign w:val="superscript"/>
              </w:rPr>
              <w:t>a</w:t>
            </w:r>
          </w:p>
          <w:p w14:paraId="1562EFBF" w14:textId="77777777" w:rsidR="00347484" w:rsidRPr="00AE3438" w:rsidRDefault="00347484" w:rsidP="00BD02D3">
            <w:pPr>
              <w:pStyle w:val="TableText0"/>
              <w:rPr>
                <w:iCs/>
              </w:rPr>
            </w:pPr>
            <w:r w:rsidRPr="00AE3438">
              <w:rPr>
                <w:iCs/>
              </w:rPr>
              <w:t>NCT02462759</w:t>
            </w:r>
          </w:p>
        </w:tc>
        <w:tc>
          <w:tcPr>
            <w:tcW w:w="3027" w:type="pct"/>
            <w:tcBorders>
              <w:bottom w:val="nil"/>
            </w:tcBorders>
            <w:shd w:val="clear" w:color="auto" w:fill="auto"/>
            <w:vAlign w:val="center"/>
          </w:tcPr>
          <w:p w14:paraId="0F9435C0" w14:textId="77777777" w:rsidR="00347484" w:rsidRPr="00AE3438" w:rsidRDefault="00347484" w:rsidP="00BD02D3">
            <w:pPr>
              <w:pStyle w:val="TableText0"/>
              <w:keepNext w:val="0"/>
              <w:rPr>
                <w:iCs/>
              </w:rPr>
            </w:pPr>
            <w:r w:rsidRPr="00AE3438">
              <w:rPr>
                <w:iCs/>
              </w:rPr>
              <w:t>Acsadi G, Crawford TO, Müller-Felber W, et al. Safety and efficacy of nusinersen in spinal muscular atrophy: The EMBRACE study.</w:t>
            </w:r>
          </w:p>
        </w:tc>
        <w:tc>
          <w:tcPr>
            <w:tcW w:w="1229" w:type="pct"/>
            <w:tcBorders>
              <w:bottom w:val="nil"/>
            </w:tcBorders>
            <w:shd w:val="clear" w:color="auto" w:fill="auto"/>
            <w:vAlign w:val="center"/>
          </w:tcPr>
          <w:p w14:paraId="43DEC58A" w14:textId="77777777" w:rsidR="00347484" w:rsidRPr="00AE3438" w:rsidRDefault="00347484" w:rsidP="00BD02D3">
            <w:pPr>
              <w:pStyle w:val="TableText0"/>
              <w:keepNext w:val="0"/>
              <w:rPr>
                <w:iCs/>
              </w:rPr>
            </w:pPr>
            <w:r w:rsidRPr="00AE3438">
              <w:rPr>
                <w:iCs/>
              </w:rPr>
              <w:t>Muscle Nerve 2021; 63(5):668-677.</w:t>
            </w:r>
          </w:p>
        </w:tc>
      </w:tr>
      <w:tr w:rsidR="00347484" w:rsidRPr="00AE3438" w14:paraId="52D57D5A" w14:textId="77777777" w:rsidTr="00BD02D3">
        <w:trPr>
          <w:cantSplit/>
        </w:trPr>
        <w:tc>
          <w:tcPr>
            <w:tcW w:w="5000" w:type="pct"/>
            <w:gridSpan w:val="3"/>
            <w:tcBorders>
              <w:bottom w:val="nil"/>
            </w:tcBorders>
            <w:shd w:val="clear" w:color="auto" w:fill="auto"/>
            <w:vAlign w:val="center"/>
          </w:tcPr>
          <w:p w14:paraId="2E000BE8" w14:textId="77777777" w:rsidR="00347484" w:rsidRPr="00AE3438" w:rsidRDefault="00347484" w:rsidP="00BD02D3">
            <w:pPr>
              <w:pStyle w:val="TableText0"/>
              <w:keepNext w:val="0"/>
              <w:rPr>
                <w:b/>
              </w:rPr>
            </w:pPr>
            <w:r w:rsidRPr="00AE3438">
              <w:rPr>
                <w:b/>
              </w:rPr>
              <w:t>RISD</w:t>
            </w:r>
          </w:p>
        </w:tc>
      </w:tr>
      <w:tr w:rsidR="00347484" w:rsidRPr="00AE3438" w14:paraId="2D345E60" w14:textId="77777777" w:rsidTr="00BD02D3">
        <w:trPr>
          <w:cantSplit/>
        </w:trPr>
        <w:tc>
          <w:tcPr>
            <w:tcW w:w="744" w:type="pct"/>
            <w:vMerge w:val="restart"/>
            <w:shd w:val="clear" w:color="auto" w:fill="auto"/>
            <w:vAlign w:val="center"/>
          </w:tcPr>
          <w:p w14:paraId="6336B6C4" w14:textId="77777777" w:rsidR="00347484" w:rsidRPr="00AE3438" w:rsidRDefault="00347484" w:rsidP="00BD02D3">
            <w:pPr>
              <w:pStyle w:val="TableText0"/>
            </w:pPr>
            <w:r w:rsidRPr="00AE3438">
              <w:t>FIREFISH</w:t>
            </w:r>
          </w:p>
          <w:p w14:paraId="450E6B93" w14:textId="77777777" w:rsidR="00347484" w:rsidRPr="00AE3438" w:rsidRDefault="00347484" w:rsidP="00BD02D3">
            <w:pPr>
              <w:pStyle w:val="TableText0"/>
              <w:keepNext w:val="0"/>
            </w:pPr>
            <w:r w:rsidRPr="00AE3438">
              <w:t>NCT02913482</w:t>
            </w:r>
          </w:p>
        </w:tc>
        <w:tc>
          <w:tcPr>
            <w:tcW w:w="3027" w:type="pct"/>
            <w:tcBorders>
              <w:bottom w:val="nil"/>
            </w:tcBorders>
            <w:shd w:val="clear" w:color="auto" w:fill="auto"/>
            <w:vAlign w:val="center"/>
          </w:tcPr>
          <w:p w14:paraId="5541AF3B" w14:textId="77777777" w:rsidR="00347484" w:rsidRPr="00AE3438" w:rsidRDefault="00347484" w:rsidP="00BD02D3">
            <w:pPr>
              <w:pStyle w:val="TableText0"/>
              <w:keepNext w:val="0"/>
            </w:pPr>
            <w:r w:rsidRPr="00AE3438">
              <w:t xml:space="preserve">Baranello G, et al. Risdiplam in type 1 spinal muscular atrophy. </w:t>
            </w:r>
          </w:p>
        </w:tc>
        <w:tc>
          <w:tcPr>
            <w:tcW w:w="1229" w:type="pct"/>
            <w:tcBorders>
              <w:bottom w:val="nil"/>
            </w:tcBorders>
            <w:shd w:val="clear" w:color="auto" w:fill="auto"/>
            <w:vAlign w:val="center"/>
          </w:tcPr>
          <w:p w14:paraId="53EC598D" w14:textId="77777777" w:rsidR="00347484" w:rsidRPr="00AE3438" w:rsidRDefault="00347484" w:rsidP="00BD02D3">
            <w:pPr>
              <w:pStyle w:val="TableText0"/>
              <w:keepNext w:val="0"/>
            </w:pPr>
            <w:r w:rsidRPr="00AE3438">
              <w:t>New England Journal of Medicine 2021; 384(10):915-923.</w:t>
            </w:r>
          </w:p>
        </w:tc>
      </w:tr>
      <w:tr w:rsidR="00347484" w:rsidRPr="00AE3438" w14:paraId="1040CB3E" w14:textId="77777777" w:rsidTr="00BD02D3">
        <w:trPr>
          <w:cantSplit/>
        </w:trPr>
        <w:tc>
          <w:tcPr>
            <w:tcW w:w="744" w:type="pct"/>
            <w:vMerge/>
            <w:tcBorders>
              <w:bottom w:val="nil"/>
            </w:tcBorders>
            <w:shd w:val="clear" w:color="auto" w:fill="B8CCE4" w:themeFill="accent1" w:themeFillTint="66"/>
            <w:vAlign w:val="center"/>
          </w:tcPr>
          <w:p w14:paraId="4D154EC8" w14:textId="77777777" w:rsidR="00347484" w:rsidRPr="00AE3438" w:rsidRDefault="00347484" w:rsidP="00BD02D3">
            <w:pPr>
              <w:pStyle w:val="TableText0"/>
            </w:pPr>
          </w:p>
        </w:tc>
        <w:tc>
          <w:tcPr>
            <w:tcW w:w="3027" w:type="pct"/>
            <w:tcBorders>
              <w:top w:val="nil"/>
              <w:bottom w:val="nil"/>
            </w:tcBorders>
            <w:vAlign w:val="center"/>
          </w:tcPr>
          <w:p w14:paraId="457C3A8E" w14:textId="77777777" w:rsidR="00347484" w:rsidRPr="00AE3438" w:rsidRDefault="00347484" w:rsidP="00BD02D3">
            <w:pPr>
              <w:pStyle w:val="TableText0"/>
              <w:keepNext w:val="0"/>
            </w:pPr>
            <w:r w:rsidRPr="00AE3438">
              <w:t xml:space="preserve">Darras BT, Masson R, Mazurkiewicz-Bełdzińska M, et al. Risdiplam-Treated Infants with Type 1 Spinal Muscular Atrophy versus Historical Controls. </w:t>
            </w:r>
          </w:p>
        </w:tc>
        <w:tc>
          <w:tcPr>
            <w:tcW w:w="1229" w:type="pct"/>
            <w:tcBorders>
              <w:top w:val="nil"/>
              <w:bottom w:val="nil"/>
            </w:tcBorders>
            <w:vAlign w:val="center"/>
          </w:tcPr>
          <w:p w14:paraId="49DF22A4" w14:textId="77777777" w:rsidR="00347484" w:rsidRPr="00AE3438" w:rsidRDefault="00347484" w:rsidP="00BD02D3">
            <w:pPr>
              <w:pStyle w:val="TableText0"/>
              <w:keepNext w:val="0"/>
            </w:pPr>
            <w:r w:rsidRPr="00AE3438">
              <w:t>New England Journal of Medicine 2021; 385(5):427-435.</w:t>
            </w:r>
          </w:p>
        </w:tc>
      </w:tr>
      <w:tr w:rsidR="00347484" w:rsidRPr="00AE3438" w14:paraId="1DE07B4B" w14:textId="77777777" w:rsidTr="00BD02D3">
        <w:trPr>
          <w:cantSplit/>
        </w:trPr>
        <w:tc>
          <w:tcPr>
            <w:tcW w:w="744" w:type="pct"/>
            <w:tcBorders>
              <w:bottom w:val="nil"/>
            </w:tcBorders>
            <w:vAlign w:val="center"/>
          </w:tcPr>
          <w:p w14:paraId="20C1BEF3" w14:textId="77777777" w:rsidR="00347484" w:rsidRPr="00AE3438" w:rsidRDefault="00347484" w:rsidP="00BD02D3">
            <w:pPr>
              <w:pStyle w:val="TableText0"/>
            </w:pPr>
            <w:r w:rsidRPr="00AE3438">
              <w:t>SUNFISH</w:t>
            </w:r>
          </w:p>
          <w:p w14:paraId="43C7374F" w14:textId="77777777" w:rsidR="00347484" w:rsidRPr="00AE3438" w:rsidRDefault="00347484" w:rsidP="00BD02D3">
            <w:pPr>
              <w:pStyle w:val="TableText0"/>
              <w:keepNext w:val="0"/>
            </w:pPr>
            <w:r w:rsidRPr="00AE3438">
              <w:t>NCT02908685</w:t>
            </w:r>
          </w:p>
        </w:tc>
        <w:tc>
          <w:tcPr>
            <w:tcW w:w="3027" w:type="pct"/>
            <w:tcBorders>
              <w:bottom w:val="nil"/>
            </w:tcBorders>
            <w:vAlign w:val="center"/>
          </w:tcPr>
          <w:p w14:paraId="4CA1B308" w14:textId="77777777" w:rsidR="00347484" w:rsidRPr="00AE3438" w:rsidRDefault="00347484" w:rsidP="00BD02D3">
            <w:pPr>
              <w:pStyle w:val="TableText0"/>
              <w:keepNext w:val="0"/>
            </w:pPr>
            <w:r w:rsidRPr="00AE3438">
              <w:t>Mercuri E, et al. Safety and efficacy of once-daily risdiplam in type 2 and non-ambulant type 3 spinal muscular atrophy (SUNFISH part 2): a phase 3, double-blind, randomised, placebo-controlled trial.</w:t>
            </w:r>
          </w:p>
        </w:tc>
        <w:tc>
          <w:tcPr>
            <w:tcW w:w="1229" w:type="pct"/>
            <w:tcBorders>
              <w:bottom w:val="nil"/>
            </w:tcBorders>
            <w:vAlign w:val="center"/>
          </w:tcPr>
          <w:p w14:paraId="725E11DF" w14:textId="77777777" w:rsidR="00347484" w:rsidRPr="00AE3438" w:rsidRDefault="00347484" w:rsidP="00BD02D3">
            <w:pPr>
              <w:pStyle w:val="TableText0"/>
              <w:keepNext w:val="0"/>
            </w:pPr>
            <w:r w:rsidRPr="00AE3438">
              <w:t>The Lancet. Neurology 2022; 21(1):42</w:t>
            </w:r>
            <w:r w:rsidRPr="00AE3438">
              <w:rPr>
                <w:rFonts w:ascii="Cambria Math" w:hAnsi="Cambria Math" w:cs="Cambria Math"/>
              </w:rPr>
              <w:t>‐</w:t>
            </w:r>
            <w:r w:rsidRPr="00AE3438">
              <w:t>52.</w:t>
            </w:r>
          </w:p>
        </w:tc>
      </w:tr>
      <w:tr w:rsidR="00347484" w:rsidRPr="00AE3438" w14:paraId="796CE121" w14:textId="77777777" w:rsidTr="00BD02D3">
        <w:trPr>
          <w:cantSplit/>
        </w:trPr>
        <w:tc>
          <w:tcPr>
            <w:tcW w:w="5000" w:type="pct"/>
            <w:gridSpan w:val="3"/>
            <w:tcBorders>
              <w:bottom w:val="nil"/>
            </w:tcBorders>
            <w:vAlign w:val="center"/>
          </w:tcPr>
          <w:p w14:paraId="47E6B9A6" w14:textId="77777777" w:rsidR="00347484" w:rsidRPr="00AE3438" w:rsidRDefault="00347484" w:rsidP="00BD02D3">
            <w:pPr>
              <w:pStyle w:val="TableText0"/>
              <w:keepNext w:val="0"/>
              <w:rPr>
                <w:b/>
              </w:rPr>
            </w:pPr>
            <w:r w:rsidRPr="00AE3438">
              <w:rPr>
                <w:b/>
              </w:rPr>
              <w:t>Natural history</w:t>
            </w:r>
          </w:p>
        </w:tc>
      </w:tr>
      <w:tr w:rsidR="00347484" w:rsidRPr="00AE3438" w14:paraId="1C6486CC" w14:textId="77777777" w:rsidTr="00BD02D3">
        <w:trPr>
          <w:cantSplit/>
          <w:trHeight w:val="129"/>
        </w:trPr>
        <w:tc>
          <w:tcPr>
            <w:tcW w:w="744" w:type="pct"/>
            <w:shd w:val="clear" w:color="auto" w:fill="auto"/>
            <w:vAlign w:val="center"/>
          </w:tcPr>
          <w:p w14:paraId="6105A84C" w14:textId="625F759D" w:rsidR="00347484" w:rsidRPr="00AE3438" w:rsidRDefault="00347484" w:rsidP="00BD02D3">
            <w:pPr>
              <w:pStyle w:val="TableText0"/>
              <w:keepNext w:val="0"/>
            </w:pPr>
            <w:r w:rsidRPr="00AE3438">
              <w:t>NeuroN</w:t>
            </w:r>
            <w:r w:rsidR="007A3DE9" w:rsidRPr="00AE3438">
              <w:t>ext</w:t>
            </w:r>
          </w:p>
        </w:tc>
        <w:tc>
          <w:tcPr>
            <w:tcW w:w="3027" w:type="pct"/>
            <w:shd w:val="clear" w:color="auto" w:fill="auto"/>
            <w:vAlign w:val="center"/>
          </w:tcPr>
          <w:p w14:paraId="31164872" w14:textId="77777777" w:rsidR="00347484" w:rsidRPr="00AE3438" w:rsidRDefault="00347484" w:rsidP="00BD02D3">
            <w:pPr>
              <w:pStyle w:val="TableText0"/>
              <w:keepNext w:val="0"/>
            </w:pPr>
            <w:r w:rsidRPr="00AE3438">
              <w:t>Kolb SJ, Coffey CS, Yankey JW, et al. Natural history of infantile-onset spinal muscular atrophy.</w:t>
            </w:r>
          </w:p>
        </w:tc>
        <w:tc>
          <w:tcPr>
            <w:tcW w:w="1229" w:type="pct"/>
            <w:shd w:val="clear" w:color="auto" w:fill="auto"/>
            <w:vAlign w:val="center"/>
          </w:tcPr>
          <w:p w14:paraId="3EE61947" w14:textId="77777777" w:rsidR="00347484" w:rsidRPr="00AE3438" w:rsidRDefault="00347484" w:rsidP="00BD02D3">
            <w:pPr>
              <w:pStyle w:val="TableText0"/>
              <w:keepNext w:val="0"/>
            </w:pPr>
            <w:r w:rsidRPr="00AE3438">
              <w:t>Annals of Neurology 2017; 82:883-891.</w:t>
            </w:r>
          </w:p>
        </w:tc>
      </w:tr>
      <w:tr w:rsidR="00347484" w:rsidRPr="00AE3438" w14:paraId="036A46A9" w14:textId="77777777" w:rsidTr="00BD02D3">
        <w:trPr>
          <w:cantSplit/>
          <w:trHeight w:val="129"/>
        </w:trPr>
        <w:tc>
          <w:tcPr>
            <w:tcW w:w="744" w:type="pct"/>
            <w:shd w:val="clear" w:color="auto" w:fill="auto"/>
            <w:vAlign w:val="center"/>
          </w:tcPr>
          <w:p w14:paraId="5793F6F5" w14:textId="77777777" w:rsidR="00347484" w:rsidRPr="00AE3438" w:rsidRDefault="00347484" w:rsidP="00BD02D3">
            <w:pPr>
              <w:pStyle w:val="TableText0"/>
              <w:keepNext w:val="0"/>
            </w:pPr>
            <w:r w:rsidRPr="00AE3438">
              <w:t>PNCR</w:t>
            </w:r>
          </w:p>
        </w:tc>
        <w:tc>
          <w:tcPr>
            <w:tcW w:w="3027" w:type="pct"/>
            <w:shd w:val="clear" w:color="auto" w:fill="auto"/>
          </w:tcPr>
          <w:p w14:paraId="6275ED58" w14:textId="77777777" w:rsidR="00347484" w:rsidRPr="00AE3438" w:rsidRDefault="00347484" w:rsidP="00BD02D3">
            <w:pPr>
              <w:pStyle w:val="TableText0"/>
              <w:keepNext w:val="0"/>
            </w:pPr>
            <w:r w:rsidRPr="00AE3438">
              <w:t>Finkel RS, McDermott MP, Kaufmann P, et al. Observational study of spinal muscular atrophy type I and implications for clinical trials.</w:t>
            </w:r>
          </w:p>
        </w:tc>
        <w:tc>
          <w:tcPr>
            <w:tcW w:w="1229" w:type="pct"/>
            <w:shd w:val="clear" w:color="auto" w:fill="auto"/>
          </w:tcPr>
          <w:p w14:paraId="611F28BA" w14:textId="77777777" w:rsidR="00347484" w:rsidRPr="00AE3438" w:rsidRDefault="00347484" w:rsidP="00BD02D3">
            <w:pPr>
              <w:pStyle w:val="TableText0"/>
              <w:keepNext w:val="0"/>
            </w:pPr>
            <w:r w:rsidRPr="00AE3438">
              <w:t>Neurology 2014; 83: 910-817.</w:t>
            </w:r>
          </w:p>
        </w:tc>
      </w:tr>
      <w:tr w:rsidR="00347484" w:rsidRPr="00AE3438" w14:paraId="33FFD867" w14:textId="77777777" w:rsidTr="00BD02D3">
        <w:trPr>
          <w:cantSplit/>
        </w:trPr>
        <w:tc>
          <w:tcPr>
            <w:tcW w:w="744" w:type="pct"/>
            <w:tcBorders>
              <w:bottom w:val="nil"/>
            </w:tcBorders>
            <w:shd w:val="clear" w:color="auto" w:fill="auto"/>
            <w:vAlign w:val="center"/>
          </w:tcPr>
          <w:p w14:paraId="1F2561C4" w14:textId="77777777" w:rsidR="00347484" w:rsidRPr="00AE3438" w:rsidRDefault="00347484" w:rsidP="00BD02D3">
            <w:pPr>
              <w:pStyle w:val="TableText0"/>
              <w:keepNext w:val="0"/>
            </w:pPr>
            <w:r w:rsidRPr="00AE3438">
              <w:t>Farrar 2013</w:t>
            </w:r>
          </w:p>
        </w:tc>
        <w:tc>
          <w:tcPr>
            <w:tcW w:w="3027" w:type="pct"/>
            <w:tcBorders>
              <w:top w:val="single" w:sz="4" w:space="0" w:color="auto"/>
              <w:bottom w:val="nil"/>
            </w:tcBorders>
            <w:shd w:val="clear" w:color="auto" w:fill="auto"/>
          </w:tcPr>
          <w:p w14:paraId="782461A9" w14:textId="77777777" w:rsidR="00347484" w:rsidRPr="00AE3438" w:rsidRDefault="00347484" w:rsidP="00BD02D3">
            <w:pPr>
              <w:pStyle w:val="TableText0"/>
              <w:keepNext w:val="0"/>
            </w:pPr>
            <w:r w:rsidRPr="00AE3438">
              <w:t>Farrar MA, Vuvic S, Johnston HM, et al. Pathophysiological insights derived by natural history and motor function of spinal muscular atrophy.</w:t>
            </w:r>
          </w:p>
        </w:tc>
        <w:tc>
          <w:tcPr>
            <w:tcW w:w="1229" w:type="pct"/>
            <w:tcBorders>
              <w:top w:val="single" w:sz="4" w:space="0" w:color="auto"/>
              <w:bottom w:val="nil"/>
            </w:tcBorders>
            <w:shd w:val="clear" w:color="auto" w:fill="auto"/>
          </w:tcPr>
          <w:p w14:paraId="26C378D9" w14:textId="77777777" w:rsidR="00347484" w:rsidRPr="00AE3438" w:rsidRDefault="00347484" w:rsidP="00BD02D3">
            <w:pPr>
              <w:pStyle w:val="TableText0"/>
              <w:keepNext w:val="0"/>
            </w:pPr>
            <w:r w:rsidRPr="00AE3438">
              <w:t>The Journal of Paediatrics 2013; 162:155-159.</w:t>
            </w:r>
          </w:p>
        </w:tc>
      </w:tr>
      <w:tr w:rsidR="00347484" w:rsidRPr="00AE3438" w14:paraId="663AE3EB" w14:textId="77777777" w:rsidTr="00BD02D3">
        <w:trPr>
          <w:cantSplit/>
        </w:trPr>
        <w:tc>
          <w:tcPr>
            <w:tcW w:w="744" w:type="pct"/>
            <w:tcBorders>
              <w:bottom w:val="single" w:sz="4" w:space="0" w:color="auto"/>
            </w:tcBorders>
            <w:shd w:val="clear" w:color="auto" w:fill="auto"/>
            <w:vAlign w:val="center"/>
          </w:tcPr>
          <w:p w14:paraId="791DAA67" w14:textId="77777777" w:rsidR="00347484" w:rsidRPr="00AE3438" w:rsidRDefault="00347484" w:rsidP="00BD02D3">
            <w:pPr>
              <w:pStyle w:val="TableText0"/>
              <w:keepNext w:val="0"/>
              <w:rPr>
                <w:iCs/>
              </w:rPr>
            </w:pPr>
            <w:r w:rsidRPr="00AE3438">
              <w:rPr>
                <w:iCs/>
              </w:rPr>
              <w:t>Gregoretti 2013</w:t>
            </w:r>
          </w:p>
        </w:tc>
        <w:tc>
          <w:tcPr>
            <w:tcW w:w="3027" w:type="pct"/>
            <w:tcBorders>
              <w:top w:val="single" w:sz="4" w:space="0" w:color="auto"/>
              <w:bottom w:val="single" w:sz="4" w:space="0" w:color="auto"/>
            </w:tcBorders>
            <w:shd w:val="clear" w:color="auto" w:fill="auto"/>
          </w:tcPr>
          <w:p w14:paraId="021F1A19" w14:textId="77777777" w:rsidR="00347484" w:rsidRPr="00AE3438" w:rsidRDefault="00347484" w:rsidP="00BD02D3">
            <w:pPr>
              <w:pStyle w:val="TableText0"/>
              <w:keepNext w:val="0"/>
              <w:rPr>
                <w:iCs/>
              </w:rPr>
            </w:pPr>
            <w:r w:rsidRPr="00AE3438">
              <w:rPr>
                <w:iCs/>
              </w:rPr>
              <w:t xml:space="preserve">Gregoretti C, Ottonello G, Beatrice M et al. Survival of patients with spinal muscular atrophy type I. </w:t>
            </w:r>
          </w:p>
        </w:tc>
        <w:tc>
          <w:tcPr>
            <w:tcW w:w="1229" w:type="pct"/>
            <w:tcBorders>
              <w:top w:val="single" w:sz="4" w:space="0" w:color="auto"/>
              <w:bottom w:val="single" w:sz="4" w:space="0" w:color="auto"/>
            </w:tcBorders>
            <w:shd w:val="clear" w:color="auto" w:fill="auto"/>
          </w:tcPr>
          <w:p w14:paraId="7E38DB1D" w14:textId="77777777" w:rsidR="00347484" w:rsidRPr="00AE3438" w:rsidRDefault="00347484" w:rsidP="00BD02D3">
            <w:pPr>
              <w:pStyle w:val="TableText0"/>
              <w:keepNext w:val="0"/>
              <w:rPr>
                <w:iCs/>
              </w:rPr>
            </w:pPr>
            <w:r w:rsidRPr="00AE3438">
              <w:rPr>
                <w:iCs/>
              </w:rPr>
              <w:t>Pediatrics 2013; 131(5):e1509-e1514.</w:t>
            </w:r>
          </w:p>
        </w:tc>
      </w:tr>
      <w:tr w:rsidR="00347484" w:rsidRPr="00AE3438" w14:paraId="7D93E15F" w14:textId="77777777" w:rsidTr="00BD02D3">
        <w:trPr>
          <w:cantSplit/>
        </w:trPr>
        <w:tc>
          <w:tcPr>
            <w:tcW w:w="744" w:type="pct"/>
            <w:tcBorders>
              <w:bottom w:val="single" w:sz="4" w:space="0" w:color="auto"/>
            </w:tcBorders>
            <w:vAlign w:val="center"/>
          </w:tcPr>
          <w:p w14:paraId="7C468D01" w14:textId="77777777" w:rsidR="00347484" w:rsidRPr="00AE3438" w:rsidRDefault="00347484" w:rsidP="00BD02D3">
            <w:pPr>
              <w:pStyle w:val="TableText0"/>
              <w:keepNext w:val="0"/>
            </w:pPr>
            <w:r w:rsidRPr="00AE3438">
              <w:t>Zerres 1997</w:t>
            </w:r>
          </w:p>
        </w:tc>
        <w:tc>
          <w:tcPr>
            <w:tcW w:w="3027" w:type="pct"/>
            <w:tcBorders>
              <w:top w:val="single" w:sz="4" w:space="0" w:color="auto"/>
              <w:bottom w:val="single" w:sz="4" w:space="0" w:color="auto"/>
            </w:tcBorders>
            <w:vAlign w:val="center"/>
          </w:tcPr>
          <w:p w14:paraId="399C4903" w14:textId="77777777" w:rsidR="00347484" w:rsidRPr="00AE3438" w:rsidRDefault="00347484" w:rsidP="00BD02D3">
            <w:pPr>
              <w:pStyle w:val="TableText0"/>
              <w:keepNext w:val="0"/>
            </w:pPr>
            <w:r w:rsidRPr="00AE3438">
              <w:t xml:space="preserve">Zerres K, Rudnik-Schöneborn S, Forrest E, et al. A collaborative study on the natural history of childhood and juvenile onset proximal spinal muscular atrophy (type II and III SMA): 569 patients. </w:t>
            </w:r>
          </w:p>
        </w:tc>
        <w:tc>
          <w:tcPr>
            <w:tcW w:w="1229" w:type="pct"/>
            <w:tcBorders>
              <w:top w:val="single" w:sz="4" w:space="0" w:color="auto"/>
              <w:bottom w:val="single" w:sz="4" w:space="0" w:color="auto"/>
            </w:tcBorders>
            <w:vAlign w:val="center"/>
          </w:tcPr>
          <w:p w14:paraId="3BA9D66D" w14:textId="77777777" w:rsidR="00347484" w:rsidRPr="00AE3438" w:rsidRDefault="00347484" w:rsidP="00BD02D3">
            <w:pPr>
              <w:pStyle w:val="TableText0"/>
              <w:keepNext w:val="0"/>
            </w:pPr>
            <w:r w:rsidRPr="00AE3438">
              <w:t>Journal of the Neurological Sciences 1997; 146(1):67-72.</w:t>
            </w:r>
          </w:p>
        </w:tc>
      </w:tr>
    </w:tbl>
    <w:p w14:paraId="20C856A8" w14:textId="084EF15C" w:rsidR="002D78FD" w:rsidRPr="00AE3438" w:rsidRDefault="002D78FD" w:rsidP="002D78FD">
      <w:pPr>
        <w:pStyle w:val="TableText0"/>
      </w:pPr>
      <w:r w:rsidRPr="00AE3438">
        <w:rPr>
          <w:iCs/>
          <w:vertAlign w:val="superscript"/>
        </w:rPr>
        <w:lastRenderedPageBreak/>
        <w:t>a</w:t>
      </w:r>
      <w:r w:rsidRPr="00AE3438">
        <w:rPr>
          <w:rFonts w:eastAsia="Times New Roman" w:cs="Arial"/>
          <w:bCs w:val="0"/>
          <w:i/>
          <w:iCs/>
          <w:snapToGrid w:val="0"/>
          <w:sz w:val="18"/>
          <w:szCs w:val="22"/>
        </w:rPr>
        <w:t xml:space="preserve"> potentially relevant study included in the review but excluded from the submission was the EMBRACE study (NCT02462759)</w:t>
      </w:r>
      <w:r w:rsidRPr="00AE3438">
        <w:rPr>
          <w:rFonts w:eastAsia="Times New Roman" w:cs="Arial"/>
          <w:bCs w:val="0"/>
          <w:i/>
          <w:iCs/>
          <w:snapToGrid w:val="0"/>
          <w:sz w:val="18"/>
          <w:szCs w:val="22"/>
        </w:rPr>
        <w:footnoteReference w:id="6"/>
      </w:r>
      <w:r w:rsidRPr="00AE3438">
        <w:rPr>
          <w:rFonts w:eastAsia="Times New Roman" w:cs="Arial"/>
          <w:bCs w:val="0"/>
          <w:i/>
          <w:iCs/>
          <w:snapToGrid w:val="0"/>
          <w:sz w:val="18"/>
          <w:szCs w:val="22"/>
        </w:rPr>
        <w:t>. The submission excluded EMBRACE due to ‘wrong population’, however the phase 2 randomised sham-controlled study enrolled young children (N=21) with 2 or 3 copies SMN2 and onset of symptoms consistent with SMA</w:t>
      </w:r>
    </w:p>
    <w:p w14:paraId="218D117E" w14:textId="77777777" w:rsidR="00347484" w:rsidRPr="00AE3438" w:rsidRDefault="00347484" w:rsidP="00347484">
      <w:pPr>
        <w:pStyle w:val="FooterTableFigure"/>
      </w:pPr>
      <w:r w:rsidRPr="00AE3438">
        <w:t>Source: Table 2.5, pp37-48 of the submission and Attachment 8 Near market comparator analysis.docx.</w:t>
      </w:r>
    </w:p>
    <w:p w14:paraId="3BE4CE03" w14:textId="06DC43A5" w:rsidR="00347484" w:rsidRPr="00AE3438" w:rsidRDefault="00347484" w:rsidP="00347484">
      <w:pPr>
        <w:pStyle w:val="FooterTableFigure"/>
      </w:pPr>
      <w:r w:rsidRPr="00AE3438">
        <w:t xml:space="preserve">NUSI=nusinersen; ONA=onasemnogene abeparvovec; RISD=risdiplam; SMA=spinal muscular atrophy; </w:t>
      </w:r>
      <w:r w:rsidRPr="00AE3438">
        <w:rPr>
          <w:i/>
        </w:rPr>
        <w:t>SMN1</w:t>
      </w:r>
      <w:r w:rsidRPr="00AE3438">
        <w:t xml:space="preserve">=survival motor neuron 1; </w:t>
      </w:r>
      <w:r w:rsidRPr="00AE3438">
        <w:rPr>
          <w:i/>
        </w:rPr>
        <w:t>SMN2</w:t>
      </w:r>
      <w:r w:rsidRPr="00AE3438">
        <w:t xml:space="preserve">=survival motor neuron 2; </w:t>
      </w:r>
    </w:p>
    <w:p w14:paraId="1A8AA31A" w14:textId="41306250" w:rsidR="00B80681" w:rsidRPr="00AE3438" w:rsidRDefault="00E042E8" w:rsidP="002E4F02">
      <w:pPr>
        <w:pStyle w:val="3-BodyText"/>
      </w:pPr>
      <w:r w:rsidRPr="00AE3438">
        <w:fldChar w:fldCharType="begin"/>
      </w:r>
      <w:r w:rsidRPr="00AE3438">
        <w:instrText xml:space="preserve"> REF _Ref113303303 \h </w:instrText>
      </w:r>
      <w:r w:rsidRPr="00AE3438">
        <w:fldChar w:fldCharType="separate"/>
      </w:r>
      <w:r w:rsidR="008E4E26" w:rsidRPr="00AE3438">
        <w:t xml:space="preserve">Table </w:t>
      </w:r>
      <w:r w:rsidR="008E4E26">
        <w:rPr>
          <w:noProof/>
        </w:rPr>
        <w:t>4</w:t>
      </w:r>
      <w:r w:rsidRPr="00AE3438">
        <w:fldChar w:fldCharType="end"/>
      </w:r>
      <w:r w:rsidRPr="00AE3438">
        <w:t xml:space="preserve"> </w:t>
      </w:r>
      <w:r w:rsidR="00347484" w:rsidRPr="00AE3438">
        <w:t>summarises the key features of the included studies.</w:t>
      </w:r>
    </w:p>
    <w:p w14:paraId="5D8B2BC4" w14:textId="1134C3B6" w:rsidR="00347484" w:rsidRPr="00AE3438" w:rsidRDefault="00E042E8" w:rsidP="00E042E8">
      <w:pPr>
        <w:pStyle w:val="Caption"/>
        <w:jc w:val="left"/>
        <w:rPr>
          <w:rStyle w:val="CommentReference"/>
          <w:b/>
          <w:szCs w:val="24"/>
        </w:rPr>
      </w:pPr>
      <w:bookmarkStart w:id="29" w:name="_Ref113303303"/>
      <w:r w:rsidRPr="00AE3438">
        <w:t xml:space="preserve">Table </w:t>
      </w:r>
      <w:r w:rsidR="008E4E26">
        <w:fldChar w:fldCharType="begin"/>
      </w:r>
      <w:r w:rsidR="008E4E26">
        <w:instrText xml:space="preserve"> SEQ Table \* ARAB</w:instrText>
      </w:r>
      <w:r w:rsidR="008E4E26">
        <w:instrText xml:space="preserve">IC </w:instrText>
      </w:r>
      <w:r w:rsidR="008E4E26">
        <w:fldChar w:fldCharType="separate"/>
      </w:r>
      <w:r w:rsidR="008E4E26">
        <w:rPr>
          <w:noProof/>
        </w:rPr>
        <w:t>4</w:t>
      </w:r>
      <w:r w:rsidR="008E4E26">
        <w:rPr>
          <w:noProof/>
        </w:rPr>
        <w:fldChar w:fldCharType="end"/>
      </w:r>
      <w:bookmarkEnd w:id="29"/>
      <w:r w:rsidR="00347484" w:rsidRPr="00AE3438">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95"/>
        <w:gridCol w:w="400"/>
        <w:gridCol w:w="1984"/>
        <w:gridCol w:w="534"/>
        <w:gridCol w:w="1060"/>
        <w:gridCol w:w="2124"/>
        <w:gridCol w:w="1457"/>
        <w:gridCol w:w="263"/>
      </w:tblGrid>
      <w:tr w:rsidR="00347484" w:rsidRPr="00AE3438" w14:paraId="1C67FE62" w14:textId="77777777" w:rsidTr="00D22BF5">
        <w:trPr>
          <w:tblHeader/>
        </w:trPr>
        <w:tc>
          <w:tcPr>
            <w:tcW w:w="662" w:type="pct"/>
            <w:shd w:val="clear" w:color="auto" w:fill="auto"/>
            <w:vAlign w:val="center"/>
          </w:tcPr>
          <w:p w14:paraId="3F1AF258" w14:textId="77777777" w:rsidR="00347484" w:rsidRPr="00AE3438" w:rsidRDefault="00347484" w:rsidP="00BD02D3">
            <w:pPr>
              <w:pStyle w:val="In-tableHeading"/>
              <w:keepNext w:val="0"/>
              <w:rPr>
                <w:szCs w:val="20"/>
                <w:lang w:val="en-AU"/>
              </w:rPr>
            </w:pPr>
            <w:r w:rsidRPr="00AE3438">
              <w:rPr>
                <w:szCs w:val="20"/>
                <w:lang w:val="en-AU"/>
              </w:rPr>
              <w:t>Trial</w:t>
            </w:r>
          </w:p>
        </w:tc>
        <w:tc>
          <w:tcPr>
            <w:tcW w:w="222" w:type="pct"/>
            <w:shd w:val="clear" w:color="auto" w:fill="auto"/>
            <w:vAlign w:val="center"/>
          </w:tcPr>
          <w:p w14:paraId="07CFE247" w14:textId="77777777" w:rsidR="00347484" w:rsidRPr="00AE3438" w:rsidRDefault="00347484" w:rsidP="00BD02D3">
            <w:pPr>
              <w:pStyle w:val="In-tableHeading"/>
              <w:keepNext w:val="0"/>
              <w:jc w:val="center"/>
              <w:rPr>
                <w:szCs w:val="20"/>
                <w:lang w:val="en-AU"/>
              </w:rPr>
            </w:pPr>
            <w:r w:rsidRPr="00AE3438">
              <w:rPr>
                <w:szCs w:val="20"/>
                <w:lang w:val="en-AU"/>
              </w:rPr>
              <w:t>N</w:t>
            </w:r>
          </w:p>
        </w:tc>
        <w:tc>
          <w:tcPr>
            <w:tcW w:w="1100" w:type="pct"/>
            <w:shd w:val="clear" w:color="auto" w:fill="auto"/>
            <w:vAlign w:val="center"/>
          </w:tcPr>
          <w:p w14:paraId="4D287C22" w14:textId="77777777" w:rsidR="00347484" w:rsidRPr="00AE3438" w:rsidRDefault="00347484" w:rsidP="00BD02D3">
            <w:pPr>
              <w:pStyle w:val="In-tableHeading"/>
              <w:keepNext w:val="0"/>
              <w:jc w:val="center"/>
              <w:rPr>
                <w:szCs w:val="20"/>
                <w:lang w:val="en-AU"/>
              </w:rPr>
            </w:pPr>
            <w:r w:rsidRPr="00AE3438">
              <w:rPr>
                <w:szCs w:val="20"/>
                <w:lang w:val="en-AU"/>
              </w:rPr>
              <w:t>Design/ duration</w:t>
            </w:r>
          </w:p>
        </w:tc>
        <w:tc>
          <w:tcPr>
            <w:tcW w:w="296" w:type="pct"/>
            <w:shd w:val="clear" w:color="auto" w:fill="auto"/>
            <w:vAlign w:val="center"/>
          </w:tcPr>
          <w:p w14:paraId="252F02FD" w14:textId="77777777" w:rsidR="00347484" w:rsidRPr="00AE3438" w:rsidRDefault="00347484" w:rsidP="00BD02D3">
            <w:pPr>
              <w:pStyle w:val="In-tableHeading"/>
              <w:keepNext w:val="0"/>
              <w:jc w:val="center"/>
              <w:rPr>
                <w:szCs w:val="20"/>
                <w:lang w:val="en-AU"/>
              </w:rPr>
            </w:pPr>
            <w:r w:rsidRPr="00AE3438">
              <w:rPr>
                <w:szCs w:val="20"/>
                <w:lang w:val="en-AU"/>
              </w:rPr>
              <w:t>Bias</w:t>
            </w:r>
          </w:p>
        </w:tc>
        <w:tc>
          <w:tcPr>
            <w:tcW w:w="588" w:type="pct"/>
            <w:vAlign w:val="center"/>
          </w:tcPr>
          <w:p w14:paraId="17926733" w14:textId="77777777" w:rsidR="00347484" w:rsidRPr="00AE3438" w:rsidRDefault="00347484" w:rsidP="00BD02D3">
            <w:pPr>
              <w:pStyle w:val="In-tableHeading"/>
              <w:keepNext w:val="0"/>
              <w:jc w:val="center"/>
              <w:rPr>
                <w:szCs w:val="20"/>
                <w:lang w:val="en-AU"/>
              </w:rPr>
            </w:pPr>
            <w:r w:rsidRPr="00AE3438">
              <w:rPr>
                <w:szCs w:val="20"/>
                <w:lang w:val="en-AU"/>
              </w:rPr>
              <w:t>Treatment arms</w:t>
            </w:r>
          </w:p>
        </w:tc>
        <w:tc>
          <w:tcPr>
            <w:tcW w:w="1178" w:type="pct"/>
            <w:shd w:val="clear" w:color="auto" w:fill="auto"/>
            <w:vAlign w:val="center"/>
          </w:tcPr>
          <w:p w14:paraId="668DC759" w14:textId="77777777" w:rsidR="00347484" w:rsidRPr="00AE3438" w:rsidRDefault="00347484" w:rsidP="00BD02D3">
            <w:pPr>
              <w:pStyle w:val="In-tableHeading"/>
              <w:keepNext w:val="0"/>
              <w:jc w:val="center"/>
              <w:rPr>
                <w:szCs w:val="20"/>
                <w:lang w:val="en-AU"/>
              </w:rPr>
            </w:pPr>
            <w:r w:rsidRPr="00AE3438">
              <w:rPr>
                <w:szCs w:val="20"/>
                <w:lang w:val="en-AU"/>
              </w:rPr>
              <w:t>Population</w:t>
            </w:r>
          </w:p>
        </w:tc>
        <w:tc>
          <w:tcPr>
            <w:tcW w:w="808" w:type="pct"/>
            <w:shd w:val="clear" w:color="auto" w:fill="auto"/>
            <w:vAlign w:val="center"/>
          </w:tcPr>
          <w:p w14:paraId="68258788" w14:textId="77777777" w:rsidR="00347484" w:rsidRPr="00AE3438" w:rsidRDefault="00347484" w:rsidP="00BD02D3">
            <w:pPr>
              <w:pStyle w:val="In-tableHeading"/>
              <w:keepNext w:val="0"/>
              <w:jc w:val="center"/>
              <w:rPr>
                <w:szCs w:val="20"/>
                <w:lang w:val="en-AU"/>
              </w:rPr>
            </w:pPr>
            <w:r w:rsidRPr="00AE3438">
              <w:rPr>
                <w:szCs w:val="20"/>
                <w:lang w:val="en-AU"/>
              </w:rPr>
              <w:t>Outcome(s)</w:t>
            </w:r>
          </w:p>
        </w:tc>
        <w:tc>
          <w:tcPr>
            <w:tcW w:w="147" w:type="pct"/>
            <w:shd w:val="clear" w:color="auto" w:fill="auto"/>
            <w:vAlign w:val="center"/>
          </w:tcPr>
          <w:p w14:paraId="02CD6352" w14:textId="77777777" w:rsidR="00347484" w:rsidRPr="00AE3438" w:rsidRDefault="00347484" w:rsidP="00BD02D3">
            <w:pPr>
              <w:pStyle w:val="In-tableHeading"/>
              <w:keepNext w:val="0"/>
              <w:jc w:val="center"/>
              <w:rPr>
                <w:szCs w:val="20"/>
                <w:lang w:val="en-AU"/>
              </w:rPr>
            </w:pPr>
            <w:r w:rsidRPr="00AE3438">
              <w:rPr>
                <w:szCs w:val="20"/>
                <w:lang w:val="en-AU"/>
              </w:rPr>
              <w:t>S3</w:t>
            </w:r>
          </w:p>
        </w:tc>
      </w:tr>
      <w:tr w:rsidR="00347484" w:rsidRPr="00AE3438" w14:paraId="1CA77882" w14:textId="77777777" w:rsidTr="00D22BF5">
        <w:tc>
          <w:tcPr>
            <w:tcW w:w="5000" w:type="pct"/>
            <w:gridSpan w:val="8"/>
            <w:shd w:val="clear" w:color="auto" w:fill="EEECE1" w:themeFill="background2"/>
          </w:tcPr>
          <w:p w14:paraId="5C96B4EB" w14:textId="77777777" w:rsidR="00347484" w:rsidRPr="00AE3438" w:rsidRDefault="00347484" w:rsidP="00BD02D3">
            <w:pPr>
              <w:pStyle w:val="In-tableHeading"/>
              <w:keepNext w:val="0"/>
              <w:rPr>
                <w:szCs w:val="20"/>
                <w:lang w:val="en-AU"/>
              </w:rPr>
            </w:pPr>
            <w:r w:rsidRPr="00AE3438">
              <w:rPr>
                <w:color w:val="00B050"/>
                <w:szCs w:val="20"/>
                <w:lang w:val="en-AU"/>
              </w:rPr>
              <w:t xml:space="preserve">Pre-symptomatic </w:t>
            </w:r>
            <w:r w:rsidRPr="00AE3438">
              <w:rPr>
                <w:szCs w:val="20"/>
                <w:lang w:val="en-AU"/>
              </w:rPr>
              <w:t>treatment of SMA</w:t>
            </w:r>
          </w:p>
        </w:tc>
      </w:tr>
      <w:tr w:rsidR="00347484" w:rsidRPr="00AE3438" w14:paraId="6C3CA576" w14:textId="77777777" w:rsidTr="00D22BF5">
        <w:tc>
          <w:tcPr>
            <w:tcW w:w="5000" w:type="pct"/>
            <w:gridSpan w:val="8"/>
          </w:tcPr>
          <w:p w14:paraId="5FC6E499" w14:textId="77777777" w:rsidR="00347484" w:rsidRPr="00AE3438" w:rsidRDefault="00347484" w:rsidP="00BD02D3">
            <w:pPr>
              <w:pStyle w:val="In-tableHeading"/>
              <w:keepNext w:val="0"/>
              <w:rPr>
                <w:szCs w:val="20"/>
                <w:lang w:val="en-AU"/>
              </w:rPr>
            </w:pPr>
            <w:r w:rsidRPr="00AE3438">
              <w:rPr>
                <w:szCs w:val="20"/>
                <w:lang w:val="en-AU"/>
              </w:rPr>
              <w:t>ONA</w:t>
            </w:r>
          </w:p>
        </w:tc>
      </w:tr>
      <w:tr w:rsidR="00347484" w:rsidRPr="00AE3438" w14:paraId="1516D1E2" w14:textId="77777777" w:rsidTr="00D22BF5">
        <w:tc>
          <w:tcPr>
            <w:tcW w:w="662" w:type="pct"/>
            <w:shd w:val="clear" w:color="auto" w:fill="EAF1DD" w:themeFill="accent3" w:themeFillTint="33"/>
            <w:vAlign w:val="center"/>
          </w:tcPr>
          <w:p w14:paraId="6DA47E93" w14:textId="77777777" w:rsidR="00347484" w:rsidRPr="00AE3438" w:rsidRDefault="00347484" w:rsidP="00BD02D3">
            <w:pPr>
              <w:pStyle w:val="TableText0"/>
              <w:keepNext w:val="0"/>
              <w:rPr>
                <w:szCs w:val="20"/>
              </w:rPr>
            </w:pPr>
            <w:r w:rsidRPr="00AE3438">
              <w:rPr>
                <w:szCs w:val="20"/>
              </w:rPr>
              <w:t>SPR1NT</w:t>
            </w:r>
          </w:p>
        </w:tc>
        <w:tc>
          <w:tcPr>
            <w:tcW w:w="222" w:type="pct"/>
            <w:shd w:val="clear" w:color="auto" w:fill="EAF1DD" w:themeFill="accent3" w:themeFillTint="33"/>
            <w:vAlign w:val="center"/>
          </w:tcPr>
          <w:p w14:paraId="5A98BE05" w14:textId="77777777" w:rsidR="00347484" w:rsidRPr="00AE3438" w:rsidRDefault="00347484" w:rsidP="00BD02D3">
            <w:pPr>
              <w:pStyle w:val="TableText0"/>
              <w:keepNext w:val="0"/>
              <w:jc w:val="center"/>
              <w:rPr>
                <w:szCs w:val="20"/>
              </w:rPr>
            </w:pPr>
            <w:r w:rsidRPr="00AE3438">
              <w:rPr>
                <w:szCs w:val="20"/>
              </w:rPr>
              <w:t>15</w:t>
            </w:r>
            <w:r w:rsidRPr="00AE3438">
              <w:rPr>
                <w:szCs w:val="20"/>
                <w:vertAlign w:val="superscript"/>
              </w:rPr>
              <w:t>a</w:t>
            </w:r>
          </w:p>
        </w:tc>
        <w:tc>
          <w:tcPr>
            <w:tcW w:w="1100" w:type="pct"/>
            <w:shd w:val="clear" w:color="auto" w:fill="EAF1DD" w:themeFill="accent3" w:themeFillTint="33"/>
            <w:vAlign w:val="center"/>
          </w:tcPr>
          <w:p w14:paraId="30BE9FF5" w14:textId="77777777" w:rsidR="00347484" w:rsidRPr="00AE3438" w:rsidRDefault="00347484" w:rsidP="00BD02D3">
            <w:pPr>
              <w:pStyle w:val="TableText0"/>
              <w:keepNext w:val="0"/>
              <w:jc w:val="center"/>
              <w:rPr>
                <w:szCs w:val="20"/>
              </w:rPr>
            </w:pPr>
            <w:r w:rsidRPr="00AE3438">
              <w:rPr>
                <w:szCs w:val="20"/>
              </w:rPr>
              <w:t>MC, NC, OL up to 24 mths of age</w:t>
            </w:r>
          </w:p>
        </w:tc>
        <w:tc>
          <w:tcPr>
            <w:tcW w:w="296" w:type="pct"/>
            <w:shd w:val="clear" w:color="auto" w:fill="EAF1DD" w:themeFill="accent3" w:themeFillTint="33"/>
            <w:vAlign w:val="center"/>
          </w:tcPr>
          <w:p w14:paraId="1C0B4130"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EAF1DD" w:themeFill="accent3" w:themeFillTint="33"/>
            <w:vAlign w:val="center"/>
          </w:tcPr>
          <w:p w14:paraId="76D09757" w14:textId="77777777" w:rsidR="00347484" w:rsidRPr="00AE3438" w:rsidRDefault="00347484" w:rsidP="00BD02D3">
            <w:pPr>
              <w:pStyle w:val="TableText0"/>
              <w:keepNext w:val="0"/>
              <w:jc w:val="center"/>
              <w:rPr>
                <w:szCs w:val="20"/>
              </w:rPr>
            </w:pPr>
            <w:r w:rsidRPr="00AE3438">
              <w:rPr>
                <w:szCs w:val="20"/>
              </w:rPr>
              <w:t>ONA IV 1.1 x 10</w:t>
            </w:r>
            <w:r w:rsidRPr="00AE3438">
              <w:rPr>
                <w:szCs w:val="20"/>
                <w:vertAlign w:val="superscript"/>
              </w:rPr>
              <w:t>14</w:t>
            </w:r>
            <w:r w:rsidRPr="00AE3438">
              <w:rPr>
                <w:szCs w:val="20"/>
              </w:rPr>
              <w:t xml:space="preserve"> vg/kg</w:t>
            </w:r>
          </w:p>
        </w:tc>
        <w:tc>
          <w:tcPr>
            <w:tcW w:w="1178" w:type="pct"/>
            <w:shd w:val="clear" w:color="auto" w:fill="EAF1DD" w:themeFill="accent3" w:themeFillTint="33"/>
            <w:vAlign w:val="center"/>
          </w:tcPr>
          <w:p w14:paraId="3B4ADAB1" w14:textId="77777777" w:rsidR="00347484" w:rsidRPr="00AE3438" w:rsidRDefault="00347484" w:rsidP="00BD02D3">
            <w:pPr>
              <w:pStyle w:val="TableText0"/>
              <w:keepNext w:val="0"/>
              <w:jc w:val="center"/>
              <w:rPr>
                <w:szCs w:val="20"/>
              </w:rPr>
            </w:pPr>
            <w:r w:rsidRPr="00AE3438">
              <w:rPr>
                <w:szCs w:val="20"/>
              </w:rPr>
              <w:t xml:space="preserve">3 copies of </w:t>
            </w:r>
            <w:r w:rsidRPr="00AE3438">
              <w:rPr>
                <w:i/>
                <w:szCs w:val="20"/>
              </w:rPr>
              <w:t>SMN2</w:t>
            </w:r>
            <w:r w:rsidRPr="00AE3438">
              <w:rPr>
                <w:szCs w:val="20"/>
              </w:rPr>
              <w:t>, age ≤6 wks</w:t>
            </w:r>
          </w:p>
        </w:tc>
        <w:tc>
          <w:tcPr>
            <w:tcW w:w="808" w:type="pct"/>
            <w:shd w:val="clear" w:color="auto" w:fill="EAF1DD" w:themeFill="accent3" w:themeFillTint="33"/>
            <w:vAlign w:val="center"/>
          </w:tcPr>
          <w:p w14:paraId="41B49C55" w14:textId="77777777" w:rsidR="00347484" w:rsidRPr="00AE3438" w:rsidRDefault="00347484" w:rsidP="00BD02D3">
            <w:pPr>
              <w:pStyle w:val="TableText0"/>
              <w:keepNext w:val="0"/>
              <w:rPr>
                <w:szCs w:val="20"/>
              </w:rPr>
            </w:pPr>
            <w:r w:rsidRPr="00AE3438">
              <w:rPr>
                <w:szCs w:val="20"/>
              </w:rPr>
              <w:t>1°: motor milestone - standing (24 mths)</w:t>
            </w:r>
          </w:p>
          <w:p w14:paraId="48DE2F29" w14:textId="77777777" w:rsidR="00347484" w:rsidRPr="00AE3438" w:rsidRDefault="00347484" w:rsidP="00BD02D3">
            <w:pPr>
              <w:pStyle w:val="TableText0"/>
              <w:keepNext w:val="0"/>
              <w:rPr>
                <w:szCs w:val="20"/>
              </w:rPr>
            </w:pPr>
            <w:r w:rsidRPr="00AE3438">
              <w:rPr>
                <w:szCs w:val="20"/>
              </w:rPr>
              <w:t>2°: motor milestones, EFS</w:t>
            </w:r>
          </w:p>
        </w:tc>
        <w:tc>
          <w:tcPr>
            <w:tcW w:w="147" w:type="pct"/>
            <w:shd w:val="clear" w:color="auto" w:fill="EAF1DD" w:themeFill="accent3" w:themeFillTint="33"/>
            <w:vAlign w:val="center"/>
          </w:tcPr>
          <w:p w14:paraId="0EC42046" w14:textId="77777777" w:rsidR="00347484" w:rsidRPr="00AE3438" w:rsidRDefault="00347484" w:rsidP="00BD02D3">
            <w:pPr>
              <w:pStyle w:val="TableText0"/>
              <w:keepNext w:val="0"/>
              <w:jc w:val="center"/>
              <w:rPr>
                <w:szCs w:val="20"/>
              </w:rPr>
            </w:pPr>
            <w:r w:rsidRPr="00AE3438">
              <w:rPr>
                <w:szCs w:val="20"/>
              </w:rPr>
              <w:sym w:font="Wingdings" w:char="F0FC"/>
            </w:r>
          </w:p>
        </w:tc>
      </w:tr>
      <w:tr w:rsidR="00347484" w:rsidRPr="00AE3438" w14:paraId="3C166E36" w14:textId="77777777" w:rsidTr="00D22BF5">
        <w:tc>
          <w:tcPr>
            <w:tcW w:w="662" w:type="pct"/>
            <w:shd w:val="clear" w:color="auto" w:fill="EAF1DD" w:themeFill="accent3" w:themeFillTint="33"/>
            <w:vAlign w:val="center"/>
          </w:tcPr>
          <w:p w14:paraId="277E8446" w14:textId="72DDFA4F" w:rsidR="00347484" w:rsidRPr="00AE3438" w:rsidRDefault="00347484" w:rsidP="00BD02D3">
            <w:pPr>
              <w:pStyle w:val="TableText0"/>
              <w:keepNext w:val="0"/>
              <w:rPr>
                <w:szCs w:val="20"/>
              </w:rPr>
            </w:pPr>
            <w:r w:rsidRPr="00AE3438">
              <w:rPr>
                <w:szCs w:val="20"/>
              </w:rPr>
              <w:t>LT-002</w:t>
            </w:r>
            <w:r w:rsidR="00224CF2" w:rsidRPr="00AE3438">
              <w:rPr>
                <w:szCs w:val="20"/>
              </w:rPr>
              <w:t xml:space="preserve"> (SPRINT)</w:t>
            </w:r>
            <w:r w:rsidRPr="00AE3438">
              <w:rPr>
                <w:szCs w:val="20"/>
              </w:rPr>
              <w:t>^</w:t>
            </w:r>
          </w:p>
        </w:tc>
        <w:tc>
          <w:tcPr>
            <w:tcW w:w="222" w:type="pct"/>
            <w:shd w:val="clear" w:color="auto" w:fill="EAF1DD" w:themeFill="accent3" w:themeFillTint="33"/>
            <w:vAlign w:val="center"/>
          </w:tcPr>
          <w:p w14:paraId="3BA53B9C" w14:textId="77777777" w:rsidR="00347484" w:rsidRPr="00AE3438" w:rsidRDefault="00347484" w:rsidP="00BD02D3">
            <w:pPr>
              <w:pStyle w:val="TableText0"/>
              <w:keepNext w:val="0"/>
              <w:jc w:val="center"/>
              <w:rPr>
                <w:szCs w:val="20"/>
              </w:rPr>
            </w:pPr>
            <w:r w:rsidRPr="00AE3438">
              <w:rPr>
                <w:szCs w:val="20"/>
              </w:rPr>
              <w:t>18</w:t>
            </w:r>
            <w:r w:rsidRPr="00AE3438">
              <w:rPr>
                <w:szCs w:val="20"/>
                <w:vertAlign w:val="superscript"/>
              </w:rPr>
              <w:t>b</w:t>
            </w:r>
          </w:p>
        </w:tc>
        <w:tc>
          <w:tcPr>
            <w:tcW w:w="1100" w:type="pct"/>
            <w:shd w:val="clear" w:color="auto" w:fill="EAF1DD" w:themeFill="accent3" w:themeFillTint="33"/>
            <w:vAlign w:val="center"/>
          </w:tcPr>
          <w:p w14:paraId="4CECA2C4" w14:textId="77777777" w:rsidR="00347484" w:rsidRPr="00AE3438" w:rsidRDefault="00347484" w:rsidP="00BD02D3">
            <w:pPr>
              <w:pStyle w:val="TableText0"/>
              <w:keepNext w:val="0"/>
              <w:jc w:val="center"/>
              <w:rPr>
                <w:szCs w:val="20"/>
              </w:rPr>
            </w:pPr>
            <w:r w:rsidRPr="00AE3438">
              <w:rPr>
                <w:szCs w:val="20"/>
              </w:rPr>
              <w:t xml:space="preserve">MC, OL extension 15 yrs </w:t>
            </w:r>
          </w:p>
          <w:p w14:paraId="2D2D23E7" w14:textId="77777777" w:rsidR="00347484" w:rsidRPr="00AE3438" w:rsidRDefault="00347484" w:rsidP="00BD02D3">
            <w:pPr>
              <w:pStyle w:val="TableText0"/>
              <w:keepNext w:val="0"/>
              <w:jc w:val="center"/>
              <w:rPr>
                <w:szCs w:val="20"/>
              </w:rPr>
            </w:pPr>
            <w:r w:rsidRPr="00AE3438">
              <w:rPr>
                <w:szCs w:val="20"/>
              </w:rPr>
              <w:t xml:space="preserve">May 2021 data cut: median (range) age 29.2 (25.2, 35.1) mths, time since treatment 28 (24.5, 34.8) mths </w:t>
            </w:r>
          </w:p>
        </w:tc>
        <w:tc>
          <w:tcPr>
            <w:tcW w:w="296" w:type="pct"/>
            <w:shd w:val="clear" w:color="auto" w:fill="EAF1DD" w:themeFill="accent3" w:themeFillTint="33"/>
            <w:vAlign w:val="center"/>
          </w:tcPr>
          <w:p w14:paraId="37C72192"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EAF1DD" w:themeFill="accent3" w:themeFillTint="33"/>
            <w:vAlign w:val="center"/>
          </w:tcPr>
          <w:p w14:paraId="6D5FB0E8" w14:textId="77777777" w:rsidR="00347484" w:rsidRPr="00AE3438" w:rsidRDefault="00347484" w:rsidP="00BD02D3">
            <w:pPr>
              <w:pStyle w:val="TableText0"/>
              <w:keepNext w:val="0"/>
              <w:jc w:val="center"/>
              <w:rPr>
                <w:szCs w:val="20"/>
              </w:rPr>
            </w:pPr>
            <w:r w:rsidRPr="00AE3438">
              <w:rPr>
                <w:szCs w:val="20"/>
              </w:rPr>
              <w:t>As in SPR1NT</w:t>
            </w:r>
          </w:p>
        </w:tc>
        <w:tc>
          <w:tcPr>
            <w:tcW w:w="1178" w:type="pct"/>
            <w:shd w:val="clear" w:color="auto" w:fill="EAF1DD" w:themeFill="accent3" w:themeFillTint="33"/>
            <w:vAlign w:val="center"/>
          </w:tcPr>
          <w:p w14:paraId="0B12B071" w14:textId="3970D862" w:rsidR="00347484" w:rsidRPr="00AE3438" w:rsidRDefault="00347484" w:rsidP="00BD02D3">
            <w:pPr>
              <w:pStyle w:val="TableText0"/>
              <w:keepNext w:val="0"/>
              <w:jc w:val="center"/>
              <w:rPr>
                <w:szCs w:val="20"/>
              </w:rPr>
            </w:pPr>
            <w:r w:rsidRPr="00AE3438">
              <w:rPr>
                <w:szCs w:val="20"/>
              </w:rPr>
              <w:t xml:space="preserve">SMA 2-3 copies of </w:t>
            </w:r>
            <w:r w:rsidRPr="00AE3438">
              <w:rPr>
                <w:i/>
                <w:szCs w:val="20"/>
              </w:rPr>
              <w:t>SMN2</w:t>
            </w:r>
          </w:p>
        </w:tc>
        <w:tc>
          <w:tcPr>
            <w:tcW w:w="808" w:type="pct"/>
            <w:shd w:val="clear" w:color="auto" w:fill="EAF1DD" w:themeFill="accent3" w:themeFillTint="33"/>
            <w:vAlign w:val="center"/>
          </w:tcPr>
          <w:p w14:paraId="670791C6" w14:textId="77777777" w:rsidR="00347484" w:rsidRPr="00AE3438" w:rsidRDefault="00347484" w:rsidP="00BD02D3">
            <w:pPr>
              <w:pStyle w:val="TableText0"/>
              <w:keepNext w:val="0"/>
              <w:rPr>
                <w:szCs w:val="20"/>
              </w:rPr>
            </w:pPr>
            <w:r w:rsidRPr="00AE3438">
              <w:rPr>
                <w:szCs w:val="20"/>
              </w:rPr>
              <w:t>1°: motor milestone (24 mths)</w:t>
            </w:r>
          </w:p>
          <w:p w14:paraId="28705803" w14:textId="77777777" w:rsidR="00347484" w:rsidRPr="00AE3438" w:rsidRDefault="00347484" w:rsidP="00BD02D3">
            <w:pPr>
              <w:pStyle w:val="TableText0"/>
              <w:keepNext w:val="0"/>
              <w:rPr>
                <w:szCs w:val="20"/>
              </w:rPr>
            </w:pPr>
            <w:r w:rsidRPr="00AE3438">
              <w:rPr>
                <w:szCs w:val="20"/>
              </w:rPr>
              <w:t>2°: motor milestones, EFS</w:t>
            </w:r>
          </w:p>
        </w:tc>
        <w:tc>
          <w:tcPr>
            <w:tcW w:w="147" w:type="pct"/>
            <w:shd w:val="clear" w:color="auto" w:fill="EAF1DD" w:themeFill="accent3" w:themeFillTint="33"/>
            <w:vAlign w:val="center"/>
          </w:tcPr>
          <w:p w14:paraId="78ED20F6"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59C2E2A9" w14:textId="77777777" w:rsidTr="00D22BF5">
        <w:tc>
          <w:tcPr>
            <w:tcW w:w="5000" w:type="pct"/>
            <w:gridSpan w:val="8"/>
          </w:tcPr>
          <w:p w14:paraId="438ED65F" w14:textId="77777777" w:rsidR="00347484" w:rsidRPr="00AE3438" w:rsidRDefault="00347484" w:rsidP="00BD02D3">
            <w:pPr>
              <w:pStyle w:val="TableText0"/>
              <w:keepNext w:val="0"/>
              <w:rPr>
                <w:b/>
                <w:szCs w:val="20"/>
              </w:rPr>
            </w:pPr>
            <w:r w:rsidRPr="00AE3438">
              <w:rPr>
                <w:b/>
                <w:szCs w:val="20"/>
              </w:rPr>
              <w:t>NUSI</w:t>
            </w:r>
          </w:p>
        </w:tc>
      </w:tr>
      <w:tr w:rsidR="00347484" w:rsidRPr="00AE3438" w14:paraId="40686488" w14:textId="77777777" w:rsidTr="00D22BF5">
        <w:tc>
          <w:tcPr>
            <w:tcW w:w="662" w:type="pct"/>
            <w:shd w:val="clear" w:color="auto" w:fill="EAF1DD" w:themeFill="accent3" w:themeFillTint="33"/>
            <w:vAlign w:val="center"/>
          </w:tcPr>
          <w:p w14:paraId="247E59AB" w14:textId="77777777" w:rsidR="00347484" w:rsidRPr="00AE3438" w:rsidRDefault="00347484" w:rsidP="00BD02D3">
            <w:pPr>
              <w:pStyle w:val="TableText0"/>
              <w:keepNext w:val="0"/>
              <w:rPr>
                <w:szCs w:val="20"/>
              </w:rPr>
            </w:pPr>
            <w:r w:rsidRPr="00AE3438">
              <w:rPr>
                <w:szCs w:val="20"/>
              </w:rPr>
              <w:t>NURTURE^</w:t>
            </w:r>
          </w:p>
        </w:tc>
        <w:tc>
          <w:tcPr>
            <w:tcW w:w="222" w:type="pct"/>
            <w:shd w:val="clear" w:color="auto" w:fill="EAF1DD" w:themeFill="accent3" w:themeFillTint="33"/>
            <w:vAlign w:val="center"/>
          </w:tcPr>
          <w:p w14:paraId="1E42BAA8" w14:textId="77777777" w:rsidR="00347484" w:rsidRPr="00AE3438" w:rsidRDefault="00347484" w:rsidP="00BD02D3">
            <w:pPr>
              <w:pStyle w:val="TableText0"/>
              <w:keepNext w:val="0"/>
              <w:jc w:val="center"/>
              <w:rPr>
                <w:szCs w:val="20"/>
              </w:rPr>
            </w:pPr>
            <w:r w:rsidRPr="00AE3438">
              <w:rPr>
                <w:szCs w:val="20"/>
              </w:rPr>
              <w:t>25</w:t>
            </w:r>
          </w:p>
        </w:tc>
        <w:tc>
          <w:tcPr>
            <w:tcW w:w="1100" w:type="pct"/>
            <w:shd w:val="clear" w:color="auto" w:fill="EAF1DD" w:themeFill="accent3" w:themeFillTint="33"/>
            <w:vAlign w:val="center"/>
          </w:tcPr>
          <w:p w14:paraId="00FF8817" w14:textId="77777777" w:rsidR="00347484" w:rsidRPr="00AE3438" w:rsidRDefault="00347484" w:rsidP="00BD02D3">
            <w:pPr>
              <w:pStyle w:val="TableText0"/>
              <w:keepNext w:val="0"/>
              <w:jc w:val="center"/>
              <w:rPr>
                <w:szCs w:val="20"/>
              </w:rPr>
            </w:pPr>
            <w:r w:rsidRPr="00AE3438">
              <w:rPr>
                <w:szCs w:val="20"/>
              </w:rPr>
              <w:t>MC, OL, NC, 5y</w:t>
            </w:r>
          </w:p>
          <w:p w14:paraId="661491A7" w14:textId="77777777" w:rsidR="00347484" w:rsidRPr="00AE3438" w:rsidRDefault="00347484" w:rsidP="00BD02D3">
            <w:pPr>
              <w:pStyle w:val="TableText0"/>
              <w:keepNext w:val="0"/>
              <w:jc w:val="center"/>
              <w:rPr>
                <w:szCs w:val="20"/>
              </w:rPr>
            </w:pPr>
            <w:r w:rsidRPr="00AE3438">
              <w:rPr>
                <w:szCs w:val="20"/>
              </w:rPr>
              <w:t>March 2019 data cut: median (range) age 34.8 (25.7-45.4) mths</w:t>
            </w:r>
          </w:p>
        </w:tc>
        <w:tc>
          <w:tcPr>
            <w:tcW w:w="296" w:type="pct"/>
            <w:shd w:val="clear" w:color="auto" w:fill="EAF1DD" w:themeFill="accent3" w:themeFillTint="33"/>
            <w:vAlign w:val="center"/>
          </w:tcPr>
          <w:p w14:paraId="3E248F75"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EAF1DD" w:themeFill="accent3" w:themeFillTint="33"/>
            <w:vAlign w:val="center"/>
          </w:tcPr>
          <w:p w14:paraId="1BA04E01" w14:textId="77777777" w:rsidR="00347484" w:rsidRPr="00AE3438" w:rsidRDefault="00347484" w:rsidP="00BD02D3">
            <w:pPr>
              <w:pStyle w:val="TableText0"/>
              <w:keepNext w:val="0"/>
              <w:jc w:val="center"/>
              <w:rPr>
                <w:szCs w:val="20"/>
              </w:rPr>
            </w:pPr>
            <w:r w:rsidRPr="00AE3438">
              <w:rPr>
                <w:szCs w:val="20"/>
              </w:rPr>
              <w:t>NUSI IC 12 mg</w:t>
            </w:r>
          </w:p>
        </w:tc>
        <w:tc>
          <w:tcPr>
            <w:tcW w:w="1178" w:type="pct"/>
            <w:shd w:val="clear" w:color="auto" w:fill="EAF1DD" w:themeFill="accent3" w:themeFillTint="33"/>
            <w:vAlign w:val="center"/>
          </w:tcPr>
          <w:p w14:paraId="6FDD2F50" w14:textId="77777777" w:rsidR="00347484" w:rsidRPr="00AE3438" w:rsidRDefault="00347484" w:rsidP="00BD02D3">
            <w:pPr>
              <w:pStyle w:val="TableText0"/>
              <w:keepNext w:val="0"/>
              <w:jc w:val="center"/>
              <w:rPr>
                <w:szCs w:val="20"/>
              </w:rPr>
            </w:pPr>
            <w:r w:rsidRPr="00AE3438">
              <w:rPr>
                <w:szCs w:val="20"/>
              </w:rPr>
              <w:t xml:space="preserve">2 or 3 (n=10) copies of </w:t>
            </w:r>
            <w:r w:rsidRPr="00AE3438">
              <w:rPr>
                <w:i/>
                <w:szCs w:val="20"/>
              </w:rPr>
              <w:t>SMN2</w:t>
            </w:r>
            <w:r w:rsidRPr="00AE3438">
              <w:rPr>
                <w:szCs w:val="20"/>
              </w:rPr>
              <w:t>, age ≤6 wks</w:t>
            </w:r>
          </w:p>
        </w:tc>
        <w:tc>
          <w:tcPr>
            <w:tcW w:w="808" w:type="pct"/>
            <w:shd w:val="clear" w:color="auto" w:fill="EAF1DD" w:themeFill="accent3" w:themeFillTint="33"/>
            <w:vAlign w:val="center"/>
          </w:tcPr>
          <w:p w14:paraId="136CFDB0" w14:textId="77777777" w:rsidR="00347484" w:rsidRPr="00AE3438" w:rsidRDefault="00347484" w:rsidP="00BD02D3">
            <w:pPr>
              <w:pStyle w:val="TableText0"/>
              <w:keepNext w:val="0"/>
              <w:rPr>
                <w:szCs w:val="20"/>
              </w:rPr>
            </w:pPr>
            <w:r w:rsidRPr="00AE3438">
              <w:rPr>
                <w:szCs w:val="20"/>
              </w:rPr>
              <w:t>1°: EFS</w:t>
            </w:r>
          </w:p>
          <w:p w14:paraId="574CF286" w14:textId="77777777" w:rsidR="00347484" w:rsidRPr="00AE3438" w:rsidRDefault="00347484" w:rsidP="00BD02D3">
            <w:pPr>
              <w:pStyle w:val="TableText0"/>
              <w:keepNext w:val="0"/>
              <w:rPr>
                <w:szCs w:val="20"/>
              </w:rPr>
            </w:pPr>
            <w:r w:rsidRPr="00AE3438">
              <w:rPr>
                <w:szCs w:val="20"/>
              </w:rPr>
              <w:t>2°: OS, motor milestones</w:t>
            </w:r>
          </w:p>
        </w:tc>
        <w:tc>
          <w:tcPr>
            <w:tcW w:w="147" w:type="pct"/>
            <w:shd w:val="clear" w:color="auto" w:fill="EAF1DD" w:themeFill="accent3" w:themeFillTint="33"/>
            <w:vAlign w:val="center"/>
          </w:tcPr>
          <w:p w14:paraId="3E00D140"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270DFA88" w14:textId="77777777" w:rsidTr="00D22BF5">
        <w:tc>
          <w:tcPr>
            <w:tcW w:w="5000" w:type="pct"/>
            <w:gridSpan w:val="8"/>
          </w:tcPr>
          <w:p w14:paraId="7FE59EE7" w14:textId="77777777" w:rsidR="00347484" w:rsidRPr="00AE3438" w:rsidRDefault="00347484" w:rsidP="00BD02D3">
            <w:pPr>
              <w:pStyle w:val="TableText0"/>
              <w:keepNext w:val="0"/>
              <w:rPr>
                <w:b/>
                <w:szCs w:val="20"/>
              </w:rPr>
            </w:pPr>
            <w:r w:rsidRPr="00AE3438">
              <w:rPr>
                <w:b/>
                <w:szCs w:val="20"/>
              </w:rPr>
              <w:t>RISD</w:t>
            </w:r>
          </w:p>
        </w:tc>
      </w:tr>
      <w:tr w:rsidR="00347484" w:rsidRPr="00AE3438" w14:paraId="41D2C96E" w14:textId="77777777" w:rsidTr="00D22BF5">
        <w:tc>
          <w:tcPr>
            <w:tcW w:w="662" w:type="pct"/>
            <w:shd w:val="clear" w:color="auto" w:fill="EAF1DD" w:themeFill="accent3" w:themeFillTint="33"/>
            <w:vAlign w:val="center"/>
          </w:tcPr>
          <w:p w14:paraId="5E50FB90" w14:textId="77777777" w:rsidR="00347484" w:rsidRPr="00AE3438" w:rsidRDefault="00347484" w:rsidP="00BD02D3">
            <w:pPr>
              <w:pStyle w:val="TableText0"/>
              <w:keepNext w:val="0"/>
              <w:rPr>
                <w:szCs w:val="20"/>
              </w:rPr>
            </w:pPr>
            <w:r w:rsidRPr="00AE3438">
              <w:rPr>
                <w:szCs w:val="20"/>
              </w:rPr>
              <w:t>RAINBOWFISH^</w:t>
            </w:r>
          </w:p>
        </w:tc>
        <w:tc>
          <w:tcPr>
            <w:tcW w:w="222" w:type="pct"/>
            <w:shd w:val="clear" w:color="auto" w:fill="EAF1DD" w:themeFill="accent3" w:themeFillTint="33"/>
            <w:vAlign w:val="center"/>
          </w:tcPr>
          <w:p w14:paraId="63CF9A14" w14:textId="77777777" w:rsidR="00347484" w:rsidRPr="00AE3438" w:rsidRDefault="00347484" w:rsidP="00BD02D3">
            <w:pPr>
              <w:pStyle w:val="TableText0"/>
              <w:keepNext w:val="0"/>
              <w:jc w:val="center"/>
              <w:rPr>
                <w:szCs w:val="20"/>
              </w:rPr>
            </w:pPr>
            <w:r w:rsidRPr="00AE3438">
              <w:rPr>
                <w:szCs w:val="20"/>
              </w:rPr>
              <w:t>18</w:t>
            </w:r>
          </w:p>
        </w:tc>
        <w:tc>
          <w:tcPr>
            <w:tcW w:w="1100" w:type="pct"/>
            <w:shd w:val="clear" w:color="auto" w:fill="EAF1DD" w:themeFill="accent3" w:themeFillTint="33"/>
            <w:vAlign w:val="center"/>
          </w:tcPr>
          <w:p w14:paraId="2E56D825" w14:textId="77777777" w:rsidR="00347484" w:rsidRPr="00AE3438" w:rsidRDefault="00347484" w:rsidP="00BD02D3">
            <w:pPr>
              <w:pStyle w:val="TableText0"/>
              <w:keepNext w:val="0"/>
              <w:jc w:val="center"/>
              <w:rPr>
                <w:szCs w:val="20"/>
              </w:rPr>
            </w:pPr>
            <w:r w:rsidRPr="00AE3438">
              <w:rPr>
                <w:szCs w:val="20"/>
              </w:rPr>
              <w:t>MC, OL, NC 2 yrs / 3 yrs</w:t>
            </w:r>
          </w:p>
          <w:p w14:paraId="54AEC5FA" w14:textId="1D412263" w:rsidR="00347484" w:rsidRPr="00AE3438" w:rsidRDefault="00347484" w:rsidP="00BD02D3">
            <w:pPr>
              <w:pStyle w:val="TableText0"/>
              <w:keepNext w:val="0"/>
              <w:jc w:val="center"/>
              <w:rPr>
                <w:szCs w:val="20"/>
              </w:rPr>
            </w:pPr>
            <w:r w:rsidRPr="00AE3438">
              <w:rPr>
                <w:szCs w:val="20"/>
              </w:rPr>
              <w:t xml:space="preserve">July 2021 data cut: median (range) </w:t>
            </w:r>
            <w:r w:rsidR="00765CBA" w:rsidRPr="00AE3438">
              <w:rPr>
                <w:szCs w:val="20"/>
              </w:rPr>
              <w:t>age 26.5</w:t>
            </w:r>
            <w:r w:rsidRPr="00AE3438">
              <w:rPr>
                <w:szCs w:val="20"/>
              </w:rPr>
              <w:t xml:space="preserve"> (</w:t>
            </w:r>
            <w:r w:rsidR="00765CBA" w:rsidRPr="00AE3438">
              <w:rPr>
                <w:szCs w:val="20"/>
              </w:rPr>
              <w:t>16-40</w:t>
            </w:r>
            <w:r w:rsidRPr="00AE3438">
              <w:rPr>
                <w:szCs w:val="20"/>
              </w:rPr>
              <w:t>) months</w:t>
            </w:r>
          </w:p>
        </w:tc>
        <w:tc>
          <w:tcPr>
            <w:tcW w:w="296" w:type="pct"/>
            <w:shd w:val="clear" w:color="auto" w:fill="EAF1DD" w:themeFill="accent3" w:themeFillTint="33"/>
            <w:vAlign w:val="center"/>
          </w:tcPr>
          <w:p w14:paraId="4FEDED0C"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EAF1DD" w:themeFill="accent3" w:themeFillTint="33"/>
            <w:vAlign w:val="center"/>
          </w:tcPr>
          <w:p w14:paraId="75ABCE68" w14:textId="77777777" w:rsidR="00347484" w:rsidRPr="00AE3438" w:rsidRDefault="00347484" w:rsidP="00BD02D3">
            <w:pPr>
              <w:pStyle w:val="TableText0"/>
              <w:keepNext w:val="0"/>
              <w:jc w:val="center"/>
              <w:rPr>
                <w:szCs w:val="20"/>
              </w:rPr>
            </w:pPr>
            <w:r w:rsidRPr="00AE3438">
              <w:rPr>
                <w:szCs w:val="20"/>
              </w:rPr>
              <w:t>RISD oral target dose</w:t>
            </w:r>
          </w:p>
        </w:tc>
        <w:tc>
          <w:tcPr>
            <w:tcW w:w="1178" w:type="pct"/>
            <w:shd w:val="clear" w:color="auto" w:fill="EAF1DD" w:themeFill="accent3" w:themeFillTint="33"/>
            <w:vAlign w:val="center"/>
          </w:tcPr>
          <w:p w14:paraId="5B1A5EF2" w14:textId="77777777" w:rsidR="00347484" w:rsidRPr="00AE3438" w:rsidRDefault="00347484" w:rsidP="00BD02D3">
            <w:pPr>
              <w:pStyle w:val="TableText0"/>
              <w:keepNext w:val="0"/>
              <w:jc w:val="center"/>
              <w:rPr>
                <w:szCs w:val="20"/>
              </w:rPr>
            </w:pPr>
            <w:r w:rsidRPr="00AE3438">
              <w:rPr>
                <w:szCs w:val="20"/>
              </w:rPr>
              <w:t xml:space="preserve">≥2 copies of </w:t>
            </w:r>
            <w:r w:rsidRPr="00AE3438">
              <w:rPr>
                <w:i/>
                <w:szCs w:val="20"/>
              </w:rPr>
              <w:t>SMN2</w:t>
            </w:r>
            <w:r w:rsidRPr="00AE3438">
              <w:rPr>
                <w:szCs w:val="20"/>
              </w:rPr>
              <w:t>, age ≤6 wks</w:t>
            </w:r>
          </w:p>
        </w:tc>
        <w:tc>
          <w:tcPr>
            <w:tcW w:w="808" w:type="pct"/>
            <w:shd w:val="clear" w:color="auto" w:fill="EAF1DD" w:themeFill="accent3" w:themeFillTint="33"/>
            <w:vAlign w:val="center"/>
          </w:tcPr>
          <w:p w14:paraId="1DB94ACC" w14:textId="77777777" w:rsidR="00347484" w:rsidRPr="00AE3438" w:rsidRDefault="00347484" w:rsidP="00BD02D3">
            <w:pPr>
              <w:pStyle w:val="TableText0"/>
              <w:keepNext w:val="0"/>
              <w:rPr>
                <w:szCs w:val="20"/>
              </w:rPr>
            </w:pPr>
            <w:r w:rsidRPr="00AE3438">
              <w:rPr>
                <w:szCs w:val="20"/>
              </w:rPr>
              <w:t>1°: motor milestone - sitting (12 mths)</w:t>
            </w:r>
            <w:r w:rsidRPr="00AE3438">
              <w:rPr>
                <w:szCs w:val="20"/>
                <w:vertAlign w:val="superscript"/>
              </w:rPr>
              <w:t>c</w:t>
            </w:r>
          </w:p>
          <w:p w14:paraId="687748A0" w14:textId="77777777" w:rsidR="00347484" w:rsidRPr="00AE3438" w:rsidRDefault="00347484" w:rsidP="00BD02D3">
            <w:pPr>
              <w:pStyle w:val="TableText0"/>
              <w:keepNext w:val="0"/>
              <w:rPr>
                <w:szCs w:val="20"/>
              </w:rPr>
            </w:pPr>
            <w:r w:rsidRPr="00AE3438">
              <w:rPr>
                <w:szCs w:val="20"/>
              </w:rPr>
              <w:t>2°: motor milestones, EFS</w:t>
            </w:r>
          </w:p>
        </w:tc>
        <w:tc>
          <w:tcPr>
            <w:tcW w:w="147" w:type="pct"/>
            <w:shd w:val="clear" w:color="auto" w:fill="EAF1DD" w:themeFill="accent3" w:themeFillTint="33"/>
            <w:vAlign w:val="center"/>
          </w:tcPr>
          <w:p w14:paraId="432A1E22"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135BFBE4" w14:textId="77777777" w:rsidTr="00D22BF5">
        <w:tc>
          <w:tcPr>
            <w:tcW w:w="5000" w:type="pct"/>
            <w:gridSpan w:val="8"/>
            <w:shd w:val="clear" w:color="auto" w:fill="EEECE1" w:themeFill="background2"/>
          </w:tcPr>
          <w:p w14:paraId="4E865AF3" w14:textId="77777777" w:rsidR="00347484" w:rsidRPr="00AE3438" w:rsidRDefault="00347484" w:rsidP="00BD02D3">
            <w:pPr>
              <w:pStyle w:val="TableText0"/>
              <w:keepNext w:val="0"/>
              <w:rPr>
                <w:szCs w:val="20"/>
              </w:rPr>
            </w:pPr>
            <w:r w:rsidRPr="00AE3438">
              <w:rPr>
                <w:b/>
                <w:color w:val="D60093"/>
                <w:szCs w:val="20"/>
              </w:rPr>
              <w:t xml:space="preserve">Symptomatic </w:t>
            </w:r>
            <w:r w:rsidRPr="00AE3438">
              <w:rPr>
                <w:b/>
                <w:szCs w:val="20"/>
              </w:rPr>
              <w:t>treatment of SMA</w:t>
            </w:r>
          </w:p>
        </w:tc>
      </w:tr>
      <w:tr w:rsidR="00347484" w:rsidRPr="00AE3438" w14:paraId="4F4CCA02" w14:textId="77777777" w:rsidTr="00D22BF5">
        <w:tc>
          <w:tcPr>
            <w:tcW w:w="5000" w:type="pct"/>
            <w:gridSpan w:val="8"/>
          </w:tcPr>
          <w:p w14:paraId="4ADB049D" w14:textId="77777777" w:rsidR="00347484" w:rsidRPr="00AE3438" w:rsidRDefault="00347484" w:rsidP="00BD02D3">
            <w:pPr>
              <w:pStyle w:val="TableText0"/>
              <w:keepNext w:val="0"/>
              <w:rPr>
                <w:b/>
                <w:szCs w:val="20"/>
              </w:rPr>
            </w:pPr>
            <w:r w:rsidRPr="00AE3438">
              <w:rPr>
                <w:b/>
                <w:szCs w:val="20"/>
              </w:rPr>
              <w:t>ONA</w:t>
            </w:r>
          </w:p>
        </w:tc>
      </w:tr>
      <w:tr w:rsidR="00347484" w:rsidRPr="00AE3438" w14:paraId="7C8148F9" w14:textId="77777777" w:rsidTr="00D22BF5">
        <w:tc>
          <w:tcPr>
            <w:tcW w:w="662" w:type="pct"/>
            <w:shd w:val="clear" w:color="auto" w:fill="auto"/>
            <w:vAlign w:val="center"/>
          </w:tcPr>
          <w:p w14:paraId="4FEE99CC" w14:textId="77777777" w:rsidR="00347484" w:rsidRPr="00AE3438" w:rsidRDefault="00347484" w:rsidP="00BD02D3">
            <w:pPr>
              <w:pStyle w:val="TableText0"/>
              <w:keepNext w:val="0"/>
              <w:rPr>
                <w:szCs w:val="20"/>
              </w:rPr>
            </w:pPr>
            <w:r w:rsidRPr="00AE3438">
              <w:rPr>
                <w:szCs w:val="20"/>
              </w:rPr>
              <w:t>START</w:t>
            </w:r>
          </w:p>
        </w:tc>
        <w:tc>
          <w:tcPr>
            <w:tcW w:w="222" w:type="pct"/>
            <w:shd w:val="clear" w:color="auto" w:fill="auto"/>
            <w:vAlign w:val="center"/>
          </w:tcPr>
          <w:p w14:paraId="0F8F169B" w14:textId="77777777" w:rsidR="00347484" w:rsidRPr="00AE3438" w:rsidRDefault="00347484" w:rsidP="00BD02D3">
            <w:pPr>
              <w:pStyle w:val="TableText0"/>
              <w:keepNext w:val="0"/>
              <w:jc w:val="center"/>
              <w:rPr>
                <w:szCs w:val="20"/>
              </w:rPr>
            </w:pPr>
            <w:r w:rsidRPr="00AE3438">
              <w:rPr>
                <w:szCs w:val="20"/>
              </w:rPr>
              <w:t>15</w:t>
            </w:r>
            <w:r w:rsidRPr="00AE3438">
              <w:rPr>
                <w:szCs w:val="20"/>
                <w:vertAlign w:val="superscript"/>
              </w:rPr>
              <w:t>d</w:t>
            </w:r>
          </w:p>
        </w:tc>
        <w:tc>
          <w:tcPr>
            <w:tcW w:w="1100" w:type="pct"/>
            <w:shd w:val="clear" w:color="auto" w:fill="auto"/>
            <w:vAlign w:val="center"/>
          </w:tcPr>
          <w:p w14:paraId="7F62F692" w14:textId="77777777" w:rsidR="00347484" w:rsidRPr="00AE3438" w:rsidRDefault="00347484" w:rsidP="00BD02D3">
            <w:pPr>
              <w:pStyle w:val="TableText0"/>
              <w:keepNext w:val="0"/>
              <w:jc w:val="center"/>
              <w:rPr>
                <w:szCs w:val="20"/>
              </w:rPr>
            </w:pPr>
            <w:r w:rsidRPr="00AE3438">
              <w:rPr>
                <w:szCs w:val="20"/>
              </w:rPr>
              <w:t>NC, OL 2 yrs</w:t>
            </w:r>
          </w:p>
        </w:tc>
        <w:tc>
          <w:tcPr>
            <w:tcW w:w="296" w:type="pct"/>
            <w:shd w:val="clear" w:color="auto" w:fill="auto"/>
            <w:vAlign w:val="center"/>
          </w:tcPr>
          <w:p w14:paraId="129A3D12"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auto"/>
            <w:vAlign w:val="center"/>
          </w:tcPr>
          <w:p w14:paraId="4225A319" w14:textId="77777777" w:rsidR="00347484" w:rsidRPr="00AE3438" w:rsidRDefault="00347484" w:rsidP="00BD02D3">
            <w:pPr>
              <w:pStyle w:val="TableText0"/>
              <w:keepNext w:val="0"/>
              <w:jc w:val="center"/>
              <w:rPr>
                <w:szCs w:val="20"/>
              </w:rPr>
            </w:pPr>
            <w:r w:rsidRPr="00AE3438">
              <w:rPr>
                <w:szCs w:val="20"/>
              </w:rPr>
              <w:t>ONA IV 6.7 × 10</w:t>
            </w:r>
            <w:r w:rsidRPr="00AE3438">
              <w:rPr>
                <w:szCs w:val="20"/>
                <w:vertAlign w:val="superscript"/>
              </w:rPr>
              <w:t>13</w:t>
            </w:r>
            <w:r w:rsidRPr="00AE3438">
              <w:rPr>
                <w:szCs w:val="20"/>
              </w:rPr>
              <w:t xml:space="preserve"> vg/kg</w:t>
            </w:r>
          </w:p>
          <w:p w14:paraId="38EEBB77" w14:textId="77777777" w:rsidR="00347484" w:rsidRPr="00AE3438" w:rsidRDefault="00347484" w:rsidP="00BD02D3">
            <w:pPr>
              <w:pStyle w:val="TableText0"/>
              <w:keepNext w:val="0"/>
              <w:jc w:val="center"/>
              <w:rPr>
                <w:szCs w:val="20"/>
              </w:rPr>
            </w:pPr>
            <w:r w:rsidRPr="00AE3438">
              <w:rPr>
                <w:szCs w:val="20"/>
              </w:rPr>
              <w:t>ONA IV 1.1 × 10</w:t>
            </w:r>
            <w:r w:rsidRPr="00AE3438">
              <w:rPr>
                <w:szCs w:val="20"/>
                <w:vertAlign w:val="superscript"/>
              </w:rPr>
              <w:t xml:space="preserve">14 </w:t>
            </w:r>
            <w:r w:rsidRPr="00AE3438">
              <w:rPr>
                <w:szCs w:val="20"/>
              </w:rPr>
              <w:t>vg/kg</w:t>
            </w:r>
          </w:p>
        </w:tc>
        <w:tc>
          <w:tcPr>
            <w:tcW w:w="1178" w:type="pct"/>
            <w:shd w:val="clear" w:color="auto" w:fill="auto"/>
            <w:vAlign w:val="center"/>
          </w:tcPr>
          <w:p w14:paraId="399AA5B7" w14:textId="77777777" w:rsidR="00347484" w:rsidRPr="00AE3438" w:rsidRDefault="00347484" w:rsidP="00BD02D3">
            <w:pPr>
              <w:pStyle w:val="TableText0"/>
              <w:keepNext w:val="0"/>
              <w:jc w:val="center"/>
              <w:rPr>
                <w:szCs w:val="20"/>
              </w:rPr>
            </w:pPr>
            <w:r w:rsidRPr="00AE3438">
              <w:rPr>
                <w:szCs w:val="20"/>
              </w:rPr>
              <w:t xml:space="preserve">SMA Type I (2 copies of </w:t>
            </w:r>
            <w:r w:rsidRPr="00AE3438">
              <w:rPr>
                <w:i/>
                <w:szCs w:val="20"/>
              </w:rPr>
              <w:t>SMN2</w:t>
            </w:r>
            <w:r w:rsidRPr="00AE3438">
              <w:rPr>
                <w:szCs w:val="20"/>
              </w:rPr>
              <w:t>), age ≤6mths</w:t>
            </w:r>
          </w:p>
        </w:tc>
        <w:tc>
          <w:tcPr>
            <w:tcW w:w="808" w:type="pct"/>
            <w:shd w:val="clear" w:color="auto" w:fill="auto"/>
            <w:vAlign w:val="center"/>
          </w:tcPr>
          <w:p w14:paraId="7CD41D04" w14:textId="77777777" w:rsidR="00347484" w:rsidRPr="00AE3438" w:rsidRDefault="00347484" w:rsidP="00BD02D3">
            <w:pPr>
              <w:pStyle w:val="TableText0"/>
              <w:keepNext w:val="0"/>
              <w:rPr>
                <w:szCs w:val="20"/>
              </w:rPr>
            </w:pPr>
            <w:r w:rsidRPr="00AE3438">
              <w:rPr>
                <w:szCs w:val="20"/>
              </w:rPr>
              <w:t>1°: safety</w:t>
            </w:r>
          </w:p>
          <w:p w14:paraId="706A23DA" w14:textId="77777777" w:rsidR="00347484" w:rsidRPr="00AE3438" w:rsidRDefault="00347484" w:rsidP="00BD02D3">
            <w:pPr>
              <w:pStyle w:val="TableText0"/>
              <w:keepNext w:val="0"/>
              <w:rPr>
                <w:szCs w:val="20"/>
              </w:rPr>
            </w:pPr>
            <w:r w:rsidRPr="00AE3438">
              <w:rPr>
                <w:szCs w:val="20"/>
              </w:rPr>
              <w:t>2°: motor milestones, EFS, OS</w:t>
            </w:r>
          </w:p>
        </w:tc>
        <w:tc>
          <w:tcPr>
            <w:tcW w:w="147" w:type="pct"/>
            <w:shd w:val="clear" w:color="auto" w:fill="auto"/>
            <w:vAlign w:val="center"/>
          </w:tcPr>
          <w:p w14:paraId="32EE56B6"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309A8F49" w14:textId="77777777" w:rsidTr="00D22BF5">
        <w:tc>
          <w:tcPr>
            <w:tcW w:w="662" w:type="pct"/>
            <w:shd w:val="clear" w:color="auto" w:fill="auto"/>
            <w:vAlign w:val="center"/>
          </w:tcPr>
          <w:p w14:paraId="06D975E4" w14:textId="77777777" w:rsidR="00347484" w:rsidRPr="00AE3438" w:rsidRDefault="00347484" w:rsidP="00BD02D3">
            <w:pPr>
              <w:pStyle w:val="TableText0"/>
              <w:keepNext w:val="0"/>
              <w:rPr>
                <w:i/>
                <w:szCs w:val="20"/>
              </w:rPr>
            </w:pPr>
            <w:r w:rsidRPr="00AE3438">
              <w:rPr>
                <w:szCs w:val="20"/>
              </w:rPr>
              <w:t>START-LTFU</w:t>
            </w:r>
            <w:r w:rsidRPr="00AE3438">
              <w:rPr>
                <w:i/>
                <w:szCs w:val="20"/>
              </w:rPr>
              <w:t xml:space="preserve"> </w:t>
            </w:r>
            <w:r w:rsidRPr="00AE3438">
              <w:rPr>
                <w:szCs w:val="20"/>
              </w:rPr>
              <w:t>(LT-001)</w:t>
            </w:r>
            <w:r w:rsidRPr="00AE3438">
              <w:rPr>
                <w:i/>
                <w:szCs w:val="20"/>
              </w:rPr>
              <w:t>^</w:t>
            </w:r>
          </w:p>
        </w:tc>
        <w:tc>
          <w:tcPr>
            <w:tcW w:w="222" w:type="pct"/>
            <w:shd w:val="clear" w:color="auto" w:fill="auto"/>
            <w:vAlign w:val="center"/>
          </w:tcPr>
          <w:p w14:paraId="5F8C6200" w14:textId="77777777" w:rsidR="00347484" w:rsidRPr="00AE3438" w:rsidRDefault="00347484" w:rsidP="00BD02D3">
            <w:pPr>
              <w:pStyle w:val="TableText0"/>
              <w:keepNext w:val="0"/>
              <w:jc w:val="center"/>
              <w:rPr>
                <w:szCs w:val="20"/>
              </w:rPr>
            </w:pPr>
            <w:r w:rsidRPr="00AE3438">
              <w:rPr>
                <w:szCs w:val="20"/>
              </w:rPr>
              <w:t>15</w:t>
            </w:r>
            <w:r w:rsidRPr="00AE3438">
              <w:rPr>
                <w:szCs w:val="20"/>
                <w:vertAlign w:val="superscript"/>
              </w:rPr>
              <w:t>d</w:t>
            </w:r>
          </w:p>
        </w:tc>
        <w:tc>
          <w:tcPr>
            <w:tcW w:w="1100" w:type="pct"/>
            <w:shd w:val="clear" w:color="auto" w:fill="auto"/>
            <w:vAlign w:val="center"/>
          </w:tcPr>
          <w:p w14:paraId="2798805B" w14:textId="77777777" w:rsidR="00347484" w:rsidRPr="00AE3438" w:rsidRDefault="00347484" w:rsidP="00BD02D3">
            <w:pPr>
              <w:pStyle w:val="TableText0"/>
              <w:keepNext w:val="0"/>
              <w:jc w:val="center"/>
              <w:rPr>
                <w:szCs w:val="20"/>
              </w:rPr>
            </w:pPr>
            <w:r w:rsidRPr="00AE3438">
              <w:rPr>
                <w:szCs w:val="20"/>
              </w:rPr>
              <w:t>OL extension 15yrs</w:t>
            </w:r>
          </w:p>
          <w:p w14:paraId="2080DB2F" w14:textId="77777777" w:rsidR="00347484" w:rsidRPr="00AE3438" w:rsidRDefault="00347484" w:rsidP="00BD02D3">
            <w:pPr>
              <w:pStyle w:val="TableText0"/>
              <w:keepNext w:val="0"/>
              <w:jc w:val="center"/>
              <w:rPr>
                <w:szCs w:val="20"/>
              </w:rPr>
            </w:pPr>
            <w:r w:rsidRPr="00AE3438">
              <w:rPr>
                <w:szCs w:val="20"/>
              </w:rPr>
              <w:t>June 2020 data cut, mean (range): age: 38.9 (25.4-48) mths, time since treatment: 4.8 (4.6-5.6) yrs</w:t>
            </w:r>
          </w:p>
        </w:tc>
        <w:tc>
          <w:tcPr>
            <w:tcW w:w="296" w:type="pct"/>
            <w:shd w:val="clear" w:color="auto" w:fill="auto"/>
            <w:vAlign w:val="center"/>
          </w:tcPr>
          <w:p w14:paraId="0A654F6D"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auto"/>
            <w:vAlign w:val="center"/>
          </w:tcPr>
          <w:p w14:paraId="6BA4C8A9" w14:textId="77777777" w:rsidR="00347484" w:rsidRPr="00AE3438" w:rsidRDefault="00347484" w:rsidP="00BD02D3">
            <w:pPr>
              <w:pStyle w:val="TableText0"/>
              <w:keepNext w:val="0"/>
              <w:jc w:val="center"/>
              <w:rPr>
                <w:szCs w:val="20"/>
              </w:rPr>
            </w:pPr>
            <w:r w:rsidRPr="00AE3438">
              <w:rPr>
                <w:szCs w:val="20"/>
              </w:rPr>
              <w:t>As in START</w:t>
            </w:r>
          </w:p>
        </w:tc>
        <w:tc>
          <w:tcPr>
            <w:tcW w:w="1178" w:type="pct"/>
            <w:shd w:val="clear" w:color="auto" w:fill="auto"/>
            <w:vAlign w:val="center"/>
          </w:tcPr>
          <w:p w14:paraId="2BB2E0D9" w14:textId="77777777" w:rsidR="00347484" w:rsidRPr="00AE3438" w:rsidRDefault="00347484" w:rsidP="00BD02D3">
            <w:pPr>
              <w:pStyle w:val="TableText0"/>
              <w:keepNext w:val="0"/>
              <w:jc w:val="center"/>
              <w:rPr>
                <w:szCs w:val="20"/>
              </w:rPr>
            </w:pPr>
            <w:r w:rsidRPr="00AE3438">
              <w:rPr>
                <w:szCs w:val="20"/>
              </w:rPr>
              <w:t>SMA Type I (2 copies of SMN2)</w:t>
            </w:r>
          </w:p>
        </w:tc>
        <w:tc>
          <w:tcPr>
            <w:tcW w:w="808" w:type="pct"/>
            <w:shd w:val="clear" w:color="auto" w:fill="auto"/>
            <w:vAlign w:val="center"/>
          </w:tcPr>
          <w:p w14:paraId="0868BC94" w14:textId="77777777" w:rsidR="00347484" w:rsidRPr="00AE3438" w:rsidRDefault="00347484" w:rsidP="00BD02D3">
            <w:pPr>
              <w:pStyle w:val="TableText0"/>
              <w:keepNext w:val="0"/>
              <w:rPr>
                <w:szCs w:val="20"/>
              </w:rPr>
            </w:pPr>
            <w:r w:rsidRPr="00AE3438">
              <w:rPr>
                <w:szCs w:val="20"/>
              </w:rPr>
              <w:t>1°: safety</w:t>
            </w:r>
          </w:p>
          <w:p w14:paraId="351721C7" w14:textId="77777777" w:rsidR="00347484" w:rsidRPr="00AE3438" w:rsidRDefault="00347484" w:rsidP="00BD02D3">
            <w:pPr>
              <w:pStyle w:val="TableText0"/>
              <w:keepNext w:val="0"/>
              <w:rPr>
                <w:szCs w:val="20"/>
              </w:rPr>
            </w:pPr>
            <w:r w:rsidRPr="00AE3438">
              <w:rPr>
                <w:szCs w:val="20"/>
              </w:rPr>
              <w:t>2°: motor milestones, EFS</w:t>
            </w:r>
          </w:p>
        </w:tc>
        <w:tc>
          <w:tcPr>
            <w:tcW w:w="147" w:type="pct"/>
            <w:shd w:val="clear" w:color="auto" w:fill="auto"/>
            <w:vAlign w:val="center"/>
          </w:tcPr>
          <w:p w14:paraId="5377A8FB"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3A4C1CB7" w14:textId="77777777" w:rsidTr="00D22BF5">
        <w:tc>
          <w:tcPr>
            <w:tcW w:w="662" w:type="pct"/>
            <w:shd w:val="clear" w:color="auto" w:fill="auto"/>
            <w:vAlign w:val="center"/>
          </w:tcPr>
          <w:p w14:paraId="34779ECA" w14:textId="77777777" w:rsidR="00347484" w:rsidRPr="00AE3438" w:rsidRDefault="00347484" w:rsidP="00BD02D3">
            <w:pPr>
              <w:pStyle w:val="TableText0"/>
              <w:keepNext w:val="0"/>
              <w:rPr>
                <w:szCs w:val="20"/>
              </w:rPr>
            </w:pPr>
            <w:r w:rsidRPr="00AE3438">
              <w:rPr>
                <w:szCs w:val="20"/>
              </w:rPr>
              <w:t>STR1VE-US</w:t>
            </w:r>
          </w:p>
        </w:tc>
        <w:tc>
          <w:tcPr>
            <w:tcW w:w="222" w:type="pct"/>
            <w:shd w:val="clear" w:color="auto" w:fill="auto"/>
            <w:vAlign w:val="center"/>
          </w:tcPr>
          <w:p w14:paraId="6C1378DB" w14:textId="77777777" w:rsidR="00347484" w:rsidRPr="00AE3438" w:rsidRDefault="00347484" w:rsidP="00BD02D3">
            <w:pPr>
              <w:pStyle w:val="TableText0"/>
              <w:keepNext w:val="0"/>
              <w:jc w:val="center"/>
              <w:rPr>
                <w:szCs w:val="20"/>
              </w:rPr>
            </w:pPr>
            <w:r w:rsidRPr="00AE3438">
              <w:rPr>
                <w:szCs w:val="20"/>
              </w:rPr>
              <w:t>22</w:t>
            </w:r>
          </w:p>
        </w:tc>
        <w:tc>
          <w:tcPr>
            <w:tcW w:w="1100" w:type="pct"/>
            <w:shd w:val="clear" w:color="auto" w:fill="auto"/>
            <w:vAlign w:val="center"/>
          </w:tcPr>
          <w:p w14:paraId="421062B8" w14:textId="77777777" w:rsidR="00347484" w:rsidRPr="00AE3438" w:rsidRDefault="00347484" w:rsidP="00BD02D3">
            <w:pPr>
              <w:pStyle w:val="TableText0"/>
              <w:keepNext w:val="0"/>
              <w:jc w:val="center"/>
              <w:rPr>
                <w:szCs w:val="20"/>
              </w:rPr>
            </w:pPr>
            <w:r w:rsidRPr="00AE3438">
              <w:rPr>
                <w:szCs w:val="20"/>
              </w:rPr>
              <w:t>MC, NC, OL up to 18 mths of age</w:t>
            </w:r>
          </w:p>
        </w:tc>
        <w:tc>
          <w:tcPr>
            <w:tcW w:w="296" w:type="pct"/>
            <w:shd w:val="clear" w:color="auto" w:fill="auto"/>
            <w:vAlign w:val="center"/>
          </w:tcPr>
          <w:p w14:paraId="09A7FBBF"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auto"/>
            <w:vAlign w:val="center"/>
          </w:tcPr>
          <w:p w14:paraId="0C718C22" w14:textId="77777777" w:rsidR="00347484" w:rsidRPr="00AE3438" w:rsidRDefault="00347484" w:rsidP="00BD02D3">
            <w:pPr>
              <w:pStyle w:val="TableText0"/>
              <w:keepNext w:val="0"/>
              <w:jc w:val="center"/>
              <w:rPr>
                <w:szCs w:val="20"/>
              </w:rPr>
            </w:pPr>
            <w:r w:rsidRPr="00AE3438">
              <w:rPr>
                <w:szCs w:val="20"/>
              </w:rPr>
              <w:t>ONA IV 1.1 x 10</w:t>
            </w:r>
            <w:r w:rsidRPr="00AE3438">
              <w:rPr>
                <w:szCs w:val="20"/>
                <w:vertAlign w:val="superscript"/>
              </w:rPr>
              <w:t>14</w:t>
            </w:r>
            <w:r w:rsidRPr="00AE3438">
              <w:rPr>
                <w:szCs w:val="20"/>
              </w:rPr>
              <w:t xml:space="preserve"> vg/kg</w:t>
            </w:r>
          </w:p>
        </w:tc>
        <w:tc>
          <w:tcPr>
            <w:tcW w:w="1178" w:type="pct"/>
            <w:shd w:val="clear" w:color="auto" w:fill="auto"/>
            <w:vAlign w:val="center"/>
          </w:tcPr>
          <w:p w14:paraId="7B199B3C" w14:textId="77777777" w:rsidR="00347484" w:rsidRPr="00AE3438" w:rsidRDefault="00347484" w:rsidP="00BD02D3">
            <w:pPr>
              <w:pStyle w:val="TableText0"/>
              <w:keepNext w:val="0"/>
              <w:jc w:val="center"/>
              <w:rPr>
                <w:szCs w:val="20"/>
              </w:rPr>
            </w:pPr>
            <w:r w:rsidRPr="00AE3438">
              <w:rPr>
                <w:szCs w:val="20"/>
              </w:rPr>
              <w:t xml:space="preserve">SMA Type I (1-2 copies of </w:t>
            </w:r>
            <w:r w:rsidRPr="00AE3438">
              <w:rPr>
                <w:i/>
                <w:szCs w:val="20"/>
              </w:rPr>
              <w:t>SMN2</w:t>
            </w:r>
            <w:r w:rsidRPr="00AE3438">
              <w:rPr>
                <w:szCs w:val="20"/>
              </w:rPr>
              <w:t>); age &lt;6 mths</w:t>
            </w:r>
          </w:p>
        </w:tc>
        <w:tc>
          <w:tcPr>
            <w:tcW w:w="808" w:type="pct"/>
            <w:shd w:val="clear" w:color="auto" w:fill="auto"/>
            <w:vAlign w:val="center"/>
          </w:tcPr>
          <w:p w14:paraId="2065576B" w14:textId="77777777" w:rsidR="00347484" w:rsidRPr="00AE3438" w:rsidRDefault="00347484" w:rsidP="00BD02D3">
            <w:pPr>
              <w:pStyle w:val="TableText0"/>
              <w:keepNext w:val="0"/>
              <w:rPr>
                <w:szCs w:val="20"/>
              </w:rPr>
            </w:pPr>
            <w:r w:rsidRPr="00AE3438">
              <w:rPr>
                <w:szCs w:val="20"/>
              </w:rPr>
              <w:t xml:space="preserve">1°: motor milestone – sitting </w:t>
            </w:r>
            <w:r w:rsidRPr="00AE3438">
              <w:rPr>
                <w:szCs w:val="20"/>
              </w:rPr>
              <w:lastRenderedPageBreak/>
              <w:t>(age 18 mths), EFS (age 14 mths)</w:t>
            </w:r>
          </w:p>
          <w:p w14:paraId="6AD758D8" w14:textId="77777777" w:rsidR="00347484" w:rsidRPr="00AE3438" w:rsidRDefault="00347484" w:rsidP="00BD02D3">
            <w:pPr>
              <w:pStyle w:val="TableText0"/>
              <w:keepNext w:val="0"/>
              <w:rPr>
                <w:szCs w:val="20"/>
              </w:rPr>
            </w:pPr>
            <w:r w:rsidRPr="00AE3438">
              <w:rPr>
                <w:szCs w:val="20"/>
              </w:rPr>
              <w:t>2°: motor milestones, OS</w:t>
            </w:r>
          </w:p>
        </w:tc>
        <w:tc>
          <w:tcPr>
            <w:tcW w:w="147" w:type="pct"/>
            <w:shd w:val="clear" w:color="auto" w:fill="auto"/>
            <w:vAlign w:val="center"/>
          </w:tcPr>
          <w:p w14:paraId="6278406A" w14:textId="77777777" w:rsidR="00347484" w:rsidRPr="00AE3438" w:rsidRDefault="00347484" w:rsidP="00BD02D3">
            <w:pPr>
              <w:pStyle w:val="TableText0"/>
              <w:keepNext w:val="0"/>
              <w:jc w:val="center"/>
              <w:rPr>
                <w:szCs w:val="20"/>
              </w:rPr>
            </w:pPr>
            <w:r w:rsidRPr="00AE3438">
              <w:rPr>
                <w:szCs w:val="20"/>
              </w:rPr>
              <w:lastRenderedPageBreak/>
              <w:t>-</w:t>
            </w:r>
          </w:p>
        </w:tc>
      </w:tr>
      <w:tr w:rsidR="00347484" w:rsidRPr="00AE3438" w14:paraId="78D367A4" w14:textId="77777777" w:rsidTr="00D22BF5">
        <w:tc>
          <w:tcPr>
            <w:tcW w:w="662" w:type="pct"/>
            <w:shd w:val="clear" w:color="auto" w:fill="auto"/>
            <w:vAlign w:val="center"/>
          </w:tcPr>
          <w:p w14:paraId="14F67C23" w14:textId="77777777" w:rsidR="00347484" w:rsidRPr="00AE3438" w:rsidRDefault="00347484" w:rsidP="00BD02D3">
            <w:pPr>
              <w:pStyle w:val="TableText0"/>
              <w:keepNext w:val="0"/>
              <w:rPr>
                <w:szCs w:val="20"/>
              </w:rPr>
            </w:pPr>
            <w:r w:rsidRPr="00AE3438">
              <w:rPr>
                <w:szCs w:val="20"/>
              </w:rPr>
              <w:t>STR1VE-EU</w:t>
            </w:r>
          </w:p>
        </w:tc>
        <w:tc>
          <w:tcPr>
            <w:tcW w:w="222" w:type="pct"/>
            <w:shd w:val="clear" w:color="auto" w:fill="auto"/>
            <w:vAlign w:val="center"/>
          </w:tcPr>
          <w:p w14:paraId="4F051485" w14:textId="77777777" w:rsidR="00347484" w:rsidRPr="00AE3438" w:rsidRDefault="00347484" w:rsidP="00BD02D3">
            <w:pPr>
              <w:pStyle w:val="TableText0"/>
              <w:keepNext w:val="0"/>
              <w:jc w:val="center"/>
              <w:rPr>
                <w:szCs w:val="20"/>
              </w:rPr>
            </w:pPr>
            <w:r w:rsidRPr="00AE3438">
              <w:rPr>
                <w:szCs w:val="20"/>
              </w:rPr>
              <w:t>33</w:t>
            </w:r>
          </w:p>
        </w:tc>
        <w:tc>
          <w:tcPr>
            <w:tcW w:w="1100" w:type="pct"/>
            <w:shd w:val="clear" w:color="auto" w:fill="auto"/>
            <w:vAlign w:val="center"/>
          </w:tcPr>
          <w:p w14:paraId="10F108F0" w14:textId="77777777" w:rsidR="00347484" w:rsidRPr="00AE3438" w:rsidRDefault="00347484" w:rsidP="00BD02D3">
            <w:pPr>
              <w:pStyle w:val="TableText0"/>
              <w:keepNext w:val="0"/>
              <w:jc w:val="center"/>
              <w:rPr>
                <w:szCs w:val="20"/>
              </w:rPr>
            </w:pPr>
            <w:r w:rsidRPr="00AE3438">
              <w:rPr>
                <w:szCs w:val="20"/>
              </w:rPr>
              <w:t>MC, NC, OL up to 18 mths of age</w:t>
            </w:r>
          </w:p>
        </w:tc>
        <w:tc>
          <w:tcPr>
            <w:tcW w:w="296" w:type="pct"/>
            <w:shd w:val="clear" w:color="auto" w:fill="auto"/>
            <w:vAlign w:val="center"/>
          </w:tcPr>
          <w:p w14:paraId="09F091C5"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auto"/>
            <w:vAlign w:val="center"/>
          </w:tcPr>
          <w:p w14:paraId="6D14D6FB" w14:textId="77777777" w:rsidR="00347484" w:rsidRPr="00AE3438" w:rsidRDefault="00347484" w:rsidP="00BD02D3">
            <w:pPr>
              <w:pStyle w:val="TableText0"/>
              <w:keepNext w:val="0"/>
              <w:jc w:val="center"/>
              <w:rPr>
                <w:szCs w:val="20"/>
              </w:rPr>
            </w:pPr>
            <w:r w:rsidRPr="00AE3438">
              <w:rPr>
                <w:szCs w:val="20"/>
              </w:rPr>
              <w:t>ONA IV 1.1 x 10</w:t>
            </w:r>
            <w:r w:rsidRPr="00AE3438">
              <w:rPr>
                <w:szCs w:val="20"/>
                <w:vertAlign w:val="superscript"/>
              </w:rPr>
              <w:t>14</w:t>
            </w:r>
            <w:r w:rsidRPr="00AE3438">
              <w:rPr>
                <w:szCs w:val="20"/>
              </w:rPr>
              <w:t xml:space="preserve"> vg/kg</w:t>
            </w:r>
          </w:p>
        </w:tc>
        <w:tc>
          <w:tcPr>
            <w:tcW w:w="1178" w:type="pct"/>
            <w:shd w:val="clear" w:color="auto" w:fill="auto"/>
            <w:vAlign w:val="center"/>
          </w:tcPr>
          <w:p w14:paraId="53883FA9" w14:textId="77777777" w:rsidR="00347484" w:rsidRPr="00AE3438" w:rsidRDefault="00347484" w:rsidP="00BD02D3">
            <w:pPr>
              <w:pStyle w:val="TableText0"/>
              <w:keepNext w:val="0"/>
              <w:jc w:val="center"/>
              <w:rPr>
                <w:szCs w:val="20"/>
              </w:rPr>
            </w:pPr>
            <w:r w:rsidRPr="00AE3438">
              <w:rPr>
                <w:szCs w:val="20"/>
              </w:rPr>
              <w:t xml:space="preserve">SMA Type I (1-2 copies of </w:t>
            </w:r>
            <w:r w:rsidRPr="00AE3438">
              <w:rPr>
                <w:i/>
                <w:szCs w:val="20"/>
              </w:rPr>
              <w:t>SMN2</w:t>
            </w:r>
            <w:r w:rsidRPr="00AE3438">
              <w:rPr>
                <w:szCs w:val="20"/>
              </w:rPr>
              <w:t>); age &lt;6 mths</w:t>
            </w:r>
          </w:p>
        </w:tc>
        <w:tc>
          <w:tcPr>
            <w:tcW w:w="808" w:type="pct"/>
            <w:shd w:val="clear" w:color="auto" w:fill="auto"/>
            <w:vAlign w:val="center"/>
          </w:tcPr>
          <w:p w14:paraId="2CFF2690" w14:textId="77777777" w:rsidR="00347484" w:rsidRPr="00AE3438" w:rsidRDefault="00347484" w:rsidP="00BD02D3">
            <w:pPr>
              <w:pStyle w:val="TableText0"/>
              <w:keepNext w:val="0"/>
              <w:rPr>
                <w:szCs w:val="20"/>
              </w:rPr>
            </w:pPr>
            <w:r w:rsidRPr="00AE3438">
              <w:rPr>
                <w:szCs w:val="20"/>
              </w:rPr>
              <w:t>1°: motor milestone – sitting (age 18 mths)</w:t>
            </w:r>
          </w:p>
          <w:p w14:paraId="537738EE" w14:textId="77777777" w:rsidR="00347484" w:rsidRPr="00AE3438" w:rsidRDefault="00347484" w:rsidP="00BD02D3">
            <w:pPr>
              <w:pStyle w:val="TableText0"/>
              <w:keepNext w:val="0"/>
              <w:rPr>
                <w:szCs w:val="20"/>
              </w:rPr>
            </w:pPr>
            <w:r w:rsidRPr="00AE3438">
              <w:rPr>
                <w:szCs w:val="20"/>
              </w:rPr>
              <w:t>2°: EFS, OS</w:t>
            </w:r>
          </w:p>
          <w:p w14:paraId="1FCFDB67" w14:textId="77777777" w:rsidR="00347484" w:rsidRPr="00AE3438" w:rsidRDefault="00347484" w:rsidP="00BD02D3">
            <w:pPr>
              <w:pStyle w:val="TableText0"/>
              <w:keepNext w:val="0"/>
              <w:rPr>
                <w:szCs w:val="20"/>
              </w:rPr>
            </w:pPr>
            <w:r w:rsidRPr="00AE3438">
              <w:rPr>
                <w:szCs w:val="20"/>
              </w:rPr>
              <w:t>Other: motor milestones</w:t>
            </w:r>
          </w:p>
        </w:tc>
        <w:tc>
          <w:tcPr>
            <w:tcW w:w="147" w:type="pct"/>
            <w:shd w:val="clear" w:color="auto" w:fill="auto"/>
            <w:vAlign w:val="center"/>
          </w:tcPr>
          <w:p w14:paraId="0420C933" w14:textId="77777777" w:rsidR="00347484" w:rsidRPr="00AE3438" w:rsidRDefault="00347484" w:rsidP="00BD02D3">
            <w:pPr>
              <w:pStyle w:val="TableText0"/>
              <w:keepNext w:val="0"/>
              <w:jc w:val="center"/>
              <w:rPr>
                <w:szCs w:val="20"/>
              </w:rPr>
            </w:pPr>
            <w:r w:rsidRPr="00AE3438">
              <w:rPr>
                <w:szCs w:val="20"/>
              </w:rPr>
              <w:t>-</w:t>
            </w:r>
          </w:p>
        </w:tc>
      </w:tr>
      <w:tr w:rsidR="0049159C" w:rsidRPr="00AE3438" w14:paraId="735CF0E6" w14:textId="77777777" w:rsidTr="00D22BF5">
        <w:tc>
          <w:tcPr>
            <w:tcW w:w="662" w:type="pct"/>
            <w:shd w:val="clear" w:color="auto" w:fill="auto"/>
            <w:vAlign w:val="center"/>
          </w:tcPr>
          <w:p w14:paraId="4CEF947E" w14:textId="3D6AF013" w:rsidR="0049159C" w:rsidRPr="00AE3438" w:rsidRDefault="0049159C" w:rsidP="0049159C">
            <w:pPr>
              <w:pStyle w:val="TableText0"/>
              <w:keepNext w:val="0"/>
              <w:rPr>
                <w:szCs w:val="20"/>
              </w:rPr>
            </w:pPr>
            <w:r w:rsidRPr="00AE3438">
              <w:rPr>
                <w:szCs w:val="20"/>
              </w:rPr>
              <w:t>LT-002^ (STR1VE-US, STR1VE-EU)</w:t>
            </w:r>
          </w:p>
        </w:tc>
        <w:tc>
          <w:tcPr>
            <w:tcW w:w="222" w:type="pct"/>
            <w:shd w:val="clear" w:color="auto" w:fill="auto"/>
            <w:vAlign w:val="center"/>
          </w:tcPr>
          <w:p w14:paraId="1E2086CF" w14:textId="4A88CD29" w:rsidR="0049159C" w:rsidRPr="00AE3438" w:rsidRDefault="0049159C" w:rsidP="0049159C">
            <w:pPr>
              <w:pStyle w:val="TableText0"/>
              <w:keepNext w:val="0"/>
              <w:jc w:val="center"/>
              <w:rPr>
                <w:szCs w:val="20"/>
              </w:rPr>
            </w:pPr>
            <w:r w:rsidRPr="00AE3438">
              <w:rPr>
                <w:szCs w:val="20"/>
              </w:rPr>
              <w:t>27</w:t>
            </w:r>
            <w:r w:rsidRPr="00AE3438">
              <w:rPr>
                <w:szCs w:val="20"/>
                <w:vertAlign w:val="superscript"/>
              </w:rPr>
              <w:t>b</w:t>
            </w:r>
          </w:p>
        </w:tc>
        <w:tc>
          <w:tcPr>
            <w:tcW w:w="1100" w:type="pct"/>
            <w:shd w:val="clear" w:color="auto" w:fill="auto"/>
            <w:vAlign w:val="center"/>
          </w:tcPr>
          <w:p w14:paraId="7D3389F0" w14:textId="77777777" w:rsidR="0049159C" w:rsidRPr="00AE3438" w:rsidRDefault="0049159C" w:rsidP="0049159C">
            <w:pPr>
              <w:pStyle w:val="TableText0"/>
              <w:jc w:val="center"/>
              <w:rPr>
                <w:szCs w:val="20"/>
              </w:rPr>
            </w:pPr>
            <w:r w:rsidRPr="00AE3438">
              <w:rPr>
                <w:szCs w:val="20"/>
              </w:rPr>
              <w:t xml:space="preserve">MC, OL extension 15 yrs </w:t>
            </w:r>
          </w:p>
          <w:p w14:paraId="60E06F4A" w14:textId="3D3FB98B" w:rsidR="0049159C" w:rsidRPr="00AE3438" w:rsidRDefault="0049159C" w:rsidP="0049159C">
            <w:pPr>
              <w:pStyle w:val="TableText0"/>
              <w:keepNext w:val="0"/>
              <w:jc w:val="center"/>
              <w:rPr>
                <w:szCs w:val="20"/>
              </w:rPr>
            </w:pPr>
            <w:r w:rsidRPr="00AE3438">
              <w:rPr>
                <w:szCs w:val="20"/>
              </w:rPr>
              <w:t>May 2021 data cut: median (range) age 41.7 (38.5-45.5) mths from STR1VE-US, 34.1 (29.4-36) mths from STR1VE-EU</w:t>
            </w:r>
          </w:p>
        </w:tc>
        <w:tc>
          <w:tcPr>
            <w:tcW w:w="296" w:type="pct"/>
            <w:shd w:val="clear" w:color="auto" w:fill="auto"/>
            <w:vAlign w:val="center"/>
          </w:tcPr>
          <w:p w14:paraId="1D1A5DA6" w14:textId="50BDDEFD" w:rsidR="0049159C" w:rsidRPr="00AE3438" w:rsidRDefault="0049159C" w:rsidP="0049159C">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auto"/>
            <w:vAlign w:val="center"/>
          </w:tcPr>
          <w:p w14:paraId="17877523" w14:textId="1F20736B" w:rsidR="0049159C" w:rsidRPr="00387403" w:rsidRDefault="0049159C" w:rsidP="0049159C">
            <w:pPr>
              <w:pStyle w:val="TableText0"/>
              <w:keepNext w:val="0"/>
              <w:jc w:val="center"/>
              <w:rPr>
                <w:iCs/>
                <w:szCs w:val="20"/>
              </w:rPr>
            </w:pPr>
            <w:r w:rsidRPr="00387403">
              <w:rPr>
                <w:iCs/>
                <w:szCs w:val="20"/>
              </w:rPr>
              <w:t>As in STR1VE</w:t>
            </w:r>
          </w:p>
        </w:tc>
        <w:tc>
          <w:tcPr>
            <w:tcW w:w="1178" w:type="pct"/>
            <w:shd w:val="clear" w:color="auto" w:fill="auto"/>
            <w:vAlign w:val="center"/>
          </w:tcPr>
          <w:p w14:paraId="42A56C4C" w14:textId="42DB05FB" w:rsidR="0049159C" w:rsidRPr="00AE3438" w:rsidRDefault="0049159C" w:rsidP="0049159C">
            <w:pPr>
              <w:pStyle w:val="TableText0"/>
              <w:keepNext w:val="0"/>
              <w:jc w:val="center"/>
              <w:rPr>
                <w:szCs w:val="20"/>
              </w:rPr>
            </w:pPr>
            <w:r w:rsidRPr="00AE3438">
              <w:rPr>
                <w:szCs w:val="20"/>
              </w:rPr>
              <w:t>SMA Type I (1-</w:t>
            </w:r>
            <w:r w:rsidR="007E7A49" w:rsidRPr="00AE3438">
              <w:rPr>
                <w:szCs w:val="20"/>
              </w:rPr>
              <w:t>2</w:t>
            </w:r>
            <w:r w:rsidRPr="00AE3438">
              <w:rPr>
                <w:szCs w:val="20"/>
              </w:rPr>
              <w:t xml:space="preserve"> copies of </w:t>
            </w:r>
            <w:r w:rsidRPr="00AE3438">
              <w:rPr>
                <w:i/>
                <w:szCs w:val="20"/>
              </w:rPr>
              <w:t>SMN2</w:t>
            </w:r>
            <w:r w:rsidRPr="00AE3438">
              <w:rPr>
                <w:szCs w:val="20"/>
              </w:rPr>
              <w:t>)</w:t>
            </w:r>
          </w:p>
        </w:tc>
        <w:tc>
          <w:tcPr>
            <w:tcW w:w="808" w:type="pct"/>
            <w:shd w:val="clear" w:color="auto" w:fill="auto"/>
            <w:vAlign w:val="center"/>
          </w:tcPr>
          <w:p w14:paraId="6C15B084" w14:textId="77777777" w:rsidR="0049159C" w:rsidRPr="00AE3438" w:rsidRDefault="0049159C" w:rsidP="0049159C">
            <w:pPr>
              <w:pStyle w:val="TableText0"/>
              <w:keepNext w:val="0"/>
              <w:rPr>
                <w:szCs w:val="20"/>
              </w:rPr>
            </w:pPr>
            <w:r w:rsidRPr="00AE3438">
              <w:rPr>
                <w:szCs w:val="20"/>
              </w:rPr>
              <w:t>1°: motor milestone (24 mths)</w:t>
            </w:r>
          </w:p>
          <w:p w14:paraId="5F387C5E" w14:textId="1721B683" w:rsidR="0049159C" w:rsidRPr="00AE3438" w:rsidRDefault="0049159C" w:rsidP="0049159C">
            <w:pPr>
              <w:pStyle w:val="TableText0"/>
              <w:keepNext w:val="0"/>
              <w:rPr>
                <w:szCs w:val="20"/>
              </w:rPr>
            </w:pPr>
            <w:r w:rsidRPr="00AE3438">
              <w:rPr>
                <w:szCs w:val="20"/>
              </w:rPr>
              <w:t>2°: motor milestones, EFS</w:t>
            </w:r>
          </w:p>
        </w:tc>
        <w:tc>
          <w:tcPr>
            <w:tcW w:w="147" w:type="pct"/>
            <w:shd w:val="clear" w:color="auto" w:fill="auto"/>
            <w:vAlign w:val="center"/>
          </w:tcPr>
          <w:p w14:paraId="15081D69" w14:textId="03636B21" w:rsidR="0049159C" w:rsidRPr="00AE3438" w:rsidRDefault="0049159C" w:rsidP="0049159C">
            <w:pPr>
              <w:pStyle w:val="TableText0"/>
              <w:keepNext w:val="0"/>
              <w:jc w:val="center"/>
              <w:rPr>
                <w:szCs w:val="20"/>
              </w:rPr>
            </w:pPr>
            <w:r w:rsidRPr="00AE3438">
              <w:rPr>
                <w:szCs w:val="20"/>
              </w:rPr>
              <w:t>-</w:t>
            </w:r>
          </w:p>
        </w:tc>
      </w:tr>
      <w:tr w:rsidR="00347484" w:rsidRPr="00AE3438" w14:paraId="53400C22" w14:textId="77777777" w:rsidTr="00D22BF5">
        <w:tc>
          <w:tcPr>
            <w:tcW w:w="5000" w:type="pct"/>
            <w:gridSpan w:val="8"/>
            <w:shd w:val="clear" w:color="auto" w:fill="auto"/>
          </w:tcPr>
          <w:p w14:paraId="613BEEAB" w14:textId="77777777" w:rsidR="00347484" w:rsidRPr="00AE3438" w:rsidRDefault="00347484" w:rsidP="00BD02D3">
            <w:pPr>
              <w:pStyle w:val="TableText0"/>
              <w:keepNext w:val="0"/>
              <w:rPr>
                <w:b/>
                <w:szCs w:val="20"/>
              </w:rPr>
            </w:pPr>
            <w:r w:rsidRPr="00AE3438">
              <w:rPr>
                <w:b/>
                <w:szCs w:val="20"/>
              </w:rPr>
              <w:t>NUSI</w:t>
            </w:r>
          </w:p>
        </w:tc>
      </w:tr>
      <w:tr w:rsidR="00347484" w:rsidRPr="00AE3438" w14:paraId="0A01D334" w14:textId="77777777" w:rsidTr="00D22BF5">
        <w:tc>
          <w:tcPr>
            <w:tcW w:w="662" w:type="pct"/>
            <w:shd w:val="clear" w:color="auto" w:fill="auto"/>
            <w:vAlign w:val="center"/>
          </w:tcPr>
          <w:p w14:paraId="5B1E5169" w14:textId="77777777" w:rsidR="00347484" w:rsidRPr="00AE3438" w:rsidRDefault="00347484" w:rsidP="00BD02D3">
            <w:pPr>
              <w:pStyle w:val="TableText0"/>
              <w:keepNext w:val="0"/>
              <w:rPr>
                <w:szCs w:val="20"/>
              </w:rPr>
            </w:pPr>
            <w:r w:rsidRPr="00AE3438">
              <w:rPr>
                <w:szCs w:val="20"/>
              </w:rPr>
              <w:t>ENDEAR</w:t>
            </w:r>
          </w:p>
        </w:tc>
        <w:tc>
          <w:tcPr>
            <w:tcW w:w="222" w:type="pct"/>
            <w:shd w:val="clear" w:color="auto" w:fill="auto"/>
            <w:vAlign w:val="center"/>
          </w:tcPr>
          <w:p w14:paraId="352619EA" w14:textId="77777777" w:rsidR="00347484" w:rsidRPr="00AE3438" w:rsidRDefault="00347484" w:rsidP="00BD02D3">
            <w:pPr>
              <w:pStyle w:val="TableText0"/>
              <w:keepNext w:val="0"/>
              <w:jc w:val="center"/>
              <w:rPr>
                <w:szCs w:val="20"/>
              </w:rPr>
            </w:pPr>
            <w:r w:rsidRPr="00AE3438">
              <w:rPr>
                <w:szCs w:val="20"/>
              </w:rPr>
              <w:t>121</w:t>
            </w:r>
          </w:p>
        </w:tc>
        <w:tc>
          <w:tcPr>
            <w:tcW w:w="1100" w:type="pct"/>
            <w:shd w:val="clear" w:color="auto" w:fill="auto"/>
            <w:vAlign w:val="center"/>
          </w:tcPr>
          <w:p w14:paraId="11BCE7A6" w14:textId="77777777" w:rsidR="00347484" w:rsidRPr="00AE3438" w:rsidRDefault="00347484" w:rsidP="00BD02D3">
            <w:pPr>
              <w:pStyle w:val="TableText0"/>
              <w:keepNext w:val="0"/>
              <w:jc w:val="center"/>
              <w:rPr>
                <w:szCs w:val="20"/>
              </w:rPr>
            </w:pPr>
            <w:r w:rsidRPr="00AE3438">
              <w:rPr>
                <w:szCs w:val="20"/>
              </w:rPr>
              <w:t>R, DB, MC 13 mths</w:t>
            </w:r>
          </w:p>
        </w:tc>
        <w:tc>
          <w:tcPr>
            <w:tcW w:w="296" w:type="pct"/>
            <w:shd w:val="clear" w:color="auto" w:fill="auto"/>
            <w:vAlign w:val="center"/>
          </w:tcPr>
          <w:p w14:paraId="170F8347" w14:textId="77777777" w:rsidR="00347484" w:rsidRPr="00AE3438" w:rsidRDefault="00347484" w:rsidP="00BD02D3">
            <w:pPr>
              <w:pStyle w:val="TableText0"/>
              <w:keepNext w:val="0"/>
              <w:jc w:val="center"/>
              <w:rPr>
                <w:szCs w:val="20"/>
              </w:rPr>
            </w:pPr>
            <w:r w:rsidRPr="00AE3438">
              <w:rPr>
                <w:szCs w:val="20"/>
              </w:rPr>
              <w:t>Low</w:t>
            </w:r>
          </w:p>
        </w:tc>
        <w:tc>
          <w:tcPr>
            <w:tcW w:w="588" w:type="pct"/>
            <w:shd w:val="clear" w:color="auto" w:fill="auto"/>
            <w:vAlign w:val="center"/>
          </w:tcPr>
          <w:p w14:paraId="492C0891" w14:textId="77777777" w:rsidR="00347484" w:rsidRPr="00AE3438" w:rsidRDefault="00347484" w:rsidP="00BD02D3">
            <w:pPr>
              <w:pStyle w:val="TableText0"/>
              <w:keepNext w:val="0"/>
              <w:jc w:val="center"/>
              <w:rPr>
                <w:szCs w:val="20"/>
              </w:rPr>
            </w:pPr>
            <w:r w:rsidRPr="00AE3438">
              <w:rPr>
                <w:szCs w:val="20"/>
              </w:rPr>
              <w:t>NUSI IC 12 mg</w:t>
            </w:r>
          </w:p>
          <w:p w14:paraId="39519158" w14:textId="77777777" w:rsidR="00347484" w:rsidRPr="00AE3438" w:rsidRDefault="00347484" w:rsidP="00BD02D3">
            <w:pPr>
              <w:pStyle w:val="TableText0"/>
              <w:keepNext w:val="0"/>
              <w:jc w:val="center"/>
              <w:rPr>
                <w:szCs w:val="20"/>
              </w:rPr>
            </w:pPr>
            <w:r w:rsidRPr="00AE3438">
              <w:rPr>
                <w:szCs w:val="20"/>
              </w:rPr>
              <w:t>Control (sham)</w:t>
            </w:r>
          </w:p>
        </w:tc>
        <w:tc>
          <w:tcPr>
            <w:tcW w:w="1178" w:type="pct"/>
            <w:shd w:val="clear" w:color="auto" w:fill="auto"/>
            <w:vAlign w:val="center"/>
          </w:tcPr>
          <w:p w14:paraId="0941C1AD" w14:textId="77777777" w:rsidR="00347484" w:rsidRPr="00AE3438" w:rsidRDefault="00347484" w:rsidP="00BD02D3">
            <w:pPr>
              <w:pStyle w:val="TableText0"/>
              <w:keepNext w:val="0"/>
              <w:jc w:val="center"/>
              <w:rPr>
                <w:szCs w:val="20"/>
              </w:rPr>
            </w:pPr>
            <w:r w:rsidRPr="00AE3438">
              <w:rPr>
                <w:szCs w:val="20"/>
              </w:rPr>
              <w:t xml:space="preserve">SMA Type I (2 copies of </w:t>
            </w:r>
            <w:r w:rsidRPr="00AE3438">
              <w:rPr>
                <w:i/>
                <w:szCs w:val="20"/>
              </w:rPr>
              <w:t>SMN2</w:t>
            </w:r>
            <w:r w:rsidRPr="00AE3438">
              <w:rPr>
                <w:szCs w:val="20"/>
              </w:rPr>
              <w:t>); age ≥2 yrs</w:t>
            </w:r>
          </w:p>
        </w:tc>
        <w:tc>
          <w:tcPr>
            <w:tcW w:w="808" w:type="pct"/>
            <w:shd w:val="clear" w:color="auto" w:fill="auto"/>
            <w:vAlign w:val="center"/>
          </w:tcPr>
          <w:p w14:paraId="3AAFC21F" w14:textId="77777777" w:rsidR="00347484" w:rsidRPr="00AE3438" w:rsidRDefault="00347484" w:rsidP="00BD02D3">
            <w:pPr>
              <w:pStyle w:val="TableText0"/>
              <w:keepNext w:val="0"/>
              <w:rPr>
                <w:szCs w:val="20"/>
              </w:rPr>
            </w:pPr>
            <w:r w:rsidRPr="00AE3438">
              <w:rPr>
                <w:szCs w:val="20"/>
              </w:rPr>
              <w:t>1°: motor milestone response – HINE-2, EFS (13 mths)</w:t>
            </w:r>
          </w:p>
          <w:p w14:paraId="03B6E28D" w14:textId="77777777" w:rsidR="00347484" w:rsidRPr="00AE3438" w:rsidRDefault="00347484" w:rsidP="00BD02D3">
            <w:pPr>
              <w:pStyle w:val="TableText0"/>
              <w:keepNext w:val="0"/>
              <w:rPr>
                <w:szCs w:val="20"/>
              </w:rPr>
            </w:pPr>
            <w:r w:rsidRPr="00AE3438">
              <w:rPr>
                <w:szCs w:val="20"/>
              </w:rPr>
              <w:t>2°: motor milestones, OS</w:t>
            </w:r>
          </w:p>
        </w:tc>
        <w:tc>
          <w:tcPr>
            <w:tcW w:w="147" w:type="pct"/>
            <w:shd w:val="clear" w:color="auto" w:fill="auto"/>
            <w:vAlign w:val="center"/>
          </w:tcPr>
          <w:p w14:paraId="1A1DF30C" w14:textId="77777777" w:rsidR="00347484" w:rsidRPr="00AE3438" w:rsidRDefault="00347484" w:rsidP="00BD02D3">
            <w:pPr>
              <w:pStyle w:val="TableText0"/>
              <w:keepNext w:val="0"/>
              <w:jc w:val="center"/>
              <w:rPr>
                <w:szCs w:val="20"/>
              </w:rPr>
            </w:pPr>
            <w:r w:rsidRPr="00AE3438">
              <w:rPr>
                <w:szCs w:val="20"/>
              </w:rPr>
              <w:sym w:font="Wingdings" w:char="F0FC"/>
            </w:r>
          </w:p>
        </w:tc>
      </w:tr>
      <w:tr w:rsidR="00347484" w:rsidRPr="00AE3438" w14:paraId="58D92B61" w14:textId="77777777" w:rsidTr="00D22BF5">
        <w:tc>
          <w:tcPr>
            <w:tcW w:w="662" w:type="pct"/>
            <w:shd w:val="clear" w:color="auto" w:fill="auto"/>
            <w:vAlign w:val="center"/>
          </w:tcPr>
          <w:p w14:paraId="03101C14" w14:textId="77777777" w:rsidR="00347484" w:rsidRPr="00AE3438" w:rsidRDefault="00347484" w:rsidP="00BD02D3">
            <w:pPr>
              <w:pStyle w:val="TableText0"/>
              <w:keepNext w:val="0"/>
              <w:rPr>
                <w:szCs w:val="20"/>
              </w:rPr>
            </w:pPr>
            <w:r w:rsidRPr="00AE3438">
              <w:rPr>
                <w:szCs w:val="20"/>
              </w:rPr>
              <w:t>CS3A</w:t>
            </w:r>
          </w:p>
        </w:tc>
        <w:tc>
          <w:tcPr>
            <w:tcW w:w="222" w:type="pct"/>
            <w:shd w:val="clear" w:color="auto" w:fill="auto"/>
            <w:vAlign w:val="center"/>
          </w:tcPr>
          <w:p w14:paraId="1C11E8DC" w14:textId="77777777" w:rsidR="00347484" w:rsidRPr="00AE3438" w:rsidRDefault="00347484" w:rsidP="00BD02D3">
            <w:pPr>
              <w:pStyle w:val="TableText0"/>
              <w:keepNext w:val="0"/>
              <w:jc w:val="center"/>
              <w:rPr>
                <w:szCs w:val="20"/>
              </w:rPr>
            </w:pPr>
            <w:r w:rsidRPr="00AE3438">
              <w:rPr>
                <w:szCs w:val="20"/>
              </w:rPr>
              <w:t>20</w:t>
            </w:r>
          </w:p>
        </w:tc>
        <w:tc>
          <w:tcPr>
            <w:tcW w:w="1100" w:type="pct"/>
            <w:shd w:val="clear" w:color="auto" w:fill="auto"/>
            <w:vAlign w:val="center"/>
          </w:tcPr>
          <w:p w14:paraId="761EFF3C" w14:textId="77777777" w:rsidR="00347484" w:rsidRPr="00AE3438" w:rsidRDefault="00347484" w:rsidP="00BD02D3">
            <w:pPr>
              <w:pStyle w:val="TableText0"/>
              <w:keepNext w:val="0"/>
              <w:jc w:val="center"/>
              <w:rPr>
                <w:szCs w:val="20"/>
              </w:rPr>
            </w:pPr>
            <w:r w:rsidRPr="00AE3438">
              <w:rPr>
                <w:szCs w:val="20"/>
              </w:rPr>
              <w:t>MC, OL 36 mths</w:t>
            </w:r>
          </w:p>
        </w:tc>
        <w:tc>
          <w:tcPr>
            <w:tcW w:w="296" w:type="pct"/>
            <w:shd w:val="clear" w:color="auto" w:fill="auto"/>
            <w:vAlign w:val="center"/>
          </w:tcPr>
          <w:p w14:paraId="1E32A44C"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auto"/>
            <w:vAlign w:val="center"/>
          </w:tcPr>
          <w:p w14:paraId="17D5C90F" w14:textId="77777777" w:rsidR="00347484" w:rsidRPr="00AE3438" w:rsidRDefault="00347484" w:rsidP="00BD02D3">
            <w:pPr>
              <w:pStyle w:val="TableText0"/>
              <w:keepNext w:val="0"/>
              <w:jc w:val="center"/>
              <w:rPr>
                <w:szCs w:val="20"/>
              </w:rPr>
            </w:pPr>
            <w:r w:rsidRPr="00AE3438">
              <w:rPr>
                <w:szCs w:val="20"/>
              </w:rPr>
              <w:t>NUSI IC 6 mg + 12 mg maintenance</w:t>
            </w:r>
          </w:p>
          <w:p w14:paraId="7F8F08EE" w14:textId="77777777" w:rsidR="00347484" w:rsidRPr="00AE3438" w:rsidRDefault="00347484" w:rsidP="00BD02D3">
            <w:pPr>
              <w:pStyle w:val="TableText0"/>
              <w:keepNext w:val="0"/>
              <w:jc w:val="center"/>
              <w:rPr>
                <w:szCs w:val="20"/>
              </w:rPr>
            </w:pPr>
            <w:r w:rsidRPr="00AE3438">
              <w:rPr>
                <w:szCs w:val="20"/>
              </w:rPr>
              <w:t>NUSI IC 12 mg</w:t>
            </w:r>
          </w:p>
        </w:tc>
        <w:tc>
          <w:tcPr>
            <w:tcW w:w="1178" w:type="pct"/>
            <w:shd w:val="clear" w:color="auto" w:fill="auto"/>
            <w:vAlign w:val="center"/>
          </w:tcPr>
          <w:p w14:paraId="2D56936A" w14:textId="77777777" w:rsidR="00347484" w:rsidRPr="00AE3438" w:rsidRDefault="00347484" w:rsidP="00BD02D3">
            <w:pPr>
              <w:pStyle w:val="TableText0"/>
              <w:keepNext w:val="0"/>
              <w:jc w:val="center"/>
              <w:rPr>
                <w:szCs w:val="20"/>
              </w:rPr>
            </w:pPr>
            <w:r w:rsidRPr="00AE3438">
              <w:rPr>
                <w:szCs w:val="20"/>
              </w:rPr>
              <w:t xml:space="preserve">SMA Type I (2-3 copies of </w:t>
            </w:r>
            <w:r w:rsidRPr="00AE3438">
              <w:rPr>
                <w:i/>
                <w:szCs w:val="20"/>
              </w:rPr>
              <w:t>SMN2</w:t>
            </w:r>
            <w:r w:rsidRPr="00AE3438">
              <w:rPr>
                <w:szCs w:val="20"/>
              </w:rPr>
              <w:t>); age 3 wks to 6 mths</w:t>
            </w:r>
          </w:p>
        </w:tc>
        <w:tc>
          <w:tcPr>
            <w:tcW w:w="808" w:type="pct"/>
            <w:shd w:val="clear" w:color="auto" w:fill="auto"/>
            <w:vAlign w:val="center"/>
          </w:tcPr>
          <w:p w14:paraId="6D621435" w14:textId="77777777" w:rsidR="00347484" w:rsidRPr="00AE3438" w:rsidRDefault="00347484" w:rsidP="00BD02D3">
            <w:pPr>
              <w:pStyle w:val="TableText0"/>
              <w:keepNext w:val="0"/>
              <w:rPr>
                <w:szCs w:val="20"/>
              </w:rPr>
            </w:pPr>
            <w:r w:rsidRPr="00AE3438">
              <w:rPr>
                <w:szCs w:val="20"/>
              </w:rPr>
              <w:t>1°: motor milestones – HINE-2 (36 mths)</w:t>
            </w:r>
          </w:p>
          <w:p w14:paraId="66AE3920" w14:textId="77777777" w:rsidR="00347484" w:rsidRPr="00AE3438" w:rsidRDefault="00347484" w:rsidP="00BD02D3">
            <w:pPr>
              <w:pStyle w:val="TableText0"/>
              <w:keepNext w:val="0"/>
              <w:rPr>
                <w:szCs w:val="20"/>
              </w:rPr>
            </w:pPr>
            <w:r w:rsidRPr="00AE3438">
              <w:rPr>
                <w:szCs w:val="20"/>
              </w:rPr>
              <w:t>2°: motor milestones, EFS, OS</w:t>
            </w:r>
          </w:p>
        </w:tc>
        <w:tc>
          <w:tcPr>
            <w:tcW w:w="147" w:type="pct"/>
            <w:shd w:val="clear" w:color="auto" w:fill="auto"/>
            <w:vAlign w:val="center"/>
          </w:tcPr>
          <w:p w14:paraId="44D274D7"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6A571B3A" w14:textId="77777777" w:rsidTr="00D22BF5">
        <w:tc>
          <w:tcPr>
            <w:tcW w:w="662" w:type="pct"/>
            <w:shd w:val="clear" w:color="auto" w:fill="auto"/>
            <w:vAlign w:val="center"/>
          </w:tcPr>
          <w:p w14:paraId="1E6208D3" w14:textId="77777777" w:rsidR="00347484" w:rsidRPr="00AE3438" w:rsidRDefault="00347484" w:rsidP="00BD02D3">
            <w:pPr>
              <w:pStyle w:val="TableText0"/>
              <w:keepNext w:val="0"/>
              <w:rPr>
                <w:szCs w:val="20"/>
              </w:rPr>
            </w:pPr>
            <w:r w:rsidRPr="00AE3438">
              <w:rPr>
                <w:szCs w:val="20"/>
              </w:rPr>
              <w:t>CS2</w:t>
            </w:r>
          </w:p>
        </w:tc>
        <w:tc>
          <w:tcPr>
            <w:tcW w:w="222" w:type="pct"/>
            <w:shd w:val="clear" w:color="auto" w:fill="auto"/>
            <w:vAlign w:val="center"/>
          </w:tcPr>
          <w:p w14:paraId="31F93F4D" w14:textId="77777777" w:rsidR="00347484" w:rsidRPr="00AE3438" w:rsidRDefault="00347484" w:rsidP="00BD02D3">
            <w:pPr>
              <w:pStyle w:val="TableText0"/>
              <w:keepNext w:val="0"/>
              <w:jc w:val="center"/>
              <w:rPr>
                <w:szCs w:val="20"/>
              </w:rPr>
            </w:pPr>
            <w:r w:rsidRPr="00AE3438">
              <w:rPr>
                <w:szCs w:val="20"/>
              </w:rPr>
              <w:t>34</w:t>
            </w:r>
          </w:p>
        </w:tc>
        <w:tc>
          <w:tcPr>
            <w:tcW w:w="1100" w:type="pct"/>
            <w:shd w:val="clear" w:color="auto" w:fill="auto"/>
            <w:vAlign w:val="center"/>
          </w:tcPr>
          <w:p w14:paraId="41FE2CBD" w14:textId="77777777" w:rsidR="00347484" w:rsidRPr="00AE3438" w:rsidRDefault="00347484" w:rsidP="00BD02D3">
            <w:pPr>
              <w:pStyle w:val="TableText0"/>
              <w:keepNext w:val="0"/>
              <w:jc w:val="center"/>
              <w:rPr>
                <w:szCs w:val="20"/>
              </w:rPr>
            </w:pPr>
            <w:r w:rsidRPr="00AE3438">
              <w:rPr>
                <w:szCs w:val="20"/>
              </w:rPr>
              <w:t>MC, OL 8.4 mths</w:t>
            </w:r>
            <w:r w:rsidRPr="00AE3438">
              <w:rPr>
                <w:szCs w:val="20"/>
                <w:vertAlign w:val="superscript"/>
              </w:rPr>
              <w:t>g</w:t>
            </w:r>
          </w:p>
        </w:tc>
        <w:tc>
          <w:tcPr>
            <w:tcW w:w="296" w:type="pct"/>
            <w:shd w:val="clear" w:color="auto" w:fill="auto"/>
            <w:vAlign w:val="center"/>
          </w:tcPr>
          <w:p w14:paraId="4F07183D"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auto"/>
            <w:vAlign w:val="center"/>
          </w:tcPr>
          <w:p w14:paraId="5E39C43C" w14:textId="77777777" w:rsidR="00347484" w:rsidRPr="00AE3438" w:rsidRDefault="00347484" w:rsidP="00BD02D3">
            <w:pPr>
              <w:pStyle w:val="TableText0"/>
              <w:keepNext w:val="0"/>
              <w:jc w:val="center"/>
              <w:rPr>
                <w:szCs w:val="20"/>
              </w:rPr>
            </w:pPr>
            <w:r w:rsidRPr="00AE3438">
              <w:rPr>
                <w:szCs w:val="20"/>
              </w:rPr>
              <w:t>NUSI IC 3, 6, 9 or 12 mg</w:t>
            </w:r>
          </w:p>
        </w:tc>
        <w:tc>
          <w:tcPr>
            <w:tcW w:w="1178" w:type="pct"/>
            <w:shd w:val="clear" w:color="auto" w:fill="auto"/>
            <w:vAlign w:val="center"/>
          </w:tcPr>
          <w:p w14:paraId="692A1719" w14:textId="77777777" w:rsidR="00347484" w:rsidRPr="00AE3438" w:rsidRDefault="00347484" w:rsidP="00BD02D3">
            <w:pPr>
              <w:pStyle w:val="TableText0"/>
              <w:keepNext w:val="0"/>
              <w:jc w:val="center"/>
              <w:rPr>
                <w:szCs w:val="20"/>
              </w:rPr>
            </w:pPr>
            <w:r w:rsidRPr="00AE3438">
              <w:rPr>
                <w:szCs w:val="20"/>
              </w:rPr>
              <w:t xml:space="preserve">SMA Type II or III (2-4 copies of </w:t>
            </w:r>
            <w:r w:rsidRPr="00AE3438">
              <w:rPr>
                <w:i/>
                <w:szCs w:val="20"/>
              </w:rPr>
              <w:t>SMN2</w:t>
            </w:r>
            <w:r w:rsidRPr="00AE3438">
              <w:rPr>
                <w:szCs w:val="20"/>
              </w:rPr>
              <w:t>); age 2-14 yrs</w:t>
            </w:r>
          </w:p>
        </w:tc>
        <w:tc>
          <w:tcPr>
            <w:tcW w:w="808" w:type="pct"/>
            <w:shd w:val="clear" w:color="auto" w:fill="auto"/>
            <w:vAlign w:val="center"/>
          </w:tcPr>
          <w:p w14:paraId="0EC50A1A" w14:textId="77777777" w:rsidR="00347484" w:rsidRPr="00AE3438" w:rsidRDefault="00347484" w:rsidP="00BD02D3">
            <w:pPr>
              <w:pStyle w:val="TableText0"/>
              <w:keepNext w:val="0"/>
              <w:rPr>
                <w:szCs w:val="20"/>
              </w:rPr>
            </w:pPr>
            <w:r w:rsidRPr="00AE3438">
              <w:rPr>
                <w:szCs w:val="20"/>
              </w:rPr>
              <w:t>1°: safety</w:t>
            </w:r>
          </w:p>
          <w:p w14:paraId="38215020" w14:textId="77777777" w:rsidR="00347484" w:rsidRPr="00AE3438" w:rsidRDefault="00347484" w:rsidP="00BD02D3">
            <w:pPr>
              <w:pStyle w:val="TableText0"/>
              <w:keepNext w:val="0"/>
              <w:rPr>
                <w:szCs w:val="20"/>
              </w:rPr>
            </w:pPr>
            <w:r w:rsidRPr="00AE3438">
              <w:rPr>
                <w:szCs w:val="20"/>
              </w:rPr>
              <w:t>other: motor milestones, PedsQL</w:t>
            </w:r>
          </w:p>
        </w:tc>
        <w:tc>
          <w:tcPr>
            <w:tcW w:w="147" w:type="pct"/>
            <w:shd w:val="clear" w:color="auto" w:fill="auto"/>
            <w:vAlign w:val="center"/>
          </w:tcPr>
          <w:p w14:paraId="710BBCCE"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2374B420" w14:textId="77777777" w:rsidTr="00D22BF5">
        <w:tc>
          <w:tcPr>
            <w:tcW w:w="662" w:type="pct"/>
            <w:shd w:val="clear" w:color="auto" w:fill="auto"/>
            <w:vAlign w:val="center"/>
          </w:tcPr>
          <w:p w14:paraId="2ABC6B98" w14:textId="77777777" w:rsidR="00347484" w:rsidRPr="00AE3438" w:rsidRDefault="00347484" w:rsidP="00BD02D3">
            <w:pPr>
              <w:pStyle w:val="TableText0"/>
              <w:keepNext w:val="0"/>
              <w:rPr>
                <w:i/>
                <w:szCs w:val="20"/>
              </w:rPr>
            </w:pPr>
            <w:r w:rsidRPr="00AE3438">
              <w:rPr>
                <w:i/>
                <w:szCs w:val="20"/>
              </w:rPr>
              <w:t>CS2/CS12</w:t>
            </w:r>
          </w:p>
        </w:tc>
        <w:tc>
          <w:tcPr>
            <w:tcW w:w="222" w:type="pct"/>
            <w:shd w:val="clear" w:color="auto" w:fill="auto"/>
            <w:vAlign w:val="center"/>
          </w:tcPr>
          <w:p w14:paraId="197872CC" w14:textId="77777777" w:rsidR="00347484" w:rsidRPr="00AE3438" w:rsidRDefault="00347484" w:rsidP="00BD02D3">
            <w:pPr>
              <w:pStyle w:val="TableText0"/>
              <w:keepNext w:val="0"/>
              <w:jc w:val="center"/>
              <w:rPr>
                <w:szCs w:val="20"/>
              </w:rPr>
            </w:pPr>
            <w:r w:rsidRPr="00AE3438">
              <w:rPr>
                <w:szCs w:val="20"/>
              </w:rPr>
              <w:t>24</w:t>
            </w:r>
            <w:r w:rsidRPr="00AE3438">
              <w:rPr>
                <w:szCs w:val="20"/>
                <w:vertAlign w:val="superscript"/>
              </w:rPr>
              <w:t>h</w:t>
            </w:r>
          </w:p>
        </w:tc>
        <w:tc>
          <w:tcPr>
            <w:tcW w:w="1100" w:type="pct"/>
            <w:shd w:val="clear" w:color="auto" w:fill="auto"/>
            <w:vAlign w:val="center"/>
          </w:tcPr>
          <w:p w14:paraId="3CD8C803" w14:textId="77777777" w:rsidR="00347484" w:rsidRPr="00AE3438" w:rsidRDefault="00347484" w:rsidP="00BD02D3">
            <w:pPr>
              <w:pStyle w:val="TableText0"/>
              <w:keepNext w:val="0"/>
              <w:jc w:val="center"/>
              <w:rPr>
                <w:szCs w:val="20"/>
              </w:rPr>
            </w:pPr>
            <w:r w:rsidRPr="00AE3438">
              <w:rPr>
                <w:szCs w:val="20"/>
              </w:rPr>
              <w:t>OL 25 mths</w:t>
            </w:r>
          </w:p>
        </w:tc>
        <w:tc>
          <w:tcPr>
            <w:tcW w:w="296" w:type="pct"/>
            <w:shd w:val="clear" w:color="auto" w:fill="auto"/>
            <w:vAlign w:val="center"/>
          </w:tcPr>
          <w:p w14:paraId="637DF501"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auto"/>
            <w:vAlign w:val="center"/>
          </w:tcPr>
          <w:p w14:paraId="722D0000" w14:textId="77777777" w:rsidR="00347484" w:rsidRPr="00AE3438" w:rsidRDefault="00347484" w:rsidP="00BD02D3">
            <w:pPr>
              <w:pStyle w:val="TableText0"/>
              <w:keepNext w:val="0"/>
              <w:jc w:val="center"/>
              <w:rPr>
                <w:szCs w:val="20"/>
              </w:rPr>
            </w:pPr>
            <w:r w:rsidRPr="00AE3438">
              <w:rPr>
                <w:szCs w:val="20"/>
              </w:rPr>
              <w:t>NUSI IC 12 mg</w:t>
            </w:r>
          </w:p>
        </w:tc>
        <w:tc>
          <w:tcPr>
            <w:tcW w:w="1178" w:type="pct"/>
            <w:shd w:val="clear" w:color="auto" w:fill="auto"/>
            <w:vAlign w:val="center"/>
          </w:tcPr>
          <w:p w14:paraId="4365FBA2" w14:textId="77777777" w:rsidR="00347484" w:rsidRPr="00AE3438" w:rsidRDefault="00347484" w:rsidP="00BD02D3">
            <w:pPr>
              <w:pStyle w:val="TableText0"/>
              <w:keepNext w:val="0"/>
              <w:jc w:val="center"/>
              <w:rPr>
                <w:szCs w:val="20"/>
              </w:rPr>
            </w:pPr>
            <w:r w:rsidRPr="00AE3438">
              <w:rPr>
                <w:szCs w:val="20"/>
              </w:rPr>
              <w:t>As in CS2</w:t>
            </w:r>
          </w:p>
        </w:tc>
        <w:tc>
          <w:tcPr>
            <w:tcW w:w="808" w:type="pct"/>
            <w:shd w:val="clear" w:color="auto" w:fill="auto"/>
            <w:vAlign w:val="center"/>
          </w:tcPr>
          <w:p w14:paraId="3A73449A" w14:textId="77777777" w:rsidR="00347484" w:rsidRPr="00AE3438" w:rsidRDefault="00347484" w:rsidP="00BD02D3">
            <w:pPr>
              <w:pStyle w:val="TableText0"/>
              <w:keepNext w:val="0"/>
              <w:rPr>
                <w:szCs w:val="20"/>
              </w:rPr>
            </w:pPr>
            <w:r w:rsidRPr="00AE3438">
              <w:rPr>
                <w:szCs w:val="20"/>
              </w:rPr>
              <w:t>1°: motor milestones</w:t>
            </w:r>
          </w:p>
          <w:p w14:paraId="731B9E1C" w14:textId="77777777" w:rsidR="00347484" w:rsidRPr="00AE3438" w:rsidRDefault="00347484" w:rsidP="00BD02D3">
            <w:pPr>
              <w:pStyle w:val="TableText0"/>
              <w:keepNext w:val="0"/>
              <w:rPr>
                <w:szCs w:val="20"/>
              </w:rPr>
            </w:pPr>
            <w:r w:rsidRPr="00AE3438">
              <w:rPr>
                <w:szCs w:val="20"/>
              </w:rPr>
              <w:t>other: safety, concomitant drugs</w:t>
            </w:r>
          </w:p>
        </w:tc>
        <w:tc>
          <w:tcPr>
            <w:tcW w:w="147" w:type="pct"/>
            <w:shd w:val="clear" w:color="auto" w:fill="auto"/>
            <w:vAlign w:val="center"/>
          </w:tcPr>
          <w:p w14:paraId="058D9408" w14:textId="77777777" w:rsidR="00347484" w:rsidRPr="00AE3438" w:rsidRDefault="00347484" w:rsidP="00BD02D3">
            <w:pPr>
              <w:pStyle w:val="TableText0"/>
              <w:keepNext w:val="0"/>
              <w:jc w:val="center"/>
              <w:rPr>
                <w:szCs w:val="20"/>
              </w:rPr>
            </w:pPr>
            <w:r w:rsidRPr="00AE3438">
              <w:rPr>
                <w:szCs w:val="20"/>
              </w:rPr>
              <w:sym w:font="Wingdings" w:char="F0FC"/>
            </w:r>
          </w:p>
        </w:tc>
      </w:tr>
      <w:tr w:rsidR="00347484" w:rsidRPr="00AE3438" w14:paraId="29FE64C3" w14:textId="77777777" w:rsidTr="00D22BF5">
        <w:tc>
          <w:tcPr>
            <w:tcW w:w="662" w:type="pct"/>
            <w:shd w:val="clear" w:color="auto" w:fill="auto"/>
            <w:vAlign w:val="center"/>
          </w:tcPr>
          <w:p w14:paraId="4F2EF276" w14:textId="77777777" w:rsidR="00347484" w:rsidRPr="00AE3438" w:rsidRDefault="00347484" w:rsidP="00BD02D3">
            <w:pPr>
              <w:pStyle w:val="TableText0"/>
              <w:keepNext w:val="0"/>
              <w:rPr>
                <w:szCs w:val="20"/>
              </w:rPr>
            </w:pPr>
            <w:r w:rsidRPr="00AE3438">
              <w:rPr>
                <w:szCs w:val="20"/>
              </w:rPr>
              <w:t>CHERISH</w:t>
            </w:r>
          </w:p>
        </w:tc>
        <w:tc>
          <w:tcPr>
            <w:tcW w:w="222" w:type="pct"/>
            <w:shd w:val="clear" w:color="auto" w:fill="auto"/>
            <w:vAlign w:val="center"/>
          </w:tcPr>
          <w:p w14:paraId="5718739B" w14:textId="77777777" w:rsidR="00347484" w:rsidRPr="00AE3438" w:rsidRDefault="00347484" w:rsidP="00BD02D3">
            <w:pPr>
              <w:pStyle w:val="TableText0"/>
              <w:keepNext w:val="0"/>
              <w:jc w:val="center"/>
              <w:rPr>
                <w:szCs w:val="20"/>
              </w:rPr>
            </w:pPr>
            <w:r w:rsidRPr="00AE3438">
              <w:rPr>
                <w:szCs w:val="20"/>
              </w:rPr>
              <w:t>126</w:t>
            </w:r>
          </w:p>
        </w:tc>
        <w:tc>
          <w:tcPr>
            <w:tcW w:w="1100" w:type="pct"/>
            <w:shd w:val="clear" w:color="auto" w:fill="auto"/>
            <w:vAlign w:val="center"/>
          </w:tcPr>
          <w:p w14:paraId="6017D9DF" w14:textId="77777777" w:rsidR="00347484" w:rsidRPr="00AE3438" w:rsidRDefault="00347484" w:rsidP="00BD02D3">
            <w:pPr>
              <w:pStyle w:val="TableText0"/>
              <w:jc w:val="center"/>
              <w:rPr>
                <w:szCs w:val="20"/>
              </w:rPr>
            </w:pPr>
            <w:r w:rsidRPr="00AE3438">
              <w:rPr>
                <w:szCs w:val="20"/>
              </w:rPr>
              <w:t>R, DB, MC 16 mths</w:t>
            </w:r>
          </w:p>
        </w:tc>
        <w:tc>
          <w:tcPr>
            <w:tcW w:w="296" w:type="pct"/>
            <w:shd w:val="clear" w:color="auto" w:fill="auto"/>
            <w:vAlign w:val="center"/>
          </w:tcPr>
          <w:p w14:paraId="0E0E34AE" w14:textId="77777777" w:rsidR="00347484" w:rsidRPr="00AE3438" w:rsidRDefault="00347484" w:rsidP="00BD02D3">
            <w:pPr>
              <w:pStyle w:val="TableText0"/>
              <w:keepNext w:val="0"/>
              <w:jc w:val="center"/>
              <w:rPr>
                <w:szCs w:val="20"/>
              </w:rPr>
            </w:pPr>
            <w:r w:rsidRPr="00AE3438">
              <w:rPr>
                <w:szCs w:val="20"/>
              </w:rPr>
              <w:t>Low</w:t>
            </w:r>
          </w:p>
        </w:tc>
        <w:tc>
          <w:tcPr>
            <w:tcW w:w="588" w:type="pct"/>
            <w:shd w:val="clear" w:color="auto" w:fill="auto"/>
            <w:vAlign w:val="center"/>
          </w:tcPr>
          <w:p w14:paraId="5207A391" w14:textId="77777777" w:rsidR="00347484" w:rsidRPr="00AE3438" w:rsidRDefault="00347484" w:rsidP="00BD02D3">
            <w:pPr>
              <w:pStyle w:val="TableText0"/>
              <w:keepNext w:val="0"/>
              <w:jc w:val="center"/>
              <w:rPr>
                <w:szCs w:val="20"/>
              </w:rPr>
            </w:pPr>
            <w:r w:rsidRPr="00AE3438">
              <w:rPr>
                <w:szCs w:val="20"/>
              </w:rPr>
              <w:t>NUSI IC 12 mg</w:t>
            </w:r>
          </w:p>
          <w:p w14:paraId="0A1ADFE6" w14:textId="77777777" w:rsidR="00347484" w:rsidRPr="00AE3438" w:rsidRDefault="00347484" w:rsidP="00BD02D3">
            <w:pPr>
              <w:pStyle w:val="TableText0"/>
              <w:keepNext w:val="0"/>
              <w:jc w:val="center"/>
              <w:rPr>
                <w:szCs w:val="20"/>
              </w:rPr>
            </w:pPr>
            <w:r w:rsidRPr="00AE3438">
              <w:rPr>
                <w:szCs w:val="20"/>
              </w:rPr>
              <w:t>Control (sham)</w:t>
            </w:r>
          </w:p>
        </w:tc>
        <w:tc>
          <w:tcPr>
            <w:tcW w:w="1178" w:type="pct"/>
            <w:shd w:val="clear" w:color="auto" w:fill="auto"/>
            <w:vAlign w:val="center"/>
          </w:tcPr>
          <w:p w14:paraId="440C3573" w14:textId="77777777" w:rsidR="00347484" w:rsidRPr="00AE3438" w:rsidRDefault="00347484" w:rsidP="00BD02D3">
            <w:pPr>
              <w:pStyle w:val="TableText0"/>
              <w:keepNext w:val="0"/>
              <w:jc w:val="center"/>
              <w:rPr>
                <w:szCs w:val="20"/>
              </w:rPr>
            </w:pPr>
            <w:r w:rsidRPr="00AE3438">
              <w:rPr>
                <w:szCs w:val="20"/>
              </w:rPr>
              <w:t xml:space="preserve">SMA Type II or III (2-4 copies of </w:t>
            </w:r>
            <w:r w:rsidRPr="00AE3438">
              <w:rPr>
                <w:i/>
                <w:szCs w:val="20"/>
              </w:rPr>
              <w:t>SMN2</w:t>
            </w:r>
            <w:r w:rsidRPr="00AE3438">
              <w:rPr>
                <w:szCs w:val="20"/>
              </w:rPr>
              <w:t>); age 2-12 yrs</w:t>
            </w:r>
          </w:p>
        </w:tc>
        <w:tc>
          <w:tcPr>
            <w:tcW w:w="808" w:type="pct"/>
            <w:shd w:val="clear" w:color="auto" w:fill="auto"/>
            <w:vAlign w:val="center"/>
          </w:tcPr>
          <w:p w14:paraId="236B4DC7" w14:textId="77777777" w:rsidR="00347484" w:rsidRPr="00AE3438" w:rsidRDefault="00347484" w:rsidP="00BD02D3">
            <w:pPr>
              <w:pStyle w:val="TableText0"/>
              <w:keepNext w:val="0"/>
              <w:rPr>
                <w:szCs w:val="20"/>
              </w:rPr>
            </w:pPr>
            <w:r w:rsidRPr="00AE3438">
              <w:rPr>
                <w:szCs w:val="20"/>
              </w:rPr>
              <w:t>1°: motor milestones HFMSE (15 mths)</w:t>
            </w:r>
          </w:p>
          <w:p w14:paraId="66938C54" w14:textId="77777777" w:rsidR="00347484" w:rsidRPr="00AE3438" w:rsidRDefault="00347484" w:rsidP="00BD02D3">
            <w:pPr>
              <w:pStyle w:val="TableText0"/>
              <w:keepNext w:val="0"/>
              <w:rPr>
                <w:szCs w:val="20"/>
              </w:rPr>
            </w:pPr>
            <w:r w:rsidRPr="00AE3438">
              <w:rPr>
                <w:szCs w:val="20"/>
              </w:rPr>
              <w:t>2°: motor milestones, safety</w:t>
            </w:r>
          </w:p>
        </w:tc>
        <w:tc>
          <w:tcPr>
            <w:tcW w:w="147" w:type="pct"/>
            <w:shd w:val="clear" w:color="auto" w:fill="auto"/>
            <w:vAlign w:val="center"/>
          </w:tcPr>
          <w:p w14:paraId="457B65D5"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09EB4E86" w14:textId="77777777" w:rsidTr="00D22BF5">
        <w:tc>
          <w:tcPr>
            <w:tcW w:w="662" w:type="pct"/>
            <w:shd w:val="clear" w:color="auto" w:fill="auto"/>
            <w:vAlign w:val="center"/>
          </w:tcPr>
          <w:p w14:paraId="1F6C5227" w14:textId="77777777" w:rsidR="00347484" w:rsidRPr="00AE3438" w:rsidRDefault="00347484" w:rsidP="00BD02D3">
            <w:pPr>
              <w:pStyle w:val="TableText0"/>
              <w:keepNext w:val="0"/>
              <w:rPr>
                <w:iCs/>
                <w:szCs w:val="20"/>
              </w:rPr>
            </w:pPr>
            <w:r w:rsidRPr="00AE3438">
              <w:rPr>
                <w:iCs/>
                <w:szCs w:val="20"/>
              </w:rPr>
              <w:t>EMBRACE</w:t>
            </w:r>
          </w:p>
        </w:tc>
        <w:tc>
          <w:tcPr>
            <w:tcW w:w="222" w:type="pct"/>
            <w:shd w:val="clear" w:color="auto" w:fill="auto"/>
            <w:vAlign w:val="center"/>
          </w:tcPr>
          <w:p w14:paraId="19985652" w14:textId="77777777" w:rsidR="00347484" w:rsidRPr="00AE3438" w:rsidRDefault="00347484" w:rsidP="00BD02D3">
            <w:pPr>
              <w:pStyle w:val="TableText0"/>
              <w:keepNext w:val="0"/>
              <w:jc w:val="center"/>
              <w:rPr>
                <w:iCs/>
                <w:szCs w:val="20"/>
              </w:rPr>
            </w:pPr>
            <w:r w:rsidRPr="00AE3438">
              <w:rPr>
                <w:iCs/>
                <w:szCs w:val="20"/>
              </w:rPr>
              <w:t>21</w:t>
            </w:r>
          </w:p>
        </w:tc>
        <w:tc>
          <w:tcPr>
            <w:tcW w:w="1100" w:type="pct"/>
            <w:shd w:val="clear" w:color="auto" w:fill="auto"/>
            <w:vAlign w:val="center"/>
          </w:tcPr>
          <w:p w14:paraId="04344B74" w14:textId="77777777" w:rsidR="00347484" w:rsidRPr="00AE3438" w:rsidRDefault="00347484" w:rsidP="00BD02D3">
            <w:pPr>
              <w:pStyle w:val="TableText0"/>
              <w:keepNext w:val="0"/>
              <w:jc w:val="center"/>
              <w:rPr>
                <w:iCs/>
                <w:szCs w:val="20"/>
              </w:rPr>
            </w:pPr>
            <w:r w:rsidRPr="00AE3438">
              <w:rPr>
                <w:iCs/>
                <w:szCs w:val="20"/>
              </w:rPr>
              <w:t>R, DB, MC 14 mths</w:t>
            </w:r>
            <w:r w:rsidRPr="00AE3438">
              <w:rPr>
                <w:iCs/>
                <w:szCs w:val="20"/>
                <w:vertAlign w:val="superscript"/>
              </w:rPr>
              <w:t xml:space="preserve"> i</w:t>
            </w:r>
            <w:r w:rsidRPr="00AE3438">
              <w:rPr>
                <w:iCs/>
                <w:szCs w:val="20"/>
              </w:rPr>
              <w:t xml:space="preserve"> / 28 mths</w:t>
            </w:r>
          </w:p>
        </w:tc>
        <w:tc>
          <w:tcPr>
            <w:tcW w:w="296" w:type="pct"/>
            <w:shd w:val="clear" w:color="auto" w:fill="auto"/>
            <w:vAlign w:val="center"/>
          </w:tcPr>
          <w:p w14:paraId="653F5570" w14:textId="77777777" w:rsidR="00347484" w:rsidRPr="00AE3438" w:rsidRDefault="00347484" w:rsidP="00BD02D3">
            <w:pPr>
              <w:pStyle w:val="TableText0"/>
              <w:keepNext w:val="0"/>
              <w:jc w:val="center"/>
              <w:rPr>
                <w:iCs/>
                <w:szCs w:val="20"/>
              </w:rPr>
            </w:pPr>
            <w:r w:rsidRPr="00AE3438">
              <w:rPr>
                <w:iCs/>
                <w:szCs w:val="20"/>
              </w:rPr>
              <w:t>Unclear</w:t>
            </w:r>
          </w:p>
        </w:tc>
        <w:tc>
          <w:tcPr>
            <w:tcW w:w="588" w:type="pct"/>
            <w:shd w:val="clear" w:color="auto" w:fill="auto"/>
            <w:vAlign w:val="center"/>
          </w:tcPr>
          <w:p w14:paraId="49BDA1A6" w14:textId="77777777" w:rsidR="00347484" w:rsidRPr="00AE3438" w:rsidRDefault="00347484" w:rsidP="00BD02D3">
            <w:pPr>
              <w:pStyle w:val="TableText0"/>
              <w:jc w:val="center"/>
              <w:rPr>
                <w:iCs/>
                <w:szCs w:val="20"/>
              </w:rPr>
            </w:pPr>
            <w:r w:rsidRPr="00AE3438">
              <w:rPr>
                <w:iCs/>
                <w:szCs w:val="20"/>
              </w:rPr>
              <w:t>NUSI IC 12 mg</w:t>
            </w:r>
          </w:p>
          <w:p w14:paraId="0AEF2FBB" w14:textId="77777777" w:rsidR="00347484" w:rsidRPr="00AE3438" w:rsidRDefault="00347484" w:rsidP="00BD02D3">
            <w:pPr>
              <w:pStyle w:val="TableText0"/>
              <w:keepNext w:val="0"/>
              <w:jc w:val="center"/>
              <w:rPr>
                <w:iCs/>
                <w:szCs w:val="20"/>
              </w:rPr>
            </w:pPr>
            <w:r w:rsidRPr="00AE3438">
              <w:rPr>
                <w:iCs/>
                <w:szCs w:val="20"/>
              </w:rPr>
              <w:t>Control (sham)</w:t>
            </w:r>
          </w:p>
        </w:tc>
        <w:tc>
          <w:tcPr>
            <w:tcW w:w="1178" w:type="pct"/>
            <w:shd w:val="clear" w:color="auto" w:fill="auto"/>
            <w:vAlign w:val="center"/>
          </w:tcPr>
          <w:p w14:paraId="1506C4EB" w14:textId="77777777" w:rsidR="00347484" w:rsidRPr="00AE3438" w:rsidRDefault="00347484" w:rsidP="00BD02D3">
            <w:pPr>
              <w:pStyle w:val="TableText0"/>
              <w:keepNext w:val="0"/>
              <w:jc w:val="center"/>
              <w:rPr>
                <w:iCs/>
                <w:szCs w:val="20"/>
              </w:rPr>
            </w:pPr>
            <w:r w:rsidRPr="00AE3438">
              <w:rPr>
                <w:iCs/>
                <w:szCs w:val="20"/>
              </w:rPr>
              <w:t>2-3 copies SMN2</w:t>
            </w:r>
            <w:r w:rsidRPr="00AE3438">
              <w:rPr>
                <w:iCs/>
                <w:szCs w:val="20"/>
                <w:vertAlign w:val="superscript"/>
              </w:rPr>
              <w:t>k</w:t>
            </w:r>
          </w:p>
        </w:tc>
        <w:tc>
          <w:tcPr>
            <w:tcW w:w="808" w:type="pct"/>
            <w:shd w:val="clear" w:color="auto" w:fill="auto"/>
            <w:vAlign w:val="center"/>
          </w:tcPr>
          <w:p w14:paraId="3FBD36C0" w14:textId="77777777" w:rsidR="00347484" w:rsidRPr="00AE3438" w:rsidRDefault="00347484" w:rsidP="00BD02D3">
            <w:pPr>
              <w:pStyle w:val="TableText0"/>
              <w:keepNext w:val="0"/>
              <w:rPr>
                <w:iCs/>
                <w:szCs w:val="20"/>
              </w:rPr>
            </w:pPr>
            <w:r w:rsidRPr="00AE3438">
              <w:rPr>
                <w:iCs/>
                <w:szCs w:val="20"/>
              </w:rPr>
              <w:t>1°: safety</w:t>
            </w:r>
          </w:p>
          <w:p w14:paraId="58EA333F" w14:textId="77777777" w:rsidR="00347484" w:rsidRPr="00AE3438" w:rsidRDefault="00347484" w:rsidP="00BD02D3">
            <w:pPr>
              <w:pStyle w:val="TableText0"/>
              <w:keepNext w:val="0"/>
              <w:rPr>
                <w:iCs/>
                <w:szCs w:val="20"/>
              </w:rPr>
            </w:pPr>
            <w:r w:rsidRPr="00AE3438">
              <w:rPr>
                <w:iCs/>
                <w:szCs w:val="20"/>
              </w:rPr>
              <w:t>other: motor milestones</w:t>
            </w:r>
          </w:p>
        </w:tc>
        <w:tc>
          <w:tcPr>
            <w:tcW w:w="147" w:type="pct"/>
            <w:shd w:val="clear" w:color="auto" w:fill="auto"/>
            <w:vAlign w:val="center"/>
          </w:tcPr>
          <w:p w14:paraId="2BBCED60" w14:textId="77777777" w:rsidR="00347484" w:rsidRPr="00AE3438" w:rsidRDefault="00347484" w:rsidP="00BD02D3">
            <w:pPr>
              <w:pStyle w:val="TableText0"/>
              <w:keepNext w:val="0"/>
              <w:jc w:val="center"/>
              <w:rPr>
                <w:iCs/>
                <w:szCs w:val="20"/>
              </w:rPr>
            </w:pPr>
            <w:r w:rsidRPr="00AE3438">
              <w:rPr>
                <w:iCs/>
                <w:szCs w:val="20"/>
              </w:rPr>
              <w:t>-</w:t>
            </w:r>
          </w:p>
        </w:tc>
      </w:tr>
      <w:tr w:rsidR="00347484" w:rsidRPr="00AE3438" w14:paraId="6747B4DC" w14:textId="77777777" w:rsidTr="00D22BF5">
        <w:tc>
          <w:tcPr>
            <w:tcW w:w="662" w:type="pct"/>
            <w:shd w:val="clear" w:color="auto" w:fill="auto"/>
            <w:vAlign w:val="center"/>
          </w:tcPr>
          <w:p w14:paraId="23302B92" w14:textId="77777777" w:rsidR="00347484" w:rsidRPr="00AE3438" w:rsidRDefault="00347484" w:rsidP="00BD02D3">
            <w:pPr>
              <w:pStyle w:val="TableText0"/>
              <w:keepNext w:val="0"/>
              <w:rPr>
                <w:szCs w:val="20"/>
              </w:rPr>
            </w:pPr>
            <w:r w:rsidRPr="00AE3438">
              <w:rPr>
                <w:szCs w:val="20"/>
              </w:rPr>
              <w:t>SHINE^</w:t>
            </w:r>
          </w:p>
        </w:tc>
        <w:tc>
          <w:tcPr>
            <w:tcW w:w="222" w:type="pct"/>
            <w:shd w:val="clear" w:color="auto" w:fill="auto"/>
            <w:vAlign w:val="center"/>
          </w:tcPr>
          <w:p w14:paraId="0A043F0F" w14:textId="77777777" w:rsidR="00347484" w:rsidRPr="00AE3438" w:rsidRDefault="00347484" w:rsidP="00BD02D3">
            <w:pPr>
              <w:pStyle w:val="TableText0"/>
              <w:keepNext w:val="0"/>
              <w:jc w:val="center"/>
              <w:rPr>
                <w:szCs w:val="20"/>
              </w:rPr>
            </w:pPr>
            <w:r w:rsidRPr="00AE3438">
              <w:rPr>
                <w:szCs w:val="20"/>
              </w:rPr>
              <w:t>292</w:t>
            </w:r>
            <w:r w:rsidRPr="00AE3438">
              <w:rPr>
                <w:szCs w:val="20"/>
                <w:vertAlign w:val="superscript"/>
              </w:rPr>
              <w:t>e</w:t>
            </w:r>
          </w:p>
        </w:tc>
        <w:tc>
          <w:tcPr>
            <w:tcW w:w="1100" w:type="pct"/>
            <w:shd w:val="clear" w:color="auto" w:fill="auto"/>
            <w:vAlign w:val="center"/>
          </w:tcPr>
          <w:p w14:paraId="5FF3CCB5" w14:textId="77777777" w:rsidR="00347484" w:rsidRPr="00AE3438" w:rsidRDefault="00347484" w:rsidP="00BD02D3">
            <w:pPr>
              <w:pStyle w:val="TableText0"/>
              <w:keepNext w:val="0"/>
              <w:jc w:val="center"/>
              <w:rPr>
                <w:szCs w:val="20"/>
              </w:rPr>
            </w:pPr>
            <w:r w:rsidRPr="00AE3438">
              <w:rPr>
                <w:szCs w:val="20"/>
              </w:rPr>
              <w:t>OL extension 5 yrs</w:t>
            </w:r>
          </w:p>
          <w:p w14:paraId="270126AE" w14:textId="77777777" w:rsidR="00347484" w:rsidRPr="00AE3438" w:rsidRDefault="00347484" w:rsidP="00BD02D3">
            <w:pPr>
              <w:pStyle w:val="TableText0"/>
              <w:keepNext w:val="0"/>
              <w:jc w:val="center"/>
              <w:rPr>
                <w:szCs w:val="20"/>
              </w:rPr>
            </w:pPr>
            <w:r w:rsidRPr="00AE3438">
              <w:rPr>
                <w:szCs w:val="20"/>
              </w:rPr>
              <w:t xml:space="preserve">August 2019 data cut: in ENDEAR/SHINE patients median age 2.6-2.7 yrs, time on treatment 1.34-2.08 yrs, and in </w:t>
            </w:r>
            <w:r w:rsidRPr="00AE3438">
              <w:rPr>
                <w:szCs w:val="20"/>
              </w:rPr>
              <w:lastRenderedPageBreak/>
              <w:t>CS2/CS12/SHINE patients median time on treatment was 6.3 yrs</w:t>
            </w:r>
          </w:p>
        </w:tc>
        <w:tc>
          <w:tcPr>
            <w:tcW w:w="296" w:type="pct"/>
            <w:shd w:val="clear" w:color="auto" w:fill="auto"/>
            <w:vAlign w:val="center"/>
          </w:tcPr>
          <w:p w14:paraId="72359C67" w14:textId="77777777" w:rsidR="00347484" w:rsidRPr="00AE3438" w:rsidRDefault="00347484" w:rsidP="00BD02D3">
            <w:pPr>
              <w:pStyle w:val="TableText0"/>
              <w:keepNext w:val="0"/>
              <w:jc w:val="center"/>
              <w:rPr>
                <w:szCs w:val="20"/>
              </w:rPr>
            </w:pPr>
            <w:r w:rsidRPr="00AE3438">
              <w:rPr>
                <w:szCs w:val="20"/>
              </w:rPr>
              <w:lastRenderedPageBreak/>
              <w:t>High</w:t>
            </w:r>
            <w:r w:rsidRPr="00AE3438">
              <w:rPr>
                <w:szCs w:val="20"/>
                <w:vertAlign w:val="superscript"/>
              </w:rPr>
              <w:t>#</w:t>
            </w:r>
          </w:p>
        </w:tc>
        <w:tc>
          <w:tcPr>
            <w:tcW w:w="588" w:type="pct"/>
            <w:shd w:val="clear" w:color="auto" w:fill="auto"/>
            <w:vAlign w:val="center"/>
          </w:tcPr>
          <w:p w14:paraId="0DBE084B" w14:textId="77777777" w:rsidR="00347484" w:rsidRPr="00AE3438" w:rsidRDefault="00347484" w:rsidP="00BD02D3">
            <w:pPr>
              <w:pStyle w:val="TableText0"/>
              <w:keepNext w:val="0"/>
              <w:jc w:val="center"/>
              <w:rPr>
                <w:szCs w:val="20"/>
              </w:rPr>
            </w:pPr>
            <w:r w:rsidRPr="00AE3438">
              <w:rPr>
                <w:szCs w:val="20"/>
              </w:rPr>
              <w:t>NUSI IC 12 mg</w:t>
            </w:r>
          </w:p>
        </w:tc>
        <w:tc>
          <w:tcPr>
            <w:tcW w:w="1178" w:type="pct"/>
            <w:shd w:val="clear" w:color="auto" w:fill="auto"/>
            <w:vAlign w:val="center"/>
          </w:tcPr>
          <w:p w14:paraId="4E50D5E0" w14:textId="77777777" w:rsidR="00347484" w:rsidRPr="00AE3438" w:rsidRDefault="00347484" w:rsidP="00BD02D3">
            <w:pPr>
              <w:pStyle w:val="TableText0"/>
              <w:keepNext w:val="0"/>
              <w:jc w:val="center"/>
              <w:rPr>
                <w:szCs w:val="20"/>
              </w:rPr>
            </w:pPr>
            <w:r w:rsidRPr="00AE3438">
              <w:rPr>
                <w:szCs w:val="20"/>
              </w:rPr>
              <w:t>SMA Type I and Type II patients from ENDEAR, CHERISH, CS3A, CS12, EMBRACE</w:t>
            </w:r>
          </w:p>
        </w:tc>
        <w:tc>
          <w:tcPr>
            <w:tcW w:w="808" w:type="pct"/>
            <w:shd w:val="clear" w:color="auto" w:fill="auto"/>
            <w:vAlign w:val="center"/>
          </w:tcPr>
          <w:p w14:paraId="0E29C7CC" w14:textId="77777777" w:rsidR="00347484" w:rsidRPr="00AE3438" w:rsidRDefault="00347484" w:rsidP="00BD02D3">
            <w:pPr>
              <w:pStyle w:val="TableText0"/>
              <w:keepNext w:val="0"/>
              <w:rPr>
                <w:szCs w:val="20"/>
              </w:rPr>
            </w:pPr>
            <w:r w:rsidRPr="00AE3438">
              <w:rPr>
                <w:szCs w:val="20"/>
              </w:rPr>
              <w:t>1°: safety</w:t>
            </w:r>
          </w:p>
          <w:p w14:paraId="73E29348" w14:textId="77777777" w:rsidR="00347484" w:rsidRPr="00AE3438" w:rsidRDefault="00347484" w:rsidP="00BD02D3">
            <w:pPr>
              <w:pStyle w:val="TableText0"/>
              <w:keepNext w:val="0"/>
              <w:rPr>
                <w:szCs w:val="20"/>
              </w:rPr>
            </w:pPr>
            <w:r w:rsidRPr="00AE3438">
              <w:rPr>
                <w:szCs w:val="20"/>
              </w:rPr>
              <w:t>2°: motor milestone, EFS, OS</w:t>
            </w:r>
          </w:p>
        </w:tc>
        <w:tc>
          <w:tcPr>
            <w:tcW w:w="147" w:type="pct"/>
            <w:shd w:val="clear" w:color="auto" w:fill="auto"/>
            <w:vAlign w:val="center"/>
          </w:tcPr>
          <w:p w14:paraId="56391782" w14:textId="77777777" w:rsidR="00347484" w:rsidRPr="00AE3438" w:rsidRDefault="00347484" w:rsidP="00BD02D3">
            <w:pPr>
              <w:pStyle w:val="TableText0"/>
              <w:keepNext w:val="0"/>
              <w:jc w:val="center"/>
              <w:rPr>
                <w:szCs w:val="20"/>
              </w:rPr>
            </w:pPr>
            <w:r w:rsidRPr="00AE3438">
              <w:rPr>
                <w:szCs w:val="20"/>
              </w:rPr>
              <w:sym w:font="Wingdings" w:char="F0FC"/>
            </w:r>
            <w:r w:rsidRPr="00AE3438">
              <w:rPr>
                <w:szCs w:val="20"/>
                <w:vertAlign w:val="superscript"/>
              </w:rPr>
              <w:t>f</w:t>
            </w:r>
          </w:p>
        </w:tc>
      </w:tr>
      <w:tr w:rsidR="00347484" w:rsidRPr="00AE3438" w14:paraId="1D63D03A" w14:textId="77777777" w:rsidTr="00D22BF5">
        <w:tc>
          <w:tcPr>
            <w:tcW w:w="5000" w:type="pct"/>
            <w:gridSpan w:val="8"/>
            <w:shd w:val="clear" w:color="auto" w:fill="auto"/>
          </w:tcPr>
          <w:p w14:paraId="44F24592" w14:textId="77777777" w:rsidR="00347484" w:rsidRPr="00AE3438" w:rsidRDefault="00347484" w:rsidP="00BD02D3">
            <w:pPr>
              <w:pStyle w:val="TableText0"/>
              <w:keepNext w:val="0"/>
              <w:rPr>
                <w:b/>
                <w:szCs w:val="20"/>
              </w:rPr>
            </w:pPr>
            <w:r w:rsidRPr="00AE3438">
              <w:rPr>
                <w:b/>
                <w:szCs w:val="20"/>
              </w:rPr>
              <w:t>RISD</w:t>
            </w:r>
          </w:p>
        </w:tc>
      </w:tr>
      <w:tr w:rsidR="00347484" w:rsidRPr="00AE3438" w14:paraId="6E9EF7AE" w14:textId="77777777" w:rsidTr="00D22BF5">
        <w:tc>
          <w:tcPr>
            <w:tcW w:w="662" w:type="pct"/>
            <w:shd w:val="clear" w:color="auto" w:fill="auto"/>
            <w:vAlign w:val="center"/>
          </w:tcPr>
          <w:p w14:paraId="193800E9" w14:textId="77777777" w:rsidR="00347484" w:rsidRPr="00AE3438" w:rsidRDefault="00347484" w:rsidP="00BD02D3">
            <w:pPr>
              <w:pStyle w:val="TableText0"/>
              <w:keepNext w:val="0"/>
              <w:rPr>
                <w:szCs w:val="20"/>
              </w:rPr>
            </w:pPr>
            <w:r w:rsidRPr="00AE3438">
              <w:rPr>
                <w:szCs w:val="20"/>
              </w:rPr>
              <w:t>FIREFISH^</w:t>
            </w:r>
          </w:p>
        </w:tc>
        <w:tc>
          <w:tcPr>
            <w:tcW w:w="222" w:type="pct"/>
            <w:shd w:val="clear" w:color="auto" w:fill="auto"/>
            <w:vAlign w:val="center"/>
          </w:tcPr>
          <w:p w14:paraId="1487BB32" w14:textId="77777777" w:rsidR="00347484" w:rsidRPr="00AE3438" w:rsidRDefault="00347484" w:rsidP="00BD02D3">
            <w:pPr>
              <w:pStyle w:val="TableText0"/>
              <w:keepNext w:val="0"/>
              <w:jc w:val="center"/>
              <w:rPr>
                <w:szCs w:val="20"/>
              </w:rPr>
            </w:pPr>
            <w:r w:rsidRPr="00AE3438">
              <w:rPr>
                <w:szCs w:val="20"/>
              </w:rPr>
              <w:t>41</w:t>
            </w:r>
          </w:p>
        </w:tc>
        <w:tc>
          <w:tcPr>
            <w:tcW w:w="1100" w:type="pct"/>
            <w:shd w:val="clear" w:color="auto" w:fill="auto"/>
            <w:vAlign w:val="center"/>
          </w:tcPr>
          <w:p w14:paraId="36252AC2" w14:textId="77777777" w:rsidR="00347484" w:rsidRPr="00AE3438" w:rsidRDefault="00347484" w:rsidP="00BD02D3">
            <w:pPr>
              <w:pStyle w:val="TableText0"/>
              <w:keepNext w:val="0"/>
              <w:jc w:val="center"/>
              <w:rPr>
                <w:szCs w:val="20"/>
              </w:rPr>
            </w:pPr>
            <w:r w:rsidRPr="00AE3438">
              <w:rPr>
                <w:szCs w:val="20"/>
              </w:rPr>
              <w:t>MC, OL 24 mths / 3 yrs</w:t>
            </w:r>
            <w:r w:rsidRPr="00AE3438">
              <w:rPr>
                <w:szCs w:val="20"/>
                <w:vertAlign w:val="superscript"/>
              </w:rPr>
              <w:t xml:space="preserve"> m</w:t>
            </w:r>
          </w:p>
        </w:tc>
        <w:tc>
          <w:tcPr>
            <w:tcW w:w="296" w:type="pct"/>
            <w:shd w:val="clear" w:color="auto" w:fill="auto"/>
            <w:vAlign w:val="center"/>
          </w:tcPr>
          <w:p w14:paraId="4AE613CA" w14:textId="77777777" w:rsidR="00347484" w:rsidRPr="00AE3438" w:rsidRDefault="00347484" w:rsidP="00BD02D3">
            <w:pPr>
              <w:pStyle w:val="TableText0"/>
              <w:keepNext w:val="0"/>
              <w:jc w:val="center"/>
              <w:rPr>
                <w:szCs w:val="20"/>
              </w:rPr>
            </w:pPr>
            <w:r w:rsidRPr="00AE3438">
              <w:rPr>
                <w:szCs w:val="20"/>
              </w:rPr>
              <w:t>High</w:t>
            </w:r>
            <w:r w:rsidRPr="00AE3438">
              <w:rPr>
                <w:szCs w:val="20"/>
                <w:vertAlign w:val="superscript"/>
              </w:rPr>
              <w:t>#</w:t>
            </w:r>
          </w:p>
        </w:tc>
        <w:tc>
          <w:tcPr>
            <w:tcW w:w="588" w:type="pct"/>
            <w:shd w:val="clear" w:color="auto" w:fill="auto"/>
            <w:vAlign w:val="center"/>
          </w:tcPr>
          <w:p w14:paraId="779218E0" w14:textId="77777777" w:rsidR="00347484" w:rsidRPr="00AE3438" w:rsidRDefault="00347484" w:rsidP="00BD02D3">
            <w:pPr>
              <w:pStyle w:val="TableText0"/>
              <w:keepNext w:val="0"/>
              <w:jc w:val="center"/>
              <w:rPr>
                <w:szCs w:val="20"/>
              </w:rPr>
            </w:pPr>
            <w:r w:rsidRPr="00AE3438">
              <w:rPr>
                <w:szCs w:val="20"/>
              </w:rPr>
              <w:t>RISD oral target dose</w:t>
            </w:r>
          </w:p>
        </w:tc>
        <w:tc>
          <w:tcPr>
            <w:tcW w:w="1178" w:type="pct"/>
            <w:shd w:val="clear" w:color="auto" w:fill="auto"/>
            <w:vAlign w:val="center"/>
          </w:tcPr>
          <w:p w14:paraId="3AD14A2D" w14:textId="77777777" w:rsidR="00347484" w:rsidRPr="00AE3438" w:rsidRDefault="00347484" w:rsidP="00BD02D3">
            <w:pPr>
              <w:pStyle w:val="TableText0"/>
              <w:keepNext w:val="0"/>
              <w:jc w:val="center"/>
              <w:rPr>
                <w:szCs w:val="20"/>
              </w:rPr>
            </w:pPr>
            <w:r w:rsidRPr="00AE3438">
              <w:rPr>
                <w:szCs w:val="20"/>
              </w:rPr>
              <w:t xml:space="preserve">SMA Type I (2 copies of </w:t>
            </w:r>
            <w:r w:rsidRPr="00AE3438">
              <w:rPr>
                <w:i/>
                <w:szCs w:val="20"/>
              </w:rPr>
              <w:t>SMN2</w:t>
            </w:r>
            <w:r w:rsidRPr="00AE3438">
              <w:rPr>
                <w:szCs w:val="20"/>
              </w:rPr>
              <w:t>); age 1-7 mths</w:t>
            </w:r>
          </w:p>
        </w:tc>
        <w:tc>
          <w:tcPr>
            <w:tcW w:w="808" w:type="pct"/>
            <w:shd w:val="clear" w:color="auto" w:fill="auto"/>
            <w:vAlign w:val="center"/>
          </w:tcPr>
          <w:p w14:paraId="0A17837B" w14:textId="77777777" w:rsidR="00347484" w:rsidRPr="00AE3438" w:rsidRDefault="00347484" w:rsidP="00BD02D3">
            <w:pPr>
              <w:pStyle w:val="TableText0"/>
              <w:keepNext w:val="0"/>
              <w:rPr>
                <w:szCs w:val="20"/>
              </w:rPr>
            </w:pPr>
            <w:r w:rsidRPr="00AE3438">
              <w:rPr>
                <w:szCs w:val="20"/>
              </w:rPr>
              <w:t>1°: motor milestone – sitting (12 mths)</w:t>
            </w:r>
          </w:p>
          <w:p w14:paraId="431BC513" w14:textId="77777777" w:rsidR="00347484" w:rsidRPr="00AE3438" w:rsidRDefault="00347484" w:rsidP="00BD02D3">
            <w:pPr>
              <w:pStyle w:val="TableText0"/>
              <w:keepNext w:val="0"/>
              <w:rPr>
                <w:szCs w:val="20"/>
              </w:rPr>
            </w:pPr>
            <w:r w:rsidRPr="00AE3438">
              <w:rPr>
                <w:szCs w:val="20"/>
              </w:rPr>
              <w:t>2°: motor milestones, EFS, OS</w:t>
            </w:r>
          </w:p>
        </w:tc>
        <w:tc>
          <w:tcPr>
            <w:tcW w:w="147" w:type="pct"/>
            <w:shd w:val="clear" w:color="auto" w:fill="auto"/>
            <w:vAlign w:val="center"/>
          </w:tcPr>
          <w:p w14:paraId="1B643702"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35AD960D" w14:textId="77777777" w:rsidTr="00D22BF5">
        <w:tc>
          <w:tcPr>
            <w:tcW w:w="662" w:type="pct"/>
            <w:shd w:val="clear" w:color="auto" w:fill="auto"/>
            <w:vAlign w:val="center"/>
          </w:tcPr>
          <w:p w14:paraId="6390B1A4" w14:textId="77777777" w:rsidR="00347484" w:rsidRPr="00AE3438" w:rsidRDefault="00347484" w:rsidP="00BD02D3">
            <w:pPr>
              <w:pStyle w:val="TableText0"/>
              <w:keepNext w:val="0"/>
              <w:rPr>
                <w:szCs w:val="20"/>
              </w:rPr>
            </w:pPr>
            <w:r w:rsidRPr="00AE3438">
              <w:rPr>
                <w:szCs w:val="20"/>
              </w:rPr>
              <w:t>SUNFISH^</w:t>
            </w:r>
          </w:p>
        </w:tc>
        <w:tc>
          <w:tcPr>
            <w:tcW w:w="222" w:type="pct"/>
            <w:shd w:val="clear" w:color="auto" w:fill="auto"/>
            <w:vAlign w:val="center"/>
          </w:tcPr>
          <w:p w14:paraId="40FBBBEA" w14:textId="77777777" w:rsidR="00347484" w:rsidRPr="00AE3438" w:rsidRDefault="00347484" w:rsidP="00BD02D3">
            <w:pPr>
              <w:pStyle w:val="TableText0"/>
              <w:keepNext w:val="0"/>
              <w:jc w:val="center"/>
              <w:rPr>
                <w:szCs w:val="20"/>
              </w:rPr>
            </w:pPr>
            <w:r w:rsidRPr="00AE3438">
              <w:rPr>
                <w:szCs w:val="20"/>
              </w:rPr>
              <w:t>180</w:t>
            </w:r>
            <w:r w:rsidRPr="00AE3438">
              <w:rPr>
                <w:szCs w:val="20"/>
                <w:vertAlign w:val="superscript"/>
              </w:rPr>
              <w:t>n</w:t>
            </w:r>
          </w:p>
        </w:tc>
        <w:tc>
          <w:tcPr>
            <w:tcW w:w="1100" w:type="pct"/>
            <w:shd w:val="clear" w:color="auto" w:fill="auto"/>
            <w:vAlign w:val="center"/>
          </w:tcPr>
          <w:p w14:paraId="1464E9F6" w14:textId="075C195C" w:rsidR="00347484" w:rsidRPr="00AE3438" w:rsidRDefault="00347484" w:rsidP="00BD02D3">
            <w:pPr>
              <w:pStyle w:val="TableText0"/>
              <w:keepNext w:val="0"/>
              <w:jc w:val="center"/>
              <w:rPr>
                <w:szCs w:val="20"/>
              </w:rPr>
            </w:pPr>
            <w:r w:rsidRPr="00AE3438">
              <w:rPr>
                <w:szCs w:val="20"/>
              </w:rPr>
              <w:t xml:space="preserve">R, DB, MC, PC 12 wks + 12 mths / OL 12 mths </w:t>
            </w:r>
            <w:r w:rsidRPr="00AE3438">
              <w:rPr>
                <w:szCs w:val="20"/>
                <w:vertAlign w:val="superscript"/>
              </w:rPr>
              <w:t>m</w:t>
            </w:r>
            <w:r w:rsidR="0049159C" w:rsidRPr="00AE3438">
              <w:rPr>
                <w:szCs w:val="20"/>
              </w:rPr>
              <w:t xml:space="preserve"> / 3 yrs</w:t>
            </w:r>
          </w:p>
        </w:tc>
        <w:tc>
          <w:tcPr>
            <w:tcW w:w="296" w:type="pct"/>
            <w:shd w:val="clear" w:color="auto" w:fill="auto"/>
            <w:vAlign w:val="center"/>
          </w:tcPr>
          <w:p w14:paraId="7E702FB2" w14:textId="77777777" w:rsidR="00347484" w:rsidRPr="00AE3438" w:rsidRDefault="00347484" w:rsidP="00BD02D3">
            <w:pPr>
              <w:pStyle w:val="TableText0"/>
              <w:keepNext w:val="0"/>
              <w:jc w:val="center"/>
              <w:rPr>
                <w:szCs w:val="20"/>
              </w:rPr>
            </w:pPr>
            <w:r w:rsidRPr="00AE3438">
              <w:rPr>
                <w:szCs w:val="20"/>
              </w:rPr>
              <w:t>Low</w:t>
            </w:r>
          </w:p>
        </w:tc>
        <w:tc>
          <w:tcPr>
            <w:tcW w:w="588" w:type="pct"/>
            <w:shd w:val="clear" w:color="auto" w:fill="auto"/>
            <w:vAlign w:val="center"/>
          </w:tcPr>
          <w:p w14:paraId="30E2BBBF" w14:textId="77777777" w:rsidR="00347484" w:rsidRPr="00AE3438" w:rsidRDefault="00347484" w:rsidP="00BD02D3">
            <w:pPr>
              <w:pStyle w:val="TableText0"/>
              <w:keepNext w:val="0"/>
              <w:jc w:val="center"/>
              <w:rPr>
                <w:szCs w:val="20"/>
              </w:rPr>
            </w:pPr>
            <w:r w:rsidRPr="00AE3438">
              <w:rPr>
                <w:szCs w:val="20"/>
              </w:rPr>
              <w:t>RISD oral 5 mg/kg</w:t>
            </w:r>
          </w:p>
          <w:p w14:paraId="05496070" w14:textId="77777777" w:rsidR="00347484" w:rsidRPr="00AE3438" w:rsidRDefault="00347484" w:rsidP="00BD02D3">
            <w:pPr>
              <w:pStyle w:val="TableText0"/>
              <w:keepNext w:val="0"/>
              <w:jc w:val="center"/>
              <w:rPr>
                <w:szCs w:val="20"/>
              </w:rPr>
            </w:pPr>
            <w:r w:rsidRPr="00AE3438">
              <w:rPr>
                <w:szCs w:val="20"/>
              </w:rPr>
              <w:t>RISD oral 0.25 mg/kg</w:t>
            </w:r>
          </w:p>
          <w:p w14:paraId="6B055831" w14:textId="77777777" w:rsidR="00347484" w:rsidRPr="00AE3438" w:rsidRDefault="00347484" w:rsidP="00BD02D3">
            <w:pPr>
              <w:pStyle w:val="TableText0"/>
              <w:keepNext w:val="0"/>
              <w:jc w:val="center"/>
              <w:rPr>
                <w:szCs w:val="20"/>
              </w:rPr>
            </w:pPr>
            <w:r w:rsidRPr="00AE3438">
              <w:rPr>
                <w:szCs w:val="20"/>
              </w:rPr>
              <w:t>placebo</w:t>
            </w:r>
          </w:p>
        </w:tc>
        <w:tc>
          <w:tcPr>
            <w:tcW w:w="1178" w:type="pct"/>
            <w:shd w:val="clear" w:color="auto" w:fill="auto"/>
            <w:vAlign w:val="center"/>
          </w:tcPr>
          <w:p w14:paraId="47152FC9" w14:textId="77777777" w:rsidR="00347484" w:rsidRPr="00AE3438" w:rsidRDefault="00347484" w:rsidP="00BD02D3">
            <w:pPr>
              <w:pStyle w:val="TableText0"/>
              <w:keepNext w:val="0"/>
              <w:jc w:val="center"/>
              <w:rPr>
                <w:szCs w:val="20"/>
              </w:rPr>
            </w:pPr>
            <w:r w:rsidRPr="00AE3438">
              <w:rPr>
                <w:szCs w:val="20"/>
              </w:rPr>
              <w:t>SMA Type II and Type III, non-ambulant; age 2-25 yrs</w:t>
            </w:r>
          </w:p>
        </w:tc>
        <w:tc>
          <w:tcPr>
            <w:tcW w:w="808" w:type="pct"/>
            <w:shd w:val="clear" w:color="auto" w:fill="auto"/>
            <w:vAlign w:val="center"/>
          </w:tcPr>
          <w:p w14:paraId="12D6FFB9" w14:textId="77777777" w:rsidR="00347484" w:rsidRPr="00AE3438" w:rsidRDefault="00347484" w:rsidP="00BD02D3">
            <w:pPr>
              <w:pStyle w:val="TableText0"/>
              <w:keepNext w:val="0"/>
              <w:rPr>
                <w:szCs w:val="20"/>
              </w:rPr>
            </w:pPr>
            <w:r w:rsidRPr="00AE3438">
              <w:rPr>
                <w:szCs w:val="20"/>
              </w:rPr>
              <w:t>1°: motor milestone – sitting (12 mths)</w:t>
            </w:r>
          </w:p>
          <w:p w14:paraId="5D1D1D8B" w14:textId="77777777" w:rsidR="00347484" w:rsidRPr="00AE3438" w:rsidRDefault="00347484" w:rsidP="00BD02D3">
            <w:pPr>
              <w:pStyle w:val="TableText0"/>
              <w:keepNext w:val="0"/>
              <w:rPr>
                <w:szCs w:val="20"/>
              </w:rPr>
            </w:pPr>
            <w:r w:rsidRPr="00AE3438">
              <w:rPr>
                <w:szCs w:val="20"/>
              </w:rPr>
              <w:t>2°: motor milestones, EFS, OS</w:t>
            </w:r>
          </w:p>
        </w:tc>
        <w:tc>
          <w:tcPr>
            <w:tcW w:w="147" w:type="pct"/>
            <w:shd w:val="clear" w:color="auto" w:fill="auto"/>
            <w:vAlign w:val="center"/>
          </w:tcPr>
          <w:p w14:paraId="41034652"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55F928D5" w14:textId="77777777" w:rsidTr="00D22BF5">
        <w:tc>
          <w:tcPr>
            <w:tcW w:w="5000" w:type="pct"/>
            <w:gridSpan w:val="8"/>
          </w:tcPr>
          <w:p w14:paraId="5F623787" w14:textId="77777777" w:rsidR="00347484" w:rsidRPr="00AE3438" w:rsidRDefault="00347484" w:rsidP="00BD02D3">
            <w:pPr>
              <w:pStyle w:val="TableText0"/>
              <w:keepNext w:val="0"/>
              <w:rPr>
                <w:b/>
                <w:szCs w:val="20"/>
              </w:rPr>
            </w:pPr>
            <w:r w:rsidRPr="00AE3438">
              <w:rPr>
                <w:b/>
                <w:szCs w:val="20"/>
              </w:rPr>
              <w:t>Natural history</w:t>
            </w:r>
          </w:p>
        </w:tc>
      </w:tr>
      <w:tr w:rsidR="00347484" w:rsidRPr="00AE3438" w14:paraId="61AE833E" w14:textId="77777777" w:rsidTr="00D22BF5">
        <w:tc>
          <w:tcPr>
            <w:tcW w:w="662" w:type="pct"/>
            <w:shd w:val="clear" w:color="auto" w:fill="auto"/>
            <w:vAlign w:val="center"/>
          </w:tcPr>
          <w:p w14:paraId="52A057B5" w14:textId="77777777" w:rsidR="00347484" w:rsidRPr="00AE3438" w:rsidRDefault="00347484" w:rsidP="00BD02D3">
            <w:pPr>
              <w:pStyle w:val="TableText0"/>
              <w:keepNext w:val="0"/>
              <w:rPr>
                <w:szCs w:val="20"/>
              </w:rPr>
            </w:pPr>
            <w:r w:rsidRPr="00AE3438">
              <w:rPr>
                <w:szCs w:val="20"/>
              </w:rPr>
              <w:t>NeuroNext</w:t>
            </w:r>
          </w:p>
        </w:tc>
        <w:tc>
          <w:tcPr>
            <w:tcW w:w="222" w:type="pct"/>
            <w:shd w:val="clear" w:color="auto" w:fill="auto"/>
            <w:vAlign w:val="center"/>
          </w:tcPr>
          <w:p w14:paraId="6C519CE8" w14:textId="77777777" w:rsidR="00347484" w:rsidRPr="00AE3438" w:rsidRDefault="00347484" w:rsidP="00BD02D3">
            <w:pPr>
              <w:pStyle w:val="TableText0"/>
              <w:keepNext w:val="0"/>
              <w:jc w:val="center"/>
              <w:rPr>
                <w:szCs w:val="20"/>
              </w:rPr>
            </w:pPr>
            <w:r w:rsidRPr="00AE3438">
              <w:rPr>
                <w:szCs w:val="20"/>
              </w:rPr>
              <w:t>53</w:t>
            </w:r>
          </w:p>
        </w:tc>
        <w:tc>
          <w:tcPr>
            <w:tcW w:w="1100" w:type="pct"/>
            <w:shd w:val="clear" w:color="auto" w:fill="auto"/>
            <w:vAlign w:val="center"/>
          </w:tcPr>
          <w:p w14:paraId="11FD6E8A" w14:textId="77777777" w:rsidR="00347484" w:rsidRPr="00AE3438" w:rsidRDefault="00347484" w:rsidP="00BD02D3">
            <w:pPr>
              <w:pStyle w:val="TableText0"/>
              <w:keepNext w:val="0"/>
              <w:jc w:val="center"/>
              <w:rPr>
                <w:szCs w:val="20"/>
              </w:rPr>
            </w:pPr>
            <w:r w:rsidRPr="00AE3438">
              <w:rPr>
                <w:szCs w:val="20"/>
              </w:rPr>
              <w:t>Enrolled between Nov 2012 to Sept 2014</w:t>
            </w:r>
          </w:p>
        </w:tc>
        <w:tc>
          <w:tcPr>
            <w:tcW w:w="296" w:type="pct"/>
            <w:shd w:val="clear" w:color="auto" w:fill="auto"/>
            <w:vAlign w:val="center"/>
          </w:tcPr>
          <w:p w14:paraId="42865A28" w14:textId="77777777" w:rsidR="00347484" w:rsidRPr="00AE3438" w:rsidRDefault="00347484" w:rsidP="00BD02D3">
            <w:pPr>
              <w:pStyle w:val="TableText0"/>
              <w:keepNext w:val="0"/>
              <w:jc w:val="center"/>
              <w:rPr>
                <w:szCs w:val="20"/>
              </w:rPr>
            </w:pPr>
            <w:r w:rsidRPr="00AE3438">
              <w:rPr>
                <w:szCs w:val="20"/>
              </w:rPr>
              <w:t>-</w:t>
            </w:r>
          </w:p>
        </w:tc>
        <w:tc>
          <w:tcPr>
            <w:tcW w:w="588" w:type="pct"/>
            <w:shd w:val="clear" w:color="auto" w:fill="auto"/>
            <w:vAlign w:val="center"/>
          </w:tcPr>
          <w:p w14:paraId="373D88F3" w14:textId="77777777" w:rsidR="00347484" w:rsidRPr="00AE3438" w:rsidRDefault="00347484" w:rsidP="00BD02D3">
            <w:pPr>
              <w:pStyle w:val="TableText0"/>
              <w:keepNext w:val="0"/>
              <w:jc w:val="center"/>
              <w:rPr>
                <w:szCs w:val="20"/>
              </w:rPr>
            </w:pPr>
            <w:r w:rsidRPr="00AE3438">
              <w:rPr>
                <w:szCs w:val="20"/>
              </w:rPr>
              <w:t>-</w:t>
            </w:r>
          </w:p>
        </w:tc>
        <w:tc>
          <w:tcPr>
            <w:tcW w:w="1178" w:type="pct"/>
            <w:shd w:val="clear" w:color="auto" w:fill="auto"/>
            <w:vAlign w:val="center"/>
          </w:tcPr>
          <w:p w14:paraId="4EBB92A4" w14:textId="77777777" w:rsidR="00347484" w:rsidRPr="00AE3438" w:rsidRDefault="00347484" w:rsidP="00BD02D3">
            <w:pPr>
              <w:pStyle w:val="TableText0"/>
              <w:keepNext w:val="0"/>
              <w:jc w:val="center"/>
              <w:rPr>
                <w:szCs w:val="20"/>
              </w:rPr>
            </w:pPr>
            <w:r w:rsidRPr="00AE3438">
              <w:rPr>
                <w:szCs w:val="20"/>
              </w:rPr>
              <w:t>SMA (n=26) and healthy infants, USA</w:t>
            </w:r>
          </w:p>
        </w:tc>
        <w:tc>
          <w:tcPr>
            <w:tcW w:w="808" w:type="pct"/>
            <w:shd w:val="clear" w:color="auto" w:fill="auto"/>
            <w:vAlign w:val="center"/>
          </w:tcPr>
          <w:p w14:paraId="0CF5788B" w14:textId="77777777" w:rsidR="00347484" w:rsidRPr="00AE3438" w:rsidRDefault="00347484" w:rsidP="00BD02D3">
            <w:pPr>
              <w:pStyle w:val="TableText0"/>
              <w:keepNext w:val="0"/>
              <w:rPr>
                <w:szCs w:val="20"/>
              </w:rPr>
            </w:pPr>
            <w:r w:rsidRPr="00AE3438">
              <w:rPr>
                <w:szCs w:val="20"/>
              </w:rPr>
              <w:t>Motor milestones, EFS, OS</w:t>
            </w:r>
          </w:p>
        </w:tc>
        <w:tc>
          <w:tcPr>
            <w:tcW w:w="147" w:type="pct"/>
            <w:shd w:val="clear" w:color="auto" w:fill="auto"/>
            <w:vAlign w:val="center"/>
          </w:tcPr>
          <w:p w14:paraId="401E339A" w14:textId="77777777" w:rsidR="00347484" w:rsidRPr="00AE3438" w:rsidRDefault="00347484" w:rsidP="00BD02D3">
            <w:pPr>
              <w:pStyle w:val="TableText0"/>
              <w:keepNext w:val="0"/>
              <w:jc w:val="center"/>
              <w:rPr>
                <w:szCs w:val="20"/>
              </w:rPr>
            </w:pPr>
            <w:r w:rsidRPr="00AE3438">
              <w:rPr>
                <w:szCs w:val="20"/>
              </w:rPr>
              <w:sym w:font="Wingdings" w:char="F0FC"/>
            </w:r>
          </w:p>
        </w:tc>
      </w:tr>
      <w:tr w:rsidR="00347484" w:rsidRPr="00AE3438" w14:paraId="50E65B08" w14:textId="77777777" w:rsidTr="00D22BF5">
        <w:tc>
          <w:tcPr>
            <w:tcW w:w="662" w:type="pct"/>
            <w:shd w:val="clear" w:color="auto" w:fill="auto"/>
            <w:vAlign w:val="center"/>
          </w:tcPr>
          <w:p w14:paraId="7EEDDBBA" w14:textId="77777777" w:rsidR="00347484" w:rsidRPr="00AE3438" w:rsidRDefault="00347484" w:rsidP="00BD02D3">
            <w:pPr>
              <w:pStyle w:val="TableText0"/>
              <w:keepNext w:val="0"/>
              <w:rPr>
                <w:szCs w:val="20"/>
              </w:rPr>
            </w:pPr>
            <w:r w:rsidRPr="00AE3438">
              <w:rPr>
                <w:szCs w:val="20"/>
              </w:rPr>
              <w:t>PNCR</w:t>
            </w:r>
          </w:p>
        </w:tc>
        <w:tc>
          <w:tcPr>
            <w:tcW w:w="222" w:type="pct"/>
            <w:shd w:val="clear" w:color="auto" w:fill="auto"/>
            <w:vAlign w:val="center"/>
          </w:tcPr>
          <w:p w14:paraId="06137898" w14:textId="77777777" w:rsidR="00347484" w:rsidRPr="00AE3438" w:rsidRDefault="00347484" w:rsidP="00BD02D3">
            <w:pPr>
              <w:pStyle w:val="TableText0"/>
              <w:keepNext w:val="0"/>
              <w:jc w:val="center"/>
              <w:rPr>
                <w:szCs w:val="20"/>
              </w:rPr>
            </w:pPr>
            <w:r w:rsidRPr="00AE3438">
              <w:rPr>
                <w:szCs w:val="20"/>
              </w:rPr>
              <w:t>79</w:t>
            </w:r>
          </w:p>
        </w:tc>
        <w:tc>
          <w:tcPr>
            <w:tcW w:w="1100" w:type="pct"/>
            <w:shd w:val="clear" w:color="auto" w:fill="auto"/>
            <w:vAlign w:val="center"/>
          </w:tcPr>
          <w:p w14:paraId="340602D0" w14:textId="77777777" w:rsidR="00347484" w:rsidRPr="00AE3438" w:rsidRDefault="00347484" w:rsidP="00BD02D3">
            <w:pPr>
              <w:pStyle w:val="TableText0"/>
              <w:keepNext w:val="0"/>
              <w:jc w:val="center"/>
              <w:rPr>
                <w:szCs w:val="20"/>
              </w:rPr>
            </w:pPr>
            <w:r w:rsidRPr="00AE3438">
              <w:rPr>
                <w:szCs w:val="20"/>
              </w:rPr>
              <w:t>Enrolled between 2005-09</w:t>
            </w:r>
          </w:p>
        </w:tc>
        <w:tc>
          <w:tcPr>
            <w:tcW w:w="296" w:type="pct"/>
            <w:shd w:val="clear" w:color="auto" w:fill="auto"/>
            <w:vAlign w:val="center"/>
          </w:tcPr>
          <w:p w14:paraId="65A6A3C0" w14:textId="77777777" w:rsidR="00347484" w:rsidRPr="00AE3438" w:rsidRDefault="00347484" w:rsidP="00BD02D3">
            <w:pPr>
              <w:pStyle w:val="TableText0"/>
              <w:keepNext w:val="0"/>
              <w:jc w:val="center"/>
              <w:rPr>
                <w:szCs w:val="20"/>
              </w:rPr>
            </w:pPr>
            <w:r w:rsidRPr="00AE3438">
              <w:rPr>
                <w:szCs w:val="20"/>
              </w:rPr>
              <w:t>-</w:t>
            </w:r>
          </w:p>
        </w:tc>
        <w:tc>
          <w:tcPr>
            <w:tcW w:w="588" w:type="pct"/>
            <w:shd w:val="clear" w:color="auto" w:fill="auto"/>
            <w:vAlign w:val="center"/>
          </w:tcPr>
          <w:p w14:paraId="44E4F3D0" w14:textId="77777777" w:rsidR="00347484" w:rsidRPr="00AE3438" w:rsidRDefault="00347484" w:rsidP="00BD02D3">
            <w:pPr>
              <w:pStyle w:val="TableText0"/>
              <w:keepNext w:val="0"/>
              <w:jc w:val="center"/>
              <w:rPr>
                <w:szCs w:val="20"/>
              </w:rPr>
            </w:pPr>
            <w:r w:rsidRPr="00AE3438">
              <w:rPr>
                <w:szCs w:val="20"/>
              </w:rPr>
              <w:t>-</w:t>
            </w:r>
          </w:p>
        </w:tc>
        <w:tc>
          <w:tcPr>
            <w:tcW w:w="1178" w:type="pct"/>
            <w:shd w:val="clear" w:color="auto" w:fill="auto"/>
            <w:vAlign w:val="center"/>
          </w:tcPr>
          <w:p w14:paraId="1E6A3E18" w14:textId="77777777" w:rsidR="00347484" w:rsidRPr="00AE3438" w:rsidRDefault="00347484" w:rsidP="00BD02D3">
            <w:pPr>
              <w:pStyle w:val="TableText0"/>
              <w:jc w:val="center"/>
              <w:rPr>
                <w:szCs w:val="20"/>
              </w:rPr>
            </w:pPr>
            <w:r w:rsidRPr="00AE3438">
              <w:rPr>
                <w:szCs w:val="20"/>
              </w:rPr>
              <w:t>SMA Type I (n=34) and Type II, USA</w:t>
            </w:r>
          </w:p>
        </w:tc>
        <w:tc>
          <w:tcPr>
            <w:tcW w:w="808" w:type="pct"/>
            <w:shd w:val="clear" w:color="auto" w:fill="auto"/>
            <w:vAlign w:val="center"/>
          </w:tcPr>
          <w:p w14:paraId="6CDCD5CA" w14:textId="77777777" w:rsidR="00347484" w:rsidRPr="00AE3438" w:rsidRDefault="00347484" w:rsidP="00BD02D3">
            <w:pPr>
              <w:pStyle w:val="TableText0"/>
              <w:keepNext w:val="0"/>
              <w:rPr>
                <w:szCs w:val="20"/>
              </w:rPr>
            </w:pPr>
            <w:r w:rsidRPr="00AE3438">
              <w:rPr>
                <w:szCs w:val="20"/>
              </w:rPr>
              <w:t>Motor milestones, EFS, OS</w:t>
            </w:r>
          </w:p>
        </w:tc>
        <w:tc>
          <w:tcPr>
            <w:tcW w:w="147" w:type="pct"/>
            <w:shd w:val="clear" w:color="auto" w:fill="auto"/>
            <w:vAlign w:val="center"/>
          </w:tcPr>
          <w:p w14:paraId="6F0293A0" w14:textId="77777777" w:rsidR="00347484" w:rsidRPr="00AE3438" w:rsidRDefault="00347484" w:rsidP="00BD02D3">
            <w:pPr>
              <w:pStyle w:val="TableText0"/>
              <w:keepNext w:val="0"/>
              <w:jc w:val="center"/>
              <w:rPr>
                <w:szCs w:val="20"/>
              </w:rPr>
            </w:pPr>
            <w:r w:rsidRPr="00AE3438">
              <w:rPr>
                <w:szCs w:val="20"/>
              </w:rPr>
              <w:t>-</w:t>
            </w:r>
          </w:p>
        </w:tc>
      </w:tr>
      <w:tr w:rsidR="00347484" w:rsidRPr="00AE3438" w14:paraId="2121CED7" w14:textId="77777777" w:rsidTr="00D22BF5">
        <w:tc>
          <w:tcPr>
            <w:tcW w:w="662" w:type="pct"/>
            <w:shd w:val="clear" w:color="auto" w:fill="auto"/>
            <w:vAlign w:val="center"/>
          </w:tcPr>
          <w:p w14:paraId="303F3021" w14:textId="77777777" w:rsidR="00347484" w:rsidRPr="00AE3438" w:rsidRDefault="00347484" w:rsidP="00BD02D3">
            <w:pPr>
              <w:pStyle w:val="TableText0"/>
              <w:keepNext w:val="0"/>
              <w:rPr>
                <w:szCs w:val="20"/>
              </w:rPr>
            </w:pPr>
            <w:r w:rsidRPr="00AE3438">
              <w:rPr>
                <w:szCs w:val="20"/>
              </w:rPr>
              <w:t>Gregoretti 2013</w:t>
            </w:r>
          </w:p>
        </w:tc>
        <w:tc>
          <w:tcPr>
            <w:tcW w:w="222" w:type="pct"/>
            <w:shd w:val="clear" w:color="auto" w:fill="auto"/>
            <w:vAlign w:val="center"/>
          </w:tcPr>
          <w:p w14:paraId="03261CE3" w14:textId="77777777" w:rsidR="00347484" w:rsidRPr="00AE3438" w:rsidRDefault="00347484" w:rsidP="00BD02D3">
            <w:pPr>
              <w:pStyle w:val="TableText0"/>
              <w:keepNext w:val="0"/>
              <w:jc w:val="center"/>
              <w:rPr>
                <w:szCs w:val="20"/>
              </w:rPr>
            </w:pPr>
            <w:r w:rsidRPr="00AE3438">
              <w:rPr>
                <w:szCs w:val="20"/>
              </w:rPr>
              <w:t>194</w:t>
            </w:r>
          </w:p>
        </w:tc>
        <w:tc>
          <w:tcPr>
            <w:tcW w:w="1100" w:type="pct"/>
            <w:shd w:val="clear" w:color="auto" w:fill="auto"/>
            <w:vAlign w:val="center"/>
          </w:tcPr>
          <w:p w14:paraId="682EDB19" w14:textId="77777777" w:rsidR="00347484" w:rsidRPr="00AE3438" w:rsidRDefault="00347484" w:rsidP="00BD02D3">
            <w:pPr>
              <w:pStyle w:val="TableText0"/>
              <w:keepNext w:val="0"/>
              <w:jc w:val="center"/>
              <w:rPr>
                <w:szCs w:val="20"/>
              </w:rPr>
            </w:pPr>
            <w:r w:rsidRPr="00AE3438">
              <w:rPr>
                <w:szCs w:val="20"/>
              </w:rPr>
              <w:t>Followed up 1992-2010</w:t>
            </w:r>
          </w:p>
        </w:tc>
        <w:tc>
          <w:tcPr>
            <w:tcW w:w="296" w:type="pct"/>
            <w:shd w:val="clear" w:color="auto" w:fill="auto"/>
            <w:vAlign w:val="center"/>
          </w:tcPr>
          <w:p w14:paraId="6898357C" w14:textId="77777777" w:rsidR="00347484" w:rsidRPr="00AE3438" w:rsidRDefault="00347484" w:rsidP="00BD02D3">
            <w:pPr>
              <w:pStyle w:val="TableText0"/>
              <w:keepNext w:val="0"/>
              <w:jc w:val="center"/>
              <w:rPr>
                <w:szCs w:val="20"/>
              </w:rPr>
            </w:pPr>
            <w:r w:rsidRPr="00AE3438">
              <w:rPr>
                <w:szCs w:val="20"/>
              </w:rPr>
              <w:t>-</w:t>
            </w:r>
          </w:p>
        </w:tc>
        <w:tc>
          <w:tcPr>
            <w:tcW w:w="588" w:type="pct"/>
            <w:shd w:val="clear" w:color="auto" w:fill="auto"/>
            <w:vAlign w:val="center"/>
          </w:tcPr>
          <w:p w14:paraId="3248BA01" w14:textId="77777777" w:rsidR="00347484" w:rsidRPr="00AE3438" w:rsidRDefault="00347484" w:rsidP="00BD02D3">
            <w:pPr>
              <w:pStyle w:val="TableText0"/>
              <w:keepNext w:val="0"/>
              <w:jc w:val="center"/>
              <w:rPr>
                <w:szCs w:val="20"/>
              </w:rPr>
            </w:pPr>
            <w:r w:rsidRPr="00AE3438">
              <w:rPr>
                <w:szCs w:val="20"/>
              </w:rPr>
              <w:t>-</w:t>
            </w:r>
          </w:p>
        </w:tc>
        <w:tc>
          <w:tcPr>
            <w:tcW w:w="1178" w:type="pct"/>
            <w:shd w:val="clear" w:color="auto" w:fill="auto"/>
            <w:vAlign w:val="center"/>
          </w:tcPr>
          <w:p w14:paraId="2B1477AE" w14:textId="77777777" w:rsidR="00347484" w:rsidRPr="00AE3438" w:rsidRDefault="00347484" w:rsidP="00BD02D3">
            <w:pPr>
              <w:pStyle w:val="TableText0"/>
              <w:keepNext w:val="0"/>
              <w:jc w:val="center"/>
              <w:rPr>
                <w:szCs w:val="20"/>
              </w:rPr>
            </w:pPr>
            <w:r w:rsidRPr="00AE3438">
              <w:rPr>
                <w:szCs w:val="20"/>
              </w:rPr>
              <w:t>Type I SMA, Italy</w:t>
            </w:r>
          </w:p>
        </w:tc>
        <w:tc>
          <w:tcPr>
            <w:tcW w:w="808" w:type="pct"/>
            <w:shd w:val="clear" w:color="auto" w:fill="auto"/>
            <w:vAlign w:val="center"/>
          </w:tcPr>
          <w:p w14:paraId="4B401458" w14:textId="77777777" w:rsidR="00347484" w:rsidRPr="00AE3438" w:rsidRDefault="00347484" w:rsidP="00BD02D3">
            <w:pPr>
              <w:pStyle w:val="TableText0"/>
              <w:keepNext w:val="0"/>
              <w:rPr>
                <w:szCs w:val="20"/>
              </w:rPr>
            </w:pPr>
            <w:r w:rsidRPr="00AE3438">
              <w:rPr>
                <w:szCs w:val="20"/>
              </w:rPr>
              <w:t>OS</w:t>
            </w:r>
          </w:p>
        </w:tc>
        <w:tc>
          <w:tcPr>
            <w:tcW w:w="147" w:type="pct"/>
            <w:shd w:val="clear" w:color="auto" w:fill="auto"/>
            <w:vAlign w:val="center"/>
          </w:tcPr>
          <w:p w14:paraId="74594E68" w14:textId="77777777" w:rsidR="00347484" w:rsidRPr="00AE3438" w:rsidRDefault="00347484" w:rsidP="00BD02D3">
            <w:pPr>
              <w:pStyle w:val="TableText0"/>
              <w:keepNext w:val="0"/>
              <w:jc w:val="center"/>
              <w:rPr>
                <w:szCs w:val="20"/>
              </w:rPr>
            </w:pPr>
            <w:r w:rsidRPr="00AE3438">
              <w:rPr>
                <w:szCs w:val="20"/>
              </w:rPr>
              <w:sym w:font="Wingdings" w:char="F0FC"/>
            </w:r>
          </w:p>
        </w:tc>
      </w:tr>
      <w:tr w:rsidR="00347484" w:rsidRPr="00AE3438" w14:paraId="0D250CA7" w14:textId="77777777" w:rsidTr="00D22BF5">
        <w:tc>
          <w:tcPr>
            <w:tcW w:w="662" w:type="pct"/>
            <w:shd w:val="clear" w:color="auto" w:fill="auto"/>
            <w:vAlign w:val="center"/>
          </w:tcPr>
          <w:p w14:paraId="2908C6AE" w14:textId="77777777" w:rsidR="00347484" w:rsidRPr="00AE3438" w:rsidRDefault="00347484" w:rsidP="00BD02D3">
            <w:pPr>
              <w:pStyle w:val="TableText0"/>
              <w:keepNext w:val="0"/>
              <w:rPr>
                <w:szCs w:val="20"/>
              </w:rPr>
            </w:pPr>
            <w:r w:rsidRPr="00AE3438">
              <w:rPr>
                <w:szCs w:val="20"/>
              </w:rPr>
              <w:t>Zerres 1997</w:t>
            </w:r>
          </w:p>
        </w:tc>
        <w:tc>
          <w:tcPr>
            <w:tcW w:w="222" w:type="pct"/>
            <w:shd w:val="clear" w:color="auto" w:fill="auto"/>
            <w:vAlign w:val="center"/>
          </w:tcPr>
          <w:p w14:paraId="50BABA02" w14:textId="77777777" w:rsidR="00347484" w:rsidRPr="00AE3438" w:rsidRDefault="00347484" w:rsidP="00BD02D3">
            <w:pPr>
              <w:pStyle w:val="TableText0"/>
              <w:keepNext w:val="0"/>
              <w:jc w:val="center"/>
              <w:rPr>
                <w:szCs w:val="20"/>
              </w:rPr>
            </w:pPr>
            <w:r w:rsidRPr="00AE3438">
              <w:rPr>
                <w:szCs w:val="20"/>
              </w:rPr>
              <w:t>569</w:t>
            </w:r>
          </w:p>
        </w:tc>
        <w:tc>
          <w:tcPr>
            <w:tcW w:w="1100" w:type="pct"/>
            <w:shd w:val="clear" w:color="auto" w:fill="auto"/>
            <w:vAlign w:val="center"/>
          </w:tcPr>
          <w:p w14:paraId="267EAC6E" w14:textId="77777777" w:rsidR="00347484" w:rsidRPr="00AE3438" w:rsidRDefault="00347484" w:rsidP="00BD02D3">
            <w:pPr>
              <w:pStyle w:val="TableText0"/>
              <w:keepNext w:val="0"/>
              <w:jc w:val="center"/>
              <w:rPr>
                <w:szCs w:val="20"/>
              </w:rPr>
            </w:pPr>
            <w:r w:rsidRPr="00AE3438">
              <w:rPr>
                <w:szCs w:val="20"/>
              </w:rPr>
              <w:t>Enrolled since 1985 Germany and 1960 Poland</w:t>
            </w:r>
          </w:p>
        </w:tc>
        <w:tc>
          <w:tcPr>
            <w:tcW w:w="296" w:type="pct"/>
            <w:shd w:val="clear" w:color="auto" w:fill="auto"/>
            <w:vAlign w:val="center"/>
          </w:tcPr>
          <w:p w14:paraId="64A9B94C" w14:textId="77777777" w:rsidR="00347484" w:rsidRPr="00AE3438" w:rsidRDefault="00347484" w:rsidP="00BD02D3">
            <w:pPr>
              <w:pStyle w:val="TableText0"/>
              <w:keepNext w:val="0"/>
              <w:jc w:val="center"/>
              <w:rPr>
                <w:szCs w:val="20"/>
              </w:rPr>
            </w:pPr>
            <w:r w:rsidRPr="00AE3438">
              <w:rPr>
                <w:szCs w:val="20"/>
              </w:rPr>
              <w:t>-</w:t>
            </w:r>
          </w:p>
        </w:tc>
        <w:tc>
          <w:tcPr>
            <w:tcW w:w="588" w:type="pct"/>
            <w:vAlign w:val="center"/>
          </w:tcPr>
          <w:p w14:paraId="5E36816F" w14:textId="77777777" w:rsidR="00347484" w:rsidRPr="00AE3438" w:rsidRDefault="00347484" w:rsidP="00BD02D3">
            <w:pPr>
              <w:pStyle w:val="TableText0"/>
              <w:keepNext w:val="0"/>
              <w:jc w:val="center"/>
              <w:rPr>
                <w:szCs w:val="20"/>
              </w:rPr>
            </w:pPr>
            <w:r w:rsidRPr="00AE3438">
              <w:rPr>
                <w:szCs w:val="20"/>
              </w:rPr>
              <w:t>-</w:t>
            </w:r>
          </w:p>
        </w:tc>
        <w:tc>
          <w:tcPr>
            <w:tcW w:w="1178" w:type="pct"/>
            <w:shd w:val="clear" w:color="auto" w:fill="auto"/>
            <w:vAlign w:val="center"/>
          </w:tcPr>
          <w:p w14:paraId="6C105D95" w14:textId="77777777" w:rsidR="00347484" w:rsidRPr="00AE3438" w:rsidRDefault="00347484" w:rsidP="00BD02D3">
            <w:pPr>
              <w:pStyle w:val="TableText0"/>
              <w:keepNext w:val="0"/>
              <w:jc w:val="center"/>
              <w:rPr>
                <w:szCs w:val="20"/>
              </w:rPr>
            </w:pPr>
            <w:r w:rsidRPr="00AE3438">
              <w:rPr>
                <w:szCs w:val="20"/>
              </w:rPr>
              <w:t>SMA Type II (sitters, n=240), Type IIIa (walkers SMA onset before 3yrs, n=195) and Type IIIb (walkers SMA onset 3-30 yrs, n=134)</w:t>
            </w:r>
          </w:p>
          <w:p w14:paraId="4AE30A4D" w14:textId="77777777" w:rsidR="00347484" w:rsidRPr="00AE3438" w:rsidRDefault="00347484" w:rsidP="00BD02D3">
            <w:pPr>
              <w:pStyle w:val="TableText0"/>
              <w:keepNext w:val="0"/>
              <w:jc w:val="center"/>
              <w:rPr>
                <w:szCs w:val="20"/>
              </w:rPr>
            </w:pPr>
            <w:r w:rsidRPr="00AE3438">
              <w:rPr>
                <w:szCs w:val="20"/>
              </w:rPr>
              <w:t>Germany and Poland</w:t>
            </w:r>
          </w:p>
        </w:tc>
        <w:tc>
          <w:tcPr>
            <w:tcW w:w="808" w:type="pct"/>
            <w:shd w:val="clear" w:color="auto" w:fill="auto"/>
            <w:vAlign w:val="center"/>
          </w:tcPr>
          <w:p w14:paraId="030EF87A" w14:textId="77777777" w:rsidR="00347484" w:rsidRPr="00AE3438" w:rsidRDefault="00347484" w:rsidP="00BD02D3">
            <w:pPr>
              <w:pStyle w:val="TableText0"/>
              <w:keepNext w:val="0"/>
              <w:rPr>
                <w:szCs w:val="20"/>
              </w:rPr>
            </w:pPr>
            <w:r w:rsidRPr="00AE3438">
              <w:rPr>
                <w:szCs w:val="20"/>
              </w:rPr>
              <w:t>Motor milestones, OS</w:t>
            </w:r>
          </w:p>
        </w:tc>
        <w:tc>
          <w:tcPr>
            <w:tcW w:w="147" w:type="pct"/>
            <w:shd w:val="clear" w:color="auto" w:fill="auto"/>
            <w:vAlign w:val="center"/>
          </w:tcPr>
          <w:p w14:paraId="705F2540" w14:textId="77777777" w:rsidR="00347484" w:rsidRPr="00AE3438" w:rsidRDefault="00347484" w:rsidP="00BD02D3">
            <w:pPr>
              <w:pStyle w:val="TableText0"/>
              <w:keepNext w:val="0"/>
              <w:jc w:val="center"/>
              <w:rPr>
                <w:szCs w:val="20"/>
              </w:rPr>
            </w:pPr>
            <w:r w:rsidRPr="00AE3438">
              <w:rPr>
                <w:szCs w:val="20"/>
              </w:rPr>
              <w:sym w:font="Wingdings" w:char="F0FC"/>
            </w:r>
          </w:p>
        </w:tc>
      </w:tr>
    </w:tbl>
    <w:p w14:paraId="61632B92" w14:textId="03AF0471" w:rsidR="00347484" w:rsidRPr="00AE3438" w:rsidRDefault="00347484" w:rsidP="00347484">
      <w:pPr>
        <w:pStyle w:val="TableFigureFooter"/>
        <w:rPr>
          <w:rStyle w:val="CommentReference"/>
          <w:b w:val="0"/>
          <w:bCs/>
          <w:sz w:val="16"/>
          <w:shd w:val="clear" w:color="auto" w:fill="B8CCE4" w:themeFill="accent1" w:themeFillTint="66"/>
        </w:rPr>
      </w:pPr>
      <w:r w:rsidRPr="00AE3438">
        <w:rPr>
          <w:rStyle w:val="CommentReference"/>
          <w:b w:val="0"/>
          <w:bCs/>
          <w:sz w:val="16"/>
          <w:shd w:val="clear" w:color="auto" w:fill="EAF1DD" w:themeFill="accent3" w:themeFillTint="33"/>
        </w:rPr>
        <w:t>Green shading</w:t>
      </w:r>
      <w:r w:rsidRPr="00AE3438">
        <w:rPr>
          <w:rStyle w:val="CommentReference"/>
          <w:b w:val="0"/>
          <w:bCs/>
          <w:sz w:val="16"/>
        </w:rPr>
        <w:t xml:space="preserve"> represents study population consisting only of patients treated pre-symptomatically, unshaded rows represent studies in symptomatic patients.</w:t>
      </w:r>
    </w:p>
    <w:p w14:paraId="348B7621" w14:textId="77777777" w:rsidR="00347484" w:rsidRPr="00AE3438" w:rsidRDefault="00347484" w:rsidP="00347484">
      <w:pPr>
        <w:pStyle w:val="TableFigureFooter"/>
        <w:rPr>
          <w:sz w:val="16"/>
          <w:szCs w:val="20"/>
        </w:rPr>
      </w:pPr>
      <w:r w:rsidRPr="00AE3438">
        <w:rPr>
          <w:sz w:val="16"/>
          <w:szCs w:val="20"/>
        </w:rPr>
        <w:t>Source: Table 2.8, pp60-61 and Tables 2.9 and 2.10, pp6.7-68, of the submission.</w:t>
      </w:r>
    </w:p>
    <w:p w14:paraId="653F8DA7" w14:textId="4B1BBBBA" w:rsidR="00347484" w:rsidRPr="00AE3438" w:rsidRDefault="00347484" w:rsidP="00347484">
      <w:pPr>
        <w:pStyle w:val="TableFigureFooter"/>
        <w:rPr>
          <w:sz w:val="16"/>
          <w:szCs w:val="20"/>
        </w:rPr>
      </w:pPr>
      <w:r w:rsidRPr="00AE3438">
        <w:rPr>
          <w:sz w:val="16"/>
          <w:szCs w:val="20"/>
        </w:rPr>
        <w:t xml:space="preserve">BSID-GM=Bayley scales of infant and toddler development – gross motor subtest; CMAP=compound muscle action potential; DB=double blind; EFS, event-free survival (survival without permanent ventilation); HFMSE=Hammersmith functional motor scale expanded; HINE=Hammersmith Infant Neurological Examination; IC=intracathel; IV=intravenous; MC=multi-centre; NC=non-comparative single arm study; NUSI=nusinersen; OL=open label; ONA=onasemnogene abeparvovec; OS=overall survival; PC=placebo-controlled; PedsQL=paediatric quality of life; R=randomised; RISD=risdiplam; SMA=spinal muscular atrophy; </w:t>
      </w:r>
      <w:r w:rsidRPr="00AE3438">
        <w:rPr>
          <w:i/>
          <w:sz w:val="16"/>
          <w:szCs w:val="20"/>
        </w:rPr>
        <w:t>SMN1</w:t>
      </w:r>
      <w:r w:rsidRPr="00AE3438">
        <w:rPr>
          <w:sz w:val="16"/>
          <w:szCs w:val="20"/>
        </w:rPr>
        <w:t xml:space="preserve">=survival motor neuron 1; </w:t>
      </w:r>
      <w:r w:rsidRPr="00AE3438">
        <w:rPr>
          <w:i/>
          <w:sz w:val="16"/>
          <w:szCs w:val="20"/>
        </w:rPr>
        <w:t>SMN2</w:t>
      </w:r>
      <w:r w:rsidRPr="00AE3438">
        <w:rPr>
          <w:sz w:val="16"/>
          <w:szCs w:val="20"/>
        </w:rPr>
        <w:t>=survival motor neuron 2; mth=month; yr=year; wk=week;</w:t>
      </w:r>
    </w:p>
    <w:p w14:paraId="522A2C50" w14:textId="77777777" w:rsidR="00347484" w:rsidRPr="00AE3438" w:rsidRDefault="00347484" w:rsidP="00347484">
      <w:pPr>
        <w:pStyle w:val="TableFigureFooter"/>
        <w:rPr>
          <w:sz w:val="16"/>
          <w:szCs w:val="20"/>
        </w:rPr>
      </w:pPr>
      <w:r w:rsidRPr="00AE3438">
        <w:rPr>
          <w:sz w:val="16"/>
          <w:szCs w:val="20"/>
        </w:rPr>
        <w:t>S3 indicates studies used in the modelled economic evaluation (Section 3).</w:t>
      </w:r>
    </w:p>
    <w:p w14:paraId="36F2E170" w14:textId="3F944792" w:rsidR="00347484" w:rsidRPr="00AE3438" w:rsidRDefault="00347484" w:rsidP="00347484">
      <w:pPr>
        <w:pStyle w:val="TableFigureFooter"/>
        <w:rPr>
          <w:sz w:val="16"/>
          <w:szCs w:val="20"/>
        </w:rPr>
      </w:pPr>
      <w:r w:rsidRPr="00AE3438">
        <w:rPr>
          <w:sz w:val="16"/>
          <w:szCs w:val="20"/>
        </w:rPr>
        <w:t>^</w:t>
      </w:r>
      <w:r w:rsidRPr="00AE3438">
        <w:rPr>
          <w:sz w:val="16"/>
          <w:szCs w:val="20"/>
        </w:rPr>
        <w:tab/>
        <w:t xml:space="preserve">ongoing study. </w:t>
      </w:r>
    </w:p>
    <w:p w14:paraId="1EBF6081" w14:textId="77777777" w:rsidR="00347484" w:rsidRPr="00AE3438" w:rsidRDefault="00347484" w:rsidP="00347484">
      <w:pPr>
        <w:pStyle w:val="TableFigureFooter"/>
        <w:rPr>
          <w:sz w:val="16"/>
          <w:szCs w:val="20"/>
        </w:rPr>
      </w:pPr>
      <w:r w:rsidRPr="00AE3438">
        <w:rPr>
          <w:sz w:val="16"/>
          <w:szCs w:val="20"/>
        </w:rPr>
        <w:t>#</w:t>
      </w:r>
      <w:r w:rsidRPr="00AE3438">
        <w:rPr>
          <w:sz w:val="16"/>
          <w:szCs w:val="20"/>
        </w:rPr>
        <w:tab/>
        <w:t>Considered to be high risk of bias being open-label studies and non-comparative study.</w:t>
      </w:r>
    </w:p>
    <w:p w14:paraId="2EE5EE09" w14:textId="77777777" w:rsidR="00347484" w:rsidRPr="00AE3438" w:rsidRDefault="00347484" w:rsidP="00347484">
      <w:pPr>
        <w:pStyle w:val="TableFigureFooter"/>
        <w:ind w:left="165" w:hanging="165"/>
        <w:rPr>
          <w:sz w:val="16"/>
          <w:szCs w:val="20"/>
        </w:rPr>
      </w:pPr>
      <w:r w:rsidRPr="00AE3438">
        <w:rPr>
          <w:sz w:val="16"/>
          <w:szCs w:val="20"/>
        </w:rPr>
        <w:t>a</w:t>
      </w:r>
      <w:r w:rsidRPr="00AE3438">
        <w:rPr>
          <w:sz w:val="16"/>
          <w:szCs w:val="20"/>
          <w:vertAlign w:val="superscript"/>
        </w:rPr>
        <w:tab/>
      </w:r>
      <w:r w:rsidRPr="00AE3438">
        <w:rPr>
          <w:sz w:val="16"/>
          <w:szCs w:val="20"/>
        </w:rPr>
        <w:t xml:space="preserve">Patients with 3 copies of </w:t>
      </w:r>
      <w:r w:rsidRPr="00AE3438">
        <w:rPr>
          <w:i/>
          <w:sz w:val="16"/>
          <w:szCs w:val="20"/>
        </w:rPr>
        <w:t>SMN2</w:t>
      </w:r>
      <w:r w:rsidRPr="00AE3438">
        <w:rPr>
          <w:sz w:val="16"/>
          <w:szCs w:val="20"/>
        </w:rPr>
        <w:t xml:space="preserve"> only. The study population consisted of two cohorts: Cohort 1 (n=14) with 2 copies of </w:t>
      </w:r>
      <w:r w:rsidRPr="00AE3438">
        <w:rPr>
          <w:i/>
          <w:sz w:val="16"/>
          <w:szCs w:val="20"/>
        </w:rPr>
        <w:t>SMN2</w:t>
      </w:r>
      <w:r w:rsidRPr="00AE3438">
        <w:rPr>
          <w:sz w:val="16"/>
          <w:szCs w:val="20"/>
        </w:rPr>
        <w:t xml:space="preserve"> and Cohort 2 (n=15) with 3 copies of </w:t>
      </w:r>
      <w:r w:rsidRPr="00AE3438">
        <w:rPr>
          <w:i/>
          <w:sz w:val="16"/>
          <w:szCs w:val="20"/>
        </w:rPr>
        <w:t>SMN2</w:t>
      </w:r>
      <w:r w:rsidRPr="00AE3438">
        <w:rPr>
          <w:sz w:val="16"/>
          <w:szCs w:val="20"/>
        </w:rPr>
        <w:t xml:space="preserve"> and 1 patient with 4 copies of </w:t>
      </w:r>
      <w:r w:rsidRPr="00AE3438">
        <w:rPr>
          <w:i/>
          <w:sz w:val="16"/>
          <w:szCs w:val="20"/>
        </w:rPr>
        <w:t>SMN2</w:t>
      </w:r>
      <w:r w:rsidRPr="00AE3438">
        <w:rPr>
          <w:sz w:val="16"/>
          <w:szCs w:val="20"/>
        </w:rPr>
        <w:t>.</w:t>
      </w:r>
    </w:p>
    <w:p w14:paraId="45E99973" w14:textId="77777777" w:rsidR="00347484" w:rsidRPr="00AE3438" w:rsidRDefault="00347484" w:rsidP="00347484">
      <w:pPr>
        <w:pStyle w:val="TableFigureFooter"/>
        <w:ind w:left="165" w:hanging="165"/>
        <w:rPr>
          <w:sz w:val="16"/>
          <w:szCs w:val="20"/>
        </w:rPr>
      </w:pPr>
      <w:r w:rsidRPr="00AE3438">
        <w:rPr>
          <w:sz w:val="16"/>
          <w:szCs w:val="20"/>
        </w:rPr>
        <w:t>b</w:t>
      </w:r>
      <w:r w:rsidRPr="00AE3438">
        <w:rPr>
          <w:sz w:val="16"/>
          <w:szCs w:val="20"/>
        </w:rPr>
        <w:tab/>
        <w:t>LT-002 enrolled 59 patients: n=18 (2-3 copies of SMN2) from SPR1NT (CL-304), n=20 from STR1VE-EU (CL-302), n=7 from STR1VE-US (CL303), n=1 from CL-306 and n=13 from STRONG.</w:t>
      </w:r>
    </w:p>
    <w:p w14:paraId="2DB0A3E0" w14:textId="77777777" w:rsidR="00347484" w:rsidRPr="00AE3438" w:rsidRDefault="00347484" w:rsidP="00347484">
      <w:pPr>
        <w:pStyle w:val="TableFigureFooter"/>
        <w:ind w:left="165" w:hanging="165"/>
        <w:rPr>
          <w:sz w:val="16"/>
          <w:szCs w:val="20"/>
        </w:rPr>
      </w:pPr>
      <w:r w:rsidRPr="00AE3438">
        <w:rPr>
          <w:sz w:val="16"/>
          <w:szCs w:val="20"/>
        </w:rPr>
        <w:t>c</w:t>
      </w:r>
      <w:r w:rsidRPr="00AE3438">
        <w:rPr>
          <w:sz w:val="16"/>
          <w:szCs w:val="20"/>
        </w:rPr>
        <w:tab/>
        <w:t>primary efficacy population included patients with 2 copies of SMN2 and CMAP ≥1.5 mV at baseline.</w:t>
      </w:r>
    </w:p>
    <w:p w14:paraId="6C8B8CB5" w14:textId="77777777" w:rsidR="00347484" w:rsidRPr="00AE3438" w:rsidRDefault="00347484" w:rsidP="00347484">
      <w:pPr>
        <w:pStyle w:val="TableFigureFooter"/>
        <w:ind w:left="165" w:hanging="165"/>
        <w:rPr>
          <w:sz w:val="16"/>
          <w:szCs w:val="20"/>
        </w:rPr>
      </w:pPr>
      <w:r w:rsidRPr="00AE3438">
        <w:rPr>
          <w:sz w:val="16"/>
          <w:szCs w:val="20"/>
        </w:rPr>
        <w:t>d</w:t>
      </w:r>
      <w:r w:rsidRPr="00AE3438">
        <w:rPr>
          <w:sz w:val="16"/>
          <w:szCs w:val="20"/>
        </w:rPr>
        <w:tab/>
        <w:t>In START, n=3 received low dose ONA 6.7 × 10</w:t>
      </w:r>
      <w:r w:rsidRPr="00AE3438">
        <w:rPr>
          <w:sz w:val="16"/>
          <w:szCs w:val="20"/>
          <w:vertAlign w:val="superscript"/>
        </w:rPr>
        <w:t>13</w:t>
      </w:r>
      <w:r w:rsidRPr="00AE3438">
        <w:rPr>
          <w:sz w:val="16"/>
          <w:szCs w:val="20"/>
        </w:rPr>
        <w:t xml:space="preserve"> vg/kg and n=12 received therapeutic dose ONA 1.1 × 10</w:t>
      </w:r>
      <w:r w:rsidRPr="00AE3438">
        <w:rPr>
          <w:sz w:val="16"/>
          <w:szCs w:val="20"/>
          <w:vertAlign w:val="superscript"/>
        </w:rPr>
        <w:t>14</w:t>
      </w:r>
      <w:r w:rsidRPr="00AE3438">
        <w:rPr>
          <w:sz w:val="16"/>
          <w:szCs w:val="20"/>
        </w:rPr>
        <w:t xml:space="preserve"> vg/kg. All 15 enrolled in START were recruited to START-LTFU, but results reported for 13 patients (3 low dose and 10 therapeutic dose), as 2 discontinued.</w:t>
      </w:r>
    </w:p>
    <w:p w14:paraId="40A1EEC5" w14:textId="77777777" w:rsidR="00347484" w:rsidRPr="00AE3438" w:rsidRDefault="00347484" w:rsidP="00347484">
      <w:pPr>
        <w:pStyle w:val="TableFigureFooter"/>
        <w:ind w:left="165" w:hanging="165"/>
        <w:rPr>
          <w:sz w:val="16"/>
          <w:szCs w:val="20"/>
        </w:rPr>
      </w:pPr>
      <w:r w:rsidRPr="00AE3438">
        <w:rPr>
          <w:sz w:val="16"/>
          <w:szCs w:val="20"/>
        </w:rPr>
        <w:t>e</w:t>
      </w:r>
      <w:r w:rsidRPr="00AE3438">
        <w:rPr>
          <w:sz w:val="16"/>
          <w:szCs w:val="20"/>
        </w:rPr>
        <w:tab/>
        <w:t>SHINE enrolled 292 patients: n=82 (60 NUSI, 22 SHAM) from ENDEAR, n=24 from CS12 that started in CS2, n=125 (83 NUSI, 42 SHAM) from CHERISH, n=20 from EMBRACE and n=11 from CS3A.</w:t>
      </w:r>
    </w:p>
    <w:p w14:paraId="1F51CE84" w14:textId="77777777" w:rsidR="00347484" w:rsidRPr="00AE3438" w:rsidRDefault="00347484" w:rsidP="00347484">
      <w:pPr>
        <w:pStyle w:val="TableFigureFooter"/>
        <w:ind w:left="165" w:hanging="165"/>
        <w:rPr>
          <w:sz w:val="16"/>
          <w:szCs w:val="20"/>
        </w:rPr>
      </w:pPr>
      <w:r w:rsidRPr="00AE3438">
        <w:rPr>
          <w:sz w:val="16"/>
          <w:szCs w:val="20"/>
        </w:rPr>
        <w:t>f</w:t>
      </w:r>
      <w:r w:rsidRPr="00AE3438">
        <w:rPr>
          <w:sz w:val="16"/>
          <w:szCs w:val="20"/>
        </w:rPr>
        <w:tab/>
        <w:t>The modelled economic evaluation used data from ENDEAR-SHINE.</w:t>
      </w:r>
    </w:p>
    <w:p w14:paraId="206C545A" w14:textId="77777777" w:rsidR="00347484" w:rsidRPr="00AE3438" w:rsidRDefault="00347484" w:rsidP="00347484">
      <w:pPr>
        <w:pStyle w:val="TableFigureFooter"/>
        <w:ind w:left="165" w:hanging="165"/>
        <w:rPr>
          <w:sz w:val="16"/>
          <w:szCs w:val="20"/>
        </w:rPr>
      </w:pPr>
      <w:r w:rsidRPr="00AE3438">
        <w:rPr>
          <w:sz w:val="16"/>
          <w:szCs w:val="20"/>
        </w:rPr>
        <w:t>g</w:t>
      </w:r>
      <w:r w:rsidRPr="00AE3438">
        <w:rPr>
          <w:sz w:val="16"/>
          <w:szCs w:val="20"/>
        </w:rPr>
        <w:tab/>
        <w:t>Patients were assessed 9-14 months after initial dose at enrolment to transition into the long-term extension study (CS12). Time between CS2 and CS12 studies varied by patient (196-413 days).</w:t>
      </w:r>
    </w:p>
    <w:p w14:paraId="76ECD596" w14:textId="77777777" w:rsidR="00347484" w:rsidRPr="00AE3438" w:rsidRDefault="00347484" w:rsidP="00347484">
      <w:pPr>
        <w:pStyle w:val="TableFigureFooter"/>
        <w:ind w:left="165" w:hanging="165"/>
        <w:rPr>
          <w:sz w:val="16"/>
          <w:szCs w:val="20"/>
        </w:rPr>
      </w:pPr>
      <w:r w:rsidRPr="00AE3438">
        <w:rPr>
          <w:sz w:val="16"/>
          <w:szCs w:val="20"/>
        </w:rPr>
        <w:t>h</w:t>
      </w:r>
      <w:r w:rsidRPr="00AE3438">
        <w:rPr>
          <w:sz w:val="16"/>
          <w:szCs w:val="20"/>
        </w:rPr>
        <w:tab/>
        <w:t>CS12 included 52 patients previously enrolled in CS2 or CS10. 24 children in CS2 completed treatment in CS12. However, all (n=28) children in CS2 were eligible to continue in CS12. To be eligible for CS12, patients had to have completed dosing CS2 or CS10 ≥6 months (180 days) and ≤13 months (396 days) before Screening.</w:t>
      </w:r>
    </w:p>
    <w:p w14:paraId="76CAD3F9" w14:textId="77777777" w:rsidR="00347484" w:rsidRPr="00AE3438" w:rsidRDefault="00347484" w:rsidP="00347484">
      <w:pPr>
        <w:pStyle w:val="TableFigureFooter"/>
        <w:ind w:left="165" w:hanging="165"/>
        <w:rPr>
          <w:sz w:val="16"/>
          <w:szCs w:val="20"/>
        </w:rPr>
      </w:pPr>
      <w:r w:rsidRPr="00AE3438">
        <w:rPr>
          <w:sz w:val="16"/>
          <w:szCs w:val="20"/>
        </w:rPr>
        <w:t>i</w:t>
      </w:r>
      <w:r w:rsidRPr="00AE3438">
        <w:rPr>
          <w:sz w:val="16"/>
          <w:szCs w:val="20"/>
        </w:rPr>
        <w:tab/>
        <w:t>EMBRACE was halted due to demonstrated efficacy in ENDEAR (data cutoff 30 March 2017). Eligible patients were transferred to amended open-label protocol (termed Part 2) for approx. 28 mths (24 mths NUSI and follow-up ~4 mths after last dose). For patients initially randomized to NUSI, median (range) time in the study (Parts 1 and 2 combined) was 995 (890-1010) days. For those randomized to control, the median (range) time in Part 1 was 302 (230-366) days, followed by NUSI treatment in Part 2 of 656 (653-659) days.</w:t>
      </w:r>
    </w:p>
    <w:p w14:paraId="5E32FAA8" w14:textId="77777777" w:rsidR="00347484" w:rsidRPr="00AE3438" w:rsidRDefault="00347484" w:rsidP="00347484">
      <w:pPr>
        <w:pStyle w:val="TableFigureFooter"/>
        <w:ind w:left="165" w:hanging="165"/>
        <w:rPr>
          <w:sz w:val="16"/>
          <w:szCs w:val="20"/>
        </w:rPr>
      </w:pPr>
      <w:r w:rsidRPr="00AE3438">
        <w:rPr>
          <w:sz w:val="16"/>
          <w:szCs w:val="20"/>
        </w:rPr>
        <w:lastRenderedPageBreak/>
        <w:t>k</w:t>
      </w:r>
      <w:r w:rsidRPr="00AE3438">
        <w:rPr>
          <w:sz w:val="16"/>
          <w:szCs w:val="20"/>
        </w:rPr>
        <w:tab/>
        <w:t>Patients not eligible for ENDEAR and CHERISH were included in EMBRACE: 2 copies SMN2 (age ≤6 mths symptom onset, &gt;7 mths at screening), 3 copies SMN2 (age ≤6 mths symptoms onset), 2-3 copies SMN2 (age ≥6 mths symptom onset, ≤18 mths at screening).</w:t>
      </w:r>
    </w:p>
    <w:p w14:paraId="776A93D1" w14:textId="674A150D" w:rsidR="0049159C" w:rsidRPr="00AE3438" w:rsidRDefault="00347484" w:rsidP="0049159C">
      <w:pPr>
        <w:pStyle w:val="TableFigureFooter"/>
        <w:ind w:left="165" w:hanging="165"/>
        <w:rPr>
          <w:sz w:val="16"/>
          <w:szCs w:val="20"/>
        </w:rPr>
      </w:pPr>
      <w:r w:rsidRPr="00AE3438">
        <w:rPr>
          <w:sz w:val="16"/>
          <w:szCs w:val="20"/>
        </w:rPr>
        <w:t>m</w:t>
      </w:r>
      <w:r w:rsidRPr="00AE3438">
        <w:rPr>
          <w:sz w:val="16"/>
          <w:szCs w:val="20"/>
        </w:rPr>
        <w:tab/>
        <w:t>Two-part study: Part 1 was exploratory dose finding and Part 2 investigated efficacy of RISD for 24 mths at the dose selected in Part 1.</w:t>
      </w:r>
      <w:r w:rsidR="0049159C" w:rsidRPr="00AE3438">
        <w:t xml:space="preserve"> </w:t>
      </w:r>
      <w:r w:rsidR="0049159C" w:rsidRPr="00AE3438">
        <w:rPr>
          <w:sz w:val="16"/>
          <w:szCs w:val="20"/>
        </w:rPr>
        <w:t>After completion</w:t>
      </w:r>
    </w:p>
    <w:p w14:paraId="64C6DAF7" w14:textId="7EEE042C" w:rsidR="00347484" w:rsidRPr="00AE3438" w:rsidRDefault="0049159C" w:rsidP="0049159C">
      <w:pPr>
        <w:pStyle w:val="TableFigureFooter"/>
        <w:ind w:left="165"/>
        <w:rPr>
          <w:sz w:val="16"/>
          <w:szCs w:val="20"/>
        </w:rPr>
      </w:pPr>
      <w:r w:rsidRPr="00AE3438">
        <w:rPr>
          <w:sz w:val="16"/>
          <w:szCs w:val="20"/>
        </w:rPr>
        <w:t xml:space="preserve">of the 24-month treatment period, individuals could continue in the open-label extension for </w:t>
      </w:r>
      <w:r w:rsidR="0049147B" w:rsidRPr="00AE3438">
        <w:rPr>
          <w:sz w:val="16"/>
          <w:szCs w:val="20"/>
        </w:rPr>
        <w:t xml:space="preserve">up to </w:t>
      </w:r>
      <w:r w:rsidRPr="00AE3438">
        <w:rPr>
          <w:sz w:val="16"/>
          <w:szCs w:val="20"/>
        </w:rPr>
        <w:t>3 years.</w:t>
      </w:r>
    </w:p>
    <w:p w14:paraId="1238D35D" w14:textId="736B7266" w:rsidR="00347484" w:rsidRPr="009B39DD" w:rsidRDefault="00347484" w:rsidP="00347484">
      <w:pPr>
        <w:pStyle w:val="3-BodyText"/>
      </w:pPr>
      <w:r w:rsidRPr="00AE3438">
        <w:t>Except for ENDEAR, CHERISH, SUNFISH and EMBRACE which were RCTs that included a control arm (sham or placebo), all studies were open-label, non-comparative single arm design using TGA approved doses. Only SPR1NT, NURTURE and RAINBOWFISH were conducted in patients with pre-symptomatic SMA, which were small studies and included a total of 35 patients with 3 copies of SMN2.</w:t>
      </w:r>
      <w:r w:rsidR="00884325" w:rsidRPr="00AE3438">
        <w:t xml:space="preserve"> </w:t>
      </w:r>
      <w:r w:rsidR="00CF44B7" w:rsidRPr="009B39DD">
        <w:t>The ESC noted that of the studies provided, there was limited evidence relevant to informing the comparison of pre</w:t>
      </w:r>
      <w:r w:rsidR="00067D07" w:rsidRPr="009B39DD">
        <w:noBreakHyphen/>
      </w:r>
      <w:r w:rsidR="00CF44B7" w:rsidRPr="009B39DD">
        <w:t>symptomatic</w:t>
      </w:r>
      <w:r w:rsidR="007A74E5" w:rsidRPr="009B39DD">
        <w:t xml:space="preserve"> treatment with ONA</w:t>
      </w:r>
      <w:r w:rsidR="00CF44B7" w:rsidRPr="009B39DD">
        <w:t xml:space="preserve"> vs symptomatic treatment in patients with 3 copies of SMN2 </w:t>
      </w:r>
      <w:r w:rsidR="00067D07" w:rsidRPr="009B39DD">
        <w:rPr>
          <w:rFonts w:ascii="Calibri" w:hAnsi="Calibri"/>
          <w:snapToGrid/>
        </w:rPr>
        <w:t xml:space="preserve">and no disaggregated outcomes specific to </w:t>
      </w:r>
      <w:r w:rsidR="0021753E" w:rsidRPr="009B39DD">
        <w:rPr>
          <w:rFonts w:ascii="Calibri" w:hAnsi="Calibri"/>
          <w:snapToGrid/>
        </w:rPr>
        <w:t xml:space="preserve">symptomatic </w:t>
      </w:r>
      <w:r w:rsidR="00067D07" w:rsidRPr="009B39DD">
        <w:rPr>
          <w:rFonts w:ascii="Calibri" w:hAnsi="Calibri"/>
          <w:snapToGrid/>
        </w:rPr>
        <w:t>patients with 3 copies of SMN2 were presented.</w:t>
      </w:r>
    </w:p>
    <w:p w14:paraId="5BCCBA34" w14:textId="7C10AB76" w:rsidR="00D356C3" w:rsidRPr="00AE3438" w:rsidRDefault="00D356C3" w:rsidP="00D356C3">
      <w:pPr>
        <w:pStyle w:val="3-BodyText"/>
      </w:pPr>
      <w:r w:rsidRPr="00AE3438">
        <w:t xml:space="preserve">At the time of the evaluation, seven studies were </w:t>
      </w:r>
      <w:r w:rsidR="00B46B95" w:rsidRPr="00AE3438">
        <w:t xml:space="preserve">ongoing </w:t>
      </w:r>
      <w:r w:rsidRPr="00AE3438">
        <w:t>(LT-002, START-LTFU, SHINE, NURTURE, RAINBOWFISH, FIREFISH and SUNFISH) with some interim results reported.</w:t>
      </w:r>
    </w:p>
    <w:p w14:paraId="47C8133D" w14:textId="350831C8" w:rsidR="00347484" w:rsidRPr="00AE3438" w:rsidRDefault="00347484" w:rsidP="00347484">
      <w:pPr>
        <w:pStyle w:val="3-BodyText"/>
        <w:rPr>
          <w:iCs/>
        </w:rPr>
      </w:pPr>
      <w:r w:rsidRPr="00AE3438">
        <w:t>Overall, the risk of bias for ENDEAR, CHERISH and SUNFISH was low</w:t>
      </w:r>
      <w:r w:rsidR="00C622C4" w:rsidRPr="00AE3438">
        <w:t xml:space="preserve"> as they were RCTs</w:t>
      </w:r>
      <w:r w:rsidRPr="00AE3438">
        <w:t xml:space="preserve">. </w:t>
      </w:r>
      <w:r w:rsidRPr="00AE3438">
        <w:rPr>
          <w:iCs/>
        </w:rPr>
        <w:t xml:space="preserve">There was unclear risk of bias for the EMBRACE study, which was changed from a single double blind RCT design to become a two-part study that included a double-blind phase and an open-label extension. </w:t>
      </w:r>
    </w:p>
    <w:p w14:paraId="464B6692" w14:textId="166A9AED" w:rsidR="00D356C3" w:rsidRPr="00AE3438" w:rsidRDefault="00D356C3" w:rsidP="00347484">
      <w:pPr>
        <w:pStyle w:val="3-BodyText"/>
      </w:pPr>
      <w:r w:rsidRPr="00AE3438">
        <w:t xml:space="preserve">The other studies were considered to be at high risk of bias due to the nature of their study design, being small, single arm, non-comparative studies. </w:t>
      </w:r>
      <w:r w:rsidRPr="00AE3438">
        <w:rPr>
          <w:iCs/>
        </w:rPr>
        <w:t>Also, while survival or death was an objective outcome, the other outcomes such as the assessment of motor milestone attainment were subject to variation between clinicians/studies</w:t>
      </w:r>
      <w:r w:rsidR="00EB41B4" w:rsidRPr="00AE3438">
        <w:rPr>
          <w:iCs/>
        </w:rPr>
        <w:t>,</w:t>
      </w:r>
      <w:r w:rsidRPr="00AE3438">
        <w:rPr>
          <w:iCs/>
        </w:rPr>
        <w:t xml:space="preserve"> with associated high risk of bias, particularly given there were no comparative control arms in these studies.</w:t>
      </w:r>
    </w:p>
    <w:p w14:paraId="3F62ABE9" w14:textId="53785562" w:rsidR="00D356C3" w:rsidRPr="00AE3438" w:rsidRDefault="00D356C3" w:rsidP="00347484">
      <w:pPr>
        <w:pStyle w:val="3-BodyText"/>
        <w:rPr>
          <w:iCs/>
        </w:rPr>
      </w:pPr>
      <w:r w:rsidRPr="00AE3438">
        <w:rPr>
          <w:iCs/>
        </w:rPr>
        <w:t>There were some important differences across the studies:</w:t>
      </w:r>
    </w:p>
    <w:p w14:paraId="660BA583" w14:textId="77777777" w:rsidR="00D356C3" w:rsidRPr="00AE3438" w:rsidRDefault="00D356C3" w:rsidP="00787B2D">
      <w:pPr>
        <w:pStyle w:val="3-BodyText"/>
        <w:numPr>
          <w:ilvl w:val="0"/>
          <w:numId w:val="0"/>
        </w:numPr>
        <w:rPr>
          <w:iCs/>
          <w:u w:val="single"/>
        </w:rPr>
      </w:pPr>
      <w:r w:rsidRPr="00AE3438">
        <w:rPr>
          <w:iCs/>
          <w:u w:val="single"/>
        </w:rPr>
        <w:t>Studies in pre-symptomatic patients</w:t>
      </w:r>
    </w:p>
    <w:p w14:paraId="5D3129C4" w14:textId="35B45A69" w:rsidR="00347484" w:rsidRPr="00AE3438" w:rsidRDefault="00D356C3" w:rsidP="00054F33">
      <w:pPr>
        <w:pStyle w:val="3-BodyText"/>
        <w:numPr>
          <w:ilvl w:val="0"/>
          <w:numId w:val="5"/>
        </w:numPr>
        <w:ind w:left="1077" w:hanging="357"/>
        <w:rPr>
          <w:iCs/>
        </w:rPr>
      </w:pPr>
      <w:r w:rsidRPr="00AE3438">
        <w:rPr>
          <w:iCs/>
        </w:rPr>
        <w:t xml:space="preserve">The SPR1NT (ONA), NURTURE (nusinersen) and RAINBOWFISH (risdiplam) studies were designed for pre-symptomatic patients </w:t>
      </w:r>
      <w:r w:rsidR="00067D07" w:rsidRPr="00AE3438">
        <w:rPr>
          <w:iCs/>
        </w:rPr>
        <w:t>who</w:t>
      </w:r>
      <w:r w:rsidRPr="00AE3438">
        <w:rPr>
          <w:iCs/>
        </w:rPr>
        <w:t xml:space="preserve"> were</w:t>
      </w:r>
      <w:r w:rsidR="002133A1" w:rsidRPr="00AE3438">
        <w:rPr>
          <w:iCs/>
        </w:rPr>
        <w:t xml:space="preserve"> </w:t>
      </w:r>
      <w:r w:rsidRPr="00AE3438">
        <w:rPr>
          <w:iCs/>
        </w:rPr>
        <w:t>younger</w:t>
      </w:r>
      <w:r w:rsidR="002133A1" w:rsidRPr="00AE3438">
        <w:rPr>
          <w:iCs/>
        </w:rPr>
        <w:t xml:space="preserve"> and</w:t>
      </w:r>
      <w:r w:rsidRPr="00AE3438">
        <w:rPr>
          <w:iCs/>
        </w:rPr>
        <w:t xml:space="preserve"> healthier than patients in the symptomatic studies. The mean age at treatment </w:t>
      </w:r>
      <w:r w:rsidR="00D311A6" w:rsidRPr="00AE3438">
        <w:rPr>
          <w:iCs/>
        </w:rPr>
        <w:t xml:space="preserve">was </w:t>
      </w:r>
      <w:r w:rsidRPr="00AE3438">
        <w:rPr>
          <w:iCs/>
        </w:rPr>
        <w:t xml:space="preserve">consistently less than 30 days across the pre-symptomatic studies. In SPR1NT and RAINBOWFISH, </w:t>
      </w:r>
      <w:r w:rsidR="009A1BDD" w:rsidRPr="00AE3438">
        <w:rPr>
          <w:iCs/>
        </w:rPr>
        <w:t xml:space="preserve">no </w:t>
      </w:r>
      <w:r w:rsidRPr="00AE3438">
        <w:rPr>
          <w:iCs/>
        </w:rPr>
        <w:t>patients require</w:t>
      </w:r>
      <w:r w:rsidR="009A1BDD" w:rsidRPr="00AE3438">
        <w:rPr>
          <w:iCs/>
        </w:rPr>
        <w:t>d</w:t>
      </w:r>
      <w:r w:rsidRPr="00AE3438">
        <w:rPr>
          <w:iCs/>
        </w:rPr>
        <w:t xml:space="preserve"> ventilatory support at baseline. While motor function on the Children’s Hospital of Philadelphia Infant Test of Neuromuscular Disorders (CHOP-INTEND) was not assessed for the cohort with 3 copies of SMN2 in SPR1NT, in NURTURE and RAINBOWFISH (interim data for three patients with &gt;2 SMN2 copies), the scores at baseline were generally higher (&gt;40, indicating a lack of SMA symptoms).</w:t>
      </w:r>
    </w:p>
    <w:p w14:paraId="5F291040" w14:textId="68039AD5" w:rsidR="00D356C3" w:rsidRPr="00AE3438" w:rsidRDefault="00D356C3" w:rsidP="004028ED">
      <w:pPr>
        <w:pStyle w:val="3-BodyText"/>
        <w:keepNext/>
        <w:keepLines/>
        <w:numPr>
          <w:ilvl w:val="0"/>
          <w:numId w:val="0"/>
        </w:numPr>
        <w:ind w:left="720" w:hanging="720"/>
        <w:rPr>
          <w:iCs/>
          <w:u w:val="single"/>
        </w:rPr>
      </w:pPr>
      <w:r w:rsidRPr="00AE3438">
        <w:rPr>
          <w:iCs/>
          <w:u w:val="single"/>
        </w:rPr>
        <w:lastRenderedPageBreak/>
        <w:t>Studies in symptomatic patients</w:t>
      </w:r>
    </w:p>
    <w:p w14:paraId="7838A887" w14:textId="335B74B7" w:rsidR="00D356C3" w:rsidRPr="00AE3438" w:rsidRDefault="00D356C3" w:rsidP="00054F33">
      <w:pPr>
        <w:pStyle w:val="3-BodyText"/>
        <w:keepNext/>
        <w:keepLines/>
        <w:numPr>
          <w:ilvl w:val="0"/>
          <w:numId w:val="5"/>
        </w:numPr>
        <w:spacing w:after="0"/>
        <w:rPr>
          <w:iCs/>
        </w:rPr>
      </w:pPr>
      <w:r w:rsidRPr="00AE3438">
        <w:rPr>
          <w:iCs/>
        </w:rPr>
        <w:t xml:space="preserve">Age at the start of dosing: Mean age at first dose (at screening) </w:t>
      </w:r>
      <w:r w:rsidR="00265B57" w:rsidRPr="00AE3438">
        <w:rPr>
          <w:iCs/>
        </w:rPr>
        <w:t xml:space="preserve">was </w:t>
      </w:r>
      <w:r w:rsidRPr="00AE3438">
        <w:rPr>
          <w:iCs/>
        </w:rPr>
        <w:t>younger in the studies with Type I patients compared to those with Types II and III patients;</w:t>
      </w:r>
    </w:p>
    <w:p w14:paraId="2B67599B" w14:textId="68F00D8D" w:rsidR="00D356C3" w:rsidRPr="00AE3438" w:rsidRDefault="00D356C3" w:rsidP="00054F33">
      <w:pPr>
        <w:pStyle w:val="3-BodyText"/>
        <w:numPr>
          <w:ilvl w:val="0"/>
          <w:numId w:val="5"/>
        </w:numPr>
        <w:spacing w:after="0"/>
        <w:rPr>
          <w:iCs/>
        </w:rPr>
      </w:pPr>
      <w:r w:rsidRPr="00AE3438">
        <w:rPr>
          <w:iCs/>
        </w:rPr>
        <w:t xml:space="preserve">Disease duration (interval between symptom onset to starting treatment): Mean duration </w:t>
      </w:r>
      <w:r w:rsidR="00265B57" w:rsidRPr="00AE3438">
        <w:rPr>
          <w:iCs/>
        </w:rPr>
        <w:t xml:space="preserve">was </w:t>
      </w:r>
      <w:r w:rsidRPr="00AE3438">
        <w:rPr>
          <w:iCs/>
        </w:rPr>
        <w:t>shorter in the studies with Type I patients compared to those with Type II and III patients;</w:t>
      </w:r>
    </w:p>
    <w:p w14:paraId="0ABAB83E" w14:textId="12C107E2" w:rsidR="00D356C3" w:rsidRPr="00AE3438" w:rsidRDefault="00D356C3" w:rsidP="00054F33">
      <w:pPr>
        <w:pStyle w:val="ListParagraph"/>
        <w:numPr>
          <w:ilvl w:val="0"/>
          <w:numId w:val="5"/>
        </w:numPr>
        <w:spacing w:after="0"/>
        <w:rPr>
          <w:iCs/>
        </w:rPr>
      </w:pPr>
      <w:r w:rsidRPr="00AE3438">
        <w:rPr>
          <w:iCs/>
        </w:rPr>
        <w:t xml:space="preserve">SMA type or SMN2 copy numbers: All patients in the ONA studies </w:t>
      </w:r>
      <w:r w:rsidR="00F6671D" w:rsidRPr="00AE3438">
        <w:rPr>
          <w:iCs/>
        </w:rPr>
        <w:t>ha</w:t>
      </w:r>
      <w:r w:rsidR="00F6671D">
        <w:rPr>
          <w:iCs/>
        </w:rPr>
        <w:t>d</w:t>
      </w:r>
      <w:r w:rsidR="00F6671D" w:rsidRPr="00AE3438">
        <w:rPr>
          <w:iCs/>
        </w:rPr>
        <w:t xml:space="preserve"> </w:t>
      </w:r>
      <w:r w:rsidRPr="00AE3438">
        <w:rPr>
          <w:iCs/>
        </w:rPr>
        <w:t xml:space="preserve">2 copies of </w:t>
      </w:r>
      <w:r w:rsidRPr="00F6671D">
        <w:rPr>
          <w:i/>
        </w:rPr>
        <w:t>SMN</w:t>
      </w:r>
      <w:r w:rsidRPr="00AE3438">
        <w:rPr>
          <w:iCs/>
        </w:rPr>
        <w:t xml:space="preserve">2, as </w:t>
      </w:r>
      <w:r w:rsidR="00586064" w:rsidRPr="00AE3438">
        <w:rPr>
          <w:iCs/>
        </w:rPr>
        <w:t xml:space="preserve">did </w:t>
      </w:r>
      <w:r w:rsidRPr="00AE3438">
        <w:rPr>
          <w:iCs/>
        </w:rPr>
        <w:t xml:space="preserve">the majority of patients in studies of nusinersen and risdiplam in infantile or early childhood. There was a higher proportion of patients with 3 copies of </w:t>
      </w:r>
      <w:r w:rsidRPr="00F6671D">
        <w:rPr>
          <w:i/>
        </w:rPr>
        <w:t>SMN</w:t>
      </w:r>
      <w:r w:rsidRPr="00AE3438">
        <w:rPr>
          <w:iCs/>
        </w:rPr>
        <w:t>2 in CHERISH, CS2, EMBRACE and SUNFISH;</w:t>
      </w:r>
      <w:r w:rsidR="00F6671D">
        <w:rPr>
          <w:iCs/>
        </w:rPr>
        <w:t xml:space="preserve"> and</w:t>
      </w:r>
    </w:p>
    <w:p w14:paraId="032041ED" w14:textId="1AD2379D" w:rsidR="00E46463" w:rsidRPr="00AE3438" w:rsidRDefault="00F6671D" w:rsidP="000B6D58">
      <w:pPr>
        <w:pStyle w:val="3-BodyText"/>
        <w:numPr>
          <w:ilvl w:val="0"/>
          <w:numId w:val="5"/>
        </w:numPr>
        <w:ind w:left="1077" w:hanging="357"/>
        <w:rPr>
          <w:iCs/>
        </w:rPr>
      </w:pPr>
      <w:r>
        <w:rPr>
          <w:iCs/>
        </w:rPr>
        <w:t>There were baseline differences between the studies in terms of: m</w:t>
      </w:r>
      <w:r w:rsidR="00D356C3" w:rsidRPr="00AE3438">
        <w:rPr>
          <w:iCs/>
        </w:rPr>
        <w:t>otor milestone</w:t>
      </w:r>
      <w:r>
        <w:rPr>
          <w:iCs/>
        </w:rPr>
        <w:t>s</w:t>
      </w:r>
      <w:r w:rsidR="00D356C3" w:rsidRPr="00AE3438">
        <w:rPr>
          <w:iCs/>
        </w:rPr>
        <w:t xml:space="preserve"> </w:t>
      </w:r>
      <w:r>
        <w:rPr>
          <w:iCs/>
        </w:rPr>
        <w:t>(</w:t>
      </w:r>
      <w:r w:rsidR="00D356C3" w:rsidRPr="00AE3438">
        <w:rPr>
          <w:iCs/>
        </w:rPr>
        <w:t>ability to sit alone</w:t>
      </w:r>
      <w:r>
        <w:rPr>
          <w:iCs/>
        </w:rPr>
        <w:t xml:space="preserve"> and </w:t>
      </w:r>
      <w:r w:rsidRPr="00AE3438">
        <w:rPr>
          <w:iCs/>
        </w:rPr>
        <w:t>ability to walk alone</w:t>
      </w:r>
      <w:r>
        <w:rPr>
          <w:iCs/>
        </w:rPr>
        <w:t xml:space="preserve">), </w:t>
      </w:r>
      <w:r w:rsidRPr="00AE3438">
        <w:rPr>
          <w:iCs/>
        </w:rPr>
        <w:t>ventilatory suppor</w:t>
      </w:r>
      <w:r>
        <w:rPr>
          <w:iCs/>
        </w:rPr>
        <w:t>t, and nutritional support.</w:t>
      </w:r>
    </w:p>
    <w:p w14:paraId="604DD5B1" w14:textId="602ACCB7" w:rsidR="00E46463" w:rsidRPr="00AE3438" w:rsidRDefault="00E46463" w:rsidP="002E4F02">
      <w:pPr>
        <w:pStyle w:val="3-BodyText"/>
        <w:rPr>
          <w:iCs/>
        </w:rPr>
      </w:pPr>
      <w:r w:rsidRPr="00AE3438">
        <w:rPr>
          <w:iCs/>
        </w:rPr>
        <w:t>All studies included dosing regimens consistent with the dosage recommended in the PI</w:t>
      </w:r>
      <w:r w:rsidR="002B23EE" w:rsidRPr="00AE3438">
        <w:rPr>
          <w:iCs/>
        </w:rPr>
        <w:t>,</w:t>
      </w:r>
      <w:r w:rsidR="00B578CD" w:rsidRPr="00AE3438">
        <w:rPr>
          <w:iCs/>
        </w:rPr>
        <w:t xml:space="preserve"> however, there were minor deviations in some studies</w:t>
      </w:r>
      <w:r w:rsidR="00B46A20">
        <w:rPr>
          <w:iCs/>
        </w:rPr>
        <w:t>. D</w:t>
      </w:r>
      <w:r w:rsidRPr="00AE3438">
        <w:rPr>
          <w:iCs/>
        </w:rPr>
        <w:t xml:space="preserve">ose adjustments for children aged less than 2 years </w:t>
      </w:r>
      <w:r w:rsidR="00B46A20">
        <w:rPr>
          <w:iCs/>
        </w:rPr>
        <w:t>were allowed in ENDEAR and i</w:t>
      </w:r>
      <w:r w:rsidR="00B578CD" w:rsidRPr="00AE3438">
        <w:rPr>
          <w:iCs/>
        </w:rPr>
        <w:t>n</w:t>
      </w:r>
      <w:r w:rsidRPr="00AE3438">
        <w:rPr>
          <w:iCs/>
        </w:rPr>
        <w:t xml:space="preserve"> START, CS2 and CS3A, some patient cohorts/groups received lower or higher doses of study drugs than recommended in the PI. FIREFISH and SUNFISH were two-part studies in which the dosage regimen used in Part 2 w</w:t>
      </w:r>
      <w:r w:rsidR="00B46A20">
        <w:rPr>
          <w:iCs/>
        </w:rPr>
        <w:t>as</w:t>
      </w:r>
      <w:r w:rsidRPr="00AE3438">
        <w:rPr>
          <w:iCs/>
        </w:rPr>
        <w:t xml:space="preserve"> based on the doses determined in Part 1 (dose finding</w:t>
      </w:r>
      <w:r w:rsidR="00B46A20">
        <w:rPr>
          <w:iCs/>
        </w:rPr>
        <w:t>)</w:t>
      </w:r>
      <w:r w:rsidRPr="00AE3438">
        <w:rPr>
          <w:iCs/>
        </w:rPr>
        <w:t>.</w:t>
      </w:r>
    </w:p>
    <w:p w14:paraId="145E277C" w14:textId="2244A0A4" w:rsidR="00860BC5" w:rsidRPr="00AE3438" w:rsidRDefault="00860BC5" w:rsidP="005070B1">
      <w:pPr>
        <w:pStyle w:val="3-BodyText"/>
        <w:rPr>
          <w:iCs/>
        </w:rPr>
      </w:pPr>
      <w:r w:rsidRPr="00AE3438">
        <w:rPr>
          <w:iCs/>
        </w:rPr>
        <w:t>Across the symptomatic studies, there were notable differences in the</w:t>
      </w:r>
      <w:r w:rsidR="00A60F66" w:rsidRPr="00AE3438">
        <w:rPr>
          <w:iCs/>
        </w:rPr>
        <w:t xml:space="preserve"> interval between </w:t>
      </w:r>
      <w:r w:rsidRPr="00AE3438">
        <w:rPr>
          <w:iCs/>
        </w:rPr>
        <w:t>symptom onset</w:t>
      </w:r>
      <w:r w:rsidR="00D22BF5" w:rsidRPr="00AE3438">
        <w:rPr>
          <w:iCs/>
        </w:rPr>
        <w:t xml:space="preserve"> and treatment initiation</w:t>
      </w:r>
      <w:r w:rsidRPr="00AE3438">
        <w:rPr>
          <w:iCs/>
        </w:rPr>
        <w:t xml:space="preserve">, with </w:t>
      </w:r>
      <w:r w:rsidR="00B24F30" w:rsidRPr="00AE3438">
        <w:rPr>
          <w:iCs/>
        </w:rPr>
        <w:t xml:space="preserve">generally </w:t>
      </w:r>
      <w:r w:rsidRPr="00AE3438">
        <w:rPr>
          <w:iCs/>
        </w:rPr>
        <w:t xml:space="preserve">larger intervals for studies in SMA Types II and III. </w:t>
      </w:r>
      <w:r w:rsidR="00B24F30" w:rsidRPr="00AE3438">
        <w:rPr>
          <w:iCs/>
        </w:rPr>
        <w:t xml:space="preserve">For example, </w:t>
      </w:r>
      <w:r w:rsidR="00280060" w:rsidRPr="00AE3438">
        <w:rPr>
          <w:iCs/>
        </w:rPr>
        <w:t xml:space="preserve">in symptomatic patients with SMA Type I, the </w:t>
      </w:r>
      <w:r w:rsidR="00A60F66" w:rsidRPr="00AE3438">
        <w:rPr>
          <w:iCs/>
        </w:rPr>
        <w:t xml:space="preserve">mean </w:t>
      </w:r>
      <w:r w:rsidR="00280060" w:rsidRPr="00AE3438">
        <w:rPr>
          <w:iCs/>
        </w:rPr>
        <w:t>age</w:t>
      </w:r>
      <w:r w:rsidR="00984B0B" w:rsidRPr="00AE3438">
        <w:rPr>
          <w:iCs/>
        </w:rPr>
        <w:t xml:space="preserve"> range</w:t>
      </w:r>
      <w:r w:rsidR="00280060" w:rsidRPr="00AE3438">
        <w:rPr>
          <w:iCs/>
        </w:rPr>
        <w:t xml:space="preserve"> at the start of treatment in the ONA studies (3.1-4.1 months) </w:t>
      </w:r>
      <w:r w:rsidR="00984B0B" w:rsidRPr="00AE3438">
        <w:rPr>
          <w:iCs/>
        </w:rPr>
        <w:t xml:space="preserve">was </w:t>
      </w:r>
      <w:r w:rsidR="00280060" w:rsidRPr="00AE3438">
        <w:rPr>
          <w:iCs/>
        </w:rPr>
        <w:t>lower than</w:t>
      </w:r>
      <w:r w:rsidR="00984B0B" w:rsidRPr="00AE3438">
        <w:rPr>
          <w:iCs/>
        </w:rPr>
        <w:t xml:space="preserve"> in</w:t>
      </w:r>
      <w:r w:rsidR="00280060" w:rsidRPr="00AE3438">
        <w:rPr>
          <w:iCs/>
        </w:rPr>
        <w:t xml:space="preserve"> nusinersen studies (4.6-6.0 months). However, </w:t>
      </w:r>
      <w:r w:rsidR="00B24F30" w:rsidRPr="00AE3438">
        <w:rPr>
          <w:iCs/>
        </w:rPr>
        <w:t>in CS2/CS12 (Types II and III, 2-4 SMN2 copies), the</w:t>
      </w:r>
      <w:r w:rsidR="00363A36" w:rsidRPr="00AE3438">
        <w:rPr>
          <w:iCs/>
        </w:rPr>
        <w:t xml:space="preserve"> interval between the mean</w:t>
      </w:r>
      <w:r w:rsidR="00B24F30" w:rsidRPr="00AE3438">
        <w:rPr>
          <w:iCs/>
        </w:rPr>
        <w:t xml:space="preserve"> age at symptom onset and </w:t>
      </w:r>
      <w:r w:rsidR="00363A36" w:rsidRPr="00AE3438">
        <w:rPr>
          <w:iCs/>
        </w:rPr>
        <w:t xml:space="preserve">mean </w:t>
      </w:r>
      <w:r w:rsidR="00B24F30" w:rsidRPr="00AE3438">
        <w:rPr>
          <w:iCs/>
        </w:rPr>
        <w:t>age at first dose was 3.</w:t>
      </w:r>
      <w:r w:rsidR="008E68E1" w:rsidRPr="00AE3438">
        <w:rPr>
          <w:iCs/>
        </w:rPr>
        <w:t>5</w:t>
      </w:r>
      <w:r w:rsidR="00B24F30" w:rsidRPr="00AE3438">
        <w:rPr>
          <w:iCs/>
        </w:rPr>
        <w:t xml:space="preserve"> years in Type II and 7.1 years in Type III,</w:t>
      </w:r>
      <w:r w:rsidR="00280060" w:rsidRPr="00AE3438">
        <w:rPr>
          <w:iCs/>
        </w:rPr>
        <w:t xml:space="preserve"> and </w:t>
      </w:r>
      <w:r w:rsidR="00B24F30" w:rsidRPr="00AE3438">
        <w:rPr>
          <w:iCs/>
        </w:rPr>
        <w:t>in CHERISH (Types II and III, 2-4 SMN2 copies) median disease duration was 3.2 years (first dose at 4 years). In EMBRACE (2-3 SMN2 copies)</w:t>
      </w:r>
      <w:r w:rsidR="00284044" w:rsidRPr="00AE3438">
        <w:rPr>
          <w:iCs/>
        </w:rPr>
        <w:t>,</w:t>
      </w:r>
      <w:r w:rsidR="00B24F30" w:rsidRPr="00AE3438">
        <w:rPr>
          <w:iCs/>
        </w:rPr>
        <w:t xml:space="preserve"> median disease duration was 11.2 months at baseline (first dose at 16.7 months of age). </w:t>
      </w:r>
    </w:p>
    <w:p w14:paraId="2E73DB8C" w14:textId="62FD33E7" w:rsidR="00E46463" w:rsidRPr="00AE3438" w:rsidRDefault="00E46463" w:rsidP="002E4F02">
      <w:pPr>
        <w:pStyle w:val="3-BodyText"/>
        <w:rPr>
          <w:iCs/>
        </w:rPr>
      </w:pPr>
      <w:r w:rsidRPr="00AE3438">
        <w:rPr>
          <w:iCs/>
        </w:rPr>
        <w:t xml:space="preserve">The duration of treatment follow-up in the ONA studies (up to 2 years) </w:t>
      </w:r>
      <w:r w:rsidR="00284044" w:rsidRPr="00AE3438">
        <w:rPr>
          <w:iCs/>
        </w:rPr>
        <w:t xml:space="preserve">was </w:t>
      </w:r>
      <w:r w:rsidRPr="00AE3438">
        <w:rPr>
          <w:iCs/>
        </w:rPr>
        <w:t xml:space="preserve">generally longer than the nusinersen studies. However, patients in ONA and nusinersen studies are rolled over into long term follow up studies at the end of the shorter-term study, with the long-term study for ONA, START-LTFU (LT-001) and LT-002 planning to follow patients for 15 years (at May 2021 data cut, patient mean age was 6.2 and 2.1-4.8 years, respectively). The long-term follow-up study for nusinersen, SHINE, </w:t>
      </w:r>
      <w:r w:rsidR="00284044" w:rsidRPr="00AE3438">
        <w:rPr>
          <w:iCs/>
        </w:rPr>
        <w:t xml:space="preserve">plans </w:t>
      </w:r>
      <w:r w:rsidRPr="00AE3438">
        <w:rPr>
          <w:iCs/>
        </w:rPr>
        <w:t>to follow patients up to 5 years (currently up to 4.2 years of follow</w:t>
      </w:r>
      <w:r w:rsidR="00284044" w:rsidRPr="00AE3438">
        <w:rPr>
          <w:iCs/>
        </w:rPr>
        <w:t>-</w:t>
      </w:r>
      <w:r w:rsidRPr="00AE3438">
        <w:rPr>
          <w:iCs/>
        </w:rPr>
        <w:t xml:space="preserve">up from first dose of nusinersen in ENDEAR at August 2019 data cut). All risdiplam studies are </w:t>
      </w:r>
      <w:r w:rsidR="00B46B95" w:rsidRPr="00AE3438">
        <w:rPr>
          <w:iCs/>
        </w:rPr>
        <w:t>ongoing</w:t>
      </w:r>
      <w:r w:rsidRPr="00AE3438">
        <w:rPr>
          <w:iCs/>
        </w:rPr>
        <w:t>, with median treatment period of 2 years and open label extension for 3 years.</w:t>
      </w:r>
    </w:p>
    <w:p w14:paraId="4A4FE085" w14:textId="1C5613CC" w:rsidR="00B60939" w:rsidRPr="00AE3438" w:rsidRDefault="00B60939" w:rsidP="00EC5836">
      <w:pPr>
        <w:pStyle w:val="4-SubsectionHeading"/>
      </w:pPr>
      <w:bookmarkStart w:id="30" w:name="_Toc22897641"/>
      <w:bookmarkStart w:id="31" w:name="_Toc114054853"/>
      <w:r w:rsidRPr="00AE3438">
        <w:lastRenderedPageBreak/>
        <w:t>Comparative effectiveness</w:t>
      </w:r>
      <w:bookmarkEnd w:id="30"/>
      <w:bookmarkEnd w:id="31"/>
    </w:p>
    <w:p w14:paraId="3EC522A6" w14:textId="76467813" w:rsidR="00E46463" w:rsidRPr="00AE3438" w:rsidRDefault="00E46463" w:rsidP="00EC5836">
      <w:pPr>
        <w:pStyle w:val="3-BodyText"/>
        <w:rPr>
          <w:iCs/>
        </w:rPr>
      </w:pPr>
      <w:r w:rsidRPr="00AE3438">
        <w:rPr>
          <w:iCs/>
        </w:rPr>
        <w:t xml:space="preserve">Considering </w:t>
      </w:r>
      <w:r w:rsidR="001825B6">
        <w:rPr>
          <w:iCs/>
        </w:rPr>
        <w:t xml:space="preserve">untreated </w:t>
      </w:r>
      <w:r w:rsidRPr="00AE3438">
        <w:rPr>
          <w:iCs/>
        </w:rPr>
        <w:t xml:space="preserve">patients with 3 copies of SMN2 are mostly likely to develop either SMA Type II (sitters) or Type III (walkers) </w:t>
      </w:r>
      <w:r w:rsidR="003D77D3" w:rsidRPr="00AE3438">
        <w:rPr>
          <w:iCs/>
        </w:rPr>
        <w:t>and</w:t>
      </w:r>
      <w:r w:rsidRPr="00AE3438">
        <w:rPr>
          <w:iCs/>
        </w:rPr>
        <w:t xml:space="preserve"> are not at an imminent risk of death, the most important outcomes </w:t>
      </w:r>
      <w:r w:rsidR="00294625">
        <w:rPr>
          <w:iCs/>
        </w:rPr>
        <w:t xml:space="preserve">for the comparison between pre-symptomatic treatment and watchful waiting/symptomatic treatment </w:t>
      </w:r>
      <w:r w:rsidRPr="00AE3438">
        <w:rPr>
          <w:iCs/>
        </w:rPr>
        <w:t>may be the attainment and maintenance of motor milestones</w:t>
      </w:r>
      <w:r w:rsidR="00544882" w:rsidRPr="00AE3438">
        <w:rPr>
          <w:iCs/>
        </w:rPr>
        <w:t xml:space="preserve">. </w:t>
      </w:r>
      <w:r w:rsidR="00544882" w:rsidRPr="00054F33">
        <w:rPr>
          <w:iCs/>
        </w:rPr>
        <w:t xml:space="preserve">The improvement from sitting to </w:t>
      </w:r>
      <w:r w:rsidR="0059728B" w:rsidRPr="00054F33">
        <w:rPr>
          <w:iCs/>
        </w:rPr>
        <w:t>w</w:t>
      </w:r>
      <w:r w:rsidR="00544882" w:rsidRPr="00054F33">
        <w:rPr>
          <w:iCs/>
        </w:rPr>
        <w:t xml:space="preserve">alking may be particularly important </w:t>
      </w:r>
      <w:r w:rsidR="001825B6">
        <w:rPr>
          <w:iCs/>
        </w:rPr>
        <w:t xml:space="preserve">treatment outcomes </w:t>
      </w:r>
      <w:r w:rsidR="00544882" w:rsidRPr="00054F33">
        <w:rPr>
          <w:iCs/>
        </w:rPr>
        <w:t>for Type II</w:t>
      </w:r>
      <w:r w:rsidR="001825B6">
        <w:rPr>
          <w:iCs/>
        </w:rPr>
        <w:t xml:space="preserve"> patients</w:t>
      </w:r>
      <w:r w:rsidRPr="00054F33">
        <w:rPr>
          <w:iCs/>
        </w:rPr>
        <w:t>.</w:t>
      </w:r>
      <w:r w:rsidRPr="00AE3438">
        <w:rPr>
          <w:iCs/>
        </w:rPr>
        <w:t xml:space="preserve"> The submission made a claim of superior efficacy based on </w:t>
      </w:r>
      <w:bookmarkStart w:id="32" w:name="_Hlk120620597"/>
      <w:r w:rsidRPr="00AE3438">
        <w:rPr>
          <w:iCs/>
        </w:rPr>
        <w:t>developmental motor milestones.</w:t>
      </w:r>
    </w:p>
    <w:bookmarkEnd w:id="32"/>
    <w:p w14:paraId="67B59A55" w14:textId="64FC7174" w:rsidR="005E7302" w:rsidRPr="00FD64E0" w:rsidRDefault="00304CB0" w:rsidP="001825B6">
      <w:pPr>
        <w:pStyle w:val="3-BodyText"/>
        <w:widowControl w:val="0"/>
      </w:pPr>
      <w:r w:rsidRPr="00FD64E0">
        <w:t xml:space="preserve">All the included studies assessed motor function, OS and EFS outcomes as either primary or secondary outcomes, however there were differences in their definitions and the measures used. The PBAC had previously considered all these outcomes in the November 2020 </w:t>
      </w:r>
      <w:r w:rsidR="00B76EEF" w:rsidRPr="00FD64E0">
        <w:t xml:space="preserve">ONA </w:t>
      </w:r>
      <w:r w:rsidRPr="00FD64E0">
        <w:t>submission. While the motor milestones reported in th</w:t>
      </w:r>
      <w:r w:rsidR="00B76EEF" w:rsidRPr="00FD64E0">
        <w:t>is</w:t>
      </w:r>
      <w:r w:rsidRPr="00FD64E0">
        <w:t xml:space="preserve"> submission included the ability to stand, ability to walk and ability to sit (≥30 seconds and for all definitions combined), there were some differences between pre</w:t>
      </w:r>
      <w:r w:rsidR="00294625">
        <w:noBreakHyphen/>
      </w:r>
      <w:r w:rsidRPr="00FD64E0">
        <w:t>symptomatic and symptomatic studies in primary development milestones endpoint</w:t>
      </w:r>
      <w:r w:rsidR="00CC5E52" w:rsidRPr="00FD64E0">
        <w:t xml:space="preserve">s measured. </w:t>
      </w:r>
      <w:r w:rsidRPr="00FD64E0">
        <w:t>For example, in SPR1NT</w:t>
      </w:r>
      <w:r w:rsidR="00B76EEF" w:rsidRPr="00FD64E0">
        <w:t xml:space="preserve"> (</w:t>
      </w:r>
      <w:r w:rsidR="00AC151B" w:rsidRPr="00FD64E0">
        <w:t xml:space="preserve">pre-symptomatic </w:t>
      </w:r>
      <w:r w:rsidR="00B76EEF" w:rsidRPr="00FD64E0">
        <w:t>ONA)</w:t>
      </w:r>
      <w:r w:rsidRPr="00FD64E0">
        <w:t xml:space="preserve">, the primary and key secondary outcome </w:t>
      </w:r>
      <w:r w:rsidR="00B76EEF" w:rsidRPr="00FD64E0">
        <w:t>for those with</w:t>
      </w:r>
      <w:r w:rsidRPr="00FD64E0">
        <w:t xml:space="preserve"> 3 copies of SMN2 was meeting the Bayley Scale for Infant Development (BSID) gross motor (GM) subtest for stand alone and walk alone, but for patients with 2 copies of SMN2 </w:t>
      </w:r>
      <w:r w:rsidR="00CC5E52" w:rsidRPr="00FD64E0">
        <w:t xml:space="preserve">this </w:t>
      </w:r>
      <w:r w:rsidRPr="00FD64E0">
        <w:t xml:space="preserve">was independent sitting on the BSID. </w:t>
      </w:r>
      <w:r w:rsidR="00CC5E52" w:rsidRPr="00FD64E0">
        <w:t xml:space="preserve">The </w:t>
      </w:r>
      <w:r w:rsidRPr="00FD64E0">
        <w:t>developmental milestone</w:t>
      </w:r>
      <w:r w:rsidR="00CC5E52" w:rsidRPr="00FD64E0">
        <w:t>s</w:t>
      </w:r>
      <w:r w:rsidRPr="00FD64E0">
        <w:t xml:space="preserve"> measured in symptomatic studies</w:t>
      </w:r>
      <w:r w:rsidR="00CC5E52" w:rsidRPr="00FD64E0">
        <w:t xml:space="preserve"> also varied (</w:t>
      </w:r>
      <w:r w:rsidR="00403064" w:rsidRPr="00FD64E0">
        <w:t>i.e.</w:t>
      </w:r>
      <w:r w:rsidR="00CC5E52" w:rsidRPr="00FD64E0">
        <w:t>, for</w:t>
      </w:r>
      <w:r w:rsidRPr="00FD64E0">
        <w:t xml:space="preserve"> Type I</w:t>
      </w:r>
      <w:r w:rsidR="00CC5E52" w:rsidRPr="00FD64E0">
        <w:t xml:space="preserve"> it</w:t>
      </w:r>
      <w:r w:rsidRPr="00FD64E0">
        <w:t xml:space="preserve"> was the ability to sit </w:t>
      </w:r>
      <w:r w:rsidR="00CC5E52" w:rsidRPr="00FD64E0">
        <w:t>alone</w:t>
      </w:r>
      <w:r w:rsidRPr="00FD64E0">
        <w:t xml:space="preserve">, but </w:t>
      </w:r>
      <w:r w:rsidR="00CC5E52" w:rsidRPr="00FD64E0">
        <w:t>for</w:t>
      </w:r>
      <w:r w:rsidRPr="00FD64E0">
        <w:t xml:space="preserve"> Type II or III SMA this included </w:t>
      </w:r>
      <w:r w:rsidR="00CC5E52" w:rsidRPr="00FD64E0">
        <w:t xml:space="preserve">either </w:t>
      </w:r>
      <w:r w:rsidRPr="00FD64E0">
        <w:t xml:space="preserve">maintenance or improvement from baseline in </w:t>
      </w:r>
      <w:r w:rsidR="00CC5E52" w:rsidRPr="00FD64E0">
        <w:t xml:space="preserve">motor </w:t>
      </w:r>
      <w:r w:rsidRPr="00FD64E0">
        <w:t>milestones (assessed</w:t>
      </w:r>
      <w:r w:rsidR="009357BD" w:rsidRPr="00FD64E0">
        <w:t xml:space="preserve"> using a variety of scales such as </w:t>
      </w:r>
      <w:r w:rsidRPr="00FD64E0">
        <w:t xml:space="preserve">BSID, </w:t>
      </w:r>
      <w:r w:rsidR="002D3B2E" w:rsidRPr="00FD64E0">
        <w:t>Hammersmith Infant Neurological Examination (</w:t>
      </w:r>
      <w:r w:rsidRPr="00FD64E0">
        <w:t>HINE-2</w:t>
      </w:r>
      <w:r w:rsidR="002D3B2E" w:rsidRPr="00FD64E0">
        <w:t>)</w:t>
      </w:r>
      <w:r w:rsidRPr="00FD64E0">
        <w:t xml:space="preserve"> or WHO criteria)</w:t>
      </w:r>
      <w:r w:rsidR="00CC5E52" w:rsidRPr="00FD64E0">
        <w:t>.</w:t>
      </w:r>
    </w:p>
    <w:p w14:paraId="6F6592D3" w14:textId="3C3C131A" w:rsidR="00E46463" w:rsidRPr="00AE3438" w:rsidRDefault="00304CB0" w:rsidP="001825B6">
      <w:pPr>
        <w:pStyle w:val="3-BodyText"/>
        <w:widowControl w:val="0"/>
        <w:numPr>
          <w:ilvl w:val="0"/>
          <w:numId w:val="0"/>
        </w:numPr>
        <w:rPr>
          <w:u w:val="single"/>
        </w:rPr>
      </w:pPr>
      <w:r w:rsidRPr="00AE3438">
        <w:rPr>
          <w:u w:val="single"/>
        </w:rPr>
        <w:t xml:space="preserve">Motor </w:t>
      </w:r>
      <w:r w:rsidR="00787B2D" w:rsidRPr="00AE3438">
        <w:rPr>
          <w:u w:val="single"/>
        </w:rPr>
        <w:t>functioning</w:t>
      </w:r>
    </w:p>
    <w:p w14:paraId="783BCF83" w14:textId="4F149A81" w:rsidR="00E46463" w:rsidRPr="00AE3438" w:rsidRDefault="005A4565" w:rsidP="001825B6">
      <w:pPr>
        <w:pStyle w:val="3-BodyText"/>
        <w:widowControl w:val="0"/>
      </w:pPr>
      <w:r w:rsidRPr="00AE3438">
        <w:fldChar w:fldCharType="begin"/>
      </w:r>
      <w:r w:rsidRPr="00AE3438">
        <w:instrText xml:space="preserve"> REF _Ref113303352 \h </w:instrText>
      </w:r>
      <w:r w:rsidRPr="00AE3438">
        <w:fldChar w:fldCharType="separate"/>
      </w:r>
      <w:r w:rsidR="008E4E26" w:rsidRPr="00AE3438">
        <w:t xml:space="preserve">Figure </w:t>
      </w:r>
      <w:r w:rsidR="008E4E26">
        <w:rPr>
          <w:noProof/>
        </w:rPr>
        <w:t>2</w:t>
      </w:r>
      <w:r w:rsidRPr="00AE3438">
        <w:fldChar w:fldCharType="end"/>
      </w:r>
      <w:r w:rsidR="00E042E8" w:rsidRPr="00AE3438">
        <w:t xml:space="preserve"> </w:t>
      </w:r>
      <w:r w:rsidR="00787B2D" w:rsidRPr="00AE3438">
        <w:t xml:space="preserve">and </w:t>
      </w:r>
      <w:r w:rsidR="00E042E8" w:rsidRPr="00AE3438">
        <w:fldChar w:fldCharType="begin"/>
      </w:r>
      <w:r w:rsidR="00E042E8" w:rsidRPr="00AE3438">
        <w:instrText xml:space="preserve"> REF _Ref113303392 \h </w:instrText>
      </w:r>
      <w:r w:rsidR="00E042E8" w:rsidRPr="00AE3438">
        <w:fldChar w:fldCharType="separate"/>
      </w:r>
      <w:r w:rsidR="008E4E26" w:rsidRPr="00AE3438">
        <w:t xml:space="preserve">Figure </w:t>
      </w:r>
      <w:r w:rsidR="008E4E26">
        <w:rPr>
          <w:noProof/>
        </w:rPr>
        <w:t>3</w:t>
      </w:r>
      <w:r w:rsidR="00E042E8" w:rsidRPr="00AE3438">
        <w:fldChar w:fldCharType="end"/>
      </w:r>
      <w:r w:rsidR="00787B2D" w:rsidRPr="00AE3438">
        <w:t xml:space="preserve"> present the motor development milestone outcome of ability to sit in the included studies. The milestone was reported as sitting without support (≥30, ≥10 or ≥5 seconds) assessed on either the BSID GM item 26, WHO</w:t>
      </w:r>
      <w:r w:rsidR="002D3B2E" w:rsidRPr="00AE3438">
        <w:t xml:space="preserve"> Multicentre Growth Reference Study (WHO-</w:t>
      </w:r>
      <w:r w:rsidR="00787B2D" w:rsidRPr="00AE3438">
        <w:t>MGRS</w:t>
      </w:r>
      <w:r w:rsidR="002D3B2E" w:rsidRPr="00AE3438">
        <w:t>)</w:t>
      </w:r>
      <w:r w:rsidR="00787B2D" w:rsidRPr="00AE3438">
        <w:t xml:space="preserve"> or HINE-2. </w:t>
      </w:r>
      <w:r w:rsidR="00787B2D" w:rsidRPr="00AE3438">
        <w:rPr>
          <w:iCs/>
        </w:rPr>
        <w:t>The main outcome measure used to assess the ability to sit were BSID in the ONA studies and HINE-2 in the nusinersen and risdiplam studies.</w:t>
      </w:r>
    </w:p>
    <w:p w14:paraId="77463C5B" w14:textId="610218DC" w:rsidR="005E7302" w:rsidRPr="00054F33" w:rsidRDefault="005E7302" w:rsidP="001825B6">
      <w:pPr>
        <w:pStyle w:val="3-BodyText"/>
        <w:widowControl w:val="0"/>
        <w:rPr>
          <w:iCs/>
        </w:rPr>
      </w:pPr>
      <w:r w:rsidRPr="00054F33">
        <w:rPr>
          <w:iCs/>
        </w:rPr>
        <w:t>The ESC noted that there</w:t>
      </w:r>
      <w:r w:rsidR="003B72F9" w:rsidRPr="00054F33">
        <w:rPr>
          <w:iCs/>
        </w:rPr>
        <w:t xml:space="preserve"> were</w:t>
      </w:r>
      <w:r w:rsidRPr="00054F33">
        <w:rPr>
          <w:iCs/>
        </w:rPr>
        <w:t xml:space="preserve"> </w:t>
      </w:r>
      <w:r w:rsidR="003B72F9" w:rsidRPr="00054F33">
        <w:rPr>
          <w:iCs/>
        </w:rPr>
        <w:t>apparent differences in the proportion of patients reaching the milestone of sitting without support</w:t>
      </w:r>
      <w:r w:rsidR="00DC6873" w:rsidRPr="00054F33">
        <w:rPr>
          <w:iCs/>
        </w:rPr>
        <w:t xml:space="preserve"> for </w:t>
      </w:r>
      <w:r w:rsidR="00DC6873" w:rsidRPr="00054F33">
        <w:rPr>
          <w:rFonts w:cstheme="minorHAnsi"/>
          <w:iCs/>
        </w:rPr>
        <w:t>≥</w:t>
      </w:r>
      <w:r w:rsidR="00DC6873" w:rsidRPr="00054F33">
        <w:rPr>
          <w:iCs/>
        </w:rPr>
        <w:t>30 seconds</w:t>
      </w:r>
      <w:r w:rsidR="003B72F9" w:rsidRPr="00054F33">
        <w:rPr>
          <w:iCs/>
        </w:rPr>
        <w:t xml:space="preserve"> for the pre</w:t>
      </w:r>
      <w:r w:rsidR="00DC6873" w:rsidRPr="00054F33">
        <w:rPr>
          <w:iCs/>
        </w:rPr>
        <w:noBreakHyphen/>
      </w:r>
      <w:r w:rsidR="003B72F9" w:rsidRPr="00054F33">
        <w:rPr>
          <w:iCs/>
        </w:rPr>
        <w:t>symptomatic ONA studies compared with the symptomatic treatment studies. However, the cohorts included in these studies were not necessarily comparable in terms of SMA Type and/or SMN2 copy number.</w:t>
      </w:r>
    </w:p>
    <w:p w14:paraId="77BEAFB9" w14:textId="242EFFF9" w:rsidR="00787B2D" w:rsidRPr="00AE3438" w:rsidRDefault="00E042E8" w:rsidP="005E7302">
      <w:pPr>
        <w:pStyle w:val="Caption"/>
        <w:widowControl w:val="0"/>
        <w:jc w:val="left"/>
        <w:rPr>
          <w:b w:val="0"/>
          <w:szCs w:val="20"/>
        </w:rPr>
      </w:pPr>
      <w:bookmarkStart w:id="33" w:name="_Ref113303352"/>
      <w:bookmarkStart w:id="34" w:name="_Ref113303345"/>
      <w:r w:rsidRPr="00AE3438">
        <w:lastRenderedPageBreak/>
        <w:t xml:space="preserve">Figure </w:t>
      </w:r>
      <w:r w:rsidR="008E4E26">
        <w:fldChar w:fldCharType="begin"/>
      </w:r>
      <w:r w:rsidR="008E4E26">
        <w:instrText xml:space="preserve"> SEQ Figure \* ARABIC </w:instrText>
      </w:r>
      <w:r w:rsidR="008E4E26">
        <w:fldChar w:fldCharType="separate"/>
      </w:r>
      <w:r w:rsidR="008E4E26">
        <w:rPr>
          <w:noProof/>
        </w:rPr>
        <w:t>2</w:t>
      </w:r>
      <w:r w:rsidR="008E4E26">
        <w:rPr>
          <w:noProof/>
        </w:rPr>
        <w:fldChar w:fldCharType="end"/>
      </w:r>
      <w:bookmarkEnd w:id="33"/>
      <w:r w:rsidR="00787B2D" w:rsidRPr="00AE3438">
        <w:rPr>
          <w:szCs w:val="20"/>
        </w:rPr>
        <w:t>: proportion of patients sitting without support (</w:t>
      </w:r>
      <w:r w:rsidR="00787B2D" w:rsidRPr="00AE3438">
        <w:rPr>
          <w:rFonts w:cs="Calibri"/>
          <w:szCs w:val="20"/>
        </w:rPr>
        <w:t>≥</w:t>
      </w:r>
      <w:r w:rsidR="00787B2D" w:rsidRPr="00AE3438">
        <w:rPr>
          <w:szCs w:val="20"/>
        </w:rPr>
        <w:t>30 seconds as defined by BSID GM #26 video confirmed) in the ONA studies and “sitter” (by HINES-2) in nusinersen and risdiplam studies.</w:t>
      </w:r>
      <w:bookmarkEnd w:id="34"/>
      <w:r w:rsidR="005E7302" w:rsidRPr="00AE3438">
        <w:rPr>
          <w:lang w:eastAsia="zh-CN"/>
        </w:rPr>
        <w:t xml:space="preserve"> </w:t>
      </w:r>
      <w:r w:rsidR="005E7302" w:rsidRPr="00AE3438">
        <w:rPr>
          <w:noProof/>
          <w:lang w:eastAsia="zh-CN"/>
        </w:rPr>
        <w:drawing>
          <wp:inline distT="0" distB="0" distL="0" distR="0" wp14:anchorId="055652F8" wp14:editId="7B1309AE">
            <wp:extent cx="5732145" cy="4507517"/>
            <wp:effectExtent l="0" t="0" r="1905" b="7620"/>
            <wp:docPr id="1" name="Picture 1" descr="Figure 2: proportion of patients sitting without support (≥30 seconds as defined by BSID GM #26 video confirmed) in the ONA studies and “sitter” (by HINES-2) in nusinersen and risdiplam stud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proportion of patients sitting without support (≥30 seconds as defined by BSID GM #26 video confirmed) in the ONA studies and “sitter” (by HINES-2) in nusinersen and risdiplam studie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4507517"/>
                    </a:xfrm>
                    <a:prstGeom prst="rect">
                      <a:avLst/>
                    </a:prstGeom>
                    <a:noFill/>
                  </pic:spPr>
                </pic:pic>
              </a:graphicData>
            </a:graphic>
          </wp:inline>
        </w:drawing>
      </w:r>
    </w:p>
    <w:p w14:paraId="5F739EE5" w14:textId="77777777" w:rsidR="00787B2D" w:rsidRPr="00AE3438" w:rsidRDefault="00787B2D" w:rsidP="005E7302">
      <w:pPr>
        <w:keepNext/>
        <w:keepLines/>
        <w:widowControl w:val="0"/>
        <w:rPr>
          <w:rFonts w:ascii="Arial Narrow" w:hAnsi="Arial Narrow"/>
          <w:iCs/>
          <w:sz w:val="18"/>
          <w:szCs w:val="18"/>
        </w:rPr>
      </w:pPr>
      <w:r w:rsidRPr="00AE3438">
        <w:rPr>
          <w:rFonts w:ascii="Arial Narrow" w:hAnsi="Arial Narrow"/>
          <w:iCs/>
          <w:sz w:val="18"/>
          <w:szCs w:val="18"/>
        </w:rPr>
        <w:t>Source: constructed during the evaluation from Table 2.36 and Table 2.37, pp126-127 of the submission.</w:t>
      </w:r>
    </w:p>
    <w:p w14:paraId="71A3A422" w14:textId="67649040" w:rsidR="00787B2D" w:rsidRPr="00AE3438" w:rsidRDefault="00787B2D" w:rsidP="005E7302">
      <w:pPr>
        <w:keepNext/>
        <w:keepLines/>
        <w:widowControl w:val="0"/>
        <w:rPr>
          <w:rFonts w:ascii="Arial Narrow" w:hAnsi="Arial Narrow"/>
          <w:iCs/>
          <w:sz w:val="18"/>
          <w:szCs w:val="18"/>
        </w:rPr>
      </w:pPr>
      <w:r w:rsidRPr="00AE3438">
        <w:rPr>
          <w:rFonts w:ascii="Arial Narrow" w:hAnsi="Arial Narrow"/>
          <w:iCs/>
          <w:sz w:val="18"/>
          <w:szCs w:val="18"/>
        </w:rPr>
        <w:t xml:space="preserve">BSID-GM=Bayley Scale for Infant Development (gross motor scale); HINE-2=Hammersmith Infant Neurological Examination (Section 2); ONA=onasemnogene abeparvovec; </w:t>
      </w:r>
    </w:p>
    <w:p w14:paraId="2DDCB09A" w14:textId="77777777" w:rsidR="00787B2D" w:rsidRPr="00AE3438" w:rsidRDefault="00787B2D" w:rsidP="00787B2D">
      <w:pPr>
        <w:rPr>
          <w:iCs/>
        </w:rPr>
      </w:pPr>
    </w:p>
    <w:p w14:paraId="066FCE5A" w14:textId="7C683C35" w:rsidR="00787B2D" w:rsidRPr="00AE3438" w:rsidRDefault="00E042E8" w:rsidP="00E042E8">
      <w:pPr>
        <w:pStyle w:val="Caption"/>
        <w:rPr>
          <w:b w:val="0"/>
          <w:szCs w:val="20"/>
        </w:rPr>
      </w:pPr>
      <w:bookmarkStart w:id="35" w:name="_Ref113303392"/>
      <w:r w:rsidRPr="00AE3438">
        <w:lastRenderedPageBreak/>
        <w:t xml:space="preserve">Figure </w:t>
      </w:r>
      <w:r w:rsidR="008E4E26">
        <w:fldChar w:fldCharType="begin"/>
      </w:r>
      <w:r w:rsidR="008E4E26">
        <w:instrText xml:space="preserve"> SEQ Figure \* ARABIC </w:instrText>
      </w:r>
      <w:r w:rsidR="008E4E26">
        <w:fldChar w:fldCharType="separate"/>
      </w:r>
      <w:r w:rsidR="008E4E26">
        <w:rPr>
          <w:noProof/>
        </w:rPr>
        <w:t>3</w:t>
      </w:r>
      <w:r w:rsidR="008E4E26">
        <w:rPr>
          <w:noProof/>
        </w:rPr>
        <w:fldChar w:fldCharType="end"/>
      </w:r>
      <w:bookmarkEnd w:id="35"/>
      <w:r w:rsidR="00787B2D" w:rsidRPr="00AE3438">
        <w:rPr>
          <w:szCs w:val="20"/>
        </w:rPr>
        <w:t xml:space="preserve">: proportion of patients sitting without support </w:t>
      </w:r>
      <w:r w:rsidR="00787B2D" w:rsidRPr="00AE3438">
        <w:rPr>
          <w:rFonts w:cs="Calibri"/>
          <w:szCs w:val="20"/>
        </w:rPr>
        <w:t>≥10</w:t>
      </w:r>
      <w:r w:rsidR="00787B2D" w:rsidRPr="00AE3438">
        <w:rPr>
          <w:szCs w:val="20"/>
        </w:rPr>
        <w:t xml:space="preserve"> seconds as defined by WHO-MGRS and ≥5 seconds as defined by BSID-GM #22.</w:t>
      </w:r>
    </w:p>
    <w:p w14:paraId="0A4C1456" w14:textId="71989F53" w:rsidR="00787B2D" w:rsidRPr="00AE3438" w:rsidRDefault="00B96BF8" w:rsidP="00787B2D">
      <w:r w:rsidRPr="00AE3438">
        <w:rPr>
          <w:noProof/>
          <w:lang w:eastAsia="zh-CN"/>
        </w:rPr>
        <w:drawing>
          <wp:inline distT="0" distB="0" distL="0" distR="0" wp14:anchorId="2F8E6FCB" wp14:editId="6CB2086F">
            <wp:extent cx="5737860" cy="3878580"/>
            <wp:effectExtent l="0" t="0" r="0" b="7620"/>
            <wp:docPr id="16" name="Picture 16" descr="Figure 3: proportion of patients sitting without support ≥10 seconds as defined by WHO-MGRS and ≥5 seconds as defined by BSID-G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3: proportion of patients sitting without support ≥10 seconds as defined by WHO-MGRS and ≥5 seconds as defined by BSID-GM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7860" cy="3878580"/>
                    </a:xfrm>
                    <a:prstGeom prst="rect">
                      <a:avLst/>
                    </a:prstGeom>
                    <a:noFill/>
                  </pic:spPr>
                </pic:pic>
              </a:graphicData>
            </a:graphic>
          </wp:inline>
        </w:drawing>
      </w:r>
    </w:p>
    <w:p w14:paraId="23B4DF37" w14:textId="77777777" w:rsidR="00787B2D" w:rsidRPr="00AE3438" w:rsidRDefault="00787B2D" w:rsidP="00787B2D">
      <w:pPr>
        <w:rPr>
          <w:rFonts w:ascii="Arial Narrow" w:hAnsi="Arial Narrow"/>
          <w:iCs/>
          <w:sz w:val="18"/>
          <w:szCs w:val="18"/>
        </w:rPr>
      </w:pPr>
      <w:r w:rsidRPr="00AE3438">
        <w:rPr>
          <w:rFonts w:ascii="Arial Narrow" w:hAnsi="Arial Narrow"/>
          <w:iCs/>
          <w:sz w:val="18"/>
          <w:szCs w:val="18"/>
        </w:rPr>
        <w:t>Source: constructed during the evaluation from Table 2.36 and Table 2.37, pp126-127 of the submission.</w:t>
      </w:r>
    </w:p>
    <w:p w14:paraId="6CE40EC1" w14:textId="17FEE62E" w:rsidR="00787B2D" w:rsidRPr="00AE3438" w:rsidRDefault="00787B2D" w:rsidP="00787B2D">
      <w:pPr>
        <w:rPr>
          <w:iCs/>
        </w:rPr>
      </w:pPr>
      <w:r w:rsidRPr="00AE3438">
        <w:rPr>
          <w:rFonts w:ascii="Arial Narrow" w:hAnsi="Arial Narrow"/>
          <w:iCs/>
          <w:sz w:val="18"/>
          <w:szCs w:val="18"/>
        </w:rPr>
        <w:t>BSID-GM=Bayley Scale for Infant Development (gross motor scale); ONA=onasemnogene abeparvovec; WHO-MGRS=World Health Organisation – Multicentre Growth Reference Study;</w:t>
      </w:r>
    </w:p>
    <w:p w14:paraId="706BC855" w14:textId="77777777" w:rsidR="00787B2D" w:rsidRPr="00AE3438" w:rsidRDefault="00787B2D" w:rsidP="00787B2D">
      <w:pPr>
        <w:pStyle w:val="3-BodyText"/>
        <w:numPr>
          <w:ilvl w:val="0"/>
          <w:numId w:val="0"/>
        </w:numPr>
      </w:pPr>
    </w:p>
    <w:p w14:paraId="4F215125" w14:textId="62B905DE" w:rsidR="009A65A9" w:rsidRDefault="00E042E8" w:rsidP="00EC5836">
      <w:pPr>
        <w:pStyle w:val="3-BodyText"/>
      </w:pPr>
      <w:r w:rsidRPr="00AE3438">
        <w:fldChar w:fldCharType="begin"/>
      </w:r>
      <w:r w:rsidRPr="00AE3438">
        <w:instrText xml:space="preserve"> REF _Ref113303425 \h </w:instrText>
      </w:r>
      <w:r w:rsidRPr="00AE3438">
        <w:fldChar w:fldCharType="separate"/>
      </w:r>
      <w:r w:rsidR="008E4E26" w:rsidRPr="00AE3438">
        <w:t xml:space="preserve">Table </w:t>
      </w:r>
      <w:r w:rsidR="008E4E26">
        <w:rPr>
          <w:noProof/>
        </w:rPr>
        <w:t>5</w:t>
      </w:r>
      <w:r w:rsidRPr="00AE3438">
        <w:fldChar w:fldCharType="end"/>
      </w:r>
      <w:r w:rsidR="00787B2D" w:rsidRPr="00AE3438">
        <w:t xml:space="preserve"> summarises the motor development milestone outcomes of ability to stand unsupported across the included studies.</w:t>
      </w:r>
    </w:p>
    <w:p w14:paraId="24F5202E" w14:textId="77777777" w:rsidR="009A65A9" w:rsidRDefault="009A65A9">
      <w:pPr>
        <w:jc w:val="left"/>
        <w:rPr>
          <w:rFonts w:asciiTheme="minorHAnsi" w:hAnsiTheme="minorHAnsi"/>
          <w:snapToGrid w:val="0"/>
        </w:rPr>
      </w:pPr>
      <w:r>
        <w:br w:type="page"/>
      </w:r>
    </w:p>
    <w:p w14:paraId="6E934D0D" w14:textId="01DC8C2C" w:rsidR="00787B2D" w:rsidRPr="00AE3438" w:rsidRDefault="00E042E8" w:rsidP="00E042E8">
      <w:pPr>
        <w:pStyle w:val="Caption"/>
        <w:rPr>
          <w:b w:val="0"/>
          <w:szCs w:val="20"/>
        </w:rPr>
      </w:pPr>
      <w:bookmarkStart w:id="36" w:name="_Ref113303425"/>
      <w:r w:rsidRPr="00AE3438">
        <w:lastRenderedPageBreak/>
        <w:t xml:space="preserve">Table </w:t>
      </w:r>
      <w:r w:rsidR="008E4E26">
        <w:fldChar w:fldCharType="begin"/>
      </w:r>
      <w:r w:rsidR="008E4E26">
        <w:instrText xml:space="preserve"> SEQ Table \* ARABIC </w:instrText>
      </w:r>
      <w:r w:rsidR="008E4E26">
        <w:fldChar w:fldCharType="separate"/>
      </w:r>
      <w:r w:rsidR="008E4E26">
        <w:rPr>
          <w:noProof/>
        </w:rPr>
        <w:t>5</w:t>
      </w:r>
      <w:r w:rsidR="008E4E26">
        <w:rPr>
          <w:noProof/>
        </w:rPr>
        <w:fldChar w:fldCharType="end"/>
      </w:r>
      <w:bookmarkEnd w:id="36"/>
      <w:r w:rsidR="00787B2D" w:rsidRPr="00AE3438">
        <w:rPr>
          <w:szCs w:val="20"/>
        </w:rPr>
        <w:t>: Motor development milestones (ability to stand)</w:t>
      </w:r>
    </w:p>
    <w:tbl>
      <w:tblPr>
        <w:tblStyle w:val="TableGrid"/>
        <w:tblW w:w="0" w:type="auto"/>
        <w:tblCellMar>
          <w:left w:w="28" w:type="dxa"/>
          <w:right w:w="28" w:type="dxa"/>
        </w:tblCellMar>
        <w:tblLook w:val="04A0" w:firstRow="1" w:lastRow="0" w:firstColumn="1" w:lastColumn="0" w:noHBand="0" w:noVBand="1"/>
      </w:tblPr>
      <w:tblGrid>
        <w:gridCol w:w="849"/>
        <w:gridCol w:w="3712"/>
        <w:gridCol w:w="1177"/>
        <w:gridCol w:w="936"/>
        <w:gridCol w:w="1047"/>
        <w:gridCol w:w="970"/>
        <w:gridCol w:w="326"/>
      </w:tblGrid>
      <w:tr w:rsidR="00787B2D" w:rsidRPr="00AE3438" w14:paraId="41914BAF" w14:textId="77777777" w:rsidTr="00C83A8D">
        <w:trPr>
          <w:tblHeader/>
        </w:trPr>
        <w:tc>
          <w:tcPr>
            <w:tcW w:w="770" w:type="dxa"/>
            <w:vAlign w:val="center"/>
          </w:tcPr>
          <w:p w14:paraId="23FFDA05"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Treatment</w:t>
            </w:r>
          </w:p>
        </w:tc>
        <w:tc>
          <w:tcPr>
            <w:tcW w:w="3761" w:type="dxa"/>
            <w:vAlign w:val="center"/>
          </w:tcPr>
          <w:p w14:paraId="295BB3AE"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Outcome</w:t>
            </w:r>
          </w:p>
        </w:tc>
        <w:tc>
          <w:tcPr>
            <w:tcW w:w="1187" w:type="dxa"/>
            <w:vAlign w:val="center"/>
          </w:tcPr>
          <w:p w14:paraId="3E08E716"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ONA</w:t>
            </w:r>
          </w:p>
          <w:p w14:paraId="76961EC4"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n/N (%)</w:t>
            </w:r>
          </w:p>
        </w:tc>
        <w:tc>
          <w:tcPr>
            <w:tcW w:w="940" w:type="dxa"/>
            <w:vAlign w:val="center"/>
          </w:tcPr>
          <w:p w14:paraId="782734FE"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Control</w:t>
            </w:r>
          </w:p>
          <w:p w14:paraId="1328F4C7"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n/N (%)</w:t>
            </w:r>
          </w:p>
        </w:tc>
        <w:tc>
          <w:tcPr>
            <w:tcW w:w="1055" w:type="dxa"/>
            <w:vAlign w:val="center"/>
          </w:tcPr>
          <w:p w14:paraId="25433D8D"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NUSI</w:t>
            </w:r>
          </w:p>
          <w:p w14:paraId="1F9D1A19"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n/N (%)</w:t>
            </w:r>
          </w:p>
        </w:tc>
        <w:tc>
          <w:tcPr>
            <w:tcW w:w="977" w:type="dxa"/>
            <w:vAlign w:val="center"/>
          </w:tcPr>
          <w:p w14:paraId="68FEFCAF"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RISD</w:t>
            </w:r>
          </w:p>
          <w:p w14:paraId="1930A9FB"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n/N (%)</w:t>
            </w:r>
          </w:p>
        </w:tc>
        <w:tc>
          <w:tcPr>
            <w:tcW w:w="327" w:type="dxa"/>
            <w:vAlign w:val="center"/>
          </w:tcPr>
          <w:p w14:paraId="7AF5C4F1"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S3</w:t>
            </w:r>
          </w:p>
        </w:tc>
      </w:tr>
      <w:tr w:rsidR="00787B2D" w:rsidRPr="00AE3438" w14:paraId="7A067901" w14:textId="77777777" w:rsidTr="00BD02D3">
        <w:tc>
          <w:tcPr>
            <w:tcW w:w="9017" w:type="dxa"/>
            <w:gridSpan w:val="7"/>
          </w:tcPr>
          <w:p w14:paraId="7E115568" w14:textId="77777777" w:rsidR="00787B2D" w:rsidRPr="00AE3438" w:rsidRDefault="00787B2D" w:rsidP="00BD02D3">
            <w:pPr>
              <w:rPr>
                <w:rFonts w:ascii="Arial Narrow" w:hAnsi="Arial Narrow"/>
                <w:b/>
                <w:sz w:val="20"/>
                <w:szCs w:val="20"/>
              </w:rPr>
            </w:pPr>
            <w:r w:rsidRPr="00AE3438">
              <w:rPr>
                <w:rFonts w:ascii="Arial Narrow" w:hAnsi="Arial Narrow"/>
                <w:b/>
                <w:sz w:val="20"/>
                <w:szCs w:val="20"/>
              </w:rPr>
              <w:t>Ability to stand alone (BSID</w:t>
            </w:r>
            <w:r w:rsidRPr="00AE3438">
              <w:rPr>
                <w:rFonts w:ascii="Arial Narrow" w:hAnsi="Arial Narrow"/>
                <w:b/>
                <w:sz w:val="20"/>
                <w:szCs w:val="20"/>
                <w:vertAlign w:val="superscript"/>
              </w:rPr>
              <w:t>a</w:t>
            </w:r>
            <w:r w:rsidRPr="00AE3438">
              <w:rPr>
                <w:rFonts w:ascii="Arial Narrow" w:hAnsi="Arial Narrow"/>
                <w:b/>
                <w:sz w:val="20"/>
                <w:szCs w:val="20"/>
              </w:rPr>
              <w:t>, WHO-MGRS</w:t>
            </w:r>
            <w:r w:rsidRPr="00AE3438">
              <w:rPr>
                <w:rFonts w:ascii="Arial Narrow" w:hAnsi="Arial Narrow"/>
                <w:b/>
                <w:sz w:val="20"/>
                <w:szCs w:val="20"/>
                <w:vertAlign w:val="superscript"/>
              </w:rPr>
              <w:t>b</w:t>
            </w:r>
            <w:r w:rsidRPr="00AE3438">
              <w:rPr>
                <w:rFonts w:ascii="Arial Narrow" w:hAnsi="Arial Narrow"/>
                <w:b/>
                <w:sz w:val="20"/>
                <w:szCs w:val="20"/>
              </w:rPr>
              <w:t>, HINE-2</w:t>
            </w:r>
            <w:r w:rsidRPr="00AE3438">
              <w:rPr>
                <w:rFonts w:ascii="Arial Narrow" w:hAnsi="Arial Narrow"/>
                <w:b/>
                <w:sz w:val="20"/>
                <w:szCs w:val="20"/>
                <w:vertAlign w:val="superscript"/>
              </w:rPr>
              <w:t>c</w:t>
            </w:r>
            <w:r w:rsidRPr="00AE3438">
              <w:rPr>
                <w:rFonts w:ascii="Arial Narrow" w:hAnsi="Arial Narrow"/>
                <w:b/>
                <w:sz w:val="20"/>
                <w:szCs w:val="20"/>
              </w:rPr>
              <w:t>)</w:t>
            </w:r>
          </w:p>
        </w:tc>
      </w:tr>
      <w:tr w:rsidR="00787B2D" w:rsidRPr="00AE3438" w14:paraId="251C8F74" w14:textId="77777777" w:rsidTr="00BD02D3">
        <w:tc>
          <w:tcPr>
            <w:tcW w:w="770" w:type="dxa"/>
            <w:vMerge w:val="restart"/>
            <w:shd w:val="clear" w:color="auto" w:fill="auto"/>
            <w:vAlign w:val="center"/>
          </w:tcPr>
          <w:p w14:paraId="655D0FE0" w14:textId="77777777" w:rsidR="00787B2D" w:rsidRPr="00AE3438" w:rsidRDefault="00787B2D" w:rsidP="00BD02D3">
            <w:pPr>
              <w:jc w:val="left"/>
              <w:rPr>
                <w:rFonts w:ascii="Arial Narrow" w:hAnsi="Arial Narrow"/>
                <w:b/>
                <w:sz w:val="20"/>
                <w:szCs w:val="20"/>
              </w:rPr>
            </w:pPr>
            <w:r w:rsidRPr="00AE3438">
              <w:rPr>
                <w:rFonts w:ascii="Arial Narrow" w:hAnsi="Arial Narrow"/>
                <w:b/>
                <w:sz w:val="20"/>
                <w:szCs w:val="20"/>
              </w:rPr>
              <w:t>ONA</w:t>
            </w:r>
          </w:p>
        </w:tc>
        <w:tc>
          <w:tcPr>
            <w:tcW w:w="3761" w:type="dxa"/>
            <w:tcBorders>
              <w:bottom w:val="nil"/>
            </w:tcBorders>
            <w:shd w:val="clear" w:color="auto" w:fill="EAF1DD" w:themeFill="accent3" w:themeFillTint="33"/>
          </w:tcPr>
          <w:p w14:paraId="3E36EF99" w14:textId="77777777" w:rsidR="00787B2D" w:rsidRPr="00AE3438" w:rsidRDefault="00787B2D" w:rsidP="00BD02D3">
            <w:pPr>
              <w:rPr>
                <w:rFonts w:ascii="Arial Narrow" w:hAnsi="Arial Narrow"/>
                <w:sz w:val="20"/>
                <w:szCs w:val="20"/>
                <w:u w:val="single"/>
              </w:rPr>
            </w:pPr>
            <w:r w:rsidRPr="00AE3438">
              <w:rPr>
                <w:rFonts w:ascii="Arial Narrow" w:hAnsi="Arial Narrow"/>
                <w:b/>
                <w:bCs/>
                <w:color w:val="00B050"/>
                <w:sz w:val="20"/>
                <w:szCs w:val="20"/>
                <w:u w:val="single"/>
              </w:rPr>
              <w:t>Pre-symptomatic</w:t>
            </w:r>
            <w:r w:rsidRPr="00AE3438">
              <w:rPr>
                <w:rFonts w:ascii="Arial Narrow" w:hAnsi="Arial Narrow"/>
                <w:color w:val="00B050"/>
                <w:sz w:val="20"/>
                <w:szCs w:val="20"/>
                <w:u w:val="single"/>
              </w:rPr>
              <w:t xml:space="preserve"> </w:t>
            </w:r>
            <w:r w:rsidRPr="00AE3438">
              <w:rPr>
                <w:rFonts w:ascii="Arial Narrow" w:hAnsi="Arial Narrow"/>
                <w:sz w:val="20"/>
                <w:szCs w:val="20"/>
                <w:u w:val="single"/>
              </w:rPr>
              <w:t>treatment</w:t>
            </w:r>
          </w:p>
        </w:tc>
        <w:tc>
          <w:tcPr>
            <w:tcW w:w="1187" w:type="dxa"/>
            <w:tcBorders>
              <w:bottom w:val="nil"/>
            </w:tcBorders>
            <w:shd w:val="clear" w:color="auto" w:fill="EAF1DD" w:themeFill="accent3" w:themeFillTint="33"/>
            <w:vAlign w:val="center"/>
          </w:tcPr>
          <w:p w14:paraId="5C9297A6" w14:textId="77777777" w:rsidR="00787B2D" w:rsidRPr="00AE3438" w:rsidRDefault="00787B2D" w:rsidP="00BD02D3">
            <w:pPr>
              <w:jc w:val="center"/>
              <w:rPr>
                <w:rFonts w:ascii="Arial Narrow" w:hAnsi="Arial Narrow"/>
                <w:sz w:val="20"/>
                <w:szCs w:val="20"/>
              </w:rPr>
            </w:pPr>
          </w:p>
        </w:tc>
        <w:tc>
          <w:tcPr>
            <w:tcW w:w="940" w:type="dxa"/>
            <w:tcBorders>
              <w:bottom w:val="nil"/>
            </w:tcBorders>
            <w:shd w:val="clear" w:color="auto" w:fill="EAF1DD" w:themeFill="accent3" w:themeFillTint="33"/>
            <w:vAlign w:val="center"/>
          </w:tcPr>
          <w:p w14:paraId="7ED097B0" w14:textId="77777777" w:rsidR="00787B2D" w:rsidRPr="00AE3438" w:rsidRDefault="00787B2D" w:rsidP="00BD02D3">
            <w:pPr>
              <w:jc w:val="center"/>
              <w:rPr>
                <w:rFonts w:ascii="Arial Narrow" w:hAnsi="Arial Narrow"/>
                <w:sz w:val="20"/>
                <w:szCs w:val="20"/>
              </w:rPr>
            </w:pPr>
          </w:p>
        </w:tc>
        <w:tc>
          <w:tcPr>
            <w:tcW w:w="1055" w:type="dxa"/>
            <w:tcBorders>
              <w:bottom w:val="nil"/>
            </w:tcBorders>
            <w:shd w:val="clear" w:color="auto" w:fill="EAF1DD" w:themeFill="accent3" w:themeFillTint="33"/>
            <w:vAlign w:val="center"/>
          </w:tcPr>
          <w:p w14:paraId="235839B8" w14:textId="77777777" w:rsidR="00787B2D" w:rsidRPr="00AE3438" w:rsidRDefault="00787B2D" w:rsidP="00BD02D3">
            <w:pPr>
              <w:jc w:val="center"/>
              <w:rPr>
                <w:rFonts w:ascii="Arial Narrow" w:hAnsi="Arial Narrow"/>
                <w:sz w:val="20"/>
                <w:szCs w:val="20"/>
              </w:rPr>
            </w:pPr>
          </w:p>
        </w:tc>
        <w:tc>
          <w:tcPr>
            <w:tcW w:w="977" w:type="dxa"/>
            <w:tcBorders>
              <w:bottom w:val="nil"/>
            </w:tcBorders>
            <w:shd w:val="clear" w:color="auto" w:fill="EAF1DD" w:themeFill="accent3" w:themeFillTint="33"/>
            <w:vAlign w:val="center"/>
          </w:tcPr>
          <w:p w14:paraId="0AAB0836" w14:textId="77777777" w:rsidR="00787B2D" w:rsidRPr="00AE3438" w:rsidRDefault="00787B2D" w:rsidP="00BD02D3">
            <w:pPr>
              <w:jc w:val="center"/>
              <w:rPr>
                <w:rFonts w:ascii="Arial Narrow" w:hAnsi="Arial Narrow"/>
                <w:sz w:val="20"/>
                <w:szCs w:val="20"/>
              </w:rPr>
            </w:pPr>
          </w:p>
        </w:tc>
        <w:tc>
          <w:tcPr>
            <w:tcW w:w="327" w:type="dxa"/>
            <w:tcBorders>
              <w:bottom w:val="nil"/>
            </w:tcBorders>
            <w:shd w:val="clear" w:color="auto" w:fill="EAF1DD" w:themeFill="accent3" w:themeFillTint="33"/>
            <w:vAlign w:val="center"/>
          </w:tcPr>
          <w:p w14:paraId="5E66B437" w14:textId="77777777" w:rsidR="00787B2D" w:rsidRPr="00AE3438" w:rsidRDefault="00787B2D" w:rsidP="00BD02D3">
            <w:pPr>
              <w:jc w:val="center"/>
              <w:rPr>
                <w:rFonts w:ascii="Arial Narrow" w:hAnsi="Arial Narrow"/>
                <w:sz w:val="20"/>
                <w:szCs w:val="20"/>
              </w:rPr>
            </w:pPr>
          </w:p>
        </w:tc>
      </w:tr>
      <w:tr w:rsidR="00787B2D" w:rsidRPr="00AE3438" w14:paraId="36830287" w14:textId="77777777" w:rsidTr="00BD02D3">
        <w:tc>
          <w:tcPr>
            <w:tcW w:w="770" w:type="dxa"/>
            <w:vMerge/>
            <w:shd w:val="clear" w:color="auto" w:fill="auto"/>
          </w:tcPr>
          <w:p w14:paraId="53B81714" w14:textId="77777777" w:rsidR="00787B2D" w:rsidRPr="00AE3438" w:rsidRDefault="00787B2D" w:rsidP="00BD02D3">
            <w:pPr>
              <w:rPr>
                <w:rFonts w:ascii="Arial Narrow" w:hAnsi="Arial Narrow"/>
                <w:sz w:val="20"/>
                <w:szCs w:val="20"/>
              </w:rPr>
            </w:pPr>
          </w:p>
        </w:tc>
        <w:tc>
          <w:tcPr>
            <w:tcW w:w="3761" w:type="dxa"/>
            <w:tcBorders>
              <w:top w:val="nil"/>
              <w:bottom w:val="nil"/>
            </w:tcBorders>
            <w:shd w:val="clear" w:color="auto" w:fill="EAF1DD" w:themeFill="accent3" w:themeFillTint="33"/>
          </w:tcPr>
          <w:p w14:paraId="585A2E1C"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SPR1NT– BSID </w:t>
            </w:r>
          </w:p>
        </w:tc>
        <w:tc>
          <w:tcPr>
            <w:tcW w:w="1187" w:type="dxa"/>
            <w:tcBorders>
              <w:top w:val="nil"/>
              <w:bottom w:val="nil"/>
            </w:tcBorders>
            <w:shd w:val="clear" w:color="auto" w:fill="EAF1DD" w:themeFill="accent3" w:themeFillTint="33"/>
            <w:vAlign w:val="center"/>
          </w:tcPr>
          <w:p w14:paraId="16A7CBD4" w14:textId="77777777" w:rsidR="00787B2D" w:rsidRPr="00AE3438" w:rsidRDefault="00787B2D" w:rsidP="00BD02D3">
            <w:pPr>
              <w:jc w:val="center"/>
              <w:rPr>
                <w:rFonts w:ascii="Arial Narrow" w:hAnsi="Arial Narrow"/>
                <w:sz w:val="20"/>
                <w:szCs w:val="20"/>
              </w:rPr>
            </w:pPr>
          </w:p>
        </w:tc>
        <w:tc>
          <w:tcPr>
            <w:tcW w:w="940" w:type="dxa"/>
            <w:tcBorders>
              <w:top w:val="nil"/>
              <w:bottom w:val="nil"/>
            </w:tcBorders>
            <w:shd w:val="clear" w:color="auto" w:fill="EAF1DD" w:themeFill="accent3" w:themeFillTint="33"/>
            <w:vAlign w:val="center"/>
          </w:tcPr>
          <w:p w14:paraId="3E434DD2" w14:textId="77777777" w:rsidR="00787B2D" w:rsidRPr="00AE3438" w:rsidRDefault="00787B2D" w:rsidP="00BD02D3">
            <w:pPr>
              <w:jc w:val="center"/>
              <w:rPr>
                <w:rFonts w:ascii="Arial Narrow" w:hAnsi="Arial Narrow"/>
                <w:sz w:val="20"/>
                <w:szCs w:val="20"/>
              </w:rPr>
            </w:pPr>
          </w:p>
        </w:tc>
        <w:tc>
          <w:tcPr>
            <w:tcW w:w="1055" w:type="dxa"/>
            <w:tcBorders>
              <w:top w:val="nil"/>
              <w:bottom w:val="nil"/>
            </w:tcBorders>
            <w:shd w:val="clear" w:color="auto" w:fill="EAF1DD" w:themeFill="accent3" w:themeFillTint="33"/>
            <w:vAlign w:val="center"/>
          </w:tcPr>
          <w:p w14:paraId="370D47E8" w14:textId="77777777" w:rsidR="00787B2D" w:rsidRPr="00AE3438" w:rsidRDefault="00787B2D" w:rsidP="00BD02D3">
            <w:pPr>
              <w:jc w:val="center"/>
              <w:rPr>
                <w:rFonts w:ascii="Arial Narrow" w:hAnsi="Arial Narrow"/>
                <w:sz w:val="20"/>
                <w:szCs w:val="20"/>
              </w:rPr>
            </w:pPr>
          </w:p>
        </w:tc>
        <w:tc>
          <w:tcPr>
            <w:tcW w:w="977" w:type="dxa"/>
            <w:tcBorders>
              <w:top w:val="nil"/>
              <w:bottom w:val="nil"/>
            </w:tcBorders>
            <w:shd w:val="clear" w:color="auto" w:fill="EAF1DD" w:themeFill="accent3" w:themeFillTint="33"/>
            <w:vAlign w:val="center"/>
          </w:tcPr>
          <w:p w14:paraId="138C6839" w14:textId="77777777" w:rsidR="00787B2D" w:rsidRPr="00AE3438" w:rsidRDefault="00787B2D" w:rsidP="00BD02D3">
            <w:pPr>
              <w:jc w:val="center"/>
              <w:rPr>
                <w:rFonts w:ascii="Arial Narrow" w:hAnsi="Arial Narrow"/>
                <w:sz w:val="20"/>
                <w:szCs w:val="20"/>
              </w:rPr>
            </w:pPr>
          </w:p>
        </w:tc>
        <w:tc>
          <w:tcPr>
            <w:tcW w:w="327" w:type="dxa"/>
            <w:tcBorders>
              <w:top w:val="nil"/>
              <w:bottom w:val="nil"/>
            </w:tcBorders>
            <w:shd w:val="clear" w:color="auto" w:fill="EAF1DD" w:themeFill="accent3" w:themeFillTint="33"/>
            <w:vAlign w:val="center"/>
          </w:tcPr>
          <w:p w14:paraId="0C871D7D" w14:textId="77777777" w:rsidR="00787B2D" w:rsidRPr="00AE3438" w:rsidRDefault="00787B2D" w:rsidP="00BD02D3">
            <w:pPr>
              <w:jc w:val="center"/>
              <w:rPr>
                <w:rFonts w:ascii="Arial Narrow" w:hAnsi="Arial Narrow"/>
                <w:sz w:val="20"/>
                <w:szCs w:val="20"/>
              </w:rPr>
            </w:pPr>
          </w:p>
        </w:tc>
      </w:tr>
      <w:tr w:rsidR="00787B2D" w:rsidRPr="00AE3438" w14:paraId="4E17F2C0" w14:textId="77777777" w:rsidTr="00BD02D3">
        <w:tc>
          <w:tcPr>
            <w:tcW w:w="770" w:type="dxa"/>
            <w:vMerge/>
            <w:shd w:val="clear" w:color="auto" w:fill="auto"/>
          </w:tcPr>
          <w:p w14:paraId="5B04BEC5" w14:textId="77777777" w:rsidR="00787B2D" w:rsidRPr="00AE3438" w:rsidRDefault="00787B2D" w:rsidP="00BD02D3">
            <w:pPr>
              <w:rPr>
                <w:rFonts w:ascii="Arial Narrow" w:hAnsi="Arial Narrow"/>
                <w:sz w:val="20"/>
                <w:szCs w:val="20"/>
              </w:rPr>
            </w:pPr>
          </w:p>
        </w:tc>
        <w:tc>
          <w:tcPr>
            <w:tcW w:w="3761" w:type="dxa"/>
            <w:tcBorders>
              <w:top w:val="nil"/>
              <w:bottom w:val="nil"/>
            </w:tcBorders>
            <w:shd w:val="clear" w:color="auto" w:fill="EAF1DD" w:themeFill="accent3" w:themeFillTint="33"/>
          </w:tcPr>
          <w:p w14:paraId="60178194"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2 </w:t>
            </w:r>
            <w:r w:rsidRPr="00AE3438">
              <w:rPr>
                <w:rFonts w:ascii="Arial Narrow" w:hAnsi="Arial Narrow"/>
                <w:i/>
                <w:sz w:val="20"/>
                <w:szCs w:val="20"/>
              </w:rPr>
              <w:t xml:space="preserve">SMN2 </w:t>
            </w:r>
            <w:r w:rsidRPr="00AE3438">
              <w:rPr>
                <w:rFonts w:ascii="Arial Narrow" w:hAnsi="Arial Narrow"/>
                <w:iCs/>
                <w:sz w:val="20"/>
                <w:szCs w:val="20"/>
              </w:rPr>
              <w:t>copies</w:t>
            </w:r>
            <w:r w:rsidRPr="00AE3438">
              <w:rPr>
                <w:rFonts w:ascii="Arial Narrow" w:hAnsi="Arial Narrow"/>
                <w:sz w:val="20"/>
                <w:szCs w:val="20"/>
              </w:rPr>
              <w:t>, 18 months of age</w:t>
            </w:r>
          </w:p>
        </w:tc>
        <w:tc>
          <w:tcPr>
            <w:tcW w:w="1187" w:type="dxa"/>
            <w:tcBorders>
              <w:top w:val="nil"/>
              <w:bottom w:val="nil"/>
            </w:tcBorders>
            <w:shd w:val="clear" w:color="auto" w:fill="EAF1DD" w:themeFill="accent3" w:themeFillTint="33"/>
            <w:vAlign w:val="center"/>
          </w:tcPr>
          <w:p w14:paraId="00D2E7D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11/14 (78.6%)</w:t>
            </w:r>
          </w:p>
        </w:tc>
        <w:tc>
          <w:tcPr>
            <w:tcW w:w="940" w:type="dxa"/>
            <w:tcBorders>
              <w:top w:val="nil"/>
              <w:bottom w:val="nil"/>
            </w:tcBorders>
            <w:shd w:val="clear" w:color="auto" w:fill="EAF1DD" w:themeFill="accent3" w:themeFillTint="33"/>
            <w:vAlign w:val="center"/>
          </w:tcPr>
          <w:p w14:paraId="36147A6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tcBorders>
              <w:top w:val="nil"/>
              <w:bottom w:val="nil"/>
            </w:tcBorders>
            <w:shd w:val="clear" w:color="auto" w:fill="EAF1DD" w:themeFill="accent3" w:themeFillTint="33"/>
            <w:vAlign w:val="center"/>
          </w:tcPr>
          <w:p w14:paraId="4AA942D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tcBorders>
              <w:top w:val="nil"/>
              <w:bottom w:val="nil"/>
            </w:tcBorders>
            <w:shd w:val="clear" w:color="auto" w:fill="EAF1DD" w:themeFill="accent3" w:themeFillTint="33"/>
            <w:vAlign w:val="center"/>
          </w:tcPr>
          <w:p w14:paraId="5A774EC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tcBorders>
              <w:top w:val="nil"/>
              <w:bottom w:val="nil"/>
            </w:tcBorders>
            <w:shd w:val="clear" w:color="auto" w:fill="EAF1DD" w:themeFill="accent3" w:themeFillTint="33"/>
            <w:vAlign w:val="center"/>
          </w:tcPr>
          <w:p w14:paraId="2E17475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73F6AF09" w14:textId="77777777" w:rsidTr="00BD02D3">
        <w:tc>
          <w:tcPr>
            <w:tcW w:w="770" w:type="dxa"/>
            <w:vMerge/>
            <w:shd w:val="clear" w:color="auto" w:fill="auto"/>
          </w:tcPr>
          <w:p w14:paraId="07C8810D" w14:textId="77777777" w:rsidR="00787B2D" w:rsidRPr="00AE3438" w:rsidRDefault="00787B2D" w:rsidP="00BD02D3">
            <w:pPr>
              <w:rPr>
                <w:rFonts w:ascii="Arial Narrow" w:hAnsi="Arial Narrow"/>
                <w:sz w:val="20"/>
                <w:szCs w:val="20"/>
              </w:rPr>
            </w:pPr>
          </w:p>
        </w:tc>
        <w:tc>
          <w:tcPr>
            <w:tcW w:w="3761" w:type="dxa"/>
            <w:tcBorders>
              <w:top w:val="nil"/>
              <w:bottom w:val="nil"/>
            </w:tcBorders>
            <w:shd w:val="clear" w:color="auto" w:fill="EAF1DD" w:themeFill="accent3" w:themeFillTint="33"/>
          </w:tcPr>
          <w:p w14:paraId="320B8646"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3 </w:t>
            </w:r>
            <w:r w:rsidRPr="00AE3438">
              <w:rPr>
                <w:rFonts w:ascii="Arial Narrow" w:hAnsi="Arial Narrow"/>
                <w:i/>
                <w:sz w:val="20"/>
                <w:szCs w:val="20"/>
              </w:rPr>
              <w:t xml:space="preserve">SMN2 </w:t>
            </w:r>
            <w:r w:rsidRPr="00AE3438">
              <w:rPr>
                <w:rFonts w:ascii="Arial Narrow" w:hAnsi="Arial Narrow"/>
                <w:iCs/>
                <w:sz w:val="20"/>
                <w:szCs w:val="20"/>
              </w:rPr>
              <w:t>copies</w:t>
            </w:r>
            <w:r w:rsidRPr="00AE3438">
              <w:rPr>
                <w:rFonts w:ascii="Arial Narrow" w:hAnsi="Arial Narrow"/>
                <w:sz w:val="20"/>
                <w:szCs w:val="20"/>
              </w:rPr>
              <w:t>, 24 months of age</w:t>
            </w:r>
          </w:p>
        </w:tc>
        <w:tc>
          <w:tcPr>
            <w:tcW w:w="1187" w:type="dxa"/>
            <w:tcBorders>
              <w:top w:val="nil"/>
              <w:bottom w:val="nil"/>
            </w:tcBorders>
            <w:shd w:val="clear" w:color="auto" w:fill="EAF1DD" w:themeFill="accent3" w:themeFillTint="33"/>
            <w:vAlign w:val="center"/>
          </w:tcPr>
          <w:p w14:paraId="7F2AE7E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15/15 (100%)</w:t>
            </w:r>
          </w:p>
        </w:tc>
        <w:tc>
          <w:tcPr>
            <w:tcW w:w="940" w:type="dxa"/>
            <w:tcBorders>
              <w:top w:val="nil"/>
              <w:bottom w:val="nil"/>
            </w:tcBorders>
            <w:shd w:val="clear" w:color="auto" w:fill="EAF1DD" w:themeFill="accent3" w:themeFillTint="33"/>
            <w:vAlign w:val="center"/>
          </w:tcPr>
          <w:p w14:paraId="2C0F2C6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19 (23.5%)^</w:t>
            </w:r>
          </w:p>
        </w:tc>
        <w:tc>
          <w:tcPr>
            <w:tcW w:w="1055" w:type="dxa"/>
            <w:tcBorders>
              <w:top w:val="nil"/>
              <w:bottom w:val="nil"/>
            </w:tcBorders>
            <w:shd w:val="clear" w:color="auto" w:fill="EAF1DD" w:themeFill="accent3" w:themeFillTint="33"/>
            <w:vAlign w:val="center"/>
          </w:tcPr>
          <w:p w14:paraId="5D287C0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tcBorders>
              <w:top w:val="nil"/>
              <w:bottom w:val="nil"/>
            </w:tcBorders>
            <w:shd w:val="clear" w:color="auto" w:fill="EAF1DD" w:themeFill="accent3" w:themeFillTint="33"/>
            <w:vAlign w:val="center"/>
          </w:tcPr>
          <w:p w14:paraId="752C2E3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tcBorders>
              <w:top w:val="nil"/>
              <w:bottom w:val="nil"/>
            </w:tcBorders>
            <w:shd w:val="clear" w:color="auto" w:fill="EAF1DD" w:themeFill="accent3" w:themeFillTint="33"/>
            <w:vAlign w:val="center"/>
          </w:tcPr>
          <w:p w14:paraId="3AF56A2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sym w:font="Wingdings" w:char="F0FC"/>
            </w:r>
          </w:p>
        </w:tc>
      </w:tr>
      <w:tr w:rsidR="00787B2D" w:rsidRPr="00AE3438" w14:paraId="2E4F19B8" w14:textId="77777777" w:rsidTr="00BD02D3">
        <w:tc>
          <w:tcPr>
            <w:tcW w:w="770" w:type="dxa"/>
            <w:vMerge/>
            <w:shd w:val="clear" w:color="auto" w:fill="auto"/>
          </w:tcPr>
          <w:p w14:paraId="59A5EE0B" w14:textId="77777777" w:rsidR="00787B2D" w:rsidRPr="00AE3438" w:rsidRDefault="00787B2D" w:rsidP="00BD02D3">
            <w:pPr>
              <w:rPr>
                <w:rFonts w:ascii="Arial Narrow" w:hAnsi="Arial Narrow"/>
                <w:sz w:val="20"/>
                <w:szCs w:val="20"/>
              </w:rPr>
            </w:pPr>
          </w:p>
        </w:tc>
        <w:tc>
          <w:tcPr>
            <w:tcW w:w="3761" w:type="dxa"/>
            <w:tcBorders>
              <w:top w:val="nil"/>
              <w:bottom w:val="nil"/>
            </w:tcBorders>
            <w:shd w:val="clear" w:color="auto" w:fill="EAF1DD" w:themeFill="accent3" w:themeFillTint="33"/>
          </w:tcPr>
          <w:p w14:paraId="4DAA0CEA" w14:textId="77777777" w:rsidR="00787B2D" w:rsidRPr="00AE3438" w:rsidRDefault="00787B2D" w:rsidP="00BD02D3">
            <w:pPr>
              <w:ind w:left="170"/>
              <w:rPr>
                <w:rFonts w:ascii="Arial Narrow" w:hAnsi="Arial Narrow"/>
                <w:sz w:val="20"/>
                <w:szCs w:val="20"/>
              </w:rPr>
            </w:pPr>
            <w:r w:rsidRPr="00AE3438">
              <w:rPr>
                <w:rFonts w:ascii="Arial Narrow" w:hAnsi="Arial Narrow"/>
                <w:sz w:val="20"/>
                <w:szCs w:val="20"/>
              </w:rPr>
              <w:t>% achieved within window</w:t>
            </w:r>
          </w:p>
        </w:tc>
        <w:tc>
          <w:tcPr>
            <w:tcW w:w="1187" w:type="dxa"/>
            <w:tcBorders>
              <w:top w:val="nil"/>
              <w:bottom w:val="nil"/>
            </w:tcBorders>
            <w:shd w:val="clear" w:color="auto" w:fill="EAF1DD" w:themeFill="accent3" w:themeFillTint="33"/>
            <w:vAlign w:val="center"/>
          </w:tcPr>
          <w:p w14:paraId="0FBE3C9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14/15 (93.3%)</w:t>
            </w:r>
          </w:p>
        </w:tc>
        <w:tc>
          <w:tcPr>
            <w:tcW w:w="940" w:type="dxa"/>
            <w:tcBorders>
              <w:top w:val="nil"/>
              <w:bottom w:val="nil"/>
            </w:tcBorders>
            <w:shd w:val="clear" w:color="auto" w:fill="EAF1DD" w:themeFill="accent3" w:themeFillTint="33"/>
            <w:vAlign w:val="center"/>
          </w:tcPr>
          <w:p w14:paraId="1026F63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tcBorders>
              <w:top w:val="nil"/>
              <w:bottom w:val="nil"/>
            </w:tcBorders>
            <w:shd w:val="clear" w:color="auto" w:fill="EAF1DD" w:themeFill="accent3" w:themeFillTint="33"/>
            <w:vAlign w:val="center"/>
          </w:tcPr>
          <w:p w14:paraId="41C0B73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tcBorders>
              <w:top w:val="nil"/>
              <w:bottom w:val="nil"/>
            </w:tcBorders>
            <w:shd w:val="clear" w:color="auto" w:fill="EAF1DD" w:themeFill="accent3" w:themeFillTint="33"/>
            <w:vAlign w:val="center"/>
          </w:tcPr>
          <w:p w14:paraId="19423A1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tcBorders>
              <w:top w:val="nil"/>
              <w:bottom w:val="nil"/>
            </w:tcBorders>
            <w:shd w:val="clear" w:color="auto" w:fill="EAF1DD" w:themeFill="accent3" w:themeFillTint="33"/>
            <w:vAlign w:val="center"/>
          </w:tcPr>
          <w:p w14:paraId="1CBA334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0945DEAE" w14:textId="77777777" w:rsidTr="00BD02D3">
        <w:tc>
          <w:tcPr>
            <w:tcW w:w="770" w:type="dxa"/>
            <w:vMerge/>
            <w:shd w:val="clear" w:color="auto" w:fill="auto"/>
          </w:tcPr>
          <w:p w14:paraId="2B9A6E47" w14:textId="77777777" w:rsidR="00787B2D" w:rsidRPr="00AE3438" w:rsidRDefault="00787B2D" w:rsidP="00BD02D3">
            <w:pPr>
              <w:rPr>
                <w:rFonts w:ascii="Arial Narrow" w:hAnsi="Arial Narrow"/>
                <w:sz w:val="20"/>
                <w:szCs w:val="20"/>
              </w:rPr>
            </w:pPr>
          </w:p>
        </w:tc>
        <w:tc>
          <w:tcPr>
            <w:tcW w:w="3761" w:type="dxa"/>
            <w:tcBorders>
              <w:top w:val="nil"/>
            </w:tcBorders>
            <w:shd w:val="clear" w:color="auto" w:fill="EAF1DD" w:themeFill="accent3" w:themeFillTint="33"/>
          </w:tcPr>
          <w:p w14:paraId="5E8569BD" w14:textId="77777777" w:rsidR="00787B2D" w:rsidRPr="00AE3438" w:rsidRDefault="00787B2D" w:rsidP="00BD02D3">
            <w:pPr>
              <w:ind w:left="170"/>
              <w:rPr>
                <w:rFonts w:ascii="Arial Narrow" w:hAnsi="Arial Narrow"/>
                <w:sz w:val="20"/>
                <w:szCs w:val="20"/>
              </w:rPr>
            </w:pPr>
            <w:r w:rsidRPr="00AE3438">
              <w:rPr>
                <w:rFonts w:ascii="Arial Narrow" w:hAnsi="Arial Narrow"/>
                <w:sz w:val="20"/>
                <w:szCs w:val="20"/>
              </w:rPr>
              <w:t>Median (range) age at earliest achievement, 12.6 (9.5-18.3) months</w:t>
            </w:r>
          </w:p>
        </w:tc>
        <w:tc>
          <w:tcPr>
            <w:tcW w:w="1187" w:type="dxa"/>
            <w:tcBorders>
              <w:top w:val="nil"/>
            </w:tcBorders>
            <w:shd w:val="clear" w:color="auto" w:fill="EAF1DD" w:themeFill="accent3" w:themeFillTint="33"/>
            <w:vAlign w:val="center"/>
          </w:tcPr>
          <w:p w14:paraId="3F367098" w14:textId="77777777" w:rsidR="00787B2D" w:rsidRPr="00AE3438" w:rsidRDefault="00787B2D" w:rsidP="00BD02D3">
            <w:pPr>
              <w:jc w:val="center"/>
              <w:rPr>
                <w:rFonts w:ascii="Arial Narrow" w:hAnsi="Arial Narrow"/>
                <w:sz w:val="20"/>
                <w:szCs w:val="20"/>
              </w:rPr>
            </w:pPr>
          </w:p>
        </w:tc>
        <w:tc>
          <w:tcPr>
            <w:tcW w:w="940" w:type="dxa"/>
            <w:tcBorders>
              <w:top w:val="nil"/>
            </w:tcBorders>
            <w:shd w:val="clear" w:color="auto" w:fill="EAF1DD" w:themeFill="accent3" w:themeFillTint="33"/>
            <w:vAlign w:val="center"/>
          </w:tcPr>
          <w:p w14:paraId="268A5781" w14:textId="77777777" w:rsidR="00787B2D" w:rsidRPr="00AE3438" w:rsidRDefault="00787B2D" w:rsidP="00BD02D3">
            <w:pPr>
              <w:jc w:val="center"/>
              <w:rPr>
                <w:rFonts w:ascii="Arial Narrow" w:hAnsi="Arial Narrow"/>
                <w:sz w:val="20"/>
                <w:szCs w:val="20"/>
              </w:rPr>
            </w:pPr>
          </w:p>
        </w:tc>
        <w:tc>
          <w:tcPr>
            <w:tcW w:w="1055" w:type="dxa"/>
            <w:tcBorders>
              <w:top w:val="nil"/>
            </w:tcBorders>
            <w:shd w:val="clear" w:color="auto" w:fill="EAF1DD" w:themeFill="accent3" w:themeFillTint="33"/>
            <w:vAlign w:val="center"/>
          </w:tcPr>
          <w:p w14:paraId="244BB300" w14:textId="77777777" w:rsidR="00787B2D" w:rsidRPr="00AE3438" w:rsidRDefault="00787B2D" w:rsidP="00BD02D3">
            <w:pPr>
              <w:jc w:val="center"/>
              <w:rPr>
                <w:rFonts w:ascii="Arial Narrow" w:hAnsi="Arial Narrow"/>
                <w:sz w:val="20"/>
                <w:szCs w:val="20"/>
              </w:rPr>
            </w:pPr>
          </w:p>
        </w:tc>
        <w:tc>
          <w:tcPr>
            <w:tcW w:w="977" w:type="dxa"/>
            <w:tcBorders>
              <w:top w:val="nil"/>
            </w:tcBorders>
            <w:shd w:val="clear" w:color="auto" w:fill="EAF1DD" w:themeFill="accent3" w:themeFillTint="33"/>
            <w:vAlign w:val="center"/>
          </w:tcPr>
          <w:p w14:paraId="071ED741" w14:textId="77777777" w:rsidR="00787B2D" w:rsidRPr="00AE3438" w:rsidRDefault="00787B2D" w:rsidP="00BD02D3">
            <w:pPr>
              <w:jc w:val="center"/>
              <w:rPr>
                <w:rFonts w:ascii="Arial Narrow" w:hAnsi="Arial Narrow"/>
                <w:sz w:val="20"/>
                <w:szCs w:val="20"/>
              </w:rPr>
            </w:pPr>
          </w:p>
        </w:tc>
        <w:tc>
          <w:tcPr>
            <w:tcW w:w="327" w:type="dxa"/>
            <w:tcBorders>
              <w:top w:val="nil"/>
            </w:tcBorders>
            <w:shd w:val="clear" w:color="auto" w:fill="EAF1DD" w:themeFill="accent3" w:themeFillTint="33"/>
            <w:vAlign w:val="center"/>
          </w:tcPr>
          <w:p w14:paraId="45347A55" w14:textId="77777777" w:rsidR="00787B2D" w:rsidRPr="00AE3438" w:rsidRDefault="00787B2D" w:rsidP="00BD02D3">
            <w:pPr>
              <w:jc w:val="center"/>
              <w:rPr>
                <w:rFonts w:ascii="Arial Narrow" w:hAnsi="Arial Narrow"/>
                <w:sz w:val="20"/>
                <w:szCs w:val="20"/>
              </w:rPr>
            </w:pPr>
          </w:p>
        </w:tc>
      </w:tr>
      <w:tr w:rsidR="00787B2D" w:rsidRPr="00AE3438" w14:paraId="2EB51763" w14:textId="77777777" w:rsidTr="00BD02D3">
        <w:tc>
          <w:tcPr>
            <w:tcW w:w="770" w:type="dxa"/>
            <w:vMerge/>
            <w:shd w:val="clear" w:color="auto" w:fill="auto"/>
          </w:tcPr>
          <w:p w14:paraId="587C7DD8" w14:textId="77777777" w:rsidR="00787B2D" w:rsidRPr="00AE3438" w:rsidRDefault="00787B2D" w:rsidP="00BD02D3">
            <w:pPr>
              <w:rPr>
                <w:rFonts w:ascii="Arial Narrow" w:hAnsi="Arial Narrow"/>
                <w:sz w:val="20"/>
                <w:szCs w:val="20"/>
              </w:rPr>
            </w:pPr>
          </w:p>
        </w:tc>
        <w:tc>
          <w:tcPr>
            <w:tcW w:w="3761" w:type="dxa"/>
            <w:tcBorders>
              <w:bottom w:val="nil"/>
            </w:tcBorders>
            <w:shd w:val="clear" w:color="auto" w:fill="auto"/>
          </w:tcPr>
          <w:p w14:paraId="3AF4AFFF" w14:textId="77777777" w:rsidR="00787B2D" w:rsidRPr="00AE3438" w:rsidRDefault="00787B2D" w:rsidP="00BD02D3">
            <w:pPr>
              <w:rPr>
                <w:rFonts w:ascii="Arial Narrow" w:hAnsi="Arial Narrow"/>
                <w:sz w:val="20"/>
                <w:szCs w:val="20"/>
                <w:u w:val="single"/>
              </w:rPr>
            </w:pPr>
            <w:r w:rsidRPr="00AE3438">
              <w:rPr>
                <w:rFonts w:ascii="Arial Narrow" w:eastAsiaTheme="majorEastAsia" w:hAnsi="Arial Narrow" w:cstheme="majorBidi"/>
                <w:b/>
                <w:bCs/>
                <w:color w:val="D60093"/>
                <w:sz w:val="20"/>
                <w:szCs w:val="20"/>
                <w:u w:val="single"/>
              </w:rPr>
              <w:t>Symptomatic</w:t>
            </w:r>
            <w:r w:rsidRPr="00AE3438">
              <w:rPr>
                <w:rFonts w:ascii="Arial Narrow" w:hAnsi="Arial Narrow"/>
                <w:b/>
                <w:bCs/>
                <w:sz w:val="20"/>
                <w:szCs w:val="20"/>
                <w:u w:val="single"/>
              </w:rPr>
              <w:t xml:space="preserve"> </w:t>
            </w:r>
            <w:r w:rsidRPr="00AE3438">
              <w:rPr>
                <w:rFonts w:ascii="Arial Narrow" w:hAnsi="Arial Narrow"/>
                <w:sz w:val="20"/>
                <w:szCs w:val="20"/>
                <w:u w:val="single"/>
              </w:rPr>
              <w:t>treatment</w:t>
            </w:r>
          </w:p>
        </w:tc>
        <w:tc>
          <w:tcPr>
            <w:tcW w:w="1187" w:type="dxa"/>
            <w:tcBorders>
              <w:bottom w:val="nil"/>
            </w:tcBorders>
            <w:shd w:val="clear" w:color="auto" w:fill="auto"/>
            <w:vAlign w:val="center"/>
          </w:tcPr>
          <w:p w14:paraId="58108C06" w14:textId="77777777" w:rsidR="00787B2D" w:rsidRPr="00AE3438" w:rsidRDefault="00787B2D" w:rsidP="00BD02D3">
            <w:pPr>
              <w:jc w:val="center"/>
              <w:rPr>
                <w:rFonts w:ascii="Arial Narrow" w:hAnsi="Arial Narrow"/>
                <w:sz w:val="20"/>
                <w:szCs w:val="20"/>
              </w:rPr>
            </w:pPr>
          </w:p>
        </w:tc>
        <w:tc>
          <w:tcPr>
            <w:tcW w:w="940" w:type="dxa"/>
            <w:tcBorders>
              <w:bottom w:val="nil"/>
            </w:tcBorders>
            <w:shd w:val="clear" w:color="auto" w:fill="auto"/>
            <w:vAlign w:val="center"/>
          </w:tcPr>
          <w:p w14:paraId="0DD89979" w14:textId="77777777" w:rsidR="00787B2D" w:rsidRPr="00AE3438" w:rsidRDefault="00787B2D" w:rsidP="00BD02D3">
            <w:pPr>
              <w:jc w:val="center"/>
              <w:rPr>
                <w:rFonts w:ascii="Arial Narrow" w:hAnsi="Arial Narrow"/>
                <w:sz w:val="20"/>
                <w:szCs w:val="20"/>
              </w:rPr>
            </w:pPr>
          </w:p>
        </w:tc>
        <w:tc>
          <w:tcPr>
            <w:tcW w:w="1055" w:type="dxa"/>
            <w:tcBorders>
              <w:bottom w:val="nil"/>
            </w:tcBorders>
            <w:shd w:val="clear" w:color="auto" w:fill="auto"/>
            <w:vAlign w:val="center"/>
          </w:tcPr>
          <w:p w14:paraId="498481E3" w14:textId="77777777" w:rsidR="00787B2D" w:rsidRPr="00AE3438" w:rsidRDefault="00787B2D" w:rsidP="00BD02D3">
            <w:pPr>
              <w:jc w:val="center"/>
              <w:rPr>
                <w:rFonts w:ascii="Arial Narrow" w:hAnsi="Arial Narrow"/>
                <w:sz w:val="20"/>
                <w:szCs w:val="20"/>
              </w:rPr>
            </w:pPr>
          </w:p>
        </w:tc>
        <w:tc>
          <w:tcPr>
            <w:tcW w:w="977" w:type="dxa"/>
            <w:tcBorders>
              <w:bottom w:val="nil"/>
            </w:tcBorders>
            <w:shd w:val="clear" w:color="auto" w:fill="auto"/>
            <w:vAlign w:val="center"/>
          </w:tcPr>
          <w:p w14:paraId="7B77AD84" w14:textId="77777777" w:rsidR="00787B2D" w:rsidRPr="00AE3438" w:rsidRDefault="00787B2D" w:rsidP="00BD02D3">
            <w:pPr>
              <w:jc w:val="center"/>
              <w:rPr>
                <w:rFonts w:ascii="Arial Narrow" w:hAnsi="Arial Narrow"/>
                <w:sz w:val="20"/>
                <w:szCs w:val="20"/>
              </w:rPr>
            </w:pPr>
          </w:p>
        </w:tc>
        <w:tc>
          <w:tcPr>
            <w:tcW w:w="327" w:type="dxa"/>
            <w:tcBorders>
              <w:bottom w:val="nil"/>
            </w:tcBorders>
            <w:shd w:val="clear" w:color="auto" w:fill="auto"/>
            <w:vAlign w:val="center"/>
          </w:tcPr>
          <w:p w14:paraId="394888CE" w14:textId="77777777" w:rsidR="00787B2D" w:rsidRPr="00AE3438" w:rsidRDefault="00787B2D" w:rsidP="00BD02D3">
            <w:pPr>
              <w:jc w:val="center"/>
              <w:rPr>
                <w:rFonts w:ascii="Arial Narrow" w:hAnsi="Arial Narrow"/>
                <w:sz w:val="20"/>
                <w:szCs w:val="20"/>
              </w:rPr>
            </w:pPr>
          </w:p>
        </w:tc>
      </w:tr>
      <w:tr w:rsidR="00787B2D" w:rsidRPr="00AE3438" w14:paraId="6C123D33" w14:textId="77777777" w:rsidTr="00BD02D3">
        <w:tc>
          <w:tcPr>
            <w:tcW w:w="770" w:type="dxa"/>
            <w:vMerge/>
            <w:shd w:val="clear" w:color="auto" w:fill="auto"/>
          </w:tcPr>
          <w:p w14:paraId="744EEE8E" w14:textId="77777777" w:rsidR="00787B2D" w:rsidRPr="00AE3438" w:rsidRDefault="00787B2D" w:rsidP="00BD02D3">
            <w:pPr>
              <w:rPr>
                <w:rFonts w:ascii="Arial Narrow" w:hAnsi="Arial Narrow"/>
                <w:sz w:val="20"/>
                <w:szCs w:val="20"/>
              </w:rPr>
            </w:pPr>
          </w:p>
        </w:tc>
        <w:tc>
          <w:tcPr>
            <w:tcW w:w="3761" w:type="dxa"/>
            <w:tcBorders>
              <w:top w:val="nil"/>
              <w:bottom w:val="nil"/>
            </w:tcBorders>
            <w:shd w:val="clear" w:color="auto" w:fill="auto"/>
          </w:tcPr>
          <w:p w14:paraId="1322A344"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START – BSID/WHO-MGRS (Type I, 2 </w:t>
            </w:r>
            <w:r w:rsidRPr="00AE3438">
              <w:rPr>
                <w:rFonts w:ascii="Arial Narrow" w:hAnsi="Arial Narrow"/>
                <w:i/>
                <w:iCs/>
                <w:sz w:val="20"/>
                <w:szCs w:val="20"/>
              </w:rPr>
              <w:t>SMN2</w:t>
            </w:r>
            <w:r w:rsidRPr="00AE3438">
              <w:rPr>
                <w:rFonts w:ascii="Arial Narrow" w:hAnsi="Arial Narrow"/>
                <w:sz w:val="20"/>
                <w:szCs w:val="20"/>
              </w:rPr>
              <w:t xml:space="preserve"> copies)</w:t>
            </w:r>
          </w:p>
        </w:tc>
        <w:tc>
          <w:tcPr>
            <w:tcW w:w="1187" w:type="dxa"/>
            <w:tcBorders>
              <w:top w:val="nil"/>
              <w:bottom w:val="nil"/>
            </w:tcBorders>
            <w:shd w:val="clear" w:color="auto" w:fill="auto"/>
            <w:vAlign w:val="center"/>
          </w:tcPr>
          <w:p w14:paraId="32DE2DE9" w14:textId="77777777" w:rsidR="00787B2D" w:rsidRPr="00AE3438" w:rsidRDefault="00787B2D" w:rsidP="00BD02D3">
            <w:pPr>
              <w:jc w:val="center"/>
              <w:rPr>
                <w:rFonts w:ascii="Arial Narrow" w:hAnsi="Arial Narrow"/>
                <w:sz w:val="20"/>
                <w:szCs w:val="20"/>
              </w:rPr>
            </w:pPr>
          </w:p>
        </w:tc>
        <w:tc>
          <w:tcPr>
            <w:tcW w:w="940" w:type="dxa"/>
            <w:tcBorders>
              <w:top w:val="nil"/>
              <w:bottom w:val="nil"/>
            </w:tcBorders>
            <w:shd w:val="clear" w:color="auto" w:fill="auto"/>
            <w:vAlign w:val="center"/>
          </w:tcPr>
          <w:p w14:paraId="1094250E" w14:textId="77777777" w:rsidR="00787B2D" w:rsidRPr="00AE3438" w:rsidRDefault="00787B2D" w:rsidP="00BD02D3">
            <w:pPr>
              <w:jc w:val="center"/>
              <w:rPr>
                <w:rFonts w:ascii="Arial Narrow" w:hAnsi="Arial Narrow"/>
                <w:sz w:val="20"/>
                <w:szCs w:val="20"/>
              </w:rPr>
            </w:pPr>
          </w:p>
        </w:tc>
        <w:tc>
          <w:tcPr>
            <w:tcW w:w="1055" w:type="dxa"/>
            <w:tcBorders>
              <w:top w:val="nil"/>
              <w:bottom w:val="nil"/>
            </w:tcBorders>
            <w:shd w:val="clear" w:color="auto" w:fill="auto"/>
            <w:vAlign w:val="center"/>
          </w:tcPr>
          <w:p w14:paraId="1E5E42A9" w14:textId="77777777" w:rsidR="00787B2D" w:rsidRPr="00AE3438" w:rsidRDefault="00787B2D" w:rsidP="00BD02D3">
            <w:pPr>
              <w:jc w:val="center"/>
              <w:rPr>
                <w:rFonts w:ascii="Arial Narrow" w:hAnsi="Arial Narrow"/>
                <w:sz w:val="20"/>
                <w:szCs w:val="20"/>
              </w:rPr>
            </w:pPr>
          </w:p>
        </w:tc>
        <w:tc>
          <w:tcPr>
            <w:tcW w:w="977" w:type="dxa"/>
            <w:tcBorders>
              <w:top w:val="nil"/>
              <w:bottom w:val="nil"/>
            </w:tcBorders>
            <w:shd w:val="clear" w:color="auto" w:fill="auto"/>
            <w:vAlign w:val="center"/>
          </w:tcPr>
          <w:p w14:paraId="21300631" w14:textId="77777777" w:rsidR="00787B2D" w:rsidRPr="00AE3438" w:rsidRDefault="00787B2D" w:rsidP="00BD02D3">
            <w:pPr>
              <w:jc w:val="center"/>
              <w:rPr>
                <w:rFonts w:ascii="Arial Narrow" w:hAnsi="Arial Narrow"/>
                <w:sz w:val="20"/>
                <w:szCs w:val="20"/>
              </w:rPr>
            </w:pPr>
          </w:p>
        </w:tc>
        <w:tc>
          <w:tcPr>
            <w:tcW w:w="327" w:type="dxa"/>
            <w:tcBorders>
              <w:top w:val="nil"/>
              <w:bottom w:val="nil"/>
            </w:tcBorders>
            <w:shd w:val="clear" w:color="auto" w:fill="auto"/>
            <w:vAlign w:val="center"/>
          </w:tcPr>
          <w:p w14:paraId="4A6A5380" w14:textId="77777777" w:rsidR="00787B2D" w:rsidRPr="00AE3438" w:rsidRDefault="00787B2D" w:rsidP="00BD02D3">
            <w:pPr>
              <w:jc w:val="center"/>
              <w:rPr>
                <w:rFonts w:ascii="Arial Narrow" w:hAnsi="Arial Narrow"/>
                <w:sz w:val="20"/>
                <w:szCs w:val="20"/>
              </w:rPr>
            </w:pPr>
          </w:p>
        </w:tc>
      </w:tr>
      <w:tr w:rsidR="00787B2D" w:rsidRPr="00AE3438" w14:paraId="2C2B6254" w14:textId="77777777" w:rsidTr="00BD02D3">
        <w:tc>
          <w:tcPr>
            <w:tcW w:w="770" w:type="dxa"/>
            <w:vMerge/>
            <w:shd w:val="clear" w:color="auto" w:fill="auto"/>
          </w:tcPr>
          <w:p w14:paraId="12C2B65B" w14:textId="77777777" w:rsidR="00787B2D" w:rsidRPr="00AE3438" w:rsidRDefault="00787B2D" w:rsidP="00BD02D3">
            <w:pPr>
              <w:rPr>
                <w:rFonts w:ascii="Arial Narrow" w:hAnsi="Arial Narrow"/>
                <w:sz w:val="20"/>
                <w:szCs w:val="20"/>
              </w:rPr>
            </w:pPr>
          </w:p>
        </w:tc>
        <w:tc>
          <w:tcPr>
            <w:tcW w:w="3761" w:type="dxa"/>
            <w:tcBorders>
              <w:top w:val="nil"/>
            </w:tcBorders>
            <w:shd w:val="clear" w:color="auto" w:fill="auto"/>
          </w:tcPr>
          <w:p w14:paraId="52DA7907"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13.6 months of age</w:t>
            </w:r>
          </w:p>
          <w:p w14:paraId="2261F5AF"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24 months post dose</w:t>
            </w:r>
          </w:p>
        </w:tc>
        <w:tc>
          <w:tcPr>
            <w:tcW w:w="1187" w:type="dxa"/>
            <w:tcBorders>
              <w:top w:val="nil"/>
            </w:tcBorders>
            <w:shd w:val="clear" w:color="auto" w:fill="auto"/>
            <w:vAlign w:val="center"/>
          </w:tcPr>
          <w:p w14:paraId="231B02E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2/12 (16.7%)</w:t>
            </w:r>
          </w:p>
          <w:p w14:paraId="5E4A567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2/12 (16.7%)</w:t>
            </w:r>
          </w:p>
        </w:tc>
        <w:tc>
          <w:tcPr>
            <w:tcW w:w="940" w:type="dxa"/>
            <w:tcBorders>
              <w:top w:val="nil"/>
            </w:tcBorders>
            <w:shd w:val="clear" w:color="auto" w:fill="auto"/>
            <w:vAlign w:val="center"/>
          </w:tcPr>
          <w:p w14:paraId="64E30BA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tcBorders>
              <w:top w:val="nil"/>
            </w:tcBorders>
            <w:shd w:val="clear" w:color="auto" w:fill="auto"/>
            <w:vAlign w:val="center"/>
          </w:tcPr>
          <w:p w14:paraId="7544223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tcBorders>
              <w:top w:val="nil"/>
            </w:tcBorders>
            <w:shd w:val="clear" w:color="auto" w:fill="auto"/>
            <w:vAlign w:val="center"/>
          </w:tcPr>
          <w:p w14:paraId="51E1C2E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tcBorders>
              <w:top w:val="nil"/>
            </w:tcBorders>
            <w:shd w:val="clear" w:color="auto" w:fill="auto"/>
            <w:vAlign w:val="center"/>
          </w:tcPr>
          <w:p w14:paraId="5CFE8B1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711546FD" w14:textId="77777777" w:rsidTr="00BD02D3">
        <w:tc>
          <w:tcPr>
            <w:tcW w:w="770" w:type="dxa"/>
            <w:vMerge/>
            <w:shd w:val="clear" w:color="auto" w:fill="auto"/>
          </w:tcPr>
          <w:p w14:paraId="1767E9FD" w14:textId="77777777" w:rsidR="00787B2D" w:rsidRPr="00AE3438" w:rsidRDefault="00787B2D" w:rsidP="00BD02D3">
            <w:pPr>
              <w:rPr>
                <w:rFonts w:ascii="Arial Narrow" w:hAnsi="Arial Narrow"/>
                <w:sz w:val="20"/>
                <w:szCs w:val="20"/>
              </w:rPr>
            </w:pPr>
          </w:p>
        </w:tc>
        <w:tc>
          <w:tcPr>
            <w:tcW w:w="3761" w:type="dxa"/>
            <w:shd w:val="clear" w:color="auto" w:fill="auto"/>
          </w:tcPr>
          <w:p w14:paraId="08884E9A"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STR1VE-US (Type I, 1-2 </w:t>
            </w:r>
            <w:r w:rsidRPr="00AE3438">
              <w:rPr>
                <w:rFonts w:ascii="Arial Narrow" w:hAnsi="Arial Narrow"/>
                <w:i/>
                <w:iCs/>
                <w:sz w:val="20"/>
                <w:szCs w:val="20"/>
              </w:rPr>
              <w:t xml:space="preserve">SMN2 </w:t>
            </w:r>
            <w:r w:rsidRPr="00AE3438">
              <w:rPr>
                <w:rFonts w:ascii="Arial Narrow" w:hAnsi="Arial Narrow"/>
                <w:sz w:val="20"/>
                <w:szCs w:val="20"/>
              </w:rPr>
              <w:t>copies)</w:t>
            </w:r>
          </w:p>
          <w:p w14:paraId="703C2C8E"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BSID, 14.7 months of age</w:t>
            </w:r>
          </w:p>
        </w:tc>
        <w:tc>
          <w:tcPr>
            <w:tcW w:w="1187" w:type="dxa"/>
            <w:shd w:val="clear" w:color="auto" w:fill="auto"/>
            <w:vAlign w:val="center"/>
          </w:tcPr>
          <w:p w14:paraId="4F862FC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1/22 (4.5%)</w:t>
            </w:r>
          </w:p>
        </w:tc>
        <w:tc>
          <w:tcPr>
            <w:tcW w:w="940" w:type="dxa"/>
            <w:shd w:val="clear" w:color="auto" w:fill="auto"/>
            <w:vAlign w:val="center"/>
          </w:tcPr>
          <w:p w14:paraId="69E3F09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shd w:val="clear" w:color="auto" w:fill="auto"/>
            <w:vAlign w:val="center"/>
          </w:tcPr>
          <w:p w14:paraId="689177A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shd w:val="clear" w:color="auto" w:fill="auto"/>
            <w:vAlign w:val="center"/>
          </w:tcPr>
          <w:p w14:paraId="2FA8B86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shd w:val="clear" w:color="auto" w:fill="auto"/>
          </w:tcPr>
          <w:p w14:paraId="76B74D1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2F59D57E" w14:textId="77777777" w:rsidTr="00BD02D3">
        <w:tc>
          <w:tcPr>
            <w:tcW w:w="770" w:type="dxa"/>
            <w:vMerge/>
            <w:shd w:val="clear" w:color="auto" w:fill="auto"/>
          </w:tcPr>
          <w:p w14:paraId="58515DCE" w14:textId="77777777" w:rsidR="00787B2D" w:rsidRPr="00AE3438" w:rsidRDefault="00787B2D" w:rsidP="00BD02D3">
            <w:pPr>
              <w:rPr>
                <w:rFonts w:ascii="Arial Narrow" w:hAnsi="Arial Narrow"/>
                <w:sz w:val="20"/>
                <w:szCs w:val="20"/>
              </w:rPr>
            </w:pPr>
          </w:p>
        </w:tc>
        <w:tc>
          <w:tcPr>
            <w:tcW w:w="3761" w:type="dxa"/>
            <w:shd w:val="clear" w:color="auto" w:fill="auto"/>
          </w:tcPr>
          <w:p w14:paraId="44889874"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STR1VE-EU (Type I, 1-2 </w:t>
            </w:r>
            <w:r w:rsidRPr="00AE3438">
              <w:rPr>
                <w:rFonts w:ascii="Arial Narrow" w:hAnsi="Arial Narrow"/>
                <w:i/>
                <w:iCs/>
                <w:sz w:val="20"/>
                <w:szCs w:val="20"/>
              </w:rPr>
              <w:t xml:space="preserve">SMN2 </w:t>
            </w:r>
            <w:r w:rsidRPr="00AE3438">
              <w:rPr>
                <w:rFonts w:ascii="Arial Narrow" w:hAnsi="Arial Narrow"/>
                <w:sz w:val="20"/>
                <w:szCs w:val="20"/>
              </w:rPr>
              <w:t>copies)</w:t>
            </w:r>
          </w:p>
          <w:p w14:paraId="474D7434"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BSID/WHO-MGRS, 18 months of age</w:t>
            </w:r>
          </w:p>
        </w:tc>
        <w:tc>
          <w:tcPr>
            <w:tcW w:w="1187" w:type="dxa"/>
            <w:shd w:val="clear" w:color="auto" w:fill="auto"/>
            <w:vAlign w:val="center"/>
          </w:tcPr>
          <w:p w14:paraId="016FD57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1/33 (3%)</w:t>
            </w:r>
          </w:p>
        </w:tc>
        <w:tc>
          <w:tcPr>
            <w:tcW w:w="940" w:type="dxa"/>
            <w:shd w:val="clear" w:color="auto" w:fill="auto"/>
            <w:vAlign w:val="center"/>
          </w:tcPr>
          <w:p w14:paraId="3A5D299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shd w:val="clear" w:color="auto" w:fill="auto"/>
            <w:vAlign w:val="center"/>
          </w:tcPr>
          <w:p w14:paraId="2312881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shd w:val="clear" w:color="auto" w:fill="auto"/>
            <w:vAlign w:val="center"/>
          </w:tcPr>
          <w:p w14:paraId="18FC8D3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shd w:val="clear" w:color="auto" w:fill="auto"/>
          </w:tcPr>
          <w:p w14:paraId="2BC13D4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387A8B22" w14:textId="77777777" w:rsidTr="00BD02D3">
        <w:tc>
          <w:tcPr>
            <w:tcW w:w="770" w:type="dxa"/>
            <w:vMerge w:val="restart"/>
            <w:vAlign w:val="center"/>
          </w:tcPr>
          <w:p w14:paraId="24601BCA" w14:textId="77777777" w:rsidR="00787B2D" w:rsidRPr="00AE3438" w:rsidRDefault="00787B2D" w:rsidP="00BD02D3">
            <w:pPr>
              <w:jc w:val="left"/>
              <w:rPr>
                <w:rFonts w:ascii="Arial Narrow" w:hAnsi="Arial Narrow"/>
                <w:b/>
                <w:sz w:val="20"/>
                <w:szCs w:val="20"/>
              </w:rPr>
            </w:pPr>
            <w:r w:rsidRPr="00AE3438">
              <w:rPr>
                <w:rFonts w:ascii="Arial Narrow" w:hAnsi="Arial Narrow"/>
                <w:b/>
                <w:sz w:val="20"/>
                <w:szCs w:val="20"/>
              </w:rPr>
              <w:t>NUSI</w:t>
            </w:r>
          </w:p>
        </w:tc>
        <w:tc>
          <w:tcPr>
            <w:tcW w:w="3761" w:type="dxa"/>
            <w:tcBorders>
              <w:bottom w:val="nil"/>
            </w:tcBorders>
            <w:shd w:val="clear" w:color="auto" w:fill="EAF1DD" w:themeFill="accent3" w:themeFillTint="33"/>
          </w:tcPr>
          <w:p w14:paraId="1616E622" w14:textId="77777777" w:rsidR="00787B2D" w:rsidRPr="00AE3438" w:rsidRDefault="00787B2D" w:rsidP="00BD02D3">
            <w:pPr>
              <w:rPr>
                <w:rFonts w:ascii="Arial Narrow" w:hAnsi="Arial Narrow"/>
                <w:sz w:val="20"/>
                <w:szCs w:val="20"/>
              </w:rPr>
            </w:pPr>
            <w:r w:rsidRPr="00AE3438">
              <w:rPr>
                <w:rFonts w:ascii="Arial Narrow" w:hAnsi="Arial Narrow"/>
                <w:b/>
                <w:bCs/>
                <w:color w:val="00B050"/>
                <w:sz w:val="20"/>
                <w:szCs w:val="20"/>
                <w:u w:val="single"/>
              </w:rPr>
              <w:t>Pre-symptomatic</w:t>
            </w:r>
            <w:r w:rsidRPr="00AE3438">
              <w:rPr>
                <w:rFonts w:ascii="Arial Narrow" w:hAnsi="Arial Narrow"/>
                <w:sz w:val="20"/>
                <w:szCs w:val="20"/>
                <w:u w:val="single"/>
              </w:rPr>
              <w:t xml:space="preserve"> treatment</w:t>
            </w:r>
          </w:p>
        </w:tc>
        <w:tc>
          <w:tcPr>
            <w:tcW w:w="1187" w:type="dxa"/>
            <w:tcBorders>
              <w:bottom w:val="nil"/>
            </w:tcBorders>
            <w:shd w:val="clear" w:color="auto" w:fill="EAF1DD" w:themeFill="accent3" w:themeFillTint="33"/>
            <w:vAlign w:val="center"/>
          </w:tcPr>
          <w:p w14:paraId="0787605A" w14:textId="77777777" w:rsidR="00787B2D" w:rsidRPr="00AE3438" w:rsidRDefault="00787B2D" w:rsidP="00BD02D3">
            <w:pPr>
              <w:jc w:val="center"/>
              <w:rPr>
                <w:rFonts w:ascii="Arial Narrow" w:hAnsi="Arial Narrow"/>
                <w:sz w:val="20"/>
                <w:szCs w:val="20"/>
              </w:rPr>
            </w:pPr>
          </w:p>
        </w:tc>
        <w:tc>
          <w:tcPr>
            <w:tcW w:w="940" w:type="dxa"/>
            <w:tcBorders>
              <w:bottom w:val="nil"/>
            </w:tcBorders>
            <w:shd w:val="clear" w:color="auto" w:fill="EAF1DD" w:themeFill="accent3" w:themeFillTint="33"/>
            <w:vAlign w:val="center"/>
          </w:tcPr>
          <w:p w14:paraId="6F88006F" w14:textId="77777777" w:rsidR="00787B2D" w:rsidRPr="00AE3438" w:rsidRDefault="00787B2D" w:rsidP="00BD02D3">
            <w:pPr>
              <w:jc w:val="center"/>
              <w:rPr>
                <w:rFonts w:ascii="Arial Narrow" w:hAnsi="Arial Narrow"/>
                <w:sz w:val="20"/>
                <w:szCs w:val="20"/>
              </w:rPr>
            </w:pPr>
          </w:p>
        </w:tc>
        <w:tc>
          <w:tcPr>
            <w:tcW w:w="1055" w:type="dxa"/>
            <w:tcBorders>
              <w:bottom w:val="nil"/>
            </w:tcBorders>
            <w:shd w:val="clear" w:color="auto" w:fill="EAF1DD" w:themeFill="accent3" w:themeFillTint="33"/>
            <w:vAlign w:val="center"/>
          </w:tcPr>
          <w:p w14:paraId="4F8594D0" w14:textId="77777777" w:rsidR="00787B2D" w:rsidRPr="00AE3438" w:rsidRDefault="00787B2D" w:rsidP="00BD02D3">
            <w:pPr>
              <w:jc w:val="center"/>
              <w:rPr>
                <w:rFonts w:ascii="Arial Narrow" w:hAnsi="Arial Narrow"/>
                <w:sz w:val="20"/>
                <w:szCs w:val="20"/>
              </w:rPr>
            </w:pPr>
          </w:p>
        </w:tc>
        <w:tc>
          <w:tcPr>
            <w:tcW w:w="977" w:type="dxa"/>
            <w:tcBorders>
              <w:bottom w:val="nil"/>
            </w:tcBorders>
            <w:shd w:val="clear" w:color="auto" w:fill="EAF1DD" w:themeFill="accent3" w:themeFillTint="33"/>
            <w:vAlign w:val="center"/>
          </w:tcPr>
          <w:p w14:paraId="52AADE61" w14:textId="77777777" w:rsidR="00787B2D" w:rsidRPr="00AE3438" w:rsidRDefault="00787B2D" w:rsidP="00BD02D3">
            <w:pPr>
              <w:jc w:val="center"/>
              <w:rPr>
                <w:rFonts w:ascii="Arial Narrow" w:hAnsi="Arial Narrow"/>
                <w:sz w:val="20"/>
                <w:szCs w:val="20"/>
              </w:rPr>
            </w:pPr>
          </w:p>
        </w:tc>
        <w:tc>
          <w:tcPr>
            <w:tcW w:w="327" w:type="dxa"/>
            <w:tcBorders>
              <w:bottom w:val="nil"/>
            </w:tcBorders>
            <w:shd w:val="clear" w:color="auto" w:fill="EAF1DD" w:themeFill="accent3" w:themeFillTint="33"/>
            <w:vAlign w:val="center"/>
          </w:tcPr>
          <w:p w14:paraId="002221E2" w14:textId="77777777" w:rsidR="00787B2D" w:rsidRPr="00AE3438" w:rsidRDefault="00787B2D" w:rsidP="00BD02D3">
            <w:pPr>
              <w:jc w:val="center"/>
              <w:rPr>
                <w:rFonts w:ascii="Arial Narrow" w:hAnsi="Arial Narrow"/>
                <w:sz w:val="20"/>
                <w:szCs w:val="20"/>
              </w:rPr>
            </w:pPr>
          </w:p>
        </w:tc>
      </w:tr>
      <w:tr w:rsidR="00787B2D" w:rsidRPr="00AE3438" w14:paraId="47BE2275" w14:textId="77777777" w:rsidTr="00BD02D3">
        <w:tc>
          <w:tcPr>
            <w:tcW w:w="770" w:type="dxa"/>
            <w:vMerge/>
          </w:tcPr>
          <w:p w14:paraId="50385B63" w14:textId="77777777" w:rsidR="00787B2D" w:rsidRPr="00AE3438" w:rsidRDefault="00787B2D" w:rsidP="00BD02D3">
            <w:pPr>
              <w:rPr>
                <w:rFonts w:ascii="Arial Narrow" w:hAnsi="Arial Narrow"/>
                <w:sz w:val="20"/>
                <w:szCs w:val="20"/>
              </w:rPr>
            </w:pPr>
          </w:p>
        </w:tc>
        <w:tc>
          <w:tcPr>
            <w:tcW w:w="3761" w:type="dxa"/>
            <w:tcBorders>
              <w:top w:val="nil"/>
            </w:tcBorders>
            <w:shd w:val="clear" w:color="auto" w:fill="EAF1DD" w:themeFill="accent3" w:themeFillTint="33"/>
          </w:tcPr>
          <w:p w14:paraId="1D16CA7F"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NURTURE (2-3 </w:t>
            </w:r>
            <w:r w:rsidRPr="00AE3438">
              <w:rPr>
                <w:rFonts w:ascii="Arial Narrow" w:hAnsi="Arial Narrow"/>
                <w:i/>
                <w:iCs/>
                <w:sz w:val="20"/>
                <w:szCs w:val="20"/>
              </w:rPr>
              <w:t>SMN2</w:t>
            </w:r>
            <w:r w:rsidRPr="00AE3438">
              <w:rPr>
                <w:rFonts w:ascii="Arial Narrow" w:hAnsi="Arial Narrow"/>
                <w:sz w:val="20"/>
                <w:szCs w:val="20"/>
              </w:rPr>
              <w:t xml:space="preserve"> copies)</w:t>
            </w:r>
          </w:p>
        </w:tc>
        <w:tc>
          <w:tcPr>
            <w:tcW w:w="1187" w:type="dxa"/>
            <w:tcBorders>
              <w:top w:val="nil"/>
            </w:tcBorders>
            <w:shd w:val="clear" w:color="auto" w:fill="EAF1DD" w:themeFill="accent3" w:themeFillTint="33"/>
            <w:vAlign w:val="center"/>
          </w:tcPr>
          <w:p w14:paraId="0E63225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tcBorders>
              <w:top w:val="nil"/>
            </w:tcBorders>
            <w:shd w:val="clear" w:color="auto" w:fill="EAF1DD" w:themeFill="accent3" w:themeFillTint="33"/>
            <w:vAlign w:val="center"/>
          </w:tcPr>
          <w:p w14:paraId="0C28F99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tcBorders>
              <w:top w:val="nil"/>
            </w:tcBorders>
            <w:shd w:val="clear" w:color="auto" w:fill="EAF1DD" w:themeFill="accent3" w:themeFillTint="33"/>
            <w:vAlign w:val="center"/>
          </w:tcPr>
          <w:p w14:paraId="1AFAC54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977" w:type="dxa"/>
            <w:tcBorders>
              <w:top w:val="nil"/>
            </w:tcBorders>
            <w:shd w:val="clear" w:color="auto" w:fill="EAF1DD" w:themeFill="accent3" w:themeFillTint="33"/>
            <w:vAlign w:val="center"/>
          </w:tcPr>
          <w:p w14:paraId="216E347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tcBorders>
              <w:top w:val="nil"/>
            </w:tcBorders>
            <w:shd w:val="clear" w:color="auto" w:fill="EAF1DD" w:themeFill="accent3" w:themeFillTint="33"/>
            <w:vAlign w:val="center"/>
          </w:tcPr>
          <w:p w14:paraId="1BDEA71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142F9F66" w14:textId="77777777" w:rsidTr="00BD02D3">
        <w:tc>
          <w:tcPr>
            <w:tcW w:w="770" w:type="dxa"/>
            <w:vMerge/>
          </w:tcPr>
          <w:p w14:paraId="643CC64E" w14:textId="77777777" w:rsidR="00787B2D" w:rsidRPr="00AE3438" w:rsidRDefault="00787B2D" w:rsidP="00BD02D3">
            <w:pPr>
              <w:rPr>
                <w:rFonts w:ascii="Arial Narrow" w:hAnsi="Arial Narrow"/>
                <w:sz w:val="20"/>
                <w:szCs w:val="20"/>
              </w:rPr>
            </w:pPr>
          </w:p>
        </w:tc>
        <w:tc>
          <w:tcPr>
            <w:tcW w:w="3761" w:type="dxa"/>
            <w:tcBorders>
              <w:bottom w:val="nil"/>
            </w:tcBorders>
          </w:tcPr>
          <w:p w14:paraId="0A909C72" w14:textId="77777777" w:rsidR="00787B2D" w:rsidRPr="00AE3438" w:rsidRDefault="00787B2D" w:rsidP="00BD02D3">
            <w:pPr>
              <w:rPr>
                <w:rFonts w:ascii="Arial Narrow" w:hAnsi="Arial Narrow"/>
                <w:sz w:val="20"/>
                <w:szCs w:val="20"/>
              </w:rPr>
            </w:pPr>
            <w:r w:rsidRPr="00AE3438">
              <w:rPr>
                <w:rFonts w:ascii="Arial Narrow" w:eastAsiaTheme="majorEastAsia" w:hAnsi="Arial Narrow" w:cstheme="majorBidi"/>
                <w:b/>
                <w:bCs/>
                <w:color w:val="D60093"/>
                <w:sz w:val="20"/>
                <w:szCs w:val="20"/>
                <w:u w:val="single"/>
              </w:rPr>
              <w:t>Symptomatic</w:t>
            </w:r>
            <w:r w:rsidRPr="00AE3438">
              <w:rPr>
                <w:rFonts w:ascii="Arial Narrow" w:eastAsiaTheme="majorEastAsia" w:hAnsi="Arial Narrow" w:cstheme="majorBidi"/>
                <w:color w:val="D60093"/>
                <w:sz w:val="20"/>
                <w:szCs w:val="20"/>
                <w:u w:val="single"/>
              </w:rPr>
              <w:t xml:space="preserve"> </w:t>
            </w:r>
            <w:r w:rsidRPr="00AE3438">
              <w:rPr>
                <w:rFonts w:ascii="Arial Narrow" w:hAnsi="Arial Narrow"/>
                <w:sz w:val="20"/>
                <w:szCs w:val="20"/>
                <w:u w:val="single"/>
              </w:rPr>
              <w:t>treatment – HINE-2</w:t>
            </w:r>
          </w:p>
        </w:tc>
        <w:tc>
          <w:tcPr>
            <w:tcW w:w="1187" w:type="dxa"/>
            <w:tcBorders>
              <w:bottom w:val="nil"/>
            </w:tcBorders>
            <w:vAlign w:val="center"/>
          </w:tcPr>
          <w:p w14:paraId="68CE696C" w14:textId="77777777" w:rsidR="00787B2D" w:rsidRPr="00AE3438" w:rsidRDefault="00787B2D" w:rsidP="00BD02D3">
            <w:pPr>
              <w:jc w:val="center"/>
              <w:rPr>
                <w:rFonts w:ascii="Arial Narrow" w:hAnsi="Arial Narrow"/>
                <w:sz w:val="20"/>
                <w:szCs w:val="20"/>
              </w:rPr>
            </w:pPr>
          </w:p>
        </w:tc>
        <w:tc>
          <w:tcPr>
            <w:tcW w:w="940" w:type="dxa"/>
            <w:tcBorders>
              <w:bottom w:val="nil"/>
            </w:tcBorders>
            <w:vAlign w:val="center"/>
          </w:tcPr>
          <w:p w14:paraId="51AF5449" w14:textId="77777777" w:rsidR="00787B2D" w:rsidRPr="00AE3438" w:rsidRDefault="00787B2D" w:rsidP="00BD02D3">
            <w:pPr>
              <w:jc w:val="center"/>
              <w:rPr>
                <w:rFonts w:ascii="Arial Narrow" w:hAnsi="Arial Narrow"/>
                <w:sz w:val="20"/>
                <w:szCs w:val="20"/>
              </w:rPr>
            </w:pPr>
          </w:p>
        </w:tc>
        <w:tc>
          <w:tcPr>
            <w:tcW w:w="1055" w:type="dxa"/>
            <w:tcBorders>
              <w:bottom w:val="nil"/>
            </w:tcBorders>
            <w:vAlign w:val="center"/>
          </w:tcPr>
          <w:p w14:paraId="4E415E9E" w14:textId="77777777" w:rsidR="00787B2D" w:rsidRPr="00AE3438" w:rsidRDefault="00787B2D" w:rsidP="00BD02D3">
            <w:pPr>
              <w:jc w:val="center"/>
              <w:rPr>
                <w:rFonts w:ascii="Arial Narrow" w:hAnsi="Arial Narrow"/>
                <w:sz w:val="20"/>
                <w:szCs w:val="20"/>
              </w:rPr>
            </w:pPr>
          </w:p>
        </w:tc>
        <w:tc>
          <w:tcPr>
            <w:tcW w:w="977" w:type="dxa"/>
            <w:tcBorders>
              <w:bottom w:val="nil"/>
            </w:tcBorders>
            <w:vAlign w:val="center"/>
          </w:tcPr>
          <w:p w14:paraId="3CD7B508" w14:textId="77777777" w:rsidR="00787B2D" w:rsidRPr="00AE3438" w:rsidRDefault="00787B2D" w:rsidP="00BD02D3">
            <w:pPr>
              <w:jc w:val="center"/>
              <w:rPr>
                <w:rFonts w:ascii="Arial Narrow" w:hAnsi="Arial Narrow"/>
                <w:sz w:val="20"/>
                <w:szCs w:val="20"/>
              </w:rPr>
            </w:pPr>
          </w:p>
        </w:tc>
        <w:tc>
          <w:tcPr>
            <w:tcW w:w="327" w:type="dxa"/>
            <w:tcBorders>
              <w:bottom w:val="nil"/>
            </w:tcBorders>
            <w:vAlign w:val="center"/>
          </w:tcPr>
          <w:p w14:paraId="3A48C162" w14:textId="77777777" w:rsidR="00787B2D" w:rsidRPr="00AE3438" w:rsidRDefault="00787B2D" w:rsidP="00BD02D3">
            <w:pPr>
              <w:jc w:val="center"/>
              <w:rPr>
                <w:rFonts w:ascii="Arial Narrow" w:hAnsi="Arial Narrow"/>
                <w:sz w:val="20"/>
                <w:szCs w:val="20"/>
              </w:rPr>
            </w:pPr>
          </w:p>
        </w:tc>
      </w:tr>
      <w:tr w:rsidR="00787B2D" w:rsidRPr="00AE3438" w14:paraId="240FE976" w14:textId="77777777" w:rsidTr="00BD02D3">
        <w:tc>
          <w:tcPr>
            <w:tcW w:w="770" w:type="dxa"/>
            <w:vMerge/>
          </w:tcPr>
          <w:p w14:paraId="0202DAE2" w14:textId="77777777" w:rsidR="00787B2D" w:rsidRPr="00AE3438" w:rsidRDefault="00787B2D" w:rsidP="00BD02D3">
            <w:pPr>
              <w:rPr>
                <w:rFonts w:ascii="Arial Narrow" w:hAnsi="Arial Narrow"/>
                <w:sz w:val="20"/>
                <w:szCs w:val="20"/>
              </w:rPr>
            </w:pPr>
          </w:p>
        </w:tc>
        <w:tc>
          <w:tcPr>
            <w:tcW w:w="3761" w:type="dxa"/>
            <w:tcBorders>
              <w:top w:val="nil"/>
            </w:tcBorders>
          </w:tcPr>
          <w:p w14:paraId="4293C6E0"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ENDEAR (Type I, 2 </w:t>
            </w:r>
            <w:r w:rsidRPr="00AE3438">
              <w:rPr>
                <w:rFonts w:ascii="Arial Narrow" w:hAnsi="Arial Narrow"/>
                <w:i/>
                <w:iCs/>
                <w:sz w:val="20"/>
                <w:szCs w:val="20"/>
              </w:rPr>
              <w:t xml:space="preserve">SMN2 </w:t>
            </w:r>
            <w:r w:rsidRPr="00AE3438">
              <w:rPr>
                <w:rFonts w:ascii="Arial Narrow" w:hAnsi="Arial Narrow"/>
                <w:sz w:val="20"/>
                <w:szCs w:val="20"/>
              </w:rPr>
              <w:t>copies)</w:t>
            </w:r>
          </w:p>
          <w:p w14:paraId="3A4150C0"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median follow-up: NUSI 280 days, control 187 days</w:t>
            </w:r>
          </w:p>
        </w:tc>
        <w:tc>
          <w:tcPr>
            <w:tcW w:w="1187" w:type="dxa"/>
            <w:tcBorders>
              <w:top w:val="nil"/>
            </w:tcBorders>
            <w:vAlign w:val="center"/>
          </w:tcPr>
          <w:p w14:paraId="76C3AA4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tcBorders>
              <w:top w:val="nil"/>
            </w:tcBorders>
            <w:vAlign w:val="center"/>
          </w:tcPr>
          <w:p w14:paraId="4B67EEB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0/40 (0%)</w:t>
            </w:r>
          </w:p>
        </w:tc>
        <w:tc>
          <w:tcPr>
            <w:tcW w:w="1055" w:type="dxa"/>
            <w:tcBorders>
              <w:top w:val="nil"/>
            </w:tcBorders>
            <w:vAlign w:val="center"/>
          </w:tcPr>
          <w:p w14:paraId="6D3D8745" w14:textId="77777777" w:rsidR="00787B2D" w:rsidRPr="00AE3438" w:rsidRDefault="00787B2D" w:rsidP="00BD02D3">
            <w:pPr>
              <w:jc w:val="center"/>
              <w:rPr>
                <w:rFonts w:ascii="Arial Narrow" w:hAnsi="Arial Narrow"/>
                <w:sz w:val="20"/>
                <w:szCs w:val="20"/>
              </w:rPr>
            </w:pPr>
            <w:r w:rsidRPr="00AE3438">
              <w:rPr>
                <w:rFonts w:ascii="Arial Narrow" w:hAnsi="Arial Narrow"/>
                <w:i/>
                <w:sz w:val="20"/>
                <w:szCs w:val="20"/>
              </w:rPr>
              <w:t>0/84 (0%)</w:t>
            </w:r>
            <w:r w:rsidRPr="00AE3438">
              <w:rPr>
                <w:rFonts w:ascii="Arial Narrow" w:hAnsi="Arial Narrow"/>
                <w:sz w:val="20"/>
                <w:szCs w:val="20"/>
                <w:vertAlign w:val="superscript"/>
              </w:rPr>
              <w:t>f</w:t>
            </w:r>
          </w:p>
        </w:tc>
        <w:tc>
          <w:tcPr>
            <w:tcW w:w="977" w:type="dxa"/>
            <w:tcBorders>
              <w:top w:val="nil"/>
            </w:tcBorders>
            <w:vAlign w:val="center"/>
          </w:tcPr>
          <w:p w14:paraId="6C7B430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tcBorders>
              <w:top w:val="nil"/>
            </w:tcBorders>
            <w:vAlign w:val="center"/>
          </w:tcPr>
          <w:p w14:paraId="4FC718D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sym w:font="Wingdings" w:char="F0FC"/>
            </w:r>
          </w:p>
        </w:tc>
      </w:tr>
      <w:tr w:rsidR="00787B2D" w:rsidRPr="00AE3438" w14:paraId="0D100967" w14:textId="77777777" w:rsidTr="00BD02D3">
        <w:tc>
          <w:tcPr>
            <w:tcW w:w="770" w:type="dxa"/>
            <w:vMerge/>
          </w:tcPr>
          <w:p w14:paraId="117C1E0D" w14:textId="77777777" w:rsidR="00787B2D" w:rsidRPr="00AE3438" w:rsidRDefault="00787B2D" w:rsidP="00BD02D3">
            <w:pPr>
              <w:rPr>
                <w:rFonts w:ascii="Arial Narrow" w:hAnsi="Arial Narrow"/>
                <w:sz w:val="20"/>
                <w:szCs w:val="20"/>
              </w:rPr>
            </w:pPr>
          </w:p>
        </w:tc>
        <w:tc>
          <w:tcPr>
            <w:tcW w:w="3761" w:type="dxa"/>
          </w:tcPr>
          <w:p w14:paraId="61998574"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CS3A (Type I, 2-3 </w:t>
            </w:r>
            <w:r w:rsidRPr="00AE3438">
              <w:rPr>
                <w:rFonts w:ascii="Arial Narrow" w:hAnsi="Arial Narrow"/>
                <w:i/>
                <w:iCs/>
                <w:sz w:val="20"/>
                <w:szCs w:val="20"/>
              </w:rPr>
              <w:t xml:space="preserve">SMN2 </w:t>
            </w:r>
            <w:r w:rsidRPr="00AE3438">
              <w:rPr>
                <w:rFonts w:ascii="Arial Narrow" w:hAnsi="Arial Narrow"/>
                <w:sz w:val="20"/>
                <w:szCs w:val="20"/>
              </w:rPr>
              <w:t>copies)</w:t>
            </w:r>
          </w:p>
          <w:p w14:paraId="59A19DD6"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median (range) time on study 36.2 (2-46.9) months</w:t>
            </w:r>
          </w:p>
        </w:tc>
        <w:tc>
          <w:tcPr>
            <w:tcW w:w="1187" w:type="dxa"/>
            <w:vAlign w:val="center"/>
          </w:tcPr>
          <w:p w14:paraId="28310DC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vAlign w:val="center"/>
          </w:tcPr>
          <w:p w14:paraId="7CE99E5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vAlign w:val="center"/>
          </w:tcPr>
          <w:p w14:paraId="296C9220" w14:textId="77777777" w:rsidR="00787B2D" w:rsidRPr="00AE3438" w:rsidRDefault="00787B2D" w:rsidP="00BD02D3">
            <w:pPr>
              <w:jc w:val="center"/>
              <w:rPr>
                <w:rFonts w:ascii="Arial Narrow" w:hAnsi="Arial Narrow"/>
                <w:i/>
                <w:sz w:val="20"/>
                <w:szCs w:val="20"/>
              </w:rPr>
            </w:pPr>
            <w:r w:rsidRPr="00AE3438">
              <w:rPr>
                <w:rFonts w:ascii="Arial Narrow" w:hAnsi="Arial Narrow"/>
                <w:i/>
                <w:sz w:val="20"/>
                <w:szCs w:val="20"/>
              </w:rPr>
              <w:t>1/19 (5.3%)</w:t>
            </w:r>
            <w:r w:rsidRPr="00AE3438">
              <w:rPr>
                <w:rFonts w:ascii="Arial Narrow" w:hAnsi="Arial Narrow"/>
                <w:i/>
                <w:sz w:val="20"/>
                <w:szCs w:val="20"/>
                <w:vertAlign w:val="superscript"/>
              </w:rPr>
              <w:t>g</w:t>
            </w:r>
          </w:p>
        </w:tc>
        <w:tc>
          <w:tcPr>
            <w:tcW w:w="977" w:type="dxa"/>
            <w:vAlign w:val="center"/>
          </w:tcPr>
          <w:p w14:paraId="452EAEB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vAlign w:val="center"/>
          </w:tcPr>
          <w:p w14:paraId="2AF17B3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44FDBD95" w14:textId="77777777" w:rsidTr="00BD02D3">
        <w:tc>
          <w:tcPr>
            <w:tcW w:w="770" w:type="dxa"/>
            <w:vMerge/>
          </w:tcPr>
          <w:p w14:paraId="3B457EE6" w14:textId="77777777" w:rsidR="00787B2D" w:rsidRPr="00AE3438" w:rsidRDefault="00787B2D" w:rsidP="00BD02D3">
            <w:pPr>
              <w:rPr>
                <w:rFonts w:ascii="Arial Narrow" w:hAnsi="Arial Narrow"/>
                <w:sz w:val="20"/>
                <w:szCs w:val="20"/>
              </w:rPr>
            </w:pPr>
          </w:p>
        </w:tc>
        <w:tc>
          <w:tcPr>
            <w:tcW w:w="3761" w:type="dxa"/>
          </w:tcPr>
          <w:p w14:paraId="74220628"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CS2 (Type II or III, 2-4 </w:t>
            </w:r>
            <w:r w:rsidRPr="00AE3438">
              <w:rPr>
                <w:rFonts w:ascii="Arial Narrow" w:hAnsi="Arial Narrow"/>
                <w:i/>
                <w:iCs/>
                <w:sz w:val="20"/>
                <w:szCs w:val="20"/>
              </w:rPr>
              <w:t xml:space="preserve">SMN2 </w:t>
            </w:r>
            <w:r w:rsidRPr="00AE3438">
              <w:rPr>
                <w:rFonts w:ascii="Arial Narrow" w:hAnsi="Arial Narrow"/>
                <w:sz w:val="20"/>
                <w:szCs w:val="20"/>
              </w:rPr>
              <w:t>copies)</w:t>
            </w:r>
          </w:p>
        </w:tc>
        <w:tc>
          <w:tcPr>
            <w:tcW w:w="1187" w:type="dxa"/>
            <w:vAlign w:val="center"/>
          </w:tcPr>
          <w:p w14:paraId="58532D1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vAlign w:val="center"/>
          </w:tcPr>
          <w:p w14:paraId="09F6595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vAlign w:val="center"/>
          </w:tcPr>
          <w:p w14:paraId="4ACD89F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977" w:type="dxa"/>
          </w:tcPr>
          <w:p w14:paraId="4A318C4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vAlign w:val="center"/>
          </w:tcPr>
          <w:p w14:paraId="69DFAD0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0CC3961E" w14:textId="77777777" w:rsidTr="00BD02D3">
        <w:tc>
          <w:tcPr>
            <w:tcW w:w="770" w:type="dxa"/>
            <w:vMerge/>
          </w:tcPr>
          <w:p w14:paraId="555EE760" w14:textId="77777777" w:rsidR="00787B2D" w:rsidRPr="00AE3438" w:rsidRDefault="00787B2D" w:rsidP="00BD02D3">
            <w:pPr>
              <w:rPr>
                <w:rFonts w:ascii="Arial Narrow" w:hAnsi="Arial Narrow"/>
                <w:sz w:val="20"/>
                <w:szCs w:val="20"/>
              </w:rPr>
            </w:pPr>
          </w:p>
        </w:tc>
        <w:tc>
          <w:tcPr>
            <w:tcW w:w="3761" w:type="dxa"/>
          </w:tcPr>
          <w:p w14:paraId="34DF3D72"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CS2/CS12 (Type II or III, 2-4 </w:t>
            </w:r>
            <w:r w:rsidRPr="00AE3438">
              <w:rPr>
                <w:rFonts w:ascii="Arial Narrow" w:hAnsi="Arial Narrow"/>
                <w:i/>
                <w:iCs/>
                <w:sz w:val="20"/>
                <w:szCs w:val="20"/>
              </w:rPr>
              <w:t xml:space="preserve">SMN2 </w:t>
            </w:r>
            <w:r w:rsidRPr="00AE3438">
              <w:rPr>
                <w:rFonts w:ascii="Arial Narrow" w:hAnsi="Arial Narrow"/>
                <w:sz w:val="20"/>
                <w:szCs w:val="20"/>
              </w:rPr>
              <w:t>copies)</w:t>
            </w:r>
          </w:p>
        </w:tc>
        <w:tc>
          <w:tcPr>
            <w:tcW w:w="1187" w:type="dxa"/>
          </w:tcPr>
          <w:p w14:paraId="734503A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vAlign w:val="center"/>
          </w:tcPr>
          <w:p w14:paraId="39A9CADA" w14:textId="77777777" w:rsidR="00787B2D" w:rsidRPr="00AE3438" w:rsidRDefault="00787B2D" w:rsidP="00BD02D3">
            <w:pPr>
              <w:jc w:val="center"/>
              <w:rPr>
                <w:rFonts w:ascii="Arial Narrow" w:hAnsi="Arial Narrow"/>
                <w:sz w:val="20"/>
                <w:szCs w:val="20"/>
              </w:rPr>
            </w:pPr>
          </w:p>
        </w:tc>
        <w:tc>
          <w:tcPr>
            <w:tcW w:w="1055" w:type="dxa"/>
            <w:vAlign w:val="center"/>
          </w:tcPr>
          <w:p w14:paraId="41D7D50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977" w:type="dxa"/>
          </w:tcPr>
          <w:p w14:paraId="101534F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vAlign w:val="center"/>
          </w:tcPr>
          <w:p w14:paraId="189E522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sym w:font="Wingdings" w:char="F0FC"/>
            </w:r>
          </w:p>
        </w:tc>
      </w:tr>
      <w:tr w:rsidR="00787B2D" w:rsidRPr="00AE3438" w14:paraId="0D2E9BC7" w14:textId="77777777" w:rsidTr="00BD02D3">
        <w:tc>
          <w:tcPr>
            <w:tcW w:w="770" w:type="dxa"/>
            <w:vMerge/>
          </w:tcPr>
          <w:p w14:paraId="4662A37D" w14:textId="77777777" w:rsidR="00787B2D" w:rsidRPr="00AE3438" w:rsidRDefault="00787B2D" w:rsidP="00BD02D3">
            <w:pPr>
              <w:rPr>
                <w:rFonts w:ascii="Arial Narrow" w:hAnsi="Arial Narrow"/>
                <w:sz w:val="20"/>
                <w:szCs w:val="20"/>
              </w:rPr>
            </w:pPr>
          </w:p>
        </w:tc>
        <w:tc>
          <w:tcPr>
            <w:tcW w:w="3761" w:type="dxa"/>
          </w:tcPr>
          <w:p w14:paraId="5126BACA"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CHERISH (Type II or III, 2-4 </w:t>
            </w:r>
            <w:r w:rsidRPr="00AE3438">
              <w:rPr>
                <w:rFonts w:ascii="Arial Narrow" w:hAnsi="Arial Narrow"/>
                <w:i/>
                <w:iCs/>
                <w:sz w:val="20"/>
                <w:szCs w:val="20"/>
              </w:rPr>
              <w:t xml:space="preserve">SMN2 </w:t>
            </w:r>
            <w:r w:rsidRPr="00AE3438">
              <w:rPr>
                <w:rFonts w:ascii="Arial Narrow" w:hAnsi="Arial Narrow"/>
                <w:sz w:val="20"/>
                <w:szCs w:val="20"/>
              </w:rPr>
              <w:t>copies)</w:t>
            </w:r>
          </w:p>
          <w:p w14:paraId="55D8C30E"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WHO-MGRS, 79% in NUSI and 81% in control completed 15-month assessment</w:t>
            </w:r>
          </w:p>
        </w:tc>
        <w:tc>
          <w:tcPr>
            <w:tcW w:w="1187" w:type="dxa"/>
            <w:vAlign w:val="center"/>
          </w:tcPr>
          <w:p w14:paraId="77BFCA9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vAlign w:val="center"/>
          </w:tcPr>
          <w:p w14:paraId="13CC399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1/42 (2.4%)</w:t>
            </w:r>
          </w:p>
        </w:tc>
        <w:tc>
          <w:tcPr>
            <w:tcW w:w="1055" w:type="dxa"/>
            <w:vAlign w:val="center"/>
          </w:tcPr>
          <w:p w14:paraId="1CCACA0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1/84 (1.2%)</w:t>
            </w:r>
          </w:p>
        </w:tc>
        <w:tc>
          <w:tcPr>
            <w:tcW w:w="977" w:type="dxa"/>
            <w:vAlign w:val="center"/>
          </w:tcPr>
          <w:p w14:paraId="2AB606E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vAlign w:val="center"/>
          </w:tcPr>
          <w:p w14:paraId="2434806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2BEE4588" w14:textId="77777777" w:rsidTr="00BD02D3">
        <w:tc>
          <w:tcPr>
            <w:tcW w:w="770" w:type="dxa"/>
            <w:vMerge/>
          </w:tcPr>
          <w:p w14:paraId="501AE926" w14:textId="77777777" w:rsidR="00787B2D" w:rsidRPr="00AE3438" w:rsidRDefault="00787B2D" w:rsidP="00BD02D3">
            <w:pPr>
              <w:rPr>
                <w:rFonts w:ascii="Arial Narrow" w:hAnsi="Arial Narrow"/>
                <w:sz w:val="20"/>
                <w:szCs w:val="20"/>
              </w:rPr>
            </w:pPr>
          </w:p>
        </w:tc>
        <w:tc>
          <w:tcPr>
            <w:tcW w:w="3761" w:type="dxa"/>
          </w:tcPr>
          <w:p w14:paraId="336F3810"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EMBRACE (Part 1) (2-3 </w:t>
            </w:r>
            <w:r w:rsidRPr="00AE3438">
              <w:rPr>
                <w:rFonts w:ascii="Arial Narrow" w:hAnsi="Arial Narrow"/>
                <w:i/>
                <w:iCs/>
                <w:sz w:val="20"/>
                <w:szCs w:val="20"/>
              </w:rPr>
              <w:t>SMN2</w:t>
            </w:r>
            <w:r w:rsidRPr="00AE3438">
              <w:rPr>
                <w:rFonts w:ascii="Arial Narrow" w:hAnsi="Arial Narrow"/>
                <w:sz w:val="20"/>
                <w:szCs w:val="20"/>
              </w:rPr>
              <w:t xml:space="preserve"> copies)</w:t>
            </w:r>
          </w:p>
          <w:p w14:paraId="4CC68ECF" w14:textId="77777777" w:rsidR="00787B2D" w:rsidRPr="00054F33" w:rsidRDefault="00787B2D" w:rsidP="00BD02D3">
            <w:pPr>
              <w:rPr>
                <w:rFonts w:ascii="Arial Narrow" w:hAnsi="Arial Narrow"/>
                <w:iCs/>
                <w:sz w:val="20"/>
                <w:szCs w:val="20"/>
              </w:rPr>
            </w:pPr>
            <w:r w:rsidRPr="00054F33">
              <w:rPr>
                <w:rFonts w:ascii="Arial Narrow" w:hAnsi="Arial Narrow"/>
                <w:iCs/>
                <w:sz w:val="20"/>
                <w:szCs w:val="20"/>
              </w:rPr>
              <w:t>14-month assessment</w:t>
            </w:r>
          </w:p>
        </w:tc>
        <w:tc>
          <w:tcPr>
            <w:tcW w:w="1187" w:type="dxa"/>
            <w:vAlign w:val="center"/>
          </w:tcPr>
          <w:p w14:paraId="7861829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vAlign w:val="center"/>
          </w:tcPr>
          <w:p w14:paraId="4FDC1AE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2/7 (28.6%)</w:t>
            </w:r>
          </w:p>
        </w:tc>
        <w:tc>
          <w:tcPr>
            <w:tcW w:w="1055" w:type="dxa"/>
            <w:vAlign w:val="center"/>
          </w:tcPr>
          <w:p w14:paraId="4A00B20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2/14 (14.3%)</w:t>
            </w:r>
          </w:p>
        </w:tc>
        <w:tc>
          <w:tcPr>
            <w:tcW w:w="977" w:type="dxa"/>
            <w:vAlign w:val="center"/>
          </w:tcPr>
          <w:p w14:paraId="17B9E95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327" w:type="dxa"/>
            <w:vAlign w:val="center"/>
          </w:tcPr>
          <w:p w14:paraId="523A918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3E6DF0BF" w14:textId="77777777" w:rsidTr="00BD02D3">
        <w:tc>
          <w:tcPr>
            <w:tcW w:w="770" w:type="dxa"/>
            <w:vMerge w:val="restart"/>
            <w:vAlign w:val="center"/>
          </w:tcPr>
          <w:p w14:paraId="6EEE498C" w14:textId="77777777" w:rsidR="00787B2D" w:rsidRPr="00AE3438" w:rsidRDefault="00787B2D" w:rsidP="00BD02D3">
            <w:pPr>
              <w:jc w:val="left"/>
              <w:rPr>
                <w:rFonts w:ascii="Arial Narrow" w:hAnsi="Arial Narrow"/>
                <w:b/>
                <w:sz w:val="20"/>
                <w:szCs w:val="20"/>
              </w:rPr>
            </w:pPr>
            <w:r w:rsidRPr="00AE3438">
              <w:rPr>
                <w:rFonts w:ascii="Arial Narrow" w:hAnsi="Arial Narrow"/>
                <w:b/>
                <w:sz w:val="20"/>
                <w:szCs w:val="20"/>
              </w:rPr>
              <w:t>RISD</w:t>
            </w:r>
          </w:p>
        </w:tc>
        <w:tc>
          <w:tcPr>
            <w:tcW w:w="3761" w:type="dxa"/>
            <w:tcBorders>
              <w:bottom w:val="nil"/>
            </w:tcBorders>
            <w:shd w:val="clear" w:color="auto" w:fill="EAF1DD" w:themeFill="accent3" w:themeFillTint="33"/>
          </w:tcPr>
          <w:p w14:paraId="46886337" w14:textId="77777777" w:rsidR="00787B2D" w:rsidRPr="00AE3438" w:rsidRDefault="00787B2D" w:rsidP="00BD02D3">
            <w:pPr>
              <w:rPr>
                <w:rFonts w:ascii="Arial Narrow" w:hAnsi="Arial Narrow"/>
                <w:sz w:val="20"/>
                <w:szCs w:val="20"/>
                <w:u w:val="single"/>
              </w:rPr>
            </w:pPr>
            <w:r w:rsidRPr="00AE3438">
              <w:rPr>
                <w:rFonts w:ascii="Arial Narrow" w:hAnsi="Arial Narrow"/>
                <w:b/>
                <w:bCs/>
                <w:color w:val="00B050"/>
                <w:sz w:val="20"/>
                <w:szCs w:val="20"/>
                <w:u w:val="single"/>
              </w:rPr>
              <w:t>Pre-symptomatic</w:t>
            </w:r>
            <w:r w:rsidRPr="00AE3438">
              <w:rPr>
                <w:rFonts w:ascii="Arial Narrow" w:hAnsi="Arial Narrow"/>
                <w:color w:val="00B050"/>
                <w:sz w:val="20"/>
                <w:szCs w:val="20"/>
                <w:u w:val="single"/>
              </w:rPr>
              <w:t xml:space="preserve"> </w:t>
            </w:r>
            <w:r w:rsidRPr="00AE3438">
              <w:rPr>
                <w:rFonts w:ascii="Arial Narrow" w:hAnsi="Arial Narrow"/>
                <w:sz w:val="20"/>
                <w:szCs w:val="20"/>
                <w:u w:val="single"/>
              </w:rPr>
              <w:t>treatment</w:t>
            </w:r>
          </w:p>
        </w:tc>
        <w:tc>
          <w:tcPr>
            <w:tcW w:w="1187" w:type="dxa"/>
            <w:tcBorders>
              <w:bottom w:val="nil"/>
            </w:tcBorders>
            <w:shd w:val="clear" w:color="auto" w:fill="EAF1DD" w:themeFill="accent3" w:themeFillTint="33"/>
            <w:vAlign w:val="center"/>
          </w:tcPr>
          <w:p w14:paraId="7953096C" w14:textId="77777777" w:rsidR="00787B2D" w:rsidRPr="00AE3438" w:rsidRDefault="00787B2D" w:rsidP="00BD02D3">
            <w:pPr>
              <w:jc w:val="center"/>
              <w:rPr>
                <w:rFonts w:ascii="Arial Narrow" w:hAnsi="Arial Narrow"/>
                <w:sz w:val="20"/>
                <w:szCs w:val="20"/>
              </w:rPr>
            </w:pPr>
          </w:p>
        </w:tc>
        <w:tc>
          <w:tcPr>
            <w:tcW w:w="940" w:type="dxa"/>
            <w:tcBorders>
              <w:bottom w:val="nil"/>
            </w:tcBorders>
            <w:shd w:val="clear" w:color="auto" w:fill="EAF1DD" w:themeFill="accent3" w:themeFillTint="33"/>
            <w:vAlign w:val="center"/>
          </w:tcPr>
          <w:p w14:paraId="019D6947" w14:textId="77777777" w:rsidR="00787B2D" w:rsidRPr="00AE3438" w:rsidRDefault="00787B2D" w:rsidP="00BD02D3">
            <w:pPr>
              <w:jc w:val="center"/>
              <w:rPr>
                <w:rFonts w:ascii="Arial Narrow" w:hAnsi="Arial Narrow"/>
                <w:sz w:val="20"/>
                <w:szCs w:val="20"/>
              </w:rPr>
            </w:pPr>
          </w:p>
        </w:tc>
        <w:tc>
          <w:tcPr>
            <w:tcW w:w="1055" w:type="dxa"/>
            <w:tcBorders>
              <w:bottom w:val="nil"/>
            </w:tcBorders>
            <w:shd w:val="clear" w:color="auto" w:fill="EAF1DD" w:themeFill="accent3" w:themeFillTint="33"/>
            <w:vAlign w:val="center"/>
          </w:tcPr>
          <w:p w14:paraId="0EDC71C8" w14:textId="77777777" w:rsidR="00787B2D" w:rsidRPr="00AE3438" w:rsidRDefault="00787B2D" w:rsidP="00BD02D3">
            <w:pPr>
              <w:jc w:val="center"/>
              <w:rPr>
                <w:rFonts w:ascii="Arial Narrow" w:hAnsi="Arial Narrow"/>
                <w:sz w:val="20"/>
                <w:szCs w:val="20"/>
              </w:rPr>
            </w:pPr>
          </w:p>
        </w:tc>
        <w:tc>
          <w:tcPr>
            <w:tcW w:w="977" w:type="dxa"/>
            <w:tcBorders>
              <w:bottom w:val="nil"/>
            </w:tcBorders>
            <w:shd w:val="clear" w:color="auto" w:fill="EAF1DD" w:themeFill="accent3" w:themeFillTint="33"/>
            <w:vAlign w:val="center"/>
          </w:tcPr>
          <w:p w14:paraId="3A05C6D9" w14:textId="77777777" w:rsidR="00787B2D" w:rsidRPr="00AE3438" w:rsidRDefault="00787B2D" w:rsidP="00BD02D3">
            <w:pPr>
              <w:jc w:val="center"/>
              <w:rPr>
                <w:rFonts w:ascii="Arial Narrow" w:hAnsi="Arial Narrow"/>
                <w:sz w:val="20"/>
                <w:szCs w:val="20"/>
              </w:rPr>
            </w:pPr>
          </w:p>
        </w:tc>
        <w:tc>
          <w:tcPr>
            <w:tcW w:w="327" w:type="dxa"/>
            <w:tcBorders>
              <w:bottom w:val="nil"/>
            </w:tcBorders>
            <w:shd w:val="clear" w:color="auto" w:fill="EAF1DD" w:themeFill="accent3" w:themeFillTint="33"/>
            <w:vAlign w:val="center"/>
          </w:tcPr>
          <w:p w14:paraId="0AAA32DD" w14:textId="77777777" w:rsidR="00787B2D" w:rsidRPr="00AE3438" w:rsidRDefault="00787B2D" w:rsidP="00BD02D3">
            <w:pPr>
              <w:jc w:val="center"/>
              <w:rPr>
                <w:rFonts w:ascii="Arial Narrow" w:hAnsi="Arial Narrow"/>
                <w:sz w:val="20"/>
                <w:szCs w:val="20"/>
              </w:rPr>
            </w:pPr>
          </w:p>
        </w:tc>
      </w:tr>
      <w:tr w:rsidR="00787B2D" w:rsidRPr="00AE3438" w14:paraId="241B6D86" w14:textId="77777777" w:rsidTr="00BD02D3">
        <w:tc>
          <w:tcPr>
            <w:tcW w:w="770" w:type="dxa"/>
            <w:vMerge/>
          </w:tcPr>
          <w:p w14:paraId="1AB9AC86" w14:textId="77777777" w:rsidR="00787B2D" w:rsidRPr="00AE3438" w:rsidRDefault="00787B2D" w:rsidP="00BD02D3">
            <w:pPr>
              <w:rPr>
                <w:rFonts w:ascii="Arial Narrow" w:hAnsi="Arial Narrow"/>
                <w:sz w:val="20"/>
                <w:szCs w:val="20"/>
              </w:rPr>
            </w:pPr>
          </w:p>
        </w:tc>
        <w:tc>
          <w:tcPr>
            <w:tcW w:w="3761" w:type="dxa"/>
            <w:tcBorders>
              <w:top w:val="nil"/>
              <w:bottom w:val="nil"/>
            </w:tcBorders>
            <w:shd w:val="clear" w:color="auto" w:fill="EAF1DD" w:themeFill="accent3" w:themeFillTint="33"/>
          </w:tcPr>
          <w:p w14:paraId="601C620D"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RAINBOWFISH – HINE-2 </w:t>
            </w:r>
          </w:p>
        </w:tc>
        <w:tc>
          <w:tcPr>
            <w:tcW w:w="1187" w:type="dxa"/>
            <w:tcBorders>
              <w:top w:val="nil"/>
              <w:bottom w:val="nil"/>
            </w:tcBorders>
            <w:shd w:val="clear" w:color="auto" w:fill="EAF1DD" w:themeFill="accent3" w:themeFillTint="33"/>
            <w:vAlign w:val="center"/>
          </w:tcPr>
          <w:p w14:paraId="3BEA709A" w14:textId="77777777" w:rsidR="00787B2D" w:rsidRPr="00AE3438" w:rsidRDefault="00787B2D" w:rsidP="00BD02D3">
            <w:pPr>
              <w:jc w:val="center"/>
              <w:rPr>
                <w:rFonts w:ascii="Arial Narrow" w:hAnsi="Arial Narrow"/>
                <w:sz w:val="20"/>
                <w:szCs w:val="20"/>
              </w:rPr>
            </w:pPr>
          </w:p>
        </w:tc>
        <w:tc>
          <w:tcPr>
            <w:tcW w:w="940" w:type="dxa"/>
            <w:tcBorders>
              <w:top w:val="nil"/>
              <w:bottom w:val="nil"/>
            </w:tcBorders>
            <w:shd w:val="clear" w:color="auto" w:fill="EAF1DD" w:themeFill="accent3" w:themeFillTint="33"/>
            <w:vAlign w:val="center"/>
          </w:tcPr>
          <w:p w14:paraId="2BEEA2A8" w14:textId="77777777" w:rsidR="00787B2D" w:rsidRPr="00AE3438" w:rsidRDefault="00787B2D" w:rsidP="00BD02D3">
            <w:pPr>
              <w:jc w:val="center"/>
              <w:rPr>
                <w:rFonts w:ascii="Arial Narrow" w:hAnsi="Arial Narrow"/>
                <w:sz w:val="20"/>
                <w:szCs w:val="20"/>
              </w:rPr>
            </w:pPr>
          </w:p>
        </w:tc>
        <w:tc>
          <w:tcPr>
            <w:tcW w:w="1055" w:type="dxa"/>
            <w:tcBorders>
              <w:top w:val="nil"/>
              <w:bottom w:val="nil"/>
            </w:tcBorders>
            <w:shd w:val="clear" w:color="auto" w:fill="EAF1DD" w:themeFill="accent3" w:themeFillTint="33"/>
            <w:vAlign w:val="center"/>
          </w:tcPr>
          <w:p w14:paraId="7CE2D148" w14:textId="77777777" w:rsidR="00787B2D" w:rsidRPr="00AE3438" w:rsidRDefault="00787B2D" w:rsidP="00BD02D3">
            <w:pPr>
              <w:jc w:val="center"/>
              <w:rPr>
                <w:rFonts w:ascii="Arial Narrow" w:hAnsi="Arial Narrow"/>
                <w:sz w:val="20"/>
                <w:szCs w:val="20"/>
              </w:rPr>
            </w:pPr>
          </w:p>
        </w:tc>
        <w:tc>
          <w:tcPr>
            <w:tcW w:w="977" w:type="dxa"/>
            <w:tcBorders>
              <w:top w:val="nil"/>
              <w:bottom w:val="nil"/>
            </w:tcBorders>
            <w:shd w:val="clear" w:color="auto" w:fill="EAF1DD" w:themeFill="accent3" w:themeFillTint="33"/>
            <w:vAlign w:val="center"/>
          </w:tcPr>
          <w:p w14:paraId="2483B796" w14:textId="77777777" w:rsidR="00787B2D" w:rsidRPr="00AE3438" w:rsidRDefault="00787B2D" w:rsidP="00BD02D3">
            <w:pPr>
              <w:jc w:val="center"/>
              <w:rPr>
                <w:rFonts w:ascii="Arial Narrow" w:hAnsi="Arial Narrow"/>
                <w:sz w:val="20"/>
                <w:szCs w:val="20"/>
              </w:rPr>
            </w:pPr>
          </w:p>
        </w:tc>
        <w:tc>
          <w:tcPr>
            <w:tcW w:w="327" w:type="dxa"/>
            <w:tcBorders>
              <w:top w:val="nil"/>
              <w:bottom w:val="nil"/>
            </w:tcBorders>
            <w:shd w:val="clear" w:color="auto" w:fill="EAF1DD" w:themeFill="accent3" w:themeFillTint="33"/>
            <w:vAlign w:val="center"/>
          </w:tcPr>
          <w:p w14:paraId="6C26B5DA" w14:textId="77777777" w:rsidR="00787B2D" w:rsidRPr="00AE3438" w:rsidRDefault="00787B2D" w:rsidP="00BD02D3">
            <w:pPr>
              <w:jc w:val="center"/>
              <w:rPr>
                <w:rFonts w:ascii="Arial Narrow" w:hAnsi="Arial Narrow"/>
                <w:sz w:val="20"/>
                <w:szCs w:val="20"/>
              </w:rPr>
            </w:pPr>
          </w:p>
        </w:tc>
      </w:tr>
      <w:tr w:rsidR="00787B2D" w:rsidRPr="00AE3438" w14:paraId="53C6D163" w14:textId="77777777" w:rsidTr="00BD02D3">
        <w:tc>
          <w:tcPr>
            <w:tcW w:w="770" w:type="dxa"/>
            <w:vMerge/>
          </w:tcPr>
          <w:p w14:paraId="4B4574F0" w14:textId="77777777" w:rsidR="00787B2D" w:rsidRPr="00AE3438" w:rsidRDefault="00787B2D" w:rsidP="00BD02D3">
            <w:pPr>
              <w:rPr>
                <w:rFonts w:ascii="Arial Narrow" w:hAnsi="Arial Narrow"/>
                <w:sz w:val="20"/>
                <w:szCs w:val="20"/>
              </w:rPr>
            </w:pPr>
          </w:p>
        </w:tc>
        <w:tc>
          <w:tcPr>
            <w:tcW w:w="3761" w:type="dxa"/>
            <w:tcBorders>
              <w:top w:val="nil"/>
              <w:bottom w:val="nil"/>
            </w:tcBorders>
            <w:shd w:val="clear" w:color="auto" w:fill="EAF1DD" w:themeFill="accent3" w:themeFillTint="33"/>
          </w:tcPr>
          <w:p w14:paraId="42A3EB10"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2 copies of SMN2, ≥12 months treatment</w:t>
            </w:r>
            <w:r w:rsidRPr="00AE3438">
              <w:rPr>
                <w:rFonts w:ascii="Arial Narrow" w:hAnsi="Arial Narrow"/>
                <w:sz w:val="20"/>
                <w:szCs w:val="20"/>
                <w:vertAlign w:val="superscript"/>
              </w:rPr>
              <w:t>e</w:t>
            </w:r>
          </w:p>
        </w:tc>
        <w:tc>
          <w:tcPr>
            <w:tcW w:w="1187" w:type="dxa"/>
            <w:tcBorders>
              <w:top w:val="nil"/>
              <w:bottom w:val="nil"/>
            </w:tcBorders>
            <w:shd w:val="clear" w:color="auto" w:fill="EAF1DD" w:themeFill="accent3" w:themeFillTint="33"/>
          </w:tcPr>
          <w:p w14:paraId="257D906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tcBorders>
              <w:top w:val="nil"/>
              <w:bottom w:val="nil"/>
            </w:tcBorders>
            <w:shd w:val="clear" w:color="auto" w:fill="EAF1DD" w:themeFill="accent3" w:themeFillTint="33"/>
          </w:tcPr>
          <w:p w14:paraId="5D1A16E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tcBorders>
              <w:top w:val="nil"/>
              <w:bottom w:val="nil"/>
            </w:tcBorders>
            <w:shd w:val="clear" w:color="auto" w:fill="EAF1DD" w:themeFill="accent3" w:themeFillTint="33"/>
          </w:tcPr>
          <w:p w14:paraId="4CEDD1C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tcBorders>
              <w:top w:val="nil"/>
              <w:bottom w:val="nil"/>
            </w:tcBorders>
            <w:shd w:val="clear" w:color="auto" w:fill="EAF1DD" w:themeFill="accent3" w:themeFillTint="33"/>
            <w:vAlign w:val="center"/>
          </w:tcPr>
          <w:p w14:paraId="5A95465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2/4 (50%)</w:t>
            </w:r>
          </w:p>
        </w:tc>
        <w:tc>
          <w:tcPr>
            <w:tcW w:w="327" w:type="dxa"/>
            <w:tcBorders>
              <w:top w:val="nil"/>
              <w:bottom w:val="nil"/>
            </w:tcBorders>
            <w:shd w:val="clear" w:color="auto" w:fill="EAF1DD" w:themeFill="accent3" w:themeFillTint="33"/>
          </w:tcPr>
          <w:p w14:paraId="2BB82DE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783079C1" w14:textId="77777777" w:rsidTr="00BD02D3">
        <w:tc>
          <w:tcPr>
            <w:tcW w:w="770" w:type="dxa"/>
            <w:vMerge/>
          </w:tcPr>
          <w:p w14:paraId="0D5B9936" w14:textId="77777777" w:rsidR="00787B2D" w:rsidRPr="00AE3438" w:rsidRDefault="00787B2D" w:rsidP="00BD02D3">
            <w:pPr>
              <w:rPr>
                <w:rFonts w:ascii="Arial Narrow" w:hAnsi="Arial Narrow"/>
                <w:sz w:val="20"/>
                <w:szCs w:val="20"/>
              </w:rPr>
            </w:pPr>
          </w:p>
        </w:tc>
        <w:tc>
          <w:tcPr>
            <w:tcW w:w="3761" w:type="dxa"/>
            <w:tcBorders>
              <w:top w:val="nil"/>
            </w:tcBorders>
            <w:shd w:val="clear" w:color="auto" w:fill="EAF1DD" w:themeFill="accent3" w:themeFillTint="33"/>
          </w:tcPr>
          <w:p w14:paraId="0E1162B8"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&gt;2 copies of SMN2,</w:t>
            </w:r>
            <w:r w:rsidRPr="00AE3438">
              <w:rPr>
                <w:rFonts w:ascii="Arial Narrow" w:hAnsi="Arial Narrow"/>
                <w:i/>
                <w:sz w:val="20"/>
                <w:szCs w:val="20"/>
              </w:rPr>
              <w:t xml:space="preserve"> </w:t>
            </w:r>
            <w:r w:rsidRPr="00AE3438">
              <w:rPr>
                <w:rFonts w:ascii="Arial Narrow" w:hAnsi="Arial Narrow"/>
                <w:sz w:val="20"/>
                <w:szCs w:val="20"/>
              </w:rPr>
              <w:t>≥12 months treatment</w:t>
            </w:r>
            <w:r w:rsidRPr="00AE3438">
              <w:rPr>
                <w:rFonts w:ascii="Arial Narrow" w:hAnsi="Arial Narrow"/>
                <w:sz w:val="20"/>
                <w:szCs w:val="20"/>
                <w:vertAlign w:val="superscript"/>
              </w:rPr>
              <w:t>e</w:t>
            </w:r>
          </w:p>
        </w:tc>
        <w:tc>
          <w:tcPr>
            <w:tcW w:w="1187" w:type="dxa"/>
            <w:tcBorders>
              <w:top w:val="nil"/>
            </w:tcBorders>
            <w:shd w:val="clear" w:color="auto" w:fill="EAF1DD" w:themeFill="accent3" w:themeFillTint="33"/>
          </w:tcPr>
          <w:p w14:paraId="4C04E5D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tcBorders>
              <w:top w:val="nil"/>
            </w:tcBorders>
            <w:shd w:val="clear" w:color="auto" w:fill="EAF1DD" w:themeFill="accent3" w:themeFillTint="33"/>
          </w:tcPr>
          <w:p w14:paraId="72F331E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tcBorders>
              <w:top w:val="nil"/>
            </w:tcBorders>
            <w:shd w:val="clear" w:color="auto" w:fill="EAF1DD" w:themeFill="accent3" w:themeFillTint="33"/>
          </w:tcPr>
          <w:p w14:paraId="76CDD32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tcBorders>
              <w:top w:val="nil"/>
            </w:tcBorders>
            <w:shd w:val="clear" w:color="auto" w:fill="EAF1DD" w:themeFill="accent3" w:themeFillTint="33"/>
            <w:vAlign w:val="center"/>
          </w:tcPr>
          <w:p w14:paraId="512ADC4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3/3 (100%)</w:t>
            </w:r>
          </w:p>
        </w:tc>
        <w:tc>
          <w:tcPr>
            <w:tcW w:w="327" w:type="dxa"/>
            <w:tcBorders>
              <w:top w:val="nil"/>
            </w:tcBorders>
            <w:shd w:val="clear" w:color="auto" w:fill="EAF1DD" w:themeFill="accent3" w:themeFillTint="33"/>
          </w:tcPr>
          <w:p w14:paraId="745190E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6C269F34" w14:textId="77777777" w:rsidTr="00BD02D3">
        <w:tc>
          <w:tcPr>
            <w:tcW w:w="770" w:type="dxa"/>
            <w:vMerge/>
          </w:tcPr>
          <w:p w14:paraId="76BBD5EC" w14:textId="77777777" w:rsidR="00787B2D" w:rsidRPr="00AE3438" w:rsidRDefault="00787B2D" w:rsidP="00BD02D3">
            <w:pPr>
              <w:rPr>
                <w:rFonts w:ascii="Arial Narrow" w:hAnsi="Arial Narrow"/>
                <w:sz w:val="20"/>
                <w:szCs w:val="20"/>
              </w:rPr>
            </w:pPr>
          </w:p>
        </w:tc>
        <w:tc>
          <w:tcPr>
            <w:tcW w:w="3761" w:type="dxa"/>
            <w:tcBorders>
              <w:bottom w:val="nil"/>
            </w:tcBorders>
          </w:tcPr>
          <w:p w14:paraId="1F0AC5D5" w14:textId="77777777" w:rsidR="00787B2D" w:rsidRPr="00AE3438" w:rsidRDefault="00787B2D" w:rsidP="00BD02D3">
            <w:pPr>
              <w:rPr>
                <w:rFonts w:ascii="Arial Narrow" w:hAnsi="Arial Narrow"/>
                <w:sz w:val="20"/>
                <w:szCs w:val="20"/>
              </w:rPr>
            </w:pPr>
            <w:r w:rsidRPr="00AE3438">
              <w:rPr>
                <w:rFonts w:ascii="Arial Narrow" w:eastAsiaTheme="majorEastAsia" w:hAnsi="Arial Narrow" w:cstheme="majorBidi"/>
                <w:b/>
                <w:bCs/>
                <w:color w:val="D60093"/>
                <w:sz w:val="20"/>
                <w:szCs w:val="20"/>
                <w:u w:val="single"/>
              </w:rPr>
              <w:t>Symptomatic</w:t>
            </w:r>
            <w:r w:rsidRPr="00AE3438">
              <w:rPr>
                <w:rFonts w:ascii="Arial Narrow" w:hAnsi="Arial Narrow"/>
                <w:sz w:val="20"/>
                <w:szCs w:val="20"/>
                <w:u w:val="single"/>
              </w:rPr>
              <w:t xml:space="preserve"> treatment</w:t>
            </w:r>
          </w:p>
        </w:tc>
        <w:tc>
          <w:tcPr>
            <w:tcW w:w="1187" w:type="dxa"/>
            <w:tcBorders>
              <w:bottom w:val="nil"/>
            </w:tcBorders>
            <w:vAlign w:val="center"/>
          </w:tcPr>
          <w:p w14:paraId="7B544308" w14:textId="77777777" w:rsidR="00787B2D" w:rsidRPr="00AE3438" w:rsidRDefault="00787B2D" w:rsidP="00BD02D3">
            <w:pPr>
              <w:jc w:val="center"/>
              <w:rPr>
                <w:rFonts w:ascii="Arial Narrow" w:hAnsi="Arial Narrow"/>
                <w:sz w:val="20"/>
                <w:szCs w:val="20"/>
              </w:rPr>
            </w:pPr>
          </w:p>
        </w:tc>
        <w:tc>
          <w:tcPr>
            <w:tcW w:w="940" w:type="dxa"/>
            <w:tcBorders>
              <w:bottom w:val="nil"/>
            </w:tcBorders>
            <w:vAlign w:val="center"/>
          </w:tcPr>
          <w:p w14:paraId="6A9C951F" w14:textId="77777777" w:rsidR="00787B2D" w:rsidRPr="00AE3438" w:rsidRDefault="00787B2D" w:rsidP="00BD02D3">
            <w:pPr>
              <w:jc w:val="center"/>
              <w:rPr>
                <w:rFonts w:ascii="Arial Narrow" w:hAnsi="Arial Narrow"/>
                <w:sz w:val="20"/>
                <w:szCs w:val="20"/>
              </w:rPr>
            </w:pPr>
          </w:p>
        </w:tc>
        <w:tc>
          <w:tcPr>
            <w:tcW w:w="1055" w:type="dxa"/>
            <w:tcBorders>
              <w:bottom w:val="nil"/>
            </w:tcBorders>
            <w:vAlign w:val="center"/>
          </w:tcPr>
          <w:p w14:paraId="1411B2FC" w14:textId="77777777" w:rsidR="00787B2D" w:rsidRPr="00AE3438" w:rsidRDefault="00787B2D" w:rsidP="00BD02D3">
            <w:pPr>
              <w:jc w:val="center"/>
              <w:rPr>
                <w:rFonts w:ascii="Arial Narrow" w:hAnsi="Arial Narrow"/>
                <w:sz w:val="20"/>
                <w:szCs w:val="20"/>
              </w:rPr>
            </w:pPr>
          </w:p>
        </w:tc>
        <w:tc>
          <w:tcPr>
            <w:tcW w:w="977" w:type="dxa"/>
            <w:tcBorders>
              <w:bottom w:val="nil"/>
            </w:tcBorders>
            <w:vAlign w:val="center"/>
          </w:tcPr>
          <w:p w14:paraId="060C3688" w14:textId="77777777" w:rsidR="00787B2D" w:rsidRPr="00AE3438" w:rsidRDefault="00787B2D" w:rsidP="00BD02D3">
            <w:pPr>
              <w:jc w:val="center"/>
              <w:rPr>
                <w:rFonts w:ascii="Arial Narrow" w:hAnsi="Arial Narrow"/>
                <w:sz w:val="20"/>
                <w:szCs w:val="20"/>
              </w:rPr>
            </w:pPr>
          </w:p>
        </w:tc>
        <w:tc>
          <w:tcPr>
            <w:tcW w:w="327" w:type="dxa"/>
            <w:tcBorders>
              <w:bottom w:val="nil"/>
            </w:tcBorders>
            <w:vAlign w:val="center"/>
          </w:tcPr>
          <w:p w14:paraId="1D94AFBD" w14:textId="77777777" w:rsidR="00787B2D" w:rsidRPr="00AE3438" w:rsidRDefault="00787B2D" w:rsidP="00BD02D3">
            <w:pPr>
              <w:jc w:val="center"/>
              <w:rPr>
                <w:rFonts w:ascii="Arial Narrow" w:hAnsi="Arial Narrow"/>
                <w:sz w:val="20"/>
                <w:szCs w:val="20"/>
              </w:rPr>
            </w:pPr>
          </w:p>
        </w:tc>
      </w:tr>
      <w:tr w:rsidR="00787B2D" w:rsidRPr="00AE3438" w14:paraId="4128816C" w14:textId="77777777" w:rsidTr="00BD02D3">
        <w:tc>
          <w:tcPr>
            <w:tcW w:w="770" w:type="dxa"/>
            <w:vMerge/>
          </w:tcPr>
          <w:p w14:paraId="20B67AEA" w14:textId="77777777" w:rsidR="00787B2D" w:rsidRPr="00AE3438" w:rsidRDefault="00787B2D" w:rsidP="00BD02D3">
            <w:pPr>
              <w:rPr>
                <w:rFonts w:ascii="Arial Narrow" w:hAnsi="Arial Narrow"/>
                <w:sz w:val="20"/>
                <w:szCs w:val="20"/>
              </w:rPr>
            </w:pPr>
          </w:p>
        </w:tc>
        <w:tc>
          <w:tcPr>
            <w:tcW w:w="3761" w:type="dxa"/>
            <w:tcBorders>
              <w:top w:val="nil"/>
            </w:tcBorders>
          </w:tcPr>
          <w:p w14:paraId="13962193"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FIREFISH (Part 2) (Type I, 2 </w:t>
            </w:r>
            <w:r w:rsidRPr="00AE3438">
              <w:rPr>
                <w:rFonts w:ascii="Arial Narrow" w:hAnsi="Arial Narrow"/>
                <w:i/>
                <w:iCs/>
                <w:sz w:val="20"/>
                <w:szCs w:val="20"/>
              </w:rPr>
              <w:t xml:space="preserve">SMN2 </w:t>
            </w:r>
            <w:r w:rsidRPr="00AE3438">
              <w:rPr>
                <w:rFonts w:ascii="Arial Narrow" w:hAnsi="Arial Narrow"/>
                <w:sz w:val="20"/>
                <w:szCs w:val="20"/>
              </w:rPr>
              <w:t>copies)</w:t>
            </w:r>
          </w:p>
          <w:p w14:paraId="0192D195"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BSID, 12-month assessment</w:t>
            </w:r>
          </w:p>
        </w:tc>
        <w:tc>
          <w:tcPr>
            <w:tcW w:w="1187" w:type="dxa"/>
            <w:tcBorders>
              <w:top w:val="nil"/>
            </w:tcBorders>
            <w:vAlign w:val="center"/>
          </w:tcPr>
          <w:p w14:paraId="787EF80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tcBorders>
              <w:top w:val="nil"/>
            </w:tcBorders>
            <w:vAlign w:val="center"/>
          </w:tcPr>
          <w:p w14:paraId="39FEEA0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055" w:type="dxa"/>
            <w:tcBorders>
              <w:top w:val="nil"/>
            </w:tcBorders>
            <w:vAlign w:val="center"/>
          </w:tcPr>
          <w:p w14:paraId="03651C1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tcBorders>
              <w:top w:val="nil"/>
            </w:tcBorders>
            <w:vAlign w:val="center"/>
          </w:tcPr>
          <w:p w14:paraId="58F3300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0/41 (0%)</w:t>
            </w:r>
          </w:p>
        </w:tc>
        <w:tc>
          <w:tcPr>
            <w:tcW w:w="327" w:type="dxa"/>
            <w:tcBorders>
              <w:top w:val="nil"/>
            </w:tcBorders>
          </w:tcPr>
          <w:p w14:paraId="0486C46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0765A653" w14:textId="77777777" w:rsidTr="00BD02D3">
        <w:tc>
          <w:tcPr>
            <w:tcW w:w="770" w:type="dxa"/>
            <w:vMerge/>
          </w:tcPr>
          <w:p w14:paraId="49F9F150" w14:textId="77777777" w:rsidR="00787B2D" w:rsidRPr="00AE3438" w:rsidRDefault="00787B2D" w:rsidP="00BD02D3">
            <w:pPr>
              <w:rPr>
                <w:rFonts w:ascii="Arial Narrow" w:hAnsi="Arial Narrow"/>
                <w:sz w:val="20"/>
                <w:szCs w:val="20"/>
              </w:rPr>
            </w:pPr>
          </w:p>
        </w:tc>
        <w:tc>
          <w:tcPr>
            <w:tcW w:w="3761" w:type="dxa"/>
          </w:tcPr>
          <w:p w14:paraId="14AB652E"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SUNFISH (Part 2) (Type II or III, non-ambulant)</w:t>
            </w:r>
          </w:p>
        </w:tc>
        <w:tc>
          <w:tcPr>
            <w:tcW w:w="1187" w:type="dxa"/>
            <w:vAlign w:val="center"/>
          </w:tcPr>
          <w:p w14:paraId="0E55446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40" w:type="dxa"/>
            <w:vAlign w:val="center"/>
          </w:tcPr>
          <w:p w14:paraId="782D9062" w14:textId="77777777" w:rsidR="00787B2D" w:rsidRPr="00AE3438" w:rsidRDefault="00787B2D" w:rsidP="00BD02D3">
            <w:pPr>
              <w:jc w:val="center"/>
              <w:rPr>
                <w:rFonts w:ascii="Arial Narrow" w:hAnsi="Arial Narrow"/>
                <w:sz w:val="20"/>
                <w:szCs w:val="20"/>
              </w:rPr>
            </w:pPr>
          </w:p>
        </w:tc>
        <w:tc>
          <w:tcPr>
            <w:tcW w:w="1055" w:type="dxa"/>
            <w:vAlign w:val="center"/>
          </w:tcPr>
          <w:p w14:paraId="0708FA9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977" w:type="dxa"/>
            <w:vAlign w:val="center"/>
          </w:tcPr>
          <w:p w14:paraId="7E811CA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327" w:type="dxa"/>
          </w:tcPr>
          <w:p w14:paraId="3A34672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bl>
    <w:p w14:paraId="61AA7440" w14:textId="620CDA87" w:rsidR="00787B2D" w:rsidRPr="00AE3438" w:rsidRDefault="00787B2D" w:rsidP="00787B2D">
      <w:pPr>
        <w:pStyle w:val="TableFigureFooter"/>
        <w:spacing w:after="0"/>
        <w:rPr>
          <w:rStyle w:val="CommentReference"/>
          <w:b w:val="0"/>
          <w:bCs/>
          <w:sz w:val="18"/>
          <w:szCs w:val="18"/>
        </w:rPr>
      </w:pPr>
      <w:r w:rsidRPr="00AE3438">
        <w:rPr>
          <w:rStyle w:val="CommentReference"/>
          <w:b w:val="0"/>
          <w:bCs/>
          <w:sz w:val="18"/>
          <w:szCs w:val="18"/>
          <w:shd w:val="clear" w:color="auto" w:fill="EAF1DD" w:themeFill="accent3" w:themeFillTint="33"/>
        </w:rPr>
        <w:t>Green shading</w:t>
      </w:r>
      <w:r w:rsidRPr="00AE3438">
        <w:rPr>
          <w:rStyle w:val="CommentReference"/>
          <w:b w:val="0"/>
          <w:bCs/>
          <w:sz w:val="18"/>
          <w:szCs w:val="18"/>
        </w:rPr>
        <w:t xml:space="preserve"> represents study population consisting only of patients treated pre-symptomatically. Unshaded rows represent studies in symptomatic patients. </w:t>
      </w:r>
      <w:r w:rsidRPr="00AE3438">
        <w:rPr>
          <w:rStyle w:val="CommentReference"/>
          <w:b w:val="0"/>
          <w:bCs/>
          <w:i/>
          <w:iCs/>
          <w:sz w:val="18"/>
          <w:szCs w:val="18"/>
        </w:rPr>
        <w:t>Italics</w:t>
      </w:r>
      <w:r w:rsidRPr="00AE3438">
        <w:rPr>
          <w:rStyle w:val="CommentReference"/>
          <w:b w:val="0"/>
          <w:bCs/>
          <w:sz w:val="18"/>
          <w:szCs w:val="18"/>
        </w:rPr>
        <w:t xml:space="preserve"> indicate results extracted during the evaluation. </w:t>
      </w:r>
      <w:r w:rsidRPr="00AE3438">
        <w:rPr>
          <w:rStyle w:val="CommentReference"/>
          <w:b w:val="0"/>
          <w:bCs/>
          <w:i/>
          <w:iCs/>
          <w:sz w:val="18"/>
          <w:szCs w:val="18"/>
        </w:rPr>
        <w:t>Italics</w:t>
      </w:r>
      <w:r w:rsidRPr="00AE3438">
        <w:rPr>
          <w:rStyle w:val="CommentReference"/>
          <w:b w:val="0"/>
          <w:bCs/>
          <w:sz w:val="18"/>
          <w:szCs w:val="18"/>
        </w:rPr>
        <w:t xml:space="preserve"> indicate results extracted during the evaluation.</w:t>
      </w:r>
    </w:p>
    <w:p w14:paraId="633A9AA2" w14:textId="77777777" w:rsidR="00787B2D" w:rsidRPr="00AE3438" w:rsidRDefault="00787B2D" w:rsidP="00787B2D">
      <w:pPr>
        <w:pStyle w:val="FooterTableFigure"/>
      </w:pPr>
      <w:r w:rsidRPr="00AE3438">
        <w:t>Source: Tables 2.33 and 2.34, pp124-125 of the submission.</w:t>
      </w:r>
    </w:p>
    <w:p w14:paraId="5A4B1B75" w14:textId="28D14103" w:rsidR="00787B2D" w:rsidRPr="00AE3438" w:rsidRDefault="00787B2D" w:rsidP="00787B2D">
      <w:pPr>
        <w:pStyle w:val="FooterTableFigure"/>
      </w:pPr>
      <w:r w:rsidRPr="00AE3438">
        <w:t xml:space="preserve">BSID=Bayley Scale for Infant Development; MGRS=Multicentre Growth Reference Study, NUSI=nusinersen; ONA=onasemnogene abeparvovec; RISD=risdiplam; </w:t>
      </w:r>
      <w:r w:rsidRPr="00AE3438">
        <w:rPr>
          <w:i/>
        </w:rPr>
        <w:t>SMN2</w:t>
      </w:r>
      <w:r w:rsidRPr="00AE3438">
        <w:t>=survival motor neuron 2; WHO=World Health Organisation;</w:t>
      </w:r>
    </w:p>
    <w:p w14:paraId="0E6932D8" w14:textId="77777777" w:rsidR="00787B2D" w:rsidRPr="00AE3438" w:rsidRDefault="00787B2D" w:rsidP="00787B2D">
      <w:pPr>
        <w:pStyle w:val="FooterTableFigure"/>
      </w:pPr>
      <w:r w:rsidRPr="00AE3438">
        <w:t>S3 indicates studies used in the modelled economic evaluation (Section 3).</w:t>
      </w:r>
    </w:p>
    <w:p w14:paraId="74D04C0D" w14:textId="77777777" w:rsidR="00787B2D" w:rsidRPr="00AE3438" w:rsidRDefault="00787B2D" w:rsidP="00787B2D">
      <w:pPr>
        <w:pStyle w:val="FooterTableFigure"/>
      </w:pPr>
      <w:r w:rsidRPr="00AE3438">
        <w:t>^</w:t>
      </w:r>
      <w:r w:rsidRPr="00AE3438">
        <w:tab/>
        <w:t>comparison with PNCR (natural history) control population.</w:t>
      </w:r>
    </w:p>
    <w:p w14:paraId="760288C7" w14:textId="77777777" w:rsidR="00787B2D" w:rsidRPr="00AE3438" w:rsidRDefault="00787B2D" w:rsidP="00787B2D">
      <w:pPr>
        <w:pStyle w:val="FooterTableFigure"/>
      </w:pPr>
      <w:r w:rsidRPr="00AE3438">
        <w:t>A</w:t>
      </w:r>
      <w:r w:rsidRPr="00AE3438">
        <w:tab/>
        <w:t>Bayley GM item 40: stands alone ≥3 seconds (after you release his/her hands).</w:t>
      </w:r>
    </w:p>
    <w:p w14:paraId="5A463673" w14:textId="77777777" w:rsidR="00787B2D" w:rsidRPr="00AE3438" w:rsidRDefault="00787B2D" w:rsidP="00787B2D">
      <w:pPr>
        <w:pStyle w:val="FooterTableFigure"/>
        <w:ind w:left="165" w:hanging="165"/>
      </w:pPr>
      <w:r w:rsidRPr="00AE3438">
        <w:t>B</w:t>
      </w:r>
      <w:r w:rsidRPr="00AE3438">
        <w:tab/>
        <w:t>WHO-MGRS: standing alone ≥10 seconds. Child stands upright position on both feet (not toes) with back straight. Legs support 100% weight. No contact with a person or object.</w:t>
      </w:r>
    </w:p>
    <w:p w14:paraId="52A3B2DE" w14:textId="77777777" w:rsidR="00787B2D" w:rsidRPr="00AE3438" w:rsidRDefault="00787B2D" w:rsidP="00787B2D">
      <w:pPr>
        <w:pStyle w:val="FooterTableFigure"/>
      </w:pPr>
      <w:r w:rsidRPr="00AE3438">
        <w:t>c</w:t>
      </w:r>
      <w:r w:rsidRPr="00AE3438">
        <w:tab/>
        <w:t>HINE-2: “standing unaided”</w:t>
      </w:r>
    </w:p>
    <w:p w14:paraId="6D11C75C" w14:textId="77777777" w:rsidR="00787B2D" w:rsidRPr="00AE3438" w:rsidRDefault="00787B2D" w:rsidP="00787B2D">
      <w:pPr>
        <w:pStyle w:val="FooterTableFigure"/>
      </w:pPr>
      <w:r w:rsidRPr="00AE3438">
        <w:t>d</w:t>
      </w:r>
      <w:r w:rsidRPr="00AE3438">
        <w:tab/>
        <w:t>No child was reported to stand alone as the highest achieved milestone while being in the extension study.</w:t>
      </w:r>
    </w:p>
    <w:p w14:paraId="5E1A1705" w14:textId="77777777" w:rsidR="00787B2D" w:rsidRPr="00AE3438" w:rsidRDefault="00787B2D" w:rsidP="00787B2D">
      <w:pPr>
        <w:pStyle w:val="FooterTableFigure"/>
      </w:pPr>
      <w:r w:rsidRPr="00AE3438">
        <w:t>e</w:t>
      </w:r>
      <w:r w:rsidRPr="00AE3438">
        <w:tab/>
        <w:t>In RAINBOWFISH the preliminary exploratory analysis at the July 2021 data cut was for 7 infants treated with RISD for ≥12 months.</w:t>
      </w:r>
    </w:p>
    <w:p w14:paraId="29F20BBC" w14:textId="77777777" w:rsidR="00787B2D" w:rsidRPr="00AE3438" w:rsidRDefault="00787B2D" w:rsidP="00787B2D">
      <w:pPr>
        <w:pStyle w:val="FooterTableFigure"/>
        <w:ind w:left="165" w:hanging="165"/>
      </w:pPr>
      <w:r w:rsidRPr="00AE3438">
        <w:lastRenderedPageBreak/>
        <w:t>f</w:t>
      </w:r>
      <w:r w:rsidRPr="00AE3438">
        <w:tab/>
        <w:t>Result corrected during the evaluation. ENDEAR reported 1 patient achieved HINE-2 standing milestone: stands with support (1%) and stand unaided (0). The submission reported 1 patient achieved ability to stand alone.</w:t>
      </w:r>
    </w:p>
    <w:p w14:paraId="45B8FADF" w14:textId="77777777" w:rsidR="00787B2D" w:rsidRPr="00AE3438" w:rsidRDefault="00787B2D" w:rsidP="00787B2D">
      <w:pPr>
        <w:pStyle w:val="FooterTableFigure"/>
        <w:ind w:left="165" w:hanging="165"/>
      </w:pPr>
      <w:r w:rsidRPr="00AE3438">
        <w:t>g</w:t>
      </w:r>
      <w:r w:rsidRPr="00AE3438">
        <w:tab/>
        <w:t>Result corrected during the evaluation. CS3 (Finkel 2021) final analysis reported 4/19 (21%) could stand (3 with support and 1 unaided). The submission reported 5/20 (25%) patients achieved ability to stand alone.</w:t>
      </w:r>
    </w:p>
    <w:p w14:paraId="24A3D41C" w14:textId="35062852" w:rsidR="009A65A9" w:rsidRPr="009A65A9" w:rsidRDefault="00C9142C" w:rsidP="009A65A9">
      <w:pPr>
        <w:pStyle w:val="3-BodyText"/>
      </w:pPr>
      <w:r w:rsidRPr="00AE3438">
        <w:fldChar w:fldCharType="begin"/>
      </w:r>
      <w:r w:rsidRPr="00AE3438">
        <w:instrText xml:space="preserve"> REF _Ref113303454 \h </w:instrText>
      </w:r>
      <w:r w:rsidRPr="00AE3438">
        <w:fldChar w:fldCharType="separate"/>
      </w:r>
      <w:r w:rsidR="008E4E26" w:rsidRPr="00AE3438">
        <w:t xml:space="preserve">Table </w:t>
      </w:r>
      <w:r w:rsidR="008E4E26">
        <w:rPr>
          <w:noProof/>
        </w:rPr>
        <w:t>6</w:t>
      </w:r>
      <w:r w:rsidRPr="00AE3438">
        <w:fldChar w:fldCharType="end"/>
      </w:r>
      <w:r w:rsidR="00787B2D" w:rsidRPr="00AE3438">
        <w:t xml:space="preserve"> summarises the motor development milestone outcomes of ability to walk unsupported across the included studies.</w:t>
      </w:r>
    </w:p>
    <w:p w14:paraId="715C0D18" w14:textId="03AE8363" w:rsidR="00787B2D" w:rsidRPr="00AE3438" w:rsidRDefault="00C9142C" w:rsidP="00C9142C">
      <w:pPr>
        <w:pStyle w:val="Caption"/>
        <w:rPr>
          <w:szCs w:val="20"/>
        </w:rPr>
      </w:pPr>
      <w:bookmarkStart w:id="37" w:name="_Ref113303454"/>
      <w:r w:rsidRPr="00AE3438">
        <w:t xml:space="preserve">Table </w:t>
      </w:r>
      <w:r w:rsidR="008E4E26">
        <w:fldChar w:fldCharType="begin"/>
      </w:r>
      <w:r w:rsidR="008E4E26">
        <w:instrText xml:space="preserve"> SEQ Table \* ARABIC </w:instrText>
      </w:r>
      <w:r w:rsidR="008E4E26">
        <w:fldChar w:fldCharType="separate"/>
      </w:r>
      <w:r w:rsidR="008E4E26">
        <w:rPr>
          <w:noProof/>
        </w:rPr>
        <w:t>6</w:t>
      </w:r>
      <w:r w:rsidR="008E4E26">
        <w:rPr>
          <w:noProof/>
        </w:rPr>
        <w:fldChar w:fldCharType="end"/>
      </w:r>
      <w:bookmarkEnd w:id="37"/>
      <w:r w:rsidR="00787B2D" w:rsidRPr="00AE3438">
        <w:rPr>
          <w:szCs w:val="20"/>
        </w:rPr>
        <w:t>: Motor development milestones (ability to walk)</w:t>
      </w:r>
    </w:p>
    <w:tbl>
      <w:tblPr>
        <w:tblStyle w:val="TableGrid"/>
        <w:tblW w:w="5000" w:type="pct"/>
        <w:tblLayout w:type="fixed"/>
        <w:tblCellMar>
          <w:left w:w="28" w:type="dxa"/>
          <w:right w:w="28" w:type="dxa"/>
        </w:tblCellMar>
        <w:tblLook w:val="04A0" w:firstRow="1" w:lastRow="0" w:firstColumn="1" w:lastColumn="0" w:noHBand="0" w:noVBand="1"/>
      </w:tblPr>
      <w:tblGrid>
        <w:gridCol w:w="773"/>
        <w:gridCol w:w="3333"/>
        <w:gridCol w:w="1134"/>
        <w:gridCol w:w="990"/>
        <w:gridCol w:w="1160"/>
        <w:gridCol w:w="1389"/>
        <w:gridCol w:w="238"/>
      </w:tblGrid>
      <w:tr w:rsidR="00787B2D" w:rsidRPr="00AE3438" w14:paraId="06BFB027" w14:textId="77777777" w:rsidTr="003B72F9">
        <w:trPr>
          <w:tblHeader/>
        </w:trPr>
        <w:tc>
          <w:tcPr>
            <w:tcW w:w="429" w:type="pct"/>
            <w:vAlign w:val="center"/>
          </w:tcPr>
          <w:p w14:paraId="736F3CB7" w14:textId="3DD37F7B" w:rsidR="00787B2D" w:rsidRPr="00AE3438" w:rsidRDefault="0020480D" w:rsidP="002C4C30">
            <w:pPr>
              <w:keepNext/>
              <w:jc w:val="center"/>
              <w:rPr>
                <w:rFonts w:ascii="Arial Narrow" w:hAnsi="Arial Narrow"/>
                <w:b/>
                <w:sz w:val="20"/>
                <w:szCs w:val="20"/>
              </w:rPr>
            </w:pPr>
            <w:r w:rsidRPr="00AE3438">
              <w:rPr>
                <w:rFonts w:ascii="Arial Narrow" w:hAnsi="Arial Narrow"/>
                <w:b/>
                <w:sz w:val="20"/>
                <w:szCs w:val="20"/>
              </w:rPr>
              <w:t>Tx</w:t>
            </w:r>
          </w:p>
        </w:tc>
        <w:tc>
          <w:tcPr>
            <w:tcW w:w="1848" w:type="pct"/>
            <w:vAlign w:val="center"/>
          </w:tcPr>
          <w:p w14:paraId="0D792102"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Outcome</w:t>
            </w:r>
          </w:p>
        </w:tc>
        <w:tc>
          <w:tcPr>
            <w:tcW w:w="629" w:type="pct"/>
            <w:vAlign w:val="center"/>
          </w:tcPr>
          <w:p w14:paraId="7AF40C2F"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ONA</w:t>
            </w:r>
          </w:p>
          <w:p w14:paraId="7F846BB2"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n/N (%)</w:t>
            </w:r>
          </w:p>
        </w:tc>
        <w:tc>
          <w:tcPr>
            <w:tcW w:w="549" w:type="pct"/>
            <w:vAlign w:val="center"/>
          </w:tcPr>
          <w:p w14:paraId="162478FD"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Control</w:t>
            </w:r>
          </w:p>
          <w:p w14:paraId="104235FD"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n/N (%)</w:t>
            </w:r>
          </w:p>
        </w:tc>
        <w:tc>
          <w:tcPr>
            <w:tcW w:w="643" w:type="pct"/>
            <w:vAlign w:val="center"/>
          </w:tcPr>
          <w:p w14:paraId="571DE79A"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NUSI</w:t>
            </w:r>
          </w:p>
          <w:p w14:paraId="314ADDBB"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n/N (%)</w:t>
            </w:r>
          </w:p>
        </w:tc>
        <w:tc>
          <w:tcPr>
            <w:tcW w:w="770" w:type="pct"/>
            <w:vAlign w:val="center"/>
          </w:tcPr>
          <w:p w14:paraId="20292028"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RISD</w:t>
            </w:r>
          </w:p>
          <w:p w14:paraId="64C37479"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n/N (%)</w:t>
            </w:r>
          </w:p>
        </w:tc>
        <w:tc>
          <w:tcPr>
            <w:tcW w:w="132" w:type="pct"/>
            <w:vAlign w:val="center"/>
          </w:tcPr>
          <w:p w14:paraId="39582CE9" w14:textId="77777777" w:rsidR="00787B2D" w:rsidRPr="00AE3438" w:rsidRDefault="00787B2D" w:rsidP="002C4C30">
            <w:pPr>
              <w:keepNext/>
              <w:jc w:val="center"/>
              <w:rPr>
                <w:rFonts w:ascii="Arial Narrow" w:hAnsi="Arial Narrow"/>
                <w:b/>
                <w:sz w:val="20"/>
                <w:szCs w:val="20"/>
              </w:rPr>
            </w:pPr>
            <w:r w:rsidRPr="00AE3438">
              <w:rPr>
                <w:rFonts w:ascii="Arial Narrow" w:hAnsi="Arial Narrow"/>
                <w:b/>
                <w:sz w:val="20"/>
                <w:szCs w:val="20"/>
              </w:rPr>
              <w:t>S3</w:t>
            </w:r>
          </w:p>
        </w:tc>
      </w:tr>
      <w:tr w:rsidR="00787B2D" w:rsidRPr="00AE3438" w14:paraId="540C0E11" w14:textId="77777777" w:rsidTr="00BD02D3">
        <w:tc>
          <w:tcPr>
            <w:tcW w:w="5000" w:type="pct"/>
            <w:gridSpan w:val="7"/>
          </w:tcPr>
          <w:p w14:paraId="02D582EA" w14:textId="77777777" w:rsidR="00787B2D" w:rsidRPr="00AE3438" w:rsidRDefault="00787B2D" w:rsidP="002C4C30">
            <w:pPr>
              <w:keepNext/>
              <w:rPr>
                <w:rFonts w:ascii="Arial Narrow" w:hAnsi="Arial Narrow"/>
                <w:b/>
                <w:sz w:val="20"/>
                <w:szCs w:val="20"/>
              </w:rPr>
            </w:pPr>
            <w:r w:rsidRPr="00AE3438">
              <w:rPr>
                <w:rFonts w:ascii="Arial Narrow" w:hAnsi="Arial Narrow"/>
                <w:b/>
                <w:sz w:val="20"/>
                <w:szCs w:val="20"/>
              </w:rPr>
              <w:t>Ability to walk alone (BSID</w:t>
            </w:r>
            <w:r w:rsidRPr="00AE3438">
              <w:rPr>
                <w:rFonts w:ascii="Arial Narrow" w:hAnsi="Arial Narrow"/>
                <w:b/>
                <w:sz w:val="20"/>
                <w:szCs w:val="20"/>
                <w:vertAlign w:val="superscript"/>
              </w:rPr>
              <w:t>a</w:t>
            </w:r>
            <w:r w:rsidRPr="00AE3438">
              <w:rPr>
                <w:rFonts w:ascii="Arial Narrow" w:hAnsi="Arial Narrow"/>
                <w:b/>
                <w:sz w:val="20"/>
                <w:szCs w:val="20"/>
              </w:rPr>
              <w:t>, WHO-MGRS</w:t>
            </w:r>
            <w:r w:rsidRPr="00AE3438">
              <w:rPr>
                <w:rFonts w:ascii="Arial Narrow" w:hAnsi="Arial Narrow"/>
                <w:b/>
                <w:sz w:val="20"/>
                <w:szCs w:val="20"/>
                <w:vertAlign w:val="superscript"/>
              </w:rPr>
              <w:t>b</w:t>
            </w:r>
            <w:r w:rsidRPr="00AE3438">
              <w:rPr>
                <w:rFonts w:ascii="Arial Narrow" w:hAnsi="Arial Narrow"/>
                <w:b/>
                <w:sz w:val="20"/>
                <w:szCs w:val="20"/>
              </w:rPr>
              <w:t>, HINE-2</w:t>
            </w:r>
            <w:r w:rsidRPr="00AE3438">
              <w:rPr>
                <w:rFonts w:ascii="Arial Narrow" w:hAnsi="Arial Narrow"/>
                <w:b/>
                <w:sz w:val="20"/>
                <w:szCs w:val="20"/>
                <w:vertAlign w:val="superscript"/>
              </w:rPr>
              <w:t>c</w:t>
            </w:r>
            <w:r w:rsidRPr="00AE3438">
              <w:rPr>
                <w:rFonts w:ascii="Arial Narrow" w:hAnsi="Arial Narrow"/>
                <w:b/>
                <w:sz w:val="20"/>
                <w:szCs w:val="20"/>
              </w:rPr>
              <w:t>)</w:t>
            </w:r>
          </w:p>
        </w:tc>
      </w:tr>
      <w:tr w:rsidR="00787B2D" w:rsidRPr="00AE3438" w14:paraId="4AC795C6" w14:textId="77777777" w:rsidTr="003B72F9">
        <w:tc>
          <w:tcPr>
            <w:tcW w:w="429" w:type="pct"/>
            <w:vMerge w:val="restart"/>
            <w:vAlign w:val="center"/>
          </w:tcPr>
          <w:p w14:paraId="6D8491D2" w14:textId="77777777" w:rsidR="00787B2D" w:rsidRPr="00AE3438" w:rsidRDefault="00787B2D" w:rsidP="002C4C30">
            <w:pPr>
              <w:keepNext/>
              <w:jc w:val="left"/>
              <w:rPr>
                <w:rFonts w:ascii="Arial Narrow" w:hAnsi="Arial Narrow"/>
                <w:b/>
                <w:sz w:val="20"/>
                <w:szCs w:val="20"/>
              </w:rPr>
            </w:pPr>
            <w:r w:rsidRPr="00AE3438">
              <w:rPr>
                <w:rFonts w:ascii="Arial Narrow" w:hAnsi="Arial Narrow"/>
                <w:b/>
                <w:sz w:val="20"/>
                <w:szCs w:val="20"/>
              </w:rPr>
              <w:t>ONA</w:t>
            </w:r>
          </w:p>
        </w:tc>
        <w:tc>
          <w:tcPr>
            <w:tcW w:w="1848" w:type="pct"/>
            <w:tcBorders>
              <w:bottom w:val="nil"/>
            </w:tcBorders>
            <w:shd w:val="clear" w:color="auto" w:fill="EAF1DD" w:themeFill="accent3" w:themeFillTint="33"/>
          </w:tcPr>
          <w:p w14:paraId="11DB087F" w14:textId="77777777" w:rsidR="00787B2D" w:rsidRPr="00AE3438" w:rsidRDefault="00787B2D" w:rsidP="002C4C30">
            <w:pPr>
              <w:keepNext/>
              <w:rPr>
                <w:rFonts w:ascii="Arial Narrow" w:hAnsi="Arial Narrow"/>
                <w:sz w:val="20"/>
                <w:szCs w:val="20"/>
                <w:u w:val="single"/>
              </w:rPr>
            </w:pPr>
            <w:r w:rsidRPr="00AE3438">
              <w:rPr>
                <w:rFonts w:ascii="Arial Narrow" w:hAnsi="Arial Narrow"/>
                <w:b/>
                <w:bCs/>
                <w:color w:val="00B050"/>
                <w:sz w:val="20"/>
                <w:szCs w:val="20"/>
                <w:u w:val="single"/>
              </w:rPr>
              <w:t>Pre-symptomatic</w:t>
            </w:r>
            <w:r w:rsidRPr="00AE3438">
              <w:rPr>
                <w:rFonts w:ascii="Arial Narrow" w:hAnsi="Arial Narrow"/>
                <w:color w:val="00B050"/>
                <w:sz w:val="20"/>
                <w:szCs w:val="20"/>
                <w:u w:val="single"/>
              </w:rPr>
              <w:t xml:space="preserve"> </w:t>
            </w:r>
            <w:r w:rsidRPr="00AE3438">
              <w:rPr>
                <w:rFonts w:ascii="Arial Narrow" w:hAnsi="Arial Narrow"/>
                <w:sz w:val="20"/>
                <w:szCs w:val="20"/>
                <w:u w:val="single"/>
              </w:rPr>
              <w:t>treatment</w:t>
            </w:r>
          </w:p>
        </w:tc>
        <w:tc>
          <w:tcPr>
            <w:tcW w:w="629" w:type="pct"/>
            <w:tcBorders>
              <w:bottom w:val="nil"/>
            </w:tcBorders>
            <w:shd w:val="clear" w:color="auto" w:fill="EAF1DD" w:themeFill="accent3" w:themeFillTint="33"/>
            <w:vAlign w:val="center"/>
          </w:tcPr>
          <w:p w14:paraId="1AE1B67F" w14:textId="77777777" w:rsidR="00787B2D" w:rsidRPr="00AE3438" w:rsidRDefault="00787B2D" w:rsidP="002C4C30">
            <w:pPr>
              <w:keepNext/>
              <w:jc w:val="center"/>
              <w:rPr>
                <w:rFonts w:ascii="Arial Narrow" w:hAnsi="Arial Narrow"/>
                <w:sz w:val="20"/>
                <w:szCs w:val="20"/>
              </w:rPr>
            </w:pPr>
          </w:p>
        </w:tc>
        <w:tc>
          <w:tcPr>
            <w:tcW w:w="549" w:type="pct"/>
            <w:tcBorders>
              <w:bottom w:val="nil"/>
            </w:tcBorders>
            <w:shd w:val="clear" w:color="auto" w:fill="EAF1DD" w:themeFill="accent3" w:themeFillTint="33"/>
            <w:vAlign w:val="center"/>
          </w:tcPr>
          <w:p w14:paraId="6022EF1E" w14:textId="77777777" w:rsidR="00787B2D" w:rsidRPr="00AE3438" w:rsidRDefault="00787B2D" w:rsidP="002C4C30">
            <w:pPr>
              <w:keepNext/>
              <w:jc w:val="center"/>
              <w:rPr>
                <w:rFonts w:ascii="Arial Narrow" w:hAnsi="Arial Narrow"/>
                <w:sz w:val="20"/>
                <w:szCs w:val="20"/>
              </w:rPr>
            </w:pPr>
          </w:p>
        </w:tc>
        <w:tc>
          <w:tcPr>
            <w:tcW w:w="643" w:type="pct"/>
            <w:tcBorders>
              <w:bottom w:val="nil"/>
            </w:tcBorders>
            <w:shd w:val="clear" w:color="auto" w:fill="EAF1DD" w:themeFill="accent3" w:themeFillTint="33"/>
            <w:vAlign w:val="center"/>
          </w:tcPr>
          <w:p w14:paraId="373C2897" w14:textId="77777777" w:rsidR="00787B2D" w:rsidRPr="00AE3438" w:rsidRDefault="00787B2D" w:rsidP="002C4C30">
            <w:pPr>
              <w:keepNext/>
              <w:jc w:val="center"/>
              <w:rPr>
                <w:rFonts w:ascii="Arial Narrow" w:hAnsi="Arial Narrow"/>
                <w:sz w:val="20"/>
                <w:szCs w:val="20"/>
              </w:rPr>
            </w:pPr>
          </w:p>
        </w:tc>
        <w:tc>
          <w:tcPr>
            <w:tcW w:w="770" w:type="pct"/>
            <w:tcBorders>
              <w:bottom w:val="nil"/>
            </w:tcBorders>
            <w:shd w:val="clear" w:color="auto" w:fill="EAF1DD" w:themeFill="accent3" w:themeFillTint="33"/>
            <w:vAlign w:val="center"/>
          </w:tcPr>
          <w:p w14:paraId="19EE08C4" w14:textId="77777777" w:rsidR="00787B2D" w:rsidRPr="00AE3438" w:rsidRDefault="00787B2D" w:rsidP="002C4C30">
            <w:pPr>
              <w:keepNext/>
              <w:jc w:val="center"/>
              <w:rPr>
                <w:rFonts w:ascii="Arial Narrow" w:hAnsi="Arial Narrow"/>
                <w:sz w:val="20"/>
                <w:szCs w:val="20"/>
              </w:rPr>
            </w:pPr>
          </w:p>
        </w:tc>
        <w:tc>
          <w:tcPr>
            <w:tcW w:w="132" w:type="pct"/>
            <w:tcBorders>
              <w:bottom w:val="nil"/>
            </w:tcBorders>
            <w:shd w:val="clear" w:color="auto" w:fill="EAF1DD" w:themeFill="accent3" w:themeFillTint="33"/>
            <w:vAlign w:val="center"/>
          </w:tcPr>
          <w:p w14:paraId="5BD30DDC" w14:textId="77777777" w:rsidR="00787B2D" w:rsidRPr="00AE3438" w:rsidRDefault="00787B2D" w:rsidP="002C4C30">
            <w:pPr>
              <w:keepNext/>
              <w:jc w:val="center"/>
              <w:rPr>
                <w:rFonts w:ascii="Arial Narrow" w:hAnsi="Arial Narrow"/>
                <w:sz w:val="20"/>
                <w:szCs w:val="20"/>
              </w:rPr>
            </w:pPr>
          </w:p>
        </w:tc>
      </w:tr>
      <w:tr w:rsidR="00787B2D" w:rsidRPr="00AE3438" w14:paraId="2AC08558" w14:textId="77777777" w:rsidTr="003B72F9">
        <w:tc>
          <w:tcPr>
            <w:tcW w:w="429" w:type="pct"/>
            <w:vMerge/>
          </w:tcPr>
          <w:p w14:paraId="65C9B980" w14:textId="77777777" w:rsidR="00787B2D" w:rsidRPr="00AE3438" w:rsidRDefault="00787B2D" w:rsidP="002C4C30">
            <w:pPr>
              <w:keepNext/>
              <w:rPr>
                <w:rFonts w:ascii="Arial Narrow" w:hAnsi="Arial Narrow"/>
                <w:sz w:val="20"/>
                <w:szCs w:val="20"/>
              </w:rPr>
            </w:pPr>
          </w:p>
        </w:tc>
        <w:tc>
          <w:tcPr>
            <w:tcW w:w="1848" w:type="pct"/>
            <w:tcBorders>
              <w:top w:val="nil"/>
              <w:bottom w:val="nil"/>
            </w:tcBorders>
            <w:shd w:val="clear" w:color="auto" w:fill="EAF1DD" w:themeFill="accent3" w:themeFillTint="33"/>
          </w:tcPr>
          <w:p w14:paraId="06DE44E9" w14:textId="77777777" w:rsidR="00787B2D" w:rsidRPr="00AE3438" w:rsidRDefault="00787B2D" w:rsidP="002C4C30">
            <w:pPr>
              <w:keepNext/>
              <w:rPr>
                <w:rFonts w:ascii="Arial Narrow" w:hAnsi="Arial Narrow"/>
                <w:sz w:val="20"/>
                <w:szCs w:val="20"/>
              </w:rPr>
            </w:pPr>
            <w:r w:rsidRPr="00AE3438">
              <w:rPr>
                <w:rFonts w:ascii="Arial Narrow" w:hAnsi="Arial Narrow"/>
                <w:sz w:val="20"/>
                <w:szCs w:val="20"/>
              </w:rPr>
              <w:t>SPR1NT– BSID</w:t>
            </w:r>
          </w:p>
        </w:tc>
        <w:tc>
          <w:tcPr>
            <w:tcW w:w="629" w:type="pct"/>
            <w:tcBorders>
              <w:top w:val="nil"/>
              <w:bottom w:val="nil"/>
            </w:tcBorders>
            <w:shd w:val="clear" w:color="auto" w:fill="EAF1DD" w:themeFill="accent3" w:themeFillTint="33"/>
            <w:vAlign w:val="center"/>
          </w:tcPr>
          <w:p w14:paraId="18065738" w14:textId="77777777" w:rsidR="00787B2D" w:rsidRPr="00AE3438" w:rsidRDefault="00787B2D" w:rsidP="002C4C30">
            <w:pPr>
              <w:keepNext/>
              <w:jc w:val="center"/>
              <w:rPr>
                <w:rFonts w:ascii="Arial Narrow" w:hAnsi="Arial Narrow"/>
                <w:sz w:val="20"/>
                <w:szCs w:val="20"/>
              </w:rPr>
            </w:pPr>
          </w:p>
        </w:tc>
        <w:tc>
          <w:tcPr>
            <w:tcW w:w="549" w:type="pct"/>
            <w:tcBorders>
              <w:top w:val="nil"/>
              <w:bottom w:val="nil"/>
            </w:tcBorders>
            <w:shd w:val="clear" w:color="auto" w:fill="EAF1DD" w:themeFill="accent3" w:themeFillTint="33"/>
            <w:vAlign w:val="center"/>
          </w:tcPr>
          <w:p w14:paraId="464CB824" w14:textId="77777777" w:rsidR="00787B2D" w:rsidRPr="00AE3438" w:rsidRDefault="00787B2D" w:rsidP="002C4C30">
            <w:pPr>
              <w:keepNext/>
              <w:jc w:val="center"/>
              <w:rPr>
                <w:rFonts w:ascii="Arial Narrow" w:hAnsi="Arial Narrow"/>
                <w:sz w:val="20"/>
                <w:szCs w:val="20"/>
              </w:rPr>
            </w:pPr>
          </w:p>
        </w:tc>
        <w:tc>
          <w:tcPr>
            <w:tcW w:w="643" w:type="pct"/>
            <w:tcBorders>
              <w:top w:val="nil"/>
              <w:bottom w:val="nil"/>
            </w:tcBorders>
            <w:shd w:val="clear" w:color="auto" w:fill="EAF1DD" w:themeFill="accent3" w:themeFillTint="33"/>
            <w:vAlign w:val="center"/>
          </w:tcPr>
          <w:p w14:paraId="08410AC8" w14:textId="77777777" w:rsidR="00787B2D" w:rsidRPr="00AE3438" w:rsidRDefault="00787B2D" w:rsidP="002C4C30">
            <w:pPr>
              <w:keepNext/>
              <w:jc w:val="center"/>
              <w:rPr>
                <w:rFonts w:ascii="Arial Narrow" w:hAnsi="Arial Narrow"/>
                <w:sz w:val="20"/>
                <w:szCs w:val="20"/>
              </w:rPr>
            </w:pPr>
          </w:p>
        </w:tc>
        <w:tc>
          <w:tcPr>
            <w:tcW w:w="770" w:type="pct"/>
            <w:tcBorders>
              <w:top w:val="nil"/>
              <w:bottom w:val="nil"/>
            </w:tcBorders>
            <w:shd w:val="clear" w:color="auto" w:fill="EAF1DD" w:themeFill="accent3" w:themeFillTint="33"/>
            <w:vAlign w:val="center"/>
          </w:tcPr>
          <w:p w14:paraId="42475BFE" w14:textId="77777777" w:rsidR="00787B2D" w:rsidRPr="00AE3438" w:rsidRDefault="00787B2D" w:rsidP="002C4C30">
            <w:pPr>
              <w:keepNext/>
              <w:jc w:val="center"/>
              <w:rPr>
                <w:rFonts w:ascii="Arial Narrow" w:hAnsi="Arial Narrow"/>
                <w:sz w:val="20"/>
                <w:szCs w:val="20"/>
              </w:rPr>
            </w:pPr>
          </w:p>
        </w:tc>
        <w:tc>
          <w:tcPr>
            <w:tcW w:w="132" w:type="pct"/>
            <w:tcBorders>
              <w:top w:val="nil"/>
              <w:bottom w:val="nil"/>
            </w:tcBorders>
            <w:shd w:val="clear" w:color="auto" w:fill="EAF1DD" w:themeFill="accent3" w:themeFillTint="33"/>
            <w:vAlign w:val="center"/>
          </w:tcPr>
          <w:p w14:paraId="46A10819" w14:textId="77777777" w:rsidR="00787B2D" w:rsidRPr="00AE3438" w:rsidRDefault="00787B2D" w:rsidP="002C4C30">
            <w:pPr>
              <w:keepNext/>
              <w:jc w:val="center"/>
              <w:rPr>
                <w:rFonts w:ascii="Arial Narrow" w:hAnsi="Arial Narrow"/>
                <w:sz w:val="20"/>
                <w:szCs w:val="20"/>
              </w:rPr>
            </w:pPr>
          </w:p>
        </w:tc>
      </w:tr>
      <w:tr w:rsidR="00787B2D" w:rsidRPr="00AE3438" w14:paraId="4157EEEB" w14:textId="77777777" w:rsidTr="003B72F9">
        <w:tc>
          <w:tcPr>
            <w:tcW w:w="429" w:type="pct"/>
            <w:vMerge/>
          </w:tcPr>
          <w:p w14:paraId="36C847C7" w14:textId="77777777" w:rsidR="00787B2D" w:rsidRPr="00AE3438" w:rsidRDefault="00787B2D" w:rsidP="00BD02D3">
            <w:pPr>
              <w:rPr>
                <w:rFonts w:ascii="Arial Narrow" w:hAnsi="Arial Narrow"/>
                <w:sz w:val="20"/>
                <w:szCs w:val="20"/>
              </w:rPr>
            </w:pPr>
          </w:p>
        </w:tc>
        <w:tc>
          <w:tcPr>
            <w:tcW w:w="1848" w:type="pct"/>
            <w:tcBorders>
              <w:top w:val="nil"/>
              <w:bottom w:val="nil"/>
            </w:tcBorders>
            <w:shd w:val="clear" w:color="auto" w:fill="EAF1DD" w:themeFill="accent3" w:themeFillTint="33"/>
          </w:tcPr>
          <w:p w14:paraId="3C7669B8"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2 </w:t>
            </w:r>
            <w:r w:rsidRPr="00AE3438">
              <w:rPr>
                <w:rFonts w:ascii="Arial Narrow" w:hAnsi="Arial Narrow"/>
                <w:i/>
                <w:sz w:val="20"/>
                <w:szCs w:val="20"/>
              </w:rPr>
              <w:t xml:space="preserve">SMN2 </w:t>
            </w:r>
            <w:r w:rsidRPr="00AE3438">
              <w:rPr>
                <w:rFonts w:ascii="Arial Narrow" w:hAnsi="Arial Narrow"/>
                <w:sz w:val="20"/>
                <w:szCs w:val="20"/>
              </w:rPr>
              <w:t>copies, 18 months of age</w:t>
            </w:r>
          </w:p>
        </w:tc>
        <w:tc>
          <w:tcPr>
            <w:tcW w:w="629" w:type="pct"/>
            <w:tcBorders>
              <w:top w:val="nil"/>
              <w:bottom w:val="nil"/>
            </w:tcBorders>
            <w:shd w:val="clear" w:color="auto" w:fill="EAF1DD" w:themeFill="accent3" w:themeFillTint="33"/>
            <w:vAlign w:val="center"/>
          </w:tcPr>
          <w:p w14:paraId="25C29C2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9/14 (64.3%)</w:t>
            </w:r>
          </w:p>
        </w:tc>
        <w:tc>
          <w:tcPr>
            <w:tcW w:w="549" w:type="pct"/>
            <w:tcBorders>
              <w:top w:val="nil"/>
              <w:bottom w:val="nil"/>
            </w:tcBorders>
            <w:shd w:val="clear" w:color="auto" w:fill="EAF1DD" w:themeFill="accent3" w:themeFillTint="33"/>
            <w:vAlign w:val="center"/>
          </w:tcPr>
          <w:p w14:paraId="35EE262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bottom w:val="nil"/>
            </w:tcBorders>
            <w:shd w:val="clear" w:color="auto" w:fill="EAF1DD" w:themeFill="accent3" w:themeFillTint="33"/>
            <w:vAlign w:val="center"/>
          </w:tcPr>
          <w:p w14:paraId="0C3A0AF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tcBorders>
              <w:top w:val="nil"/>
              <w:bottom w:val="nil"/>
            </w:tcBorders>
            <w:shd w:val="clear" w:color="auto" w:fill="EAF1DD" w:themeFill="accent3" w:themeFillTint="33"/>
            <w:vAlign w:val="center"/>
          </w:tcPr>
          <w:p w14:paraId="29C3A86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Borders>
              <w:top w:val="nil"/>
              <w:bottom w:val="nil"/>
            </w:tcBorders>
            <w:shd w:val="clear" w:color="auto" w:fill="EAF1DD" w:themeFill="accent3" w:themeFillTint="33"/>
            <w:vAlign w:val="center"/>
          </w:tcPr>
          <w:p w14:paraId="52206F3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5F5BAC80" w14:textId="77777777" w:rsidTr="003B72F9">
        <w:tc>
          <w:tcPr>
            <w:tcW w:w="429" w:type="pct"/>
            <w:vMerge/>
          </w:tcPr>
          <w:p w14:paraId="657587F5" w14:textId="77777777" w:rsidR="00787B2D" w:rsidRPr="00AE3438" w:rsidRDefault="00787B2D" w:rsidP="00BD02D3">
            <w:pPr>
              <w:rPr>
                <w:rFonts w:ascii="Arial Narrow" w:hAnsi="Arial Narrow"/>
                <w:sz w:val="20"/>
                <w:szCs w:val="20"/>
              </w:rPr>
            </w:pPr>
          </w:p>
        </w:tc>
        <w:tc>
          <w:tcPr>
            <w:tcW w:w="1848" w:type="pct"/>
            <w:tcBorders>
              <w:top w:val="nil"/>
              <w:bottom w:val="nil"/>
            </w:tcBorders>
            <w:shd w:val="clear" w:color="auto" w:fill="EAF1DD" w:themeFill="accent3" w:themeFillTint="33"/>
          </w:tcPr>
          <w:p w14:paraId="68EDB2FE"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3 </w:t>
            </w:r>
            <w:r w:rsidRPr="00AE3438">
              <w:rPr>
                <w:rFonts w:ascii="Arial Narrow" w:hAnsi="Arial Narrow"/>
                <w:i/>
                <w:sz w:val="20"/>
                <w:szCs w:val="20"/>
              </w:rPr>
              <w:t xml:space="preserve">SMN2 </w:t>
            </w:r>
            <w:r w:rsidRPr="00AE3438">
              <w:rPr>
                <w:rFonts w:ascii="Arial Narrow" w:hAnsi="Arial Narrow"/>
                <w:iCs/>
                <w:sz w:val="20"/>
                <w:szCs w:val="20"/>
              </w:rPr>
              <w:t>copies</w:t>
            </w:r>
            <w:r w:rsidRPr="00AE3438">
              <w:rPr>
                <w:rFonts w:ascii="Arial Narrow" w:hAnsi="Arial Narrow"/>
                <w:sz w:val="20"/>
                <w:szCs w:val="20"/>
              </w:rPr>
              <w:t>, 24 months of age</w:t>
            </w:r>
          </w:p>
        </w:tc>
        <w:tc>
          <w:tcPr>
            <w:tcW w:w="629" w:type="pct"/>
            <w:tcBorders>
              <w:top w:val="nil"/>
              <w:bottom w:val="nil"/>
            </w:tcBorders>
            <w:shd w:val="clear" w:color="auto" w:fill="EAF1DD" w:themeFill="accent3" w:themeFillTint="33"/>
            <w:vAlign w:val="center"/>
          </w:tcPr>
          <w:p w14:paraId="01F8B72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14/15 (93.3%)</w:t>
            </w:r>
          </w:p>
        </w:tc>
        <w:tc>
          <w:tcPr>
            <w:tcW w:w="549" w:type="pct"/>
            <w:tcBorders>
              <w:top w:val="nil"/>
              <w:bottom w:val="nil"/>
            </w:tcBorders>
            <w:shd w:val="clear" w:color="auto" w:fill="EAF1DD" w:themeFill="accent3" w:themeFillTint="33"/>
            <w:vAlign w:val="center"/>
          </w:tcPr>
          <w:p w14:paraId="3D9831A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17 (21%)^</w:t>
            </w:r>
          </w:p>
        </w:tc>
        <w:tc>
          <w:tcPr>
            <w:tcW w:w="643" w:type="pct"/>
            <w:tcBorders>
              <w:top w:val="nil"/>
              <w:bottom w:val="nil"/>
            </w:tcBorders>
            <w:shd w:val="clear" w:color="auto" w:fill="EAF1DD" w:themeFill="accent3" w:themeFillTint="33"/>
            <w:vAlign w:val="center"/>
          </w:tcPr>
          <w:p w14:paraId="12B6D57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tcBorders>
              <w:top w:val="nil"/>
              <w:bottom w:val="nil"/>
            </w:tcBorders>
            <w:shd w:val="clear" w:color="auto" w:fill="EAF1DD" w:themeFill="accent3" w:themeFillTint="33"/>
            <w:vAlign w:val="center"/>
          </w:tcPr>
          <w:p w14:paraId="0B287E1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Borders>
              <w:top w:val="nil"/>
              <w:bottom w:val="nil"/>
            </w:tcBorders>
            <w:shd w:val="clear" w:color="auto" w:fill="EAF1DD" w:themeFill="accent3" w:themeFillTint="33"/>
            <w:vAlign w:val="center"/>
          </w:tcPr>
          <w:p w14:paraId="2B79165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sym w:font="Wingdings" w:char="F0FC"/>
            </w:r>
          </w:p>
        </w:tc>
      </w:tr>
      <w:tr w:rsidR="00787B2D" w:rsidRPr="00AE3438" w14:paraId="2A783D1C" w14:textId="77777777" w:rsidTr="003B72F9">
        <w:tc>
          <w:tcPr>
            <w:tcW w:w="429" w:type="pct"/>
            <w:vMerge/>
          </w:tcPr>
          <w:p w14:paraId="5AF5859D" w14:textId="77777777" w:rsidR="00787B2D" w:rsidRPr="00AE3438" w:rsidRDefault="00787B2D" w:rsidP="00BD02D3">
            <w:pPr>
              <w:rPr>
                <w:rFonts w:ascii="Arial Narrow" w:hAnsi="Arial Narrow"/>
                <w:sz w:val="20"/>
                <w:szCs w:val="20"/>
              </w:rPr>
            </w:pPr>
          </w:p>
        </w:tc>
        <w:tc>
          <w:tcPr>
            <w:tcW w:w="1848" w:type="pct"/>
            <w:tcBorders>
              <w:top w:val="nil"/>
              <w:bottom w:val="nil"/>
            </w:tcBorders>
            <w:shd w:val="clear" w:color="auto" w:fill="EAF1DD" w:themeFill="accent3" w:themeFillTint="33"/>
          </w:tcPr>
          <w:p w14:paraId="1813AD15" w14:textId="77777777" w:rsidR="00787B2D" w:rsidRPr="00AE3438" w:rsidRDefault="00787B2D" w:rsidP="00BD02D3">
            <w:pPr>
              <w:ind w:left="170"/>
              <w:rPr>
                <w:rFonts w:ascii="Arial Narrow" w:hAnsi="Arial Narrow"/>
                <w:sz w:val="20"/>
                <w:szCs w:val="20"/>
              </w:rPr>
            </w:pPr>
            <w:r w:rsidRPr="00AE3438">
              <w:rPr>
                <w:rFonts w:ascii="Arial Narrow" w:hAnsi="Arial Narrow"/>
                <w:sz w:val="20"/>
                <w:szCs w:val="20"/>
              </w:rPr>
              <w:t>% achieved within window</w:t>
            </w:r>
          </w:p>
        </w:tc>
        <w:tc>
          <w:tcPr>
            <w:tcW w:w="629" w:type="pct"/>
            <w:tcBorders>
              <w:top w:val="nil"/>
              <w:bottom w:val="nil"/>
            </w:tcBorders>
            <w:shd w:val="clear" w:color="auto" w:fill="EAF1DD" w:themeFill="accent3" w:themeFillTint="33"/>
            <w:vAlign w:val="center"/>
          </w:tcPr>
          <w:p w14:paraId="45E3B85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11/15 (73.3%)</w:t>
            </w:r>
          </w:p>
        </w:tc>
        <w:tc>
          <w:tcPr>
            <w:tcW w:w="549" w:type="pct"/>
            <w:tcBorders>
              <w:top w:val="nil"/>
              <w:bottom w:val="nil"/>
            </w:tcBorders>
            <w:shd w:val="clear" w:color="auto" w:fill="EAF1DD" w:themeFill="accent3" w:themeFillTint="33"/>
            <w:vAlign w:val="center"/>
          </w:tcPr>
          <w:p w14:paraId="4C231CB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bottom w:val="nil"/>
            </w:tcBorders>
            <w:shd w:val="clear" w:color="auto" w:fill="EAF1DD" w:themeFill="accent3" w:themeFillTint="33"/>
            <w:vAlign w:val="center"/>
          </w:tcPr>
          <w:p w14:paraId="7A12A7F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tcBorders>
              <w:top w:val="nil"/>
              <w:bottom w:val="nil"/>
            </w:tcBorders>
            <w:shd w:val="clear" w:color="auto" w:fill="EAF1DD" w:themeFill="accent3" w:themeFillTint="33"/>
            <w:vAlign w:val="center"/>
          </w:tcPr>
          <w:p w14:paraId="38C3CEF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Borders>
              <w:top w:val="nil"/>
              <w:bottom w:val="nil"/>
            </w:tcBorders>
            <w:shd w:val="clear" w:color="auto" w:fill="EAF1DD" w:themeFill="accent3" w:themeFillTint="33"/>
            <w:vAlign w:val="center"/>
          </w:tcPr>
          <w:p w14:paraId="4AE7677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6A522FF2" w14:textId="77777777" w:rsidTr="003B72F9">
        <w:tc>
          <w:tcPr>
            <w:tcW w:w="429" w:type="pct"/>
            <w:vMerge/>
          </w:tcPr>
          <w:p w14:paraId="61CD1397" w14:textId="77777777" w:rsidR="00787B2D" w:rsidRPr="00AE3438" w:rsidRDefault="00787B2D" w:rsidP="00BD02D3">
            <w:pPr>
              <w:rPr>
                <w:rFonts w:ascii="Arial Narrow" w:hAnsi="Arial Narrow"/>
                <w:sz w:val="20"/>
                <w:szCs w:val="20"/>
              </w:rPr>
            </w:pPr>
          </w:p>
        </w:tc>
        <w:tc>
          <w:tcPr>
            <w:tcW w:w="1848" w:type="pct"/>
            <w:tcBorders>
              <w:top w:val="nil"/>
            </w:tcBorders>
            <w:shd w:val="clear" w:color="auto" w:fill="EAF1DD" w:themeFill="accent3" w:themeFillTint="33"/>
          </w:tcPr>
          <w:p w14:paraId="13757F72" w14:textId="77777777" w:rsidR="00787B2D" w:rsidRPr="00AE3438" w:rsidRDefault="00787B2D" w:rsidP="00BD02D3">
            <w:pPr>
              <w:ind w:left="170"/>
              <w:rPr>
                <w:rFonts w:ascii="Arial Narrow" w:hAnsi="Arial Narrow"/>
                <w:sz w:val="20"/>
                <w:szCs w:val="20"/>
              </w:rPr>
            </w:pPr>
            <w:r w:rsidRPr="00AE3438">
              <w:rPr>
                <w:rFonts w:ascii="Arial Narrow" w:hAnsi="Arial Narrow"/>
                <w:sz w:val="20"/>
                <w:szCs w:val="20"/>
              </w:rPr>
              <w:t>Median (range) age at earliest achievement, 14.1 (12.1-18.8) months</w:t>
            </w:r>
          </w:p>
        </w:tc>
        <w:tc>
          <w:tcPr>
            <w:tcW w:w="629" w:type="pct"/>
            <w:tcBorders>
              <w:top w:val="nil"/>
            </w:tcBorders>
            <w:shd w:val="clear" w:color="auto" w:fill="EAF1DD" w:themeFill="accent3" w:themeFillTint="33"/>
            <w:vAlign w:val="center"/>
          </w:tcPr>
          <w:p w14:paraId="1DA6E7FF" w14:textId="77777777" w:rsidR="00787B2D" w:rsidRPr="00AE3438" w:rsidRDefault="00787B2D" w:rsidP="00BD02D3">
            <w:pPr>
              <w:jc w:val="center"/>
              <w:rPr>
                <w:rFonts w:ascii="Arial Narrow" w:hAnsi="Arial Narrow"/>
                <w:sz w:val="20"/>
                <w:szCs w:val="20"/>
              </w:rPr>
            </w:pPr>
          </w:p>
        </w:tc>
        <w:tc>
          <w:tcPr>
            <w:tcW w:w="549" w:type="pct"/>
            <w:tcBorders>
              <w:top w:val="nil"/>
            </w:tcBorders>
            <w:shd w:val="clear" w:color="auto" w:fill="EAF1DD" w:themeFill="accent3" w:themeFillTint="33"/>
            <w:vAlign w:val="center"/>
          </w:tcPr>
          <w:p w14:paraId="271EE23A" w14:textId="77777777" w:rsidR="00787B2D" w:rsidRPr="00AE3438" w:rsidRDefault="00787B2D" w:rsidP="00BD02D3">
            <w:pPr>
              <w:jc w:val="center"/>
              <w:rPr>
                <w:rFonts w:ascii="Arial Narrow" w:hAnsi="Arial Narrow"/>
                <w:sz w:val="20"/>
                <w:szCs w:val="20"/>
              </w:rPr>
            </w:pPr>
          </w:p>
        </w:tc>
        <w:tc>
          <w:tcPr>
            <w:tcW w:w="643" w:type="pct"/>
            <w:tcBorders>
              <w:top w:val="nil"/>
            </w:tcBorders>
            <w:shd w:val="clear" w:color="auto" w:fill="EAF1DD" w:themeFill="accent3" w:themeFillTint="33"/>
            <w:vAlign w:val="center"/>
          </w:tcPr>
          <w:p w14:paraId="66D99493" w14:textId="77777777" w:rsidR="00787B2D" w:rsidRPr="00AE3438" w:rsidRDefault="00787B2D" w:rsidP="00BD02D3">
            <w:pPr>
              <w:jc w:val="center"/>
              <w:rPr>
                <w:rFonts w:ascii="Arial Narrow" w:hAnsi="Arial Narrow"/>
                <w:sz w:val="20"/>
                <w:szCs w:val="20"/>
              </w:rPr>
            </w:pPr>
          </w:p>
        </w:tc>
        <w:tc>
          <w:tcPr>
            <w:tcW w:w="770" w:type="pct"/>
            <w:tcBorders>
              <w:top w:val="nil"/>
            </w:tcBorders>
            <w:shd w:val="clear" w:color="auto" w:fill="EAF1DD" w:themeFill="accent3" w:themeFillTint="33"/>
            <w:vAlign w:val="center"/>
          </w:tcPr>
          <w:p w14:paraId="4425AC82" w14:textId="77777777" w:rsidR="00787B2D" w:rsidRPr="00AE3438" w:rsidRDefault="00787B2D" w:rsidP="00BD02D3">
            <w:pPr>
              <w:jc w:val="center"/>
              <w:rPr>
                <w:rFonts w:ascii="Arial Narrow" w:hAnsi="Arial Narrow"/>
                <w:sz w:val="20"/>
                <w:szCs w:val="20"/>
              </w:rPr>
            </w:pPr>
          </w:p>
        </w:tc>
        <w:tc>
          <w:tcPr>
            <w:tcW w:w="132" w:type="pct"/>
            <w:tcBorders>
              <w:top w:val="nil"/>
            </w:tcBorders>
            <w:shd w:val="clear" w:color="auto" w:fill="EAF1DD" w:themeFill="accent3" w:themeFillTint="33"/>
            <w:vAlign w:val="center"/>
          </w:tcPr>
          <w:p w14:paraId="7457E0A6" w14:textId="77777777" w:rsidR="00787B2D" w:rsidRPr="00AE3438" w:rsidRDefault="00787B2D" w:rsidP="00BD02D3">
            <w:pPr>
              <w:jc w:val="center"/>
              <w:rPr>
                <w:rFonts w:ascii="Arial Narrow" w:hAnsi="Arial Narrow"/>
                <w:sz w:val="20"/>
                <w:szCs w:val="20"/>
              </w:rPr>
            </w:pPr>
          </w:p>
        </w:tc>
      </w:tr>
      <w:tr w:rsidR="00787B2D" w:rsidRPr="00AE3438" w14:paraId="73EF02F8" w14:textId="77777777" w:rsidTr="003B72F9">
        <w:tc>
          <w:tcPr>
            <w:tcW w:w="429" w:type="pct"/>
            <w:vMerge/>
          </w:tcPr>
          <w:p w14:paraId="6E0649A0" w14:textId="77777777" w:rsidR="00787B2D" w:rsidRPr="00AE3438" w:rsidRDefault="00787B2D" w:rsidP="00BD02D3">
            <w:pPr>
              <w:rPr>
                <w:rFonts w:ascii="Arial Narrow" w:hAnsi="Arial Narrow"/>
                <w:sz w:val="20"/>
                <w:szCs w:val="20"/>
              </w:rPr>
            </w:pPr>
          </w:p>
        </w:tc>
        <w:tc>
          <w:tcPr>
            <w:tcW w:w="1848" w:type="pct"/>
            <w:tcBorders>
              <w:bottom w:val="nil"/>
            </w:tcBorders>
            <w:shd w:val="clear" w:color="auto" w:fill="auto"/>
          </w:tcPr>
          <w:p w14:paraId="024382DA" w14:textId="77777777" w:rsidR="00787B2D" w:rsidRPr="00AE3438" w:rsidRDefault="00787B2D" w:rsidP="00BD02D3">
            <w:pPr>
              <w:rPr>
                <w:rFonts w:ascii="Arial Narrow" w:hAnsi="Arial Narrow"/>
                <w:sz w:val="20"/>
                <w:szCs w:val="20"/>
                <w:u w:val="single"/>
              </w:rPr>
            </w:pPr>
            <w:r w:rsidRPr="00AE3438">
              <w:rPr>
                <w:rFonts w:ascii="Arial Narrow" w:eastAsiaTheme="majorEastAsia" w:hAnsi="Arial Narrow" w:cstheme="majorBidi"/>
                <w:b/>
                <w:bCs/>
                <w:color w:val="D60093"/>
                <w:sz w:val="20"/>
                <w:szCs w:val="20"/>
                <w:u w:val="single"/>
              </w:rPr>
              <w:t>Symptomatic</w:t>
            </w:r>
            <w:r w:rsidRPr="00AE3438">
              <w:rPr>
                <w:rFonts w:ascii="Arial Narrow" w:hAnsi="Arial Narrow"/>
                <w:sz w:val="20"/>
                <w:szCs w:val="20"/>
                <w:u w:val="single"/>
              </w:rPr>
              <w:t xml:space="preserve"> treatment</w:t>
            </w:r>
          </w:p>
        </w:tc>
        <w:tc>
          <w:tcPr>
            <w:tcW w:w="629" w:type="pct"/>
            <w:tcBorders>
              <w:bottom w:val="nil"/>
            </w:tcBorders>
            <w:shd w:val="clear" w:color="auto" w:fill="auto"/>
            <w:vAlign w:val="center"/>
          </w:tcPr>
          <w:p w14:paraId="72FFA542" w14:textId="77777777" w:rsidR="00787B2D" w:rsidRPr="00AE3438" w:rsidRDefault="00787B2D" w:rsidP="00BD02D3">
            <w:pPr>
              <w:jc w:val="center"/>
              <w:rPr>
                <w:rFonts w:ascii="Arial Narrow" w:hAnsi="Arial Narrow"/>
                <w:sz w:val="20"/>
                <w:szCs w:val="20"/>
              </w:rPr>
            </w:pPr>
          </w:p>
        </w:tc>
        <w:tc>
          <w:tcPr>
            <w:tcW w:w="549" w:type="pct"/>
            <w:tcBorders>
              <w:bottom w:val="nil"/>
            </w:tcBorders>
            <w:shd w:val="clear" w:color="auto" w:fill="auto"/>
            <w:vAlign w:val="center"/>
          </w:tcPr>
          <w:p w14:paraId="5473BA6E" w14:textId="77777777" w:rsidR="00787B2D" w:rsidRPr="00AE3438" w:rsidRDefault="00787B2D" w:rsidP="00BD02D3">
            <w:pPr>
              <w:jc w:val="center"/>
              <w:rPr>
                <w:rFonts w:ascii="Arial Narrow" w:hAnsi="Arial Narrow"/>
                <w:sz w:val="20"/>
                <w:szCs w:val="20"/>
              </w:rPr>
            </w:pPr>
          </w:p>
        </w:tc>
        <w:tc>
          <w:tcPr>
            <w:tcW w:w="643" w:type="pct"/>
            <w:tcBorders>
              <w:bottom w:val="nil"/>
            </w:tcBorders>
            <w:shd w:val="clear" w:color="auto" w:fill="auto"/>
            <w:vAlign w:val="center"/>
          </w:tcPr>
          <w:p w14:paraId="76C3FCA1" w14:textId="77777777" w:rsidR="00787B2D" w:rsidRPr="00AE3438" w:rsidRDefault="00787B2D" w:rsidP="00BD02D3">
            <w:pPr>
              <w:jc w:val="center"/>
              <w:rPr>
                <w:rFonts w:ascii="Arial Narrow" w:hAnsi="Arial Narrow"/>
                <w:sz w:val="20"/>
                <w:szCs w:val="20"/>
              </w:rPr>
            </w:pPr>
          </w:p>
        </w:tc>
        <w:tc>
          <w:tcPr>
            <w:tcW w:w="770" w:type="pct"/>
            <w:tcBorders>
              <w:bottom w:val="nil"/>
            </w:tcBorders>
            <w:shd w:val="clear" w:color="auto" w:fill="auto"/>
            <w:vAlign w:val="center"/>
          </w:tcPr>
          <w:p w14:paraId="57BF9131" w14:textId="77777777" w:rsidR="00787B2D" w:rsidRPr="00AE3438" w:rsidRDefault="00787B2D" w:rsidP="00BD02D3">
            <w:pPr>
              <w:jc w:val="center"/>
              <w:rPr>
                <w:rFonts w:ascii="Arial Narrow" w:hAnsi="Arial Narrow"/>
                <w:sz w:val="20"/>
                <w:szCs w:val="20"/>
              </w:rPr>
            </w:pPr>
          </w:p>
        </w:tc>
        <w:tc>
          <w:tcPr>
            <w:tcW w:w="132" w:type="pct"/>
            <w:tcBorders>
              <w:bottom w:val="nil"/>
            </w:tcBorders>
            <w:shd w:val="clear" w:color="auto" w:fill="auto"/>
            <w:vAlign w:val="center"/>
          </w:tcPr>
          <w:p w14:paraId="6B31E36F" w14:textId="77777777" w:rsidR="00787B2D" w:rsidRPr="00AE3438" w:rsidRDefault="00787B2D" w:rsidP="00BD02D3">
            <w:pPr>
              <w:jc w:val="center"/>
              <w:rPr>
                <w:rFonts w:ascii="Arial Narrow" w:hAnsi="Arial Narrow"/>
                <w:sz w:val="20"/>
                <w:szCs w:val="20"/>
              </w:rPr>
            </w:pPr>
          </w:p>
        </w:tc>
      </w:tr>
      <w:tr w:rsidR="00787B2D" w:rsidRPr="00AE3438" w14:paraId="39DCA355" w14:textId="77777777" w:rsidTr="003B72F9">
        <w:tc>
          <w:tcPr>
            <w:tcW w:w="429" w:type="pct"/>
            <w:vMerge/>
          </w:tcPr>
          <w:p w14:paraId="3351E8CB" w14:textId="77777777" w:rsidR="00787B2D" w:rsidRPr="00AE3438" w:rsidRDefault="00787B2D" w:rsidP="00BD02D3">
            <w:pPr>
              <w:rPr>
                <w:rFonts w:ascii="Arial Narrow" w:hAnsi="Arial Narrow"/>
                <w:sz w:val="20"/>
                <w:szCs w:val="20"/>
              </w:rPr>
            </w:pPr>
          </w:p>
        </w:tc>
        <w:tc>
          <w:tcPr>
            <w:tcW w:w="1848" w:type="pct"/>
            <w:tcBorders>
              <w:top w:val="nil"/>
              <w:bottom w:val="nil"/>
            </w:tcBorders>
            <w:shd w:val="clear" w:color="auto" w:fill="auto"/>
          </w:tcPr>
          <w:p w14:paraId="685C8198"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START (Type I, 2 </w:t>
            </w:r>
            <w:r w:rsidRPr="00AE3438">
              <w:rPr>
                <w:rFonts w:ascii="Arial Narrow" w:hAnsi="Arial Narrow"/>
                <w:i/>
                <w:iCs/>
                <w:sz w:val="20"/>
                <w:szCs w:val="20"/>
              </w:rPr>
              <w:t>SMN2 copies</w:t>
            </w:r>
            <w:r w:rsidRPr="00AE3438">
              <w:rPr>
                <w:rFonts w:ascii="Arial Narrow" w:hAnsi="Arial Narrow"/>
                <w:sz w:val="20"/>
                <w:szCs w:val="20"/>
              </w:rPr>
              <w:t>)– WHO-MGRS</w:t>
            </w:r>
          </w:p>
        </w:tc>
        <w:tc>
          <w:tcPr>
            <w:tcW w:w="629" w:type="pct"/>
            <w:tcBorders>
              <w:top w:val="nil"/>
              <w:bottom w:val="nil"/>
            </w:tcBorders>
            <w:shd w:val="clear" w:color="auto" w:fill="auto"/>
            <w:vAlign w:val="center"/>
          </w:tcPr>
          <w:p w14:paraId="3FE499DB" w14:textId="77777777" w:rsidR="00787B2D" w:rsidRPr="00AE3438" w:rsidRDefault="00787B2D" w:rsidP="00BD02D3">
            <w:pPr>
              <w:jc w:val="center"/>
              <w:rPr>
                <w:rFonts w:ascii="Arial Narrow" w:hAnsi="Arial Narrow"/>
                <w:sz w:val="20"/>
                <w:szCs w:val="20"/>
              </w:rPr>
            </w:pPr>
          </w:p>
        </w:tc>
        <w:tc>
          <w:tcPr>
            <w:tcW w:w="549" w:type="pct"/>
            <w:tcBorders>
              <w:top w:val="nil"/>
              <w:bottom w:val="nil"/>
            </w:tcBorders>
            <w:shd w:val="clear" w:color="auto" w:fill="auto"/>
            <w:vAlign w:val="center"/>
          </w:tcPr>
          <w:p w14:paraId="3FEF4724" w14:textId="77777777" w:rsidR="00787B2D" w:rsidRPr="00AE3438" w:rsidRDefault="00787B2D" w:rsidP="00BD02D3">
            <w:pPr>
              <w:jc w:val="center"/>
              <w:rPr>
                <w:rFonts w:ascii="Arial Narrow" w:hAnsi="Arial Narrow"/>
                <w:sz w:val="20"/>
                <w:szCs w:val="20"/>
              </w:rPr>
            </w:pPr>
          </w:p>
        </w:tc>
        <w:tc>
          <w:tcPr>
            <w:tcW w:w="643" w:type="pct"/>
            <w:tcBorders>
              <w:top w:val="nil"/>
              <w:bottom w:val="nil"/>
            </w:tcBorders>
            <w:shd w:val="clear" w:color="auto" w:fill="auto"/>
            <w:vAlign w:val="center"/>
          </w:tcPr>
          <w:p w14:paraId="59890F16" w14:textId="77777777" w:rsidR="00787B2D" w:rsidRPr="00AE3438" w:rsidRDefault="00787B2D" w:rsidP="00BD02D3">
            <w:pPr>
              <w:jc w:val="center"/>
              <w:rPr>
                <w:rFonts w:ascii="Arial Narrow" w:hAnsi="Arial Narrow"/>
                <w:sz w:val="20"/>
                <w:szCs w:val="20"/>
              </w:rPr>
            </w:pPr>
          </w:p>
        </w:tc>
        <w:tc>
          <w:tcPr>
            <w:tcW w:w="770" w:type="pct"/>
            <w:tcBorders>
              <w:top w:val="nil"/>
              <w:bottom w:val="nil"/>
            </w:tcBorders>
            <w:shd w:val="clear" w:color="auto" w:fill="auto"/>
            <w:vAlign w:val="center"/>
          </w:tcPr>
          <w:p w14:paraId="7A14A51E" w14:textId="77777777" w:rsidR="00787B2D" w:rsidRPr="00AE3438" w:rsidRDefault="00787B2D" w:rsidP="00BD02D3">
            <w:pPr>
              <w:jc w:val="center"/>
              <w:rPr>
                <w:rFonts w:ascii="Arial Narrow" w:hAnsi="Arial Narrow"/>
                <w:sz w:val="20"/>
                <w:szCs w:val="20"/>
              </w:rPr>
            </w:pPr>
          </w:p>
        </w:tc>
        <w:tc>
          <w:tcPr>
            <w:tcW w:w="132" w:type="pct"/>
            <w:tcBorders>
              <w:top w:val="nil"/>
              <w:bottom w:val="nil"/>
            </w:tcBorders>
            <w:shd w:val="clear" w:color="auto" w:fill="auto"/>
            <w:vAlign w:val="center"/>
          </w:tcPr>
          <w:p w14:paraId="050F5FD8" w14:textId="77777777" w:rsidR="00787B2D" w:rsidRPr="00AE3438" w:rsidRDefault="00787B2D" w:rsidP="00BD02D3">
            <w:pPr>
              <w:jc w:val="center"/>
              <w:rPr>
                <w:rFonts w:ascii="Arial Narrow" w:hAnsi="Arial Narrow"/>
                <w:sz w:val="20"/>
                <w:szCs w:val="20"/>
              </w:rPr>
            </w:pPr>
          </w:p>
        </w:tc>
      </w:tr>
      <w:tr w:rsidR="00787B2D" w:rsidRPr="00AE3438" w14:paraId="4DB0D946" w14:textId="77777777" w:rsidTr="003B72F9">
        <w:tc>
          <w:tcPr>
            <w:tcW w:w="429" w:type="pct"/>
            <w:vMerge/>
          </w:tcPr>
          <w:p w14:paraId="6072C0C1" w14:textId="77777777" w:rsidR="00787B2D" w:rsidRPr="00AE3438" w:rsidRDefault="00787B2D" w:rsidP="00BD02D3">
            <w:pPr>
              <w:rPr>
                <w:rFonts w:ascii="Arial Narrow" w:hAnsi="Arial Narrow"/>
                <w:sz w:val="20"/>
                <w:szCs w:val="20"/>
              </w:rPr>
            </w:pPr>
          </w:p>
        </w:tc>
        <w:tc>
          <w:tcPr>
            <w:tcW w:w="1848" w:type="pct"/>
            <w:tcBorders>
              <w:top w:val="nil"/>
            </w:tcBorders>
            <w:shd w:val="clear" w:color="auto" w:fill="auto"/>
          </w:tcPr>
          <w:p w14:paraId="2D5993E4"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13.6 months of age</w:t>
            </w:r>
          </w:p>
          <w:p w14:paraId="608B5B42"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24 months post dose</w:t>
            </w:r>
          </w:p>
        </w:tc>
        <w:tc>
          <w:tcPr>
            <w:tcW w:w="629" w:type="pct"/>
            <w:tcBorders>
              <w:top w:val="nil"/>
            </w:tcBorders>
            <w:shd w:val="clear" w:color="auto" w:fill="auto"/>
            <w:vAlign w:val="center"/>
          </w:tcPr>
          <w:p w14:paraId="5D38CD1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2/12 (16.7%)</w:t>
            </w:r>
          </w:p>
          <w:p w14:paraId="6721BF1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2/12 (16.7%)</w:t>
            </w:r>
          </w:p>
        </w:tc>
        <w:tc>
          <w:tcPr>
            <w:tcW w:w="549" w:type="pct"/>
            <w:tcBorders>
              <w:top w:val="nil"/>
            </w:tcBorders>
            <w:shd w:val="clear" w:color="auto" w:fill="auto"/>
            <w:vAlign w:val="center"/>
          </w:tcPr>
          <w:p w14:paraId="14AC518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tcBorders>
            <w:shd w:val="clear" w:color="auto" w:fill="auto"/>
            <w:vAlign w:val="center"/>
          </w:tcPr>
          <w:p w14:paraId="31C0C47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tcBorders>
              <w:top w:val="nil"/>
            </w:tcBorders>
            <w:shd w:val="clear" w:color="auto" w:fill="auto"/>
            <w:vAlign w:val="center"/>
          </w:tcPr>
          <w:p w14:paraId="4B3EF9C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Borders>
              <w:top w:val="nil"/>
            </w:tcBorders>
            <w:shd w:val="clear" w:color="auto" w:fill="auto"/>
            <w:vAlign w:val="center"/>
          </w:tcPr>
          <w:p w14:paraId="4A021A1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21E25690" w14:textId="77777777" w:rsidTr="003B72F9">
        <w:tc>
          <w:tcPr>
            <w:tcW w:w="429" w:type="pct"/>
            <w:vMerge/>
          </w:tcPr>
          <w:p w14:paraId="148C2D3F" w14:textId="77777777" w:rsidR="00787B2D" w:rsidRPr="00AE3438" w:rsidRDefault="00787B2D" w:rsidP="00BD02D3">
            <w:pPr>
              <w:rPr>
                <w:rFonts w:ascii="Arial Narrow" w:hAnsi="Arial Narrow"/>
                <w:sz w:val="20"/>
                <w:szCs w:val="20"/>
              </w:rPr>
            </w:pPr>
          </w:p>
        </w:tc>
        <w:tc>
          <w:tcPr>
            <w:tcW w:w="1848" w:type="pct"/>
            <w:shd w:val="clear" w:color="auto" w:fill="auto"/>
          </w:tcPr>
          <w:p w14:paraId="60B0830E"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STR1VE-US (Type I, 1-2 </w:t>
            </w:r>
            <w:r w:rsidRPr="00AE3438">
              <w:rPr>
                <w:rFonts w:ascii="Arial Narrow" w:hAnsi="Arial Narrow"/>
                <w:i/>
                <w:iCs/>
                <w:sz w:val="20"/>
                <w:szCs w:val="20"/>
              </w:rPr>
              <w:t xml:space="preserve">SMN2 </w:t>
            </w:r>
            <w:r w:rsidRPr="00AE3438">
              <w:rPr>
                <w:rFonts w:ascii="Arial Narrow" w:hAnsi="Arial Narrow"/>
                <w:sz w:val="20"/>
                <w:szCs w:val="20"/>
              </w:rPr>
              <w:t>copies)</w:t>
            </w:r>
          </w:p>
          <w:p w14:paraId="6EA0A0A0"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BSID, 15.3 months of age</w:t>
            </w:r>
          </w:p>
        </w:tc>
        <w:tc>
          <w:tcPr>
            <w:tcW w:w="629" w:type="pct"/>
            <w:shd w:val="clear" w:color="auto" w:fill="auto"/>
            <w:vAlign w:val="center"/>
          </w:tcPr>
          <w:p w14:paraId="233F139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1/22 (4.5%)</w:t>
            </w:r>
          </w:p>
        </w:tc>
        <w:tc>
          <w:tcPr>
            <w:tcW w:w="549" w:type="pct"/>
            <w:shd w:val="clear" w:color="auto" w:fill="auto"/>
            <w:vAlign w:val="center"/>
          </w:tcPr>
          <w:p w14:paraId="45DF25E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shd w:val="clear" w:color="auto" w:fill="auto"/>
            <w:vAlign w:val="center"/>
          </w:tcPr>
          <w:p w14:paraId="1CBDE28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shd w:val="clear" w:color="auto" w:fill="auto"/>
            <w:vAlign w:val="center"/>
          </w:tcPr>
          <w:p w14:paraId="3BA896E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shd w:val="clear" w:color="auto" w:fill="auto"/>
            <w:vAlign w:val="center"/>
          </w:tcPr>
          <w:p w14:paraId="4DB1324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58D2A391" w14:textId="77777777" w:rsidTr="003B72F9">
        <w:tc>
          <w:tcPr>
            <w:tcW w:w="429" w:type="pct"/>
            <w:vMerge/>
          </w:tcPr>
          <w:p w14:paraId="031F8F75" w14:textId="77777777" w:rsidR="00787B2D" w:rsidRPr="00AE3438" w:rsidRDefault="00787B2D" w:rsidP="00BD02D3">
            <w:pPr>
              <w:rPr>
                <w:rFonts w:ascii="Arial Narrow" w:hAnsi="Arial Narrow"/>
                <w:sz w:val="20"/>
                <w:szCs w:val="20"/>
              </w:rPr>
            </w:pPr>
          </w:p>
        </w:tc>
        <w:tc>
          <w:tcPr>
            <w:tcW w:w="1848" w:type="pct"/>
            <w:shd w:val="clear" w:color="auto" w:fill="auto"/>
          </w:tcPr>
          <w:p w14:paraId="6CCF375F"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STR1VE-EU (Type I ,1-2 </w:t>
            </w:r>
            <w:r w:rsidRPr="00AE3438">
              <w:rPr>
                <w:rFonts w:ascii="Arial Narrow" w:hAnsi="Arial Narrow"/>
                <w:i/>
                <w:iCs/>
                <w:sz w:val="20"/>
                <w:szCs w:val="20"/>
              </w:rPr>
              <w:t xml:space="preserve">SMN2 </w:t>
            </w:r>
            <w:r w:rsidRPr="00AE3438">
              <w:rPr>
                <w:rFonts w:ascii="Arial Narrow" w:hAnsi="Arial Narrow"/>
                <w:sz w:val="20"/>
                <w:szCs w:val="20"/>
              </w:rPr>
              <w:t>copies)</w:t>
            </w:r>
          </w:p>
          <w:p w14:paraId="648C165F"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BSID/WHO-MGRS, 18 months of age</w:t>
            </w:r>
          </w:p>
        </w:tc>
        <w:tc>
          <w:tcPr>
            <w:tcW w:w="629" w:type="pct"/>
            <w:shd w:val="clear" w:color="auto" w:fill="auto"/>
            <w:vAlign w:val="center"/>
          </w:tcPr>
          <w:p w14:paraId="6D4329C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1/33 (3%)</w:t>
            </w:r>
          </w:p>
        </w:tc>
        <w:tc>
          <w:tcPr>
            <w:tcW w:w="549" w:type="pct"/>
            <w:shd w:val="clear" w:color="auto" w:fill="auto"/>
            <w:vAlign w:val="center"/>
          </w:tcPr>
          <w:p w14:paraId="44A6AD6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shd w:val="clear" w:color="auto" w:fill="auto"/>
            <w:vAlign w:val="center"/>
          </w:tcPr>
          <w:p w14:paraId="4956464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shd w:val="clear" w:color="auto" w:fill="auto"/>
            <w:vAlign w:val="center"/>
          </w:tcPr>
          <w:p w14:paraId="0DD28B5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shd w:val="clear" w:color="auto" w:fill="auto"/>
            <w:vAlign w:val="center"/>
          </w:tcPr>
          <w:p w14:paraId="6138BDB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393018F6" w14:textId="77777777" w:rsidTr="003B72F9">
        <w:tc>
          <w:tcPr>
            <w:tcW w:w="429" w:type="pct"/>
            <w:vMerge w:val="restart"/>
          </w:tcPr>
          <w:p w14:paraId="23D9D136" w14:textId="77777777" w:rsidR="00787B2D" w:rsidRPr="00AE3438" w:rsidRDefault="00787B2D" w:rsidP="00BD02D3">
            <w:pPr>
              <w:jc w:val="left"/>
              <w:rPr>
                <w:rFonts w:ascii="Arial Narrow" w:hAnsi="Arial Narrow"/>
                <w:sz w:val="20"/>
                <w:szCs w:val="20"/>
              </w:rPr>
            </w:pPr>
            <w:r w:rsidRPr="00AE3438">
              <w:rPr>
                <w:rFonts w:ascii="Arial Narrow" w:hAnsi="Arial Narrow"/>
                <w:b/>
                <w:sz w:val="20"/>
                <w:szCs w:val="20"/>
              </w:rPr>
              <w:t>NUSI</w:t>
            </w:r>
          </w:p>
        </w:tc>
        <w:tc>
          <w:tcPr>
            <w:tcW w:w="1848" w:type="pct"/>
            <w:tcBorders>
              <w:bottom w:val="nil"/>
            </w:tcBorders>
            <w:shd w:val="clear" w:color="auto" w:fill="EAF1DD" w:themeFill="accent3" w:themeFillTint="33"/>
          </w:tcPr>
          <w:p w14:paraId="763BCECB" w14:textId="77777777" w:rsidR="00787B2D" w:rsidRPr="00AE3438" w:rsidRDefault="00787B2D" w:rsidP="00BD02D3">
            <w:pPr>
              <w:rPr>
                <w:rFonts w:ascii="Arial Narrow" w:hAnsi="Arial Narrow"/>
                <w:color w:val="00B050"/>
                <w:sz w:val="20"/>
                <w:szCs w:val="20"/>
                <w:u w:val="single"/>
              </w:rPr>
            </w:pPr>
            <w:r w:rsidRPr="00AE3438">
              <w:rPr>
                <w:rFonts w:ascii="Arial Narrow" w:hAnsi="Arial Narrow"/>
                <w:b/>
                <w:bCs/>
                <w:color w:val="00B050"/>
                <w:sz w:val="20"/>
                <w:szCs w:val="20"/>
                <w:u w:val="single"/>
              </w:rPr>
              <w:t>Pre-symptomatic</w:t>
            </w:r>
            <w:r w:rsidRPr="00AE3438">
              <w:rPr>
                <w:rFonts w:ascii="Arial Narrow" w:hAnsi="Arial Narrow"/>
                <w:color w:val="00B050"/>
                <w:sz w:val="20"/>
                <w:szCs w:val="20"/>
                <w:u w:val="single"/>
              </w:rPr>
              <w:t xml:space="preserve"> </w:t>
            </w:r>
            <w:r w:rsidRPr="00AE3438">
              <w:rPr>
                <w:rFonts w:ascii="Arial Narrow" w:hAnsi="Arial Narrow"/>
                <w:sz w:val="20"/>
                <w:szCs w:val="20"/>
                <w:u w:val="single"/>
              </w:rPr>
              <w:t>treatment</w:t>
            </w:r>
          </w:p>
        </w:tc>
        <w:tc>
          <w:tcPr>
            <w:tcW w:w="629" w:type="pct"/>
            <w:tcBorders>
              <w:bottom w:val="nil"/>
            </w:tcBorders>
            <w:shd w:val="clear" w:color="auto" w:fill="EAF1DD" w:themeFill="accent3" w:themeFillTint="33"/>
            <w:vAlign w:val="center"/>
          </w:tcPr>
          <w:p w14:paraId="6F793B34" w14:textId="77777777" w:rsidR="00787B2D" w:rsidRPr="00AE3438" w:rsidRDefault="00787B2D" w:rsidP="00BD02D3">
            <w:pPr>
              <w:jc w:val="center"/>
              <w:rPr>
                <w:rFonts w:ascii="Arial Narrow" w:hAnsi="Arial Narrow"/>
                <w:sz w:val="20"/>
                <w:szCs w:val="20"/>
              </w:rPr>
            </w:pPr>
          </w:p>
        </w:tc>
        <w:tc>
          <w:tcPr>
            <w:tcW w:w="549" w:type="pct"/>
            <w:tcBorders>
              <w:bottom w:val="nil"/>
            </w:tcBorders>
            <w:shd w:val="clear" w:color="auto" w:fill="EAF1DD" w:themeFill="accent3" w:themeFillTint="33"/>
            <w:vAlign w:val="center"/>
          </w:tcPr>
          <w:p w14:paraId="18E124AB" w14:textId="77777777" w:rsidR="00787B2D" w:rsidRPr="00AE3438" w:rsidRDefault="00787B2D" w:rsidP="00BD02D3">
            <w:pPr>
              <w:jc w:val="center"/>
              <w:rPr>
                <w:rFonts w:ascii="Arial Narrow" w:hAnsi="Arial Narrow"/>
                <w:sz w:val="20"/>
                <w:szCs w:val="20"/>
              </w:rPr>
            </w:pPr>
          </w:p>
        </w:tc>
        <w:tc>
          <w:tcPr>
            <w:tcW w:w="643" w:type="pct"/>
            <w:tcBorders>
              <w:bottom w:val="nil"/>
            </w:tcBorders>
            <w:shd w:val="clear" w:color="auto" w:fill="EAF1DD" w:themeFill="accent3" w:themeFillTint="33"/>
            <w:vAlign w:val="center"/>
          </w:tcPr>
          <w:p w14:paraId="10486175" w14:textId="77777777" w:rsidR="00787B2D" w:rsidRPr="00AE3438" w:rsidRDefault="00787B2D" w:rsidP="00BD02D3">
            <w:pPr>
              <w:jc w:val="center"/>
              <w:rPr>
                <w:rFonts w:ascii="Arial Narrow" w:hAnsi="Arial Narrow"/>
                <w:sz w:val="20"/>
                <w:szCs w:val="20"/>
              </w:rPr>
            </w:pPr>
          </w:p>
        </w:tc>
        <w:tc>
          <w:tcPr>
            <w:tcW w:w="770" w:type="pct"/>
            <w:tcBorders>
              <w:bottom w:val="nil"/>
            </w:tcBorders>
            <w:shd w:val="clear" w:color="auto" w:fill="EAF1DD" w:themeFill="accent3" w:themeFillTint="33"/>
            <w:vAlign w:val="center"/>
          </w:tcPr>
          <w:p w14:paraId="43CF74DC" w14:textId="77777777" w:rsidR="00787B2D" w:rsidRPr="00AE3438" w:rsidRDefault="00787B2D" w:rsidP="00BD02D3">
            <w:pPr>
              <w:jc w:val="center"/>
              <w:rPr>
                <w:rFonts w:ascii="Arial Narrow" w:hAnsi="Arial Narrow"/>
                <w:sz w:val="20"/>
                <w:szCs w:val="20"/>
              </w:rPr>
            </w:pPr>
          </w:p>
        </w:tc>
        <w:tc>
          <w:tcPr>
            <w:tcW w:w="132" w:type="pct"/>
            <w:tcBorders>
              <w:bottom w:val="nil"/>
            </w:tcBorders>
            <w:shd w:val="clear" w:color="auto" w:fill="EAF1DD" w:themeFill="accent3" w:themeFillTint="33"/>
            <w:vAlign w:val="center"/>
          </w:tcPr>
          <w:p w14:paraId="08C2EDF9" w14:textId="77777777" w:rsidR="00787B2D" w:rsidRPr="00AE3438" w:rsidRDefault="00787B2D" w:rsidP="00BD02D3">
            <w:pPr>
              <w:jc w:val="center"/>
              <w:rPr>
                <w:rFonts w:ascii="Arial Narrow" w:hAnsi="Arial Narrow"/>
                <w:sz w:val="20"/>
                <w:szCs w:val="20"/>
              </w:rPr>
            </w:pPr>
          </w:p>
        </w:tc>
      </w:tr>
      <w:tr w:rsidR="00787B2D" w:rsidRPr="00AE3438" w14:paraId="729216E9" w14:textId="77777777" w:rsidTr="003B72F9">
        <w:tc>
          <w:tcPr>
            <w:tcW w:w="429" w:type="pct"/>
            <w:vMerge/>
            <w:vAlign w:val="center"/>
          </w:tcPr>
          <w:p w14:paraId="053A755B" w14:textId="77777777" w:rsidR="00787B2D" w:rsidRPr="00AE3438" w:rsidRDefault="00787B2D" w:rsidP="00BD02D3">
            <w:pPr>
              <w:jc w:val="left"/>
              <w:rPr>
                <w:rFonts w:ascii="Arial Narrow" w:hAnsi="Arial Narrow"/>
                <w:b/>
                <w:sz w:val="20"/>
                <w:szCs w:val="20"/>
              </w:rPr>
            </w:pPr>
          </w:p>
        </w:tc>
        <w:tc>
          <w:tcPr>
            <w:tcW w:w="1848" w:type="pct"/>
            <w:tcBorders>
              <w:top w:val="nil"/>
              <w:bottom w:val="nil"/>
            </w:tcBorders>
            <w:shd w:val="clear" w:color="auto" w:fill="EAF1DD" w:themeFill="accent3" w:themeFillTint="33"/>
          </w:tcPr>
          <w:p w14:paraId="2EB4CB53"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NURTURE (2-3 </w:t>
            </w:r>
            <w:r w:rsidRPr="00AE3438">
              <w:rPr>
                <w:rFonts w:ascii="Arial Narrow" w:hAnsi="Arial Narrow"/>
                <w:i/>
                <w:sz w:val="20"/>
                <w:szCs w:val="20"/>
              </w:rPr>
              <w:t>SMN2</w:t>
            </w:r>
            <w:r w:rsidRPr="00AE3438">
              <w:rPr>
                <w:rFonts w:ascii="Arial Narrow" w:hAnsi="Arial Narrow"/>
                <w:sz w:val="20"/>
                <w:szCs w:val="20"/>
              </w:rPr>
              <w:t xml:space="preserve"> copies)</w:t>
            </w:r>
            <w:r w:rsidRPr="00AE3438" w:rsidDel="00C75D38">
              <w:rPr>
                <w:rFonts w:ascii="Arial Narrow" w:hAnsi="Arial Narrow"/>
                <w:sz w:val="20"/>
                <w:szCs w:val="20"/>
              </w:rPr>
              <w:t xml:space="preserve"> </w:t>
            </w:r>
            <w:r w:rsidRPr="00AE3438">
              <w:rPr>
                <w:rFonts w:ascii="Arial Narrow" w:hAnsi="Arial Narrow"/>
                <w:sz w:val="20"/>
                <w:szCs w:val="20"/>
              </w:rPr>
              <w:t>– WHO-MGRS</w:t>
            </w:r>
          </w:p>
        </w:tc>
        <w:tc>
          <w:tcPr>
            <w:tcW w:w="629" w:type="pct"/>
            <w:tcBorders>
              <w:top w:val="nil"/>
              <w:bottom w:val="nil"/>
            </w:tcBorders>
            <w:shd w:val="clear" w:color="auto" w:fill="EAF1DD" w:themeFill="accent3" w:themeFillTint="33"/>
            <w:vAlign w:val="center"/>
          </w:tcPr>
          <w:p w14:paraId="68E8E985" w14:textId="77777777" w:rsidR="00787B2D" w:rsidRPr="00AE3438" w:rsidRDefault="00787B2D" w:rsidP="00BD02D3">
            <w:pPr>
              <w:jc w:val="center"/>
              <w:rPr>
                <w:rFonts w:ascii="Arial Narrow" w:hAnsi="Arial Narrow"/>
                <w:sz w:val="20"/>
                <w:szCs w:val="20"/>
              </w:rPr>
            </w:pPr>
          </w:p>
        </w:tc>
        <w:tc>
          <w:tcPr>
            <w:tcW w:w="549" w:type="pct"/>
            <w:tcBorders>
              <w:top w:val="nil"/>
              <w:bottom w:val="nil"/>
            </w:tcBorders>
            <w:shd w:val="clear" w:color="auto" w:fill="EAF1DD" w:themeFill="accent3" w:themeFillTint="33"/>
            <w:vAlign w:val="center"/>
          </w:tcPr>
          <w:p w14:paraId="4A538043" w14:textId="77777777" w:rsidR="00787B2D" w:rsidRPr="00AE3438" w:rsidRDefault="00787B2D" w:rsidP="00BD02D3">
            <w:pPr>
              <w:jc w:val="center"/>
              <w:rPr>
                <w:rFonts w:ascii="Arial Narrow" w:hAnsi="Arial Narrow"/>
                <w:sz w:val="20"/>
                <w:szCs w:val="20"/>
              </w:rPr>
            </w:pPr>
          </w:p>
        </w:tc>
        <w:tc>
          <w:tcPr>
            <w:tcW w:w="643" w:type="pct"/>
            <w:tcBorders>
              <w:top w:val="nil"/>
              <w:bottom w:val="nil"/>
            </w:tcBorders>
            <w:shd w:val="clear" w:color="auto" w:fill="EAF1DD" w:themeFill="accent3" w:themeFillTint="33"/>
            <w:vAlign w:val="center"/>
          </w:tcPr>
          <w:p w14:paraId="006C683B" w14:textId="77777777" w:rsidR="00787B2D" w:rsidRPr="00AE3438" w:rsidRDefault="00787B2D" w:rsidP="00BD02D3">
            <w:pPr>
              <w:jc w:val="center"/>
              <w:rPr>
                <w:rFonts w:ascii="Arial Narrow" w:hAnsi="Arial Narrow"/>
                <w:sz w:val="20"/>
                <w:szCs w:val="20"/>
              </w:rPr>
            </w:pPr>
          </w:p>
        </w:tc>
        <w:tc>
          <w:tcPr>
            <w:tcW w:w="770" w:type="pct"/>
            <w:tcBorders>
              <w:top w:val="nil"/>
              <w:bottom w:val="nil"/>
            </w:tcBorders>
            <w:shd w:val="clear" w:color="auto" w:fill="EAF1DD" w:themeFill="accent3" w:themeFillTint="33"/>
            <w:vAlign w:val="center"/>
          </w:tcPr>
          <w:p w14:paraId="59E74366" w14:textId="77777777" w:rsidR="00787B2D" w:rsidRPr="00AE3438" w:rsidRDefault="00787B2D" w:rsidP="00BD02D3">
            <w:pPr>
              <w:jc w:val="center"/>
              <w:rPr>
                <w:rFonts w:ascii="Arial Narrow" w:hAnsi="Arial Narrow"/>
                <w:sz w:val="20"/>
                <w:szCs w:val="20"/>
              </w:rPr>
            </w:pPr>
          </w:p>
        </w:tc>
        <w:tc>
          <w:tcPr>
            <w:tcW w:w="132" w:type="pct"/>
            <w:tcBorders>
              <w:top w:val="nil"/>
              <w:bottom w:val="nil"/>
            </w:tcBorders>
            <w:shd w:val="clear" w:color="auto" w:fill="EAF1DD" w:themeFill="accent3" w:themeFillTint="33"/>
          </w:tcPr>
          <w:p w14:paraId="18118117" w14:textId="77777777" w:rsidR="00787B2D" w:rsidRPr="00AE3438" w:rsidRDefault="00787B2D" w:rsidP="00BD02D3">
            <w:pPr>
              <w:jc w:val="center"/>
              <w:rPr>
                <w:rFonts w:ascii="Arial Narrow" w:hAnsi="Arial Narrow"/>
                <w:sz w:val="20"/>
                <w:szCs w:val="20"/>
              </w:rPr>
            </w:pPr>
          </w:p>
        </w:tc>
      </w:tr>
      <w:tr w:rsidR="00787B2D" w:rsidRPr="00AE3438" w14:paraId="6CBC3660" w14:textId="77777777" w:rsidTr="003B72F9">
        <w:tc>
          <w:tcPr>
            <w:tcW w:w="429" w:type="pct"/>
            <w:vMerge/>
          </w:tcPr>
          <w:p w14:paraId="6985D464" w14:textId="77777777" w:rsidR="00787B2D" w:rsidRPr="00AE3438" w:rsidRDefault="00787B2D" w:rsidP="00BD02D3">
            <w:pPr>
              <w:rPr>
                <w:rFonts w:ascii="Arial Narrow" w:hAnsi="Arial Narrow"/>
                <w:sz w:val="20"/>
                <w:szCs w:val="20"/>
              </w:rPr>
            </w:pPr>
          </w:p>
        </w:tc>
        <w:tc>
          <w:tcPr>
            <w:tcW w:w="1848" w:type="pct"/>
            <w:tcBorders>
              <w:top w:val="nil"/>
              <w:bottom w:val="nil"/>
            </w:tcBorders>
            <w:shd w:val="clear" w:color="auto" w:fill="EAF1DD" w:themeFill="accent3" w:themeFillTint="33"/>
          </w:tcPr>
          <w:p w14:paraId="4E31E1F6"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2 copies of </w:t>
            </w:r>
            <w:r w:rsidRPr="00AE3438">
              <w:rPr>
                <w:rFonts w:ascii="Arial Narrow" w:hAnsi="Arial Narrow"/>
                <w:i/>
                <w:sz w:val="20"/>
                <w:szCs w:val="20"/>
              </w:rPr>
              <w:t>SMN2</w:t>
            </w:r>
            <w:r w:rsidRPr="00AE3438">
              <w:rPr>
                <w:rFonts w:ascii="Arial Narrow" w:hAnsi="Arial Narrow"/>
                <w:sz w:val="20"/>
                <w:szCs w:val="20"/>
              </w:rPr>
              <w:t>, 34.5 months of age</w:t>
            </w:r>
          </w:p>
        </w:tc>
        <w:tc>
          <w:tcPr>
            <w:tcW w:w="629" w:type="pct"/>
            <w:tcBorders>
              <w:top w:val="nil"/>
              <w:bottom w:val="nil"/>
            </w:tcBorders>
            <w:shd w:val="clear" w:color="auto" w:fill="EAF1DD" w:themeFill="accent3" w:themeFillTint="33"/>
            <w:vAlign w:val="center"/>
          </w:tcPr>
          <w:p w14:paraId="6AB667D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tcBorders>
              <w:top w:val="nil"/>
              <w:bottom w:val="nil"/>
            </w:tcBorders>
            <w:shd w:val="clear" w:color="auto" w:fill="EAF1DD" w:themeFill="accent3" w:themeFillTint="33"/>
            <w:vAlign w:val="center"/>
          </w:tcPr>
          <w:p w14:paraId="72BA9C4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bottom w:val="nil"/>
            </w:tcBorders>
            <w:shd w:val="clear" w:color="auto" w:fill="EAF1DD" w:themeFill="accent3" w:themeFillTint="33"/>
            <w:vAlign w:val="center"/>
          </w:tcPr>
          <w:p w14:paraId="7C09AB8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12/15 (88%)</w:t>
            </w:r>
          </w:p>
        </w:tc>
        <w:tc>
          <w:tcPr>
            <w:tcW w:w="770" w:type="pct"/>
            <w:tcBorders>
              <w:top w:val="nil"/>
              <w:bottom w:val="nil"/>
            </w:tcBorders>
            <w:shd w:val="clear" w:color="auto" w:fill="EAF1DD" w:themeFill="accent3" w:themeFillTint="33"/>
            <w:vAlign w:val="center"/>
          </w:tcPr>
          <w:p w14:paraId="1A06372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Borders>
              <w:top w:val="nil"/>
              <w:bottom w:val="nil"/>
            </w:tcBorders>
            <w:shd w:val="clear" w:color="auto" w:fill="EAF1DD" w:themeFill="accent3" w:themeFillTint="33"/>
          </w:tcPr>
          <w:p w14:paraId="7B7FB12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3DCD9B7C" w14:textId="77777777" w:rsidTr="003B72F9">
        <w:tc>
          <w:tcPr>
            <w:tcW w:w="429" w:type="pct"/>
            <w:vMerge/>
          </w:tcPr>
          <w:p w14:paraId="0B7F01FB" w14:textId="77777777" w:rsidR="00787B2D" w:rsidRPr="00AE3438" w:rsidRDefault="00787B2D" w:rsidP="00BD02D3">
            <w:pPr>
              <w:rPr>
                <w:rFonts w:ascii="Arial Narrow" w:hAnsi="Arial Narrow"/>
                <w:sz w:val="20"/>
                <w:szCs w:val="20"/>
              </w:rPr>
            </w:pPr>
          </w:p>
        </w:tc>
        <w:tc>
          <w:tcPr>
            <w:tcW w:w="1848" w:type="pct"/>
            <w:tcBorders>
              <w:top w:val="nil"/>
            </w:tcBorders>
            <w:shd w:val="clear" w:color="auto" w:fill="EAF1DD" w:themeFill="accent3" w:themeFillTint="33"/>
          </w:tcPr>
          <w:p w14:paraId="227BAC76"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3 copies of </w:t>
            </w:r>
            <w:r w:rsidRPr="00AE3438">
              <w:rPr>
                <w:rFonts w:ascii="Arial Narrow" w:hAnsi="Arial Narrow"/>
                <w:i/>
                <w:sz w:val="20"/>
                <w:szCs w:val="20"/>
              </w:rPr>
              <w:t>SMN2</w:t>
            </w:r>
            <w:r w:rsidRPr="00AE3438">
              <w:rPr>
                <w:rFonts w:ascii="Arial Narrow" w:hAnsi="Arial Narrow"/>
                <w:sz w:val="20"/>
                <w:szCs w:val="20"/>
              </w:rPr>
              <w:t>, 24.7 months of age</w:t>
            </w:r>
          </w:p>
        </w:tc>
        <w:tc>
          <w:tcPr>
            <w:tcW w:w="629" w:type="pct"/>
            <w:tcBorders>
              <w:top w:val="nil"/>
            </w:tcBorders>
            <w:shd w:val="clear" w:color="auto" w:fill="EAF1DD" w:themeFill="accent3" w:themeFillTint="33"/>
            <w:vAlign w:val="center"/>
          </w:tcPr>
          <w:p w14:paraId="7D94002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tcBorders>
              <w:top w:val="nil"/>
            </w:tcBorders>
            <w:shd w:val="clear" w:color="auto" w:fill="EAF1DD" w:themeFill="accent3" w:themeFillTint="33"/>
            <w:vAlign w:val="center"/>
          </w:tcPr>
          <w:p w14:paraId="31D60D5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tcBorders>
            <w:shd w:val="clear" w:color="auto" w:fill="EAF1DD" w:themeFill="accent3" w:themeFillTint="33"/>
            <w:vAlign w:val="center"/>
          </w:tcPr>
          <w:p w14:paraId="7BC9A4B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10/10 (100%)</w:t>
            </w:r>
          </w:p>
        </w:tc>
        <w:tc>
          <w:tcPr>
            <w:tcW w:w="770" w:type="pct"/>
            <w:tcBorders>
              <w:top w:val="nil"/>
            </w:tcBorders>
            <w:shd w:val="clear" w:color="auto" w:fill="EAF1DD" w:themeFill="accent3" w:themeFillTint="33"/>
            <w:vAlign w:val="center"/>
          </w:tcPr>
          <w:p w14:paraId="01C17EA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Borders>
              <w:top w:val="nil"/>
            </w:tcBorders>
            <w:shd w:val="clear" w:color="auto" w:fill="EAF1DD" w:themeFill="accent3" w:themeFillTint="33"/>
          </w:tcPr>
          <w:p w14:paraId="772411D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00622F42" w14:textId="77777777" w:rsidTr="003B72F9">
        <w:tc>
          <w:tcPr>
            <w:tcW w:w="429" w:type="pct"/>
            <w:vMerge/>
          </w:tcPr>
          <w:p w14:paraId="13D2B2F3" w14:textId="77777777" w:rsidR="00787B2D" w:rsidRPr="00AE3438" w:rsidRDefault="00787B2D" w:rsidP="00BD02D3">
            <w:pPr>
              <w:rPr>
                <w:rFonts w:ascii="Arial Narrow" w:hAnsi="Arial Narrow"/>
                <w:sz w:val="20"/>
                <w:szCs w:val="20"/>
              </w:rPr>
            </w:pPr>
          </w:p>
        </w:tc>
        <w:tc>
          <w:tcPr>
            <w:tcW w:w="1848" w:type="pct"/>
            <w:tcBorders>
              <w:bottom w:val="nil"/>
            </w:tcBorders>
          </w:tcPr>
          <w:p w14:paraId="1527D205" w14:textId="77777777" w:rsidR="00787B2D" w:rsidRPr="00AE3438" w:rsidRDefault="00787B2D" w:rsidP="00BD02D3">
            <w:pPr>
              <w:rPr>
                <w:rFonts w:ascii="Arial Narrow" w:hAnsi="Arial Narrow"/>
                <w:sz w:val="20"/>
                <w:szCs w:val="20"/>
              </w:rPr>
            </w:pPr>
            <w:r w:rsidRPr="00AE3438">
              <w:rPr>
                <w:rFonts w:ascii="Arial Narrow" w:eastAsiaTheme="majorEastAsia" w:hAnsi="Arial Narrow" w:cstheme="majorBidi"/>
                <w:b/>
                <w:bCs/>
                <w:color w:val="D60093"/>
                <w:sz w:val="20"/>
                <w:szCs w:val="20"/>
                <w:u w:val="single"/>
              </w:rPr>
              <w:t>Symptomatic</w:t>
            </w:r>
            <w:r w:rsidRPr="00AE3438">
              <w:rPr>
                <w:rFonts w:ascii="Arial Narrow" w:eastAsiaTheme="majorEastAsia" w:hAnsi="Arial Narrow" w:cstheme="majorBidi"/>
                <w:color w:val="D60093"/>
                <w:sz w:val="20"/>
                <w:szCs w:val="20"/>
                <w:u w:val="single"/>
              </w:rPr>
              <w:t xml:space="preserve"> </w:t>
            </w:r>
            <w:r w:rsidRPr="00AE3438">
              <w:rPr>
                <w:rFonts w:ascii="Arial Narrow" w:hAnsi="Arial Narrow"/>
                <w:sz w:val="20"/>
                <w:szCs w:val="20"/>
                <w:u w:val="single"/>
              </w:rPr>
              <w:t>treatment – HINE-2</w:t>
            </w:r>
          </w:p>
        </w:tc>
        <w:tc>
          <w:tcPr>
            <w:tcW w:w="629" w:type="pct"/>
            <w:tcBorders>
              <w:bottom w:val="nil"/>
            </w:tcBorders>
            <w:vAlign w:val="center"/>
          </w:tcPr>
          <w:p w14:paraId="33B0D712" w14:textId="77777777" w:rsidR="00787B2D" w:rsidRPr="00AE3438" w:rsidRDefault="00787B2D" w:rsidP="00BD02D3">
            <w:pPr>
              <w:jc w:val="center"/>
              <w:rPr>
                <w:rFonts w:ascii="Arial Narrow" w:hAnsi="Arial Narrow"/>
                <w:sz w:val="20"/>
                <w:szCs w:val="20"/>
              </w:rPr>
            </w:pPr>
          </w:p>
        </w:tc>
        <w:tc>
          <w:tcPr>
            <w:tcW w:w="549" w:type="pct"/>
            <w:tcBorders>
              <w:bottom w:val="nil"/>
            </w:tcBorders>
            <w:vAlign w:val="center"/>
          </w:tcPr>
          <w:p w14:paraId="22378B6F" w14:textId="77777777" w:rsidR="00787B2D" w:rsidRPr="00AE3438" w:rsidRDefault="00787B2D" w:rsidP="00BD02D3">
            <w:pPr>
              <w:jc w:val="center"/>
              <w:rPr>
                <w:rFonts w:ascii="Arial Narrow" w:hAnsi="Arial Narrow"/>
                <w:sz w:val="20"/>
                <w:szCs w:val="20"/>
              </w:rPr>
            </w:pPr>
          </w:p>
        </w:tc>
        <w:tc>
          <w:tcPr>
            <w:tcW w:w="643" w:type="pct"/>
            <w:tcBorders>
              <w:bottom w:val="nil"/>
            </w:tcBorders>
            <w:vAlign w:val="center"/>
          </w:tcPr>
          <w:p w14:paraId="47ECD626" w14:textId="77777777" w:rsidR="00787B2D" w:rsidRPr="00AE3438" w:rsidRDefault="00787B2D" w:rsidP="00BD02D3">
            <w:pPr>
              <w:jc w:val="center"/>
              <w:rPr>
                <w:rFonts w:ascii="Arial Narrow" w:hAnsi="Arial Narrow"/>
                <w:sz w:val="20"/>
                <w:szCs w:val="20"/>
              </w:rPr>
            </w:pPr>
          </w:p>
        </w:tc>
        <w:tc>
          <w:tcPr>
            <w:tcW w:w="770" w:type="pct"/>
            <w:tcBorders>
              <w:bottom w:val="nil"/>
            </w:tcBorders>
            <w:vAlign w:val="center"/>
          </w:tcPr>
          <w:p w14:paraId="63E04BD1" w14:textId="77777777" w:rsidR="00787B2D" w:rsidRPr="00AE3438" w:rsidRDefault="00787B2D" w:rsidP="00BD02D3">
            <w:pPr>
              <w:jc w:val="center"/>
              <w:rPr>
                <w:rFonts w:ascii="Arial Narrow" w:hAnsi="Arial Narrow"/>
                <w:sz w:val="20"/>
                <w:szCs w:val="20"/>
              </w:rPr>
            </w:pPr>
          </w:p>
        </w:tc>
        <w:tc>
          <w:tcPr>
            <w:tcW w:w="132" w:type="pct"/>
            <w:tcBorders>
              <w:bottom w:val="nil"/>
            </w:tcBorders>
            <w:vAlign w:val="center"/>
          </w:tcPr>
          <w:p w14:paraId="2EC96CDD" w14:textId="77777777" w:rsidR="00787B2D" w:rsidRPr="00AE3438" w:rsidRDefault="00787B2D" w:rsidP="00BD02D3">
            <w:pPr>
              <w:jc w:val="center"/>
              <w:rPr>
                <w:rFonts w:ascii="Arial Narrow" w:hAnsi="Arial Narrow"/>
                <w:sz w:val="20"/>
                <w:szCs w:val="20"/>
              </w:rPr>
            </w:pPr>
          </w:p>
        </w:tc>
      </w:tr>
      <w:tr w:rsidR="00787B2D" w:rsidRPr="00AE3438" w14:paraId="240461BB" w14:textId="77777777" w:rsidTr="003B72F9">
        <w:tc>
          <w:tcPr>
            <w:tcW w:w="429" w:type="pct"/>
            <w:vMerge/>
          </w:tcPr>
          <w:p w14:paraId="51BBA9B4" w14:textId="77777777" w:rsidR="00787B2D" w:rsidRPr="00AE3438" w:rsidRDefault="00787B2D" w:rsidP="00BD02D3">
            <w:pPr>
              <w:rPr>
                <w:rFonts w:ascii="Arial Narrow" w:hAnsi="Arial Narrow"/>
                <w:sz w:val="20"/>
                <w:szCs w:val="20"/>
              </w:rPr>
            </w:pPr>
          </w:p>
        </w:tc>
        <w:tc>
          <w:tcPr>
            <w:tcW w:w="1848" w:type="pct"/>
            <w:tcBorders>
              <w:top w:val="nil"/>
            </w:tcBorders>
          </w:tcPr>
          <w:p w14:paraId="276A371C"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ENDEAR (Type I, 2 </w:t>
            </w:r>
            <w:r w:rsidRPr="00AE3438">
              <w:rPr>
                <w:rFonts w:ascii="Arial Narrow" w:hAnsi="Arial Narrow"/>
                <w:i/>
                <w:iCs/>
                <w:sz w:val="20"/>
                <w:szCs w:val="20"/>
              </w:rPr>
              <w:t xml:space="preserve">SMN2 </w:t>
            </w:r>
            <w:r w:rsidRPr="00AE3438">
              <w:rPr>
                <w:rFonts w:ascii="Arial Narrow" w:hAnsi="Arial Narrow"/>
                <w:sz w:val="20"/>
                <w:szCs w:val="20"/>
              </w:rPr>
              <w:t>copies)</w:t>
            </w:r>
          </w:p>
        </w:tc>
        <w:tc>
          <w:tcPr>
            <w:tcW w:w="629" w:type="pct"/>
            <w:tcBorders>
              <w:top w:val="nil"/>
            </w:tcBorders>
            <w:vAlign w:val="center"/>
          </w:tcPr>
          <w:p w14:paraId="30D0F16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tcBorders>
              <w:top w:val="nil"/>
            </w:tcBorders>
            <w:vAlign w:val="center"/>
          </w:tcPr>
          <w:p w14:paraId="5ACAF50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tcBorders>
            <w:vAlign w:val="center"/>
          </w:tcPr>
          <w:p w14:paraId="372624B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770" w:type="pct"/>
            <w:tcBorders>
              <w:top w:val="nil"/>
            </w:tcBorders>
            <w:vAlign w:val="center"/>
          </w:tcPr>
          <w:p w14:paraId="4D5B7C4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Borders>
              <w:top w:val="nil"/>
            </w:tcBorders>
            <w:vAlign w:val="center"/>
          </w:tcPr>
          <w:p w14:paraId="49BAF2E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sym w:font="Wingdings" w:char="F0FC"/>
            </w:r>
          </w:p>
        </w:tc>
      </w:tr>
      <w:tr w:rsidR="00787B2D" w:rsidRPr="00AE3438" w14:paraId="0E8D3814" w14:textId="77777777" w:rsidTr="003B72F9">
        <w:tc>
          <w:tcPr>
            <w:tcW w:w="429" w:type="pct"/>
            <w:vMerge/>
          </w:tcPr>
          <w:p w14:paraId="5725FB0E" w14:textId="77777777" w:rsidR="00787B2D" w:rsidRPr="00AE3438" w:rsidRDefault="00787B2D" w:rsidP="00BD02D3">
            <w:pPr>
              <w:rPr>
                <w:rFonts w:ascii="Arial Narrow" w:hAnsi="Arial Narrow"/>
                <w:sz w:val="20"/>
                <w:szCs w:val="20"/>
              </w:rPr>
            </w:pPr>
          </w:p>
        </w:tc>
        <w:tc>
          <w:tcPr>
            <w:tcW w:w="1848" w:type="pct"/>
          </w:tcPr>
          <w:p w14:paraId="671D23CC"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CS3A (Type I, 2-3 </w:t>
            </w:r>
            <w:r w:rsidRPr="00AE3438">
              <w:rPr>
                <w:rFonts w:ascii="Arial Narrow" w:hAnsi="Arial Narrow"/>
                <w:i/>
                <w:iCs/>
                <w:sz w:val="20"/>
                <w:szCs w:val="20"/>
              </w:rPr>
              <w:t xml:space="preserve">SMN2 </w:t>
            </w:r>
            <w:r w:rsidRPr="00AE3438">
              <w:rPr>
                <w:rFonts w:ascii="Arial Narrow" w:hAnsi="Arial Narrow"/>
                <w:sz w:val="20"/>
                <w:szCs w:val="20"/>
              </w:rPr>
              <w:t>copies)</w:t>
            </w:r>
          </w:p>
          <w:p w14:paraId="63F32F89"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median (range) time on study 36.2 (2-46.9) months</w:t>
            </w:r>
          </w:p>
        </w:tc>
        <w:tc>
          <w:tcPr>
            <w:tcW w:w="629" w:type="pct"/>
            <w:vAlign w:val="center"/>
          </w:tcPr>
          <w:p w14:paraId="0373803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vAlign w:val="center"/>
          </w:tcPr>
          <w:p w14:paraId="010AE24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vAlign w:val="center"/>
          </w:tcPr>
          <w:p w14:paraId="1998646A" w14:textId="77777777" w:rsidR="00787B2D" w:rsidRPr="00AE3438" w:rsidRDefault="00787B2D" w:rsidP="00BD02D3">
            <w:pPr>
              <w:jc w:val="center"/>
              <w:rPr>
                <w:rFonts w:ascii="Arial Narrow" w:hAnsi="Arial Narrow"/>
                <w:iCs/>
                <w:sz w:val="20"/>
                <w:szCs w:val="20"/>
              </w:rPr>
            </w:pPr>
            <w:r w:rsidRPr="00AE3438">
              <w:rPr>
                <w:rFonts w:ascii="Arial Narrow" w:hAnsi="Arial Narrow"/>
                <w:iCs/>
                <w:sz w:val="20"/>
                <w:szCs w:val="20"/>
              </w:rPr>
              <w:t>1/19 (5.3%)</w:t>
            </w:r>
            <w:r w:rsidRPr="00AE3438">
              <w:rPr>
                <w:rFonts w:ascii="Arial Narrow" w:hAnsi="Arial Narrow"/>
                <w:iCs/>
                <w:sz w:val="20"/>
                <w:szCs w:val="20"/>
                <w:vertAlign w:val="superscript"/>
              </w:rPr>
              <w:t>g</w:t>
            </w:r>
          </w:p>
        </w:tc>
        <w:tc>
          <w:tcPr>
            <w:tcW w:w="770" w:type="pct"/>
            <w:vAlign w:val="center"/>
          </w:tcPr>
          <w:p w14:paraId="0650F21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vAlign w:val="center"/>
          </w:tcPr>
          <w:p w14:paraId="6A63B7C0" w14:textId="77777777" w:rsidR="00787B2D" w:rsidRPr="00AE3438" w:rsidRDefault="00787B2D" w:rsidP="00BD02D3">
            <w:pPr>
              <w:jc w:val="center"/>
              <w:rPr>
                <w:rFonts w:ascii="Arial Narrow" w:hAnsi="Arial Narrow"/>
                <w:sz w:val="20"/>
                <w:szCs w:val="20"/>
              </w:rPr>
            </w:pPr>
          </w:p>
        </w:tc>
      </w:tr>
      <w:tr w:rsidR="00787B2D" w:rsidRPr="00AE3438" w14:paraId="5F96C913" w14:textId="77777777" w:rsidTr="003B72F9">
        <w:tc>
          <w:tcPr>
            <w:tcW w:w="429" w:type="pct"/>
            <w:vMerge/>
          </w:tcPr>
          <w:p w14:paraId="5AAD01AC" w14:textId="77777777" w:rsidR="00787B2D" w:rsidRPr="00AE3438" w:rsidRDefault="00787B2D" w:rsidP="00BD02D3">
            <w:pPr>
              <w:rPr>
                <w:rFonts w:ascii="Arial Narrow" w:hAnsi="Arial Narrow"/>
                <w:sz w:val="20"/>
                <w:szCs w:val="20"/>
              </w:rPr>
            </w:pPr>
          </w:p>
        </w:tc>
        <w:tc>
          <w:tcPr>
            <w:tcW w:w="1848" w:type="pct"/>
          </w:tcPr>
          <w:p w14:paraId="3A261C58"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CS2 (Type II or III, 2-4 </w:t>
            </w:r>
            <w:r w:rsidRPr="00AE3438">
              <w:rPr>
                <w:rFonts w:ascii="Arial Narrow" w:hAnsi="Arial Narrow"/>
                <w:i/>
                <w:iCs/>
                <w:sz w:val="20"/>
                <w:szCs w:val="20"/>
              </w:rPr>
              <w:t xml:space="preserve">SMN2 </w:t>
            </w:r>
            <w:r w:rsidRPr="00AE3438">
              <w:rPr>
                <w:rFonts w:ascii="Arial Narrow" w:hAnsi="Arial Narrow"/>
                <w:sz w:val="20"/>
                <w:szCs w:val="20"/>
              </w:rPr>
              <w:t>copies)</w:t>
            </w:r>
          </w:p>
        </w:tc>
        <w:tc>
          <w:tcPr>
            <w:tcW w:w="629" w:type="pct"/>
            <w:vAlign w:val="center"/>
          </w:tcPr>
          <w:p w14:paraId="631A354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vAlign w:val="center"/>
          </w:tcPr>
          <w:p w14:paraId="7F7AF8C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vAlign w:val="center"/>
          </w:tcPr>
          <w:p w14:paraId="2BA6BA2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770" w:type="pct"/>
          </w:tcPr>
          <w:p w14:paraId="3640CF6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vAlign w:val="center"/>
          </w:tcPr>
          <w:p w14:paraId="6F6061D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0F78127D" w14:textId="77777777" w:rsidTr="003B72F9">
        <w:tc>
          <w:tcPr>
            <w:tcW w:w="429" w:type="pct"/>
            <w:vMerge/>
          </w:tcPr>
          <w:p w14:paraId="36ACD8DC" w14:textId="77777777" w:rsidR="00787B2D" w:rsidRPr="00AE3438" w:rsidRDefault="00787B2D" w:rsidP="00BD02D3">
            <w:pPr>
              <w:rPr>
                <w:rFonts w:ascii="Arial Narrow" w:hAnsi="Arial Narrow"/>
                <w:sz w:val="20"/>
                <w:szCs w:val="20"/>
              </w:rPr>
            </w:pPr>
          </w:p>
        </w:tc>
        <w:tc>
          <w:tcPr>
            <w:tcW w:w="1848" w:type="pct"/>
            <w:tcBorders>
              <w:bottom w:val="nil"/>
            </w:tcBorders>
          </w:tcPr>
          <w:p w14:paraId="20084C89"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CS2/CS12 (Type II or III, 2-4 </w:t>
            </w:r>
            <w:r w:rsidRPr="00AE3438">
              <w:rPr>
                <w:rFonts w:ascii="Arial Narrow" w:hAnsi="Arial Narrow"/>
                <w:i/>
                <w:iCs/>
                <w:sz w:val="20"/>
                <w:szCs w:val="20"/>
              </w:rPr>
              <w:t xml:space="preserve">SMN2 </w:t>
            </w:r>
            <w:r w:rsidRPr="00AE3438">
              <w:rPr>
                <w:rFonts w:ascii="Arial Narrow" w:hAnsi="Arial Narrow"/>
                <w:sz w:val="20"/>
                <w:szCs w:val="20"/>
              </w:rPr>
              <w:t>copies) - 6MWT</w:t>
            </w:r>
          </w:p>
        </w:tc>
        <w:tc>
          <w:tcPr>
            <w:tcW w:w="629" w:type="pct"/>
            <w:tcBorders>
              <w:bottom w:val="nil"/>
            </w:tcBorders>
          </w:tcPr>
          <w:p w14:paraId="796CEAB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tcBorders>
              <w:bottom w:val="nil"/>
            </w:tcBorders>
            <w:vAlign w:val="center"/>
          </w:tcPr>
          <w:p w14:paraId="6275BBEF" w14:textId="77777777" w:rsidR="00787B2D" w:rsidRPr="00AE3438" w:rsidRDefault="00787B2D" w:rsidP="00BD02D3">
            <w:pPr>
              <w:jc w:val="center"/>
              <w:rPr>
                <w:rFonts w:ascii="Arial Narrow" w:hAnsi="Arial Narrow"/>
                <w:sz w:val="20"/>
                <w:szCs w:val="20"/>
              </w:rPr>
            </w:pPr>
          </w:p>
        </w:tc>
        <w:tc>
          <w:tcPr>
            <w:tcW w:w="643" w:type="pct"/>
            <w:tcBorders>
              <w:bottom w:val="nil"/>
            </w:tcBorders>
            <w:vAlign w:val="center"/>
          </w:tcPr>
          <w:p w14:paraId="59B79C0F" w14:textId="77777777" w:rsidR="00787B2D" w:rsidRPr="00AE3438" w:rsidRDefault="00787B2D" w:rsidP="00BD02D3">
            <w:pPr>
              <w:jc w:val="center"/>
              <w:rPr>
                <w:rFonts w:ascii="Arial Narrow" w:hAnsi="Arial Narrow"/>
                <w:sz w:val="20"/>
                <w:szCs w:val="20"/>
              </w:rPr>
            </w:pPr>
          </w:p>
        </w:tc>
        <w:tc>
          <w:tcPr>
            <w:tcW w:w="770" w:type="pct"/>
            <w:tcBorders>
              <w:bottom w:val="nil"/>
            </w:tcBorders>
          </w:tcPr>
          <w:p w14:paraId="73EADC4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Borders>
              <w:bottom w:val="nil"/>
            </w:tcBorders>
          </w:tcPr>
          <w:p w14:paraId="1411F1D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sym w:font="Wingdings" w:char="F0FC"/>
            </w:r>
          </w:p>
        </w:tc>
      </w:tr>
      <w:tr w:rsidR="00787B2D" w:rsidRPr="00AE3438" w14:paraId="661416DF" w14:textId="77777777" w:rsidTr="003B72F9">
        <w:tc>
          <w:tcPr>
            <w:tcW w:w="429" w:type="pct"/>
            <w:vMerge/>
          </w:tcPr>
          <w:p w14:paraId="0C69F42B" w14:textId="77777777" w:rsidR="00787B2D" w:rsidRPr="00AE3438" w:rsidRDefault="00787B2D" w:rsidP="00BD02D3">
            <w:pPr>
              <w:rPr>
                <w:rFonts w:ascii="Arial Narrow" w:hAnsi="Arial Narrow"/>
                <w:sz w:val="20"/>
                <w:szCs w:val="20"/>
              </w:rPr>
            </w:pPr>
          </w:p>
        </w:tc>
        <w:tc>
          <w:tcPr>
            <w:tcW w:w="1848" w:type="pct"/>
            <w:tcBorders>
              <w:top w:val="nil"/>
              <w:bottom w:val="nil"/>
            </w:tcBorders>
          </w:tcPr>
          <w:p w14:paraId="57C8D648"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Type II, mean age at assessment 4.6 years</w:t>
            </w:r>
            <w:r w:rsidRPr="00AE3438">
              <w:rPr>
                <w:rFonts w:ascii="Arial Narrow" w:hAnsi="Arial Narrow"/>
                <w:sz w:val="20"/>
                <w:szCs w:val="20"/>
                <w:vertAlign w:val="superscript"/>
              </w:rPr>
              <w:t>h</w:t>
            </w:r>
          </w:p>
        </w:tc>
        <w:tc>
          <w:tcPr>
            <w:tcW w:w="629" w:type="pct"/>
            <w:tcBorders>
              <w:top w:val="nil"/>
              <w:bottom w:val="nil"/>
            </w:tcBorders>
          </w:tcPr>
          <w:p w14:paraId="4ED17EF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tcBorders>
              <w:top w:val="nil"/>
              <w:bottom w:val="nil"/>
            </w:tcBorders>
            <w:vAlign w:val="center"/>
          </w:tcPr>
          <w:p w14:paraId="5601B34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bottom w:val="nil"/>
            </w:tcBorders>
            <w:vAlign w:val="center"/>
          </w:tcPr>
          <w:p w14:paraId="1A46D4C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1/11 (9.1%)</w:t>
            </w:r>
          </w:p>
        </w:tc>
        <w:tc>
          <w:tcPr>
            <w:tcW w:w="770" w:type="pct"/>
            <w:tcBorders>
              <w:top w:val="nil"/>
              <w:bottom w:val="nil"/>
            </w:tcBorders>
          </w:tcPr>
          <w:p w14:paraId="2A5D9C0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Borders>
              <w:top w:val="nil"/>
              <w:bottom w:val="nil"/>
            </w:tcBorders>
          </w:tcPr>
          <w:p w14:paraId="64387CA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06FBF16B" w14:textId="77777777" w:rsidTr="003B72F9">
        <w:tc>
          <w:tcPr>
            <w:tcW w:w="429" w:type="pct"/>
            <w:vMerge/>
          </w:tcPr>
          <w:p w14:paraId="2BBE45ED" w14:textId="77777777" w:rsidR="00787B2D" w:rsidRPr="00AE3438" w:rsidRDefault="00787B2D" w:rsidP="00BD02D3">
            <w:pPr>
              <w:rPr>
                <w:rFonts w:ascii="Arial Narrow" w:hAnsi="Arial Narrow"/>
                <w:sz w:val="20"/>
                <w:szCs w:val="20"/>
              </w:rPr>
            </w:pPr>
          </w:p>
        </w:tc>
        <w:tc>
          <w:tcPr>
            <w:tcW w:w="1848" w:type="pct"/>
            <w:tcBorders>
              <w:top w:val="nil"/>
            </w:tcBorders>
          </w:tcPr>
          <w:p w14:paraId="3D8D5191"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Type III, mean age at final assessment 12.8 years</w:t>
            </w:r>
          </w:p>
        </w:tc>
        <w:tc>
          <w:tcPr>
            <w:tcW w:w="629" w:type="pct"/>
            <w:tcBorders>
              <w:top w:val="nil"/>
            </w:tcBorders>
          </w:tcPr>
          <w:p w14:paraId="717EF18D" w14:textId="77777777" w:rsidR="00787B2D" w:rsidRPr="00AE3438" w:rsidRDefault="00787B2D" w:rsidP="00BD02D3">
            <w:pPr>
              <w:jc w:val="center"/>
              <w:rPr>
                <w:rFonts w:ascii="Arial Narrow" w:hAnsi="Arial Narrow"/>
                <w:sz w:val="20"/>
                <w:szCs w:val="20"/>
              </w:rPr>
            </w:pPr>
          </w:p>
        </w:tc>
        <w:tc>
          <w:tcPr>
            <w:tcW w:w="549" w:type="pct"/>
            <w:tcBorders>
              <w:top w:val="nil"/>
            </w:tcBorders>
            <w:vAlign w:val="center"/>
          </w:tcPr>
          <w:p w14:paraId="2E05B22C" w14:textId="77777777" w:rsidR="00787B2D" w:rsidRPr="00AE3438" w:rsidRDefault="00787B2D" w:rsidP="00BD02D3">
            <w:pPr>
              <w:jc w:val="center"/>
              <w:rPr>
                <w:rFonts w:ascii="Arial Narrow" w:hAnsi="Arial Narrow"/>
                <w:sz w:val="20"/>
                <w:szCs w:val="20"/>
              </w:rPr>
            </w:pPr>
          </w:p>
        </w:tc>
        <w:tc>
          <w:tcPr>
            <w:tcW w:w="643" w:type="pct"/>
            <w:tcBorders>
              <w:top w:val="nil"/>
            </w:tcBorders>
            <w:vAlign w:val="center"/>
          </w:tcPr>
          <w:p w14:paraId="2B9116E1" w14:textId="77777777" w:rsidR="00787B2D" w:rsidRPr="00AE3438" w:rsidRDefault="00787B2D" w:rsidP="00BD02D3">
            <w:pPr>
              <w:jc w:val="center"/>
              <w:rPr>
                <w:rFonts w:ascii="Arial Narrow" w:hAnsi="Arial Narrow"/>
                <w:iCs/>
                <w:sz w:val="20"/>
                <w:szCs w:val="20"/>
              </w:rPr>
            </w:pPr>
            <w:r w:rsidRPr="00AE3438">
              <w:rPr>
                <w:rFonts w:ascii="Arial Narrow" w:hAnsi="Arial Narrow"/>
                <w:iCs/>
                <w:sz w:val="20"/>
                <w:szCs w:val="20"/>
              </w:rPr>
              <w:t>2/4 (50%)</w:t>
            </w:r>
            <w:r w:rsidRPr="00AE3438">
              <w:rPr>
                <w:rFonts w:ascii="Arial Narrow" w:hAnsi="Arial Narrow"/>
                <w:iCs/>
                <w:sz w:val="20"/>
                <w:szCs w:val="20"/>
                <w:vertAlign w:val="superscript"/>
              </w:rPr>
              <w:t>j</w:t>
            </w:r>
          </w:p>
        </w:tc>
        <w:tc>
          <w:tcPr>
            <w:tcW w:w="770" w:type="pct"/>
            <w:tcBorders>
              <w:top w:val="nil"/>
            </w:tcBorders>
          </w:tcPr>
          <w:p w14:paraId="782787DB" w14:textId="77777777" w:rsidR="00787B2D" w:rsidRPr="00AE3438" w:rsidRDefault="00787B2D" w:rsidP="00BD02D3">
            <w:pPr>
              <w:jc w:val="center"/>
              <w:rPr>
                <w:rFonts w:ascii="Arial Narrow" w:hAnsi="Arial Narrow"/>
                <w:sz w:val="20"/>
                <w:szCs w:val="20"/>
                <w:highlight w:val="yellow"/>
              </w:rPr>
            </w:pPr>
          </w:p>
        </w:tc>
        <w:tc>
          <w:tcPr>
            <w:tcW w:w="132" w:type="pct"/>
            <w:tcBorders>
              <w:top w:val="nil"/>
            </w:tcBorders>
          </w:tcPr>
          <w:p w14:paraId="1F93DFC3" w14:textId="77777777" w:rsidR="00787B2D" w:rsidRPr="00AE3438" w:rsidRDefault="00787B2D" w:rsidP="00BD02D3">
            <w:pPr>
              <w:jc w:val="center"/>
              <w:rPr>
                <w:rFonts w:ascii="Arial Narrow" w:hAnsi="Arial Narrow"/>
                <w:sz w:val="20"/>
                <w:szCs w:val="20"/>
                <w:highlight w:val="yellow"/>
              </w:rPr>
            </w:pPr>
          </w:p>
        </w:tc>
      </w:tr>
      <w:tr w:rsidR="00787B2D" w:rsidRPr="00AE3438" w14:paraId="55C60E6E" w14:textId="77777777" w:rsidTr="003B72F9">
        <w:tc>
          <w:tcPr>
            <w:tcW w:w="429" w:type="pct"/>
            <w:vMerge/>
          </w:tcPr>
          <w:p w14:paraId="0A69447B" w14:textId="77777777" w:rsidR="00787B2D" w:rsidRPr="00AE3438" w:rsidRDefault="00787B2D" w:rsidP="00BD02D3">
            <w:pPr>
              <w:rPr>
                <w:rFonts w:ascii="Arial Narrow" w:hAnsi="Arial Narrow"/>
                <w:sz w:val="20"/>
                <w:szCs w:val="20"/>
              </w:rPr>
            </w:pPr>
          </w:p>
        </w:tc>
        <w:tc>
          <w:tcPr>
            <w:tcW w:w="1848" w:type="pct"/>
          </w:tcPr>
          <w:p w14:paraId="0374D56A"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CHERISH (Type II or III, 2-4 </w:t>
            </w:r>
            <w:r w:rsidRPr="00AE3438">
              <w:rPr>
                <w:rFonts w:ascii="Arial Narrow" w:hAnsi="Arial Narrow"/>
                <w:i/>
                <w:iCs/>
                <w:sz w:val="20"/>
                <w:szCs w:val="20"/>
              </w:rPr>
              <w:t xml:space="preserve">SMN2 </w:t>
            </w:r>
            <w:r w:rsidRPr="00AE3438">
              <w:rPr>
                <w:rFonts w:ascii="Arial Narrow" w:hAnsi="Arial Narrow"/>
                <w:sz w:val="20"/>
                <w:szCs w:val="20"/>
              </w:rPr>
              <w:t xml:space="preserve">copies) </w:t>
            </w:r>
          </w:p>
          <w:p w14:paraId="342BF5DC"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WHO-MGRS, 79% in NUSI and 81% in control completed 15-month assessment</w:t>
            </w:r>
          </w:p>
        </w:tc>
        <w:tc>
          <w:tcPr>
            <w:tcW w:w="629" w:type="pct"/>
          </w:tcPr>
          <w:p w14:paraId="1583D52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vAlign w:val="center"/>
          </w:tcPr>
          <w:p w14:paraId="7D95505F" w14:textId="77777777" w:rsidR="00787B2D" w:rsidRPr="00AE3438" w:rsidRDefault="00787B2D" w:rsidP="00BD02D3">
            <w:pPr>
              <w:jc w:val="center"/>
              <w:rPr>
                <w:rFonts w:ascii="Arial Narrow" w:hAnsi="Arial Narrow"/>
                <w:sz w:val="20"/>
                <w:szCs w:val="20"/>
              </w:rPr>
            </w:pPr>
            <w:r w:rsidRPr="00AE3438">
              <w:rPr>
                <w:rFonts w:ascii="Arial Narrow" w:hAnsi="Arial Narrow"/>
                <w:i/>
                <w:sz w:val="20"/>
                <w:szCs w:val="20"/>
              </w:rPr>
              <w:t>NR</w:t>
            </w:r>
            <w:r w:rsidRPr="00AE3438">
              <w:rPr>
                <w:rFonts w:ascii="Arial Narrow" w:hAnsi="Arial Narrow"/>
                <w:sz w:val="20"/>
                <w:szCs w:val="20"/>
                <w:vertAlign w:val="superscript"/>
              </w:rPr>
              <w:t>k</w:t>
            </w:r>
          </w:p>
        </w:tc>
        <w:tc>
          <w:tcPr>
            <w:tcW w:w="643" w:type="pct"/>
            <w:vAlign w:val="center"/>
          </w:tcPr>
          <w:p w14:paraId="64393B7B" w14:textId="77777777" w:rsidR="00787B2D" w:rsidRPr="00AE3438" w:rsidRDefault="00787B2D" w:rsidP="00BD02D3">
            <w:pPr>
              <w:jc w:val="center"/>
              <w:rPr>
                <w:rFonts w:ascii="Arial Narrow" w:hAnsi="Arial Narrow"/>
                <w:sz w:val="20"/>
                <w:szCs w:val="20"/>
              </w:rPr>
            </w:pPr>
            <w:r w:rsidRPr="00AE3438">
              <w:rPr>
                <w:rFonts w:ascii="Arial Narrow" w:hAnsi="Arial Narrow"/>
                <w:i/>
                <w:sz w:val="20"/>
                <w:szCs w:val="20"/>
              </w:rPr>
              <w:t>NR</w:t>
            </w:r>
            <w:r w:rsidRPr="00AE3438">
              <w:rPr>
                <w:rFonts w:ascii="Arial Narrow" w:hAnsi="Arial Narrow"/>
                <w:sz w:val="20"/>
                <w:szCs w:val="20"/>
                <w:vertAlign w:val="superscript"/>
              </w:rPr>
              <w:t>k</w:t>
            </w:r>
          </w:p>
        </w:tc>
        <w:tc>
          <w:tcPr>
            <w:tcW w:w="770" w:type="pct"/>
          </w:tcPr>
          <w:p w14:paraId="02ABB7F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tcPr>
          <w:p w14:paraId="10BDA09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3ACD8185" w14:textId="77777777" w:rsidTr="003B72F9">
        <w:tc>
          <w:tcPr>
            <w:tcW w:w="429" w:type="pct"/>
            <w:vMerge/>
          </w:tcPr>
          <w:p w14:paraId="2A247970" w14:textId="77777777" w:rsidR="00787B2D" w:rsidRPr="00AE3438" w:rsidRDefault="00787B2D" w:rsidP="00BD02D3">
            <w:pPr>
              <w:rPr>
                <w:rFonts w:ascii="Arial Narrow" w:hAnsi="Arial Narrow"/>
                <w:sz w:val="20"/>
                <w:szCs w:val="20"/>
              </w:rPr>
            </w:pPr>
          </w:p>
        </w:tc>
        <w:tc>
          <w:tcPr>
            <w:tcW w:w="1848" w:type="pct"/>
          </w:tcPr>
          <w:p w14:paraId="5453919B"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EMBRACE (Part 1) (2-3 </w:t>
            </w:r>
            <w:r w:rsidRPr="00AE3438">
              <w:rPr>
                <w:rFonts w:ascii="Arial Narrow" w:hAnsi="Arial Narrow"/>
                <w:i/>
                <w:iCs/>
                <w:sz w:val="20"/>
                <w:szCs w:val="20"/>
              </w:rPr>
              <w:t>SMN2</w:t>
            </w:r>
            <w:r w:rsidRPr="00AE3438">
              <w:rPr>
                <w:rFonts w:ascii="Arial Narrow" w:hAnsi="Arial Narrow"/>
                <w:sz w:val="20"/>
                <w:szCs w:val="20"/>
              </w:rPr>
              <w:t xml:space="preserve"> copies)</w:t>
            </w:r>
          </w:p>
          <w:p w14:paraId="2505D1EF" w14:textId="77777777" w:rsidR="00787B2D" w:rsidRPr="00AE3438" w:rsidRDefault="00787B2D" w:rsidP="00BD02D3">
            <w:pPr>
              <w:rPr>
                <w:rFonts w:ascii="Arial Narrow" w:hAnsi="Arial Narrow"/>
                <w:i/>
                <w:sz w:val="20"/>
                <w:szCs w:val="20"/>
              </w:rPr>
            </w:pPr>
            <w:r w:rsidRPr="00AE3438">
              <w:rPr>
                <w:rFonts w:ascii="Arial Narrow" w:hAnsi="Arial Narrow"/>
                <w:i/>
                <w:sz w:val="20"/>
                <w:szCs w:val="20"/>
              </w:rPr>
              <w:t>14-month assessment</w:t>
            </w:r>
          </w:p>
        </w:tc>
        <w:tc>
          <w:tcPr>
            <w:tcW w:w="629" w:type="pct"/>
            <w:vAlign w:val="center"/>
          </w:tcPr>
          <w:p w14:paraId="6B53838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vAlign w:val="center"/>
          </w:tcPr>
          <w:p w14:paraId="7DE8E93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0/7 (0%)</w:t>
            </w:r>
          </w:p>
        </w:tc>
        <w:tc>
          <w:tcPr>
            <w:tcW w:w="643" w:type="pct"/>
            <w:vAlign w:val="center"/>
          </w:tcPr>
          <w:p w14:paraId="6B47DED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1/14 (7.1%)</w:t>
            </w:r>
          </w:p>
        </w:tc>
        <w:tc>
          <w:tcPr>
            <w:tcW w:w="770" w:type="pct"/>
            <w:vAlign w:val="center"/>
          </w:tcPr>
          <w:p w14:paraId="3F3C9B5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vAlign w:val="center"/>
          </w:tcPr>
          <w:p w14:paraId="131F821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64CC1C9B" w14:textId="77777777" w:rsidTr="003B72F9">
        <w:tc>
          <w:tcPr>
            <w:tcW w:w="429" w:type="pct"/>
            <w:vMerge w:val="restart"/>
            <w:vAlign w:val="center"/>
          </w:tcPr>
          <w:p w14:paraId="78EE9FC2" w14:textId="77777777" w:rsidR="00787B2D" w:rsidRPr="00AE3438" w:rsidRDefault="00787B2D" w:rsidP="00BD02D3">
            <w:pPr>
              <w:jc w:val="left"/>
              <w:rPr>
                <w:rFonts w:ascii="Arial Narrow" w:hAnsi="Arial Narrow"/>
                <w:b/>
                <w:sz w:val="20"/>
                <w:szCs w:val="20"/>
              </w:rPr>
            </w:pPr>
            <w:r w:rsidRPr="00AE3438">
              <w:rPr>
                <w:rFonts w:ascii="Arial Narrow" w:hAnsi="Arial Narrow"/>
                <w:b/>
                <w:sz w:val="20"/>
                <w:szCs w:val="20"/>
              </w:rPr>
              <w:t>RISD</w:t>
            </w:r>
          </w:p>
        </w:tc>
        <w:tc>
          <w:tcPr>
            <w:tcW w:w="1848" w:type="pct"/>
            <w:tcBorders>
              <w:bottom w:val="nil"/>
            </w:tcBorders>
            <w:shd w:val="clear" w:color="auto" w:fill="EAF1DD" w:themeFill="accent3" w:themeFillTint="33"/>
          </w:tcPr>
          <w:p w14:paraId="7573CA83" w14:textId="77777777" w:rsidR="00787B2D" w:rsidRPr="00AE3438" w:rsidRDefault="00787B2D" w:rsidP="00BD02D3">
            <w:pPr>
              <w:rPr>
                <w:rFonts w:ascii="Arial Narrow" w:hAnsi="Arial Narrow"/>
                <w:sz w:val="20"/>
                <w:szCs w:val="20"/>
              </w:rPr>
            </w:pPr>
            <w:r w:rsidRPr="00AE3438">
              <w:rPr>
                <w:rFonts w:ascii="Arial Narrow" w:hAnsi="Arial Narrow"/>
                <w:b/>
                <w:bCs/>
                <w:color w:val="00B050"/>
                <w:sz w:val="20"/>
                <w:szCs w:val="20"/>
                <w:u w:val="single"/>
              </w:rPr>
              <w:t>Pre-symptomatic</w:t>
            </w:r>
            <w:r w:rsidRPr="00AE3438">
              <w:rPr>
                <w:rFonts w:ascii="Arial Narrow" w:hAnsi="Arial Narrow"/>
                <w:color w:val="00B050"/>
                <w:sz w:val="20"/>
                <w:szCs w:val="20"/>
                <w:u w:val="single"/>
              </w:rPr>
              <w:t xml:space="preserve"> </w:t>
            </w:r>
            <w:r w:rsidRPr="00AE3438">
              <w:rPr>
                <w:rFonts w:ascii="Arial Narrow" w:hAnsi="Arial Narrow"/>
                <w:sz w:val="20"/>
                <w:szCs w:val="20"/>
                <w:u w:val="single"/>
              </w:rPr>
              <w:t>treatment</w:t>
            </w:r>
          </w:p>
        </w:tc>
        <w:tc>
          <w:tcPr>
            <w:tcW w:w="629" w:type="pct"/>
            <w:tcBorders>
              <w:bottom w:val="nil"/>
            </w:tcBorders>
            <w:shd w:val="clear" w:color="auto" w:fill="EAF1DD" w:themeFill="accent3" w:themeFillTint="33"/>
            <w:vAlign w:val="center"/>
          </w:tcPr>
          <w:p w14:paraId="762CF94D" w14:textId="77777777" w:rsidR="00787B2D" w:rsidRPr="00AE3438" w:rsidRDefault="00787B2D" w:rsidP="00BD02D3">
            <w:pPr>
              <w:jc w:val="center"/>
              <w:rPr>
                <w:rFonts w:ascii="Arial Narrow" w:hAnsi="Arial Narrow"/>
                <w:sz w:val="20"/>
                <w:szCs w:val="20"/>
              </w:rPr>
            </w:pPr>
          </w:p>
        </w:tc>
        <w:tc>
          <w:tcPr>
            <w:tcW w:w="549" w:type="pct"/>
            <w:tcBorders>
              <w:bottom w:val="nil"/>
            </w:tcBorders>
            <w:shd w:val="clear" w:color="auto" w:fill="EAF1DD" w:themeFill="accent3" w:themeFillTint="33"/>
            <w:vAlign w:val="center"/>
          </w:tcPr>
          <w:p w14:paraId="3664E699" w14:textId="77777777" w:rsidR="00787B2D" w:rsidRPr="00AE3438" w:rsidRDefault="00787B2D" w:rsidP="00BD02D3">
            <w:pPr>
              <w:jc w:val="center"/>
              <w:rPr>
                <w:rFonts w:ascii="Arial Narrow" w:hAnsi="Arial Narrow"/>
                <w:sz w:val="20"/>
                <w:szCs w:val="20"/>
              </w:rPr>
            </w:pPr>
          </w:p>
        </w:tc>
        <w:tc>
          <w:tcPr>
            <w:tcW w:w="643" w:type="pct"/>
            <w:tcBorders>
              <w:bottom w:val="nil"/>
            </w:tcBorders>
            <w:shd w:val="clear" w:color="auto" w:fill="EAF1DD" w:themeFill="accent3" w:themeFillTint="33"/>
            <w:vAlign w:val="center"/>
          </w:tcPr>
          <w:p w14:paraId="57EF5D83" w14:textId="77777777" w:rsidR="00787B2D" w:rsidRPr="00AE3438" w:rsidRDefault="00787B2D" w:rsidP="00BD02D3">
            <w:pPr>
              <w:jc w:val="center"/>
              <w:rPr>
                <w:rFonts w:ascii="Arial Narrow" w:hAnsi="Arial Narrow"/>
                <w:sz w:val="20"/>
                <w:szCs w:val="20"/>
              </w:rPr>
            </w:pPr>
          </w:p>
        </w:tc>
        <w:tc>
          <w:tcPr>
            <w:tcW w:w="770" w:type="pct"/>
            <w:tcBorders>
              <w:bottom w:val="nil"/>
            </w:tcBorders>
            <w:shd w:val="clear" w:color="auto" w:fill="EAF1DD" w:themeFill="accent3" w:themeFillTint="33"/>
            <w:vAlign w:val="center"/>
          </w:tcPr>
          <w:p w14:paraId="14E353F1" w14:textId="77777777" w:rsidR="00787B2D" w:rsidRPr="00AE3438" w:rsidRDefault="00787B2D" w:rsidP="00BD02D3">
            <w:pPr>
              <w:jc w:val="center"/>
              <w:rPr>
                <w:rFonts w:ascii="Arial Narrow" w:hAnsi="Arial Narrow"/>
                <w:sz w:val="20"/>
                <w:szCs w:val="20"/>
              </w:rPr>
            </w:pPr>
          </w:p>
        </w:tc>
        <w:tc>
          <w:tcPr>
            <w:tcW w:w="132" w:type="pct"/>
            <w:tcBorders>
              <w:bottom w:val="nil"/>
            </w:tcBorders>
            <w:shd w:val="clear" w:color="auto" w:fill="EAF1DD" w:themeFill="accent3" w:themeFillTint="33"/>
            <w:vAlign w:val="center"/>
          </w:tcPr>
          <w:p w14:paraId="701806DC" w14:textId="77777777" w:rsidR="00787B2D" w:rsidRPr="00AE3438" w:rsidRDefault="00787B2D" w:rsidP="00BD02D3">
            <w:pPr>
              <w:jc w:val="center"/>
              <w:rPr>
                <w:rFonts w:ascii="Arial Narrow" w:hAnsi="Arial Narrow"/>
                <w:sz w:val="20"/>
                <w:szCs w:val="20"/>
              </w:rPr>
            </w:pPr>
          </w:p>
        </w:tc>
      </w:tr>
      <w:tr w:rsidR="00787B2D" w:rsidRPr="00AE3438" w14:paraId="1DA3BE3A" w14:textId="77777777" w:rsidTr="003B72F9">
        <w:tc>
          <w:tcPr>
            <w:tcW w:w="429" w:type="pct"/>
            <w:vMerge/>
          </w:tcPr>
          <w:p w14:paraId="05725BBA" w14:textId="77777777" w:rsidR="00787B2D" w:rsidRPr="00AE3438" w:rsidRDefault="00787B2D" w:rsidP="00BD02D3">
            <w:pPr>
              <w:rPr>
                <w:rFonts w:ascii="Arial Narrow" w:hAnsi="Arial Narrow"/>
                <w:sz w:val="20"/>
                <w:szCs w:val="20"/>
              </w:rPr>
            </w:pPr>
          </w:p>
        </w:tc>
        <w:tc>
          <w:tcPr>
            <w:tcW w:w="1848" w:type="pct"/>
            <w:tcBorders>
              <w:top w:val="nil"/>
              <w:bottom w:val="nil"/>
            </w:tcBorders>
            <w:shd w:val="clear" w:color="auto" w:fill="EAF1DD" w:themeFill="accent3" w:themeFillTint="33"/>
          </w:tcPr>
          <w:p w14:paraId="0F3593E3"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RAINBOWFISH – HINE-2 </w:t>
            </w:r>
          </w:p>
        </w:tc>
        <w:tc>
          <w:tcPr>
            <w:tcW w:w="629" w:type="pct"/>
            <w:tcBorders>
              <w:top w:val="nil"/>
              <w:bottom w:val="nil"/>
            </w:tcBorders>
            <w:shd w:val="clear" w:color="auto" w:fill="EAF1DD" w:themeFill="accent3" w:themeFillTint="33"/>
            <w:vAlign w:val="center"/>
          </w:tcPr>
          <w:p w14:paraId="1577307A" w14:textId="77777777" w:rsidR="00787B2D" w:rsidRPr="00AE3438" w:rsidRDefault="00787B2D" w:rsidP="00BD02D3">
            <w:pPr>
              <w:jc w:val="center"/>
              <w:rPr>
                <w:rFonts w:ascii="Arial Narrow" w:hAnsi="Arial Narrow"/>
                <w:sz w:val="20"/>
                <w:szCs w:val="20"/>
              </w:rPr>
            </w:pPr>
          </w:p>
        </w:tc>
        <w:tc>
          <w:tcPr>
            <w:tcW w:w="549" w:type="pct"/>
            <w:tcBorders>
              <w:top w:val="nil"/>
              <w:bottom w:val="nil"/>
            </w:tcBorders>
            <w:shd w:val="clear" w:color="auto" w:fill="EAF1DD" w:themeFill="accent3" w:themeFillTint="33"/>
            <w:vAlign w:val="center"/>
          </w:tcPr>
          <w:p w14:paraId="188B76F7" w14:textId="77777777" w:rsidR="00787B2D" w:rsidRPr="00AE3438" w:rsidRDefault="00787B2D" w:rsidP="00BD02D3">
            <w:pPr>
              <w:jc w:val="center"/>
              <w:rPr>
                <w:rFonts w:ascii="Arial Narrow" w:hAnsi="Arial Narrow"/>
                <w:sz w:val="20"/>
                <w:szCs w:val="20"/>
              </w:rPr>
            </w:pPr>
          </w:p>
        </w:tc>
        <w:tc>
          <w:tcPr>
            <w:tcW w:w="643" w:type="pct"/>
            <w:tcBorders>
              <w:top w:val="nil"/>
              <w:bottom w:val="nil"/>
            </w:tcBorders>
            <w:shd w:val="clear" w:color="auto" w:fill="EAF1DD" w:themeFill="accent3" w:themeFillTint="33"/>
            <w:vAlign w:val="center"/>
          </w:tcPr>
          <w:p w14:paraId="395F8F83" w14:textId="77777777" w:rsidR="00787B2D" w:rsidRPr="00AE3438" w:rsidRDefault="00787B2D" w:rsidP="00BD02D3">
            <w:pPr>
              <w:jc w:val="center"/>
              <w:rPr>
                <w:rFonts w:ascii="Arial Narrow" w:hAnsi="Arial Narrow"/>
                <w:sz w:val="20"/>
                <w:szCs w:val="20"/>
              </w:rPr>
            </w:pPr>
          </w:p>
        </w:tc>
        <w:tc>
          <w:tcPr>
            <w:tcW w:w="770" w:type="pct"/>
            <w:tcBorders>
              <w:top w:val="nil"/>
              <w:bottom w:val="nil"/>
            </w:tcBorders>
            <w:shd w:val="clear" w:color="auto" w:fill="EAF1DD" w:themeFill="accent3" w:themeFillTint="33"/>
            <w:vAlign w:val="center"/>
          </w:tcPr>
          <w:p w14:paraId="22116DC2" w14:textId="77777777" w:rsidR="00787B2D" w:rsidRPr="00AE3438" w:rsidRDefault="00787B2D" w:rsidP="00BD02D3">
            <w:pPr>
              <w:jc w:val="center"/>
              <w:rPr>
                <w:rFonts w:ascii="Arial Narrow" w:hAnsi="Arial Narrow"/>
                <w:sz w:val="20"/>
                <w:szCs w:val="20"/>
              </w:rPr>
            </w:pPr>
          </w:p>
        </w:tc>
        <w:tc>
          <w:tcPr>
            <w:tcW w:w="132" w:type="pct"/>
            <w:tcBorders>
              <w:top w:val="nil"/>
              <w:bottom w:val="nil"/>
            </w:tcBorders>
            <w:shd w:val="clear" w:color="auto" w:fill="EAF1DD" w:themeFill="accent3" w:themeFillTint="33"/>
            <w:vAlign w:val="center"/>
          </w:tcPr>
          <w:p w14:paraId="11AC64CD" w14:textId="77777777" w:rsidR="00787B2D" w:rsidRPr="00AE3438" w:rsidRDefault="00787B2D" w:rsidP="00BD02D3">
            <w:pPr>
              <w:jc w:val="center"/>
              <w:rPr>
                <w:rFonts w:ascii="Arial Narrow" w:hAnsi="Arial Narrow"/>
                <w:sz w:val="20"/>
                <w:szCs w:val="20"/>
              </w:rPr>
            </w:pPr>
          </w:p>
        </w:tc>
      </w:tr>
      <w:tr w:rsidR="00787B2D" w:rsidRPr="00AE3438" w14:paraId="341DDEF9" w14:textId="77777777" w:rsidTr="003B72F9">
        <w:tc>
          <w:tcPr>
            <w:tcW w:w="429" w:type="pct"/>
            <w:vMerge/>
          </w:tcPr>
          <w:p w14:paraId="2DC581ED" w14:textId="77777777" w:rsidR="00787B2D" w:rsidRPr="00AE3438" w:rsidRDefault="00787B2D" w:rsidP="00BD02D3">
            <w:pPr>
              <w:rPr>
                <w:rFonts w:ascii="Arial Narrow" w:hAnsi="Arial Narrow"/>
                <w:sz w:val="20"/>
                <w:szCs w:val="20"/>
              </w:rPr>
            </w:pPr>
          </w:p>
        </w:tc>
        <w:tc>
          <w:tcPr>
            <w:tcW w:w="1848" w:type="pct"/>
            <w:tcBorders>
              <w:top w:val="nil"/>
              <w:bottom w:val="nil"/>
            </w:tcBorders>
            <w:shd w:val="clear" w:color="auto" w:fill="EAF1DD" w:themeFill="accent3" w:themeFillTint="33"/>
          </w:tcPr>
          <w:p w14:paraId="0D16262F"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2 copies of SMN2, ≥12 months treatment</w:t>
            </w:r>
            <w:r w:rsidRPr="00AE3438">
              <w:rPr>
                <w:rFonts w:ascii="Arial Narrow" w:hAnsi="Arial Narrow"/>
                <w:sz w:val="20"/>
                <w:szCs w:val="20"/>
                <w:vertAlign w:val="superscript"/>
              </w:rPr>
              <w:t>e</w:t>
            </w:r>
          </w:p>
        </w:tc>
        <w:tc>
          <w:tcPr>
            <w:tcW w:w="629" w:type="pct"/>
            <w:tcBorders>
              <w:top w:val="nil"/>
              <w:bottom w:val="nil"/>
            </w:tcBorders>
            <w:shd w:val="clear" w:color="auto" w:fill="EAF1DD" w:themeFill="accent3" w:themeFillTint="33"/>
          </w:tcPr>
          <w:p w14:paraId="25C39EA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tcBorders>
              <w:top w:val="nil"/>
              <w:bottom w:val="nil"/>
            </w:tcBorders>
            <w:shd w:val="clear" w:color="auto" w:fill="EAF1DD" w:themeFill="accent3" w:themeFillTint="33"/>
          </w:tcPr>
          <w:p w14:paraId="5CAB6F9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bottom w:val="nil"/>
            </w:tcBorders>
            <w:shd w:val="clear" w:color="auto" w:fill="EAF1DD" w:themeFill="accent3" w:themeFillTint="33"/>
          </w:tcPr>
          <w:p w14:paraId="37E51A1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tcBorders>
              <w:top w:val="nil"/>
              <w:bottom w:val="nil"/>
            </w:tcBorders>
            <w:shd w:val="clear" w:color="auto" w:fill="EAF1DD" w:themeFill="accent3" w:themeFillTint="33"/>
            <w:vAlign w:val="center"/>
          </w:tcPr>
          <w:p w14:paraId="6B27F36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1/4 (25%)</w:t>
            </w:r>
          </w:p>
        </w:tc>
        <w:tc>
          <w:tcPr>
            <w:tcW w:w="132" w:type="pct"/>
            <w:tcBorders>
              <w:top w:val="nil"/>
              <w:bottom w:val="nil"/>
            </w:tcBorders>
            <w:shd w:val="clear" w:color="auto" w:fill="EAF1DD" w:themeFill="accent3" w:themeFillTint="33"/>
          </w:tcPr>
          <w:p w14:paraId="76B2601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1D67AEB6" w14:textId="77777777" w:rsidTr="003B72F9">
        <w:tc>
          <w:tcPr>
            <w:tcW w:w="429" w:type="pct"/>
            <w:vMerge/>
          </w:tcPr>
          <w:p w14:paraId="78FFD756" w14:textId="77777777" w:rsidR="00787B2D" w:rsidRPr="00AE3438" w:rsidRDefault="00787B2D" w:rsidP="00BD02D3">
            <w:pPr>
              <w:rPr>
                <w:rFonts w:ascii="Arial Narrow" w:hAnsi="Arial Narrow"/>
                <w:sz w:val="20"/>
                <w:szCs w:val="20"/>
              </w:rPr>
            </w:pPr>
          </w:p>
        </w:tc>
        <w:tc>
          <w:tcPr>
            <w:tcW w:w="1848" w:type="pct"/>
            <w:tcBorders>
              <w:top w:val="nil"/>
            </w:tcBorders>
            <w:shd w:val="clear" w:color="auto" w:fill="EAF1DD" w:themeFill="accent3" w:themeFillTint="33"/>
          </w:tcPr>
          <w:p w14:paraId="09F4F921"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&gt;2 copies of SMN2,</w:t>
            </w:r>
            <w:r w:rsidRPr="00AE3438">
              <w:rPr>
                <w:rFonts w:ascii="Arial Narrow" w:hAnsi="Arial Narrow"/>
                <w:i/>
                <w:sz w:val="20"/>
                <w:szCs w:val="20"/>
              </w:rPr>
              <w:t xml:space="preserve"> </w:t>
            </w:r>
            <w:r w:rsidRPr="00AE3438">
              <w:rPr>
                <w:rFonts w:ascii="Arial Narrow" w:hAnsi="Arial Narrow"/>
                <w:sz w:val="20"/>
                <w:szCs w:val="20"/>
              </w:rPr>
              <w:t>≥12 months treatment</w:t>
            </w:r>
            <w:r w:rsidRPr="00AE3438">
              <w:rPr>
                <w:rFonts w:ascii="Arial Narrow" w:hAnsi="Arial Narrow"/>
                <w:sz w:val="20"/>
                <w:szCs w:val="20"/>
                <w:vertAlign w:val="superscript"/>
              </w:rPr>
              <w:t>e</w:t>
            </w:r>
          </w:p>
        </w:tc>
        <w:tc>
          <w:tcPr>
            <w:tcW w:w="629" w:type="pct"/>
            <w:tcBorders>
              <w:top w:val="nil"/>
            </w:tcBorders>
            <w:shd w:val="clear" w:color="auto" w:fill="EAF1DD" w:themeFill="accent3" w:themeFillTint="33"/>
          </w:tcPr>
          <w:p w14:paraId="1606164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tcBorders>
              <w:top w:val="nil"/>
            </w:tcBorders>
            <w:shd w:val="clear" w:color="auto" w:fill="EAF1DD" w:themeFill="accent3" w:themeFillTint="33"/>
          </w:tcPr>
          <w:p w14:paraId="0291202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tcBorders>
            <w:shd w:val="clear" w:color="auto" w:fill="EAF1DD" w:themeFill="accent3" w:themeFillTint="33"/>
          </w:tcPr>
          <w:p w14:paraId="148B056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tcBorders>
              <w:top w:val="nil"/>
            </w:tcBorders>
            <w:shd w:val="clear" w:color="auto" w:fill="EAF1DD" w:themeFill="accent3" w:themeFillTint="33"/>
            <w:vAlign w:val="center"/>
          </w:tcPr>
          <w:p w14:paraId="345C2C9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3/3 (100%)</w:t>
            </w:r>
          </w:p>
        </w:tc>
        <w:tc>
          <w:tcPr>
            <w:tcW w:w="132" w:type="pct"/>
            <w:tcBorders>
              <w:top w:val="nil"/>
            </w:tcBorders>
            <w:shd w:val="clear" w:color="auto" w:fill="EAF1DD" w:themeFill="accent3" w:themeFillTint="33"/>
          </w:tcPr>
          <w:p w14:paraId="4F26C53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2F06A737" w14:textId="77777777" w:rsidTr="003B72F9">
        <w:tc>
          <w:tcPr>
            <w:tcW w:w="429" w:type="pct"/>
            <w:vMerge/>
          </w:tcPr>
          <w:p w14:paraId="2DA641A7" w14:textId="77777777" w:rsidR="00787B2D" w:rsidRPr="00AE3438" w:rsidRDefault="00787B2D" w:rsidP="00BD02D3">
            <w:pPr>
              <w:rPr>
                <w:rFonts w:ascii="Arial Narrow" w:hAnsi="Arial Narrow"/>
                <w:sz w:val="20"/>
                <w:szCs w:val="20"/>
              </w:rPr>
            </w:pPr>
          </w:p>
        </w:tc>
        <w:tc>
          <w:tcPr>
            <w:tcW w:w="1848" w:type="pct"/>
            <w:tcBorders>
              <w:bottom w:val="nil"/>
            </w:tcBorders>
          </w:tcPr>
          <w:p w14:paraId="5E316CB9" w14:textId="77777777" w:rsidR="00787B2D" w:rsidRPr="00AE3438" w:rsidRDefault="00787B2D" w:rsidP="00BD02D3">
            <w:pPr>
              <w:rPr>
                <w:rFonts w:ascii="Arial Narrow" w:hAnsi="Arial Narrow"/>
                <w:sz w:val="20"/>
                <w:szCs w:val="20"/>
              </w:rPr>
            </w:pPr>
            <w:r w:rsidRPr="00AE3438">
              <w:rPr>
                <w:rFonts w:ascii="Arial Narrow" w:eastAsiaTheme="majorEastAsia" w:hAnsi="Arial Narrow" w:cstheme="majorBidi"/>
                <w:b/>
                <w:bCs/>
                <w:color w:val="D60093"/>
                <w:sz w:val="20"/>
                <w:szCs w:val="20"/>
                <w:u w:val="single"/>
              </w:rPr>
              <w:t>Symptomatic</w:t>
            </w:r>
            <w:r w:rsidRPr="00AE3438">
              <w:rPr>
                <w:rFonts w:ascii="Arial Narrow" w:hAnsi="Arial Narrow"/>
                <w:sz w:val="20"/>
                <w:szCs w:val="20"/>
                <w:u w:val="single"/>
              </w:rPr>
              <w:t xml:space="preserve"> treatment</w:t>
            </w:r>
          </w:p>
        </w:tc>
        <w:tc>
          <w:tcPr>
            <w:tcW w:w="629" w:type="pct"/>
            <w:tcBorders>
              <w:bottom w:val="nil"/>
            </w:tcBorders>
            <w:vAlign w:val="center"/>
          </w:tcPr>
          <w:p w14:paraId="2924D2DE" w14:textId="77777777" w:rsidR="00787B2D" w:rsidRPr="00AE3438" w:rsidRDefault="00787B2D" w:rsidP="00BD02D3">
            <w:pPr>
              <w:jc w:val="center"/>
              <w:rPr>
                <w:rFonts w:ascii="Arial Narrow" w:hAnsi="Arial Narrow"/>
                <w:sz w:val="20"/>
                <w:szCs w:val="20"/>
              </w:rPr>
            </w:pPr>
          </w:p>
        </w:tc>
        <w:tc>
          <w:tcPr>
            <w:tcW w:w="549" w:type="pct"/>
            <w:tcBorders>
              <w:bottom w:val="nil"/>
            </w:tcBorders>
            <w:vAlign w:val="center"/>
          </w:tcPr>
          <w:p w14:paraId="04BA6A71" w14:textId="77777777" w:rsidR="00787B2D" w:rsidRPr="00AE3438" w:rsidRDefault="00787B2D" w:rsidP="00BD02D3">
            <w:pPr>
              <w:jc w:val="center"/>
              <w:rPr>
                <w:rFonts w:ascii="Arial Narrow" w:hAnsi="Arial Narrow"/>
                <w:sz w:val="20"/>
                <w:szCs w:val="20"/>
              </w:rPr>
            </w:pPr>
          </w:p>
        </w:tc>
        <w:tc>
          <w:tcPr>
            <w:tcW w:w="643" w:type="pct"/>
            <w:tcBorders>
              <w:bottom w:val="nil"/>
            </w:tcBorders>
            <w:vAlign w:val="center"/>
          </w:tcPr>
          <w:p w14:paraId="7E9211B7" w14:textId="77777777" w:rsidR="00787B2D" w:rsidRPr="00AE3438" w:rsidRDefault="00787B2D" w:rsidP="00BD02D3">
            <w:pPr>
              <w:jc w:val="center"/>
              <w:rPr>
                <w:rFonts w:ascii="Arial Narrow" w:hAnsi="Arial Narrow"/>
                <w:sz w:val="20"/>
                <w:szCs w:val="20"/>
              </w:rPr>
            </w:pPr>
          </w:p>
        </w:tc>
        <w:tc>
          <w:tcPr>
            <w:tcW w:w="770" w:type="pct"/>
            <w:tcBorders>
              <w:bottom w:val="nil"/>
            </w:tcBorders>
            <w:vAlign w:val="center"/>
          </w:tcPr>
          <w:p w14:paraId="44BEA12D" w14:textId="77777777" w:rsidR="00787B2D" w:rsidRPr="00AE3438" w:rsidRDefault="00787B2D" w:rsidP="00BD02D3">
            <w:pPr>
              <w:jc w:val="center"/>
              <w:rPr>
                <w:rFonts w:ascii="Arial Narrow" w:hAnsi="Arial Narrow"/>
                <w:sz w:val="20"/>
                <w:szCs w:val="20"/>
              </w:rPr>
            </w:pPr>
          </w:p>
        </w:tc>
        <w:tc>
          <w:tcPr>
            <w:tcW w:w="132" w:type="pct"/>
            <w:tcBorders>
              <w:bottom w:val="nil"/>
            </w:tcBorders>
            <w:vAlign w:val="center"/>
          </w:tcPr>
          <w:p w14:paraId="603A1363" w14:textId="77777777" w:rsidR="00787B2D" w:rsidRPr="00AE3438" w:rsidRDefault="00787B2D" w:rsidP="00BD02D3">
            <w:pPr>
              <w:jc w:val="center"/>
              <w:rPr>
                <w:rFonts w:ascii="Arial Narrow" w:hAnsi="Arial Narrow"/>
                <w:sz w:val="20"/>
                <w:szCs w:val="20"/>
              </w:rPr>
            </w:pPr>
          </w:p>
        </w:tc>
      </w:tr>
      <w:tr w:rsidR="00787B2D" w:rsidRPr="00AE3438" w14:paraId="64EEE02C" w14:textId="77777777" w:rsidTr="003B72F9">
        <w:tc>
          <w:tcPr>
            <w:tcW w:w="429" w:type="pct"/>
            <w:vMerge/>
          </w:tcPr>
          <w:p w14:paraId="2D49B230" w14:textId="77777777" w:rsidR="00787B2D" w:rsidRPr="00AE3438" w:rsidRDefault="00787B2D" w:rsidP="00BD02D3">
            <w:pPr>
              <w:rPr>
                <w:rFonts w:ascii="Arial Narrow" w:hAnsi="Arial Narrow"/>
                <w:sz w:val="20"/>
                <w:szCs w:val="20"/>
              </w:rPr>
            </w:pPr>
          </w:p>
        </w:tc>
        <w:tc>
          <w:tcPr>
            <w:tcW w:w="1848" w:type="pct"/>
            <w:tcBorders>
              <w:top w:val="nil"/>
            </w:tcBorders>
          </w:tcPr>
          <w:p w14:paraId="7F45A0AB"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 xml:space="preserve">FIREFISH (Part 2) (Type I, 2 </w:t>
            </w:r>
            <w:r w:rsidRPr="00AE3438">
              <w:rPr>
                <w:rFonts w:ascii="Arial Narrow" w:hAnsi="Arial Narrow"/>
                <w:i/>
                <w:iCs/>
                <w:sz w:val="20"/>
                <w:szCs w:val="20"/>
              </w:rPr>
              <w:t xml:space="preserve">SMN2 </w:t>
            </w:r>
            <w:r w:rsidRPr="00AE3438">
              <w:rPr>
                <w:rFonts w:ascii="Arial Narrow" w:hAnsi="Arial Narrow"/>
                <w:sz w:val="20"/>
                <w:szCs w:val="20"/>
              </w:rPr>
              <w:t>copies)</w:t>
            </w:r>
          </w:p>
          <w:p w14:paraId="2D31BA08" w14:textId="77777777" w:rsidR="00787B2D" w:rsidRPr="00AE3438" w:rsidRDefault="00787B2D" w:rsidP="00BD02D3">
            <w:pPr>
              <w:rPr>
                <w:rFonts w:ascii="Arial Narrow" w:hAnsi="Arial Narrow"/>
                <w:sz w:val="20"/>
                <w:szCs w:val="20"/>
              </w:rPr>
            </w:pPr>
            <w:r w:rsidRPr="00AE3438">
              <w:rPr>
                <w:rFonts w:ascii="Arial Narrow" w:hAnsi="Arial Narrow"/>
                <w:sz w:val="20"/>
                <w:szCs w:val="20"/>
              </w:rPr>
              <w:lastRenderedPageBreak/>
              <w:t>- BSID, 12-month assessment</w:t>
            </w:r>
          </w:p>
        </w:tc>
        <w:tc>
          <w:tcPr>
            <w:tcW w:w="629" w:type="pct"/>
            <w:tcBorders>
              <w:top w:val="nil"/>
            </w:tcBorders>
            <w:vAlign w:val="center"/>
          </w:tcPr>
          <w:p w14:paraId="67BA8CC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lastRenderedPageBreak/>
              <w:t>-</w:t>
            </w:r>
          </w:p>
        </w:tc>
        <w:tc>
          <w:tcPr>
            <w:tcW w:w="549" w:type="pct"/>
            <w:tcBorders>
              <w:top w:val="nil"/>
            </w:tcBorders>
            <w:vAlign w:val="center"/>
          </w:tcPr>
          <w:p w14:paraId="7AB6F61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643" w:type="pct"/>
            <w:tcBorders>
              <w:top w:val="nil"/>
            </w:tcBorders>
            <w:vAlign w:val="center"/>
          </w:tcPr>
          <w:p w14:paraId="580BEE1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tcBorders>
              <w:top w:val="nil"/>
            </w:tcBorders>
            <w:vAlign w:val="center"/>
          </w:tcPr>
          <w:p w14:paraId="5CB95CB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0/41 (0%)</w:t>
            </w:r>
          </w:p>
        </w:tc>
        <w:tc>
          <w:tcPr>
            <w:tcW w:w="132" w:type="pct"/>
            <w:tcBorders>
              <w:top w:val="nil"/>
            </w:tcBorders>
          </w:tcPr>
          <w:p w14:paraId="4E27B8F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6E44A507" w14:textId="77777777" w:rsidTr="003B72F9">
        <w:tc>
          <w:tcPr>
            <w:tcW w:w="429" w:type="pct"/>
            <w:vMerge/>
          </w:tcPr>
          <w:p w14:paraId="3B1AE408" w14:textId="77777777" w:rsidR="00787B2D" w:rsidRPr="00AE3438" w:rsidRDefault="00787B2D" w:rsidP="00BD02D3">
            <w:pPr>
              <w:rPr>
                <w:rFonts w:ascii="Arial Narrow" w:hAnsi="Arial Narrow"/>
                <w:sz w:val="20"/>
                <w:szCs w:val="20"/>
              </w:rPr>
            </w:pPr>
          </w:p>
        </w:tc>
        <w:tc>
          <w:tcPr>
            <w:tcW w:w="1848" w:type="pct"/>
            <w:vAlign w:val="center"/>
          </w:tcPr>
          <w:p w14:paraId="11AADDE7" w14:textId="77777777" w:rsidR="00787B2D" w:rsidRPr="00AE3438" w:rsidRDefault="00787B2D" w:rsidP="00BD02D3">
            <w:pPr>
              <w:jc w:val="left"/>
              <w:rPr>
                <w:rFonts w:ascii="Arial Narrow" w:hAnsi="Arial Narrow"/>
                <w:sz w:val="20"/>
                <w:szCs w:val="20"/>
              </w:rPr>
            </w:pPr>
            <w:r w:rsidRPr="00AE3438">
              <w:rPr>
                <w:rFonts w:ascii="Arial Narrow" w:hAnsi="Arial Narrow"/>
                <w:sz w:val="20"/>
                <w:szCs w:val="20"/>
              </w:rPr>
              <w:t>SUNFISH (Part 2) (Type II or III, non-ambulant)</w:t>
            </w:r>
          </w:p>
        </w:tc>
        <w:tc>
          <w:tcPr>
            <w:tcW w:w="629" w:type="pct"/>
            <w:vAlign w:val="center"/>
          </w:tcPr>
          <w:p w14:paraId="630F95F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vAlign w:val="center"/>
          </w:tcPr>
          <w:p w14:paraId="67F94DFE" w14:textId="77777777" w:rsidR="00787B2D" w:rsidRPr="00AE3438" w:rsidRDefault="00787B2D" w:rsidP="00BD02D3">
            <w:pPr>
              <w:jc w:val="center"/>
              <w:rPr>
                <w:rFonts w:ascii="Arial Narrow" w:hAnsi="Arial Narrow"/>
                <w:sz w:val="20"/>
                <w:szCs w:val="20"/>
              </w:rPr>
            </w:pPr>
          </w:p>
        </w:tc>
        <w:tc>
          <w:tcPr>
            <w:tcW w:w="643" w:type="pct"/>
            <w:vAlign w:val="center"/>
          </w:tcPr>
          <w:p w14:paraId="6231EFA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vAlign w:val="center"/>
          </w:tcPr>
          <w:p w14:paraId="30C2AB9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132" w:type="pct"/>
          </w:tcPr>
          <w:p w14:paraId="373E5B6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457429FB" w14:textId="77777777" w:rsidTr="003B72F9">
        <w:tc>
          <w:tcPr>
            <w:tcW w:w="429" w:type="pct"/>
            <w:vAlign w:val="center"/>
          </w:tcPr>
          <w:p w14:paraId="5A7BE2FF" w14:textId="77777777" w:rsidR="00787B2D" w:rsidRPr="00AE3438" w:rsidRDefault="00787B2D" w:rsidP="00BD02D3">
            <w:pPr>
              <w:jc w:val="left"/>
              <w:rPr>
                <w:rFonts w:ascii="Arial Narrow" w:hAnsi="Arial Narrow"/>
                <w:b/>
                <w:bCs/>
                <w:sz w:val="20"/>
                <w:szCs w:val="20"/>
              </w:rPr>
            </w:pPr>
            <w:r w:rsidRPr="00AE3438">
              <w:rPr>
                <w:rFonts w:ascii="Arial Narrow" w:hAnsi="Arial Narrow"/>
                <w:b/>
                <w:bCs/>
                <w:sz w:val="20"/>
                <w:szCs w:val="20"/>
              </w:rPr>
              <w:t>Natural History</w:t>
            </w:r>
          </w:p>
        </w:tc>
        <w:tc>
          <w:tcPr>
            <w:tcW w:w="1848" w:type="pct"/>
          </w:tcPr>
          <w:p w14:paraId="5DC02860"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Zerres 1997</w:t>
            </w:r>
          </w:p>
          <w:p w14:paraId="2FD9DF9D"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Type II (sitters)</w:t>
            </w:r>
          </w:p>
          <w:p w14:paraId="546463B9"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Type IIIa (walkers, SMA onset &lt;3yrs) 10-year FU</w:t>
            </w:r>
          </w:p>
          <w:p w14:paraId="2A529A4F" w14:textId="77777777" w:rsidR="00787B2D" w:rsidRPr="00AE3438" w:rsidRDefault="00787B2D" w:rsidP="00BD02D3">
            <w:pPr>
              <w:rPr>
                <w:rFonts w:ascii="Arial Narrow" w:hAnsi="Arial Narrow"/>
                <w:sz w:val="20"/>
                <w:szCs w:val="20"/>
              </w:rPr>
            </w:pPr>
            <w:r w:rsidRPr="00AE3438">
              <w:rPr>
                <w:rFonts w:ascii="Arial Narrow" w:hAnsi="Arial Narrow"/>
                <w:sz w:val="20"/>
                <w:szCs w:val="20"/>
              </w:rPr>
              <w:t>Type IIIb (walkers, SMA onset 3-30yrs) 10-year FU</w:t>
            </w:r>
          </w:p>
        </w:tc>
        <w:tc>
          <w:tcPr>
            <w:tcW w:w="629" w:type="pct"/>
            <w:vAlign w:val="center"/>
          </w:tcPr>
          <w:p w14:paraId="3DF683F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549" w:type="pct"/>
          </w:tcPr>
          <w:p w14:paraId="35318E92" w14:textId="77777777" w:rsidR="00787B2D" w:rsidRPr="00AE3438" w:rsidRDefault="00787B2D" w:rsidP="00BD02D3">
            <w:pPr>
              <w:jc w:val="center"/>
              <w:rPr>
                <w:rFonts w:ascii="Arial Narrow" w:hAnsi="Arial Narrow"/>
                <w:sz w:val="20"/>
                <w:szCs w:val="20"/>
              </w:rPr>
            </w:pPr>
          </w:p>
          <w:p w14:paraId="493749D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p w14:paraId="6918659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(70.3%)</w:t>
            </w:r>
          </w:p>
          <w:p w14:paraId="67FD48C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(96.3%)</w:t>
            </w:r>
          </w:p>
        </w:tc>
        <w:tc>
          <w:tcPr>
            <w:tcW w:w="643" w:type="pct"/>
            <w:vAlign w:val="center"/>
          </w:tcPr>
          <w:p w14:paraId="7ADF24E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70" w:type="pct"/>
            <w:vAlign w:val="center"/>
          </w:tcPr>
          <w:p w14:paraId="5D98C8B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132" w:type="pct"/>
            <w:vAlign w:val="center"/>
          </w:tcPr>
          <w:p w14:paraId="4958802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sym w:font="Wingdings" w:char="F0FC"/>
            </w:r>
          </w:p>
          <w:p w14:paraId="633A0F91" w14:textId="77777777" w:rsidR="00787B2D" w:rsidRPr="00AE3438" w:rsidRDefault="00787B2D" w:rsidP="00BD02D3">
            <w:pPr>
              <w:jc w:val="center"/>
              <w:rPr>
                <w:rFonts w:ascii="Arial Narrow" w:hAnsi="Arial Narrow"/>
                <w:sz w:val="20"/>
                <w:szCs w:val="20"/>
              </w:rPr>
            </w:pPr>
          </w:p>
        </w:tc>
      </w:tr>
    </w:tbl>
    <w:p w14:paraId="640EDA00" w14:textId="77777777" w:rsidR="00716350" w:rsidRPr="00AE3438" w:rsidRDefault="00787B2D" w:rsidP="00822082">
      <w:pPr>
        <w:pStyle w:val="TableFigureFooter"/>
        <w:rPr>
          <w:rStyle w:val="CommentReference"/>
          <w:b w:val="0"/>
          <w:bCs/>
          <w:sz w:val="18"/>
          <w:szCs w:val="18"/>
        </w:rPr>
      </w:pPr>
      <w:r w:rsidRPr="00AE3438">
        <w:rPr>
          <w:rStyle w:val="CommentReference"/>
          <w:b w:val="0"/>
          <w:bCs/>
          <w:sz w:val="18"/>
          <w:szCs w:val="18"/>
          <w:shd w:val="clear" w:color="auto" w:fill="EAF1DD" w:themeFill="accent3" w:themeFillTint="33"/>
        </w:rPr>
        <w:t>Green shading</w:t>
      </w:r>
      <w:r w:rsidRPr="00AE3438">
        <w:rPr>
          <w:rStyle w:val="CommentReference"/>
          <w:b w:val="0"/>
          <w:bCs/>
          <w:sz w:val="18"/>
          <w:szCs w:val="18"/>
        </w:rPr>
        <w:t xml:space="preserve"> represents study population consisting only of patients treated pre-symptomatically. </w:t>
      </w:r>
      <w:r w:rsidR="00822082" w:rsidRPr="00AE3438">
        <w:rPr>
          <w:rStyle w:val="CommentReference"/>
          <w:b w:val="0"/>
          <w:bCs/>
          <w:sz w:val="18"/>
          <w:szCs w:val="18"/>
        </w:rPr>
        <w:t>U</w:t>
      </w:r>
      <w:r w:rsidRPr="00AE3438">
        <w:rPr>
          <w:rStyle w:val="CommentReference"/>
          <w:b w:val="0"/>
          <w:bCs/>
          <w:sz w:val="18"/>
          <w:szCs w:val="18"/>
        </w:rPr>
        <w:t xml:space="preserve">nshaded rows represent studies in symptomatic patients. </w:t>
      </w:r>
    </w:p>
    <w:p w14:paraId="7E978B33" w14:textId="7DDEB691" w:rsidR="00787B2D" w:rsidRPr="00AE3438" w:rsidRDefault="00787B2D" w:rsidP="00716350">
      <w:pPr>
        <w:pStyle w:val="TableFigureFooter"/>
        <w:spacing w:after="0"/>
        <w:rPr>
          <w:bCs/>
          <w:szCs w:val="18"/>
        </w:rPr>
      </w:pPr>
      <w:r w:rsidRPr="00AE3438">
        <w:t>Source: Table 2.35, p126 of the submission.</w:t>
      </w:r>
      <w:r w:rsidR="00716350" w:rsidRPr="00AE3438">
        <w:t xml:space="preserve"> </w:t>
      </w:r>
      <w:r w:rsidRPr="00AE3438">
        <w:t xml:space="preserve">BSID=Bayley Scale for Infant Development; FU= follow up; MGRS=Multicentre Growth Reference Study, NUSI=nusinersen; ONA=onasemnogene abeparvovec; RISD=risdiplam; </w:t>
      </w:r>
      <w:r w:rsidRPr="00AE3438">
        <w:rPr>
          <w:i/>
        </w:rPr>
        <w:t>SMN2</w:t>
      </w:r>
      <w:r w:rsidRPr="00AE3438">
        <w:t xml:space="preserve">=survival motor neuron 2; </w:t>
      </w:r>
      <w:r w:rsidR="0020480D" w:rsidRPr="00AE3438">
        <w:t xml:space="preserve">tx=treatment; </w:t>
      </w:r>
      <w:r w:rsidRPr="00AE3438">
        <w:t>WHO=World Health Organisation; 6MWT=six-minute walk test; NR=not reported;</w:t>
      </w:r>
    </w:p>
    <w:p w14:paraId="16C4132C" w14:textId="77777777" w:rsidR="00787B2D" w:rsidRPr="00AE3438" w:rsidRDefault="00787B2D" w:rsidP="00787B2D">
      <w:pPr>
        <w:pStyle w:val="FooterTableFigure"/>
      </w:pPr>
      <w:r w:rsidRPr="00AE3438">
        <w:t>S3 indicates studies used in the modelled economic evaluation (Section 3).</w:t>
      </w:r>
    </w:p>
    <w:p w14:paraId="7B204B55" w14:textId="77777777" w:rsidR="00787B2D" w:rsidRPr="00AE3438" w:rsidRDefault="00787B2D" w:rsidP="00787B2D">
      <w:pPr>
        <w:pStyle w:val="FooterTableFigure"/>
      </w:pPr>
      <w:r w:rsidRPr="00AE3438">
        <w:t>^</w:t>
      </w:r>
      <w:r w:rsidRPr="00AE3438">
        <w:tab/>
        <w:t>comparison with PNCR (natural history) control population.</w:t>
      </w:r>
    </w:p>
    <w:p w14:paraId="20F6FF9B" w14:textId="77777777" w:rsidR="00787B2D" w:rsidRPr="00AE3438" w:rsidRDefault="00787B2D" w:rsidP="00787B2D">
      <w:pPr>
        <w:pStyle w:val="FooterTableFigure"/>
      </w:pPr>
      <w:r w:rsidRPr="00AE3438">
        <w:t>a</w:t>
      </w:r>
      <w:r w:rsidRPr="00AE3438">
        <w:tab/>
        <w:t>Bayley GM item 43: walks alone. Child takes ≥5 steps independently, displaying coordination and balance.</w:t>
      </w:r>
    </w:p>
    <w:p w14:paraId="3EB89D5F" w14:textId="77777777" w:rsidR="00787B2D" w:rsidRPr="00AE3438" w:rsidRDefault="00787B2D" w:rsidP="00787B2D">
      <w:pPr>
        <w:pStyle w:val="FooterTableFigure"/>
        <w:ind w:left="165" w:hanging="165"/>
      </w:pPr>
      <w:r w:rsidRPr="00AE3438">
        <w:t>b</w:t>
      </w:r>
      <w:r w:rsidRPr="00AE3438">
        <w:tab/>
        <w:t>WHO-MGRS: walking alone. Child takes ≥5 steps independently in upright position with back straight. One leg moves forward while the other supports most of the body weight. There is no contact with a person or object.</w:t>
      </w:r>
    </w:p>
    <w:p w14:paraId="4B7A2AF7" w14:textId="77777777" w:rsidR="00787B2D" w:rsidRPr="00AE3438" w:rsidRDefault="00787B2D" w:rsidP="00787B2D">
      <w:pPr>
        <w:pStyle w:val="FooterTableFigure"/>
      </w:pPr>
      <w:r w:rsidRPr="00AE3438">
        <w:t>c</w:t>
      </w:r>
      <w:r w:rsidRPr="00AE3438">
        <w:tab/>
        <w:t>HINE-2: “walking independently”</w:t>
      </w:r>
    </w:p>
    <w:p w14:paraId="28CF1D53" w14:textId="77777777" w:rsidR="00787B2D" w:rsidRPr="00AE3438" w:rsidRDefault="00787B2D" w:rsidP="00787B2D">
      <w:pPr>
        <w:pStyle w:val="FooterTableFigure"/>
      </w:pPr>
      <w:r w:rsidRPr="00AE3438">
        <w:t>d</w:t>
      </w:r>
      <w:r w:rsidRPr="00AE3438">
        <w:tab/>
        <w:t>No child was reported to stand alone as the highest achieved milestone while being in the extension study.</w:t>
      </w:r>
    </w:p>
    <w:p w14:paraId="2CA4B998" w14:textId="77777777" w:rsidR="00787B2D" w:rsidRPr="00AE3438" w:rsidRDefault="00787B2D" w:rsidP="00787B2D">
      <w:pPr>
        <w:pStyle w:val="FooterTableFigure"/>
      </w:pPr>
      <w:r w:rsidRPr="00AE3438">
        <w:t>e</w:t>
      </w:r>
      <w:r w:rsidRPr="00AE3438">
        <w:tab/>
        <w:t>In RAINBOWFISH the preliminary exploratory analysis at the July 2021 data cut was for 7 infants treated with RISD for ≥12 months.</w:t>
      </w:r>
    </w:p>
    <w:p w14:paraId="4670B7C9" w14:textId="77777777" w:rsidR="00787B2D" w:rsidRPr="00AE3438" w:rsidRDefault="00787B2D" w:rsidP="00787B2D">
      <w:pPr>
        <w:pStyle w:val="FooterTableFigure"/>
        <w:ind w:left="165" w:hanging="165"/>
        <w:rPr>
          <w:iCs/>
        </w:rPr>
      </w:pPr>
      <w:r w:rsidRPr="00AE3438">
        <w:rPr>
          <w:iCs/>
        </w:rPr>
        <w:t>g</w:t>
      </w:r>
      <w:r w:rsidRPr="00AE3438">
        <w:rPr>
          <w:iCs/>
        </w:rPr>
        <w:tab/>
        <w:t>Result corrected during the evaluation. CS3 (Finkel 2021) final analysis reported 2/19 (11%) could walk (1 with support and 1 unaided).</w:t>
      </w:r>
      <w:r w:rsidRPr="00AE3438">
        <w:rPr>
          <w:i/>
        </w:rPr>
        <w:t xml:space="preserve"> </w:t>
      </w:r>
      <w:r w:rsidRPr="00AE3438">
        <w:rPr>
          <w:iCs/>
        </w:rPr>
        <w:t>The submission reported 2/20 (10%) patients achieved ability to walk alone.</w:t>
      </w:r>
    </w:p>
    <w:p w14:paraId="6D47835E" w14:textId="77777777" w:rsidR="00787B2D" w:rsidRPr="00AE3438" w:rsidRDefault="00787B2D" w:rsidP="00787B2D">
      <w:pPr>
        <w:pStyle w:val="FooterTableFigure"/>
        <w:ind w:left="165" w:hanging="165"/>
      </w:pPr>
      <w:r w:rsidRPr="00AE3438">
        <w:t>h</w:t>
      </w:r>
      <w:r w:rsidRPr="00AE3438">
        <w:tab/>
        <w:t xml:space="preserve">Calculated from age 2.1 years at first dose in CS2, plus 8.8 months follow-up, then enrolled in CS12 with Day 650 visit when the child first completed 6MWT. </w:t>
      </w:r>
    </w:p>
    <w:p w14:paraId="6B8795D2" w14:textId="77777777" w:rsidR="00787B2D" w:rsidRPr="00AE3438" w:rsidRDefault="00787B2D" w:rsidP="00787B2D">
      <w:pPr>
        <w:pStyle w:val="FooterTableFigure"/>
        <w:ind w:left="165" w:hanging="165"/>
      </w:pPr>
      <w:r w:rsidRPr="00AE3438">
        <w:t>j</w:t>
      </w:r>
      <w:r w:rsidRPr="00AE3438">
        <w:tab/>
        <w:t>In CS2/CS12, 2/4 children with SMA Type III who were previously able to walk but had lost that ability before the baseline CS2 assessment regained the ability to walk independently during the course of CS2/CS12 studies. All children with SMA type III (n=17) had previously walked, but 4 lost that ability; thus, 13 were ambulatory at CS2 baseline.</w:t>
      </w:r>
    </w:p>
    <w:p w14:paraId="4B8B900D" w14:textId="77777777" w:rsidR="00787B2D" w:rsidRPr="00AE3438" w:rsidRDefault="00787B2D" w:rsidP="00787B2D">
      <w:pPr>
        <w:pStyle w:val="FooterTableFigure"/>
        <w:ind w:left="165" w:hanging="165"/>
        <w:rPr>
          <w:iCs/>
        </w:rPr>
      </w:pPr>
      <w:r w:rsidRPr="00AE3438">
        <w:rPr>
          <w:iCs/>
        </w:rPr>
        <w:t>k</w:t>
      </w:r>
      <w:r w:rsidRPr="00AE3438">
        <w:rPr>
          <w:iCs/>
        </w:rPr>
        <w:tab/>
        <w:t>Result corrected during the evaluation. CHERISH reported 1/84 NUSI patient achieved ability to walk with assistance. The proportion who achieved ability to walk alone was not reported. However, 13/84 children in NUSI group and 2/42 control group achieved ≥1 new</w:t>
      </w:r>
      <w:r w:rsidRPr="00AE3438">
        <w:rPr>
          <w:i/>
        </w:rPr>
        <w:t xml:space="preserve"> </w:t>
      </w:r>
      <w:r w:rsidRPr="00AE3438">
        <w:rPr>
          <w:iCs/>
        </w:rPr>
        <w:t>WHO motor milestone at 15 months assessment.</w:t>
      </w:r>
    </w:p>
    <w:p w14:paraId="558D3313" w14:textId="58BA1670" w:rsidR="009A65A9" w:rsidRDefault="00C9142C" w:rsidP="00EC5836">
      <w:pPr>
        <w:pStyle w:val="3-BodyText"/>
      </w:pPr>
      <w:r w:rsidRPr="00AE3438">
        <w:fldChar w:fldCharType="begin"/>
      </w:r>
      <w:r w:rsidRPr="00AE3438">
        <w:instrText xml:space="preserve"> REF _Ref113303499 \h </w:instrText>
      </w:r>
      <w:r w:rsidRPr="00AE3438">
        <w:fldChar w:fldCharType="separate"/>
      </w:r>
      <w:r w:rsidR="008E4E26" w:rsidRPr="00AE3438">
        <w:t xml:space="preserve">Table </w:t>
      </w:r>
      <w:r w:rsidR="008E4E26">
        <w:rPr>
          <w:noProof/>
        </w:rPr>
        <w:t>7</w:t>
      </w:r>
      <w:r w:rsidRPr="00AE3438">
        <w:fldChar w:fldCharType="end"/>
      </w:r>
      <w:r w:rsidR="00787B2D" w:rsidRPr="00AE3438">
        <w:t xml:space="preserve"> summarises the results from longer term extension studies for ONA (START-LTFU and LT-002) and nusinersen (ENDEAR/SHINE).</w:t>
      </w:r>
    </w:p>
    <w:p w14:paraId="4491389E" w14:textId="77777777" w:rsidR="009A65A9" w:rsidRDefault="009A65A9">
      <w:pPr>
        <w:jc w:val="left"/>
        <w:rPr>
          <w:rFonts w:asciiTheme="minorHAnsi" w:hAnsiTheme="minorHAnsi"/>
          <w:snapToGrid w:val="0"/>
        </w:rPr>
      </w:pPr>
      <w:r>
        <w:br w:type="page"/>
      </w:r>
    </w:p>
    <w:p w14:paraId="41F6DBD0" w14:textId="51B366C2" w:rsidR="00787B2D" w:rsidRPr="00AE3438" w:rsidRDefault="00C9142C" w:rsidP="00C9142C">
      <w:pPr>
        <w:pStyle w:val="Caption"/>
        <w:rPr>
          <w:szCs w:val="20"/>
        </w:rPr>
      </w:pPr>
      <w:bookmarkStart w:id="38" w:name="_Ref113303499"/>
      <w:r w:rsidRPr="00AE3438">
        <w:lastRenderedPageBreak/>
        <w:t xml:space="preserve">Table </w:t>
      </w:r>
      <w:r w:rsidR="008E4E26">
        <w:fldChar w:fldCharType="begin"/>
      </w:r>
      <w:r w:rsidR="008E4E26">
        <w:instrText xml:space="preserve"> SEQ Table \</w:instrText>
      </w:r>
      <w:r w:rsidR="008E4E26">
        <w:instrText xml:space="preserve">* ARABIC </w:instrText>
      </w:r>
      <w:r w:rsidR="008E4E26">
        <w:fldChar w:fldCharType="separate"/>
      </w:r>
      <w:r w:rsidR="008E4E26">
        <w:rPr>
          <w:noProof/>
        </w:rPr>
        <w:t>7</w:t>
      </w:r>
      <w:r w:rsidR="008E4E26">
        <w:rPr>
          <w:noProof/>
        </w:rPr>
        <w:fldChar w:fldCharType="end"/>
      </w:r>
      <w:bookmarkEnd w:id="38"/>
      <w:r w:rsidR="00787B2D" w:rsidRPr="00AE3438">
        <w:rPr>
          <w:szCs w:val="20"/>
        </w:rPr>
        <w:t>: Highest milestone attained in long-term follow-up, for ONA (SPRINT, START-LTFU, LT-002) and NUSI (ENDEAR/SHINE)</w:t>
      </w:r>
    </w:p>
    <w:tbl>
      <w:tblPr>
        <w:tblStyle w:val="TableGrid"/>
        <w:tblW w:w="5000" w:type="pct"/>
        <w:tblLayout w:type="fixed"/>
        <w:tblCellMar>
          <w:left w:w="0" w:type="dxa"/>
          <w:right w:w="0" w:type="dxa"/>
        </w:tblCellMar>
        <w:tblLook w:val="04A0" w:firstRow="1" w:lastRow="0" w:firstColumn="1" w:lastColumn="0" w:noHBand="0" w:noVBand="1"/>
      </w:tblPr>
      <w:tblGrid>
        <w:gridCol w:w="1936"/>
        <w:gridCol w:w="693"/>
        <w:gridCol w:w="693"/>
        <w:gridCol w:w="834"/>
        <w:gridCol w:w="834"/>
        <w:gridCol w:w="833"/>
        <w:gridCol w:w="833"/>
        <w:gridCol w:w="695"/>
        <w:gridCol w:w="710"/>
        <w:gridCol w:w="956"/>
      </w:tblGrid>
      <w:tr w:rsidR="00787B2D" w:rsidRPr="00AE3438" w14:paraId="7B645FDD" w14:textId="77777777" w:rsidTr="00FD64E0">
        <w:trPr>
          <w:tblHeader/>
        </w:trPr>
        <w:tc>
          <w:tcPr>
            <w:tcW w:w="1980" w:type="dxa"/>
            <w:tcMar>
              <w:left w:w="28" w:type="dxa"/>
              <w:right w:w="28" w:type="dxa"/>
            </w:tcMar>
            <w:vAlign w:val="center"/>
          </w:tcPr>
          <w:p w14:paraId="365B8125" w14:textId="77777777" w:rsidR="00787B2D" w:rsidRPr="00AE3438" w:rsidRDefault="00787B2D" w:rsidP="00BD02D3">
            <w:pPr>
              <w:jc w:val="left"/>
              <w:rPr>
                <w:rFonts w:ascii="Arial Narrow" w:hAnsi="Arial Narrow"/>
                <w:b/>
                <w:sz w:val="20"/>
                <w:szCs w:val="20"/>
              </w:rPr>
            </w:pPr>
            <w:r w:rsidRPr="00AE3438">
              <w:rPr>
                <w:rFonts w:ascii="Arial Narrow" w:hAnsi="Arial Narrow"/>
                <w:b/>
                <w:sz w:val="20"/>
                <w:szCs w:val="20"/>
              </w:rPr>
              <w:t>n/N(%)</w:t>
            </w:r>
          </w:p>
        </w:tc>
        <w:tc>
          <w:tcPr>
            <w:tcW w:w="709" w:type="dxa"/>
            <w:vAlign w:val="center"/>
          </w:tcPr>
          <w:p w14:paraId="6F764653"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None</w:t>
            </w:r>
          </w:p>
        </w:tc>
        <w:tc>
          <w:tcPr>
            <w:tcW w:w="708" w:type="dxa"/>
            <w:vAlign w:val="center"/>
          </w:tcPr>
          <w:p w14:paraId="2774CED9"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Sit with support</w:t>
            </w:r>
          </w:p>
        </w:tc>
        <w:tc>
          <w:tcPr>
            <w:tcW w:w="851" w:type="dxa"/>
            <w:tcMar>
              <w:left w:w="28" w:type="dxa"/>
              <w:right w:w="28" w:type="dxa"/>
            </w:tcMar>
            <w:vAlign w:val="center"/>
          </w:tcPr>
          <w:p w14:paraId="47301580"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Sit without support</w:t>
            </w:r>
          </w:p>
        </w:tc>
        <w:tc>
          <w:tcPr>
            <w:tcW w:w="851" w:type="dxa"/>
            <w:tcMar>
              <w:left w:w="28" w:type="dxa"/>
              <w:right w:w="28" w:type="dxa"/>
            </w:tcMar>
            <w:vAlign w:val="center"/>
          </w:tcPr>
          <w:p w14:paraId="1AB5B1F5"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Hand &amp; knees crawling</w:t>
            </w:r>
          </w:p>
        </w:tc>
        <w:tc>
          <w:tcPr>
            <w:tcW w:w="850" w:type="dxa"/>
            <w:tcMar>
              <w:left w:w="28" w:type="dxa"/>
              <w:right w:w="28" w:type="dxa"/>
            </w:tcMar>
            <w:vAlign w:val="center"/>
          </w:tcPr>
          <w:p w14:paraId="4778D168" w14:textId="776A1942"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Stand with assistan</w:t>
            </w:r>
            <w:r w:rsidR="0020480D" w:rsidRPr="00AE3438">
              <w:rPr>
                <w:rFonts w:ascii="Arial Narrow" w:hAnsi="Arial Narrow"/>
                <w:b/>
                <w:sz w:val="20"/>
                <w:szCs w:val="20"/>
              </w:rPr>
              <w:t>-</w:t>
            </w:r>
            <w:r w:rsidRPr="00AE3438">
              <w:rPr>
                <w:rFonts w:ascii="Arial Narrow" w:hAnsi="Arial Narrow"/>
                <w:b/>
                <w:sz w:val="20"/>
                <w:szCs w:val="20"/>
              </w:rPr>
              <w:t>ce</w:t>
            </w:r>
          </w:p>
        </w:tc>
        <w:tc>
          <w:tcPr>
            <w:tcW w:w="850" w:type="dxa"/>
            <w:tcMar>
              <w:left w:w="28" w:type="dxa"/>
              <w:right w:w="28" w:type="dxa"/>
            </w:tcMar>
            <w:vAlign w:val="center"/>
          </w:tcPr>
          <w:p w14:paraId="01064E9D" w14:textId="551A9244"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Walk with assistan</w:t>
            </w:r>
            <w:r w:rsidR="0020480D" w:rsidRPr="00AE3438">
              <w:rPr>
                <w:rFonts w:ascii="Arial Narrow" w:hAnsi="Arial Narrow"/>
                <w:b/>
                <w:sz w:val="20"/>
                <w:szCs w:val="20"/>
              </w:rPr>
              <w:t>-</w:t>
            </w:r>
            <w:r w:rsidRPr="00AE3438">
              <w:rPr>
                <w:rFonts w:ascii="Arial Narrow" w:hAnsi="Arial Narrow"/>
                <w:b/>
                <w:sz w:val="20"/>
                <w:szCs w:val="20"/>
              </w:rPr>
              <w:t>ce</w:t>
            </w:r>
          </w:p>
        </w:tc>
        <w:tc>
          <w:tcPr>
            <w:tcW w:w="709" w:type="dxa"/>
            <w:tcMar>
              <w:left w:w="28" w:type="dxa"/>
              <w:right w:w="28" w:type="dxa"/>
            </w:tcMar>
            <w:vAlign w:val="center"/>
          </w:tcPr>
          <w:p w14:paraId="6A02899E"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Stand alone</w:t>
            </w:r>
          </w:p>
        </w:tc>
        <w:tc>
          <w:tcPr>
            <w:tcW w:w="725" w:type="dxa"/>
            <w:tcMar>
              <w:left w:w="28" w:type="dxa"/>
              <w:right w:w="28" w:type="dxa"/>
            </w:tcMar>
            <w:vAlign w:val="center"/>
          </w:tcPr>
          <w:p w14:paraId="7E664F28"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Walk alone</w:t>
            </w:r>
          </w:p>
        </w:tc>
        <w:tc>
          <w:tcPr>
            <w:tcW w:w="976" w:type="dxa"/>
            <w:tcMar>
              <w:left w:w="28" w:type="dxa"/>
              <w:right w:w="28" w:type="dxa"/>
            </w:tcMar>
            <w:vAlign w:val="center"/>
          </w:tcPr>
          <w:p w14:paraId="35F7B841" w14:textId="77777777" w:rsidR="00787B2D" w:rsidRPr="00AE3438" w:rsidRDefault="00787B2D" w:rsidP="00BD02D3">
            <w:pPr>
              <w:jc w:val="center"/>
              <w:rPr>
                <w:rFonts w:ascii="Arial Narrow" w:hAnsi="Arial Narrow"/>
                <w:b/>
                <w:sz w:val="20"/>
                <w:szCs w:val="20"/>
              </w:rPr>
            </w:pPr>
            <w:r w:rsidRPr="00AE3438">
              <w:rPr>
                <w:rFonts w:ascii="Arial Narrow" w:hAnsi="Arial Narrow"/>
                <w:b/>
                <w:sz w:val="20"/>
                <w:szCs w:val="20"/>
              </w:rPr>
              <w:t>Co admin NUSI/RISD</w:t>
            </w:r>
          </w:p>
        </w:tc>
      </w:tr>
      <w:tr w:rsidR="00787B2D" w:rsidRPr="00AE3438" w14:paraId="304EA9D8" w14:textId="77777777" w:rsidTr="00FD64E0">
        <w:tc>
          <w:tcPr>
            <w:tcW w:w="9209" w:type="dxa"/>
            <w:gridSpan w:val="10"/>
            <w:shd w:val="clear" w:color="auto" w:fill="EAF1DD" w:themeFill="accent3" w:themeFillTint="33"/>
            <w:tcMar>
              <w:left w:w="28" w:type="dxa"/>
              <w:right w:w="28" w:type="dxa"/>
            </w:tcMar>
            <w:vAlign w:val="center"/>
          </w:tcPr>
          <w:p w14:paraId="54BEA1B6" w14:textId="77777777" w:rsidR="00787B2D" w:rsidRPr="00AE3438" w:rsidRDefault="00787B2D" w:rsidP="00BD02D3">
            <w:pPr>
              <w:jc w:val="left"/>
              <w:rPr>
                <w:rFonts w:ascii="Arial Narrow" w:hAnsi="Arial Narrow"/>
                <w:b/>
                <w:sz w:val="20"/>
                <w:szCs w:val="20"/>
              </w:rPr>
            </w:pPr>
            <w:r w:rsidRPr="00AE3438">
              <w:rPr>
                <w:rFonts w:ascii="Arial Narrow" w:hAnsi="Arial Narrow"/>
                <w:b/>
                <w:sz w:val="20"/>
                <w:szCs w:val="20"/>
              </w:rPr>
              <w:t>SPR1NT/LT-002 (3 SMN2 copies)</w:t>
            </w:r>
          </w:p>
        </w:tc>
      </w:tr>
      <w:tr w:rsidR="00787B2D" w:rsidRPr="00AE3438" w14:paraId="62BE181A" w14:textId="77777777" w:rsidTr="00FD64E0">
        <w:tc>
          <w:tcPr>
            <w:tcW w:w="1980" w:type="dxa"/>
            <w:shd w:val="clear" w:color="auto" w:fill="EAF1DD" w:themeFill="accent3" w:themeFillTint="33"/>
            <w:tcMar>
              <w:left w:w="28" w:type="dxa"/>
              <w:right w:w="28" w:type="dxa"/>
            </w:tcMar>
            <w:vAlign w:val="center"/>
          </w:tcPr>
          <w:p w14:paraId="54D69E6E" w14:textId="77777777" w:rsidR="00787B2D" w:rsidRPr="00AE3438" w:rsidRDefault="00787B2D" w:rsidP="00054F33">
            <w:pPr>
              <w:numPr>
                <w:ilvl w:val="0"/>
                <w:numId w:val="4"/>
              </w:numPr>
              <w:ind w:left="115" w:hanging="115"/>
              <w:jc w:val="left"/>
              <w:rPr>
                <w:rFonts w:ascii="Arial Narrow" w:hAnsi="Arial Narrow"/>
                <w:sz w:val="20"/>
                <w:szCs w:val="20"/>
              </w:rPr>
            </w:pPr>
            <w:r w:rsidRPr="00AE3438">
              <w:rPr>
                <w:rFonts w:ascii="Arial Narrow" w:hAnsi="Arial Narrow"/>
                <w:sz w:val="20"/>
                <w:szCs w:val="20"/>
              </w:rPr>
              <w:t>End of SPR1NT (up to age 24 mth)</w:t>
            </w:r>
          </w:p>
        </w:tc>
        <w:tc>
          <w:tcPr>
            <w:tcW w:w="709" w:type="dxa"/>
            <w:shd w:val="clear" w:color="auto" w:fill="EAF1DD" w:themeFill="accent3" w:themeFillTint="33"/>
            <w:vAlign w:val="center"/>
          </w:tcPr>
          <w:p w14:paraId="4888CF6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08" w:type="dxa"/>
            <w:shd w:val="clear" w:color="auto" w:fill="EAF1DD" w:themeFill="accent3" w:themeFillTint="33"/>
            <w:vAlign w:val="center"/>
          </w:tcPr>
          <w:p w14:paraId="438A974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1" w:type="dxa"/>
            <w:shd w:val="clear" w:color="auto" w:fill="EAF1DD" w:themeFill="accent3" w:themeFillTint="33"/>
            <w:tcMar>
              <w:left w:w="28" w:type="dxa"/>
              <w:right w:w="28" w:type="dxa"/>
            </w:tcMar>
            <w:vAlign w:val="center"/>
          </w:tcPr>
          <w:p w14:paraId="36D9B92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1" w:type="dxa"/>
            <w:shd w:val="clear" w:color="auto" w:fill="EAF1DD" w:themeFill="accent3" w:themeFillTint="33"/>
            <w:tcMar>
              <w:left w:w="28" w:type="dxa"/>
              <w:right w:w="28" w:type="dxa"/>
            </w:tcMar>
            <w:vAlign w:val="center"/>
          </w:tcPr>
          <w:p w14:paraId="59A223B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0" w:type="dxa"/>
            <w:shd w:val="clear" w:color="auto" w:fill="EAF1DD" w:themeFill="accent3" w:themeFillTint="33"/>
            <w:tcMar>
              <w:left w:w="28" w:type="dxa"/>
              <w:right w:w="28" w:type="dxa"/>
            </w:tcMar>
            <w:vAlign w:val="center"/>
          </w:tcPr>
          <w:p w14:paraId="3C4186B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0" w:type="dxa"/>
            <w:shd w:val="clear" w:color="auto" w:fill="EAF1DD" w:themeFill="accent3" w:themeFillTint="33"/>
            <w:tcMar>
              <w:left w:w="28" w:type="dxa"/>
              <w:right w:w="28" w:type="dxa"/>
            </w:tcMar>
            <w:vAlign w:val="center"/>
          </w:tcPr>
          <w:p w14:paraId="38DAD74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09" w:type="dxa"/>
            <w:shd w:val="clear" w:color="auto" w:fill="EAF1DD" w:themeFill="accent3" w:themeFillTint="33"/>
            <w:tcMar>
              <w:left w:w="28" w:type="dxa"/>
              <w:right w:w="28" w:type="dxa"/>
            </w:tcMar>
            <w:vAlign w:val="center"/>
          </w:tcPr>
          <w:p w14:paraId="3E8197B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1/15</w:t>
            </w:r>
          </w:p>
          <w:p w14:paraId="0CA6D21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(7%)</w:t>
            </w:r>
          </w:p>
        </w:tc>
        <w:tc>
          <w:tcPr>
            <w:tcW w:w="725" w:type="dxa"/>
            <w:shd w:val="clear" w:color="auto" w:fill="EAF1DD" w:themeFill="accent3" w:themeFillTint="33"/>
            <w:tcMar>
              <w:left w:w="28" w:type="dxa"/>
              <w:right w:w="28" w:type="dxa"/>
            </w:tcMar>
            <w:vAlign w:val="center"/>
          </w:tcPr>
          <w:p w14:paraId="76D6076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14/15</w:t>
            </w:r>
          </w:p>
          <w:p w14:paraId="0BE6045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(93%)</w:t>
            </w:r>
          </w:p>
        </w:tc>
        <w:tc>
          <w:tcPr>
            <w:tcW w:w="976" w:type="dxa"/>
            <w:shd w:val="clear" w:color="auto" w:fill="EAF1DD" w:themeFill="accent3" w:themeFillTint="33"/>
            <w:tcMar>
              <w:left w:w="28" w:type="dxa"/>
              <w:right w:w="28" w:type="dxa"/>
            </w:tcMar>
            <w:vAlign w:val="center"/>
          </w:tcPr>
          <w:p w14:paraId="1241008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None</w:t>
            </w:r>
            <w:r w:rsidRPr="00AE3438">
              <w:rPr>
                <w:rFonts w:ascii="Arial Narrow" w:hAnsi="Arial Narrow"/>
                <w:sz w:val="20"/>
                <w:szCs w:val="20"/>
                <w:vertAlign w:val="superscript"/>
              </w:rPr>
              <w:t>a</w:t>
            </w:r>
          </w:p>
        </w:tc>
      </w:tr>
      <w:tr w:rsidR="00787B2D" w:rsidRPr="00AE3438" w14:paraId="43D69EFC" w14:textId="77777777" w:rsidTr="00FD64E0">
        <w:tc>
          <w:tcPr>
            <w:tcW w:w="1980" w:type="dxa"/>
            <w:shd w:val="clear" w:color="auto" w:fill="EAF1DD" w:themeFill="accent3" w:themeFillTint="33"/>
            <w:tcMar>
              <w:left w:w="28" w:type="dxa"/>
              <w:right w:w="28" w:type="dxa"/>
            </w:tcMar>
            <w:vAlign w:val="center"/>
          </w:tcPr>
          <w:p w14:paraId="31AF8E37" w14:textId="77777777" w:rsidR="00787B2D" w:rsidRPr="00AE3438" w:rsidRDefault="00787B2D" w:rsidP="00054F33">
            <w:pPr>
              <w:numPr>
                <w:ilvl w:val="0"/>
                <w:numId w:val="4"/>
              </w:numPr>
              <w:ind w:left="115" w:hanging="115"/>
              <w:jc w:val="left"/>
              <w:rPr>
                <w:rFonts w:ascii="Arial Narrow" w:hAnsi="Arial Narrow"/>
                <w:sz w:val="20"/>
                <w:szCs w:val="20"/>
              </w:rPr>
            </w:pPr>
            <w:r w:rsidRPr="00AE3438">
              <w:rPr>
                <w:rFonts w:ascii="Arial Narrow" w:hAnsi="Arial Narrow"/>
                <w:sz w:val="20"/>
                <w:szCs w:val="20"/>
              </w:rPr>
              <w:t>LT-002 23 May 2021 data cut: mean age 29.6 mth</w:t>
            </w:r>
            <w:r w:rsidRPr="00AE3438">
              <w:rPr>
                <w:rFonts w:ascii="Arial Narrow" w:hAnsi="Arial Narrow"/>
                <w:sz w:val="20"/>
                <w:szCs w:val="20"/>
                <w:vertAlign w:val="superscript"/>
              </w:rPr>
              <w:t>b</w:t>
            </w:r>
          </w:p>
        </w:tc>
        <w:tc>
          <w:tcPr>
            <w:tcW w:w="709" w:type="dxa"/>
            <w:shd w:val="clear" w:color="auto" w:fill="EAF1DD" w:themeFill="accent3" w:themeFillTint="33"/>
            <w:vAlign w:val="center"/>
          </w:tcPr>
          <w:p w14:paraId="36EF959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08" w:type="dxa"/>
            <w:shd w:val="clear" w:color="auto" w:fill="EAF1DD" w:themeFill="accent3" w:themeFillTint="33"/>
            <w:vAlign w:val="center"/>
          </w:tcPr>
          <w:p w14:paraId="204BACB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1" w:type="dxa"/>
            <w:shd w:val="clear" w:color="auto" w:fill="EAF1DD" w:themeFill="accent3" w:themeFillTint="33"/>
            <w:tcMar>
              <w:left w:w="28" w:type="dxa"/>
              <w:right w:w="28" w:type="dxa"/>
            </w:tcMar>
            <w:vAlign w:val="center"/>
          </w:tcPr>
          <w:p w14:paraId="122E761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1" w:type="dxa"/>
            <w:shd w:val="clear" w:color="auto" w:fill="EAF1DD" w:themeFill="accent3" w:themeFillTint="33"/>
            <w:tcMar>
              <w:left w:w="28" w:type="dxa"/>
              <w:right w:w="28" w:type="dxa"/>
            </w:tcMar>
            <w:vAlign w:val="center"/>
          </w:tcPr>
          <w:p w14:paraId="1B747F3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0" w:type="dxa"/>
            <w:shd w:val="clear" w:color="auto" w:fill="EAF1DD" w:themeFill="accent3" w:themeFillTint="33"/>
            <w:tcMar>
              <w:left w:w="28" w:type="dxa"/>
              <w:right w:w="28" w:type="dxa"/>
            </w:tcMar>
            <w:vAlign w:val="center"/>
          </w:tcPr>
          <w:p w14:paraId="5F40F8F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0" w:type="dxa"/>
            <w:shd w:val="clear" w:color="auto" w:fill="EAF1DD" w:themeFill="accent3" w:themeFillTint="33"/>
            <w:tcMar>
              <w:left w:w="28" w:type="dxa"/>
              <w:right w:w="28" w:type="dxa"/>
            </w:tcMar>
            <w:vAlign w:val="center"/>
          </w:tcPr>
          <w:p w14:paraId="5A9BADA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09" w:type="dxa"/>
            <w:shd w:val="clear" w:color="auto" w:fill="EAF1DD" w:themeFill="accent3" w:themeFillTint="33"/>
            <w:tcMar>
              <w:left w:w="28" w:type="dxa"/>
              <w:right w:w="28" w:type="dxa"/>
            </w:tcMar>
            <w:vAlign w:val="center"/>
          </w:tcPr>
          <w:p w14:paraId="21612FD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25" w:type="dxa"/>
            <w:shd w:val="clear" w:color="auto" w:fill="EAF1DD" w:themeFill="accent3" w:themeFillTint="33"/>
            <w:tcMar>
              <w:left w:w="28" w:type="dxa"/>
              <w:right w:w="28" w:type="dxa"/>
            </w:tcMar>
            <w:vAlign w:val="center"/>
          </w:tcPr>
          <w:p w14:paraId="28760F7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5/8</w:t>
            </w:r>
          </w:p>
          <w:p w14:paraId="543C54C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(63%)</w:t>
            </w:r>
            <w:r w:rsidRPr="00AE3438">
              <w:rPr>
                <w:rFonts w:ascii="Arial Narrow" w:hAnsi="Arial Narrow"/>
                <w:sz w:val="20"/>
                <w:szCs w:val="20"/>
                <w:vertAlign w:val="superscript"/>
              </w:rPr>
              <w:t>c</w:t>
            </w:r>
          </w:p>
        </w:tc>
        <w:tc>
          <w:tcPr>
            <w:tcW w:w="976" w:type="dxa"/>
            <w:shd w:val="clear" w:color="auto" w:fill="EAF1DD" w:themeFill="accent3" w:themeFillTint="33"/>
            <w:tcMar>
              <w:left w:w="28" w:type="dxa"/>
              <w:right w:w="28" w:type="dxa"/>
            </w:tcMar>
            <w:vAlign w:val="center"/>
          </w:tcPr>
          <w:p w14:paraId="298DE6A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None</w:t>
            </w:r>
          </w:p>
        </w:tc>
      </w:tr>
      <w:tr w:rsidR="00787B2D" w:rsidRPr="00AE3438" w14:paraId="19BAEA35" w14:textId="77777777" w:rsidTr="00FD64E0">
        <w:tc>
          <w:tcPr>
            <w:tcW w:w="9209" w:type="dxa"/>
            <w:gridSpan w:val="10"/>
            <w:shd w:val="clear" w:color="auto" w:fill="EAF1DD" w:themeFill="accent3" w:themeFillTint="33"/>
            <w:tcMar>
              <w:left w:w="28" w:type="dxa"/>
              <w:right w:w="28" w:type="dxa"/>
            </w:tcMar>
            <w:vAlign w:val="center"/>
          </w:tcPr>
          <w:p w14:paraId="1B9E0F3A" w14:textId="77777777" w:rsidR="00787B2D" w:rsidRPr="00AE3438" w:rsidRDefault="00787B2D" w:rsidP="00BD02D3">
            <w:pPr>
              <w:jc w:val="left"/>
              <w:rPr>
                <w:rFonts w:ascii="Arial Narrow" w:hAnsi="Arial Narrow"/>
                <w:sz w:val="20"/>
                <w:szCs w:val="20"/>
              </w:rPr>
            </w:pPr>
            <w:r w:rsidRPr="00AE3438">
              <w:rPr>
                <w:rFonts w:ascii="Arial Narrow" w:hAnsi="Arial Narrow"/>
                <w:b/>
                <w:sz w:val="20"/>
                <w:szCs w:val="20"/>
              </w:rPr>
              <w:t>SPR1NT/LT-002 (2 SMN2 copies)</w:t>
            </w:r>
          </w:p>
        </w:tc>
      </w:tr>
      <w:tr w:rsidR="00787B2D" w:rsidRPr="00AE3438" w14:paraId="0C0AE35B" w14:textId="77777777" w:rsidTr="00FD64E0">
        <w:tc>
          <w:tcPr>
            <w:tcW w:w="1980" w:type="dxa"/>
            <w:shd w:val="clear" w:color="auto" w:fill="EAF1DD" w:themeFill="accent3" w:themeFillTint="33"/>
            <w:tcMar>
              <w:left w:w="28" w:type="dxa"/>
              <w:right w:w="28" w:type="dxa"/>
            </w:tcMar>
            <w:vAlign w:val="center"/>
          </w:tcPr>
          <w:p w14:paraId="32B7A755" w14:textId="77777777" w:rsidR="00787B2D" w:rsidRPr="00AE3438" w:rsidRDefault="00787B2D" w:rsidP="00054F33">
            <w:pPr>
              <w:numPr>
                <w:ilvl w:val="0"/>
                <w:numId w:val="4"/>
              </w:numPr>
              <w:ind w:left="115" w:hanging="115"/>
              <w:jc w:val="left"/>
              <w:rPr>
                <w:rFonts w:ascii="Arial Narrow" w:hAnsi="Arial Narrow"/>
                <w:b/>
                <w:sz w:val="20"/>
                <w:szCs w:val="20"/>
              </w:rPr>
            </w:pPr>
            <w:r w:rsidRPr="00AE3438">
              <w:rPr>
                <w:rFonts w:ascii="Arial Narrow" w:hAnsi="Arial Narrow"/>
                <w:sz w:val="20"/>
                <w:szCs w:val="20"/>
              </w:rPr>
              <w:t>End of SPR1NT (up to age 18 mth)</w:t>
            </w:r>
          </w:p>
        </w:tc>
        <w:tc>
          <w:tcPr>
            <w:tcW w:w="709" w:type="dxa"/>
            <w:shd w:val="clear" w:color="auto" w:fill="EAF1DD" w:themeFill="accent3" w:themeFillTint="33"/>
            <w:vAlign w:val="center"/>
          </w:tcPr>
          <w:p w14:paraId="4A9B249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08" w:type="dxa"/>
            <w:shd w:val="clear" w:color="auto" w:fill="EAF1DD" w:themeFill="accent3" w:themeFillTint="33"/>
            <w:vAlign w:val="center"/>
          </w:tcPr>
          <w:p w14:paraId="3CD6D3D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1" w:type="dxa"/>
            <w:shd w:val="clear" w:color="auto" w:fill="EAF1DD" w:themeFill="accent3" w:themeFillTint="33"/>
            <w:tcMar>
              <w:left w:w="28" w:type="dxa"/>
              <w:right w:w="28" w:type="dxa"/>
            </w:tcMar>
            <w:vAlign w:val="center"/>
          </w:tcPr>
          <w:p w14:paraId="188916E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1" w:type="dxa"/>
            <w:shd w:val="clear" w:color="auto" w:fill="EAF1DD" w:themeFill="accent3" w:themeFillTint="33"/>
            <w:tcMar>
              <w:left w:w="28" w:type="dxa"/>
              <w:right w:w="28" w:type="dxa"/>
            </w:tcMar>
            <w:vAlign w:val="center"/>
          </w:tcPr>
          <w:p w14:paraId="5E3F655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0" w:type="dxa"/>
            <w:shd w:val="clear" w:color="auto" w:fill="EAF1DD" w:themeFill="accent3" w:themeFillTint="33"/>
            <w:tcMar>
              <w:left w:w="28" w:type="dxa"/>
              <w:right w:w="28" w:type="dxa"/>
            </w:tcMar>
            <w:vAlign w:val="center"/>
          </w:tcPr>
          <w:p w14:paraId="411EBB6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2/14</w:t>
            </w:r>
          </w:p>
          <w:p w14:paraId="530741B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(14%)</w:t>
            </w:r>
          </w:p>
        </w:tc>
        <w:tc>
          <w:tcPr>
            <w:tcW w:w="850" w:type="dxa"/>
            <w:shd w:val="clear" w:color="auto" w:fill="EAF1DD" w:themeFill="accent3" w:themeFillTint="33"/>
            <w:tcMar>
              <w:left w:w="28" w:type="dxa"/>
              <w:right w:w="28" w:type="dxa"/>
            </w:tcMar>
            <w:vAlign w:val="center"/>
          </w:tcPr>
          <w:p w14:paraId="5871F72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1/14</w:t>
            </w:r>
          </w:p>
          <w:p w14:paraId="2722966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(7%)</w:t>
            </w:r>
          </w:p>
        </w:tc>
        <w:tc>
          <w:tcPr>
            <w:tcW w:w="709" w:type="dxa"/>
            <w:shd w:val="clear" w:color="auto" w:fill="EAF1DD" w:themeFill="accent3" w:themeFillTint="33"/>
            <w:tcMar>
              <w:left w:w="28" w:type="dxa"/>
              <w:right w:w="28" w:type="dxa"/>
            </w:tcMar>
            <w:vAlign w:val="center"/>
          </w:tcPr>
          <w:p w14:paraId="74F129C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2/14</w:t>
            </w:r>
          </w:p>
          <w:p w14:paraId="62DCF69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(14%)</w:t>
            </w:r>
          </w:p>
        </w:tc>
        <w:tc>
          <w:tcPr>
            <w:tcW w:w="725" w:type="dxa"/>
            <w:shd w:val="clear" w:color="auto" w:fill="EAF1DD" w:themeFill="accent3" w:themeFillTint="33"/>
            <w:tcMar>
              <w:left w:w="28" w:type="dxa"/>
              <w:right w:w="28" w:type="dxa"/>
            </w:tcMar>
            <w:vAlign w:val="center"/>
          </w:tcPr>
          <w:p w14:paraId="51ECA7F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9/14</w:t>
            </w:r>
          </w:p>
          <w:p w14:paraId="7EF58A6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(64%)</w:t>
            </w:r>
          </w:p>
        </w:tc>
        <w:tc>
          <w:tcPr>
            <w:tcW w:w="976" w:type="dxa"/>
            <w:shd w:val="clear" w:color="auto" w:fill="EAF1DD" w:themeFill="accent3" w:themeFillTint="33"/>
            <w:tcMar>
              <w:left w:w="28" w:type="dxa"/>
              <w:right w:w="28" w:type="dxa"/>
            </w:tcMar>
            <w:vAlign w:val="center"/>
          </w:tcPr>
          <w:p w14:paraId="2CCB3DB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None</w:t>
            </w:r>
          </w:p>
        </w:tc>
      </w:tr>
      <w:tr w:rsidR="00787B2D" w:rsidRPr="00AE3438" w14:paraId="0072D607" w14:textId="77777777" w:rsidTr="00FD64E0">
        <w:tc>
          <w:tcPr>
            <w:tcW w:w="1980" w:type="dxa"/>
            <w:shd w:val="clear" w:color="auto" w:fill="EAF1DD" w:themeFill="accent3" w:themeFillTint="33"/>
            <w:tcMar>
              <w:left w:w="28" w:type="dxa"/>
              <w:right w:w="28" w:type="dxa"/>
            </w:tcMar>
            <w:vAlign w:val="center"/>
          </w:tcPr>
          <w:p w14:paraId="18C0E00B" w14:textId="77777777" w:rsidR="00787B2D" w:rsidRPr="00AE3438" w:rsidRDefault="00787B2D" w:rsidP="00054F33">
            <w:pPr>
              <w:numPr>
                <w:ilvl w:val="0"/>
                <w:numId w:val="4"/>
              </w:numPr>
              <w:ind w:left="115" w:hanging="115"/>
              <w:jc w:val="left"/>
              <w:rPr>
                <w:rFonts w:ascii="Arial Narrow" w:hAnsi="Arial Narrow"/>
                <w:sz w:val="20"/>
                <w:szCs w:val="20"/>
              </w:rPr>
            </w:pPr>
            <w:r w:rsidRPr="00AE3438">
              <w:rPr>
                <w:rFonts w:ascii="Arial Narrow" w:hAnsi="Arial Narrow"/>
                <w:sz w:val="20"/>
                <w:szCs w:val="20"/>
              </w:rPr>
              <w:t>LT-002 23 May 2021 data cut: mean age 29.9 mth</w:t>
            </w:r>
            <w:r w:rsidRPr="00BF0A5B">
              <w:rPr>
                <w:rFonts w:ascii="Arial Narrow" w:hAnsi="Arial Narrow"/>
                <w:sz w:val="20"/>
                <w:szCs w:val="20"/>
                <w:vertAlign w:val="superscript"/>
              </w:rPr>
              <w:t>d</w:t>
            </w:r>
          </w:p>
        </w:tc>
        <w:tc>
          <w:tcPr>
            <w:tcW w:w="709" w:type="dxa"/>
            <w:shd w:val="clear" w:color="auto" w:fill="EAF1DD" w:themeFill="accent3" w:themeFillTint="33"/>
            <w:vAlign w:val="center"/>
          </w:tcPr>
          <w:p w14:paraId="3A5FD280" w14:textId="77777777" w:rsidR="00787B2D" w:rsidRPr="00AE3438" w:rsidRDefault="00787B2D" w:rsidP="00BD02D3">
            <w:pPr>
              <w:jc w:val="center"/>
              <w:rPr>
                <w:rFonts w:ascii="Arial Narrow" w:hAnsi="Arial Narrow"/>
                <w:sz w:val="20"/>
                <w:szCs w:val="20"/>
              </w:rPr>
            </w:pPr>
          </w:p>
        </w:tc>
        <w:tc>
          <w:tcPr>
            <w:tcW w:w="708" w:type="dxa"/>
            <w:shd w:val="clear" w:color="auto" w:fill="EAF1DD" w:themeFill="accent3" w:themeFillTint="33"/>
            <w:vAlign w:val="center"/>
          </w:tcPr>
          <w:p w14:paraId="091B3D70" w14:textId="77777777" w:rsidR="00787B2D" w:rsidRPr="00AE3438" w:rsidRDefault="00787B2D" w:rsidP="00BD02D3">
            <w:pPr>
              <w:jc w:val="center"/>
              <w:rPr>
                <w:rFonts w:ascii="Arial Narrow" w:hAnsi="Arial Narrow"/>
                <w:sz w:val="20"/>
                <w:szCs w:val="20"/>
              </w:rPr>
            </w:pPr>
          </w:p>
        </w:tc>
        <w:tc>
          <w:tcPr>
            <w:tcW w:w="851" w:type="dxa"/>
            <w:shd w:val="clear" w:color="auto" w:fill="EAF1DD" w:themeFill="accent3" w:themeFillTint="33"/>
            <w:tcMar>
              <w:left w:w="28" w:type="dxa"/>
              <w:right w:w="28" w:type="dxa"/>
            </w:tcMar>
            <w:vAlign w:val="center"/>
          </w:tcPr>
          <w:p w14:paraId="7510A95B" w14:textId="77777777" w:rsidR="00787B2D" w:rsidRPr="00AE3438" w:rsidRDefault="00787B2D" w:rsidP="00BD02D3">
            <w:pPr>
              <w:jc w:val="center"/>
              <w:rPr>
                <w:rFonts w:ascii="Arial Narrow" w:hAnsi="Arial Narrow"/>
                <w:sz w:val="20"/>
                <w:szCs w:val="20"/>
              </w:rPr>
            </w:pPr>
          </w:p>
        </w:tc>
        <w:tc>
          <w:tcPr>
            <w:tcW w:w="851" w:type="dxa"/>
            <w:shd w:val="clear" w:color="auto" w:fill="EAF1DD" w:themeFill="accent3" w:themeFillTint="33"/>
            <w:tcMar>
              <w:left w:w="28" w:type="dxa"/>
              <w:right w:w="28" w:type="dxa"/>
            </w:tcMar>
            <w:vAlign w:val="center"/>
          </w:tcPr>
          <w:p w14:paraId="1B3E06B1" w14:textId="77777777" w:rsidR="00787B2D" w:rsidRPr="00AE3438" w:rsidRDefault="00787B2D" w:rsidP="00BD02D3">
            <w:pPr>
              <w:jc w:val="center"/>
              <w:rPr>
                <w:rFonts w:ascii="Arial Narrow" w:hAnsi="Arial Narrow"/>
                <w:sz w:val="20"/>
                <w:szCs w:val="20"/>
              </w:rPr>
            </w:pPr>
          </w:p>
        </w:tc>
        <w:tc>
          <w:tcPr>
            <w:tcW w:w="850" w:type="dxa"/>
            <w:shd w:val="clear" w:color="auto" w:fill="EAF1DD" w:themeFill="accent3" w:themeFillTint="33"/>
            <w:tcMar>
              <w:left w:w="28" w:type="dxa"/>
              <w:right w:w="28" w:type="dxa"/>
            </w:tcMar>
            <w:vAlign w:val="center"/>
          </w:tcPr>
          <w:p w14:paraId="359366E1" w14:textId="77777777" w:rsidR="00787B2D" w:rsidRPr="00AE3438" w:rsidRDefault="00787B2D" w:rsidP="00BD02D3">
            <w:pPr>
              <w:jc w:val="center"/>
              <w:rPr>
                <w:rFonts w:ascii="Arial Narrow" w:hAnsi="Arial Narrow"/>
                <w:sz w:val="20"/>
                <w:szCs w:val="20"/>
              </w:rPr>
            </w:pPr>
          </w:p>
        </w:tc>
        <w:tc>
          <w:tcPr>
            <w:tcW w:w="850" w:type="dxa"/>
            <w:shd w:val="clear" w:color="auto" w:fill="EAF1DD" w:themeFill="accent3" w:themeFillTint="33"/>
            <w:tcMar>
              <w:left w:w="28" w:type="dxa"/>
              <w:right w:w="28" w:type="dxa"/>
            </w:tcMar>
            <w:vAlign w:val="center"/>
          </w:tcPr>
          <w:p w14:paraId="72DE9084" w14:textId="77777777" w:rsidR="00787B2D" w:rsidRPr="00AE3438" w:rsidRDefault="00787B2D" w:rsidP="00BD02D3">
            <w:pPr>
              <w:jc w:val="center"/>
              <w:rPr>
                <w:rFonts w:ascii="Arial Narrow" w:hAnsi="Arial Narrow"/>
                <w:sz w:val="20"/>
                <w:szCs w:val="20"/>
              </w:rPr>
            </w:pPr>
          </w:p>
        </w:tc>
        <w:tc>
          <w:tcPr>
            <w:tcW w:w="709" w:type="dxa"/>
            <w:shd w:val="clear" w:color="auto" w:fill="EAF1DD" w:themeFill="accent3" w:themeFillTint="33"/>
            <w:tcMar>
              <w:left w:w="28" w:type="dxa"/>
              <w:right w:w="28" w:type="dxa"/>
            </w:tcMar>
            <w:vAlign w:val="center"/>
          </w:tcPr>
          <w:p w14:paraId="5F5AFC6E" w14:textId="77777777" w:rsidR="00787B2D" w:rsidRPr="00AE3438" w:rsidRDefault="00787B2D" w:rsidP="00BD02D3">
            <w:pPr>
              <w:jc w:val="center"/>
              <w:rPr>
                <w:rFonts w:ascii="Arial Narrow" w:hAnsi="Arial Narrow"/>
                <w:sz w:val="20"/>
                <w:szCs w:val="20"/>
              </w:rPr>
            </w:pPr>
          </w:p>
        </w:tc>
        <w:tc>
          <w:tcPr>
            <w:tcW w:w="725" w:type="dxa"/>
            <w:shd w:val="clear" w:color="auto" w:fill="EAF1DD" w:themeFill="accent3" w:themeFillTint="33"/>
            <w:tcMar>
              <w:left w:w="28" w:type="dxa"/>
              <w:right w:w="28" w:type="dxa"/>
            </w:tcMar>
            <w:vAlign w:val="center"/>
          </w:tcPr>
          <w:p w14:paraId="4092F82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4/7</w:t>
            </w:r>
          </w:p>
          <w:p w14:paraId="6145E09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(57%)</w:t>
            </w:r>
            <w:r w:rsidRPr="00AE3438">
              <w:rPr>
                <w:rFonts w:ascii="Arial Narrow" w:hAnsi="Arial Narrow"/>
                <w:sz w:val="20"/>
                <w:szCs w:val="20"/>
                <w:vertAlign w:val="superscript"/>
              </w:rPr>
              <w:t>e</w:t>
            </w:r>
          </w:p>
        </w:tc>
        <w:tc>
          <w:tcPr>
            <w:tcW w:w="976" w:type="dxa"/>
            <w:shd w:val="clear" w:color="auto" w:fill="EAF1DD" w:themeFill="accent3" w:themeFillTint="33"/>
            <w:tcMar>
              <w:left w:w="28" w:type="dxa"/>
              <w:right w:w="28" w:type="dxa"/>
            </w:tcMar>
            <w:vAlign w:val="center"/>
          </w:tcPr>
          <w:p w14:paraId="50C6733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1/7</w:t>
            </w:r>
          </w:p>
          <w:p w14:paraId="6840290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(14%)</w:t>
            </w:r>
          </w:p>
        </w:tc>
      </w:tr>
      <w:tr w:rsidR="00787B2D" w:rsidRPr="00AE3438" w14:paraId="434A534B" w14:textId="77777777" w:rsidTr="00FD64E0">
        <w:tc>
          <w:tcPr>
            <w:tcW w:w="9209" w:type="dxa"/>
            <w:gridSpan w:val="10"/>
            <w:shd w:val="clear" w:color="auto" w:fill="auto"/>
            <w:tcMar>
              <w:left w:w="28" w:type="dxa"/>
              <w:right w:w="28" w:type="dxa"/>
            </w:tcMar>
            <w:vAlign w:val="center"/>
          </w:tcPr>
          <w:p w14:paraId="50896DE9" w14:textId="77777777" w:rsidR="00787B2D" w:rsidRPr="00AE3438" w:rsidRDefault="00787B2D" w:rsidP="00BD02D3">
            <w:pPr>
              <w:jc w:val="left"/>
              <w:rPr>
                <w:rFonts w:ascii="Arial Narrow" w:hAnsi="Arial Narrow"/>
                <w:b/>
                <w:sz w:val="20"/>
                <w:szCs w:val="20"/>
              </w:rPr>
            </w:pPr>
            <w:r w:rsidRPr="00AE3438">
              <w:rPr>
                <w:rFonts w:ascii="Arial Narrow" w:hAnsi="Arial Narrow"/>
                <w:b/>
                <w:sz w:val="20"/>
                <w:szCs w:val="20"/>
              </w:rPr>
              <w:t>START/START-LTFU (Type I, 2 SMN2 copies)</w:t>
            </w:r>
          </w:p>
        </w:tc>
      </w:tr>
      <w:tr w:rsidR="00787B2D" w:rsidRPr="00AE3438" w14:paraId="2E250DB4" w14:textId="77777777" w:rsidTr="00FD64E0">
        <w:tc>
          <w:tcPr>
            <w:tcW w:w="1980" w:type="dxa"/>
            <w:shd w:val="clear" w:color="auto" w:fill="auto"/>
            <w:tcMar>
              <w:left w:w="28" w:type="dxa"/>
              <w:right w:w="28" w:type="dxa"/>
            </w:tcMar>
            <w:vAlign w:val="center"/>
          </w:tcPr>
          <w:p w14:paraId="156A4CC6" w14:textId="77777777" w:rsidR="00787B2D" w:rsidRPr="00AE3438" w:rsidRDefault="00787B2D" w:rsidP="00054F33">
            <w:pPr>
              <w:numPr>
                <w:ilvl w:val="0"/>
                <w:numId w:val="4"/>
              </w:numPr>
              <w:ind w:left="115" w:hanging="115"/>
              <w:jc w:val="left"/>
              <w:rPr>
                <w:rFonts w:ascii="Arial Narrow" w:hAnsi="Arial Narrow"/>
                <w:snapToGrid w:val="0"/>
                <w:sz w:val="20"/>
                <w:szCs w:val="20"/>
              </w:rPr>
            </w:pPr>
            <w:r w:rsidRPr="00AE3438">
              <w:rPr>
                <w:rFonts w:ascii="Arial Narrow" w:hAnsi="Arial Narrow"/>
                <w:snapToGrid w:val="0"/>
                <w:sz w:val="20"/>
                <w:szCs w:val="20"/>
              </w:rPr>
              <w:t>end of START (</w:t>
            </w:r>
            <w:r w:rsidRPr="00AE3438">
              <w:rPr>
                <w:rFonts w:ascii="Arial Narrow" w:hAnsi="Arial Narrow" w:cs="Calibri"/>
                <w:snapToGrid w:val="0"/>
                <w:sz w:val="20"/>
                <w:szCs w:val="20"/>
              </w:rPr>
              <w:t>≥</w:t>
            </w:r>
            <w:r w:rsidRPr="00AE3438">
              <w:rPr>
                <w:rFonts w:ascii="Arial Narrow" w:hAnsi="Arial Narrow"/>
                <w:snapToGrid w:val="0"/>
                <w:sz w:val="20"/>
                <w:szCs w:val="20"/>
              </w:rPr>
              <w:t>20 mth of age, mean age 27.9 mth)</w:t>
            </w:r>
          </w:p>
        </w:tc>
        <w:tc>
          <w:tcPr>
            <w:tcW w:w="709" w:type="dxa"/>
            <w:shd w:val="clear" w:color="auto" w:fill="auto"/>
            <w:vAlign w:val="bottom"/>
          </w:tcPr>
          <w:p w14:paraId="2A100A5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4/15</w:t>
            </w:r>
          </w:p>
          <w:p w14:paraId="44689CB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(27%)</w:t>
            </w:r>
          </w:p>
        </w:tc>
        <w:tc>
          <w:tcPr>
            <w:tcW w:w="708" w:type="dxa"/>
            <w:shd w:val="clear" w:color="auto" w:fill="auto"/>
            <w:vAlign w:val="bottom"/>
          </w:tcPr>
          <w:p w14:paraId="7C5109C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11/15</w:t>
            </w:r>
          </w:p>
          <w:p w14:paraId="4BF0BCF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(73%)</w:t>
            </w:r>
          </w:p>
        </w:tc>
        <w:tc>
          <w:tcPr>
            <w:tcW w:w="851" w:type="dxa"/>
            <w:shd w:val="clear" w:color="auto" w:fill="auto"/>
            <w:tcMar>
              <w:left w:w="28" w:type="dxa"/>
              <w:right w:w="28" w:type="dxa"/>
            </w:tcMar>
            <w:vAlign w:val="bottom"/>
          </w:tcPr>
          <w:p w14:paraId="6D8ED11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9^/15</w:t>
            </w:r>
          </w:p>
          <w:p w14:paraId="1AF8F68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(60%)</w:t>
            </w:r>
          </w:p>
        </w:tc>
        <w:tc>
          <w:tcPr>
            <w:tcW w:w="851" w:type="dxa"/>
            <w:shd w:val="clear" w:color="auto" w:fill="auto"/>
            <w:tcMar>
              <w:left w:w="28" w:type="dxa"/>
              <w:right w:w="28" w:type="dxa"/>
            </w:tcMar>
            <w:vAlign w:val="bottom"/>
          </w:tcPr>
          <w:p w14:paraId="5C16DE2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850" w:type="dxa"/>
            <w:shd w:val="clear" w:color="auto" w:fill="auto"/>
            <w:tcMar>
              <w:left w:w="28" w:type="dxa"/>
              <w:right w:w="28" w:type="dxa"/>
            </w:tcMar>
            <w:vAlign w:val="bottom"/>
          </w:tcPr>
          <w:p w14:paraId="7456609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2/15 (13%)</w:t>
            </w:r>
          </w:p>
        </w:tc>
        <w:tc>
          <w:tcPr>
            <w:tcW w:w="850" w:type="dxa"/>
            <w:shd w:val="clear" w:color="auto" w:fill="auto"/>
            <w:tcMar>
              <w:left w:w="28" w:type="dxa"/>
              <w:right w:w="28" w:type="dxa"/>
            </w:tcMar>
            <w:vAlign w:val="bottom"/>
          </w:tcPr>
          <w:p w14:paraId="30C3EDC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2/15 (13%)</w:t>
            </w:r>
          </w:p>
        </w:tc>
        <w:tc>
          <w:tcPr>
            <w:tcW w:w="709" w:type="dxa"/>
            <w:shd w:val="clear" w:color="auto" w:fill="auto"/>
            <w:tcMar>
              <w:left w:w="28" w:type="dxa"/>
              <w:right w:w="28" w:type="dxa"/>
            </w:tcMar>
            <w:vAlign w:val="bottom"/>
          </w:tcPr>
          <w:p w14:paraId="6784AC7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2/15 (13%)</w:t>
            </w:r>
          </w:p>
        </w:tc>
        <w:tc>
          <w:tcPr>
            <w:tcW w:w="725" w:type="dxa"/>
            <w:shd w:val="clear" w:color="auto" w:fill="auto"/>
            <w:tcMar>
              <w:left w:w="28" w:type="dxa"/>
              <w:right w:w="28" w:type="dxa"/>
            </w:tcMar>
            <w:vAlign w:val="bottom"/>
          </w:tcPr>
          <w:p w14:paraId="67D89F7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2/15 (13%)</w:t>
            </w:r>
          </w:p>
        </w:tc>
        <w:tc>
          <w:tcPr>
            <w:tcW w:w="976" w:type="dxa"/>
            <w:shd w:val="clear" w:color="auto" w:fill="auto"/>
            <w:tcMar>
              <w:left w:w="28" w:type="dxa"/>
              <w:right w:w="28" w:type="dxa"/>
            </w:tcMar>
            <w:vAlign w:val="bottom"/>
          </w:tcPr>
          <w:p w14:paraId="7C6AF42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None</w:t>
            </w:r>
          </w:p>
        </w:tc>
      </w:tr>
      <w:tr w:rsidR="00787B2D" w:rsidRPr="00AE3438" w14:paraId="1BAE1D83" w14:textId="77777777" w:rsidTr="00FD64E0">
        <w:tc>
          <w:tcPr>
            <w:tcW w:w="1980" w:type="dxa"/>
            <w:shd w:val="clear" w:color="auto" w:fill="auto"/>
            <w:tcMar>
              <w:left w:w="28" w:type="dxa"/>
              <w:right w:w="28" w:type="dxa"/>
            </w:tcMar>
            <w:vAlign w:val="center"/>
          </w:tcPr>
          <w:p w14:paraId="5E8B7959" w14:textId="77777777" w:rsidR="00787B2D" w:rsidRPr="00AE3438" w:rsidRDefault="00787B2D" w:rsidP="00054F33">
            <w:pPr>
              <w:numPr>
                <w:ilvl w:val="0"/>
                <w:numId w:val="4"/>
              </w:numPr>
              <w:ind w:left="115" w:hanging="115"/>
              <w:jc w:val="left"/>
              <w:rPr>
                <w:rFonts w:ascii="Arial Narrow" w:hAnsi="Arial Narrow"/>
                <w:snapToGrid w:val="0"/>
                <w:sz w:val="20"/>
                <w:szCs w:val="20"/>
              </w:rPr>
            </w:pPr>
            <w:r w:rsidRPr="00AE3438">
              <w:rPr>
                <w:rFonts w:ascii="Arial Narrow" w:hAnsi="Arial Narrow"/>
                <w:snapToGrid w:val="0"/>
                <w:sz w:val="20"/>
                <w:szCs w:val="20"/>
              </w:rPr>
              <w:t>START-LTFU 19 Aug 2019 data cut: mean age 4.8 yrs*</w:t>
            </w:r>
          </w:p>
        </w:tc>
        <w:tc>
          <w:tcPr>
            <w:tcW w:w="709" w:type="dxa"/>
            <w:shd w:val="clear" w:color="auto" w:fill="auto"/>
            <w:vAlign w:val="bottom"/>
          </w:tcPr>
          <w:p w14:paraId="27BB25B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2/15</w:t>
            </w:r>
          </w:p>
          <w:p w14:paraId="51A1F9C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(13%)</w:t>
            </w:r>
          </w:p>
        </w:tc>
        <w:tc>
          <w:tcPr>
            <w:tcW w:w="708" w:type="dxa"/>
            <w:shd w:val="clear" w:color="auto" w:fill="auto"/>
            <w:vAlign w:val="bottom"/>
          </w:tcPr>
          <w:p w14:paraId="4DF71DA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1/15</w:t>
            </w:r>
          </w:p>
          <w:p w14:paraId="1C3986E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(7%)</w:t>
            </w:r>
          </w:p>
        </w:tc>
        <w:tc>
          <w:tcPr>
            <w:tcW w:w="851" w:type="dxa"/>
            <w:shd w:val="clear" w:color="auto" w:fill="auto"/>
            <w:tcMar>
              <w:left w:w="28" w:type="dxa"/>
              <w:right w:w="28" w:type="dxa"/>
            </w:tcMar>
            <w:vAlign w:val="bottom"/>
          </w:tcPr>
          <w:p w14:paraId="65F83F3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5/15</w:t>
            </w:r>
          </w:p>
          <w:p w14:paraId="7F9D831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(33%)</w:t>
            </w:r>
          </w:p>
        </w:tc>
        <w:tc>
          <w:tcPr>
            <w:tcW w:w="851" w:type="dxa"/>
            <w:shd w:val="clear" w:color="auto" w:fill="auto"/>
            <w:tcMar>
              <w:left w:w="28" w:type="dxa"/>
              <w:right w:w="28" w:type="dxa"/>
            </w:tcMar>
            <w:vAlign w:val="bottom"/>
          </w:tcPr>
          <w:p w14:paraId="58BAAA9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850" w:type="dxa"/>
            <w:shd w:val="clear" w:color="auto" w:fill="auto"/>
            <w:tcMar>
              <w:left w:w="28" w:type="dxa"/>
              <w:right w:w="28" w:type="dxa"/>
            </w:tcMar>
            <w:vAlign w:val="bottom"/>
          </w:tcPr>
          <w:p w14:paraId="0C30887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3/15</w:t>
            </w:r>
          </w:p>
          <w:p w14:paraId="3CF08DA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(20%)</w:t>
            </w:r>
          </w:p>
        </w:tc>
        <w:tc>
          <w:tcPr>
            <w:tcW w:w="850" w:type="dxa"/>
            <w:shd w:val="clear" w:color="auto" w:fill="auto"/>
            <w:tcMar>
              <w:left w:w="28" w:type="dxa"/>
              <w:right w:w="28" w:type="dxa"/>
            </w:tcMar>
            <w:vAlign w:val="bottom"/>
          </w:tcPr>
          <w:p w14:paraId="7378327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09" w:type="dxa"/>
            <w:shd w:val="clear" w:color="auto" w:fill="auto"/>
            <w:tcMar>
              <w:left w:w="28" w:type="dxa"/>
              <w:right w:w="28" w:type="dxa"/>
            </w:tcMar>
            <w:vAlign w:val="bottom"/>
          </w:tcPr>
          <w:p w14:paraId="6535BCE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25" w:type="dxa"/>
            <w:shd w:val="clear" w:color="auto" w:fill="auto"/>
            <w:tcMar>
              <w:left w:w="28" w:type="dxa"/>
              <w:right w:w="28" w:type="dxa"/>
            </w:tcMar>
            <w:vAlign w:val="bottom"/>
          </w:tcPr>
          <w:p w14:paraId="599DAFE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2/15 (13%)</w:t>
            </w:r>
          </w:p>
        </w:tc>
        <w:tc>
          <w:tcPr>
            <w:tcW w:w="976" w:type="dxa"/>
            <w:shd w:val="clear" w:color="auto" w:fill="auto"/>
            <w:tcMar>
              <w:left w:w="28" w:type="dxa"/>
              <w:right w:w="28" w:type="dxa"/>
            </w:tcMar>
            <w:vAlign w:val="bottom"/>
          </w:tcPr>
          <w:p w14:paraId="1173238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7/15</w:t>
            </w:r>
          </w:p>
          <w:p w14:paraId="0926419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(47%)</w:t>
            </w:r>
          </w:p>
        </w:tc>
      </w:tr>
      <w:tr w:rsidR="00787B2D" w:rsidRPr="00AE3438" w14:paraId="3B8F6E65" w14:textId="77777777" w:rsidTr="00FD64E0">
        <w:tc>
          <w:tcPr>
            <w:tcW w:w="1980" w:type="dxa"/>
            <w:shd w:val="clear" w:color="auto" w:fill="auto"/>
            <w:tcMar>
              <w:left w:w="28" w:type="dxa"/>
              <w:right w:w="28" w:type="dxa"/>
            </w:tcMar>
            <w:vAlign w:val="center"/>
          </w:tcPr>
          <w:p w14:paraId="01AEE929" w14:textId="77777777" w:rsidR="00787B2D" w:rsidRPr="00AE3438" w:rsidRDefault="00787B2D" w:rsidP="00054F33">
            <w:pPr>
              <w:numPr>
                <w:ilvl w:val="0"/>
                <w:numId w:val="4"/>
              </w:numPr>
              <w:ind w:left="115" w:hanging="115"/>
              <w:jc w:val="left"/>
              <w:rPr>
                <w:rFonts w:ascii="Arial Narrow" w:hAnsi="Arial Narrow"/>
                <w:snapToGrid w:val="0"/>
                <w:sz w:val="20"/>
                <w:szCs w:val="20"/>
              </w:rPr>
            </w:pPr>
            <w:r w:rsidRPr="00AE3438">
              <w:rPr>
                <w:rFonts w:ascii="Arial Narrow" w:hAnsi="Arial Narrow"/>
                <w:snapToGrid w:val="0"/>
                <w:sz w:val="20"/>
                <w:szCs w:val="20"/>
              </w:rPr>
              <w:t>START-LTFU 23 May 2021 data cut: mean age 6.5 yrs*</w:t>
            </w:r>
          </w:p>
        </w:tc>
        <w:tc>
          <w:tcPr>
            <w:tcW w:w="709" w:type="dxa"/>
            <w:shd w:val="clear" w:color="auto" w:fill="auto"/>
            <w:vAlign w:val="bottom"/>
          </w:tcPr>
          <w:p w14:paraId="2E3370B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2/15</w:t>
            </w:r>
          </w:p>
          <w:p w14:paraId="0677AD0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 xml:space="preserve"> (13%)</w:t>
            </w:r>
          </w:p>
        </w:tc>
        <w:tc>
          <w:tcPr>
            <w:tcW w:w="708" w:type="dxa"/>
            <w:shd w:val="clear" w:color="auto" w:fill="auto"/>
            <w:vAlign w:val="bottom"/>
          </w:tcPr>
          <w:p w14:paraId="38364EF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851" w:type="dxa"/>
            <w:shd w:val="clear" w:color="auto" w:fill="auto"/>
            <w:tcMar>
              <w:left w:w="28" w:type="dxa"/>
              <w:right w:w="28" w:type="dxa"/>
            </w:tcMar>
            <w:vAlign w:val="bottom"/>
          </w:tcPr>
          <w:p w14:paraId="167F6C7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6/15</w:t>
            </w:r>
          </w:p>
          <w:p w14:paraId="3171B15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(40%)</w:t>
            </w:r>
          </w:p>
        </w:tc>
        <w:tc>
          <w:tcPr>
            <w:tcW w:w="851" w:type="dxa"/>
            <w:shd w:val="clear" w:color="auto" w:fill="auto"/>
            <w:tcMar>
              <w:left w:w="28" w:type="dxa"/>
              <w:right w:w="28" w:type="dxa"/>
            </w:tcMar>
            <w:vAlign w:val="bottom"/>
          </w:tcPr>
          <w:p w14:paraId="71ACCD0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850" w:type="dxa"/>
            <w:shd w:val="clear" w:color="auto" w:fill="auto"/>
            <w:tcMar>
              <w:left w:w="28" w:type="dxa"/>
              <w:right w:w="28" w:type="dxa"/>
            </w:tcMar>
            <w:vAlign w:val="bottom"/>
          </w:tcPr>
          <w:p w14:paraId="0D41E2B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3/15</w:t>
            </w:r>
          </w:p>
          <w:p w14:paraId="33A2DB8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(20%)</w:t>
            </w:r>
          </w:p>
        </w:tc>
        <w:tc>
          <w:tcPr>
            <w:tcW w:w="850" w:type="dxa"/>
            <w:shd w:val="clear" w:color="auto" w:fill="auto"/>
            <w:tcMar>
              <w:left w:w="28" w:type="dxa"/>
              <w:right w:w="28" w:type="dxa"/>
            </w:tcMar>
            <w:vAlign w:val="bottom"/>
          </w:tcPr>
          <w:p w14:paraId="09CD60A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09" w:type="dxa"/>
            <w:shd w:val="clear" w:color="auto" w:fill="auto"/>
            <w:tcMar>
              <w:left w:w="28" w:type="dxa"/>
              <w:right w:w="28" w:type="dxa"/>
            </w:tcMar>
            <w:vAlign w:val="bottom"/>
          </w:tcPr>
          <w:p w14:paraId="2700C10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c>
          <w:tcPr>
            <w:tcW w:w="725" w:type="dxa"/>
            <w:shd w:val="clear" w:color="auto" w:fill="auto"/>
            <w:tcMar>
              <w:left w:w="28" w:type="dxa"/>
              <w:right w:w="28" w:type="dxa"/>
            </w:tcMar>
            <w:vAlign w:val="bottom"/>
          </w:tcPr>
          <w:p w14:paraId="62F905E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2/15</w:t>
            </w:r>
          </w:p>
          <w:p w14:paraId="06642DC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(13%)</w:t>
            </w:r>
          </w:p>
        </w:tc>
        <w:tc>
          <w:tcPr>
            <w:tcW w:w="976" w:type="dxa"/>
            <w:shd w:val="clear" w:color="auto" w:fill="auto"/>
            <w:tcMar>
              <w:left w:w="28" w:type="dxa"/>
              <w:right w:w="28" w:type="dxa"/>
            </w:tcMar>
            <w:vAlign w:val="bottom"/>
          </w:tcPr>
          <w:p w14:paraId="4C3D3AB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8/15</w:t>
            </w:r>
          </w:p>
          <w:p w14:paraId="6401FE8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(53%)</w:t>
            </w:r>
          </w:p>
        </w:tc>
      </w:tr>
      <w:tr w:rsidR="00787B2D" w:rsidRPr="00AE3438" w14:paraId="53AFB249" w14:textId="77777777" w:rsidTr="00FD64E0">
        <w:tc>
          <w:tcPr>
            <w:tcW w:w="9209" w:type="dxa"/>
            <w:gridSpan w:val="10"/>
            <w:shd w:val="clear" w:color="auto" w:fill="auto"/>
            <w:tcMar>
              <w:left w:w="28" w:type="dxa"/>
              <w:right w:w="28" w:type="dxa"/>
            </w:tcMar>
            <w:vAlign w:val="center"/>
          </w:tcPr>
          <w:p w14:paraId="088AE63F" w14:textId="77777777" w:rsidR="00787B2D" w:rsidRPr="00AE3438" w:rsidRDefault="00787B2D" w:rsidP="00BD02D3">
            <w:pPr>
              <w:jc w:val="left"/>
              <w:rPr>
                <w:rFonts w:ascii="Arial Narrow" w:hAnsi="Arial Narrow"/>
                <w:b/>
                <w:sz w:val="20"/>
                <w:szCs w:val="20"/>
              </w:rPr>
            </w:pPr>
            <w:r w:rsidRPr="00AE3438">
              <w:rPr>
                <w:rFonts w:ascii="Arial Narrow" w:hAnsi="Arial Narrow"/>
                <w:b/>
                <w:sz w:val="20"/>
                <w:szCs w:val="20"/>
              </w:rPr>
              <w:t>ENDEAR/SHINE (Nusinersen in ENDEAR) (Type I, 2 SMN2 copies)</w:t>
            </w:r>
          </w:p>
        </w:tc>
      </w:tr>
      <w:tr w:rsidR="00787B2D" w:rsidRPr="00AE3438" w14:paraId="767669D2" w14:textId="77777777" w:rsidTr="00FD64E0">
        <w:tc>
          <w:tcPr>
            <w:tcW w:w="1980" w:type="dxa"/>
            <w:shd w:val="clear" w:color="auto" w:fill="auto"/>
            <w:tcMar>
              <w:left w:w="28" w:type="dxa"/>
              <w:right w:w="28" w:type="dxa"/>
            </w:tcMar>
            <w:vAlign w:val="center"/>
          </w:tcPr>
          <w:p w14:paraId="16578B97" w14:textId="77777777" w:rsidR="00787B2D" w:rsidRPr="00AE3438" w:rsidRDefault="00787B2D" w:rsidP="00054F33">
            <w:pPr>
              <w:numPr>
                <w:ilvl w:val="0"/>
                <w:numId w:val="4"/>
              </w:numPr>
              <w:ind w:left="115" w:hanging="115"/>
              <w:jc w:val="left"/>
              <w:rPr>
                <w:rFonts w:ascii="Arial Narrow" w:hAnsi="Arial Narrow"/>
                <w:snapToGrid w:val="0"/>
                <w:sz w:val="20"/>
                <w:szCs w:val="20"/>
              </w:rPr>
            </w:pPr>
            <w:r w:rsidRPr="00AE3438">
              <w:rPr>
                <w:rFonts w:ascii="Arial Narrow" w:hAnsi="Arial Narrow"/>
                <w:snapToGrid w:val="0"/>
                <w:sz w:val="20"/>
                <w:szCs w:val="20"/>
              </w:rPr>
              <w:t>2.08 yrs since 1</w:t>
            </w:r>
            <w:r w:rsidRPr="00AE3438">
              <w:rPr>
                <w:rFonts w:ascii="Arial Narrow" w:hAnsi="Arial Narrow"/>
                <w:snapToGrid w:val="0"/>
                <w:sz w:val="20"/>
                <w:szCs w:val="20"/>
                <w:vertAlign w:val="superscript"/>
              </w:rPr>
              <w:t>st</w:t>
            </w:r>
            <w:r w:rsidRPr="00AE3438">
              <w:rPr>
                <w:rFonts w:ascii="Arial Narrow" w:hAnsi="Arial Narrow"/>
                <w:snapToGrid w:val="0"/>
                <w:sz w:val="20"/>
                <w:szCs w:val="20"/>
              </w:rPr>
              <w:t xml:space="preserve"> dose </w:t>
            </w:r>
          </w:p>
        </w:tc>
        <w:tc>
          <w:tcPr>
            <w:tcW w:w="709" w:type="dxa"/>
            <w:shd w:val="clear" w:color="auto" w:fill="auto"/>
            <w:vAlign w:val="bottom"/>
          </w:tcPr>
          <w:p w14:paraId="3792D70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708" w:type="dxa"/>
            <w:shd w:val="clear" w:color="auto" w:fill="auto"/>
            <w:vAlign w:val="bottom"/>
          </w:tcPr>
          <w:p w14:paraId="174F0F3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851" w:type="dxa"/>
            <w:shd w:val="clear" w:color="auto" w:fill="auto"/>
            <w:tcMar>
              <w:left w:w="28" w:type="dxa"/>
              <w:right w:w="28" w:type="dxa"/>
            </w:tcMar>
            <w:vAlign w:val="bottom"/>
          </w:tcPr>
          <w:p w14:paraId="4F07804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22/59 (37%)</w:t>
            </w:r>
          </w:p>
        </w:tc>
        <w:tc>
          <w:tcPr>
            <w:tcW w:w="851" w:type="dxa"/>
            <w:shd w:val="clear" w:color="auto" w:fill="auto"/>
            <w:tcMar>
              <w:left w:w="28" w:type="dxa"/>
              <w:right w:w="28" w:type="dxa"/>
            </w:tcMar>
            <w:vAlign w:val="bottom"/>
          </w:tcPr>
          <w:p w14:paraId="6DD01E3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1/59</w:t>
            </w:r>
          </w:p>
          <w:p w14:paraId="6423432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w:t>
            </w:r>
          </w:p>
        </w:tc>
        <w:tc>
          <w:tcPr>
            <w:tcW w:w="850" w:type="dxa"/>
            <w:shd w:val="clear" w:color="auto" w:fill="auto"/>
            <w:tcMar>
              <w:left w:w="28" w:type="dxa"/>
              <w:right w:w="28" w:type="dxa"/>
            </w:tcMar>
            <w:vAlign w:val="bottom"/>
          </w:tcPr>
          <w:p w14:paraId="37D4D51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5/59</w:t>
            </w:r>
          </w:p>
          <w:p w14:paraId="7B00831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(8%)</w:t>
            </w:r>
          </w:p>
        </w:tc>
        <w:tc>
          <w:tcPr>
            <w:tcW w:w="850" w:type="dxa"/>
            <w:shd w:val="clear" w:color="auto" w:fill="auto"/>
            <w:tcMar>
              <w:left w:w="28" w:type="dxa"/>
              <w:right w:w="28" w:type="dxa"/>
            </w:tcMar>
            <w:vAlign w:val="bottom"/>
          </w:tcPr>
          <w:p w14:paraId="5DB2D79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3/59</w:t>
            </w:r>
          </w:p>
          <w:p w14:paraId="3106610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(5%)</w:t>
            </w:r>
          </w:p>
        </w:tc>
        <w:tc>
          <w:tcPr>
            <w:tcW w:w="709" w:type="dxa"/>
            <w:shd w:val="clear" w:color="auto" w:fill="auto"/>
            <w:tcMar>
              <w:left w:w="28" w:type="dxa"/>
              <w:right w:w="28" w:type="dxa"/>
            </w:tcMar>
            <w:vAlign w:val="bottom"/>
          </w:tcPr>
          <w:p w14:paraId="5CC6005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0/59</w:t>
            </w:r>
          </w:p>
          <w:p w14:paraId="33081AE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725" w:type="dxa"/>
            <w:shd w:val="clear" w:color="auto" w:fill="auto"/>
            <w:tcMar>
              <w:left w:w="28" w:type="dxa"/>
              <w:right w:w="28" w:type="dxa"/>
            </w:tcMar>
            <w:vAlign w:val="bottom"/>
          </w:tcPr>
          <w:p w14:paraId="58FC7E6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0/59</w:t>
            </w:r>
          </w:p>
          <w:p w14:paraId="6989627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976" w:type="dxa"/>
            <w:shd w:val="clear" w:color="auto" w:fill="auto"/>
            <w:tcMar>
              <w:left w:w="28" w:type="dxa"/>
              <w:right w:w="28" w:type="dxa"/>
            </w:tcMar>
            <w:vAlign w:val="bottom"/>
          </w:tcPr>
          <w:p w14:paraId="569392D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5E030262" w14:textId="77777777" w:rsidTr="00FD64E0">
        <w:tc>
          <w:tcPr>
            <w:tcW w:w="1980" w:type="dxa"/>
            <w:shd w:val="clear" w:color="auto" w:fill="auto"/>
            <w:tcMar>
              <w:left w:w="28" w:type="dxa"/>
              <w:right w:w="28" w:type="dxa"/>
            </w:tcMar>
            <w:vAlign w:val="center"/>
          </w:tcPr>
          <w:p w14:paraId="37C6A450" w14:textId="77777777" w:rsidR="00787B2D" w:rsidRPr="00AE3438" w:rsidRDefault="00787B2D" w:rsidP="00054F33">
            <w:pPr>
              <w:numPr>
                <w:ilvl w:val="0"/>
                <w:numId w:val="4"/>
              </w:numPr>
              <w:ind w:left="115" w:hanging="115"/>
              <w:jc w:val="left"/>
              <w:rPr>
                <w:rFonts w:ascii="Arial Narrow" w:hAnsi="Arial Narrow"/>
                <w:snapToGrid w:val="0"/>
                <w:sz w:val="20"/>
                <w:szCs w:val="20"/>
              </w:rPr>
            </w:pPr>
            <w:r w:rsidRPr="00AE3438">
              <w:rPr>
                <w:rFonts w:ascii="Arial Narrow" w:hAnsi="Arial Narrow"/>
                <w:snapToGrid w:val="0"/>
                <w:sz w:val="20"/>
                <w:szCs w:val="20"/>
              </w:rPr>
              <w:t>3.4 yrs since 1</w:t>
            </w:r>
            <w:r w:rsidRPr="00AE3438">
              <w:rPr>
                <w:rFonts w:ascii="Arial Narrow" w:hAnsi="Arial Narrow"/>
                <w:snapToGrid w:val="0"/>
                <w:sz w:val="20"/>
                <w:szCs w:val="20"/>
                <w:vertAlign w:val="superscript"/>
              </w:rPr>
              <w:t>st</w:t>
            </w:r>
            <w:r w:rsidRPr="00AE3438">
              <w:rPr>
                <w:rFonts w:ascii="Arial Narrow" w:hAnsi="Arial Narrow"/>
                <w:snapToGrid w:val="0"/>
                <w:sz w:val="20"/>
                <w:szCs w:val="20"/>
              </w:rPr>
              <w:t xml:space="preserve"> dose of nusinersen</w:t>
            </w:r>
          </w:p>
        </w:tc>
        <w:tc>
          <w:tcPr>
            <w:tcW w:w="709" w:type="dxa"/>
            <w:shd w:val="clear" w:color="auto" w:fill="auto"/>
            <w:vAlign w:val="bottom"/>
          </w:tcPr>
          <w:p w14:paraId="5A9A50D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708" w:type="dxa"/>
            <w:shd w:val="clear" w:color="auto" w:fill="auto"/>
            <w:vAlign w:val="bottom"/>
          </w:tcPr>
          <w:p w14:paraId="6D1B9E9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851" w:type="dxa"/>
            <w:shd w:val="clear" w:color="auto" w:fill="auto"/>
            <w:tcMar>
              <w:left w:w="28" w:type="dxa"/>
              <w:right w:w="28" w:type="dxa"/>
            </w:tcMar>
            <w:vAlign w:val="bottom"/>
          </w:tcPr>
          <w:p w14:paraId="57A0154B"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37/58 (64%)</w:t>
            </w:r>
          </w:p>
        </w:tc>
        <w:tc>
          <w:tcPr>
            <w:tcW w:w="851" w:type="dxa"/>
            <w:shd w:val="clear" w:color="auto" w:fill="auto"/>
            <w:tcMar>
              <w:left w:w="28" w:type="dxa"/>
              <w:right w:w="28" w:type="dxa"/>
            </w:tcMar>
            <w:vAlign w:val="bottom"/>
          </w:tcPr>
          <w:p w14:paraId="335DC3A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3/58</w:t>
            </w:r>
          </w:p>
          <w:p w14:paraId="2F26A1C0"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(5%)</w:t>
            </w:r>
          </w:p>
        </w:tc>
        <w:tc>
          <w:tcPr>
            <w:tcW w:w="850" w:type="dxa"/>
            <w:shd w:val="clear" w:color="auto" w:fill="auto"/>
            <w:tcMar>
              <w:left w:w="28" w:type="dxa"/>
              <w:right w:w="28" w:type="dxa"/>
            </w:tcMar>
            <w:vAlign w:val="bottom"/>
          </w:tcPr>
          <w:p w14:paraId="7818074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11/58</w:t>
            </w:r>
          </w:p>
          <w:p w14:paraId="4CDD434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(19%)</w:t>
            </w:r>
          </w:p>
        </w:tc>
        <w:tc>
          <w:tcPr>
            <w:tcW w:w="850" w:type="dxa"/>
            <w:shd w:val="clear" w:color="auto" w:fill="auto"/>
            <w:tcMar>
              <w:left w:w="28" w:type="dxa"/>
              <w:right w:w="28" w:type="dxa"/>
            </w:tcMar>
            <w:vAlign w:val="bottom"/>
          </w:tcPr>
          <w:p w14:paraId="5F6A01A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4/58</w:t>
            </w:r>
          </w:p>
          <w:p w14:paraId="00CD88B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(7%)</w:t>
            </w:r>
          </w:p>
        </w:tc>
        <w:tc>
          <w:tcPr>
            <w:tcW w:w="709" w:type="dxa"/>
            <w:shd w:val="clear" w:color="auto" w:fill="auto"/>
            <w:tcMar>
              <w:left w:w="28" w:type="dxa"/>
              <w:right w:w="28" w:type="dxa"/>
            </w:tcMar>
            <w:vAlign w:val="bottom"/>
          </w:tcPr>
          <w:p w14:paraId="68024DF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1/58 (2%)</w:t>
            </w:r>
          </w:p>
        </w:tc>
        <w:tc>
          <w:tcPr>
            <w:tcW w:w="725" w:type="dxa"/>
            <w:shd w:val="clear" w:color="auto" w:fill="auto"/>
            <w:tcMar>
              <w:left w:w="28" w:type="dxa"/>
              <w:right w:w="28" w:type="dxa"/>
            </w:tcMar>
            <w:vAlign w:val="bottom"/>
          </w:tcPr>
          <w:p w14:paraId="3B75B7C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1/58</w:t>
            </w:r>
          </w:p>
          <w:p w14:paraId="2E181154"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(2%)</w:t>
            </w:r>
          </w:p>
        </w:tc>
        <w:tc>
          <w:tcPr>
            <w:tcW w:w="976" w:type="dxa"/>
            <w:shd w:val="clear" w:color="auto" w:fill="auto"/>
            <w:tcMar>
              <w:left w:w="28" w:type="dxa"/>
              <w:right w:w="28" w:type="dxa"/>
            </w:tcMar>
            <w:vAlign w:val="bottom"/>
          </w:tcPr>
          <w:p w14:paraId="6C5D9AA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163BDED2" w14:textId="77777777" w:rsidTr="00FD64E0">
        <w:tc>
          <w:tcPr>
            <w:tcW w:w="9209" w:type="dxa"/>
            <w:gridSpan w:val="10"/>
            <w:shd w:val="clear" w:color="auto" w:fill="auto"/>
            <w:tcMar>
              <w:left w:w="28" w:type="dxa"/>
              <w:right w:w="28" w:type="dxa"/>
            </w:tcMar>
            <w:vAlign w:val="center"/>
          </w:tcPr>
          <w:p w14:paraId="347F6469" w14:textId="77777777" w:rsidR="00787B2D" w:rsidRPr="00AE3438" w:rsidRDefault="00787B2D" w:rsidP="00BD02D3">
            <w:pPr>
              <w:jc w:val="left"/>
              <w:rPr>
                <w:rFonts w:ascii="Arial Narrow" w:hAnsi="Arial Narrow"/>
                <w:b/>
                <w:sz w:val="20"/>
                <w:szCs w:val="20"/>
              </w:rPr>
            </w:pPr>
            <w:r w:rsidRPr="00AE3438">
              <w:rPr>
                <w:rFonts w:ascii="Arial Narrow" w:hAnsi="Arial Narrow"/>
                <w:b/>
                <w:sz w:val="20"/>
                <w:szCs w:val="20"/>
              </w:rPr>
              <w:t>ENDEAR/SHINE (Sham control in ENDEAR) (Type I, 2 SMN2 copies)</w:t>
            </w:r>
          </w:p>
        </w:tc>
      </w:tr>
      <w:tr w:rsidR="00787B2D" w:rsidRPr="00AE3438" w14:paraId="1186BE9F" w14:textId="77777777" w:rsidTr="00FD64E0">
        <w:tc>
          <w:tcPr>
            <w:tcW w:w="1980" w:type="dxa"/>
            <w:shd w:val="clear" w:color="auto" w:fill="auto"/>
            <w:tcMar>
              <w:left w:w="28" w:type="dxa"/>
              <w:right w:w="28" w:type="dxa"/>
            </w:tcMar>
            <w:vAlign w:val="center"/>
          </w:tcPr>
          <w:p w14:paraId="11DFED7E" w14:textId="77777777" w:rsidR="00787B2D" w:rsidRPr="00AE3438" w:rsidRDefault="00787B2D" w:rsidP="00054F33">
            <w:pPr>
              <w:numPr>
                <w:ilvl w:val="0"/>
                <w:numId w:val="4"/>
              </w:numPr>
              <w:ind w:left="115" w:hanging="115"/>
              <w:jc w:val="left"/>
              <w:rPr>
                <w:rFonts w:ascii="Arial Narrow" w:hAnsi="Arial Narrow"/>
                <w:snapToGrid w:val="0"/>
                <w:sz w:val="20"/>
                <w:szCs w:val="20"/>
              </w:rPr>
            </w:pPr>
            <w:r w:rsidRPr="00AE3438">
              <w:rPr>
                <w:rFonts w:ascii="Arial Narrow" w:hAnsi="Arial Narrow"/>
                <w:snapToGrid w:val="0"/>
                <w:sz w:val="20"/>
                <w:szCs w:val="20"/>
              </w:rPr>
              <w:t>1.34 yrs since 1</w:t>
            </w:r>
            <w:r w:rsidRPr="00AE3438">
              <w:rPr>
                <w:rFonts w:ascii="Arial Narrow" w:hAnsi="Arial Narrow"/>
                <w:snapToGrid w:val="0"/>
                <w:sz w:val="20"/>
                <w:szCs w:val="20"/>
                <w:vertAlign w:val="superscript"/>
              </w:rPr>
              <w:t>st</w:t>
            </w:r>
            <w:r w:rsidRPr="00AE3438">
              <w:rPr>
                <w:rFonts w:ascii="Arial Narrow" w:hAnsi="Arial Narrow"/>
                <w:snapToGrid w:val="0"/>
                <w:sz w:val="20"/>
                <w:szCs w:val="20"/>
              </w:rPr>
              <w:t xml:space="preserve"> dose </w:t>
            </w:r>
          </w:p>
        </w:tc>
        <w:tc>
          <w:tcPr>
            <w:tcW w:w="709" w:type="dxa"/>
            <w:shd w:val="clear" w:color="auto" w:fill="auto"/>
            <w:vAlign w:val="bottom"/>
          </w:tcPr>
          <w:p w14:paraId="56A6AE06"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708" w:type="dxa"/>
            <w:shd w:val="clear" w:color="auto" w:fill="auto"/>
            <w:vAlign w:val="bottom"/>
          </w:tcPr>
          <w:p w14:paraId="536EFF4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851" w:type="dxa"/>
            <w:shd w:val="clear" w:color="auto" w:fill="auto"/>
            <w:tcMar>
              <w:left w:w="28" w:type="dxa"/>
              <w:right w:w="28" w:type="dxa"/>
            </w:tcMar>
            <w:vAlign w:val="bottom"/>
          </w:tcPr>
          <w:p w14:paraId="64455F7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0/22</w:t>
            </w:r>
          </w:p>
          <w:p w14:paraId="546BB23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851" w:type="dxa"/>
            <w:shd w:val="clear" w:color="auto" w:fill="auto"/>
            <w:tcMar>
              <w:left w:w="28" w:type="dxa"/>
              <w:right w:w="28" w:type="dxa"/>
            </w:tcMar>
            <w:vAlign w:val="bottom"/>
          </w:tcPr>
          <w:p w14:paraId="42A1CAD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0/22</w:t>
            </w:r>
          </w:p>
          <w:p w14:paraId="53EF7D8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850" w:type="dxa"/>
            <w:shd w:val="clear" w:color="auto" w:fill="auto"/>
            <w:tcMar>
              <w:left w:w="28" w:type="dxa"/>
              <w:right w:w="28" w:type="dxa"/>
            </w:tcMar>
            <w:vAlign w:val="bottom"/>
          </w:tcPr>
          <w:p w14:paraId="25AFCC0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0/22</w:t>
            </w:r>
          </w:p>
          <w:p w14:paraId="643331E2"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850" w:type="dxa"/>
            <w:shd w:val="clear" w:color="auto" w:fill="auto"/>
            <w:tcMar>
              <w:left w:w="28" w:type="dxa"/>
              <w:right w:w="28" w:type="dxa"/>
            </w:tcMar>
            <w:vAlign w:val="bottom"/>
          </w:tcPr>
          <w:p w14:paraId="1B0DA949"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0/22</w:t>
            </w:r>
          </w:p>
          <w:p w14:paraId="7624047F"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709" w:type="dxa"/>
            <w:shd w:val="clear" w:color="auto" w:fill="auto"/>
            <w:tcMar>
              <w:left w:w="28" w:type="dxa"/>
              <w:right w:w="28" w:type="dxa"/>
            </w:tcMar>
            <w:vAlign w:val="bottom"/>
          </w:tcPr>
          <w:p w14:paraId="5ECD781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0/22</w:t>
            </w:r>
          </w:p>
          <w:p w14:paraId="0B840EC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725" w:type="dxa"/>
            <w:shd w:val="clear" w:color="auto" w:fill="auto"/>
            <w:tcMar>
              <w:left w:w="28" w:type="dxa"/>
              <w:right w:w="28" w:type="dxa"/>
            </w:tcMar>
            <w:vAlign w:val="bottom"/>
          </w:tcPr>
          <w:p w14:paraId="6438942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0/22</w:t>
            </w:r>
          </w:p>
          <w:p w14:paraId="6998998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976" w:type="dxa"/>
            <w:shd w:val="clear" w:color="auto" w:fill="auto"/>
            <w:tcMar>
              <w:left w:w="28" w:type="dxa"/>
              <w:right w:w="28" w:type="dxa"/>
            </w:tcMar>
            <w:vAlign w:val="bottom"/>
          </w:tcPr>
          <w:p w14:paraId="1E467F1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r w:rsidR="00787B2D" w:rsidRPr="00AE3438" w14:paraId="2D090BD2" w14:textId="77777777" w:rsidTr="00FD64E0">
        <w:tc>
          <w:tcPr>
            <w:tcW w:w="1980" w:type="dxa"/>
            <w:shd w:val="clear" w:color="auto" w:fill="auto"/>
            <w:tcMar>
              <w:left w:w="28" w:type="dxa"/>
              <w:right w:w="28" w:type="dxa"/>
            </w:tcMar>
            <w:vAlign w:val="center"/>
          </w:tcPr>
          <w:p w14:paraId="794B99BF" w14:textId="77777777" w:rsidR="00787B2D" w:rsidRPr="00AE3438" w:rsidRDefault="00787B2D" w:rsidP="00054F33">
            <w:pPr>
              <w:numPr>
                <w:ilvl w:val="0"/>
                <w:numId w:val="4"/>
              </w:numPr>
              <w:ind w:left="115" w:hanging="115"/>
              <w:jc w:val="left"/>
              <w:rPr>
                <w:rFonts w:ascii="Arial Narrow" w:hAnsi="Arial Narrow"/>
                <w:snapToGrid w:val="0"/>
                <w:sz w:val="20"/>
                <w:szCs w:val="20"/>
              </w:rPr>
            </w:pPr>
            <w:r w:rsidRPr="00AE3438">
              <w:rPr>
                <w:rFonts w:ascii="Arial Narrow" w:hAnsi="Arial Narrow"/>
                <w:snapToGrid w:val="0"/>
                <w:sz w:val="20"/>
                <w:szCs w:val="20"/>
              </w:rPr>
              <w:t>2.65 yrs since 1</w:t>
            </w:r>
            <w:r w:rsidRPr="00AE3438">
              <w:rPr>
                <w:rFonts w:ascii="Arial Narrow" w:hAnsi="Arial Narrow"/>
                <w:snapToGrid w:val="0"/>
                <w:sz w:val="20"/>
                <w:szCs w:val="20"/>
                <w:vertAlign w:val="superscript"/>
              </w:rPr>
              <w:t>st</w:t>
            </w:r>
            <w:r w:rsidRPr="00AE3438">
              <w:rPr>
                <w:rFonts w:ascii="Arial Narrow" w:hAnsi="Arial Narrow"/>
                <w:snapToGrid w:val="0"/>
                <w:sz w:val="20"/>
                <w:szCs w:val="20"/>
              </w:rPr>
              <w:t xml:space="preserve"> dose of nusinersen</w:t>
            </w:r>
          </w:p>
        </w:tc>
        <w:tc>
          <w:tcPr>
            <w:tcW w:w="709" w:type="dxa"/>
            <w:shd w:val="clear" w:color="auto" w:fill="auto"/>
            <w:vAlign w:val="bottom"/>
          </w:tcPr>
          <w:p w14:paraId="6456393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708" w:type="dxa"/>
            <w:shd w:val="clear" w:color="auto" w:fill="auto"/>
            <w:vAlign w:val="bottom"/>
          </w:tcPr>
          <w:p w14:paraId="5ADE8E95"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NR</w:t>
            </w:r>
          </w:p>
        </w:tc>
        <w:tc>
          <w:tcPr>
            <w:tcW w:w="851" w:type="dxa"/>
            <w:shd w:val="clear" w:color="auto" w:fill="auto"/>
            <w:tcMar>
              <w:left w:w="28" w:type="dxa"/>
              <w:right w:w="28" w:type="dxa"/>
            </w:tcMar>
            <w:vAlign w:val="bottom"/>
          </w:tcPr>
          <w:p w14:paraId="2710D787"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1/20</w:t>
            </w:r>
          </w:p>
          <w:p w14:paraId="4C291103"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(5%)</w:t>
            </w:r>
          </w:p>
        </w:tc>
        <w:tc>
          <w:tcPr>
            <w:tcW w:w="851" w:type="dxa"/>
            <w:shd w:val="clear" w:color="auto" w:fill="auto"/>
            <w:tcMar>
              <w:left w:w="28" w:type="dxa"/>
              <w:right w:w="28" w:type="dxa"/>
            </w:tcMar>
            <w:vAlign w:val="bottom"/>
          </w:tcPr>
          <w:p w14:paraId="5E7E780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0/20</w:t>
            </w:r>
          </w:p>
          <w:p w14:paraId="34D0945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850" w:type="dxa"/>
            <w:shd w:val="clear" w:color="auto" w:fill="auto"/>
            <w:tcMar>
              <w:left w:w="28" w:type="dxa"/>
              <w:right w:w="28" w:type="dxa"/>
            </w:tcMar>
            <w:vAlign w:val="bottom"/>
          </w:tcPr>
          <w:p w14:paraId="40D8A77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0/20</w:t>
            </w:r>
          </w:p>
          <w:p w14:paraId="529DB82E"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850" w:type="dxa"/>
            <w:shd w:val="clear" w:color="auto" w:fill="auto"/>
            <w:tcMar>
              <w:left w:w="28" w:type="dxa"/>
              <w:right w:w="28" w:type="dxa"/>
            </w:tcMar>
            <w:vAlign w:val="bottom"/>
          </w:tcPr>
          <w:p w14:paraId="07AF93C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0/20</w:t>
            </w:r>
          </w:p>
          <w:p w14:paraId="75C515AD"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709" w:type="dxa"/>
            <w:shd w:val="clear" w:color="auto" w:fill="auto"/>
            <w:tcMar>
              <w:left w:w="28" w:type="dxa"/>
              <w:right w:w="28" w:type="dxa"/>
            </w:tcMar>
            <w:vAlign w:val="bottom"/>
          </w:tcPr>
          <w:p w14:paraId="24DD8CA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0/20</w:t>
            </w:r>
          </w:p>
          <w:p w14:paraId="6268BCDA"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725" w:type="dxa"/>
            <w:shd w:val="clear" w:color="auto" w:fill="auto"/>
            <w:tcMar>
              <w:left w:w="28" w:type="dxa"/>
              <w:right w:w="28" w:type="dxa"/>
            </w:tcMar>
            <w:vAlign w:val="bottom"/>
          </w:tcPr>
          <w:p w14:paraId="6721D228"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0/20</w:t>
            </w:r>
          </w:p>
          <w:p w14:paraId="17883601"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(0%)</w:t>
            </w:r>
          </w:p>
        </w:tc>
        <w:tc>
          <w:tcPr>
            <w:tcW w:w="976" w:type="dxa"/>
            <w:shd w:val="clear" w:color="auto" w:fill="auto"/>
            <w:tcMar>
              <w:left w:w="28" w:type="dxa"/>
              <w:right w:w="28" w:type="dxa"/>
            </w:tcMar>
            <w:vAlign w:val="bottom"/>
          </w:tcPr>
          <w:p w14:paraId="5F8C864C" w14:textId="77777777" w:rsidR="00787B2D" w:rsidRPr="00AE3438" w:rsidRDefault="00787B2D" w:rsidP="00BD02D3">
            <w:pPr>
              <w:jc w:val="center"/>
              <w:rPr>
                <w:rFonts w:ascii="Arial Narrow" w:hAnsi="Arial Narrow"/>
                <w:sz w:val="20"/>
                <w:szCs w:val="20"/>
              </w:rPr>
            </w:pPr>
            <w:r w:rsidRPr="00AE3438">
              <w:rPr>
                <w:rFonts w:ascii="Arial Narrow" w:hAnsi="Arial Narrow"/>
                <w:sz w:val="20"/>
                <w:szCs w:val="20"/>
              </w:rPr>
              <w:t>-</w:t>
            </w:r>
          </w:p>
        </w:tc>
      </w:tr>
    </w:tbl>
    <w:p w14:paraId="4F173494" w14:textId="3D57CC17" w:rsidR="00787B2D" w:rsidRPr="00AE3438" w:rsidRDefault="00787B2D" w:rsidP="00787B2D">
      <w:pPr>
        <w:pStyle w:val="TableFigureFooter"/>
        <w:spacing w:after="0"/>
        <w:rPr>
          <w:rStyle w:val="CommentReference"/>
          <w:b w:val="0"/>
          <w:bCs/>
          <w:sz w:val="18"/>
          <w:szCs w:val="18"/>
        </w:rPr>
      </w:pPr>
      <w:r w:rsidRPr="00AE3438">
        <w:rPr>
          <w:rStyle w:val="CommentReference"/>
          <w:b w:val="0"/>
          <w:bCs/>
          <w:sz w:val="18"/>
          <w:szCs w:val="18"/>
          <w:shd w:val="clear" w:color="auto" w:fill="EAF1DD" w:themeFill="accent3" w:themeFillTint="33"/>
        </w:rPr>
        <w:t>Green shading</w:t>
      </w:r>
      <w:r w:rsidRPr="00AE3438">
        <w:rPr>
          <w:rStyle w:val="CommentReference"/>
          <w:b w:val="0"/>
          <w:bCs/>
          <w:sz w:val="18"/>
          <w:szCs w:val="18"/>
        </w:rPr>
        <w:t xml:space="preserve"> represents study population consisting only of patients treated pre-symptomatically. Italics indicate results extracted during the evaluation.</w:t>
      </w:r>
    </w:p>
    <w:p w14:paraId="484901EF" w14:textId="77777777" w:rsidR="00787B2D" w:rsidRPr="00AE3438" w:rsidRDefault="00787B2D" w:rsidP="00787B2D">
      <w:pPr>
        <w:rPr>
          <w:rFonts w:ascii="Arial Narrow" w:hAnsi="Arial Narrow"/>
          <w:sz w:val="18"/>
          <w:szCs w:val="18"/>
        </w:rPr>
      </w:pPr>
      <w:r w:rsidRPr="00AE3438">
        <w:rPr>
          <w:rFonts w:ascii="Arial Narrow" w:hAnsi="Arial Narrow"/>
          <w:sz w:val="18"/>
          <w:szCs w:val="18"/>
        </w:rPr>
        <w:t>Source: Compiled during the evaluation from Castro 2020 (p8), AVXS-101-LT-001 and LT-002 LTFU report OCT2021.pdf</w:t>
      </w:r>
    </w:p>
    <w:p w14:paraId="33DC0471" w14:textId="6F850D6B" w:rsidR="00787B2D" w:rsidRPr="00AE3438" w:rsidRDefault="00787B2D" w:rsidP="00787B2D">
      <w:pPr>
        <w:rPr>
          <w:rFonts w:ascii="Arial Narrow" w:hAnsi="Arial Narrow"/>
          <w:sz w:val="18"/>
          <w:szCs w:val="18"/>
        </w:rPr>
      </w:pPr>
      <w:r w:rsidRPr="00AE3438">
        <w:rPr>
          <w:rFonts w:ascii="Arial Narrow" w:hAnsi="Arial Narrow"/>
          <w:sz w:val="18"/>
          <w:szCs w:val="18"/>
        </w:rPr>
        <w:t>NUSI=nusinersen; ONA=onasemnogene abeparvovec; RISD=risdiplam; yr=year;</w:t>
      </w:r>
    </w:p>
    <w:p w14:paraId="1AA33BFE" w14:textId="77777777" w:rsidR="00787B2D" w:rsidRPr="00AE3438" w:rsidRDefault="00787B2D" w:rsidP="00787B2D">
      <w:pPr>
        <w:rPr>
          <w:rFonts w:ascii="Arial Narrow" w:hAnsi="Arial Narrow"/>
          <w:sz w:val="18"/>
          <w:szCs w:val="18"/>
        </w:rPr>
      </w:pPr>
      <w:r w:rsidRPr="00AE3438">
        <w:rPr>
          <w:rFonts w:ascii="Arial Narrow" w:hAnsi="Arial Narrow"/>
          <w:sz w:val="18"/>
          <w:szCs w:val="18"/>
        </w:rPr>
        <w:t>^</w:t>
      </w:r>
      <w:r w:rsidRPr="00AE3438">
        <w:rPr>
          <w:rFonts w:ascii="Arial Narrow" w:hAnsi="Arial Narrow"/>
          <w:sz w:val="18"/>
          <w:szCs w:val="18"/>
        </w:rPr>
        <w:tab/>
        <w:t>Patients sitting ≥30 seconds are included in the totals for ≥15 seconds, ≥10 seconds, and ≥5 seconds.</w:t>
      </w:r>
    </w:p>
    <w:p w14:paraId="03414A0E" w14:textId="77777777" w:rsidR="00787B2D" w:rsidRPr="00AE3438" w:rsidRDefault="00787B2D" w:rsidP="00787B2D">
      <w:pPr>
        <w:rPr>
          <w:rFonts w:ascii="Arial Narrow" w:hAnsi="Arial Narrow"/>
          <w:sz w:val="18"/>
          <w:szCs w:val="18"/>
        </w:rPr>
      </w:pPr>
      <w:r w:rsidRPr="00AE3438">
        <w:rPr>
          <w:rFonts w:ascii="Arial Narrow" w:hAnsi="Arial Narrow"/>
          <w:sz w:val="18"/>
          <w:szCs w:val="18"/>
        </w:rPr>
        <w:t>*</w:t>
      </w:r>
      <w:r w:rsidRPr="00AE3438">
        <w:rPr>
          <w:rFonts w:ascii="Arial Narrow" w:hAnsi="Arial Narrow"/>
          <w:sz w:val="18"/>
          <w:szCs w:val="18"/>
        </w:rPr>
        <w:tab/>
        <w:t>2 patients discontinued from START LTFU, but % still expressed out of the original N.</w:t>
      </w:r>
    </w:p>
    <w:p w14:paraId="7AC2B933" w14:textId="77777777" w:rsidR="00787B2D" w:rsidRPr="00AE3438" w:rsidRDefault="00787B2D" w:rsidP="00787B2D">
      <w:pPr>
        <w:ind w:left="170" w:hanging="170"/>
        <w:rPr>
          <w:rFonts w:ascii="Arial Narrow" w:hAnsi="Arial Narrow"/>
          <w:sz w:val="18"/>
          <w:szCs w:val="18"/>
        </w:rPr>
      </w:pPr>
      <w:r w:rsidRPr="00AE3438">
        <w:rPr>
          <w:rFonts w:ascii="Arial Narrow" w:hAnsi="Arial Narrow"/>
          <w:sz w:val="18"/>
          <w:szCs w:val="18"/>
        </w:rPr>
        <w:t>a</w:t>
      </w:r>
      <w:r w:rsidRPr="00AE3438">
        <w:rPr>
          <w:rFonts w:ascii="Arial Narrow" w:hAnsi="Arial Narrow"/>
          <w:sz w:val="18"/>
          <w:szCs w:val="18"/>
        </w:rPr>
        <w:tab/>
        <w:t xml:space="preserve">Based on the study exclusion criteria. Also, concomitant use of therapy for treatment of SMA e.g. NUSI was prohibited during the study. </w:t>
      </w:r>
    </w:p>
    <w:p w14:paraId="1B47C9A0" w14:textId="7CC1097C" w:rsidR="00787B2D" w:rsidRPr="00AE3438" w:rsidRDefault="00787B2D" w:rsidP="00787B2D">
      <w:pPr>
        <w:ind w:left="170" w:hanging="170"/>
        <w:rPr>
          <w:rFonts w:ascii="Arial Narrow" w:hAnsi="Arial Narrow"/>
          <w:sz w:val="18"/>
          <w:szCs w:val="18"/>
        </w:rPr>
      </w:pPr>
      <w:r w:rsidRPr="00AE3438">
        <w:rPr>
          <w:rFonts w:ascii="Arial Narrow" w:hAnsi="Arial Narrow"/>
          <w:sz w:val="18"/>
          <w:szCs w:val="18"/>
        </w:rPr>
        <w:t>b</w:t>
      </w:r>
      <w:r w:rsidRPr="00AE3438">
        <w:rPr>
          <w:rFonts w:ascii="Arial Narrow" w:hAnsi="Arial Narrow"/>
          <w:sz w:val="18"/>
          <w:szCs w:val="18"/>
        </w:rPr>
        <w:tab/>
        <w:t>8 patients with 3 copies of SMN2 from SPR1NT were included in the interim analysis, however, no data w</w:t>
      </w:r>
      <w:r w:rsidR="0024131C">
        <w:rPr>
          <w:rFonts w:ascii="Arial Narrow" w:hAnsi="Arial Narrow"/>
          <w:sz w:val="18"/>
          <w:szCs w:val="18"/>
        </w:rPr>
        <w:t>ere</w:t>
      </w:r>
      <w:r w:rsidRPr="00AE3438">
        <w:rPr>
          <w:rFonts w:ascii="Arial Narrow" w:hAnsi="Arial Narrow"/>
          <w:sz w:val="18"/>
          <w:szCs w:val="18"/>
        </w:rPr>
        <w:t xml:space="preserve"> available for 3 patients.</w:t>
      </w:r>
    </w:p>
    <w:p w14:paraId="2C0EBF7D" w14:textId="77777777" w:rsidR="00787B2D" w:rsidRPr="00AE3438" w:rsidRDefault="00787B2D" w:rsidP="00787B2D">
      <w:pPr>
        <w:ind w:left="170" w:hanging="170"/>
        <w:rPr>
          <w:rFonts w:ascii="Arial Narrow" w:hAnsi="Arial Narrow"/>
          <w:sz w:val="18"/>
          <w:szCs w:val="18"/>
        </w:rPr>
      </w:pPr>
      <w:r w:rsidRPr="00AE3438">
        <w:rPr>
          <w:rFonts w:ascii="Arial Narrow" w:hAnsi="Arial Narrow"/>
          <w:sz w:val="18"/>
          <w:szCs w:val="18"/>
        </w:rPr>
        <w:t>c</w:t>
      </w:r>
      <w:r w:rsidRPr="00AE3438">
        <w:rPr>
          <w:rFonts w:ascii="Arial Narrow" w:hAnsi="Arial Narrow"/>
          <w:sz w:val="18"/>
          <w:szCs w:val="18"/>
        </w:rPr>
        <w:tab/>
        <w:t>Patients maintained the highest developmental milestone achieved (walk alone) from the parent study SPR1NT.</w:t>
      </w:r>
    </w:p>
    <w:p w14:paraId="4CD4F95F" w14:textId="1495E269" w:rsidR="00787B2D" w:rsidRPr="00AE3438" w:rsidRDefault="00787B2D" w:rsidP="00787B2D">
      <w:pPr>
        <w:ind w:left="170" w:hanging="170"/>
        <w:rPr>
          <w:rFonts w:ascii="Arial Narrow" w:hAnsi="Arial Narrow"/>
          <w:sz w:val="18"/>
          <w:szCs w:val="18"/>
        </w:rPr>
      </w:pPr>
      <w:r w:rsidRPr="00AE3438">
        <w:rPr>
          <w:rFonts w:ascii="Arial Narrow" w:hAnsi="Arial Narrow"/>
          <w:sz w:val="18"/>
          <w:szCs w:val="18"/>
        </w:rPr>
        <w:t>d</w:t>
      </w:r>
      <w:r w:rsidRPr="00AE3438">
        <w:rPr>
          <w:rFonts w:ascii="Arial Narrow" w:hAnsi="Arial Narrow"/>
          <w:sz w:val="18"/>
          <w:szCs w:val="18"/>
        </w:rPr>
        <w:tab/>
        <w:t>7 patients with 2 copies of SMN2 from SPR1NT were included in the interim analysis, however, no data w</w:t>
      </w:r>
      <w:r w:rsidR="0024131C">
        <w:rPr>
          <w:rFonts w:ascii="Arial Narrow" w:hAnsi="Arial Narrow"/>
          <w:sz w:val="18"/>
          <w:szCs w:val="18"/>
        </w:rPr>
        <w:t>ere</w:t>
      </w:r>
      <w:r w:rsidRPr="00AE3438">
        <w:rPr>
          <w:rFonts w:ascii="Arial Narrow" w:hAnsi="Arial Narrow"/>
          <w:sz w:val="18"/>
          <w:szCs w:val="18"/>
        </w:rPr>
        <w:t xml:space="preserve"> available for 3 patients.</w:t>
      </w:r>
    </w:p>
    <w:p w14:paraId="64418E24" w14:textId="6AE05329" w:rsidR="00787B2D" w:rsidRPr="009A65A9" w:rsidRDefault="00787B2D" w:rsidP="009A65A9">
      <w:pPr>
        <w:spacing w:after="120"/>
        <w:ind w:left="170" w:hanging="170"/>
        <w:rPr>
          <w:rFonts w:ascii="Arial Narrow" w:hAnsi="Arial Narrow"/>
          <w:sz w:val="18"/>
          <w:szCs w:val="18"/>
        </w:rPr>
      </w:pPr>
      <w:r w:rsidRPr="00AE3438">
        <w:rPr>
          <w:rFonts w:ascii="Arial Narrow" w:hAnsi="Arial Narrow"/>
          <w:sz w:val="18"/>
          <w:szCs w:val="18"/>
        </w:rPr>
        <w:t>e</w:t>
      </w:r>
      <w:r w:rsidRPr="00AE3438">
        <w:rPr>
          <w:rFonts w:ascii="Arial Narrow" w:hAnsi="Arial Narrow"/>
          <w:sz w:val="18"/>
          <w:szCs w:val="18"/>
        </w:rPr>
        <w:tab/>
        <w:t>one patient with 2 copies of SMN2 reported highest milestone of ability to walk alone in LT-002, from previous milestone of walk with assistance in SPR1NT.</w:t>
      </w:r>
    </w:p>
    <w:p w14:paraId="65559245" w14:textId="5E05133F" w:rsidR="00A5387E" w:rsidRPr="00AE3438" w:rsidRDefault="00A5387E" w:rsidP="00B85129">
      <w:pPr>
        <w:pStyle w:val="3-BodyText"/>
        <w:numPr>
          <w:ilvl w:val="0"/>
          <w:numId w:val="0"/>
        </w:numPr>
        <w:rPr>
          <w:i/>
        </w:rPr>
      </w:pPr>
      <w:r w:rsidRPr="00AE3438">
        <w:rPr>
          <w:b/>
          <w:i/>
        </w:rPr>
        <w:t xml:space="preserve">Pre-symptomatic </w:t>
      </w:r>
    </w:p>
    <w:p w14:paraId="6660CCC9" w14:textId="7D70B85E" w:rsidR="00787B2D" w:rsidRPr="00AE3438" w:rsidRDefault="00787B2D" w:rsidP="00E32CAA">
      <w:pPr>
        <w:pStyle w:val="3-BodyText"/>
        <w:rPr>
          <w:iCs/>
        </w:rPr>
      </w:pPr>
      <w:r w:rsidRPr="00AE3438">
        <w:rPr>
          <w:iCs/>
        </w:rPr>
        <w:t xml:space="preserve">In SPR1NT, all 15 (100%) patients with 3 copies of SMN2 treated pre-symptomatically with ONA achieved </w:t>
      </w:r>
      <w:r w:rsidR="00A5387E" w:rsidRPr="00AE3438">
        <w:rPr>
          <w:iCs/>
        </w:rPr>
        <w:t xml:space="preserve">at least one </w:t>
      </w:r>
      <w:r w:rsidRPr="00AE3438">
        <w:rPr>
          <w:iCs/>
        </w:rPr>
        <w:t xml:space="preserve">developmental milestone at 24 months of age post </w:t>
      </w:r>
      <w:r w:rsidRPr="00AE3438">
        <w:rPr>
          <w:iCs/>
        </w:rPr>
        <w:lastRenderedPageBreak/>
        <w:t>dose, with the highest milestone as the ability to stand alone or walk alone assessed on either BSID or WHO-MGRS. The median age at earliest achievement was 12.6 and 14.10 months, respectively.</w:t>
      </w:r>
      <w:r w:rsidR="00A5387E" w:rsidRPr="00AE3438">
        <w:rPr>
          <w:iCs/>
        </w:rPr>
        <w:t xml:space="preserve"> A total of</w:t>
      </w:r>
      <w:r w:rsidRPr="00AE3438">
        <w:rPr>
          <w:iCs/>
        </w:rPr>
        <w:t xml:space="preserve"> 14/15 (93.3%) achieved the ability to sit without support. </w:t>
      </w:r>
    </w:p>
    <w:p w14:paraId="674D0C8F" w14:textId="25287BAB" w:rsidR="00787B2D" w:rsidRPr="00AE3438" w:rsidRDefault="00787B2D" w:rsidP="00E32CAA">
      <w:pPr>
        <w:pStyle w:val="3-BodyText"/>
        <w:rPr>
          <w:iCs/>
        </w:rPr>
      </w:pPr>
      <w:r w:rsidRPr="00AE3438">
        <w:rPr>
          <w:iCs/>
        </w:rPr>
        <w:t xml:space="preserve">In the pre-symptomatic studies, motor function attainment (particularly the ability to walk) appeared to improve with increasing SMN2 copy number; more patients with 3 copies of SMN2 achieved the ability to walk than those with 2 SMN2 copies (93.3% versus 73.3% in SPR1NT for ONA and 100% versus 88% in NURTURE for nusinersen). </w:t>
      </w:r>
    </w:p>
    <w:p w14:paraId="1D1D0CB7" w14:textId="09B72174" w:rsidR="00A5387E" w:rsidRPr="00AE3438" w:rsidRDefault="00A5387E" w:rsidP="00A5387E">
      <w:pPr>
        <w:pStyle w:val="3-BodyText"/>
        <w:numPr>
          <w:ilvl w:val="0"/>
          <w:numId w:val="0"/>
        </w:numPr>
        <w:rPr>
          <w:b/>
          <w:i/>
        </w:rPr>
      </w:pPr>
      <w:r w:rsidRPr="00AE3438">
        <w:rPr>
          <w:b/>
          <w:i/>
        </w:rPr>
        <w:t>Symptomatic</w:t>
      </w:r>
    </w:p>
    <w:p w14:paraId="0C42A5BB" w14:textId="77777777" w:rsidR="003250B8" w:rsidRDefault="00787B2D" w:rsidP="003E338C">
      <w:pPr>
        <w:pStyle w:val="3-BodyText"/>
        <w:rPr>
          <w:iCs/>
        </w:rPr>
      </w:pPr>
      <w:r w:rsidRPr="003250B8">
        <w:rPr>
          <w:iCs/>
        </w:rPr>
        <w:t>For symptomatic patients, motor function attainment varied by SMA type, disease duration and baseline motor function. The highest motor function attainment also appeared to increase with higher SMA type and SMN2 copy number. In the studies of infantile onset SMA (4.6-6 months of age at baseline), ENDEAR (Type I, 2 SMN2 copies) reported no</w:t>
      </w:r>
      <w:r w:rsidR="00035B4B" w:rsidRPr="003250B8">
        <w:rPr>
          <w:iCs/>
        </w:rPr>
        <w:t xml:space="preserve"> patient</w:t>
      </w:r>
      <w:r w:rsidRPr="003250B8">
        <w:rPr>
          <w:iCs/>
        </w:rPr>
        <w:t xml:space="preserve"> achieved the ability to stand, whereas in CS3A (Type I, 2-3 copies) 5.3% achieved the ability to stand or walk independently. Across the studies that included later-onset SMA, CHERISH (Type II or III, 2-4 SMN2 copies) reported 1.2% achieved the ability to stand independently at 15 months of treatment versus 2.4% in control, however, at baseline</w:t>
      </w:r>
      <w:r w:rsidR="00F27463" w:rsidRPr="003250B8">
        <w:rPr>
          <w:iCs/>
        </w:rPr>
        <w:t>,</w:t>
      </w:r>
      <w:r w:rsidRPr="003250B8">
        <w:rPr>
          <w:iCs/>
        </w:rPr>
        <w:t xml:space="preserve"> mean age at treatment was 3-4 years (disease duration of 2.1-3.2 years) and all patients could sit </w:t>
      </w:r>
      <w:r w:rsidR="0053290B" w:rsidRPr="003250B8">
        <w:rPr>
          <w:iCs/>
        </w:rPr>
        <w:t>independently,</w:t>
      </w:r>
      <w:r w:rsidRPr="003250B8">
        <w:rPr>
          <w:iCs/>
        </w:rPr>
        <w:t xml:space="preserve"> and a proportion of patients already attained the ability to walk with support (24% in nusinersen vs 33% in control). In CS2/CS12 2/4 (50%) patients with SMA Type III (2-4 SMN2 copies) were assessed as having regained the ability to walk alone during the study at 12.8 years, versus 1/11 (9.1%) patients with Type II (2 SMN2 copies) that newly achieved the ability to walk alone at 4.6 years. </w:t>
      </w:r>
    </w:p>
    <w:p w14:paraId="11737B15" w14:textId="7F3BE8D6" w:rsidR="003250B8" w:rsidRDefault="003250B8" w:rsidP="003E338C">
      <w:pPr>
        <w:pStyle w:val="3-BodyText"/>
        <w:rPr>
          <w:iCs/>
        </w:rPr>
      </w:pPr>
      <w:r>
        <w:rPr>
          <w:iCs/>
        </w:rPr>
        <w:t>T</w:t>
      </w:r>
      <w:r w:rsidR="00787B2D" w:rsidRPr="003250B8">
        <w:rPr>
          <w:iCs/>
        </w:rPr>
        <w:t>here were large intervals between age at symptom onset (11 month</w:t>
      </w:r>
      <w:r w:rsidR="003B4515" w:rsidRPr="003250B8">
        <w:rPr>
          <w:iCs/>
        </w:rPr>
        <w:t>s</w:t>
      </w:r>
      <w:r w:rsidR="00787B2D" w:rsidRPr="003250B8">
        <w:rPr>
          <w:iCs/>
        </w:rPr>
        <w:t xml:space="preserve"> for Type II and 22 months for Type III) and age at screening/first dose (4.4 years in Type II and 8.9 years in Type III)</w:t>
      </w:r>
      <w:r w:rsidR="00C45329" w:rsidRPr="003250B8">
        <w:rPr>
          <w:iCs/>
        </w:rPr>
        <w:t xml:space="preserve">. The ESC considered </w:t>
      </w:r>
      <w:r w:rsidR="00035B4B" w:rsidRPr="003250B8">
        <w:rPr>
          <w:iCs/>
        </w:rPr>
        <w:t xml:space="preserve">this </w:t>
      </w:r>
      <w:r w:rsidRPr="003250B8">
        <w:rPr>
          <w:iCs/>
        </w:rPr>
        <w:t xml:space="preserve">evidence </w:t>
      </w:r>
      <w:r w:rsidR="00035B4B" w:rsidRPr="003250B8">
        <w:rPr>
          <w:iCs/>
        </w:rPr>
        <w:t>is unlikely to represent clinical practice given availability of DMTs on PBS,</w:t>
      </w:r>
      <w:r w:rsidR="003333C3" w:rsidRPr="003250B8">
        <w:rPr>
          <w:iCs/>
        </w:rPr>
        <w:t xml:space="preserve"> as</w:t>
      </w:r>
      <w:r w:rsidR="00035B4B" w:rsidRPr="003250B8">
        <w:rPr>
          <w:iCs/>
        </w:rPr>
        <w:t xml:space="preserve"> patients are expected to be treated soon after symptom onset and likely with better outcomes. </w:t>
      </w:r>
    </w:p>
    <w:p w14:paraId="11E7A8BD" w14:textId="1ABAF5C6" w:rsidR="00787B2D" w:rsidRPr="003250B8" w:rsidRDefault="009357BD" w:rsidP="003E338C">
      <w:pPr>
        <w:pStyle w:val="3-BodyText"/>
        <w:rPr>
          <w:iCs/>
        </w:rPr>
      </w:pPr>
      <w:r w:rsidRPr="003250B8">
        <w:rPr>
          <w:iCs/>
        </w:rPr>
        <w:t>A</w:t>
      </w:r>
      <w:r w:rsidR="00787B2D" w:rsidRPr="003250B8">
        <w:rPr>
          <w:iCs/>
        </w:rPr>
        <w:t>ll patients</w:t>
      </w:r>
      <w:r w:rsidRPr="003250B8">
        <w:rPr>
          <w:iCs/>
        </w:rPr>
        <w:t xml:space="preserve"> with </w:t>
      </w:r>
      <w:r w:rsidR="00403064" w:rsidRPr="003250B8">
        <w:rPr>
          <w:iCs/>
        </w:rPr>
        <w:t xml:space="preserve">SMA </w:t>
      </w:r>
      <w:r w:rsidRPr="003250B8">
        <w:rPr>
          <w:iCs/>
        </w:rPr>
        <w:t xml:space="preserve">Type III in CS2 </w:t>
      </w:r>
      <w:r w:rsidR="00787B2D" w:rsidRPr="003250B8">
        <w:rPr>
          <w:iCs/>
        </w:rPr>
        <w:t>had the ability to walk but 4 lost that ability prior to CS2 baseline, whereas all those with Type II had the ability to sit alone and 2 (18%) could walk with support</w:t>
      </w:r>
      <w:r w:rsidRPr="003250B8">
        <w:rPr>
          <w:iCs/>
        </w:rPr>
        <w:t xml:space="preserve"> at CS2 baseline</w:t>
      </w:r>
      <w:r w:rsidR="00787B2D" w:rsidRPr="003250B8">
        <w:rPr>
          <w:iCs/>
        </w:rPr>
        <w:t xml:space="preserve">. </w:t>
      </w:r>
      <w:r w:rsidR="005E6966" w:rsidRPr="003250B8">
        <w:rPr>
          <w:iCs/>
        </w:rPr>
        <w:t xml:space="preserve">In EMBRACE (patients with 2-3 SMN2 copies), 14.3% of children were able to stand and 7.1% could walk independently after 14 months of treatment. Compared to CS2, these </w:t>
      </w:r>
      <w:r w:rsidR="00B51D0A" w:rsidRPr="003250B8">
        <w:rPr>
          <w:iCs/>
        </w:rPr>
        <w:t xml:space="preserve">patients were younger (median age at first dose was 16.7 month) </w:t>
      </w:r>
      <w:r w:rsidR="005E6966" w:rsidRPr="003250B8">
        <w:rPr>
          <w:iCs/>
        </w:rPr>
        <w:t xml:space="preserve">and treated sooner </w:t>
      </w:r>
      <w:r w:rsidR="00B51D0A" w:rsidRPr="003250B8">
        <w:rPr>
          <w:iCs/>
        </w:rPr>
        <w:t>(disease duration 11.2 months</w:t>
      </w:r>
      <w:r w:rsidR="005E6966" w:rsidRPr="003250B8">
        <w:rPr>
          <w:iCs/>
        </w:rPr>
        <w:t xml:space="preserve"> with</w:t>
      </w:r>
      <w:r w:rsidR="00B51D0A" w:rsidRPr="003250B8">
        <w:rPr>
          <w:iCs/>
        </w:rPr>
        <w:t xml:space="preserve"> 57% able to sit alone). </w:t>
      </w:r>
      <w:r w:rsidR="003B52F3" w:rsidRPr="003250B8">
        <w:rPr>
          <w:iCs/>
        </w:rPr>
        <w:t>However, t</w:t>
      </w:r>
      <w:r w:rsidR="00787B2D" w:rsidRPr="003250B8">
        <w:rPr>
          <w:iCs/>
        </w:rPr>
        <w:t>he different milestone measures and timepoints for the reported data makes comparisons difficult.</w:t>
      </w:r>
      <w:r w:rsidR="007A74E5" w:rsidRPr="003250B8">
        <w:rPr>
          <w:iCs/>
        </w:rPr>
        <w:t xml:space="preserve"> </w:t>
      </w:r>
      <w:r w:rsidR="009C1952" w:rsidRPr="003250B8">
        <w:rPr>
          <w:iCs/>
        </w:rPr>
        <w:t>The ESC noted t</w:t>
      </w:r>
      <w:r w:rsidR="0047084D" w:rsidRPr="003250B8">
        <w:rPr>
          <w:iCs/>
        </w:rPr>
        <w:t xml:space="preserve">he </w:t>
      </w:r>
      <w:r w:rsidR="007841C6" w:rsidRPr="003250B8">
        <w:rPr>
          <w:iCs/>
        </w:rPr>
        <w:t>outcomes for patients with 3 SMN2 copies in the NUSI trials were presented as aggregated outcomes which included</w:t>
      </w:r>
      <w:r w:rsidR="005E2AB0" w:rsidRPr="003250B8">
        <w:rPr>
          <w:iCs/>
        </w:rPr>
        <w:t xml:space="preserve"> those for</w:t>
      </w:r>
      <w:r w:rsidR="007841C6" w:rsidRPr="003250B8">
        <w:rPr>
          <w:iCs/>
        </w:rPr>
        <w:t xml:space="preserve"> patients with 2 and/or 4 SMN2 copies. </w:t>
      </w:r>
      <w:r w:rsidR="005E2AB0" w:rsidRPr="003250B8">
        <w:rPr>
          <w:iCs/>
        </w:rPr>
        <w:t>The ESC considered that the lack of</w:t>
      </w:r>
      <w:r w:rsidR="00CA4FDD" w:rsidRPr="003250B8">
        <w:rPr>
          <w:iCs/>
        </w:rPr>
        <w:t xml:space="preserve"> disaggregated</w:t>
      </w:r>
      <w:r w:rsidR="005E2AB0" w:rsidRPr="003250B8">
        <w:rPr>
          <w:iCs/>
        </w:rPr>
        <w:t xml:space="preserve"> outcomes for </w:t>
      </w:r>
      <w:r w:rsidR="003B52F3" w:rsidRPr="003250B8">
        <w:rPr>
          <w:iCs/>
        </w:rPr>
        <w:t>sy</w:t>
      </w:r>
      <w:r w:rsidR="000D3B49" w:rsidRPr="003250B8">
        <w:rPr>
          <w:iCs/>
        </w:rPr>
        <w:t>m</w:t>
      </w:r>
      <w:r w:rsidR="003B52F3" w:rsidRPr="003250B8">
        <w:rPr>
          <w:iCs/>
        </w:rPr>
        <w:t xml:space="preserve">ptomatic </w:t>
      </w:r>
      <w:r w:rsidR="005E2AB0" w:rsidRPr="003250B8">
        <w:rPr>
          <w:iCs/>
        </w:rPr>
        <w:t xml:space="preserve">patients with 3 SMN2 copies </w:t>
      </w:r>
      <w:r w:rsidR="0059728B" w:rsidRPr="003250B8">
        <w:rPr>
          <w:iCs/>
        </w:rPr>
        <w:t>meant that comparisons were of limited value</w:t>
      </w:r>
      <w:r w:rsidR="00CA4FDD" w:rsidRPr="003250B8">
        <w:rPr>
          <w:iCs/>
        </w:rPr>
        <w:t xml:space="preserve">. </w:t>
      </w:r>
    </w:p>
    <w:p w14:paraId="0E39BEA2" w14:textId="2EC297A9" w:rsidR="00787B2D" w:rsidRPr="00AE3438" w:rsidRDefault="00787B2D" w:rsidP="00E32CAA">
      <w:pPr>
        <w:pStyle w:val="3-BodyText"/>
        <w:rPr>
          <w:iCs/>
        </w:rPr>
      </w:pPr>
      <w:bookmarkStart w:id="39" w:name="_Ref120880249"/>
      <w:r w:rsidRPr="00AE3438">
        <w:rPr>
          <w:iCs/>
        </w:rPr>
        <w:lastRenderedPageBreak/>
        <w:t xml:space="preserve">Natural history data from Zerres 1997 indicated that 70.3% and 96.3% of SMA IIIa and IIIb patients followed up retained their ability to walk at 10 years versus 0% for those with Type II SMA (the study referred to SMA Type II patients as sitters, so by definition they were not able to walk). </w:t>
      </w:r>
      <w:r w:rsidR="00A17875" w:rsidRPr="00054F33">
        <w:rPr>
          <w:iCs/>
        </w:rPr>
        <w:t>The ESC noted that the data presented indicated</w:t>
      </w:r>
      <w:r w:rsidR="00A750D0" w:rsidRPr="00054F33">
        <w:rPr>
          <w:iCs/>
        </w:rPr>
        <w:t xml:space="preserve"> </w:t>
      </w:r>
      <w:r w:rsidR="00A17875" w:rsidRPr="00054F33">
        <w:rPr>
          <w:iCs/>
        </w:rPr>
        <w:t xml:space="preserve">the majority of patients with Type III SMA </w:t>
      </w:r>
      <w:r w:rsidR="00276501" w:rsidRPr="00054F33">
        <w:rPr>
          <w:iCs/>
        </w:rPr>
        <w:t>would achieve and retain the motor milestone of ability to walk.</w:t>
      </w:r>
      <w:r w:rsidR="00A750D0" w:rsidRPr="00054F33">
        <w:rPr>
          <w:iCs/>
        </w:rPr>
        <w:t xml:space="preserve"> The ESC considered that the </w:t>
      </w:r>
      <w:r w:rsidR="00164211">
        <w:rPr>
          <w:iCs/>
        </w:rPr>
        <w:t>magnitude of</w:t>
      </w:r>
      <w:r w:rsidR="00164211" w:rsidRPr="00054F33">
        <w:rPr>
          <w:iCs/>
        </w:rPr>
        <w:t xml:space="preserve"> </w:t>
      </w:r>
      <w:r w:rsidR="00A750D0" w:rsidRPr="00054F33">
        <w:rPr>
          <w:iCs/>
        </w:rPr>
        <w:t>benefit of pre</w:t>
      </w:r>
      <w:r w:rsidR="0059728B" w:rsidRPr="00054F33">
        <w:rPr>
          <w:iCs/>
        </w:rPr>
        <w:noBreakHyphen/>
      </w:r>
      <w:r w:rsidR="00A750D0" w:rsidRPr="00054F33">
        <w:rPr>
          <w:iCs/>
        </w:rPr>
        <w:t xml:space="preserve">symptomatic treatment </w:t>
      </w:r>
      <w:r w:rsidR="00B40222" w:rsidRPr="00054F33">
        <w:rPr>
          <w:iCs/>
        </w:rPr>
        <w:t xml:space="preserve">was particularly uncertain </w:t>
      </w:r>
      <w:r w:rsidR="00A750D0" w:rsidRPr="00054F33">
        <w:rPr>
          <w:iCs/>
        </w:rPr>
        <w:t xml:space="preserve">for </w:t>
      </w:r>
      <w:r w:rsidR="00804A1D" w:rsidRPr="00054F33">
        <w:rPr>
          <w:iCs/>
        </w:rPr>
        <w:t xml:space="preserve">Type III SMA </w:t>
      </w:r>
      <w:r w:rsidR="00A750D0" w:rsidRPr="00054F33">
        <w:rPr>
          <w:iCs/>
        </w:rPr>
        <w:t xml:space="preserve">patients </w:t>
      </w:r>
      <w:r w:rsidR="00B40222" w:rsidRPr="00054F33">
        <w:rPr>
          <w:iCs/>
        </w:rPr>
        <w:t>noting that a substantial proportion of patient</w:t>
      </w:r>
      <w:r w:rsidR="0059728B" w:rsidRPr="00054F33">
        <w:rPr>
          <w:iCs/>
        </w:rPr>
        <w:t>s</w:t>
      </w:r>
      <w:r w:rsidR="00B40222" w:rsidRPr="00054F33">
        <w:rPr>
          <w:iCs/>
        </w:rPr>
        <w:t xml:space="preserve"> with Type III SMA have 3 SMN2 copies (see Figure 1</w:t>
      </w:r>
      <w:r w:rsidR="00D61D80" w:rsidRPr="00054F33">
        <w:rPr>
          <w:iCs/>
        </w:rPr>
        <w:t>).</w:t>
      </w:r>
      <w:bookmarkEnd w:id="39"/>
      <w:r w:rsidR="00D61D80">
        <w:rPr>
          <w:i/>
        </w:rPr>
        <w:t xml:space="preserve"> </w:t>
      </w:r>
    </w:p>
    <w:p w14:paraId="7C7D9541" w14:textId="77432B98" w:rsidR="00787B2D" w:rsidRPr="00AE3438" w:rsidRDefault="00787B2D" w:rsidP="00E32CAA">
      <w:pPr>
        <w:pStyle w:val="3-BodyText"/>
        <w:rPr>
          <w:iCs/>
        </w:rPr>
      </w:pPr>
      <w:r w:rsidRPr="00AE3438">
        <w:rPr>
          <w:iCs/>
        </w:rPr>
        <w:t>Symptomatic studies of ONA were limited to patients with SMA Type I (1-2 copies of SMN2). In these studies</w:t>
      </w:r>
      <w:r w:rsidR="008134CF" w:rsidRPr="00AE3438">
        <w:rPr>
          <w:iCs/>
        </w:rPr>
        <w:t>,</w:t>
      </w:r>
      <w:r w:rsidRPr="00AE3438">
        <w:rPr>
          <w:iCs/>
        </w:rPr>
        <w:t xml:space="preserve"> few patients achieved the ability to stand or walk (3-16.7%), but more patients were able to sit (42-75%). For Type I patients treated with nusinersen, few achieved the ability to sit (8% in ENDEAR), the ability to stand (0-14.3%) and ability to walk (5.3-20%). Interim analysis of risdiplam from FIREFISH which also enrolled Type I SMA patients, showed 29% of patients achieved the ability to sit unsupported at the 12-month assessment (age range 14.5-18.9 months) but none achieved the ability to stand or walk.</w:t>
      </w:r>
    </w:p>
    <w:p w14:paraId="78D3EC00" w14:textId="1D951DC3" w:rsidR="00787B2D" w:rsidRPr="00AE3438" w:rsidRDefault="0053290B" w:rsidP="00E32CAA">
      <w:pPr>
        <w:pStyle w:val="3-BodyText"/>
        <w:rPr>
          <w:iCs/>
        </w:rPr>
      </w:pPr>
      <w:r w:rsidRPr="00054F33">
        <w:rPr>
          <w:iCs/>
        </w:rPr>
        <w:t>The ESC noted that l</w:t>
      </w:r>
      <w:r w:rsidR="00787B2D" w:rsidRPr="00054F33">
        <w:rPr>
          <w:iCs/>
        </w:rPr>
        <w:t xml:space="preserve">ong-term data </w:t>
      </w:r>
      <w:r w:rsidR="0024131C" w:rsidRPr="00054F33">
        <w:rPr>
          <w:iCs/>
        </w:rPr>
        <w:t>w</w:t>
      </w:r>
      <w:r w:rsidR="0024131C">
        <w:rPr>
          <w:iCs/>
        </w:rPr>
        <w:t>ere</w:t>
      </w:r>
      <w:r w:rsidR="0024131C" w:rsidRPr="00054F33">
        <w:rPr>
          <w:iCs/>
        </w:rPr>
        <w:t xml:space="preserve"> </w:t>
      </w:r>
      <w:r w:rsidR="00787B2D" w:rsidRPr="00054F33">
        <w:rPr>
          <w:iCs/>
        </w:rPr>
        <w:t>very limited for patients with Type I SMA</w:t>
      </w:r>
      <w:r w:rsidR="00234A6E" w:rsidRPr="00054F33">
        <w:rPr>
          <w:iCs/>
        </w:rPr>
        <w:t xml:space="preserve"> (START-LTFU</w:t>
      </w:r>
      <w:r w:rsidR="007D33D1" w:rsidRPr="00054F33">
        <w:rPr>
          <w:iCs/>
        </w:rPr>
        <w:t xml:space="preserve"> (n=10)</w:t>
      </w:r>
      <w:r w:rsidR="00234A6E" w:rsidRPr="00054F33">
        <w:rPr>
          <w:iCs/>
        </w:rPr>
        <w:t xml:space="preserve"> includes </w:t>
      </w:r>
      <w:r w:rsidR="007D33D1" w:rsidRPr="00054F33">
        <w:rPr>
          <w:iCs/>
        </w:rPr>
        <w:t>data for patients up to 6.6 years since dosing with ONA)</w:t>
      </w:r>
      <w:r w:rsidR="007D33D1" w:rsidRPr="00AE3438">
        <w:rPr>
          <w:iCs/>
        </w:rPr>
        <w:t xml:space="preserve"> </w:t>
      </w:r>
      <w:r w:rsidR="00787B2D" w:rsidRPr="00AE3438">
        <w:rPr>
          <w:iCs/>
        </w:rPr>
        <w:t xml:space="preserve">and </w:t>
      </w:r>
      <w:r w:rsidR="0024131C" w:rsidRPr="00AE3438">
        <w:rPr>
          <w:iCs/>
        </w:rPr>
        <w:t>w</w:t>
      </w:r>
      <w:r w:rsidR="0024131C">
        <w:rPr>
          <w:iCs/>
        </w:rPr>
        <w:t>ere</w:t>
      </w:r>
      <w:r w:rsidR="0024131C" w:rsidRPr="00AE3438">
        <w:rPr>
          <w:iCs/>
        </w:rPr>
        <w:t xml:space="preserve"> </w:t>
      </w:r>
      <w:r w:rsidR="00787B2D" w:rsidRPr="00AE3438">
        <w:rPr>
          <w:iCs/>
        </w:rPr>
        <w:t>not available for pre-symptomatic studies or symptomatic studies involving patients with SMA Type II or III.</w:t>
      </w:r>
    </w:p>
    <w:p w14:paraId="7511B2E9" w14:textId="578DFE6F" w:rsidR="00787B2D" w:rsidRPr="00AE3438" w:rsidRDefault="00787B2D" w:rsidP="00E32CAA">
      <w:pPr>
        <w:pStyle w:val="3-BodyText"/>
        <w:rPr>
          <w:iCs/>
        </w:rPr>
      </w:pPr>
      <w:r w:rsidRPr="00AE3438">
        <w:rPr>
          <w:iCs/>
        </w:rPr>
        <w:t>Longer term follow-up from START (Type I, 2 SMN2 copies), showed that all patients (10/10) from Cohort 2 of START who received the therapeutic dose of ONA have maintained all previously attained milestones with 3 patients gaining new milestones (‘stands with assistance’ from previous sit alone for either ≥15 or 30 sec), however for two patients this may be due to concomitant nusinersen or risdiplam use. Use of concomitant nusinersen/risdiplam was high in START-LTFU, with 8/13 (61.5%) and 5/10 (50%) patients from the overall and the START Cohort 2 populations having received concomitant therapy respectively, with the majority to have started post START but prior to enrolment in START-LTFU</w:t>
      </w:r>
      <w:r w:rsidR="00752F26" w:rsidRPr="00AE3438">
        <w:rPr>
          <w:iCs/>
        </w:rPr>
        <w:t>. T</w:t>
      </w:r>
      <w:r w:rsidRPr="00AE3438">
        <w:rPr>
          <w:iCs/>
        </w:rPr>
        <w:t>herapy was initiated independent of the sponsor in each case.</w:t>
      </w:r>
    </w:p>
    <w:p w14:paraId="430978AD" w14:textId="2B8529BE" w:rsidR="00787B2D" w:rsidRDefault="00787B2D" w:rsidP="00E32CAA">
      <w:pPr>
        <w:pStyle w:val="3-BodyText"/>
        <w:rPr>
          <w:iCs/>
        </w:rPr>
      </w:pPr>
      <w:r w:rsidRPr="00AE3438">
        <w:rPr>
          <w:iCs/>
        </w:rPr>
        <w:t>Long</w:t>
      </w:r>
      <w:r w:rsidR="008134CF" w:rsidRPr="00AE3438">
        <w:rPr>
          <w:iCs/>
        </w:rPr>
        <w:t>-</w:t>
      </w:r>
      <w:r w:rsidRPr="00AE3438">
        <w:rPr>
          <w:iCs/>
        </w:rPr>
        <w:t>term data from SHINE (interim analysis), showed that for patients who began nusinersen in ENDEAR (Type I, 2 SMN2 copies) and continued in SHINE, additional improvements in total and specific HINE-2 motor milestones, such as head control and sitting alone were observed. In the patients who received sham control in ENDEAR and began nusinersen in SHINE, new improvements in total HINE-2 motor milestones were also observed. The highest milestone attained in this group at 3.4 years after first dose of nusinersen included 1/58 (2%) that could walk alone, 4/58 (7%) that could walk with assistance, 1/58 (2%) that could stand alone, 11/58 (19%) that could stand with assistance and 37/58 (64%) that could sit without support.</w:t>
      </w:r>
    </w:p>
    <w:p w14:paraId="2E9F28F4" w14:textId="77777777" w:rsidR="009A65A9" w:rsidRPr="00AE3438" w:rsidRDefault="009A65A9" w:rsidP="009A65A9">
      <w:pPr>
        <w:pStyle w:val="3-BodyText"/>
        <w:numPr>
          <w:ilvl w:val="0"/>
          <w:numId w:val="0"/>
        </w:numPr>
        <w:ind w:left="720"/>
        <w:rPr>
          <w:iCs/>
        </w:rPr>
      </w:pPr>
    </w:p>
    <w:p w14:paraId="74564E7E" w14:textId="069B2154" w:rsidR="00B60C21" w:rsidRPr="00AE3438" w:rsidRDefault="00B60C21" w:rsidP="00B60C21">
      <w:pPr>
        <w:pStyle w:val="3-BodyText"/>
        <w:numPr>
          <w:ilvl w:val="0"/>
          <w:numId w:val="0"/>
        </w:numPr>
        <w:ind w:left="720" w:hanging="720"/>
        <w:rPr>
          <w:u w:val="single"/>
        </w:rPr>
      </w:pPr>
      <w:r w:rsidRPr="00AE3438">
        <w:rPr>
          <w:u w:val="single"/>
        </w:rPr>
        <w:lastRenderedPageBreak/>
        <w:t>Overall Survival (OS) and Event Free Survival (EFS, survival without permanent ventilation)</w:t>
      </w:r>
    </w:p>
    <w:p w14:paraId="7D84CAFB" w14:textId="1BAAD3F4" w:rsidR="004E2AD7" w:rsidRPr="00AE3438" w:rsidRDefault="004E2AD7" w:rsidP="004E2AD7">
      <w:pPr>
        <w:pStyle w:val="3-BodyText"/>
        <w:numPr>
          <w:ilvl w:val="0"/>
          <w:numId w:val="0"/>
        </w:numPr>
        <w:rPr>
          <w:b/>
        </w:rPr>
      </w:pPr>
      <w:r w:rsidRPr="00AE3438">
        <w:rPr>
          <w:b/>
        </w:rPr>
        <w:t>Pre-symptomatic</w:t>
      </w:r>
    </w:p>
    <w:p w14:paraId="3744D5CA" w14:textId="40E9E869" w:rsidR="00B60C21" w:rsidRPr="00AE3438" w:rsidRDefault="00B60C21" w:rsidP="004E2AD7">
      <w:pPr>
        <w:pStyle w:val="3-BodyText"/>
        <w:rPr>
          <w:iCs/>
        </w:rPr>
      </w:pPr>
      <w:r w:rsidRPr="00AE3438">
        <w:rPr>
          <w:iCs/>
        </w:rPr>
        <w:t>In SPR1NT, all 15 (100%) patients with 3 copies of SMN2 receiving pre-symptomatic treatment of ONA remained alive and free from permanent ventilation at 24 months of age. At the interim data cut (23 May 2021) those patients (n=8) that enrolled in the long</w:t>
      </w:r>
      <w:r w:rsidR="008134CF" w:rsidRPr="00AE3438">
        <w:rPr>
          <w:iCs/>
        </w:rPr>
        <w:t>-</w:t>
      </w:r>
      <w:r w:rsidRPr="00AE3438">
        <w:rPr>
          <w:iCs/>
        </w:rPr>
        <w:t>term extension study LT-002 also remained alive and free of permanent ventilation (mean age 29.6 months).</w:t>
      </w:r>
    </w:p>
    <w:p w14:paraId="24FAC118" w14:textId="74470367" w:rsidR="004E2AD7" w:rsidRPr="00AE3438" w:rsidRDefault="004E2AD7" w:rsidP="00552F60">
      <w:pPr>
        <w:pStyle w:val="3-BodyText"/>
        <w:keepNext/>
        <w:keepLines/>
        <w:numPr>
          <w:ilvl w:val="0"/>
          <w:numId w:val="0"/>
        </w:numPr>
        <w:rPr>
          <w:b/>
          <w:i/>
        </w:rPr>
      </w:pPr>
      <w:r w:rsidRPr="00AE3438">
        <w:rPr>
          <w:b/>
          <w:i/>
        </w:rPr>
        <w:t>Symptomatic</w:t>
      </w:r>
    </w:p>
    <w:p w14:paraId="5D9898B4" w14:textId="7B42C0AC" w:rsidR="00552F60" w:rsidRPr="009A65A9" w:rsidRDefault="00B60C21" w:rsidP="009A65A9">
      <w:pPr>
        <w:pStyle w:val="3-BodyText"/>
        <w:keepNext/>
        <w:keepLines/>
        <w:rPr>
          <w:iCs/>
        </w:rPr>
      </w:pPr>
      <w:r w:rsidRPr="00AE3438">
        <w:rPr>
          <w:iCs/>
        </w:rPr>
        <w:t xml:space="preserve">In the symptomatic studies, EFS outcomes </w:t>
      </w:r>
      <w:r w:rsidR="00552F60" w:rsidRPr="00AE3438">
        <w:rPr>
          <w:iCs/>
        </w:rPr>
        <w:t>w</w:t>
      </w:r>
      <w:r w:rsidR="00552F60">
        <w:rPr>
          <w:iCs/>
        </w:rPr>
        <w:t>ere</w:t>
      </w:r>
      <w:r w:rsidR="00552F60" w:rsidRPr="00AE3438">
        <w:rPr>
          <w:iCs/>
        </w:rPr>
        <w:t xml:space="preserve"> </w:t>
      </w:r>
      <w:r w:rsidRPr="00AE3438">
        <w:rPr>
          <w:iCs/>
        </w:rPr>
        <w:t>only reported for studies in SMA Type I patients</w:t>
      </w:r>
      <w:r w:rsidR="00752F26" w:rsidRPr="00AE3438">
        <w:rPr>
          <w:iCs/>
        </w:rPr>
        <w:t>, w</w:t>
      </w:r>
      <w:r w:rsidRPr="00AE3438">
        <w:rPr>
          <w:iCs/>
        </w:rPr>
        <w:t xml:space="preserve">here the reported survival was generally higher in the ONA studies (&gt;90%) versus those reported in the nusinersen and risdiplam studies (55%-85%). As noted </w:t>
      </w:r>
      <w:r w:rsidR="00752F26" w:rsidRPr="00AE3438">
        <w:rPr>
          <w:iCs/>
        </w:rPr>
        <w:t>at</w:t>
      </w:r>
      <w:r w:rsidRPr="00AE3438">
        <w:rPr>
          <w:iCs/>
        </w:rPr>
        <w:t xml:space="preserve"> the November 2020 PBAC meeting, the results were difficult to compare due to important differences across the studies and the high likelihood of bias due to evidence coming from small single arm studies for ONA (paragraph 6.21, onasemnogene abeparvovec PSD</w:t>
      </w:r>
      <w:r w:rsidR="009D176E" w:rsidRPr="00AE3438">
        <w:rPr>
          <w:iCs/>
        </w:rPr>
        <w:t>,</w:t>
      </w:r>
      <w:r w:rsidRPr="00AE3438">
        <w:rPr>
          <w:iCs/>
        </w:rPr>
        <w:t xml:space="preserve"> November 2020 PBAC meeting).</w:t>
      </w:r>
    </w:p>
    <w:p w14:paraId="1452C351" w14:textId="0D19F1B0" w:rsidR="00B60939" w:rsidRPr="00AE3438" w:rsidRDefault="00B60939" w:rsidP="00D86231">
      <w:pPr>
        <w:pStyle w:val="4-SubsectionHeading"/>
      </w:pPr>
      <w:bookmarkStart w:id="40" w:name="_Toc22897642"/>
      <w:bookmarkStart w:id="41" w:name="_Toc114054854"/>
      <w:r w:rsidRPr="00AE3438">
        <w:t>Comparative harms</w:t>
      </w:r>
      <w:bookmarkEnd w:id="40"/>
      <w:bookmarkEnd w:id="41"/>
    </w:p>
    <w:p w14:paraId="0A1CF7DA" w14:textId="288CA5F3" w:rsidR="009174B5" w:rsidRPr="00AE3438" w:rsidRDefault="009174B5" w:rsidP="00577E88">
      <w:pPr>
        <w:pStyle w:val="3-BodyText"/>
      </w:pPr>
      <w:r w:rsidRPr="00AE3438">
        <w:t>Limited adverse events (AEs) data were available from the ongoing studies.</w:t>
      </w:r>
      <w:r w:rsidR="00577E88" w:rsidRPr="00AE3438">
        <w:t xml:space="preserve"> </w:t>
      </w:r>
      <w:r w:rsidRPr="00AE3438">
        <w:t xml:space="preserve">In SPR1NT, all 15 (100%) patients with 3 copies of </w:t>
      </w:r>
      <w:r w:rsidRPr="00AE3438">
        <w:rPr>
          <w:i/>
        </w:rPr>
        <w:t>SMN2</w:t>
      </w:r>
      <w:r w:rsidRPr="00AE3438">
        <w:t xml:space="preserve"> experienced at least one AE with 3 (20%) patients reporting serious AEs up to 24 months of age (i.e.</w:t>
      </w:r>
      <w:r w:rsidR="008D42D9" w:rsidRPr="00AE3438">
        <w:t>,</w:t>
      </w:r>
      <w:r w:rsidRPr="00AE3438">
        <w:t xml:space="preserve"> increased alanine aminotransferase, ear infection and rash). The most commonly reported AEs were pyrexia, upper respiratory tract infection, cough and nasopharyngitis. Most AEs were moderate in severity. There were no deaths reported during the study.</w:t>
      </w:r>
      <w:r w:rsidR="00C816BE" w:rsidRPr="00AE3438">
        <w:t xml:space="preserve"> Treatment-related AEs were reported for </w:t>
      </w:r>
      <w:r w:rsidRPr="00AE3438">
        <w:t>8 (53.3%</w:t>
      </w:r>
      <w:r w:rsidR="00064F22" w:rsidRPr="00AE3438">
        <w:t>),</w:t>
      </w:r>
      <w:r w:rsidRPr="00AE3438">
        <w:t xml:space="preserve"> and the most frequent were increase in aspartate aminotransferase and amino alanine aminotransferase. AEs of special interest were related to hepatotoxicity, thrombocytopenia, cardiac AEs, thrombotic microangiopathy and sensory abnormalities suggestive of ganglionitis, and most were graded mild to moderate in severity.</w:t>
      </w:r>
    </w:p>
    <w:p w14:paraId="243D8825" w14:textId="5E725DBB" w:rsidR="009174B5" w:rsidRPr="00AE3438" w:rsidRDefault="00C9142C" w:rsidP="009174B5">
      <w:pPr>
        <w:pStyle w:val="3-BodyText"/>
        <w:rPr>
          <w:iCs/>
        </w:rPr>
      </w:pPr>
      <w:r w:rsidRPr="00AE3438">
        <w:fldChar w:fldCharType="begin"/>
      </w:r>
      <w:r w:rsidRPr="00AE3438">
        <w:instrText xml:space="preserve"> REF _Ref113303570 \h </w:instrText>
      </w:r>
      <w:r w:rsidRPr="00AE3438">
        <w:fldChar w:fldCharType="separate"/>
      </w:r>
      <w:r w:rsidR="008E4E26" w:rsidRPr="00AE3438">
        <w:t xml:space="preserve">Table </w:t>
      </w:r>
      <w:r w:rsidR="008E4E26">
        <w:rPr>
          <w:noProof/>
        </w:rPr>
        <w:t>8</w:t>
      </w:r>
      <w:r w:rsidRPr="00AE3438">
        <w:fldChar w:fldCharType="end"/>
      </w:r>
      <w:r w:rsidR="009174B5" w:rsidRPr="00AE3438">
        <w:t xml:space="preserve"> presents a comparison of the common AEs reported in SPR1NT and NURTURE for children with 3 copies of SMN2 who received pre-symptomatic treatment with ONA and nusinersen, respectively. </w:t>
      </w:r>
      <w:r w:rsidR="009174B5" w:rsidRPr="00AE3438">
        <w:rPr>
          <w:iCs/>
        </w:rPr>
        <w:t>In NURTURE, 2/10 (20%) patients had at least one event that was determined by investigators as possibly or definitely related to the lumbar puncture procedure. In RAINBOWFISH, the preliminary safety data showed no treatment-related serious AEs in pre-symptomatic infants treated with risdiplam for up to 18.1 months.</w:t>
      </w:r>
    </w:p>
    <w:p w14:paraId="06BAF0BB" w14:textId="1B572CC0" w:rsidR="009174B5" w:rsidRPr="00AE3438" w:rsidRDefault="00C9142C" w:rsidP="002847C6">
      <w:pPr>
        <w:pStyle w:val="Caption"/>
        <w:keepLines w:val="0"/>
        <w:rPr>
          <w:szCs w:val="20"/>
        </w:rPr>
      </w:pPr>
      <w:bookmarkStart w:id="42" w:name="_Ref113303570"/>
      <w:r w:rsidRPr="00AE3438">
        <w:lastRenderedPageBreak/>
        <w:t xml:space="preserve">Table </w:t>
      </w:r>
      <w:r w:rsidR="008E4E26">
        <w:fldChar w:fldCharType="begin"/>
      </w:r>
      <w:r w:rsidR="008E4E26">
        <w:instrText xml:space="preserve"> SEQ Table \* ARABIC </w:instrText>
      </w:r>
      <w:r w:rsidR="008E4E26">
        <w:fldChar w:fldCharType="separate"/>
      </w:r>
      <w:r w:rsidR="008E4E26">
        <w:rPr>
          <w:noProof/>
        </w:rPr>
        <w:t>8</w:t>
      </w:r>
      <w:r w:rsidR="008E4E26">
        <w:rPr>
          <w:noProof/>
        </w:rPr>
        <w:fldChar w:fldCharType="end"/>
      </w:r>
      <w:bookmarkEnd w:id="42"/>
      <w:r w:rsidR="009174B5" w:rsidRPr="00AE3438">
        <w:rPr>
          <w:szCs w:val="20"/>
        </w:rPr>
        <w:t>: Common AEs in SPR1NT and NURTURE (patients with 3 copies of SMN2)</w:t>
      </w:r>
    </w:p>
    <w:tbl>
      <w:tblPr>
        <w:tblStyle w:val="TableGrid"/>
        <w:tblW w:w="0" w:type="auto"/>
        <w:tblCellMar>
          <w:left w:w="28" w:type="dxa"/>
          <w:right w:w="28" w:type="dxa"/>
        </w:tblCellMar>
        <w:tblLook w:val="04A0" w:firstRow="1" w:lastRow="0" w:firstColumn="1" w:lastColumn="0" w:noHBand="0" w:noVBand="1"/>
      </w:tblPr>
      <w:tblGrid>
        <w:gridCol w:w="2689"/>
        <w:gridCol w:w="2109"/>
        <w:gridCol w:w="2109"/>
        <w:gridCol w:w="2110"/>
      </w:tblGrid>
      <w:tr w:rsidR="009174B5" w:rsidRPr="00AE3438" w14:paraId="12B8241F" w14:textId="77777777" w:rsidTr="00E32CAA">
        <w:tc>
          <w:tcPr>
            <w:tcW w:w="2689" w:type="dxa"/>
          </w:tcPr>
          <w:p w14:paraId="4CB1E9B5" w14:textId="77777777" w:rsidR="009174B5" w:rsidRPr="00AE3438" w:rsidRDefault="009174B5" w:rsidP="002847C6">
            <w:pPr>
              <w:keepNext/>
              <w:rPr>
                <w:rFonts w:ascii="Arial Narrow" w:hAnsi="Arial Narrow"/>
                <w:b/>
                <w:sz w:val="20"/>
                <w:szCs w:val="20"/>
              </w:rPr>
            </w:pPr>
            <w:r w:rsidRPr="00AE3438">
              <w:rPr>
                <w:rFonts w:ascii="Arial Narrow" w:hAnsi="Arial Narrow"/>
                <w:b/>
                <w:sz w:val="20"/>
                <w:szCs w:val="20"/>
              </w:rPr>
              <w:t>AEs, n/N (%)</w:t>
            </w:r>
          </w:p>
        </w:tc>
        <w:tc>
          <w:tcPr>
            <w:tcW w:w="2109" w:type="dxa"/>
            <w:shd w:val="clear" w:color="auto" w:fill="EAF1DD" w:themeFill="accent3" w:themeFillTint="33"/>
            <w:vAlign w:val="center"/>
          </w:tcPr>
          <w:p w14:paraId="605FB24C" w14:textId="77777777" w:rsidR="009174B5" w:rsidRPr="00AE3438" w:rsidRDefault="009174B5" w:rsidP="002847C6">
            <w:pPr>
              <w:keepNext/>
              <w:jc w:val="center"/>
              <w:rPr>
                <w:rFonts w:ascii="Arial Narrow" w:hAnsi="Arial Narrow"/>
                <w:b/>
                <w:sz w:val="20"/>
                <w:szCs w:val="20"/>
              </w:rPr>
            </w:pPr>
            <w:r w:rsidRPr="00AE3438">
              <w:rPr>
                <w:rFonts w:ascii="Arial Narrow" w:hAnsi="Arial Narrow"/>
                <w:b/>
                <w:sz w:val="20"/>
                <w:szCs w:val="20"/>
              </w:rPr>
              <w:t xml:space="preserve">SPR1NT </w:t>
            </w:r>
          </w:p>
          <w:p w14:paraId="5247FCE1" w14:textId="77777777" w:rsidR="009174B5" w:rsidRPr="00AE3438" w:rsidRDefault="009174B5" w:rsidP="002847C6">
            <w:pPr>
              <w:keepNext/>
              <w:jc w:val="center"/>
              <w:rPr>
                <w:rFonts w:ascii="Arial Narrow" w:hAnsi="Arial Narrow"/>
                <w:b/>
                <w:sz w:val="20"/>
                <w:szCs w:val="20"/>
              </w:rPr>
            </w:pPr>
            <w:r w:rsidRPr="00AE3438">
              <w:rPr>
                <w:rFonts w:ascii="Arial Narrow" w:hAnsi="Arial Narrow"/>
                <w:b/>
                <w:sz w:val="20"/>
                <w:szCs w:val="20"/>
              </w:rPr>
              <w:t>ONA (n=15)</w:t>
            </w:r>
          </w:p>
        </w:tc>
        <w:tc>
          <w:tcPr>
            <w:tcW w:w="2109" w:type="dxa"/>
            <w:shd w:val="clear" w:color="auto" w:fill="EAF1DD" w:themeFill="accent3" w:themeFillTint="33"/>
            <w:vAlign w:val="center"/>
          </w:tcPr>
          <w:p w14:paraId="2EBD1377" w14:textId="77777777" w:rsidR="009174B5" w:rsidRPr="00AE3438" w:rsidRDefault="009174B5" w:rsidP="002847C6">
            <w:pPr>
              <w:keepNext/>
              <w:jc w:val="center"/>
              <w:rPr>
                <w:rFonts w:ascii="Arial Narrow" w:hAnsi="Arial Narrow"/>
                <w:b/>
                <w:sz w:val="20"/>
                <w:szCs w:val="20"/>
              </w:rPr>
            </w:pPr>
            <w:r w:rsidRPr="00AE3438">
              <w:rPr>
                <w:rFonts w:ascii="Arial Narrow" w:hAnsi="Arial Narrow"/>
                <w:b/>
                <w:sz w:val="20"/>
                <w:szCs w:val="20"/>
              </w:rPr>
              <w:t xml:space="preserve">NURTURE </w:t>
            </w:r>
          </w:p>
          <w:p w14:paraId="26A079E6" w14:textId="77777777" w:rsidR="009174B5" w:rsidRPr="00AE3438" w:rsidRDefault="009174B5" w:rsidP="002847C6">
            <w:pPr>
              <w:keepNext/>
              <w:jc w:val="center"/>
              <w:rPr>
                <w:rFonts w:ascii="Arial Narrow" w:hAnsi="Arial Narrow"/>
                <w:b/>
                <w:sz w:val="20"/>
                <w:szCs w:val="20"/>
              </w:rPr>
            </w:pPr>
            <w:r w:rsidRPr="00AE3438">
              <w:rPr>
                <w:rFonts w:ascii="Arial Narrow" w:hAnsi="Arial Narrow"/>
                <w:b/>
                <w:sz w:val="20"/>
                <w:szCs w:val="20"/>
              </w:rPr>
              <w:t>NUSI (n=10)</w:t>
            </w:r>
          </w:p>
        </w:tc>
        <w:tc>
          <w:tcPr>
            <w:tcW w:w="2110" w:type="dxa"/>
            <w:vAlign w:val="center"/>
          </w:tcPr>
          <w:p w14:paraId="757132D6" w14:textId="77777777" w:rsidR="009174B5" w:rsidRPr="00AE3438" w:rsidRDefault="009174B5" w:rsidP="002847C6">
            <w:pPr>
              <w:keepNext/>
              <w:jc w:val="center"/>
              <w:rPr>
                <w:rFonts w:ascii="Arial Narrow" w:hAnsi="Arial Narrow"/>
                <w:b/>
                <w:sz w:val="20"/>
                <w:szCs w:val="20"/>
              </w:rPr>
            </w:pPr>
            <w:r w:rsidRPr="00AE3438">
              <w:rPr>
                <w:rFonts w:ascii="Arial Narrow" w:hAnsi="Arial Narrow"/>
                <w:b/>
                <w:sz w:val="20"/>
                <w:szCs w:val="20"/>
              </w:rPr>
              <w:t>RR (95%CI)</w:t>
            </w:r>
          </w:p>
        </w:tc>
      </w:tr>
      <w:tr w:rsidR="009174B5" w:rsidRPr="00AE3438" w14:paraId="4606E72A" w14:textId="77777777" w:rsidTr="00E32CAA">
        <w:tc>
          <w:tcPr>
            <w:tcW w:w="2689" w:type="dxa"/>
            <w:vAlign w:val="center"/>
          </w:tcPr>
          <w:p w14:paraId="3D4E6DC9" w14:textId="77777777" w:rsidR="009174B5" w:rsidRPr="00AE3438" w:rsidRDefault="009174B5" w:rsidP="002847C6">
            <w:pPr>
              <w:keepNext/>
              <w:jc w:val="left"/>
              <w:rPr>
                <w:rFonts w:ascii="Arial Narrow" w:hAnsi="Arial Narrow"/>
                <w:sz w:val="20"/>
                <w:szCs w:val="20"/>
              </w:rPr>
            </w:pPr>
            <w:r w:rsidRPr="00AE3438">
              <w:rPr>
                <w:rFonts w:ascii="Arial Narrow" w:hAnsi="Arial Narrow"/>
                <w:sz w:val="20"/>
                <w:szCs w:val="20"/>
              </w:rPr>
              <w:t>AE possibly or definitely related to lumbar puncture procedure**</w:t>
            </w:r>
          </w:p>
        </w:tc>
        <w:tc>
          <w:tcPr>
            <w:tcW w:w="2109" w:type="dxa"/>
            <w:shd w:val="clear" w:color="auto" w:fill="EAF1DD" w:themeFill="accent3" w:themeFillTint="33"/>
            <w:vAlign w:val="center"/>
          </w:tcPr>
          <w:p w14:paraId="04D69E86"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0</w:t>
            </w:r>
          </w:p>
        </w:tc>
        <w:tc>
          <w:tcPr>
            <w:tcW w:w="2109" w:type="dxa"/>
            <w:shd w:val="clear" w:color="auto" w:fill="EAF1DD" w:themeFill="accent3" w:themeFillTint="33"/>
            <w:vAlign w:val="center"/>
          </w:tcPr>
          <w:p w14:paraId="388C40BD" w14:textId="4C721E41"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2 (20)</w:t>
            </w:r>
          </w:p>
        </w:tc>
        <w:tc>
          <w:tcPr>
            <w:tcW w:w="2110" w:type="dxa"/>
            <w:vAlign w:val="center"/>
          </w:tcPr>
          <w:p w14:paraId="779C6621"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3.0 (0.3, 29.0)</w:t>
            </w:r>
          </w:p>
        </w:tc>
      </w:tr>
      <w:tr w:rsidR="009174B5" w:rsidRPr="00AE3438" w14:paraId="797EAAFC" w14:textId="77777777" w:rsidTr="00E32CAA">
        <w:tc>
          <w:tcPr>
            <w:tcW w:w="2689" w:type="dxa"/>
            <w:vAlign w:val="center"/>
          </w:tcPr>
          <w:p w14:paraId="11DF14BF" w14:textId="77777777" w:rsidR="009174B5" w:rsidRPr="00AE3438" w:rsidRDefault="009174B5" w:rsidP="002847C6">
            <w:pPr>
              <w:keepNext/>
              <w:jc w:val="left"/>
              <w:rPr>
                <w:rFonts w:ascii="Arial Narrow" w:hAnsi="Arial Narrow"/>
                <w:sz w:val="20"/>
                <w:szCs w:val="20"/>
              </w:rPr>
            </w:pPr>
            <w:r w:rsidRPr="00AE3438">
              <w:rPr>
                <w:rFonts w:ascii="Arial Narrow" w:hAnsi="Arial Narrow"/>
                <w:sz w:val="20"/>
                <w:szCs w:val="20"/>
              </w:rPr>
              <w:t>Pyrexia</w:t>
            </w:r>
          </w:p>
        </w:tc>
        <w:tc>
          <w:tcPr>
            <w:tcW w:w="2109" w:type="dxa"/>
            <w:shd w:val="clear" w:color="auto" w:fill="EAF1DD" w:themeFill="accent3" w:themeFillTint="33"/>
            <w:vAlign w:val="center"/>
          </w:tcPr>
          <w:p w14:paraId="362B98BD"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11 (73.3)</w:t>
            </w:r>
          </w:p>
        </w:tc>
        <w:tc>
          <w:tcPr>
            <w:tcW w:w="2109" w:type="dxa"/>
            <w:shd w:val="clear" w:color="auto" w:fill="EAF1DD" w:themeFill="accent3" w:themeFillTint="33"/>
            <w:vAlign w:val="center"/>
          </w:tcPr>
          <w:p w14:paraId="418F4AB9"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7 (70)</w:t>
            </w:r>
          </w:p>
        </w:tc>
        <w:tc>
          <w:tcPr>
            <w:tcW w:w="2110" w:type="dxa"/>
            <w:vAlign w:val="center"/>
          </w:tcPr>
          <w:p w14:paraId="313280A9"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1.0 (0.6, 1.6)</w:t>
            </w:r>
          </w:p>
        </w:tc>
      </w:tr>
      <w:tr w:rsidR="009174B5" w:rsidRPr="00AE3438" w14:paraId="5DA68E5B" w14:textId="77777777" w:rsidTr="00E32CAA">
        <w:tc>
          <w:tcPr>
            <w:tcW w:w="2689" w:type="dxa"/>
            <w:vAlign w:val="center"/>
          </w:tcPr>
          <w:p w14:paraId="0B726C5A" w14:textId="77777777" w:rsidR="009174B5" w:rsidRPr="00AE3438" w:rsidRDefault="009174B5" w:rsidP="002847C6">
            <w:pPr>
              <w:keepNext/>
              <w:jc w:val="left"/>
              <w:rPr>
                <w:rFonts w:ascii="Arial Narrow" w:hAnsi="Arial Narrow"/>
                <w:sz w:val="20"/>
                <w:szCs w:val="20"/>
              </w:rPr>
            </w:pPr>
            <w:r w:rsidRPr="00AE3438">
              <w:rPr>
                <w:rFonts w:ascii="Arial Narrow" w:hAnsi="Arial Narrow"/>
                <w:sz w:val="20"/>
                <w:szCs w:val="20"/>
              </w:rPr>
              <w:t>Upper respiratory tract infection</w:t>
            </w:r>
          </w:p>
        </w:tc>
        <w:tc>
          <w:tcPr>
            <w:tcW w:w="2109" w:type="dxa"/>
            <w:shd w:val="clear" w:color="auto" w:fill="EAF1DD" w:themeFill="accent3" w:themeFillTint="33"/>
            <w:vAlign w:val="center"/>
          </w:tcPr>
          <w:p w14:paraId="3FB37443"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9 (60.0)</w:t>
            </w:r>
          </w:p>
        </w:tc>
        <w:tc>
          <w:tcPr>
            <w:tcW w:w="2109" w:type="dxa"/>
            <w:shd w:val="clear" w:color="auto" w:fill="EAF1DD" w:themeFill="accent3" w:themeFillTint="33"/>
            <w:vAlign w:val="center"/>
          </w:tcPr>
          <w:p w14:paraId="628017B0"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7 (70)</w:t>
            </w:r>
          </w:p>
        </w:tc>
        <w:tc>
          <w:tcPr>
            <w:tcW w:w="2110" w:type="dxa"/>
            <w:vAlign w:val="center"/>
          </w:tcPr>
          <w:p w14:paraId="6719A39C"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1.2 (0.7, 2.1)</w:t>
            </w:r>
          </w:p>
        </w:tc>
      </w:tr>
      <w:tr w:rsidR="009174B5" w:rsidRPr="00AE3438" w14:paraId="17A3DE44" w14:textId="77777777" w:rsidTr="00E32CAA">
        <w:tc>
          <w:tcPr>
            <w:tcW w:w="2689" w:type="dxa"/>
            <w:vAlign w:val="center"/>
          </w:tcPr>
          <w:p w14:paraId="59B02E78" w14:textId="77777777" w:rsidR="009174B5" w:rsidRPr="00AE3438" w:rsidRDefault="009174B5" w:rsidP="002847C6">
            <w:pPr>
              <w:keepNext/>
              <w:jc w:val="left"/>
              <w:rPr>
                <w:rFonts w:ascii="Arial Narrow" w:hAnsi="Arial Narrow"/>
                <w:sz w:val="20"/>
                <w:szCs w:val="20"/>
              </w:rPr>
            </w:pPr>
            <w:r w:rsidRPr="00AE3438">
              <w:rPr>
                <w:rFonts w:ascii="Arial Narrow" w:hAnsi="Arial Narrow"/>
                <w:sz w:val="20"/>
                <w:szCs w:val="20"/>
              </w:rPr>
              <w:t>Cough</w:t>
            </w:r>
          </w:p>
        </w:tc>
        <w:tc>
          <w:tcPr>
            <w:tcW w:w="2109" w:type="dxa"/>
            <w:shd w:val="clear" w:color="auto" w:fill="EAF1DD" w:themeFill="accent3" w:themeFillTint="33"/>
            <w:vAlign w:val="center"/>
          </w:tcPr>
          <w:p w14:paraId="56F3A3A2"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4 (26.7)</w:t>
            </w:r>
          </w:p>
        </w:tc>
        <w:tc>
          <w:tcPr>
            <w:tcW w:w="2109" w:type="dxa"/>
            <w:shd w:val="clear" w:color="auto" w:fill="EAF1DD" w:themeFill="accent3" w:themeFillTint="33"/>
            <w:vAlign w:val="center"/>
          </w:tcPr>
          <w:p w14:paraId="5BD96939"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5 (50)</w:t>
            </w:r>
          </w:p>
        </w:tc>
        <w:tc>
          <w:tcPr>
            <w:tcW w:w="2110" w:type="dxa"/>
            <w:vAlign w:val="center"/>
          </w:tcPr>
          <w:p w14:paraId="3EA694B6"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1.9 (0.7, 5.3)</w:t>
            </w:r>
          </w:p>
        </w:tc>
      </w:tr>
      <w:tr w:rsidR="009174B5" w:rsidRPr="00AE3438" w14:paraId="42A80DEF" w14:textId="77777777" w:rsidTr="00E32CAA">
        <w:tc>
          <w:tcPr>
            <w:tcW w:w="2689" w:type="dxa"/>
            <w:vAlign w:val="center"/>
          </w:tcPr>
          <w:p w14:paraId="04928982" w14:textId="77777777" w:rsidR="009174B5" w:rsidRPr="00AE3438" w:rsidRDefault="009174B5" w:rsidP="002847C6">
            <w:pPr>
              <w:keepNext/>
              <w:jc w:val="left"/>
              <w:rPr>
                <w:rFonts w:ascii="Arial Narrow" w:hAnsi="Arial Narrow"/>
                <w:sz w:val="20"/>
                <w:szCs w:val="20"/>
              </w:rPr>
            </w:pPr>
            <w:r w:rsidRPr="00AE3438">
              <w:rPr>
                <w:rFonts w:ascii="Arial Narrow" w:hAnsi="Arial Narrow"/>
                <w:sz w:val="20"/>
                <w:szCs w:val="20"/>
              </w:rPr>
              <w:t>Nasopharyngitis</w:t>
            </w:r>
          </w:p>
        </w:tc>
        <w:tc>
          <w:tcPr>
            <w:tcW w:w="2109" w:type="dxa"/>
            <w:shd w:val="clear" w:color="auto" w:fill="EAF1DD" w:themeFill="accent3" w:themeFillTint="33"/>
            <w:vAlign w:val="center"/>
          </w:tcPr>
          <w:p w14:paraId="04B1F98D"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3 (20.0)</w:t>
            </w:r>
          </w:p>
        </w:tc>
        <w:tc>
          <w:tcPr>
            <w:tcW w:w="2109" w:type="dxa"/>
            <w:shd w:val="clear" w:color="auto" w:fill="EAF1DD" w:themeFill="accent3" w:themeFillTint="33"/>
            <w:vAlign w:val="center"/>
          </w:tcPr>
          <w:p w14:paraId="3ABF47FA"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4 (40)</w:t>
            </w:r>
          </w:p>
        </w:tc>
        <w:tc>
          <w:tcPr>
            <w:tcW w:w="2110" w:type="dxa"/>
            <w:vAlign w:val="center"/>
          </w:tcPr>
          <w:p w14:paraId="57390CAC"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2.0 (0.6, 7.1)</w:t>
            </w:r>
          </w:p>
        </w:tc>
      </w:tr>
      <w:tr w:rsidR="009174B5" w:rsidRPr="00AE3438" w14:paraId="7976ECDB" w14:textId="77777777" w:rsidTr="00E32CAA">
        <w:tc>
          <w:tcPr>
            <w:tcW w:w="2689" w:type="dxa"/>
            <w:vAlign w:val="center"/>
          </w:tcPr>
          <w:p w14:paraId="442B4F6F" w14:textId="77777777" w:rsidR="009174B5" w:rsidRPr="00AE3438" w:rsidRDefault="009174B5" w:rsidP="002847C6">
            <w:pPr>
              <w:keepNext/>
              <w:jc w:val="left"/>
              <w:rPr>
                <w:rFonts w:ascii="Arial Narrow" w:hAnsi="Arial Narrow"/>
                <w:sz w:val="20"/>
                <w:szCs w:val="20"/>
              </w:rPr>
            </w:pPr>
            <w:r w:rsidRPr="00AE3438">
              <w:rPr>
                <w:rFonts w:ascii="Arial Narrow" w:hAnsi="Arial Narrow"/>
                <w:sz w:val="20"/>
                <w:szCs w:val="20"/>
              </w:rPr>
              <w:t>Vomiting</w:t>
            </w:r>
          </w:p>
        </w:tc>
        <w:tc>
          <w:tcPr>
            <w:tcW w:w="2109" w:type="dxa"/>
            <w:shd w:val="clear" w:color="auto" w:fill="EAF1DD" w:themeFill="accent3" w:themeFillTint="33"/>
            <w:vAlign w:val="center"/>
          </w:tcPr>
          <w:p w14:paraId="4C932559"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2 (13.3)</w:t>
            </w:r>
          </w:p>
        </w:tc>
        <w:tc>
          <w:tcPr>
            <w:tcW w:w="2109" w:type="dxa"/>
            <w:shd w:val="clear" w:color="auto" w:fill="EAF1DD" w:themeFill="accent3" w:themeFillTint="33"/>
            <w:vAlign w:val="center"/>
          </w:tcPr>
          <w:p w14:paraId="440CA0DF"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3 (30)</w:t>
            </w:r>
          </w:p>
        </w:tc>
        <w:tc>
          <w:tcPr>
            <w:tcW w:w="2110" w:type="dxa"/>
            <w:vAlign w:val="center"/>
          </w:tcPr>
          <w:p w14:paraId="3384672D"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2.3 (0.5, 11.1)</w:t>
            </w:r>
          </w:p>
        </w:tc>
      </w:tr>
      <w:tr w:rsidR="009174B5" w:rsidRPr="00AE3438" w14:paraId="4A774653" w14:textId="77777777" w:rsidTr="00E32CAA">
        <w:tc>
          <w:tcPr>
            <w:tcW w:w="2689" w:type="dxa"/>
            <w:vAlign w:val="center"/>
          </w:tcPr>
          <w:p w14:paraId="626980A6" w14:textId="77777777" w:rsidR="009174B5" w:rsidRPr="00AE3438" w:rsidRDefault="009174B5" w:rsidP="002847C6">
            <w:pPr>
              <w:keepNext/>
              <w:jc w:val="left"/>
              <w:rPr>
                <w:rFonts w:ascii="Arial Narrow" w:hAnsi="Arial Narrow"/>
                <w:sz w:val="20"/>
                <w:szCs w:val="20"/>
              </w:rPr>
            </w:pPr>
            <w:r w:rsidRPr="00AE3438">
              <w:rPr>
                <w:rFonts w:ascii="Arial Narrow" w:hAnsi="Arial Narrow"/>
                <w:sz w:val="20"/>
                <w:szCs w:val="20"/>
              </w:rPr>
              <w:t>Hypotonia</w:t>
            </w:r>
          </w:p>
        </w:tc>
        <w:tc>
          <w:tcPr>
            <w:tcW w:w="2109" w:type="dxa"/>
            <w:shd w:val="clear" w:color="auto" w:fill="EAF1DD" w:themeFill="accent3" w:themeFillTint="33"/>
            <w:vAlign w:val="center"/>
          </w:tcPr>
          <w:p w14:paraId="04793A26"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2 (13.3)</w:t>
            </w:r>
          </w:p>
        </w:tc>
        <w:tc>
          <w:tcPr>
            <w:tcW w:w="2109" w:type="dxa"/>
            <w:shd w:val="clear" w:color="auto" w:fill="EAF1DD" w:themeFill="accent3" w:themeFillTint="33"/>
            <w:vAlign w:val="center"/>
          </w:tcPr>
          <w:p w14:paraId="39B86F1D" w14:textId="77777777" w:rsidR="009174B5" w:rsidRPr="00AE3438" w:rsidRDefault="009174B5" w:rsidP="002847C6">
            <w:pPr>
              <w:keepNext/>
              <w:jc w:val="center"/>
              <w:rPr>
                <w:rFonts w:ascii="Arial Narrow" w:hAnsi="Arial Narrow"/>
                <w:sz w:val="20"/>
                <w:szCs w:val="20"/>
              </w:rPr>
            </w:pPr>
            <w:r w:rsidRPr="00AE3438">
              <w:rPr>
                <w:rFonts w:ascii="Arial Narrow" w:hAnsi="Arial Narrow"/>
                <w:sz w:val="20"/>
                <w:szCs w:val="20"/>
              </w:rPr>
              <w:t>0</w:t>
            </w:r>
            <w:r w:rsidRPr="00AE3438">
              <w:rPr>
                <w:rFonts w:ascii="Arial Narrow" w:hAnsi="Arial Narrow"/>
                <w:sz w:val="20"/>
                <w:szCs w:val="20"/>
                <w:vertAlign w:val="superscript"/>
              </w:rPr>
              <w:t>a</w:t>
            </w:r>
          </w:p>
        </w:tc>
        <w:tc>
          <w:tcPr>
            <w:tcW w:w="2110" w:type="dxa"/>
            <w:vAlign w:val="center"/>
          </w:tcPr>
          <w:p w14:paraId="738B84EC" w14:textId="77777777" w:rsidR="009174B5" w:rsidRPr="00AE3438" w:rsidRDefault="009174B5" w:rsidP="002847C6">
            <w:pPr>
              <w:keepNext/>
              <w:jc w:val="center"/>
              <w:rPr>
                <w:rFonts w:ascii="Arial Narrow" w:hAnsi="Arial Narrow"/>
                <w:iCs/>
                <w:sz w:val="20"/>
                <w:szCs w:val="20"/>
              </w:rPr>
            </w:pPr>
            <w:r w:rsidRPr="00AE3438">
              <w:rPr>
                <w:rFonts w:ascii="Arial Narrow" w:hAnsi="Arial Narrow"/>
                <w:iCs/>
                <w:sz w:val="20"/>
                <w:szCs w:val="20"/>
              </w:rPr>
              <w:t>0.3 (0.0, 5.5)</w:t>
            </w:r>
          </w:p>
        </w:tc>
      </w:tr>
      <w:tr w:rsidR="009174B5" w:rsidRPr="00AE3438" w14:paraId="39376D91" w14:textId="77777777" w:rsidTr="00E32CAA">
        <w:tc>
          <w:tcPr>
            <w:tcW w:w="2689" w:type="dxa"/>
            <w:vAlign w:val="center"/>
          </w:tcPr>
          <w:p w14:paraId="5CD1A9E7" w14:textId="77777777" w:rsidR="009174B5" w:rsidRPr="00AE3438" w:rsidRDefault="009174B5" w:rsidP="00BD02D3">
            <w:pPr>
              <w:jc w:val="left"/>
              <w:rPr>
                <w:rFonts w:ascii="Arial Narrow" w:hAnsi="Arial Narrow"/>
                <w:sz w:val="20"/>
                <w:szCs w:val="20"/>
              </w:rPr>
            </w:pPr>
            <w:r w:rsidRPr="00AE3438">
              <w:rPr>
                <w:rFonts w:ascii="Arial Narrow" w:hAnsi="Arial Narrow"/>
                <w:sz w:val="20"/>
                <w:szCs w:val="20"/>
              </w:rPr>
              <w:t>Rash</w:t>
            </w:r>
          </w:p>
        </w:tc>
        <w:tc>
          <w:tcPr>
            <w:tcW w:w="2109" w:type="dxa"/>
            <w:shd w:val="clear" w:color="auto" w:fill="EAF1DD" w:themeFill="accent3" w:themeFillTint="33"/>
            <w:vAlign w:val="center"/>
          </w:tcPr>
          <w:p w14:paraId="726FF541" w14:textId="77777777" w:rsidR="009174B5" w:rsidRPr="00AE3438" w:rsidRDefault="009174B5" w:rsidP="00BD02D3">
            <w:pPr>
              <w:jc w:val="center"/>
              <w:rPr>
                <w:rFonts w:ascii="Arial Narrow" w:hAnsi="Arial Narrow"/>
                <w:sz w:val="20"/>
                <w:szCs w:val="20"/>
              </w:rPr>
            </w:pPr>
            <w:r w:rsidRPr="00AE3438">
              <w:rPr>
                <w:rFonts w:ascii="Arial Narrow" w:hAnsi="Arial Narrow"/>
                <w:sz w:val="20"/>
                <w:szCs w:val="20"/>
              </w:rPr>
              <w:t>2 (13.3)</w:t>
            </w:r>
          </w:p>
        </w:tc>
        <w:tc>
          <w:tcPr>
            <w:tcW w:w="2109" w:type="dxa"/>
            <w:shd w:val="clear" w:color="auto" w:fill="EAF1DD" w:themeFill="accent3" w:themeFillTint="33"/>
            <w:vAlign w:val="center"/>
          </w:tcPr>
          <w:p w14:paraId="4C20C5DC" w14:textId="77777777" w:rsidR="009174B5" w:rsidRPr="00AE3438" w:rsidRDefault="009174B5" w:rsidP="00BD02D3">
            <w:pPr>
              <w:jc w:val="center"/>
              <w:rPr>
                <w:rFonts w:ascii="Arial Narrow" w:hAnsi="Arial Narrow"/>
                <w:sz w:val="20"/>
                <w:szCs w:val="20"/>
              </w:rPr>
            </w:pPr>
            <w:r w:rsidRPr="00AE3438">
              <w:rPr>
                <w:rFonts w:ascii="Arial Narrow" w:hAnsi="Arial Narrow"/>
                <w:sz w:val="20"/>
                <w:szCs w:val="20"/>
              </w:rPr>
              <w:t>1 (10)</w:t>
            </w:r>
            <w:r w:rsidRPr="00AE3438">
              <w:rPr>
                <w:rFonts w:ascii="Arial Narrow" w:hAnsi="Arial Narrow"/>
                <w:sz w:val="20"/>
                <w:szCs w:val="20"/>
                <w:vertAlign w:val="superscript"/>
              </w:rPr>
              <w:t>b</w:t>
            </w:r>
          </w:p>
        </w:tc>
        <w:tc>
          <w:tcPr>
            <w:tcW w:w="2110" w:type="dxa"/>
            <w:vAlign w:val="center"/>
          </w:tcPr>
          <w:p w14:paraId="20535D85" w14:textId="77777777" w:rsidR="009174B5" w:rsidRPr="00AE3438" w:rsidRDefault="009174B5" w:rsidP="00BD02D3">
            <w:pPr>
              <w:jc w:val="center"/>
              <w:rPr>
                <w:rFonts w:ascii="Arial Narrow" w:hAnsi="Arial Narrow"/>
                <w:sz w:val="20"/>
                <w:szCs w:val="20"/>
              </w:rPr>
            </w:pPr>
            <w:r w:rsidRPr="00AE3438">
              <w:rPr>
                <w:rFonts w:ascii="Arial Narrow" w:hAnsi="Arial Narrow"/>
                <w:sz w:val="20"/>
                <w:szCs w:val="20"/>
              </w:rPr>
              <w:t>0.8 (0.1, 7.2)</w:t>
            </w:r>
          </w:p>
        </w:tc>
      </w:tr>
    </w:tbl>
    <w:p w14:paraId="1E731AA3" w14:textId="69163B5A" w:rsidR="009174B5" w:rsidRPr="00AE3438" w:rsidRDefault="009174B5" w:rsidP="009174B5">
      <w:pPr>
        <w:pStyle w:val="TableFigureFooter"/>
        <w:spacing w:after="0"/>
        <w:rPr>
          <w:rStyle w:val="CommentReference"/>
          <w:b w:val="0"/>
          <w:bCs/>
          <w:sz w:val="18"/>
          <w:szCs w:val="18"/>
        </w:rPr>
      </w:pPr>
      <w:r w:rsidRPr="00AE3438">
        <w:rPr>
          <w:rStyle w:val="CommentReference"/>
          <w:b w:val="0"/>
          <w:bCs/>
          <w:sz w:val="18"/>
          <w:szCs w:val="18"/>
          <w:shd w:val="clear" w:color="auto" w:fill="EAF1DD" w:themeFill="accent3" w:themeFillTint="33"/>
        </w:rPr>
        <w:t>Green shading</w:t>
      </w:r>
      <w:r w:rsidRPr="00AE3438">
        <w:rPr>
          <w:rStyle w:val="CommentReference"/>
          <w:b w:val="0"/>
          <w:bCs/>
          <w:sz w:val="18"/>
          <w:szCs w:val="18"/>
        </w:rPr>
        <w:t xml:space="preserve"> represents study population consisting only of patients treated pre-symptomatically. unshaded rows represent studies in symptomatic patients. </w:t>
      </w:r>
    </w:p>
    <w:p w14:paraId="40D19337" w14:textId="77777777" w:rsidR="009174B5" w:rsidRPr="00AE3438" w:rsidRDefault="009174B5" w:rsidP="009174B5">
      <w:pPr>
        <w:pStyle w:val="FooterTableFigure"/>
        <w:spacing w:after="0"/>
        <w:rPr>
          <w:szCs w:val="18"/>
        </w:rPr>
      </w:pPr>
      <w:r w:rsidRPr="00AE3438">
        <w:rPr>
          <w:szCs w:val="18"/>
        </w:rPr>
        <w:t>Source: Table 17, Attachment 8 Near Market comparator analysis.docx.</w:t>
      </w:r>
    </w:p>
    <w:p w14:paraId="43098111" w14:textId="5E60A334" w:rsidR="009174B5" w:rsidRPr="00AE3438" w:rsidRDefault="009174B5" w:rsidP="009174B5">
      <w:pPr>
        <w:rPr>
          <w:rFonts w:ascii="Arial Narrow" w:hAnsi="Arial Narrow"/>
          <w:sz w:val="18"/>
          <w:szCs w:val="18"/>
        </w:rPr>
      </w:pPr>
      <w:r w:rsidRPr="00AE3438">
        <w:rPr>
          <w:rFonts w:ascii="Arial Narrow" w:hAnsi="Arial Narrow"/>
          <w:sz w:val="18"/>
          <w:szCs w:val="18"/>
        </w:rPr>
        <w:t>AE=adverse event; NUSI=nusinersen; ONA=onasemnogene abeparvovec; RISD=risdiplam; NR=not reported;</w:t>
      </w:r>
    </w:p>
    <w:p w14:paraId="5EA94C14" w14:textId="77777777" w:rsidR="009174B5" w:rsidRPr="00AE3438" w:rsidRDefault="009174B5" w:rsidP="009174B5">
      <w:pPr>
        <w:rPr>
          <w:rFonts w:ascii="Arial Narrow" w:hAnsi="Arial Narrow"/>
          <w:sz w:val="18"/>
          <w:szCs w:val="18"/>
        </w:rPr>
      </w:pPr>
      <w:r w:rsidRPr="00AE3438">
        <w:rPr>
          <w:rFonts w:ascii="Arial Narrow" w:hAnsi="Arial Narrow"/>
          <w:sz w:val="18"/>
          <w:szCs w:val="18"/>
        </w:rPr>
        <w:t>**</w:t>
      </w:r>
      <w:r w:rsidRPr="00AE3438">
        <w:rPr>
          <w:rFonts w:ascii="Arial Narrow" w:hAnsi="Arial Narrow"/>
          <w:sz w:val="18"/>
          <w:szCs w:val="18"/>
        </w:rPr>
        <w:tab/>
        <w:t>Assessed by the investigator; included events that were possibly related or related to the lumber puncture procedure.</w:t>
      </w:r>
    </w:p>
    <w:p w14:paraId="1FD8927B" w14:textId="77777777" w:rsidR="009174B5" w:rsidRPr="00AE3438" w:rsidRDefault="009174B5" w:rsidP="009174B5">
      <w:pPr>
        <w:rPr>
          <w:rFonts w:ascii="Arial Narrow" w:hAnsi="Arial Narrow"/>
          <w:sz w:val="18"/>
          <w:szCs w:val="18"/>
        </w:rPr>
      </w:pPr>
      <w:r w:rsidRPr="00AE3438">
        <w:rPr>
          <w:rFonts w:ascii="Arial Narrow" w:hAnsi="Arial Narrow"/>
          <w:sz w:val="18"/>
          <w:szCs w:val="18"/>
        </w:rPr>
        <w:t>a</w:t>
      </w:r>
      <w:r w:rsidRPr="00AE3438">
        <w:rPr>
          <w:rFonts w:ascii="Arial Narrow" w:hAnsi="Arial Narrow"/>
          <w:sz w:val="18"/>
          <w:szCs w:val="18"/>
        </w:rPr>
        <w:tab/>
        <w:t>reported as muscular weakness.</w:t>
      </w:r>
    </w:p>
    <w:p w14:paraId="3DC8F967" w14:textId="34174AAC" w:rsidR="009174B5" w:rsidRPr="00AE3438" w:rsidRDefault="009174B5" w:rsidP="009A65A9">
      <w:pPr>
        <w:spacing w:after="120"/>
        <w:rPr>
          <w:rFonts w:ascii="Arial Narrow" w:hAnsi="Arial Narrow"/>
          <w:sz w:val="18"/>
          <w:szCs w:val="18"/>
        </w:rPr>
      </w:pPr>
      <w:r w:rsidRPr="00AE3438">
        <w:rPr>
          <w:rFonts w:ascii="Arial Narrow" w:hAnsi="Arial Narrow"/>
          <w:sz w:val="18"/>
          <w:szCs w:val="18"/>
        </w:rPr>
        <w:t>b</w:t>
      </w:r>
      <w:r w:rsidRPr="00AE3438">
        <w:rPr>
          <w:rFonts w:ascii="Arial Narrow" w:hAnsi="Arial Narrow"/>
          <w:sz w:val="18"/>
          <w:szCs w:val="18"/>
        </w:rPr>
        <w:tab/>
        <w:t>reported as rash possibly related to study drug.</w:t>
      </w:r>
    </w:p>
    <w:p w14:paraId="43AD1DAB" w14:textId="39E19124" w:rsidR="009174B5" w:rsidRPr="00AE3438" w:rsidRDefault="009174B5" w:rsidP="00D86231">
      <w:pPr>
        <w:pStyle w:val="3-BodyText"/>
        <w:rPr>
          <w:iCs/>
        </w:rPr>
      </w:pPr>
      <w:r w:rsidRPr="00AE3438">
        <w:rPr>
          <w:iCs/>
        </w:rPr>
        <w:t>Across the studies of symptomatic treatment, most ONA treated patients experienced at least one AE, with 25% to 54.5% of those events deemed to be related to ONA treatment, and 45.5% to 83.3% reported serious AEs, including pneumonia, upper respiratory infection, respiratory distress, bronchiolitis and respiratory failure. Two deaths were reported in the STRIVE studies, but none in START and the long-term follow-up studies (START-LTFU and LT-002). In the nusinersen studies, the incidence of AEs was similar between nusinersen group vs sham control for ENDEAR, CHERISH and EMBRACE. For patients treated with nusinersen, 16.7-81.3% experienced serious AEs. The most frequently reported serious AEs in the ENDEAR study were respiratory failure and distress (25% and 26%, respectively), and pneumonia (24%). Interim analysis from SHINE (data cut: 15 October 2018)</w:t>
      </w:r>
      <w:r w:rsidR="005A1A39" w:rsidRPr="00AE3438">
        <w:rPr>
          <w:rStyle w:val="FootnoteReference"/>
          <w:iCs/>
        </w:rPr>
        <w:footnoteReference w:id="7"/>
      </w:r>
      <w:r w:rsidRPr="00AE3438">
        <w:rPr>
          <w:iCs/>
        </w:rPr>
        <w:t xml:space="preserve"> indicated safety was maintained for nusinersen treated ENDEAR/SHINE patients for median of 997.5 days (approx. 33 months), and the most common AEs during SHINE were consistent with ENDEAR: pyrexia (66%), upper respiratory tract infection (38%), pneumonia (31%); nasopharyngitis (29%), and ear infection (26%).</w:t>
      </w:r>
    </w:p>
    <w:p w14:paraId="421A6D2D" w14:textId="522092FE" w:rsidR="009174B5" w:rsidRPr="00AE3438" w:rsidRDefault="009174B5" w:rsidP="00D86231">
      <w:pPr>
        <w:pStyle w:val="3-BodyText"/>
        <w:rPr>
          <w:iCs/>
        </w:rPr>
      </w:pPr>
      <w:r w:rsidRPr="00AE3438">
        <w:rPr>
          <w:iCs/>
        </w:rPr>
        <w:t>For patients treated with risdiplam, 92.5% to 100% reported any AEs, and 20% to 58% experienced serious AEs. The most common serious AEs included pneumonia, hypotonia and respiratory failure. In FIREFISH, three patients had fatal respiratory complications that are characteristic of Type I SMA.</w:t>
      </w:r>
    </w:p>
    <w:p w14:paraId="46B3F490" w14:textId="4DA09828" w:rsidR="003A68D4" w:rsidRPr="00054F33" w:rsidRDefault="0017325A" w:rsidP="00D86231">
      <w:pPr>
        <w:pStyle w:val="3-BodyText"/>
        <w:rPr>
          <w:iCs/>
        </w:rPr>
      </w:pPr>
      <w:r w:rsidRPr="00054F33">
        <w:rPr>
          <w:iCs/>
        </w:rPr>
        <w:t xml:space="preserve">The ESC noted that all DMTs for SMA were associated with a high probability of experiencing an AE.  </w:t>
      </w:r>
    </w:p>
    <w:p w14:paraId="04908C7F" w14:textId="415B9B7D" w:rsidR="007F1017" w:rsidRPr="00AE3438" w:rsidRDefault="007F1017" w:rsidP="00D86231">
      <w:pPr>
        <w:pStyle w:val="4-SubsectionHeading"/>
      </w:pPr>
      <w:bookmarkStart w:id="43" w:name="_Toc22897643"/>
      <w:bookmarkStart w:id="44" w:name="_Toc114054855"/>
      <w:r w:rsidRPr="00AE3438">
        <w:lastRenderedPageBreak/>
        <w:t>Benefits/harms</w:t>
      </w:r>
      <w:bookmarkEnd w:id="43"/>
      <w:bookmarkEnd w:id="44"/>
    </w:p>
    <w:p w14:paraId="4187DA8F" w14:textId="14EFD99E" w:rsidR="009174B5" w:rsidRPr="00AE3438" w:rsidRDefault="009174B5" w:rsidP="009174B5">
      <w:pPr>
        <w:pStyle w:val="3-BodyText"/>
      </w:pPr>
      <w:r w:rsidRPr="00AE3438">
        <w:t xml:space="preserve">The submission did not present comparative efficacy or safety data to allow for a quantitative comparison of the benefits and harms of treatment between ONA </w:t>
      </w:r>
      <w:r w:rsidR="00F44B8B" w:rsidRPr="00AE3438">
        <w:t>in pre</w:t>
      </w:r>
      <w:r w:rsidR="00C816BE" w:rsidRPr="00AE3438">
        <w:noBreakHyphen/>
      </w:r>
      <w:r w:rsidR="00F44B8B" w:rsidRPr="00AE3438">
        <w:t xml:space="preserve">symptomatic patients with 3 copies of </w:t>
      </w:r>
      <w:r w:rsidR="00F44B8B" w:rsidRPr="00AE3438">
        <w:rPr>
          <w:i/>
        </w:rPr>
        <w:t xml:space="preserve">SMN2 </w:t>
      </w:r>
      <w:r w:rsidRPr="00AE3438">
        <w:t xml:space="preserve">and </w:t>
      </w:r>
      <w:r w:rsidR="00F44B8B" w:rsidRPr="00AE3438">
        <w:t>DMTs in active treatment of symptomatic patients with SMA</w:t>
      </w:r>
      <w:r w:rsidRPr="00AE3438">
        <w:t>. A</w:t>
      </w:r>
      <w:r w:rsidR="00F44B8B" w:rsidRPr="00AE3438">
        <w:t>ccordingly,</w:t>
      </w:r>
      <w:r w:rsidRPr="00AE3438">
        <w:t xml:space="preserve"> benefits/harms table was not presented.</w:t>
      </w:r>
    </w:p>
    <w:p w14:paraId="7A1772B6" w14:textId="23BB3145" w:rsidR="00B60939" w:rsidRPr="00AE3438" w:rsidRDefault="00B60939" w:rsidP="00E9094A">
      <w:pPr>
        <w:pStyle w:val="4-SubsectionHeading"/>
      </w:pPr>
      <w:bookmarkStart w:id="45" w:name="_Toc22897644"/>
      <w:bookmarkStart w:id="46" w:name="_Toc114054856"/>
      <w:r w:rsidRPr="00AE3438">
        <w:t>Clinical claim</w:t>
      </w:r>
      <w:bookmarkEnd w:id="45"/>
      <w:bookmarkEnd w:id="46"/>
    </w:p>
    <w:p w14:paraId="06E867AD" w14:textId="22CC7CA9" w:rsidR="00F44B8B" w:rsidRPr="00AE3438" w:rsidRDefault="00F44B8B" w:rsidP="00E9094A">
      <w:pPr>
        <w:pStyle w:val="3-BodyText"/>
      </w:pPr>
      <w:bookmarkStart w:id="47" w:name="_Hlk116316132"/>
      <w:bookmarkStart w:id="48" w:name="_Hlk116316147"/>
      <w:r w:rsidRPr="00AE3438">
        <w:t xml:space="preserve">The submission described ONA as </w:t>
      </w:r>
      <w:bookmarkStart w:id="49" w:name="_Hlk120618508"/>
      <w:r w:rsidRPr="00AE3438">
        <w:t>superior in terms of effectiveness on developmental milestones (i.e.</w:t>
      </w:r>
      <w:r w:rsidR="001E01A7" w:rsidRPr="00AE3438">
        <w:t>,</w:t>
      </w:r>
      <w:r w:rsidRPr="00AE3438">
        <w:t xml:space="preserve"> standing and walking) compared </w:t>
      </w:r>
      <w:bookmarkStart w:id="50" w:name="_Hlk120614874"/>
      <w:r w:rsidRPr="00AE3438">
        <w:t xml:space="preserve">to symptomatic treatment with </w:t>
      </w:r>
      <w:r w:rsidR="008134CF" w:rsidRPr="00AE3438">
        <w:t>DMTs</w:t>
      </w:r>
      <w:bookmarkEnd w:id="49"/>
      <w:r w:rsidR="008134CF" w:rsidRPr="00AE3438">
        <w:t xml:space="preserve"> </w:t>
      </w:r>
      <w:bookmarkEnd w:id="50"/>
      <w:r w:rsidRPr="00AE3438">
        <w:t>(ONA, nusinersen and risdiplam)</w:t>
      </w:r>
      <w:r w:rsidR="008134CF" w:rsidRPr="00AE3438">
        <w:t xml:space="preserve"> </w:t>
      </w:r>
      <w:r w:rsidRPr="00AE3438">
        <w:t>and non-inferior in terms of safety for pre</w:t>
      </w:r>
      <w:r w:rsidR="00367B7F">
        <w:noBreakHyphen/>
      </w:r>
      <w:r w:rsidRPr="00AE3438">
        <w:t xml:space="preserve">symptomatic treatment of SMA in children with 3 copies of </w:t>
      </w:r>
      <w:r w:rsidRPr="00AE3438">
        <w:rPr>
          <w:i/>
        </w:rPr>
        <w:t>SMN2</w:t>
      </w:r>
      <w:r w:rsidRPr="00AE3438">
        <w:t xml:space="preserve"> gene</w:t>
      </w:r>
      <w:bookmarkEnd w:id="47"/>
      <w:r w:rsidRPr="00AE3438">
        <w:t>.</w:t>
      </w:r>
    </w:p>
    <w:bookmarkEnd w:id="48"/>
    <w:p w14:paraId="482AED61" w14:textId="7FB73F30" w:rsidR="00F44B8B" w:rsidRPr="00AE3438" w:rsidRDefault="00F44B8B" w:rsidP="00E9094A">
      <w:pPr>
        <w:pStyle w:val="3-BodyText"/>
        <w:rPr>
          <w:iCs/>
        </w:rPr>
      </w:pPr>
      <w:r w:rsidRPr="00AE3438">
        <w:rPr>
          <w:iCs/>
        </w:rPr>
        <w:t xml:space="preserve">The clinical evidence for the effectiveness of ONA in patients with 3 copies of SMN2 was uncertain </w:t>
      </w:r>
      <w:r w:rsidR="004827DD" w:rsidRPr="00AE3438">
        <w:rPr>
          <w:iCs/>
        </w:rPr>
        <w:t>due to</w:t>
      </w:r>
      <w:r w:rsidRPr="00AE3438">
        <w:rPr>
          <w:iCs/>
        </w:rPr>
        <w:t>:</w:t>
      </w:r>
    </w:p>
    <w:p w14:paraId="623C70F9" w14:textId="3E345109" w:rsidR="00F44B8B" w:rsidRPr="00AE3438" w:rsidRDefault="00F44B8B" w:rsidP="00054F33">
      <w:pPr>
        <w:pStyle w:val="ListParagraph"/>
        <w:numPr>
          <w:ilvl w:val="0"/>
          <w:numId w:val="5"/>
        </w:numPr>
        <w:rPr>
          <w:iCs/>
        </w:rPr>
      </w:pPr>
      <w:r w:rsidRPr="00AE3438">
        <w:rPr>
          <w:iCs/>
          <w:u w:val="single"/>
        </w:rPr>
        <w:t>Limited long-term data</w:t>
      </w:r>
      <w:r w:rsidR="001E01A7" w:rsidRPr="00AE3438">
        <w:rPr>
          <w:iCs/>
        </w:rPr>
        <w:t>:</w:t>
      </w:r>
      <w:r w:rsidRPr="00AE3438">
        <w:rPr>
          <w:iCs/>
        </w:rPr>
        <w:t xml:space="preserve"> While the result from SPR1NT showed that most patients with 3 copies of SMN2 who were treated with ONA prior to symptoms achieved age</w:t>
      </w:r>
      <w:r w:rsidR="00C018E1" w:rsidRPr="00AE3438">
        <w:rPr>
          <w:iCs/>
        </w:rPr>
        <w:t>-</w:t>
      </w:r>
      <w:r w:rsidRPr="00AE3438">
        <w:rPr>
          <w:iCs/>
        </w:rPr>
        <w:t xml:space="preserve">appropriate motor milestones (ability to stand or walk alone) at 24 months of age, the extended follow-up data </w:t>
      </w:r>
      <w:r w:rsidR="0024131C" w:rsidRPr="00AE3438">
        <w:rPr>
          <w:iCs/>
        </w:rPr>
        <w:t>w</w:t>
      </w:r>
      <w:r w:rsidR="0024131C">
        <w:rPr>
          <w:iCs/>
        </w:rPr>
        <w:t>ere</w:t>
      </w:r>
      <w:r w:rsidR="0024131C" w:rsidRPr="00AE3438">
        <w:rPr>
          <w:iCs/>
        </w:rPr>
        <w:t xml:space="preserve"> </w:t>
      </w:r>
      <w:r w:rsidRPr="00AE3438">
        <w:rPr>
          <w:iCs/>
        </w:rPr>
        <w:t>only available for 5.6 months (29.6 months of age) from LT-002 (interim data cut 23 May 2021).</w:t>
      </w:r>
    </w:p>
    <w:p w14:paraId="43C6E217" w14:textId="7815A6C6" w:rsidR="00F44B8B" w:rsidRPr="00AE3438" w:rsidRDefault="00F44B8B" w:rsidP="00054F33">
      <w:pPr>
        <w:pStyle w:val="ListParagraph"/>
        <w:numPr>
          <w:ilvl w:val="0"/>
          <w:numId w:val="5"/>
        </w:numPr>
        <w:rPr>
          <w:iCs/>
        </w:rPr>
      </w:pPr>
      <w:r w:rsidRPr="00AE3438">
        <w:rPr>
          <w:iCs/>
          <w:u w:val="single"/>
        </w:rPr>
        <w:t>Limited comparative data</w:t>
      </w:r>
      <w:r w:rsidR="001E01A7" w:rsidRPr="00AE3438">
        <w:rPr>
          <w:iCs/>
        </w:rPr>
        <w:t>:</w:t>
      </w:r>
      <w:r w:rsidRPr="00AE3438">
        <w:rPr>
          <w:iCs/>
        </w:rPr>
        <w:t xml:space="preserve"> There </w:t>
      </w:r>
      <w:r w:rsidR="0024131C" w:rsidRPr="00AE3438">
        <w:rPr>
          <w:iCs/>
        </w:rPr>
        <w:t>w</w:t>
      </w:r>
      <w:r w:rsidR="0024131C">
        <w:rPr>
          <w:iCs/>
        </w:rPr>
        <w:t>ere</w:t>
      </w:r>
      <w:r w:rsidR="0024131C" w:rsidRPr="00AE3438">
        <w:rPr>
          <w:iCs/>
        </w:rPr>
        <w:t xml:space="preserve"> </w:t>
      </w:r>
      <w:r w:rsidR="00C018E1" w:rsidRPr="00AE3438">
        <w:rPr>
          <w:iCs/>
        </w:rPr>
        <w:t>limited</w:t>
      </w:r>
      <w:r w:rsidRPr="00AE3438">
        <w:rPr>
          <w:iCs/>
        </w:rPr>
        <w:t xml:space="preserve"> data </w:t>
      </w:r>
      <w:r w:rsidR="00C018E1" w:rsidRPr="00AE3438">
        <w:rPr>
          <w:iCs/>
        </w:rPr>
        <w:t>for</w:t>
      </w:r>
      <w:r w:rsidRPr="00AE3438">
        <w:rPr>
          <w:iCs/>
        </w:rPr>
        <w:t xml:space="preserve"> symptomatic treatment </w:t>
      </w:r>
      <w:r w:rsidR="00C018E1" w:rsidRPr="00AE3438">
        <w:rPr>
          <w:iCs/>
        </w:rPr>
        <w:t xml:space="preserve">of </w:t>
      </w:r>
      <w:r w:rsidRPr="00AE3438">
        <w:rPr>
          <w:iCs/>
        </w:rPr>
        <w:t xml:space="preserve">patients with </w:t>
      </w:r>
      <w:r w:rsidR="00BB6AC9" w:rsidRPr="00AE3438">
        <w:rPr>
          <w:iCs/>
        </w:rPr>
        <w:t xml:space="preserve">SMA </w:t>
      </w:r>
      <w:r w:rsidRPr="00AE3438">
        <w:rPr>
          <w:iCs/>
        </w:rPr>
        <w:t>Type</w:t>
      </w:r>
      <w:r w:rsidR="008E68E1" w:rsidRPr="00AE3438">
        <w:rPr>
          <w:iCs/>
        </w:rPr>
        <w:t>s</w:t>
      </w:r>
      <w:r w:rsidRPr="00AE3438">
        <w:rPr>
          <w:iCs/>
        </w:rPr>
        <w:t xml:space="preserve"> II </w:t>
      </w:r>
      <w:r w:rsidR="00C018E1" w:rsidRPr="00AE3438">
        <w:rPr>
          <w:iCs/>
        </w:rPr>
        <w:t>or</w:t>
      </w:r>
      <w:r w:rsidRPr="00AE3438">
        <w:rPr>
          <w:iCs/>
        </w:rPr>
        <w:t xml:space="preserve"> III</w:t>
      </w:r>
      <w:r w:rsidR="00C018E1" w:rsidRPr="00AE3438">
        <w:rPr>
          <w:iCs/>
        </w:rPr>
        <w:t xml:space="preserve">, this was a concern given it is likely to be the </w:t>
      </w:r>
      <w:r w:rsidRPr="00AE3438">
        <w:rPr>
          <w:iCs/>
        </w:rPr>
        <w:t xml:space="preserve">predominant phenotype </w:t>
      </w:r>
      <w:r w:rsidR="00C018E1" w:rsidRPr="00AE3438">
        <w:rPr>
          <w:iCs/>
        </w:rPr>
        <w:t>of patients with</w:t>
      </w:r>
      <w:r w:rsidRPr="00AE3438">
        <w:rPr>
          <w:iCs/>
        </w:rPr>
        <w:t xml:space="preserve"> 3 </w:t>
      </w:r>
      <w:r w:rsidR="008E68E1" w:rsidRPr="00AE3438">
        <w:rPr>
          <w:iCs/>
        </w:rPr>
        <w:t xml:space="preserve">copies of </w:t>
      </w:r>
      <w:r w:rsidRPr="00AE3438">
        <w:rPr>
          <w:iCs/>
        </w:rPr>
        <w:t xml:space="preserve">SMN2. </w:t>
      </w:r>
      <w:r w:rsidR="00C018E1" w:rsidRPr="00AE3438">
        <w:rPr>
          <w:iCs/>
        </w:rPr>
        <w:t xml:space="preserve">The Type II or Type III symptomatic treatment studies (CS2/CS12 with nusinersen) may also lack applicability to the PBS population given patients were treated approximately 3.5 </w:t>
      </w:r>
      <w:r w:rsidR="008E68E1" w:rsidRPr="00AE3438">
        <w:rPr>
          <w:iCs/>
        </w:rPr>
        <w:t>or</w:t>
      </w:r>
      <w:r w:rsidR="00C018E1" w:rsidRPr="00AE3438">
        <w:rPr>
          <w:iCs/>
        </w:rPr>
        <w:t xml:space="preserve"> 7</w:t>
      </w:r>
      <w:r w:rsidR="008E68E1" w:rsidRPr="00AE3438">
        <w:rPr>
          <w:iCs/>
        </w:rPr>
        <w:t>.1</w:t>
      </w:r>
      <w:r w:rsidR="00C018E1" w:rsidRPr="00AE3438">
        <w:rPr>
          <w:iCs/>
        </w:rPr>
        <w:t xml:space="preserve"> years after symptom onset respectively rather than soon after symptom onset, so patients may have had poorer outcomes as a result.</w:t>
      </w:r>
    </w:p>
    <w:p w14:paraId="3FDC59D5" w14:textId="6B383AE8" w:rsidR="00F44B8B" w:rsidRPr="00AE3438" w:rsidRDefault="00F44B8B" w:rsidP="00054F33">
      <w:pPr>
        <w:pStyle w:val="ListParagraph"/>
        <w:numPr>
          <w:ilvl w:val="0"/>
          <w:numId w:val="5"/>
        </w:numPr>
        <w:rPr>
          <w:iCs/>
          <w:u w:val="single"/>
        </w:rPr>
      </w:pPr>
      <w:r w:rsidRPr="00AE3438">
        <w:rPr>
          <w:iCs/>
          <w:u w:val="single"/>
        </w:rPr>
        <w:t>Heterogenous population, outcome assessment and design</w:t>
      </w:r>
      <w:r w:rsidR="001E01A7" w:rsidRPr="00AE3438">
        <w:rPr>
          <w:iCs/>
          <w:u w:val="single"/>
        </w:rPr>
        <w:t>:</w:t>
      </w:r>
      <w:r w:rsidRPr="00AE3438">
        <w:rPr>
          <w:iCs/>
        </w:rPr>
        <w:t xml:space="preserve"> </w:t>
      </w:r>
      <w:bookmarkStart w:id="51" w:name="_Hlk113285372"/>
      <w:r w:rsidR="00C018E1" w:rsidRPr="00AE3438">
        <w:rPr>
          <w:iCs/>
        </w:rPr>
        <w:t xml:space="preserve">The clinical data comprised mostly of small nonrandomised studies with significant heterogeneity including potential treatment effect modifiers such as </w:t>
      </w:r>
      <w:r w:rsidR="00BB6AC9" w:rsidRPr="00AE3438">
        <w:rPr>
          <w:iCs/>
        </w:rPr>
        <w:t xml:space="preserve">SMN2 copy numbers within phenotype, </w:t>
      </w:r>
      <w:r w:rsidR="00C018E1" w:rsidRPr="00AE3438">
        <w:rPr>
          <w:iCs/>
        </w:rPr>
        <w:t xml:space="preserve">age at treatment initiation, disease duration, baseline motor function, </w:t>
      </w:r>
      <w:r w:rsidR="000A121A" w:rsidRPr="00AE3438">
        <w:rPr>
          <w:iCs/>
        </w:rPr>
        <w:t>disease duration</w:t>
      </w:r>
      <w:r w:rsidR="00C018E1" w:rsidRPr="00AE3438">
        <w:rPr>
          <w:iCs/>
        </w:rPr>
        <w:t>, as well as difference in milestone measurement and assessment timepoints making comparisons difficult.</w:t>
      </w:r>
      <w:bookmarkEnd w:id="51"/>
      <w:r w:rsidRPr="00AE3438">
        <w:rPr>
          <w:iCs/>
        </w:rPr>
        <w:t xml:space="preserve"> </w:t>
      </w:r>
    </w:p>
    <w:p w14:paraId="4AEE0513" w14:textId="75D4AC18" w:rsidR="004827DD" w:rsidRPr="00054F33" w:rsidRDefault="004827DD" w:rsidP="00054F33">
      <w:pPr>
        <w:pStyle w:val="ListParagraph"/>
        <w:numPr>
          <w:ilvl w:val="0"/>
          <w:numId w:val="5"/>
        </w:numPr>
        <w:rPr>
          <w:iCs/>
        </w:rPr>
      </w:pPr>
      <w:r w:rsidRPr="00AE3438">
        <w:rPr>
          <w:iCs/>
          <w:u w:val="single"/>
        </w:rPr>
        <w:t>Counter factual SMA type:</w:t>
      </w:r>
      <w:r w:rsidRPr="00AE3438">
        <w:rPr>
          <w:iCs/>
        </w:rPr>
        <w:t xml:space="preserve"> Given the counterfactual phenotype of patients treated pre</w:t>
      </w:r>
      <w:r w:rsidR="008E68E1" w:rsidRPr="00AE3438">
        <w:rPr>
          <w:iCs/>
        </w:rPr>
        <w:t>-</w:t>
      </w:r>
      <w:r w:rsidRPr="00AE3438">
        <w:rPr>
          <w:iCs/>
        </w:rPr>
        <w:t>symptomatically with ONA will never be revealed, and that patients with 3 SMN2 copies may adopt a range of phenotype</w:t>
      </w:r>
      <w:r w:rsidR="00175369" w:rsidRPr="00AE3438">
        <w:rPr>
          <w:iCs/>
        </w:rPr>
        <w:t>s</w:t>
      </w:r>
      <w:r w:rsidRPr="00AE3438">
        <w:rPr>
          <w:iCs/>
        </w:rPr>
        <w:t xml:space="preserve"> from never sitting and imminent death without treatment (Type I) to normal life span and minor motor deficits (Type IV), any benefit will also depend on the expected composition of these phenotypes in Australia, which may vary from estimates in natural history.</w:t>
      </w:r>
      <w:r w:rsidR="009B33D2" w:rsidRPr="00AE3438">
        <w:rPr>
          <w:rFonts w:ascii="Sabon" w:eastAsiaTheme="minorHAnsi" w:hAnsi="Sabon" w:cstheme="minorBidi"/>
          <w:snapToGrid/>
          <w:sz w:val="22"/>
          <w:lang w:eastAsia="en-US"/>
        </w:rPr>
        <w:t xml:space="preserve"> </w:t>
      </w:r>
    </w:p>
    <w:p w14:paraId="0FC07C2C" w14:textId="71ABF855" w:rsidR="0091230F" w:rsidRPr="00054F33" w:rsidRDefault="00727554" w:rsidP="00D8520A">
      <w:pPr>
        <w:pStyle w:val="3-BodyText"/>
        <w:rPr>
          <w:iCs/>
        </w:rPr>
      </w:pPr>
      <w:r w:rsidRPr="00054F33">
        <w:rPr>
          <w:iCs/>
        </w:rPr>
        <w:t xml:space="preserve">The ESC considered that the claim of superior effectiveness compared to symptomatic treatment with DMTs was not adequately supported by the </w:t>
      </w:r>
      <w:r w:rsidR="005A695C" w:rsidRPr="00054F33">
        <w:rPr>
          <w:iCs/>
        </w:rPr>
        <w:t xml:space="preserve">available evidence. The </w:t>
      </w:r>
      <w:r w:rsidR="005A695C" w:rsidRPr="00054F33">
        <w:rPr>
          <w:iCs/>
        </w:rPr>
        <w:lastRenderedPageBreak/>
        <w:t xml:space="preserve">ESC noted there </w:t>
      </w:r>
      <w:r w:rsidR="0024131C" w:rsidRPr="00054F33">
        <w:rPr>
          <w:iCs/>
        </w:rPr>
        <w:t>w</w:t>
      </w:r>
      <w:r w:rsidR="0024131C">
        <w:rPr>
          <w:iCs/>
        </w:rPr>
        <w:t>ere</w:t>
      </w:r>
      <w:r w:rsidR="0024131C" w:rsidRPr="00054F33">
        <w:rPr>
          <w:iCs/>
        </w:rPr>
        <w:t xml:space="preserve"> </w:t>
      </w:r>
      <w:r w:rsidR="005A695C" w:rsidRPr="00054F33">
        <w:rPr>
          <w:iCs/>
        </w:rPr>
        <w:t xml:space="preserve">limited data available to inform the comparison and it was unknown whether the effects of ONA would be maintained over a lifetime </w:t>
      </w:r>
      <w:r w:rsidR="00C255E1" w:rsidRPr="00054F33">
        <w:rPr>
          <w:iCs/>
        </w:rPr>
        <w:t xml:space="preserve">given the limited long-term data. </w:t>
      </w:r>
      <w:r w:rsidR="004149AC" w:rsidRPr="00054F33">
        <w:rPr>
          <w:iCs/>
        </w:rPr>
        <w:t xml:space="preserve">The ESC considered it was difficult to quantify any benefit as the disease trajectory of pre-symptomatic patients was unknown.  </w:t>
      </w:r>
    </w:p>
    <w:p w14:paraId="049FFAEC" w14:textId="6BE1FC7F" w:rsidR="00D8520A" w:rsidRPr="001375D9" w:rsidRDefault="00D8520A" w:rsidP="00D8520A">
      <w:pPr>
        <w:pStyle w:val="3-BodyText"/>
        <w:rPr>
          <w:iCs/>
        </w:rPr>
      </w:pPr>
      <w:r w:rsidRPr="001375D9">
        <w:rPr>
          <w:iCs/>
        </w:rPr>
        <w:t xml:space="preserve">The ESC considered the claim of non-inferior safety was reasonable. </w:t>
      </w:r>
    </w:p>
    <w:p w14:paraId="4A6E11E8" w14:textId="647987E8" w:rsidR="00054F33" w:rsidRPr="001375D9" w:rsidRDefault="00054F33" w:rsidP="00054F33">
      <w:pPr>
        <w:widowControl w:val="0"/>
        <w:numPr>
          <w:ilvl w:val="1"/>
          <w:numId w:val="1"/>
        </w:numPr>
        <w:spacing w:after="120"/>
        <w:rPr>
          <w:rFonts w:asciiTheme="minorHAnsi" w:hAnsiTheme="minorHAnsi"/>
          <w:snapToGrid w:val="0"/>
          <w:szCs w:val="20"/>
        </w:rPr>
      </w:pPr>
      <w:bookmarkStart w:id="52" w:name="_Hlk76376200"/>
      <w:r w:rsidRPr="001375D9">
        <w:rPr>
          <w:rFonts w:asciiTheme="minorHAnsi" w:hAnsiTheme="minorHAnsi"/>
          <w:iCs/>
          <w:snapToGrid w:val="0"/>
        </w:rPr>
        <w:t>The</w:t>
      </w:r>
      <w:r w:rsidRPr="001375D9">
        <w:rPr>
          <w:rFonts w:asciiTheme="minorHAnsi" w:hAnsiTheme="minorHAnsi"/>
          <w:snapToGrid w:val="0"/>
          <w:szCs w:val="20"/>
        </w:rPr>
        <w:t xml:space="preserve"> PBAC </w:t>
      </w:r>
      <w:r w:rsidR="001375D9" w:rsidRPr="001375D9">
        <w:rPr>
          <w:rFonts w:asciiTheme="minorHAnsi" w:hAnsiTheme="minorHAnsi"/>
          <w:snapToGrid w:val="0"/>
          <w:szCs w:val="20"/>
        </w:rPr>
        <w:t>accepted</w:t>
      </w:r>
      <w:r w:rsidRPr="001375D9">
        <w:rPr>
          <w:rFonts w:asciiTheme="minorHAnsi" w:hAnsiTheme="minorHAnsi"/>
          <w:snapToGrid w:val="0"/>
          <w:szCs w:val="20"/>
        </w:rPr>
        <w:t xml:space="preserve"> the claim of superior comparative effectiveness</w:t>
      </w:r>
      <w:r w:rsidR="00D11718">
        <w:rPr>
          <w:rFonts w:asciiTheme="minorHAnsi" w:hAnsiTheme="minorHAnsi"/>
          <w:snapToGrid w:val="0"/>
          <w:szCs w:val="20"/>
        </w:rPr>
        <w:t xml:space="preserve"> for pre-symptomatic treatment of patients with 3 copies of </w:t>
      </w:r>
      <w:r w:rsidR="00D11718" w:rsidRPr="00973899">
        <w:rPr>
          <w:rFonts w:asciiTheme="minorHAnsi" w:hAnsiTheme="minorHAnsi"/>
          <w:i/>
          <w:iCs/>
          <w:snapToGrid w:val="0"/>
          <w:szCs w:val="20"/>
        </w:rPr>
        <w:t>SMN2</w:t>
      </w:r>
      <w:r w:rsidR="00A26513">
        <w:rPr>
          <w:rFonts w:asciiTheme="minorHAnsi" w:hAnsiTheme="minorHAnsi"/>
          <w:snapToGrid w:val="0"/>
          <w:szCs w:val="20"/>
        </w:rPr>
        <w:t xml:space="preserve">, </w:t>
      </w:r>
      <w:r w:rsidR="00196C87">
        <w:rPr>
          <w:lang w:val="en-GB"/>
        </w:rPr>
        <w:t>on the basis that pre-symptomatic treatment would be expected to prevent or reduce the irreversible loss of motor neurons and therefore result in superior outcomes for patients</w:t>
      </w:r>
      <w:r w:rsidR="00A26513">
        <w:rPr>
          <w:rFonts w:asciiTheme="minorHAnsi" w:hAnsiTheme="minorHAnsi"/>
          <w:snapToGrid w:val="0"/>
          <w:szCs w:val="20"/>
        </w:rPr>
        <w:t>. However, the PBAC noted that the magnitude of benefit</w:t>
      </w:r>
      <w:r w:rsidR="007D1354">
        <w:rPr>
          <w:rFonts w:asciiTheme="minorHAnsi" w:hAnsiTheme="minorHAnsi"/>
          <w:snapToGrid w:val="0"/>
          <w:szCs w:val="20"/>
        </w:rPr>
        <w:t xml:space="preserve"> could not be discerned from the limited clinical data.</w:t>
      </w:r>
      <w:r w:rsidR="00A26513">
        <w:rPr>
          <w:rFonts w:asciiTheme="minorHAnsi" w:hAnsiTheme="minorHAnsi"/>
          <w:snapToGrid w:val="0"/>
          <w:szCs w:val="20"/>
        </w:rPr>
        <w:t xml:space="preserve"> </w:t>
      </w:r>
      <w:r w:rsidRPr="001375D9">
        <w:rPr>
          <w:rFonts w:asciiTheme="minorHAnsi" w:hAnsiTheme="minorHAnsi"/>
          <w:snapToGrid w:val="0"/>
          <w:szCs w:val="20"/>
        </w:rPr>
        <w:t xml:space="preserve"> </w:t>
      </w:r>
    </w:p>
    <w:p w14:paraId="57A0740B" w14:textId="1E296C08" w:rsidR="00054F33" w:rsidRPr="009A65A9" w:rsidRDefault="00054F33" w:rsidP="009A65A9">
      <w:pPr>
        <w:widowControl w:val="0"/>
        <w:numPr>
          <w:ilvl w:val="1"/>
          <w:numId w:val="1"/>
        </w:numPr>
        <w:spacing w:after="120"/>
        <w:rPr>
          <w:rFonts w:asciiTheme="minorHAnsi" w:hAnsiTheme="minorHAnsi"/>
          <w:snapToGrid w:val="0"/>
          <w:szCs w:val="20"/>
        </w:rPr>
      </w:pPr>
      <w:r w:rsidRPr="00D11718">
        <w:rPr>
          <w:rFonts w:asciiTheme="minorHAnsi" w:hAnsiTheme="minorHAnsi"/>
          <w:snapToGrid w:val="0"/>
          <w:szCs w:val="20"/>
        </w:rPr>
        <w:t xml:space="preserve">The PBAC </w:t>
      </w:r>
      <w:r w:rsidR="00196C87" w:rsidRPr="00D11718">
        <w:rPr>
          <w:rFonts w:asciiTheme="minorHAnsi" w:hAnsiTheme="minorHAnsi"/>
          <w:snapToGrid w:val="0"/>
          <w:szCs w:val="20"/>
        </w:rPr>
        <w:t xml:space="preserve">recalled it previously </w:t>
      </w:r>
      <w:r w:rsidR="00D11718" w:rsidRPr="00D11718">
        <w:rPr>
          <w:rFonts w:asciiTheme="minorHAnsi" w:hAnsiTheme="minorHAnsi"/>
          <w:snapToGrid w:val="0"/>
          <w:szCs w:val="20"/>
        </w:rPr>
        <w:t xml:space="preserve">noted that </w:t>
      </w:r>
      <w:r w:rsidR="00D11718">
        <w:t>safety data presented for ONA and nusinersen indicated that ONA had a similar or greater proportion of patients with any AE, serious AEs, and treatment related serious AEs and noting the black box safety warning for the risk of acute serious liver injury</w:t>
      </w:r>
      <w:r w:rsidR="000F4109">
        <w:t xml:space="preserve"> (para 7.6 ONA PSD, November 2020 PBAC meeting)</w:t>
      </w:r>
      <w:r w:rsidR="00D11718">
        <w:t xml:space="preserve">. The PBAC considered that </w:t>
      </w:r>
      <w:r w:rsidRPr="00D11718">
        <w:rPr>
          <w:rFonts w:asciiTheme="minorHAnsi" w:hAnsiTheme="minorHAnsi"/>
          <w:snapToGrid w:val="0"/>
          <w:szCs w:val="20"/>
        </w:rPr>
        <w:t>the claim of non-inferior comparative safety</w:t>
      </w:r>
      <w:r w:rsidR="00196C87" w:rsidRPr="00D11718">
        <w:rPr>
          <w:rFonts w:asciiTheme="minorHAnsi" w:hAnsiTheme="minorHAnsi"/>
          <w:snapToGrid w:val="0"/>
          <w:szCs w:val="20"/>
        </w:rPr>
        <w:t xml:space="preserve"> for</w:t>
      </w:r>
      <w:r w:rsidR="00D11718">
        <w:rPr>
          <w:rFonts w:asciiTheme="minorHAnsi" w:hAnsiTheme="minorHAnsi"/>
          <w:snapToGrid w:val="0"/>
          <w:szCs w:val="20"/>
        </w:rPr>
        <w:t xml:space="preserve"> pre-symptomatic treatment with</w:t>
      </w:r>
      <w:r w:rsidR="00196C87" w:rsidRPr="00D11718">
        <w:rPr>
          <w:rFonts w:asciiTheme="minorHAnsi" w:hAnsiTheme="minorHAnsi"/>
          <w:snapToGrid w:val="0"/>
          <w:szCs w:val="20"/>
        </w:rPr>
        <w:t xml:space="preserve"> ONA compared with </w:t>
      </w:r>
      <w:r w:rsidR="00D11718">
        <w:rPr>
          <w:rFonts w:asciiTheme="minorHAnsi" w:hAnsiTheme="minorHAnsi"/>
          <w:snapToGrid w:val="0"/>
          <w:szCs w:val="20"/>
        </w:rPr>
        <w:t>watchful waiting was not reasonable, where some patients (albeit a small proportion) may not require symptomatic treatment with DMTs</w:t>
      </w:r>
      <w:r w:rsidRPr="00D11718">
        <w:rPr>
          <w:rFonts w:asciiTheme="minorHAnsi" w:hAnsiTheme="minorHAnsi"/>
          <w:snapToGrid w:val="0"/>
          <w:szCs w:val="20"/>
        </w:rPr>
        <w:t>.</w:t>
      </w:r>
      <w:r w:rsidR="00D11718">
        <w:rPr>
          <w:rFonts w:asciiTheme="minorHAnsi" w:hAnsiTheme="minorHAnsi"/>
          <w:snapToGrid w:val="0"/>
          <w:szCs w:val="20"/>
        </w:rPr>
        <w:t xml:space="preserve"> </w:t>
      </w:r>
      <w:bookmarkEnd w:id="52"/>
    </w:p>
    <w:p w14:paraId="56770E94" w14:textId="77777777" w:rsidR="00B75142" w:rsidRPr="00AE3438" w:rsidRDefault="00B75142" w:rsidP="00B75142">
      <w:pPr>
        <w:keepNext/>
        <w:spacing w:before="120" w:after="120"/>
        <w:outlineLvl w:val="1"/>
        <w:rPr>
          <w:rFonts w:asciiTheme="minorHAnsi" w:eastAsiaTheme="majorEastAsia" w:hAnsiTheme="minorHAnsi" w:cstheme="majorBidi"/>
          <w:b/>
          <w:i/>
          <w:spacing w:val="5"/>
          <w:kern w:val="28"/>
          <w:sz w:val="28"/>
          <w:szCs w:val="36"/>
        </w:rPr>
      </w:pPr>
      <w:bookmarkStart w:id="53" w:name="_Toc22897645"/>
      <w:r w:rsidRPr="00AE3438">
        <w:rPr>
          <w:rFonts w:asciiTheme="minorHAnsi" w:eastAsiaTheme="majorEastAsia" w:hAnsiTheme="minorHAnsi" w:cstheme="majorBidi"/>
          <w:b/>
          <w:i/>
          <w:spacing w:val="5"/>
          <w:kern w:val="28"/>
          <w:sz w:val="28"/>
          <w:szCs w:val="36"/>
        </w:rPr>
        <w:t>Economic analysis</w:t>
      </w:r>
      <w:bookmarkEnd w:id="53"/>
      <w:r w:rsidRPr="00AE3438">
        <w:rPr>
          <w:rFonts w:asciiTheme="minorHAnsi" w:eastAsiaTheme="majorEastAsia" w:hAnsiTheme="minorHAnsi" w:cstheme="majorBidi"/>
          <w:b/>
          <w:i/>
          <w:spacing w:val="5"/>
          <w:kern w:val="28"/>
          <w:sz w:val="28"/>
          <w:szCs w:val="36"/>
        </w:rPr>
        <w:t xml:space="preserve"> </w:t>
      </w:r>
    </w:p>
    <w:p w14:paraId="30771C41" w14:textId="69556025" w:rsidR="00B75142" w:rsidRPr="00AE3438" w:rsidRDefault="00B75142" w:rsidP="000613B9">
      <w:pPr>
        <w:numPr>
          <w:ilvl w:val="1"/>
          <w:numId w:val="1"/>
        </w:numPr>
        <w:spacing w:after="120"/>
        <w:rPr>
          <w:rFonts w:asciiTheme="minorHAnsi" w:hAnsiTheme="minorHAnsi"/>
          <w:snapToGrid w:val="0"/>
        </w:rPr>
      </w:pPr>
      <w:r w:rsidRPr="00AE3438">
        <w:rPr>
          <w:rFonts w:asciiTheme="minorHAnsi" w:hAnsiTheme="minorHAnsi"/>
          <w:snapToGrid w:val="0"/>
        </w:rPr>
        <w:t xml:space="preserve">The submission presented a test and treat cost-utility analysis for patients with 3 copies of </w:t>
      </w:r>
      <w:r w:rsidRPr="00AE3438">
        <w:rPr>
          <w:rFonts w:asciiTheme="minorHAnsi" w:hAnsiTheme="minorHAnsi"/>
          <w:i/>
          <w:iCs/>
          <w:snapToGrid w:val="0"/>
        </w:rPr>
        <w:t>SMN2</w:t>
      </w:r>
      <w:r w:rsidRPr="00AE3438">
        <w:rPr>
          <w:rFonts w:asciiTheme="minorHAnsi" w:hAnsiTheme="minorHAnsi"/>
          <w:snapToGrid w:val="0"/>
        </w:rPr>
        <w:t xml:space="preserve"> comparing ‘the proposed strategy’ (pre-symptomatic treatment with ONA) versus ‘status quo’ initiating treatment as symptoms emerge. The modelling approach was a Markov cohort analysis (7 health states) with an associated decision tree incorporating </w:t>
      </w:r>
      <w:r w:rsidRPr="00AE3438">
        <w:rPr>
          <w:rFonts w:asciiTheme="minorHAnsi" w:hAnsiTheme="minorHAnsi"/>
          <w:i/>
          <w:iCs/>
          <w:snapToGrid w:val="0"/>
        </w:rPr>
        <w:t xml:space="preserve">SMN2 </w:t>
      </w:r>
      <w:r w:rsidRPr="00AE3438">
        <w:rPr>
          <w:rFonts w:asciiTheme="minorHAnsi" w:hAnsiTheme="minorHAnsi"/>
          <w:snapToGrid w:val="0"/>
        </w:rPr>
        <w:t>testing accuracy in the pre-symptomatic arm and splitting patients by SMA type in status quo.</w:t>
      </w:r>
      <w:r w:rsidR="000613B9" w:rsidRPr="00AE3438">
        <w:rPr>
          <w:rFonts w:asciiTheme="minorHAnsi" w:hAnsiTheme="minorHAnsi"/>
          <w:snapToGrid w:val="0"/>
        </w:rPr>
        <w:t xml:space="preserve"> Overall, the model structure was overly ambitious for the limited clinical data. </w:t>
      </w:r>
    </w:p>
    <w:p w14:paraId="3191AABB" w14:textId="5540066B" w:rsidR="00190F71" w:rsidRPr="00AE3438" w:rsidRDefault="00B75142" w:rsidP="00B75142">
      <w:pPr>
        <w:numPr>
          <w:ilvl w:val="1"/>
          <w:numId w:val="1"/>
        </w:numPr>
        <w:spacing w:after="120"/>
        <w:rPr>
          <w:rFonts w:asciiTheme="minorHAnsi" w:hAnsiTheme="minorHAnsi"/>
          <w:b/>
          <w:bCs/>
          <w:snapToGrid w:val="0"/>
        </w:rPr>
      </w:pPr>
      <w:r w:rsidRPr="00AE3438">
        <w:rPr>
          <w:rFonts w:asciiTheme="minorHAnsi" w:hAnsiTheme="minorHAnsi"/>
          <w:snapToGrid w:val="0"/>
        </w:rPr>
        <w:t xml:space="preserve">The clinical evidence supporting the model was poor </w:t>
      </w:r>
      <w:r w:rsidR="00175369" w:rsidRPr="00AE3438">
        <w:rPr>
          <w:rFonts w:asciiTheme="minorHAnsi" w:hAnsiTheme="minorHAnsi"/>
          <w:snapToGrid w:val="0"/>
        </w:rPr>
        <w:t xml:space="preserve">as it </w:t>
      </w:r>
      <w:r w:rsidRPr="00AE3438">
        <w:rPr>
          <w:rFonts w:asciiTheme="minorHAnsi" w:hAnsiTheme="minorHAnsi"/>
          <w:snapToGrid w:val="0"/>
        </w:rPr>
        <w:t>comprised mostly of small non</w:t>
      </w:r>
      <w:r w:rsidR="00343ADE" w:rsidRPr="00AE3438">
        <w:rPr>
          <w:rFonts w:asciiTheme="minorHAnsi" w:hAnsiTheme="minorHAnsi"/>
          <w:snapToGrid w:val="0"/>
        </w:rPr>
        <w:t>-</w:t>
      </w:r>
      <w:r w:rsidRPr="00AE3438">
        <w:rPr>
          <w:rFonts w:asciiTheme="minorHAnsi" w:hAnsiTheme="minorHAnsi"/>
          <w:snapToGrid w:val="0"/>
        </w:rPr>
        <w:t xml:space="preserve">randomised studies with significant heterogeneity including potential treatment effect modifiers such as </w:t>
      </w:r>
      <w:r w:rsidRPr="0052459E">
        <w:rPr>
          <w:rFonts w:asciiTheme="minorHAnsi" w:hAnsiTheme="minorHAnsi"/>
          <w:i/>
          <w:iCs/>
          <w:snapToGrid w:val="0"/>
        </w:rPr>
        <w:t>SMN2</w:t>
      </w:r>
      <w:r w:rsidRPr="00AE3438">
        <w:rPr>
          <w:rFonts w:asciiTheme="minorHAnsi" w:hAnsiTheme="minorHAnsi"/>
          <w:snapToGrid w:val="0"/>
        </w:rPr>
        <w:t xml:space="preserve"> copies within phenotype, age at treatment initiation, disease duration, baseline motor function, intervals between symptom onset and treatment, as well as differences in milestone measurement and assessment timepoints. The evidence was particularly sparse for symptomatic treatment of Types II and III</w:t>
      </w:r>
      <w:r w:rsidR="000153DD" w:rsidRPr="00AE3438">
        <w:rPr>
          <w:rFonts w:asciiTheme="minorHAnsi" w:hAnsiTheme="minorHAnsi"/>
          <w:snapToGrid w:val="0"/>
        </w:rPr>
        <w:t xml:space="preserve"> SMA</w:t>
      </w:r>
      <w:r w:rsidRPr="00AE3438">
        <w:rPr>
          <w:rFonts w:asciiTheme="minorHAnsi" w:hAnsiTheme="minorHAnsi"/>
          <w:snapToGrid w:val="0"/>
        </w:rPr>
        <w:t xml:space="preserve">, this was a concern given Types II and III SMA are the most common phenotypes of patients with 3 copies of </w:t>
      </w:r>
      <w:r w:rsidRPr="0052459E">
        <w:rPr>
          <w:rFonts w:asciiTheme="minorHAnsi" w:hAnsiTheme="minorHAnsi"/>
          <w:i/>
          <w:iCs/>
          <w:snapToGrid w:val="0"/>
        </w:rPr>
        <w:t>SMN2</w:t>
      </w:r>
      <w:r w:rsidRPr="00AE3438">
        <w:rPr>
          <w:rFonts w:asciiTheme="minorHAnsi" w:hAnsiTheme="minorHAnsi"/>
          <w:snapToGrid w:val="0"/>
        </w:rPr>
        <w:t>.</w:t>
      </w:r>
      <w:r w:rsidR="00190F71" w:rsidRPr="00AE3438">
        <w:rPr>
          <w:iCs/>
        </w:rPr>
        <w:t xml:space="preserve"> </w:t>
      </w:r>
      <w:r w:rsidR="00343ADE" w:rsidRPr="00054F33">
        <w:rPr>
          <w:iCs/>
        </w:rPr>
        <w:t xml:space="preserve">Further, there were no disaggregated outcomes specific to symptomatic patients with 3 copies of </w:t>
      </w:r>
      <w:r w:rsidR="00343ADE" w:rsidRPr="0052459E">
        <w:rPr>
          <w:i/>
        </w:rPr>
        <w:t>SMN2</w:t>
      </w:r>
      <w:r w:rsidR="00343ADE" w:rsidRPr="00054F33">
        <w:rPr>
          <w:iCs/>
        </w:rPr>
        <w:t>.</w:t>
      </w:r>
    </w:p>
    <w:p w14:paraId="6483A94D" w14:textId="49AA8D9B" w:rsidR="00B75142" w:rsidRPr="00AE3438" w:rsidRDefault="00190F71" w:rsidP="00DF267F">
      <w:pPr>
        <w:pStyle w:val="3-BodyText"/>
        <w:rPr>
          <w:rFonts w:ascii="Calibri" w:hAnsi="Calibri"/>
          <w:i/>
          <w:snapToGrid/>
        </w:rPr>
      </w:pPr>
      <w:r w:rsidRPr="00AE3438">
        <w:t xml:space="preserve">Limiting symptomatic treatment in the status quo arm of the model to </w:t>
      </w:r>
      <w:r w:rsidR="006A453B" w:rsidRPr="00AE3438">
        <w:t>NUSI</w:t>
      </w:r>
      <w:r w:rsidRPr="00AE3438">
        <w:t xml:space="preserve"> was inconsistent with the clinical evaluation which also considered ONA and risdiplam for symptomatic treatment.</w:t>
      </w:r>
      <w:r w:rsidR="006A453B" w:rsidRPr="00AE3438">
        <w:rPr>
          <w:i/>
        </w:rPr>
        <w:t xml:space="preserve"> </w:t>
      </w:r>
      <w:r w:rsidR="00343ADE" w:rsidRPr="00054F33">
        <w:rPr>
          <w:iCs/>
        </w:rPr>
        <w:t xml:space="preserve">The PSCR stated NUSI can be considered representative </w:t>
      </w:r>
      <w:r w:rsidR="000613B9" w:rsidRPr="00054F33">
        <w:rPr>
          <w:iCs/>
        </w:rPr>
        <w:t>of</w:t>
      </w:r>
      <w:r w:rsidR="00343ADE" w:rsidRPr="00054F33">
        <w:rPr>
          <w:iCs/>
        </w:rPr>
        <w:t xml:space="preserve"> SMA treatments in the symptomatic setting </w:t>
      </w:r>
      <w:r w:rsidR="006A453B" w:rsidRPr="00054F33">
        <w:rPr>
          <w:iCs/>
        </w:rPr>
        <w:t xml:space="preserve">given </w:t>
      </w:r>
      <w:r w:rsidR="00334376" w:rsidRPr="00054F33">
        <w:rPr>
          <w:iCs/>
        </w:rPr>
        <w:t xml:space="preserve">ONA and RISD were recommended </w:t>
      </w:r>
      <w:r w:rsidR="00334376" w:rsidRPr="00054F33">
        <w:rPr>
          <w:iCs/>
        </w:rPr>
        <w:lastRenderedPageBreak/>
        <w:t xml:space="preserve">for listing by the PBAC on a cost-minimisation basis to NUSI and the </w:t>
      </w:r>
      <w:r w:rsidR="00041BC5" w:rsidRPr="00054F33">
        <w:rPr>
          <w:iCs/>
        </w:rPr>
        <w:t>clinical evidence presented demonstrates at least non-inferior efficacy and safety across ONA, NUSI and RISD for symptomatic SMA.</w:t>
      </w:r>
      <w:r w:rsidR="00010544" w:rsidRPr="00054F33">
        <w:rPr>
          <w:iCs/>
        </w:rPr>
        <w:t xml:space="preserve"> </w:t>
      </w:r>
      <w:r w:rsidR="00127719" w:rsidRPr="00054F33">
        <w:rPr>
          <w:iCs/>
        </w:rPr>
        <w:t xml:space="preserve">The PSCR also stated that incorporating each DMT would </w:t>
      </w:r>
      <w:r w:rsidR="00DF267F" w:rsidRPr="00054F33">
        <w:rPr>
          <w:iCs/>
        </w:rPr>
        <w:t>add uncertainty and complexity to the economic evaluation.</w:t>
      </w:r>
      <w:r w:rsidR="00343ADE" w:rsidRPr="00054F33">
        <w:rPr>
          <w:iCs/>
        </w:rPr>
        <w:t xml:space="preserve"> The ESC considered that </w:t>
      </w:r>
      <w:r w:rsidR="002A6FB8" w:rsidRPr="00054F33">
        <w:rPr>
          <w:iCs/>
        </w:rPr>
        <w:t>limiting symptomatic treatment in the status quo arm to NUSI</w:t>
      </w:r>
      <w:r w:rsidR="00343ADE" w:rsidRPr="00054F33">
        <w:rPr>
          <w:iCs/>
        </w:rPr>
        <w:t xml:space="preserve"> was </w:t>
      </w:r>
      <w:r w:rsidR="005D0BD4" w:rsidRPr="00054F33">
        <w:rPr>
          <w:iCs/>
        </w:rPr>
        <w:t>unlikely to adequately represent outcomes and costs in clinical practice.</w:t>
      </w:r>
      <w:r w:rsidR="00CF48D2">
        <w:rPr>
          <w:iCs/>
        </w:rPr>
        <w:t xml:space="preserve"> </w:t>
      </w:r>
    </w:p>
    <w:p w14:paraId="2A02D7F3" w14:textId="7A25403B" w:rsidR="00B75142" w:rsidRPr="00AE3438" w:rsidRDefault="00B75142" w:rsidP="00B75142">
      <w:pPr>
        <w:numPr>
          <w:ilvl w:val="1"/>
          <w:numId w:val="1"/>
        </w:numPr>
        <w:spacing w:after="120"/>
        <w:rPr>
          <w:rFonts w:asciiTheme="minorHAnsi" w:hAnsiTheme="minorHAnsi"/>
          <w:snapToGrid w:val="0"/>
        </w:rPr>
      </w:pPr>
      <w:r w:rsidRPr="00AE3438">
        <w:rPr>
          <w:rFonts w:asciiTheme="minorHAnsi" w:hAnsiTheme="minorHAnsi"/>
          <w:snapToGrid w:val="0"/>
        </w:rPr>
        <w:t xml:space="preserve">A summary of the key components of the economic evaluation is presented in </w:t>
      </w:r>
      <w:r w:rsidRPr="00AE3438">
        <w:rPr>
          <w:rFonts w:asciiTheme="minorHAnsi" w:hAnsiTheme="minorHAnsi"/>
          <w:snapToGrid w:val="0"/>
        </w:rPr>
        <w:fldChar w:fldCharType="begin"/>
      </w:r>
      <w:r w:rsidRPr="00AE3438">
        <w:rPr>
          <w:rFonts w:asciiTheme="minorHAnsi" w:hAnsiTheme="minorHAnsi"/>
          <w:snapToGrid w:val="0"/>
        </w:rPr>
        <w:instrText xml:space="preserve"> REF _Ref113127377 \h  \* MERGEFORMAT </w:instrText>
      </w:r>
      <w:r w:rsidRPr="00AE3438">
        <w:rPr>
          <w:rFonts w:asciiTheme="minorHAnsi" w:hAnsiTheme="minorHAnsi"/>
          <w:snapToGrid w:val="0"/>
        </w:rPr>
      </w:r>
      <w:r w:rsidRPr="00AE3438">
        <w:rPr>
          <w:rFonts w:asciiTheme="minorHAnsi" w:hAnsiTheme="minorHAnsi"/>
          <w:snapToGrid w:val="0"/>
        </w:rPr>
        <w:fldChar w:fldCharType="separate"/>
      </w:r>
      <w:r w:rsidR="008E4E26" w:rsidRPr="008E4E26">
        <w:rPr>
          <w:rFonts w:asciiTheme="minorHAnsi" w:hAnsiTheme="minorHAnsi"/>
          <w:snapToGrid w:val="0"/>
        </w:rPr>
        <w:t>Table 9</w:t>
      </w:r>
      <w:r w:rsidRPr="00AE3438">
        <w:rPr>
          <w:rFonts w:asciiTheme="minorHAnsi" w:hAnsiTheme="minorHAnsi"/>
          <w:snapToGrid w:val="0"/>
        </w:rPr>
        <w:fldChar w:fldCharType="end"/>
      </w:r>
      <w:r w:rsidRPr="00AE3438">
        <w:rPr>
          <w:rFonts w:asciiTheme="minorHAnsi" w:hAnsiTheme="minorHAnsi"/>
          <w:snapToGrid w:val="0"/>
        </w:rPr>
        <w:t>.</w:t>
      </w:r>
    </w:p>
    <w:p w14:paraId="4A234B1C" w14:textId="12C5CE4D" w:rsidR="00B75142" w:rsidRPr="00AE3438" w:rsidRDefault="00B75142" w:rsidP="00B75142">
      <w:pPr>
        <w:keepNext/>
        <w:jc w:val="left"/>
        <w:rPr>
          <w:rFonts w:ascii="Arial Narrow" w:hAnsi="Arial Narrow"/>
          <w:b/>
          <w:bCs/>
          <w:sz w:val="20"/>
        </w:rPr>
      </w:pPr>
      <w:bookmarkStart w:id="54" w:name="_Ref113127377"/>
      <w:r w:rsidRPr="00AE3438">
        <w:rPr>
          <w:rFonts w:ascii="Arial Narrow" w:hAnsi="Arial Narrow"/>
          <w:b/>
          <w:bCs/>
          <w:sz w:val="20"/>
          <w:szCs w:val="18"/>
        </w:rPr>
        <w:t xml:space="preserve">Table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Table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9</w:t>
      </w:r>
      <w:r w:rsidRPr="00AE3438">
        <w:rPr>
          <w:rFonts w:ascii="Arial Narrow" w:hAnsi="Arial Narrow"/>
          <w:b/>
          <w:bCs/>
          <w:sz w:val="20"/>
          <w:szCs w:val="18"/>
        </w:rPr>
        <w:fldChar w:fldCharType="end"/>
      </w:r>
      <w:bookmarkEnd w:id="54"/>
      <w:r w:rsidRPr="00AE3438">
        <w:rPr>
          <w:rFonts w:ascii="Arial Narrow" w:hAnsi="Arial Narrow"/>
          <w:b/>
          <w:bCs/>
          <w:sz w:val="20"/>
          <w:szCs w:val="18"/>
        </w:rPr>
        <w:t>:</w:t>
      </w:r>
      <w:r w:rsidRPr="00AE3438">
        <w:rPr>
          <w:rFonts w:ascii="Arial Narrow" w:hAnsi="Arial Narrow"/>
          <w:b/>
          <w:bCs/>
          <w:sz w:val="20"/>
        </w:rPr>
        <w:t xml:space="preserve"> Summary of model structure, key inputs and rationale</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2"/>
        <w:gridCol w:w="7746"/>
      </w:tblGrid>
      <w:tr w:rsidR="00B75142" w:rsidRPr="00AE3438" w14:paraId="484FE10C" w14:textId="77777777" w:rsidTr="00B75142">
        <w:trPr>
          <w:tblHeader/>
        </w:trPr>
        <w:tc>
          <w:tcPr>
            <w:tcW w:w="771" w:type="pct"/>
            <w:shd w:val="clear" w:color="auto" w:fill="auto"/>
            <w:vAlign w:val="center"/>
          </w:tcPr>
          <w:p w14:paraId="4705561A" w14:textId="77777777" w:rsidR="00B75142" w:rsidRPr="00AE3438" w:rsidRDefault="00B75142" w:rsidP="00B75142">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Component</w:t>
            </w:r>
          </w:p>
        </w:tc>
        <w:tc>
          <w:tcPr>
            <w:tcW w:w="4229" w:type="pct"/>
            <w:shd w:val="clear" w:color="auto" w:fill="auto"/>
            <w:vAlign w:val="center"/>
          </w:tcPr>
          <w:p w14:paraId="32C4F09F" w14:textId="77777777" w:rsidR="00B75142" w:rsidRPr="00AE3438" w:rsidRDefault="00B75142" w:rsidP="00B75142">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Summary</w:t>
            </w:r>
          </w:p>
        </w:tc>
      </w:tr>
      <w:tr w:rsidR="00B75142" w:rsidRPr="00AE3438" w14:paraId="6CD7E265" w14:textId="77777777" w:rsidTr="00B75142">
        <w:tc>
          <w:tcPr>
            <w:tcW w:w="771" w:type="pct"/>
            <w:shd w:val="clear" w:color="auto" w:fill="auto"/>
            <w:vAlign w:val="center"/>
          </w:tcPr>
          <w:p w14:paraId="3B7968AB"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Population</w:t>
            </w:r>
          </w:p>
        </w:tc>
        <w:tc>
          <w:tcPr>
            <w:tcW w:w="4229" w:type="pct"/>
            <w:shd w:val="clear" w:color="auto" w:fill="auto"/>
            <w:vAlign w:val="center"/>
          </w:tcPr>
          <w:p w14:paraId="3BB143C2" w14:textId="4602AC9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Patients with genetically confirmed SMA and 3 copies of SMN2. In the status quo arm, these patients were assumed to adopt either symptomatic Type I, II, IIIa or IIIb/IV SMA (note despite the labelling, Type IV was not allocated any patients, for clarity, this group </w:t>
            </w:r>
            <w:r w:rsidR="00577E88" w:rsidRPr="00AE3438">
              <w:rPr>
                <w:rFonts w:ascii="Arial Narrow" w:eastAsiaTheme="majorEastAsia" w:hAnsi="Arial Narrow" w:cstheme="majorBidi"/>
                <w:bCs/>
                <w:sz w:val="20"/>
              </w:rPr>
              <w:t xml:space="preserve">is referred to </w:t>
            </w:r>
            <w:r w:rsidRPr="00AE3438">
              <w:rPr>
                <w:rFonts w:ascii="Arial Narrow" w:eastAsiaTheme="majorEastAsia" w:hAnsi="Arial Narrow" w:cstheme="majorBidi"/>
                <w:bCs/>
                <w:sz w:val="20"/>
              </w:rPr>
              <w:t>as Type IIIb herein).</w:t>
            </w:r>
          </w:p>
          <w:p w14:paraId="1A8148F0" w14:textId="52F24035"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The phenotypes of patients likely to be treated on PBS </w:t>
            </w:r>
            <w:r w:rsidR="00447891" w:rsidRPr="00AE3438">
              <w:rPr>
                <w:rFonts w:ascii="Arial Narrow" w:eastAsiaTheme="majorEastAsia" w:hAnsi="Arial Narrow" w:cstheme="majorBidi"/>
                <w:bCs/>
                <w:sz w:val="20"/>
              </w:rPr>
              <w:t xml:space="preserve">were </w:t>
            </w:r>
            <w:r w:rsidRPr="00AE3438">
              <w:rPr>
                <w:rFonts w:ascii="Arial Narrow" w:eastAsiaTheme="majorEastAsia" w:hAnsi="Arial Narrow" w:cstheme="majorBidi"/>
                <w:bCs/>
                <w:sz w:val="20"/>
              </w:rPr>
              <w:t>unknown</w:t>
            </w:r>
            <w:r w:rsidR="005D0BD4" w:rsidRPr="00AE3438">
              <w:rPr>
                <w:rFonts w:ascii="Arial Narrow" w:eastAsiaTheme="majorEastAsia" w:hAnsi="Arial Narrow" w:cstheme="majorBidi"/>
                <w:bCs/>
                <w:sz w:val="20"/>
              </w:rPr>
              <w:t>,</w:t>
            </w:r>
            <w:r w:rsidRPr="00AE3438">
              <w:rPr>
                <w:rFonts w:ascii="Arial Narrow" w:eastAsiaTheme="majorEastAsia" w:hAnsi="Arial Narrow" w:cstheme="majorBidi"/>
                <w:bCs/>
                <w:sz w:val="20"/>
              </w:rPr>
              <w:t xml:space="preserve"> however based on natural history, patients with 3 SMN2 copies are most likely to develop Type II or III SMA.</w:t>
            </w:r>
          </w:p>
        </w:tc>
      </w:tr>
      <w:tr w:rsidR="00B75142" w:rsidRPr="00AE3438" w14:paraId="5C7A5CF9" w14:textId="77777777" w:rsidTr="00B75142">
        <w:tc>
          <w:tcPr>
            <w:tcW w:w="771" w:type="pct"/>
            <w:shd w:val="clear" w:color="auto" w:fill="auto"/>
            <w:vAlign w:val="center"/>
          </w:tcPr>
          <w:p w14:paraId="31153A46"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Treatments</w:t>
            </w:r>
          </w:p>
        </w:tc>
        <w:tc>
          <w:tcPr>
            <w:tcW w:w="4229" w:type="pct"/>
            <w:shd w:val="clear" w:color="auto" w:fill="auto"/>
            <w:vAlign w:val="center"/>
          </w:tcPr>
          <w:p w14:paraId="16695364"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‘Proposed strategy’ (pre-symptomatic treatment with ONA) vs ‘status quo’ initiating NUSI as symptoms emerge.</w:t>
            </w:r>
          </w:p>
          <w:p w14:paraId="61B0F380" w14:textId="17EAB29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Inappropriate for status quo given patients are also able to access ONA (Type I, ≤ 9mth of age) or RISD (Types I-IIIa) on PBS.</w:t>
            </w:r>
            <w:r w:rsidR="00496077" w:rsidRPr="00AE3438">
              <w:rPr>
                <w:rFonts w:ascii="Arial Narrow" w:eastAsiaTheme="majorEastAsia" w:hAnsi="Arial Narrow" w:cstheme="majorBidi"/>
                <w:bCs/>
                <w:sz w:val="20"/>
              </w:rPr>
              <w:t xml:space="preserve"> This is also inconsistent with the financial estimates which include offsets for NUSI and RISD. </w:t>
            </w:r>
          </w:p>
        </w:tc>
      </w:tr>
      <w:tr w:rsidR="00B75142" w:rsidRPr="00AE3438" w14:paraId="0382C535" w14:textId="77777777" w:rsidTr="00B75142">
        <w:tc>
          <w:tcPr>
            <w:tcW w:w="771" w:type="pct"/>
            <w:shd w:val="clear" w:color="auto" w:fill="auto"/>
            <w:vAlign w:val="center"/>
          </w:tcPr>
          <w:p w14:paraId="5D4DB6BD"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Time horizon</w:t>
            </w:r>
          </w:p>
        </w:tc>
        <w:tc>
          <w:tcPr>
            <w:tcW w:w="4229" w:type="pct"/>
            <w:shd w:val="clear" w:color="auto" w:fill="auto"/>
            <w:vAlign w:val="center"/>
          </w:tcPr>
          <w:p w14:paraId="09685B49"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30 years in the model base case versus 24 months in the SPR1NT study.</w:t>
            </w:r>
          </w:p>
        </w:tc>
      </w:tr>
      <w:tr w:rsidR="00B75142" w:rsidRPr="00AE3438" w14:paraId="212F13DB" w14:textId="77777777" w:rsidTr="00B75142">
        <w:tc>
          <w:tcPr>
            <w:tcW w:w="771" w:type="pct"/>
            <w:shd w:val="clear" w:color="auto" w:fill="auto"/>
            <w:vAlign w:val="center"/>
          </w:tcPr>
          <w:p w14:paraId="4AD432E2"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Outcomes</w:t>
            </w:r>
          </w:p>
        </w:tc>
        <w:tc>
          <w:tcPr>
            <w:tcW w:w="4229" w:type="pct"/>
            <w:shd w:val="clear" w:color="auto" w:fill="auto"/>
            <w:vAlign w:val="center"/>
          </w:tcPr>
          <w:p w14:paraId="49B0DD85"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Life years (LYs) and quality-adjusted life years (QALYs) gained.</w:t>
            </w:r>
          </w:p>
        </w:tc>
      </w:tr>
      <w:tr w:rsidR="00B75142" w:rsidRPr="00AE3438" w14:paraId="3C3318AE" w14:textId="77777777" w:rsidTr="00B75142">
        <w:tc>
          <w:tcPr>
            <w:tcW w:w="771" w:type="pct"/>
            <w:shd w:val="clear" w:color="auto" w:fill="auto"/>
            <w:vAlign w:val="center"/>
          </w:tcPr>
          <w:p w14:paraId="2619788D"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Methods used to generate results</w:t>
            </w:r>
          </w:p>
        </w:tc>
        <w:tc>
          <w:tcPr>
            <w:tcW w:w="4229" w:type="pct"/>
            <w:shd w:val="clear" w:color="auto" w:fill="auto"/>
            <w:vAlign w:val="center"/>
          </w:tcPr>
          <w:p w14:paraId="3A327158"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Markov cohort expected value.</w:t>
            </w:r>
          </w:p>
        </w:tc>
      </w:tr>
      <w:tr w:rsidR="00B75142" w:rsidRPr="00AE3438" w14:paraId="33B2BD34" w14:textId="77777777" w:rsidTr="00B75142">
        <w:tc>
          <w:tcPr>
            <w:tcW w:w="771" w:type="pct"/>
            <w:shd w:val="clear" w:color="auto" w:fill="auto"/>
            <w:vAlign w:val="center"/>
          </w:tcPr>
          <w:p w14:paraId="0F46B1A4"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Health states</w:t>
            </w:r>
          </w:p>
        </w:tc>
        <w:tc>
          <w:tcPr>
            <w:tcW w:w="4229" w:type="pct"/>
            <w:shd w:val="clear" w:color="auto" w:fill="auto"/>
            <w:vAlign w:val="center"/>
          </w:tcPr>
          <w:p w14:paraId="26199FAB"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7 health states: </w:t>
            </w:r>
          </w:p>
          <w:p w14:paraId="400F3AB6"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1. Non sitter (PAV)</w:t>
            </w:r>
          </w:p>
          <w:p w14:paraId="234C3EEC"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1. Non sitter</w:t>
            </w:r>
          </w:p>
          <w:p w14:paraId="3F169F4E"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2. </w:t>
            </w:r>
            <w:bookmarkStart w:id="55" w:name="_Hlk113287135"/>
            <w:r w:rsidRPr="00AE3438">
              <w:rPr>
                <w:rFonts w:ascii="Arial Narrow" w:eastAsiaTheme="majorEastAsia" w:hAnsi="Arial Narrow" w:cstheme="majorBidi"/>
                <w:bCs/>
                <w:sz w:val="20"/>
              </w:rPr>
              <w:t>Sitter (including sub-state “Loses sitting”)</w:t>
            </w:r>
          </w:p>
          <w:p w14:paraId="61EA3652"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3a. Delayed Walker (including sub-state “Loses walking”)</w:t>
            </w:r>
          </w:p>
          <w:p w14:paraId="7132D076"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3b. Experiences later onset SMA (including sub-state “Loses walking”)</w:t>
            </w:r>
          </w:p>
          <w:p w14:paraId="4574358E"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Broad range of normal development (BRND)</w:t>
            </w:r>
          </w:p>
          <w:bookmarkEnd w:id="55"/>
          <w:p w14:paraId="163757A3"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Death</w:t>
            </w:r>
          </w:p>
          <w:p w14:paraId="6429D3E4" w14:textId="375F3DE5"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The model’s base case assumed no motor milestone regressions. This may not be reasonable over a 30</w:t>
            </w:r>
            <w:r w:rsidR="00CA711B" w:rsidRPr="00AE3438">
              <w:rPr>
                <w:rFonts w:ascii="Arial Narrow" w:eastAsiaTheme="majorEastAsia" w:hAnsi="Arial Narrow" w:cstheme="majorBidi"/>
                <w:bCs/>
                <w:sz w:val="20"/>
              </w:rPr>
              <w:t>-</w:t>
            </w:r>
            <w:r w:rsidRPr="00AE3438">
              <w:rPr>
                <w:rFonts w:ascii="Arial Narrow" w:eastAsiaTheme="majorEastAsia" w:hAnsi="Arial Narrow" w:cstheme="majorBidi"/>
                <w:bCs/>
                <w:sz w:val="20"/>
              </w:rPr>
              <w:t xml:space="preserve"> year time horizon.</w:t>
            </w:r>
          </w:p>
        </w:tc>
      </w:tr>
      <w:tr w:rsidR="00B75142" w:rsidRPr="00AE3438" w14:paraId="747A7D76" w14:textId="77777777" w:rsidTr="00B75142">
        <w:tc>
          <w:tcPr>
            <w:tcW w:w="771" w:type="pct"/>
            <w:shd w:val="clear" w:color="auto" w:fill="auto"/>
            <w:vAlign w:val="center"/>
          </w:tcPr>
          <w:p w14:paraId="6B113287"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Cycle length</w:t>
            </w:r>
          </w:p>
        </w:tc>
        <w:tc>
          <w:tcPr>
            <w:tcW w:w="4229" w:type="pct"/>
            <w:shd w:val="clear" w:color="auto" w:fill="auto"/>
            <w:vAlign w:val="center"/>
          </w:tcPr>
          <w:p w14:paraId="0DCC5F8E"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One month.</w:t>
            </w:r>
          </w:p>
        </w:tc>
      </w:tr>
      <w:tr w:rsidR="00B75142" w:rsidRPr="00AE3438" w14:paraId="70664116" w14:textId="77777777" w:rsidTr="00B75142">
        <w:tc>
          <w:tcPr>
            <w:tcW w:w="771" w:type="pct"/>
            <w:shd w:val="clear" w:color="auto" w:fill="auto"/>
            <w:vAlign w:val="center"/>
          </w:tcPr>
          <w:p w14:paraId="1A2BFE86"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Starting health states assumed</w:t>
            </w:r>
          </w:p>
        </w:tc>
        <w:tc>
          <w:tcPr>
            <w:tcW w:w="4229" w:type="pct"/>
            <w:shd w:val="clear" w:color="auto" w:fill="auto"/>
            <w:vAlign w:val="center"/>
          </w:tcPr>
          <w:tbl>
            <w:tblPr>
              <w:tblStyle w:val="TableGrid"/>
              <w:tblW w:w="0" w:type="auto"/>
              <w:tblLayout w:type="fixed"/>
              <w:tblLook w:val="04A0" w:firstRow="1" w:lastRow="0" w:firstColumn="1" w:lastColumn="0" w:noHBand="0" w:noVBand="1"/>
            </w:tblPr>
            <w:tblGrid>
              <w:gridCol w:w="3115"/>
              <w:gridCol w:w="2410"/>
            </w:tblGrid>
            <w:tr w:rsidR="00B75142" w:rsidRPr="00AE3438" w14:paraId="7293C296" w14:textId="77777777" w:rsidTr="00B75142">
              <w:tc>
                <w:tcPr>
                  <w:tcW w:w="3115" w:type="dxa"/>
                </w:tcPr>
                <w:p w14:paraId="24D00876" w14:textId="77777777" w:rsidR="00B75142" w:rsidRPr="00AE3438" w:rsidRDefault="00B75142" w:rsidP="00B75142">
                  <w:pPr>
                    <w:jc w:val="left"/>
                    <w:rPr>
                      <w:rFonts w:ascii="Arial Narrow" w:eastAsiaTheme="majorEastAsia" w:hAnsi="Arial Narrow" w:cstheme="majorBidi"/>
                      <w:b/>
                      <w:sz w:val="20"/>
                    </w:rPr>
                  </w:pPr>
                  <w:r w:rsidRPr="00AE3438">
                    <w:rPr>
                      <w:rFonts w:ascii="Arial Narrow" w:eastAsiaTheme="majorEastAsia" w:hAnsi="Arial Narrow" w:cstheme="majorBidi"/>
                      <w:b/>
                      <w:sz w:val="20"/>
                    </w:rPr>
                    <w:t>SMA type</w:t>
                  </w:r>
                </w:p>
              </w:tc>
              <w:tc>
                <w:tcPr>
                  <w:tcW w:w="2410" w:type="dxa"/>
                </w:tcPr>
                <w:p w14:paraId="5BE17008" w14:textId="77777777" w:rsidR="00B75142" w:rsidRPr="00AE3438" w:rsidRDefault="00B75142" w:rsidP="00B75142">
                  <w:pPr>
                    <w:jc w:val="left"/>
                    <w:rPr>
                      <w:rFonts w:ascii="Arial Narrow" w:eastAsiaTheme="majorEastAsia" w:hAnsi="Arial Narrow" w:cstheme="majorBidi"/>
                      <w:b/>
                      <w:sz w:val="20"/>
                    </w:rPr>
                  </w:pPr>
                  <w:r w:rsidRPr="00AE3438">
                    <w:rPr>
                      <w:rFonts w:ascii="Arial Narrow" w:eastAsiaTheme="majorEastAsia" w:hAnsi="Arial Narrow" w:cstheme="majorBidi"/>
                      <w:b/>
                      <w:sz w:val="20"/>
                    </w:rPr>
                    <w:t xml:space="preserve">Starting health state </w:t>
                  </w:r>
                </w:p>
              </w:tc>
            </w:tr>
            <w:tr w:rsidR="00B75142" w:rsidRPr="00AE3438" w14:paraId="05329326" w14:textId="77777777" w:rsidTr="00B75142">
              <w:tc>
                <w:tcPr>
                  <w:tcW w:w="3115" w:type="dxa"/>
                </w:tcPr>
                <w:p w14:paraId="299CF2F9"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Pre-symptomatic (ONA)</w:t>
                  </w:r>
                </w:p>
              </w:tc>
              <w:tc>
                <w:tcPr>
                  <w:tcW w:w="2410" w:type="dxa"/>
                </w:tcPr>
                <w:p w14:paraId="05220550"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‘BRND’</w:t>
                  </w:r>
                </w:p>
              </w:tc>
            </w:tr>
            <w:tr w:rsidR="00B75142" w:rsidRPr="00AE3438" w14:paraId="292932F3" w14:textId="77777777" w:rsidTr="00B75142">
              <w:tc>
                <w:tcPr>
                  <w:tcW w:w="3115" w:type="dxa"/>
                </w:tcPr>
                <w:p w14:paraId="0043DE6B"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Symptomatic Type I SMA</w:t>
                  </w:r>
                </w:p>
              </w:tc>
              <w:tc>
                <w:tcPr>
                  <w:tcW w:w="2410" w:type="dxa"/>
                </w:tcPr>
                <w:p w14:paraId="46B85888"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‘1.Non sitter’</w:t>
                  </w:r>
                </w:p>
              </w:tc>
            </w:tr>
            <w:tr w:rsidR="00B75142" w:rsidRPr="00AE3438" w14:paraId="2C8F9E07" w14:textId="77777777" w:rsidTr="00B75142">
              <w:tc>
                <w:tcPr>
                  <w:tcW w:w="3115" w:type="dxa"/>
                </w:tcPr>
                <w:p w14:paraId="2C945877"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Symptomatic Type II SMA</w:t>
                  </w:r>
                </w:p>
              </w:tc>
              <w:tc>
                <w:tcPr>
                  <w:tcW w:w="2410" w:type="dxa"/>
                </w:tcPr>
                <w:p w14:paraId="52128BF2"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‘2.Sitter’</w:t>
                  </w:r>
                </w:p>
              </w:tc>
            </w:tr>
            <w:tr w:rsidR="00B75142" w:rsidRPr="00AE3438" w14:paraId="5E9666D1" w14:textId="77777777" w:rsidTr="00B75142">
              <w:tc>
                <w:tcPr>
                  <w:tcW w:w="3115" w:type="dxa"/>
                </w:tcPr>
                <w:p w14:paraId="1CAE4797"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Symptomatic Type IIIa, IIIb SMA</w:t>
                  </w:r>
                </w:p>
              </w:tc>
              <w:tc>
                <w:tcPr>
                  <w:tcW w:w="2410" w:type="dxa"/>
                </w:tcPr>
                <w:p w14:paraId="64FD258C"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‘BRND’</w:t>
                  </w:r>
                </w:p>
              </w:tc>
            </w:tr>
          </w:tbl>
          <w:p w14:paraId="4AF33C89" w14:textId="56EB95DD"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Inappropriate and favoured ONA</w:t>
            </w:r>
            <w:r w:rsidR="005D0BD4" w:rsidRPr="00AE3438">
              <w:rPr>
                <w:rFonts w:ascii="Arial Narrow" w:eastAsiaTheme="majorEastAsia" w:hAnsi="Arial Narrow" w:cstheme="majorBidi"/>
                <w:bCs/>
                <w:sz w:val="20"/>
              </w:rPr>
              <w:t>.</w:t>
            </w:r>
          </w:p>
        </w:tc>
      </w:tr>
      <w:tr w:rsidR="00B75142" w:rsidRPr="00AE3438" w14:paraId="311D3506" w14:textId="77777777" w:rsidTr="00B75142">
        <w:tc>
          <w:tcPr>
            <w:tcW w:w="771" w:type="pct"/>
            <w:shd w:val="clear" w:color="auto" w:fill="auto"/>
            <w:vAlign w:val="center"/>
          </w:tcPr>
          <w:p w14:paraId="1DDBE9B9"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Transition probabilities (source)</w:t>
            </w:r>
          </w:p>
        </w:tc>
        <w:tc>
          <w:tcPr>
            <w:tcW w:w="4229" w:type="pct"/>
            <w:shd w:val="clear" w:color="auto" w:fill="auto"/>
            <w:vAlign w:val="center"/>
          </w:tcPr>
          <w:p w14:paraId="18A21415" w14:textId="073CF09D"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Diagnostic accuracy of genetic SMN2 testing (MSAC application 1589). The source for diagnostic accuracy for SMN2 testing was inappropriate as they related to predictive accuracy of SMN2 copy number ≤3 in selecting patients for treatment with nusinersen based on its requested listing rather than accuracy of the genetic test for SMN2 copy number, which, based on the submission (p12) was close to 100%.</w:t>
            </w:r>
          </w:p>
          <w:p w14:paraId="1CE9341C"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Motor milestone achievement for pre-symptomatic treatment (SPR1NT).</w:t>
            </w:r>
          </w:p>
          <w:p w14:paraId="3980DEC7"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Motor milestone achievement for symptomatic treatment (NUSI studies).</w:t>
            </w:r>
          </w:p>
          <w:p w14:paraId="1FEF5282" w14:textId="77777777" w:rsidR="00B75142" w:rsidRPr="00AE3438" w:rsidRDefault="00B75142" w:rsidP="00054F33">
            <w:pPr>
              <w:numPr>
                <w:ilvl w:val="0"/>
                <w:numId w:val="9"/>
              </w:numPr>
              <w:ind w:left="116" w:hanging="116"/>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Health state-specific mortality: assumed to follow population mortality in the proposed strategy arm, and in the symptomatic arm to follow natural history data in the “1.non sitter’ and ‘2.Sitter’ health states and </w:t>
            </w:r>
            <w:r w:rsidRPr="00AE3438">
              <w:rPr>
                <w:rFonts w:ascii="Arial Narrow" w:eastAsiaTheme="majorEastAsia" w:hAnsi="Arial Narrow" w:cstheme="majorBidi"/>
                <w:bCs/>
                <w:sz w:val="20"/>
              </w:rPr>
              <w:lastRenderedPageBreak/>
              <w:t>general population mortality for ‘3a. Delayed Walker’, ‘3b. Experiences later onset SMA’ and ‘BRND’ health states.</w:t>
            </w:r>
          </w:p>
          <w:p w14:paraId="3B3D1361" w14:textId="27A70E9B" w:rsidR="00B75142" w:rsidRPr="009A4EC5" w:rsidRDefault="00B75142" w:rsidP="00B75142">
            <w:pPr>
              <w:jc w:val="left"/>
              <w:rPr>
                <w:rFonts w:ascii="Arial Narrow" w:eastAsiaTheme="majorEastAsia" w:hAnsi="Arial Narrow" w:cstheme="majorBidi"/>
                <w:bCs/>
                <w:sz w:val="20"/>
              </w:rPr>
            </w:pPr>
            <w:r w:rsidRPr="009A4EC5">
              <w:rPr>
                <w:rFonts w:ascii="Arial Narrow" w:eastAsiaTheme="majorEastAsia" w:hAnsi="Arial Narrow" w:cstheme="majorBidi"/>
                <w:bCs/>
                <w:sz w:val="20"/>
              </w:rPr>
              <w:t>It was inappropriate to apply natural history OS data to patients treated with DMTs</w:t>
            </w:r>
            <w:r w:rsidR="005D0BD4" w:rsidRPr="009A4EC5">
              <w:rPr>
                <w:rFonts w:ascii="Arial Narrow" w:eastAsiaTheme="majorEastAsia" w:hAnsi="Arial Narrow" w:cstheme="majorBidi"/>
                <w:bCs/>
                <w:sz w:val="20"/>
              </w:rPr>
              <w:t xml:space="preserve"> </w:t>
            </w:r>
            <w:r w:rsidR="0024323E" w:rsidRPr="009A4EC5">
              <w:rPr>
                <w:rFonts w:ascii="Arial Narrow" w:eastAsiaTheme="majorEastAsia" w:hAnsi="Arial Narrow" w:cstheme="majorBidi"/>
                <w:bCs/>
                <w:sz w:val="20"/>
              </w:rPr>
              <w:t xml:space="preserve">(both arms) </w:t>
            </w:r>
            <w:r w:rsidR="005D0BD4" w:rsidRPr="009A4EC5">
              <w:rPr>
                <w:rFonts w:ascii="Arial Narrow" w:eastAsiaTheme="majorEastAsia" w:hAnsi="Arial Narrow" w:cstheme="majorBidi"/>
                <w:bCs/>
                <w:sz w:val="20"/>
              </w:rPr>
              <w:t>for long term survival</w:t>
            </w:r>
            <w:r w:rsidR="0024323E" w:rsidRPr="009A4EC5">
              <w:rPr>
                <w:rFonts w:ascii="Arial Narrow" w:eastAsiaTheme="majorEastAsia" w:hAnsi="Arial Narrow" w:cstheme="majorBidi"/>
                <w:bCs/>
                <w:sz w:val="20"/>
              </w:rPr>
              <w:t>.</w:t>
            </w:r>
          </w:p>
        </w:tc>
      </w:tr>
      <w:tr w:rsidR="00B75142" w:rsidRPr="00AE3438" w14:paraId="661C8681" w14:textId="77777777" w:rsidTr="00B75142">
        <w:tc>
          <w:tcPr>
            <w:tcW w:w="771" w:type="pct"/>
            <w:shd w:val="clear" w:color="auto" w:fill="auto"/>
            <w:vAlign w:val="center"/>
          </w:tcPr>
          <w:p w14:paraId="4887F747"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lastRenderedPageBreak/>
              <w:t>Extrapolation method (survival)</w:t>
            </w:r>
          </w:p>
        </w:tc>
        <w:tc>
          <w:tcPr>
            <w:tcW w:w="4229" w:type="pct"/>
            <w:shd w:val="clear" w:color="auto" w:fill="auto"/>
            <w:vAlign w:val="center"/>
          </w:tcPr>
          <w:p w14:paraId="23263F4D"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For natural history data, parametric functions were fitted to the empirical data to extrapolate survival, with the Weibull function selected in the base case for ‘1.Non-sitter’ based on what was considered the most appropriate distribution in the NICE model. The Generalised Gamma function was selected in the base case for ‘2. Sitter’, based on goodness of fit (AIC, BIC and visual inspection), and clinical plausibility.</w:t>
            </w:r>
          </w:p>
          <w:p w14:paraId="0D574504" w14:textId="77777777" w:rsidR="00B75142" w:rsidRPr="00AE3438" w:rsidRDefault="00B75142" w:rsidP="00B75142">
            <w:pPr>
              <w:jc w:val="left"/>
              <w:rPr>
                <w:rFonts w:ascii="Arial Narrow" w:eastAsiaTheme="majorEastAsia" w:hAnsi="Arial Narrow" w:cstheme="majorBidi"/>
                <w:bCs/>
                <w:sz w:val="20"/>
              </w:rPr>
            </w:pPr>
          </w:p>
          <w:p w14:paraId="67FF6E56" w14:textId="77777777" w:rsidR="00B75142" w:rsidRPr="00AE3438" w:rsidRDefault="00B75142" w:rsidP="00B75142">
            <w:pPr>
              <w:keepNext/>
              <w:jc w:val="left"/>
              <w:rPr>
                <w:rFonts w:ascii="Arial Narrow" w:eastAsiaTheme="majorEastAsia" w:hAnsi="Arial Narrow" w:cstheme="majorBidi"/>
                <w:b/>
                <w:sz w:val="20"/>
              </w:rPr>
            </w:pPr>
            <w:r w:rsidRPr="00AE3438">
              <w:rPr>
                <w:rFonts w:ascii="Arial Narrow" w:eastAsiaTheme="majorEastAsia" w:hAnsi="Arial Narrow" w:cstheme="majorBidi"/>
                <w:b/>
                <w:sz w:val="20"/>
              </w:rPr>
              <w:t>Proportion of QALYs and costs in the extrapolated period (end of clinical study period to end of model duration of 30 years)</w:t>
            </w:r>
          </w:p>
          <w:tbl>
            <w:tblPr>
              <w:tblStyle w:val="TableGrid"/>
              <w:tblW w:w="0" w:type="auto"/>
              <w:tblLayout w:type="fixed"/>
              <w:tblCellMar>
                <w:left w:w="28" w:type="dxa"/>
                <w:right w:w="28" w:type="dxa"/>
              </w:tblCellMar>
              <w:tblLook w:val="04A0" w:firstRow="1" w:lastRow="0" w:firstColumn="1" w:lastColumn="0" w:noHBand="0" w:noVBand="1"/>
            </w:tblPr>
            <w:tblGrid>
              <w:gridCol w:w="1816"/>
              <w:gridCol w:w="1559"/>
              <w:gridCol w:w="1971"/>
              <w:gridCol w:w="1843"/>
            </w:tblGrid>
            <w:tr w:rsidR="00B75142" w:rsidRPr="00AE3438" w14:paraId="62FFEED9" w14:textId="77777777" w:rsidTr="00B75142">
              <w:tc>
                <w:tcPr>
                  <w:tcW w:w="1816" w:type="dxa"/>
                </w:tcPr>
                <w:p w14:paraId="4D38C8CF" w14:textId="77777777" w:rsidR="00B75142" w:rsidRPr="00AE3438" w:rsidRDefault="00B75142" w:rsidP="00B75142">
                  <w:pPr>
                    <w:keepNext/>
                    <w:jc w:val="left"/>
                    <w:rPr>
                      <w:rFonts w:ascii="Arial Narrow" w:eastAsiaTheme="majorEastAsia" w:hAnsi="Arial Narrow" w:cstheme="majorBidi"/>
                      <w:bCs/>
                      <w:sz w:val="20"/>
                    </w:rPr>
                  </w:pPr>
                </w:p>
              </w:tc>
              <w:tc>
                <w:tcPr>
                  <w:tcW w:w="1559" w:type="dxa"/>
                  <w:vAlign w:val="center"/>
                </w:tcPr>
                <w:p w14:paraId="167C98CD" w14:textId="77777777" w:rsidR="00B75142" w:rsidRPr="00AE3438" w:rsidRDefault="00B75142" w:rsidP="00B75142">
                  <w:pPr>
                    <w:keepNext/>
                    <w:jc w:val="center"/>
                    <w:rPr>
                      <w:rFonts w:ascii="Arial Narrow" w:eastAsiaTheme="majorEastAsia" w:hAnsi="Arial Narrow" w:cstheme="majorBidi"/>
                      <w:b/>
                      <w:sz w:val="20"/>
                    </w:rPr>
                  </w:pPr>
                  <w:r w:rsidRPr="00AE3438">
                    <w:rPr>
                      <w:rFonts w:ascii="Arial Narrow" w:eastAsiaTheme="majorEastAsia" w:hAnsi="Arial Narrow" w:cstheme="majorBidi"/>
                      <w:b/>
                      <w:sz w:val="20"/>
                    </w:rPr>
                    <w:t>End of trial period</w:t>
                  </w:r>
                </w:p>
              </w:tc>
              <w:tc>
                <w:tcPr>
                  <w:tcW w:w="1971" w:type="dxa"/>
                  <w:vAlign w:val="center"/>
                </w:tcPr>
                <w:p w14:paraId="44FE9DA8" w14:textId="77777777" w:rsidR="00B75142" w:rsidRPr="00AE3438" w:rsidRDefault="00B75142" w:rsidP="00B75142">
                  <w:pPr>
                    <w:keepNext/>
                    <w:jc w:val="center"/>
                    <w:rPr>
                      <w:rFonts w:ascii="Arial Narrow" w:eastAsiaTheme="majorEastAsia" w:hAnsi="Arial Narrow" w:cstheme="majorBidi"/>
                      <w:b/>
                      <w:sz w:val="20"/>
                    </w:rPr>
                  </w:pPr>
                  <w:r w:rsidRPr="00AE3438">
                    <w:rPr>
                      <w:rFonts w:ascii="Arial Narrow" w:eastAsiaTheme="majorEastAsia" w:hAnsi="Arial Narrow" w:cstheme="majorBidi"/>
                      <w:b/>
                      <w:sz w:val="20"/>
                    </w:rPr>
                    <w:t>Costs in extrapolated period</w:t>
                  </w:r>
                </w:p>
              </w:tc>
              <w:tc>
                <w:tcPr>
                  <w:tcW w:w="1843" w:type="dxa"/>
                  <w:vAlign w:val="center"/>
                </w:tcPr>
                <w:p w14:paraId="76F2FDCF" w14:textId="77777777" w:rsidR="00B75142" w:rsidRPr="00AE3438" w:rsidRDefault="00B75142" w:rsidP="00B75142">
                  <w:pPr>
                    <w:keepNext/>
                    <w:jc w:val="center"/>
                    <w:rPr>
                      <w:rFonts w:ascii="Arial Narrow" w:eastAsiaTheme="majorEastAsia" w:hAnsi="Arial Narrow" w:cstheme="majorBidi"/>
                      <w:b/>
                      <w:sz w:val="20"/>
                    </w:rPr>
                  </w:pPr>
                  <w:r w:rsidRPr="00AE3438">
                    <w:rPr>
                      <w:rFonts w:ascii="Arial Narrow" w:eastAsiaTheme="majorEastAsia" w:hAnsi="Arial Narrow" w:cstheme="majorBidi"/>
                      <w:b/>
                      <w:sz w:val="20"/>
                    </w:rPr>
                    <w:t>QALYs in extrapolated period</w:t>
                  </w:r>
                </w:p>
              </w:tc>
            </w:tr>
            <w:tr w:rsidR="00B75142" w:rsidRPr="00AE3438" w14:paraId="616A9709" w14:textId="77777777" w:rsidTr="00B75142">
              <w:tc>
                <w:tcPr>
                  <w:tcW w:w="1816" w:type="dxa"/>
                </w:tcPr>
                <w:p w14:paraId="0F7AF664"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Pre-symptomatic</w:t>
                  </w:r>
                </w:p>
              </w:tc>
              <w:tc>
                <w:tcPr>
                  <w:tcW w:w="1559" w:type="dxa"/>
                  <w:vAlign w:val="center"/>
                </w:tcPr>
                <w:p w14:paraId="7B4B21F5"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24 months</w:t>
                  </w:r>
                </w:p>
              </w:tc>
              <w:tc>
                <w:tcPr>
                  <w:tcW w:w="1971" w:type="dxa"/>
                  <w:vAlign w:val="center"/>
                </w:tcPr>
                <w:p w14:paraId="0C62A6B9"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24.5%</w:t>
                  </w:r>
                </w:p>
              </w:tc>
              <w:tc>
                <w:tcPr>
                  <w:tcW w:w="1843" w:type="dxa"/>
                  <w:vAlign w:val="center"/>
                </w:tcPr>
                <w:p w14:paraId="3FA2BE48"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88.0%</w:t>
                  </w:r>
                </w:p>
              </w:tc>
            </w:tr>
            <w:tr w:rsidR="00B75142" w:rsidRPr="00AE3438" w14:paraId="1F347AC0" w14:textId="77777777" w:rsidTr="00B75142">
              <w:tc>
                <w:tcPr>
                  <w:tcW w:w="1816" w:type="dxa"/>
                </w:tcPr>
                <w:p w14:paraId="51312E07"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Symptomatic Type I</w:t>
                  </w:r>
                </w:p>
              </w:tc>
              <w:tc>
                <w:tcPr>
                  <w:tcW w:w="1559" w:type="dxa"/>
                  <w:vAlign w:val="center"/>
                </w:tcPr>
                <w:p w14:paraId="66BFA2C0"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46 months</w:t>
                  </w:r>
                </w:p>
              </w:tc>
              <w:tc>
                <w:tcPr>
                  <w:tcW w:w="1971" w:type="dxa"/>
                  <w:vAlign w:val="center"/>
                </w:tcPr>
                <w:p w14:paraId="60D38247"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65.2%</w:t>
                  </w:r>
                </w:p>
              </w:tc>
              <w:tc>
                <w:tcPr>
                  <w:tcW w:w="1843" w:type="dxa"/>
                  <w:vAlign w:val="center"/>
                </w:tcPr>
                <w:p w14:paraId="2D39D887"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83.3%</w:t>
                  </w:r>
                </w:p>
              </w:tc>
            </w:tr>
            <w:tr w:rsidR="00B75142" w:rsidRPr="00AE3438" w14:paraId="0B691AE0" w14:textId="77777777" w:rsidTr="00B75142">
              <w:tc>
                <w:tcPr>
                  <w:tcW w:w="1816" w:type="dxa"/>
                </w:tcPr>
                <w:p w14:paraId="3B55EB12"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Symptomatic Type II</w:t>
                  </w:r>
                </w:p>
              </w:tc>
              <w:tc>
                <w:tcPr>
                  <w:tcW w:w="1559" w:type="dxa"/>
                  <w:vAlign w:val="center"/>
                </w:tcPr>
                <w:p w14:paraId="6A27EAC7"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85 months</w:t>
                  </w:r>
                </w:p>
              </w:tc>
              <w:tc>
                <w:tcPr>
                  <w:tcW w:w="1971" w:type="dxa"/>
                  <w:vAlign w:val="center"/>
                </w:tcPr>
                <w:p w14:paraId="1866BAF3"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71.3% (74.4% drug)</w:t>
                  </w:r>
                </w:p>
              </w:tc>
              <w:tc>
                <w:tcPr>
                  <w:tcW w:w="1843" w:type="dxa"/>
                  <w:vAlign w:val="center"/>
                </w:tcPr>
                <w:p w14:paraId="381EA9E9"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59.9%</w:t>
                  </w:r>
                </w:p>
              </w:tc>
            </w:tr>
            <w:tr w:rsidR="00B75142" w:rsidRPr="00AE3438" w14:paraId="3091760C" w14:textId="77777777" w:rsidTr="00B75142">
              <w:tc>
                <w:tcPr>
                  <w:tcW w:w="1816" w:type="dxa"/>
                </w:tcPr>
                <w:p w14:paraId="5A38C4F0"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Symptomatic Type IIIa</w:t>
                  </w:r>
                </w:p>
              </w:tc>
              <w:tc>
                <w:tcPr>
                  <w:tcW w:w="1559" w:type="dxa"/>
                  <w:vAlign w:val="center"/>
                </w:tcPr>
                <w:p w14:paraId="4EE8028E"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76 months</w:t>
                  </w:r>
                </w:p>
              </w:tc>
              <w:tc>
                <w:tcPr>
                  <w:tcW w:w="1971" w:type="dxa"/>
                  <w:vAlign w:val="center"/>
                </w:tcPr>
                <w:p w14:paraId="35B6D37C"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75.3% (77.2% drug)</w:t>
                  </w:r>
                </w:p>
              </w:tc>
              <w:tc>
                <w:tcPr>
                  <w:tcW w:w="1843" w:type="dxa"/>
                  <w:vAlign w:val="center"/>
                </w:tcPr>
                <w:p w14:paraId="41DC03FA"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65.3%</w:t>
                  </w:r>
                </w:p>
              </w:tc>
            </w:tr>
            <w:tr w:rsidR="00B75142" w:rsidRPr="00AE3438" w14:paraId="46A93680" w14:textId="77777777" w:rsidTr="00B75142">
              <w:tc>
                <w:tcPr>
                  <w:tcW w:w="1816" w:type="dxa"/>
                </w:tcPr>
                <w:p w14:paraId="576A773C" w14:textId="446F6B33"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Symptomatic Type IIIb</w:t>
                  </w:r>
                  <w:r w:rsidR="00AC4F13" w:rsidRPr="00AE3438">
                    <w:rPr>
                      <w:rFonts w:ascii="Arial Narrow" w:eastAsiaTheme="majorEastAsia" w:hAnsi="Arial Narrow" w:cstheme="majorBidi"/>
                      <w:bCs/>
                      <w:sz w:val="20"/>
                    </w:rPr>
                    <w:t>^</w:t>
                  </w:r>
                </w:p>
              </w:tc>
              <w:tc>
                <w:tcPr>
                  <w:tcW w:w="1559" w:type="dxa"/>
                  <w:vAlign w:val="center"/>
                </w:tcPr>
                <w:p w14:paraId="2A6D2093"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N/A</w:t>
                  </w:r>
                </w:p>
              </w:tc>
              <w:tc>
                <w:tcPr>
                  <w:tcW w:w="1971" w:type="dxa"/>
                  <w:vAlign w:val="center"/>
                </w:tcPr>
                <w:p w14:paraId="378770D5"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N/A</w:t>
                  </w:r>
                </w:p>
              </w:tc>
              <w:tc>
                <w:tcPr>
                  <w:tcW w:w="1843" w:type="dxa"/>
                  <w:vAlign w:val="center"/>
                </w:tcPr>
                <w:p w14:paraId="62007584"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N/A</w:t>
                  </w:r>
                </w:p>
              </w:tc>
            </w:tr>
          </w:tbl>
          <w:p w14:paraId="649C9567" w14:textId="77777777" w:rsidR="00B75142" w:rsidRPr="00AE3438" w:rsidRDefault="00B75142" w:rsidP="00B75142">
            <w:pPr>
              <w:jc w:val="left"/>
              <w:rPr>
                <w:rFonts w:ascii="Arial Narrow" w:eastAsiaTheme="majorEastAsia" w:hAnsi="Arial Narrow" w:cstheme="majorBidi"/>
                <w:bCs/>
                <w:sz w:val="20"/>
              </w:rPr>
            </w:pPr>
          </w:p>
        </w:tc>
      </w:tr>
      <w:tr w:rsidR="00B75142" w:rsidRPr="00AE3438" w14:paraId="094AF1F7" w14:textId="77777777" w:rsidTr="00B75142">
        <w:tc>
          <w:tcPr>
            <w:tcW w:w="771" w:type="pct"/>
            <w:shd w:val="clear" w:color="auto" w:fill="auto"/>
            <w:vAlign w:val="center"/>
          </w:tcPr>
          <w:p w14:paraId="6F60E6E4"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Health related quality of life (QoL)</w:t>
            </w:r>
          </w:p>
        </w:tc>
        <w:tc>
          <w:tcPr>
            <w:tcW w:w="4229" w:type="pct"/>
            <w:shd w:val="clear" w:color="auto" w:fill="auto"/>
            <w:vAlign w:val="center"/>
          </w:tcPr>
          <w:p w14:paraId="7386A579" w14:textId="55998E7E"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Literature-based sources were used for QoL:</w:t>
            </w:r>
          </w:p>
          <w:tbl>
            <w:tblPr>
              <w:tblStyle w:val="TableGrid"/>
              <w:tblW w:w="0" w:type="auto"/>
              <w:tblLayout w:type="fixed"/>
              <w:tblLook w:val="04A0" w:firstRow="1" w:lastRow="0" w:firstColumn="1" w:lastColumn="0" w:noHBand="0" w:noVBand="1"/>
            </w:tblPr>
            <w:tblGrid>
              <w:gridCol w:w="2220"/>
              <w:gridCol w:w="2730"/>
              <w:gridCol w:w="2730"/>
            </w:tblGrid>
            <w:tr w:rsidR="003E5A65" w:rsidRPr="00AE3438" w14:paraId="0225D8A0" w14:textId="7811EF9D" w:rsidTr="003E5A65">
              <w:tc>
                <w:tcPr>
                  <w:tcW w:w="2220" w:type="dxa"/>
                </w:tcPr>
                <w:p w14:paraId="59FB64C0" w14:textId="77777777" w:rsidR="003E5A65" w:rsidRPr="00AE3438" w:rsidRDefault="003E5A65" w:rsidP="00E2595B">
                  <w:pPr>
                    <w:jc w:val="left"/>
                    <w:rPr>
                      <w:rFonts w:ascii="Arial Narrow" w:eastAsiaTheme="majorEastAsia" w:hAnsi="Arial Narrow" w:cstheme="majorBidi"/>
                      <w:b/>
                      <w:sz w:val="20"/>
                    </w:rPr>
                  </w:pPr>
                  <w:r w:rsidRPr="00AE3438">
                    <w:rPr>
                      <w:rFonts w:ascii="Arial Narrow" w:eastAsiaTheme="majorEastAsia" w:hAnsi="Arial Narrow" w:cstheme="majorBidi"/>
                      <w:b/>
                      <w:sz w:val="20"/>
                    </w:rPr>
                    <w:t>Health state</w:t>
                  </w:r>
                </w:p>
              </w:tc>
              <w:tc>
                <w:tcPr>
                  <w:tcW w:w="2730" w:type="dxa"/>
                </w:tcPr>
                <w:p w14:paraId="1C54F41E" w14:textId="77777777" w:rsidR="003E5A65" w:rsidRPr="00AE3438" w:rsidRDefault="003E5A65" w:rsidP="00E2595B">
                  <w:pPr>
                    <w:jc w:val="left"/>
                    <w:rPr>
                      <w:rFonts w:ascii="Arial Narrow" w:eastAsiaTheme="majorEastAsia" w:hAnsi="Arial Narrow" w:cstheme="majorBidi"/>
                      <w:b/>
                      <w:sz w:val="20"/>
                    </w:rPr>
                  </w:pPr>
                  <w:r w:rsidRPr="00AE3438">
                    <w:rPr>
                      <w:rFonts w:ascii="Arial Narrow" w:eastAsiaTheme="majorEastAsia" w:hAnsi="Arial Narrow" w:cstheme="majorBidi"/>
                      <w:b/>
                      <w:sz w:val="20"/>
                    </w:rPr>
                    <w:t>Utility (source)</w:t>
                  </w:r>
                </w:p>
              </w:tc>
              <w:tc>
                <w:tcPr>
                  <w:tcW w:w="2730" w:type="dxa"/>
                </w:tcPr>
                <w:p w14:paraId="63223FDC" w14:textId="4E993151" w:rsidR="003E5A65" w:rsidRPr="00AE3438" w:rsidRDefault="003E5A65" w:rsidP="00E2595B">
                  <w:pPr>
                    <w:jc w:val="left"/>
                    <w:rPr>
                      <w:rFonts w:ascii="Arial Narrow" w:eastAsiaTheme="majorEastAsia" w:hAnsi="Arial Narrow" w:cstheme="majorBidi"/>
                      <w:b/>
                      <w:sz w:val="20"/>
                    </w:rPr>
                  </w:pPr>
                  <w:r w:rsidRPr="00AE3438">
                    <w:rPr>
                      <w:rFonts w:ascii="Arial Narrow" w:eastAsiaTheme="majorEastAsia" w:hAnsi="Arial Narrow" w:cs="Times New Roman"/>
                      <w:b/>
                      <w:sz w:val="20"/>
                    </w:rPr>
                    <w:t>Alternative utility values</w:t>
                  </w:r>
                </w:p>
              </w:tc>
            </w:tr>
            <w:tr w:rsidR="003E676C" w:rsidRPr="00AE3438" w14:paraId="0476E88F" w14:textId="33F8D56E" w:rsidTr="003E5A65">
              <w:tc>
                <w:tcPr>
                  <w:tcW w:w="2220" w:type="dxa"/>
                </w:tcPr>
                <w:p w14:paraId="00F42EAC" w14:textId="77777777" w:rsidR="003E676C" w:rsidRPr="00AE3438" w:rsidRDefault="003E676C" w:rsidP="00E2595B">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1.Non sitter</w:t>
                  </w:r>
                </w:p>
              </w:tc>
              <w:tc>
                <w:tcPr>
                  <w:tcW w:w="2730" w:type="dxa"/>
                </w:tcPr>
                <w:p w14:paraId="32AF26F9" w14:textId="77777777" w:rsidR="003E676C" w:rsidRPr="00AE3438" w:rsidRDefault="003E676C" w:rsidP="00E2595B">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0.19 (Thompson et al 2017)</w:t>
                  </w:r>
                </w:p>
              </w:tc>
              <w:tc>
                <w:tcPr>
                  <w:tcW w:w="2730" w:type="dxa"/>
                  <w:vMerge w:val="restart"/>
                </w:tcPr>
                <w:p w14:paraId="20FE31E7" w14:textId="5D10AB75" w:rsidR="00006356" w:rsidRPr="00AE3438" w:rsidRDefault="00006356" w:rsidP="00E2595B">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1. 0.756, 2. 0.764 - </w:t>
                  </w:r>
                  <w:r w:rsidR="003E676C" w:rsidRPr="00AE3438">
                    <w:rPr>
                      <w:rFonts w:ascii="Arial Narrow" w:eastAsiaTheme="majorEastAsia" w:hAnsi="Arial Narrow" w:cstheme="majorBidi"/>
                      <w:bCs/>
                      <w:sz w:val="20"/>
                    </w:rPr>
                    <w:t xml:space="preserve">CHERISH, </w:t>
                  </w:r>
                </w:p>
                <w:p w14:paraId="6C20B620" w14:textId="1DE55DD7" w:rsidR="003E676C" w:rsidRPr="00AE3438" w:rsidRDefault="00006356" w:rsidP="00E2595B">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1. 0.104, 2. 0.067 - </w:t>
                  </w:r>
                  <w:r w:rsidR="003E676C" w:rsidRPr="00AE3438">
                    <w:rPr>
                      <w:rFonts w:ascii="Arial Narrow" w:eastAsiaTheme="majorEastAsia" w:hAnsi="Arial Narrow" w:cstheme="majorBidi"/>
                      <w:bCs/>
                      <w:sz w:val="20"/>
                    </w:rPr>
                    <w:t>Chambers et al 2020.</w:t>
                  </w:r>
                </w:p>
              </w:tc>
            </w:tr>
            <w:tr w:rsidR="003E676C" w:rsidRPr="00AE3438" w14:paraId="446B3362" w14:textId="3DF7C94F" w:rsidTr="003E5A65">
              <w:tc>
                <w:tcPr>
                  <w:tcW w:w="2220" w:type="dxa"/>
                </w:tcPr>
                <w:p w14:paraId="60C46EEE" w14:textId="77777777" w:rsidR="003E676C" w:rsidRPr="00AE3438" w:rsidRDefault="003E676C" w:rsidP="00E2595B">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2.Sitter</w:t>
                  </w:r>
                </w:p>
              </w:tc>
              <w:tc>
                <w:tcPr>
                  <w:tcW w:w="2730" w:type="dxa"/>
                </w:tcPr>
                <w:p w14:paraId="6AE092C3" w14:textId="77777777" w:rsidR="003E676C" w:rsidRPr="00AE3438" w:rsidRDefault="003E676C" w:rsidP="00E2595B">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0.60 (Teppenden et al 2018)</w:t>
                  </w:r>
                </w:p>
              </w:tc>
              <w:tc>
                <w:tcPr>
                  <w:tcW w:w="2730" w:type="dxa"/>
                  <w:vMerge/>
                </w:tcPr>
                <w:p w14:paraId="65F2B3E3" w14:textId="77777777" w:rsidR="003E676C" w:rsidRPr="00AE3438" w:rsidRDefault="003E676C" w:rsidP="00E2595B">
                  <w:pPr>
                    <w:jc w:val="left"/>
                    <w:rPr>
                      <w:rFonts w:ascii="Arial Narrow" w:eastAsiaTheme="majorEastAsia" w:hAnsi="Arial Narrow" w:cstheme="majorBidi"/>
                      <w:bCs/>
                      <w:sz w:val="20"/>
                    </w:rPr>
                  </w:pPr>
                </w:p>
              </w:tc>
            </w:tr>
            <w:tr w:rsidR="003E5A65" w:rsidRPr="00AE3438" w14:paraId="69F67C37" w14:textId="2AEC03A7" w:rsidTr="003E5A65">
              <w:tc>
                <w:tcPr>
                  <w:tcW w:w="2220" w:type="dxa"/>
                </w:tcPr>
                <w:p w14:paraId="5F9F09D8" w14:textId="77777777" w:rsidR="003E5A65" w:rsidRPr="00AE3438" w:rsidRDefault="003E5A65" w:rsidP="00E2595B">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3a. Delayed walker; 3b. Experiences later onset SMA; BRND </w:t>
                  </w:r>
                </w:p>
              </w:tc>
              <w:tc>
                <w:tcPr>
                  <w:tcW w:w="2730" w:type="dxa"/>
                  <w:vAlign w:val="center"/>
                </w:tcPr>
                <w:p w14:paraId="73499C1A" w14:textId="77777777" w:rsidR="003E5A65" w:rsidRPr="00AE3438" w:rsidRDefault="003E5A65" w:rsidP="00E2595B">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General population utility (Ara &amp; Brazier 2010)</w:t>
                  </w:r>
                </w:p>
              </w:tc>
              <w:tc>
                <w:tcPr>
                  <w:tcW w:w="2730" w:type="dxa"/>
                </w:tcPr>
                <w:p w14:paraId="3B54DEA2" w14:textId="56C7ED4B" w:rsidR="003E5A65" w:rsidRPr="00AE3438" w:rsidRDefault="00006356" w:rsidP="00E2595B">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0.878, 0.72, 0.54 - </w:t>
                  </w:r>
                  <w:r w:rsidR="003E5A65" w:rsidRPr="00AE3438">
                    <w:rPr>
                      <w:rFonts w:ascii="Arial Narrow" w:eastAsiaTheme="majorEastAsia" w:hAnsi="Arial Narrow" w:cstheme="majorBidi"/>
                      <w:bCs/>
                      <w:sz w:val="20"/>
                    </w:rPr>
                    <w:t>Malone et al 2019</w:t>
                  </w:r>
                </w:p>
              </w:tc>
            </w:tr>
            <w:tr w:rsidR="003E5A65" w:rsidRPr="00AE3438" w14:paraId="30AF57F2" w14:textId="41EDB2D6" w:rsidTr="003E5A65">
              <w:tc>
                <w:tcPr>
                  <w:tcW w:w="2220" w:type="dxa"/>
                  <w:shd w:val="clear" w:color="auto" w:fill="auto"/>
                  <w:vAlign w:val="center"/>
                </w:tcPr>
                <w:p w14:paraId="066404B3" w14:textId="2492563B" w:rsidR="003E5A65" w:rsidRPr="00AE3438" w:rsidRDefault="003E5A65" w:rsidP="00A818CF">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Loses walking (Experiences later onset SMA / Delayed walker)</w:t>
                  </w:r>
                </w:p>
              </w:tc>
              <w:tc>
                <w:tcPr>
                  <w:tcW w:w="2730" w:type="dxa"/>
                  <w:shd w:val="clear" w:color="auto" w:fill="auto"/>
                  <w:vAlign w:val="center"/>
                </w:tcPr>
                <w:p w14:paraId="46150D63" w14:textId="54C45585" w:rsidR="003E5A65" w:rsidRPr="00AE3438" w:rsidRDefault="003E5A65" w:rsidP="00A818CF">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0.764 (CHERISH)</w:t>
                  </w:r>
                </w:p>
              </w:tc>
              <w:tc>
                <w:tcPr>
                  <w:tcW w:w="2730" w:type="dxa"/>
                </w:tcPr>
                <w:p w14:paraId="56F2883E" w14:textId="77777777" w:rsidR="003E5A65" w:rsidRPr="00AE3438" w:rsidRDefault="003E5A65" w:rsidP="00A818CF">
                  <w:pPr>
                    <w:jc w:val="left"/>
                    <w:rPr>
                      <w:rFonts w:ascii="Arial Narrow" w:eastAsiaTheme="majorEastAsia" w:hAnsi="Arial Narrow" w:cstheme="majorBidi"/>
                      <w:bCs/>
                      <w:sz w:val="20"/>
                    </w:rPr>
                  </w:pPr>
                </w:p>
              </w:tc>
            </w:tr>
            <w:tr w:rsidR="003E5A65" w:rsidRPr="00AE3438" w14:paraId="2E9B46CE" w14:textId="31619DD2" w:rsidTr="003E5A65">
              <w:tc>
                <w:tcPr>
                  <w:tcW w:w="2220" w:type="dxa"/>
                  <w:shd w:val="clear" w:color="auto" w:fill="auto"/>
                  <w:vAlign w:val="center"/>
                </w:tcPr>
                <w:p w14:paraId="2A1E6DF5" w14:textId="47CF5C3D" w:rsidR="003E5A65" w:rsidRPr="00AE3438" w:rsidRDefault="003E5A65" w:rsidP="00A818CF">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Death</w:t>
                  </w:r>
                </w:p>
              </w:tc>
              <w:tc>
                <w:tcPr>
                  <w:tcW w:w="2730" w:type="dxa"/>
                  <w:shd w:val="clear" w:color="auto" w:fill="auto"/>
                  <w:vAlign w:val="center"/>
                </w:tcPr>
                <w:p w14:paraId="6C6D0D11" w14:textId="7954B282" w:rsidR="003E5A65" w:rsidRPr="00AE3438" w:rsidRDefault="003E5A65" w:rsidP="00A818CF">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0 (Assumption)</w:t>
                  </w:r>
                </w:p>
              </w:tc>
              <w:tc>
                <w:tcPr>
                  <w:tcW w:w="2730" w:type="dxa"/>
                </w:tcPr>
                <w:p w14:paraId="08F05F54" w14:textId="77777777" w:rsidR="003E5A65" w:rsidRPr="00AE3438" w:rsidRDefault="003E5A65" w:rsidP="00A818CF">
                  <w:pPr>
                    <w:jc w:val="left"/>
                    <w:rPr>
                      <w:rFonts w:ascii="Arial Narrow" w:eastAsiaTheme="majorEastAsia" w:hAnsi="Arial Narrow" w:cstheme="majorBidi"/>
                      <w:bCs/>
                      <w:sz w:val="20"/>
                    </w:rPr>
                  </w:pPr>
                </w:p>
              </w:tc>
            </w:tr>
          </w:tbl>
          <w:p w14:paraId="45FCAB78" w14:textId="37DA3131" w:rsidR="00B75142" w:rsidRPr="00AE3438" w:rsidRDefault="00E2595B"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These sources were the same as used in </w:t>
            </w:r>
            <w:r w:rsidR="005348C0" w:rsidRPr="00AE3438">
              <w:rPr>
                <w:rFonts w:ascii="Arial Narrow" w:eastAsiaTheme="majorEastAsia" w:hAnsi="Arial Narrow" w:cstheme="majorBidi"/>
                <w:bCs/>
                <w:sz w:val="20"/>
              </w:rPr>
              <w:t>previous published SMA models and the November 2020 ONA submission for SMA Type I, with the distinction that the November 2020 submission also included utility benefits for achieving interim milestones, 0.1 for ‘1. Non sitter’ on-treatment and 0.05 for ‘2. Sitter’ on-treatment.</w:t>
            </w:r>
            <w:r w:rsidR="003E5A65" w:rsidRPr="00AE3438">
              <w:rPr>
                <w:rFonts w:ascii="Arial Narrow" w:eastAsiaTheme="majorEastAsia" w:hAnsi="Arial Narrow" w:cstheme="majorBidi"/>
                <w:bCs/>
                <w:sz w:val="20"/>
              </w:rPr>
              <w:t xml:space="preserve"> </w:t>
            </w:r>
          </w:p>
        </w:tc>
      </w:tr>
      <w:tr w:rsidR="00B75142" w:rsidRPr="00AE3438" w14:paraId="3A56AC59" w14:textId="77777777" w:rsidTr="00B75142">
        <w:tc>
          <w:tcPr>
            <w:tcW w:w="771" w:type="pct"/>
            <w:shd w:val="clear" w:color="auto" w:fill="auto"/>
            <w:vAlign w:val="center"/>
          </w:tcPr>
          <w:p w14:paraId="1B3147BB"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Healthcare costs (disease management costs) </w:t>
            </w:r>
          </w:p>
        </w:tc>
        <w:tc>
          <w:tcPr>
            <w:tcW w:w="4229" w:type="pct"/>
            <w:shd w:val="clear" w:color="auto" w:fill="auto"/>
            <w:vAlign w:val="center"/>
          </w:tcPr>
          <w:p w14:paraId="4C9990D9" w14:textId="77777777" w:rsidR="00B75142" w:rsidRPr="00AE3438" w:rsidRDefault="00B75142" w:rsidP="00B75142">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Australian SMA QoL and burden of disease study (Chambers et al 2020)</w:t>
            </w:r>
          </w:p>
        </w:tc>
      </w:tr>
    </w:tbl>
    <w:p w14:paraId="2A1EB22B" w14:textId="77777777" w:rsidR="00B75142" w:rsidRPr="00AE3438" w:rsidRDefault="00B75142" w:rsidP="00B75142">
      <w:pPr>
        <w:spacing w:after="120"/>
        <w:contextualSpacing/>
        <w:rPr>
          <w:rFonts w:ascii="Arial Narrow" w:hAnsi="Arial Narrow"/>
          <w:bCs/>
          <w:snapToGrid w:val="0"/>
          <w:sz w:val="18"/>
          <w:szCs w:val="18"/>
        </w:rPr>
      </w:pPr>
      <w:r w:rsidRPr="00AE3438">
        <w:rPr>
          <w:rFonts w:ascii="Arial Narrow" w:hAnsi="Arial Narrow"/>
          <w:bCs/>
          <w:i/>
          <w:iCs/>
          <w:snapToGrid w:val="0"/>
          <w:sz w:val="18"/>
          <w:szCs w:val="18"/>
        </w:rPr>
        <w:t>Italics</w:t>
      </w:r>
      <w:r w:rsidRPr="00AE3438">
        <w:rPr>
          <w:rFonts w:ascii="Arial Narrow" w:hAnsi="Arial Narrow"/>
          <w:bCs/>
          <w:snapToGrid w:val="0"/>
          <w:sz w:val="18"/>
          <w:szCs w:val="18"/>
        </w:rPr>
        <w:t xml:space="preserve"> indicate results generated during the evaluation.</w:t>
      </w:r>
    </w:p>
    <w:p w14:paraId="76A5DB4F" w14:textId="77777777" w:rsidR="00B75142" w:rsidRPr="00AE3438" w:rsidRDefault="00B75142" w:rsidP="00B75142">
      <w:pPr>
        <w:contextualSpacing/>
        <w:rPr>
          <w:rFonts w:ascii="Arial Narrow" w:hAnsi="Arial Narrow"/>
          <w:snapToGrid w:val="0"/>
          <w:sz w:val="18"/>
          <w:szCs w:val="22"/>
        </w:rPr>
      </w:pPr>
      <w:r w:rsidRPr="00AE3438">
        <w:rPr>
          <w:rFonts w:ascii="Arial Narrow" w:hAnsi="Arial Narrow"/>
          <w:snapToGrid w:val="0"/>
          <w:sz w:val="18"/>
          <w:szCs w:val="22"/>
        </w:rPr>
        <w:t>Source: Table 3.1, p163 of the submission.</w:t>
      </w:r>
    </w:p>
    <w:p w14:paraId="53DB4EAC" w14:textId="01705461" w:rsidR="00B75142" w:rsidRPr="00AE3438" w:rsidRDefault="00B75142" w:rsidP="00B75142">
      <w:pPr>
        <w:contextualSpacing/>
        <w:rPr>
          <w:rFonts w:ascii="Arial Narrow" w:hAnsi="Arial Narrow"/>
          <w:snapToGrid w:val="0"/>
          <w:sz w:val="18"/>
          <w:szCs w:val="22"/>
        </w:rPr>
      </w:pPr>
      <w:r w:rsidRPr="00AE3438">
        <w:rPr>
          <w:rFonts w:ascii="Arial Narrow" w:hAnsi="Arial Narrow"/>
          <w:snapToGrid w:val="0"/>
          <w:sz w:val="18"/>
          <w:szCs w:val="22"/>
        </w:rPr>
        <w:t>AIC=Akaike information criterion; BIC=Bayesian information criterion; BRND=broad range of normal development; NUSI=nusinersen; ONA=onasemnogene abeparvovec; OS=overall survival; PAV=permanent assisted ventilation; QoL=quality of life; RISD=risdiplam; SMA=spinal muscular atrophy; SMN=survival of motor neurone.</w:t>
      </w:r>
    </w:p>
    <w:p w14:paraId="1F6608C2" w14:textId="66E0A681" w:rsidR="00B75142" w:rsidRPr="00AE3438" w:rsidRDefault="00AC4F13" w:rsidP="009A65A9">
      <w:pPr>
        <w:spacing w:after="120"/>
        <w:ind w:left="170" w:hanging="170"/>
        <w:rPr>
          <w:rFonts w:ascii="Arial Narrow" w:hAnsi="Arial Narrow"/>
          <w:snapToGrid w:val="0"/>
          <w:sz w:val="18"/>
          <w:szCs w:val="22"/>
        </w:rPr>
      </w:pPr>
      <w:r w:rsidRPr="00AE3438">
        <w:rPr>
          <w:rFonts w:ascii="Arial Narrow" w:hAnsi="Arial Narrow"/>
          <w:snapToGrid w:val="0"/>
          <w:sz w:val="18"/>
          <w:szCs w:val="22"/>
        </w:rPr>
        <w:t>^</w:t>
      </w:r>
      <w:r w:rsidR="008D42D9" w:rsidRPr="00AE3438">
        <w:rPr>
          <w:rFonts w:ascii="Arial Narrow" w:hAnsi="Arial Narrow"/>
          <w:snapToGrid w:val="0"/>
          <w:sz w:val="18"/>
          <w:szCs w:val="22"/>
        </w:rPr>
        <w:tab/>
      </w:r>
      <w:r w:rsidR="00FA0D15" w:rsidRPr="00AE3438">
        <w:rPr>
          <w:rFonts w:ascii="Arial Narrow" w:hAnsi="Arial Narrow"/>
          <w:snapToGrid w:val="0"/>
          <w:sz w:val="18"/>
          <w:szCs w:val="22"/>
        </w:rPr>
        <w:t>No trial transition probabilities were applied to this population, hence no “extrapolated period” applies here. The model assumed that all patients in this group started trea</w:t>
      </w:r>
      <w:r w:rsidR="00E22A9E" w:rsidRPr="00AE3438">
        <w:rPr>
          <w:rFonts w:ascii="Arial Narrow" w:hAnsi="Arial Narrow"/>
          <w:snapToGrid w:val="0"/>
          <w:sz w:val="18"/>
          <w:szCs w:val="22"/>
        </w:rPr>
        <w:t>tment at 18 years, transitioned</w:t>
      </w:r>
      <w:r w:rsidR="00FA0D15" w:rsidRPr="00AE3438">
        <w:rPr>
          <w:rFonts w:ascii="Arial Narrow" w:hAnsi="Arial Narrow"/>
          <w:snapToGrid w:val="0"/>
          <w:sz w:val="18"/>
          <w:szCs w:val="22"/>
        </w:rPr>
        <w:t xml:space="preserve"> to the ‘3b. Experiences later onset SMA’ health state and remained in this state for the model duration.</w:t>
      </w:r>
    </w:p>
    <w:p w14:paraId="4303DD16" w14:textId="3E87170B" w:rsidR="00A818CF" w:rsidRPr="00054F33" w:rsidRDefault="003E5A65" w:rsidP="00D72FE0">
      <w:pPr>
        <w:numPr>
          <w:ilvl w:val="1"/>
          <w:numId w:val="1"/>
        </w:numPr>
        <w:spacing w:after="120"/>
        <w:rPr>
          <w:rFonts w:asciiTheme="minorHAnsi" w:hAnsiTheme="minorHAnsi"/>
          <w:snapToGrid w:val="0"/>
        </w:rPr>
      </w:pPr>
      <w:r w:rsidRPr="00054F33">
        <w:rPr>
          <w:rFonts w:asciiTheme="minorHAnsi" w:hAnsiTheme="minorHAnsi"/>
          <w:snapToGrid w:val="0"/>
        </w:rPr>
        <w:t>The ESC noted</w:t>
      </w:r>
      <w:r w:rsidR="004B2C38" w:rsidRPr="00054F33">
        <w:rPr>
          <w:rFonts w:asciiTheme="minorHAnsi" w:hAnsiTheme="minorHAnsi"/>
          <w:snapToGrid w:val="0"/>
        </w:rPr>
        <w:t xml:space="preserve"> that the utilities applied in the model were from a number of different sources. </w:t>
      </w:r>
      <w:r w:rsidR="008C3A71" w:rsidRPr="00054F33">
        <w:rPr>
          <w:rFonts w:asciiTheme="minorHAnsi" w:hAnsiTheme="minorHAnsi"/>
          <w:snapToGrid w:val="0"/>
        </w:rPr>
        <w:t>The ESC noted the utility values varied substantially between the sources (</w:t>
      </w:r>
      <w:r w:rsidR="00DE3663" w:rsidRPr="00054F33">
        <w:rPr>
          <w:rFonts w:asciiTheme="minorHAnsi" w:hAnsiTheme="minorHAnsi"/>
          <w:snapToGrid w:val="0"/>
        </w:rPr>
        <w:t>e.g.,</w:t>
      </w:r>
      <w:r w:rsidR="008C3A71" w:rsidRPr="00054F33">
        <w:rPr>
          <w:rFonts w:asciiTheme="minorHAnsi" w:hAnsiTheme="minorHAnsi"/>
          <w:snapToGrid w:val="0"/>
        </w:rPr>
        <w:t xml:space="preserve"> the health state utility for patients with Type II SMA varied from 0.764 </w:t>
      </w:r>
      <w:r w:rsidR="00832A71" w:rsidRPr="00054F33">
        <w:rPr>
          <w:rFonts w:asciiTheme="minorHAnsi" w:hAnsiTheme="minorHAnsi"/>
          <w:snapToGrid w:val="0"/>
        </w:rPr>
        <w:t>in</w:t>
      </w:r>
      <w:r w:rsidR="00DE3663" w:rsidRPr="00054F33">
        <w:rPr>
          <w:rFonts w:asciiTheme="minorHAnsi" w:hAnsiTheme="minorHAnsi"/>
          <w:snapToGrid w:val="0"/>
        </w:rPr>
        <w:t xml:space="preserve"> </w:t>
      </w:r>
      <w:r w:rsidR="008C3A71" w:rsidRPr="00054F33">
        <w:rPr>
          <w:rFonts w:asciiTheme="minorHAnsi" w:hAnsiTheme="minorHAnsi"/>
          <w:snapToGrid w:val="0"/>
        </w:rPr>
        <w:t xml:space="preserve">CHERISH to 0.067 </w:t>
      </w:r>
      <w:r w:rsidR="00832A71" w:rsidRPr="00054F33">
        <w:rPr>
          <w:rFonts w:asciiTheme="minorHAnsi" w:hAnsiTheme="minorHAnsi"/>
          <w:snapToGrid w:val="0"/>
        </w:rPr>
        <w:t>in</w:t>
      </w:r>
      <w:r w:rsidR="00DE3663" w:rsidRPr="00054F33">
        <w:rPr>
          <w:rFonts w:asciiTheme="minorHAnsi" w:hAnsiTheme="minorHAnsi"/>
          <w:snapToGrid w:val="0"/>
        </w:rPr>
        <w:t xml:space="preserve"> </w:t>
      </w:r>
      <w:r w:rsidR="008C3A71" w:rsidRPr="00054F33">
        <w:rPr>
          <w:rFonts w:asciiTheme="minorHAnsi" w:hAnsiTheme="minorHAnsi"/>
          <w:snapToGrid w:val="0"/>
        </w:rPr>
        <w:t>Chambers et al 2020).</w:t>
      </w:r>
      <w:r w:rsidR="00832A71" w:rsidRPr="00054F33">
        <w:rPr>
          <w:rFonts w:asciiTheme="minorHAnsi" w:hAnsiTheme="minorHAnsi"/>
          <w:snapToGrid w:val="0"/>
        </w:rPr>
        <w:t xml:space="preserve"> </w:t>
      </w:r>
      <w:r w:rsidR="0032265A" w:rsidRPr="00054F33">
        <w:rPr>
          <w:rFonts w:asciiTheme="minorHAnsi" w:hAnsiTheme="minorHAnsi"/>
          <w:snapToGrid w:val="0"/>
        </w:rPr>
        <w:t xml:space="preserve">The ESC </w:t>
      </w:r>
      <w:r w:rsidR="005A4EE4" w:rsidRPr="00054F33">
        <w:rPr>
          <w:rFonts w:asciiTheme="minorHAnsi" w:hAnsiTheme="minorHAnsi"/>
          <w:snapToGrid w:val="0"/>
        </w:rPr>
        <w:t xml:space="preserve">also noted that for the utility values applied in the model there was wide variation between the most and least severe states, which was not seen in the utilities derived from CHERISH or </w:t>
      </w:r>
      <w:r w:rsidR="008D57A4" w:rsidRPr="00054F33">
        <w:rPr>
          <w:rFonts w:asciiTheme="minorHAnsi" w:hAnsiTheme="minorHAnsi"/>
          <w:snapToGrid w:val="0"/>
        </w:rPr>
        <w:t xml:space="preserve">the European </w:t>
      </w:r>
      <w:r w:rsidR="008D57A4" w:rsidRPr="00054F33">
        <w:rPr>
          <w:rFonts w:asciiTheme="minorHAnsi" w:hAnsiTheme="minorHAnsi"/>
          <w:snapToGrid w:val="0"/>
        </w:rPr>
        <w:lastRenderedPageBreak/>
        <w:t>burden of illness stud</w:t>
      </w:r>
      <w:r w:rsidR="005A4EE4" w:rsidRPr="00054F33">
        <w:rPr>
          <w:rFonts w:asciiTheme="minorHAnsi" w:hAnsiTheme="minorHAnsi"/>
          <w:snapToGrid w:val="0"/>
        </w:rPr>
        <w:t xml:space="preserve">y (though neither of these sources reported utility values that appear to be </w:t>
      </w:r>
      <w:r w:rsidR="008D57A4" w:rsidRPr="00054F33">
        <w:rPr>
          <w:rFonts w:asciiTheme="minorHAnsi" w:hAnsiTheme="minorHAnsi"/>
          <w:snapToGrid w:val="0"/>
        </w:rPr>
        <w:t>plausible</w:t>
      </w:r>
      <w:r w:rsidR="005A4EE4" w:rsidRPr="00054F33">
        <w:rPr>
          <w:rFonts w:asciiTheme="minorHAnsi" w:hAnsiTheme="minorHAnsi"/>
          <w:snapToGrid w:val="0"/>
        </w:rPr>
        <w:t>)</w:t>
      </w:r>
      <w:r w:rsidR="008D57A4" w:rsidRPr="00054F33">
        <w:rPr>
          <w:rFonts w:asciiTheme="minorHAnsi" w:hAnsiTheme="minorHAnsi"/>
          <w:snapToGrid w:val="0"/>
        </w:rPr>
        <w:t xml:space="preserve">. </w:t>
      </w:r>
      <w:r w:rsidR="00D72FE0" w:rsidRPr="00054F33">
        <w:t>In addition, the u</w:t>
      </w:r>
      <w:r w:rsidR="00D72FE0" w:rsidRPr="00054F33">
        <w:rPr>
          <w:rFonts w:asciiTheme="minorHAnsi" w:hAnsiTheme="minorHAnsi"/>
          <w:snapToGrid w:val="0"/>
        </w:rPr>
        <w:t xml:space="preserve">se of general population utilities for the BRND state assumed that patients who met development milestones were the same as the general healthy population. The ESC considered that this was not reasonable given the potentially high levels of residual disability associated with SMA despite treatment, and favoured ONA pre-symptomatic treatment. The ESC noted that application of alternative values (e.g. </w:t>
      </w:r>
      <w:r w:rsidR="00D72FE0" w:rsidRPr="00054F33">
        <w:t xml:space="preserve">case vignette values using EQ-5D (Lloyd et al; reported in Malone et al 2019)) had a substantial impact on the ICER and therefore utility values were a significant source of uncertainty in the economic evaluation. </w:t>
      </w:r>
    </w:p>
    <w:p w14:paraId="286AC003" w14:textId="1161509F" w:rsidR="00B75142" w:rsidRPr="00AE3438" w:rsidRDefault="00B75142" w:rsidP="00B75142">
      <w:pPr>
        <w:numPr>
          <w:ilvl w:val="1"/>
          <w:numId w:val="1"/>
        </w:numPr>
        <w:spacing w:after="120"/>
        <w:rPr>
          <w:rFonts w:asciiTheme="minorHAnsi" w:hAnsiTheme="minorHAnsi"/>
          <w:snapToGrid w:val="0"/>
        </w:rPr>
        <w:sectPr w:rsidR="00B75142" w:rsidRPr="00AE3438"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pPr>
      <w:r w:rsidRPr="00AE3438">
        <w:rPr>
          <w:rFonts w:asciiTheme="minorHAnsi" w:hAnsiTheme="minorHAnsi"/>
          <w:snapToGrid w:val="0"/>
        </w:rPr>
        <w:fldChar w:fldCharType="begin"/>
      </w:r>
      <w:r w:rsidRPr="00AE3438">
        <w:rPr>
          <w:rFonts w:asciiTheme="minorHAnsi" w:hAnsiTheme="minorHAnsi"/>
          <w:snapToGrid w:val="0"/>
        </w:rPr>
        <w:instrText xml:space="preserve"> REF _Ref113129017 \h  \* MERGEFORMAT </w:instrText>
      </w:r>
      <w:r w:rsidRPr="00AE3438">
        <w:rPr>
          <w:rFonts w:asciiTheme="minorHAnsi" w:hAnsiTheme="minorHAnsi"/>
          <w:snapToGrid w:val="0"/>
        </w:rPr>
      </w:r>
      <w:r w:rsidRPr="00AE3438">
        <w:rPr>
          <w:rFonts w:asciiTheme="minorHAnsi" w:hAnsiTheme="minorHAnsi"/>
          <w:snapToGrid w:val="0"/>
        </w:rPr>
        <w:fldChar w:fldCharType="separate"/>
      </w:r>
      <w:r w:rsidR="008E4E26" w:rsidRPr="008E4E26">
        <w:rPr>
          <w:rFonts w:asciiTheme="minorHAnsi" w:hAnsiTheme="minorHAnsi"/>
          <w:snapToGrid w:val="0"/>
        </w:rPr>
        <w:t>Figure 4</w:t>
      </w:r>
      <w:r w:rsidRPr="00AE3438">
        <w:rPr>
          <w:rFonts w:asciiTheme="minorHAnsi" w:hAnsiTheme="minorHAnsi"/>
          <w:snapToGrid w:val="0"/>
        </w:rPr>
        <w:fldChar w:fldCharType="end"/>
      </w:r>
      <w:r w:rsidRPr="00AE3438">
        <w:rPr>
          <w:rFonts w:asciiTheme="minorHAnsi" w:hAnsiTheme="minorHAnsi"/>
          <w:snapToGrid w:val="0"/>
        </w:rPr>
        <w:t xml:space="preserve"> illustrates the model structure and health state transitions.</w:t>
      </w:r>
    </w:p>
    <w:p w14:paraId="3159F51A" w14:textId="652B1AB2" w:rsidR="00B75142" w:rsidRPr="00AE3438" w:rsidRDefault="00B75142" w:rsidP="00B75142">
      <w:pPr>
        <w:keepNext/>
        <w:keepLines/>
        <w:rPr>
          <w:rFonts w:ascii="Arial Narrow" w:hAnsi="Arial Narrow"/>
          <w:b/>
          <w:bCs/>
          <w:sz w:val="20"/>
          <w:szCs w:val="18"/>
        </w:rPr>
      </w:pPr>
      <w:bookmarkStart w:id="56" w:name="_Ref113129017"/>
      <w:bookmarkStart w:id="57" w:name="_Ref113128948"/>
      <w:r w:rsidRPr="00AE3438">
        <w:rPr>
          <w:rFonts w:ascii="Arial Narrow" w:hAnsi="Arial Narrow"/>
          <w:b/>
          <w:bCs/>
          <w:sz w:val="20"/>
          <w:szCs w:val="18"/>
        </w:rPr>
        <w:lastRenderedPageBreak/>
        <w:t xml:space="preserve">Figure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Figure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4</w:t>
      </w:r>
      <w:r w:rsidRPr="00AE3438">
        <w:rPr>
          <w:rFonts w:ascii="Arial Narrow" w:hAnsi="Arial Narrow"/>
          <w:b/>
          <w:bCs/>
          <w:sz w:val="20"/>
          <w:szCs w:val="18"/>
        </w:rPr>
        <w:fldChar w:fldCharType="end"/>
      </w:r>
      <w:bookmarkEnd w:id="56"/>
      <w:r w:rsidRPr="00AE3438">
        <w:rPr>
          <w:rFonts w:ascii="Arial Narrow" w:hAnsi="Arial Narrow"/>
          <w:b/>
          <w:bCs/>
          <w:sz w:val="20"/>
          <w:szCs w:val="18"/>
        </w:rPr>
        <w:t>: The submission’s model structure</w:t>
      </w:r>
      <w:bookmarkEnd w:id="57"/>
    </w:p>
    <w:p w14:paraId="631CC23B" w14:textId="77777777" w:rsidR="00B75142" w:rsidRPr="00AE3438" w:rsidRDefault="00B75142" w:rsidP="00B75142">
      <w:pPr>
        <w:jc w:val="left"/>
        <w:rPr>
          <w:rFonts w:asciiTheme="minorHAnsi" w:hAnsiTheme="minorHAnsi" w:cstheme="minorHAnsi"/>
          <w:i/>
          <w:iCs/>
          <w:snapToGrid w:val="0"/>
        </w:rPr>
      </w:pPr>
      <w:r w:rsidRPr="00AE3438">
        <w:rPr>
          <w:rFonts w:asciiTheme="minorHAnsi" w:hAnsiTheme="minorHAnsi" w:cstheme="minorHAnsi"/>
          <w:i/>
          <w:iCs/>
          <w:noProof/>
          <w:snapToGrid w:val="0"/>
          <w:lang w:eastAsia="zh-CN"/>
        </w:rPr>
        <w:drawing>
          <wp:inline distT="0" distB="0" distL="0" distR="0" wp14:anchorId="1ED47DC6" wp14:editId="58E9D943">
            <wp:extent cx="8841681" cy="4047214"/>
            <wp:effectExtent l="0" t="0" r="0" b="0"/>
            <wp:docPr id="25" name="Picture 25" descr="P113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Picture 427" descr="P11399#yIS1"/>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11000"/>
                              </a14:imgEffect>
                              <a14:imgEffect>
                                <a14:saturation sat="106000"/>
                              </a14:imgEffect>
                            </a14:imgLayer>
                          </a14:imgProps>
                        </a:ext>
                        <a:ext uri="{28A0092B-C50C-407E-A947-70E740481C1C}">
                          <a14:useLocalDpi xmlns:a14="http://schemas.microsoft.com/office/drawing/2010/main" val="0"/>
                        </a:ext>
                      </a:extLst>
                    </a:blip>
                    <a:srcRect/>
                    <a:stretch>
                      <a:fillRect/>
                    </a:stretch>
                  </pic:blipFill>
                  <pic:spPr bwMode="auto">
                    <a:xfrm>
                      <a:off x="0" y="0"/>
                      <a:ext cx="8877292" cy="4063514"/>
                    </a:xfrm>
                    <a:prstGeom prst="rect">
                      <a:avLst/>
                    </a:prstGeom>
                    <a:noFill/>
                  </pic:spPr>
                </pic:pic>
              </a:graphicData>
            </a:graphic>
          </wp:inline>
        </w:drawing>
      </w:r>
    </w:p>
    <w:p w14:paraId="1E32D709" w14:textId="77777777" w:rsidR="00B75142" w:rsidRPr="00AE3438" w:rsidRDefault="00B75142" w:rsidP="00B75142">
      <w:pPr>
        <w:contextualSpacing/>
        <w:rPr>
          <w:rFonts w:ascii="Arial Narrow" w:hAnsi="Arial Narrow"/>
          <w:snapToGrid w:val="0"/>
          <w:sz w:val="18"/>
          <w:szCs w:val="22"/>
        </w:rPr>
      </w:pPr>
      <w:r w:rsidRPr="00AE3438">
        <w:rPr>
          <w:rFonts w:ascii="Arial Narrow" w:hAnsi="Arial Narrow"/>
          <w:snapToGrid w:val="0"/>
          <w:sz w:val="18"/>
          <w:szCs w:val="22"/>
        </w:rPr>
        <w:t xml:space="preserve">Source: Figure 3.3, p176 of the submission. </w:t>
      </w:r>
    </w:p>
    <w:p w14:paraId="61543ED4" w14:textId="27B958D3" w:rsidR="00B75142" w:rsidRPr="00AE3438" w:rsidRDefault="00B75142" w:rsidP="00B75142">
      <w:pPr>
        <w:contextualSpacing/>
        <w:rPr>
          <w:rFonts w:ascii="Arial Narrow" w:hAnsi="Arial Narrow"/>
          <w:i/>
          <w:iCs/>
          <w:snapToGrid w:val="0"/>
          <w:sz w:val="18"/>
          <w:szCs w:val="22"/>
        </w:rPr>
      </w:pPr>
      <w:r w:rsidRPr="00AE3438">
        <w:rPr>
          <w:rFonts w:ascii="Arial Narrow" w:hAnsi="Arial Narrow"/>
          <w:snapToGrid w:val="0"/>
          <w:sz w:val="18"/>
          <w:szCs w:val="22"/>
        </w:rPr>
        <w:t>PAV=permanent assisted ventilation; SMA=spinal muscular atrophy; SMN=survival motor neuron</w:t>
      </w:r>
      <w:r w:rsidRPr="00AE3438">
        <w:rPr>
          <w:rFonts w:ascii="Arial Narrow" w:hAnsi="Arial Narrow"/>
          <w:i/>
          <w:iCs/>
          <w:snapToGrid w:val="0"/>
          <w:sz w:val="18"/>
          <w:szCs w:val="22"/>
        </w:rPr>
        <w:t xml:space="preserve">. </w:t>
      </w:r>
    </w:p>
    <w:p w14:paraId="77FB2C58" w14:textId="77777777" w:rsidR="00B75142" w:rsidRPr="00AE3438" w:rsidRDefault="00B75142" w:rsidP="00B75142">
      <w:pPr>
        <w:contextualSpacing/>
        <w:rPr>
          <w:rFonts w:ascii="Arial Narrow" w:hAnsi="Arial Narrow"/>
          <w:snapToGrid w:val="0"/>
          <w:sz w:val="18"/>
          <w:szCs w:val="22"/>
        </w:rPr>
      </w:pPr>
      <w:r w:rsidRPr="00AE3438">
        <w:rPr>
          <w:rFonts w:ascii="Arial Narrow" w:hAnsi="Arial Narrow"/>
          <w:snapToGrid w:val="0"/>
          <w:sz w:val="18"/>
          <w:szCs w:val="22"/>
        </w:rPr>
        <w:t>Note: Despite the labelling, no symptomatic Type IV patients were included in the model, so ‘Type 3b/4’ represents only Type IIIb symptomatic patients.</w:t>
      </w:r>
    </w:p>
    <w:p w14:paraId="79E12A4B" w14:textId="77777777" w:rsidR="00B75142" w:rsidRPr="00AE3438" w:rsidRDefault="00B75142" w:rsidP="00B75142">
      <w:pPr>
        <w:spacing w:after="120"/>
        <w:rPr>
          <w:rFonts w:asciiTheme="minorHAnsi" w:hAnsiTheme="minorHAnsi"/>
          <w:snapToGrid w:val="0"/>
        </w:rPr>
        <w:sectPr w:rsidR="00B75142" w:rsidRPr="00AE3438" w:rsidSect="00F03E09">
          <w:pgSz w:w="16840" w:h="11907" w:orient="landscape" w:code="9"/>
          <w:pgMar w:top="1440" w:right="1440" w:bottom="1440" w:left="1440" w:header="1440" w:footer="1440" w:gutter="0"/>
          <w:cols w:space="708"/>
          <w:docGrid w:linePitch="360"/>
        </w:sectPr>
      </w:pPr>
    </w:p>
    <w:p w14:paraId="4E20890A" w14:textId="68F56C8C" w:rsidR="00B75142" w:rsidRPr="00AE3438" w:rsidRDefault="00E4343B" w:rsidP="003C58F2">
      <w:pPr>
        <w:pStyle w:val="3-BodyText"/>
        <w:rPr>
          <w:bCs/>
        </w:rPr>
      </w:pPr>
      <w:bookmarkStart w:id="58" w:name="_Hlk113306282"/>
      <w:r>
        <w:lastRenderedPageBreak/>
        <w:t>T</w:t>
      </w:r>
      <w:r w:rsidR="00B75142" w:rsidRPr="00AE3438">
        <w:t xml:space="preserve">he model’s base case assumed no patient experienced </w:t>
      </w:r>
      <w:r>
        <w:t xml:space="preserve">regression for motor milestones achieved (sitting and walking) </w:t>
      </w:r>
      <w:r w:rsidR="005B2287" w:rsidRPr="00054F33">
        <w:t>and no subsequent treatments were included for either arm</w:t>
      </w:r>
      <w:r w:rsidR="00B75142" w:rsidRPr="00054F33">
        <w:t>.</w:t>
      </w:r>
      <w:r w:rsidR="00653B4C" w:rsidRPr="00054F33">
        <w:t xml:space="preserve"> </w:t>
      </w:r>
      <w:r w:rsidR="007D6F23" w:rsidRPr="00054F33">
        <w:t>The ESC noted that PBS-subsidised subsequent treatment with nusinersen or risdiplam following ONA is only allowed where patients have a documented loss of milestone.</w:t>
      </w:r>
      <w:r w:rsidR="00B75142" w:rsidRPr="00AE3438">
        <w:t xml:space="preserve"> </w:t>
      </w:r>
      <w:bookmarkStart w:id="59" w:name="_Hlk116391824"/>
      <w:r w:rsidR="003872A6" w:rsidRPr="00054F33">
        <w:t>Although no child in the long term follow-up studies for ONA has lost a milestone so far (PSCR</w:t>
      </w:r>
      <w:r w:rsidR="00F73261">
        <w:t>, pre-PBAC response</w:t>
      </w:r>
      <w:r w:rsidR="003872A6" w:rsidRPr="00054F33">
        <w:t>), t</w:t>
      </w:r>
      <w:r w:rsidR="007D6F23" w:rsidRPr="00054F33">
        <w:t xml:space="preserve">he ESC considered this assumption was highly uncertain over a model duration of 30 years. </w:t>
      </w:r>
      <w:r w:rsidR="00F73261" w:rsidRPr="00AE3438">
        <w:t>The model’s assumption favoured ONA pre</w:t>
      </w:r>
      <w:r w:rsidR="00F73261" w:rsidRPr="00AE3438">
        <w:noBreakHyphen/>
        <w:t>symptomatic treatment.</w:t>
      </w:r>
      <w:r w:rsidR="00F73261">
        <w:t xml:space="preserve"> </w:t>
      </w:r>
      <w:r w:rsidR="007D6F23" w:rsidRPr="00054F33">
        <w:t>The ESC considered that there is likely to be some use of sequential treatments where patients experience loss of motor milestones, though this is likely to be lower in patients with 3 copies of SMN2 where the phenotype is less severe, on average.</w:t>
      </w:r>
      <w:r w:rsidR="007D6F23" w:rsidRPr="00AE3438">
        <w:rPr>
          <w:i/>
          <w:iCs/>
        </w:rPr>
        <w:t xml:space="preserve"> </w:t>
      </w:r>
    </w:p>
    <w:bookmarkEnd w:id="58"/>
    <w:bookmarkEnd w:id="59"/>
    <w:p w14:paraId="51361FF8" w14:textId="5A01B4F4" w:rsidR="00B75142" w:rsidRPr="00AE3438" w:rsidRDefault="00B75142" w:rsidP="00B75142">
      <w:pPr>
        <w:numPr>
          <w:ilvl w:val="1"/>
          <w:numId w:val="1"/>
        </w:numPr>
        <w:spacing w:after="120"/>
        <w:rPr>
          <w:rFonts w:asciiTheme="minorHAnsi" w:hAnsiTheme="minorHAnsi"/>
          <w:i/>
          <w:iCs/>
          <w:snapToGrid w:val="0"/>
        </w:rPr>
      </w:pPr>
      <w:r w:rsidRPr="00AE3438">
        <w:rPr>
          <w:rFonts w:asciiTheme="minorHAnsi" w:hAnsiTheme="minorHAnsi"/>
          <w:snapToGrid w:val="0"/>
        </w:rPr>
        <w:t>Prior to treatment initiation, patient outcomes in the status quo arm were assumed to follow natural history by SMA Type. Once treated, patients were assumed to follow outcomes from the clinical studies (‘short-term model period’ in the submission)</w:t>
      </w:r>
      <w:r w:rsidR="003A181E" w:rsidRPr="00AE3438">
        <w:rPr>
          <w:rFonts w:asciiTheme="minorHAnsi" w:hAnsiTheme="minorHAnsi"/>
          <w:snapToGrid w:val="0"/>
        </w:rPr>
        <w:t xml:space="preserve"> however</w:t>
      </w:r>
      <w:r w:rsidRPr="00AE3438">
        <w:rPr>
          <w:rFonts w:asciiTheme="minorHAnsi" w:hAnsiTheme="minorHAnsi"/>
          <w:snapToGrid w:val="0"/>
        </w:rPr>
        <w:t xml:space="preserve"> beyond the trial follow ups, outcomes (mainly survival) were extrapolated based on natural history data (‘long term model period’ in the submission). </w:t>
      </w:r>
      <w:r w:rsidR="000613B9" w:rsidRPr="00AE3438">
        <w:rPr>
          <w:rFonts w:asciiTheme="minorHAnsi" w:hAnsiTheme="minorHAnsi"/>
          <w:snapToGrid w:val="0"/>
        </w:rPr>
        <w:t xml:space="preserve">The reliance on natural history data to predict patient outcomes for symptomatic SMA </w:t>
      </w:r>
      <w:r w:rsidR="000613B9" w:rsidRPr="0052459E">
        <w:rPr>
          <w:rFonts w:asciiTheme="minorHAnsi" w:hAnsiTheme="minorHAnsi"/>
          <w:snapToGrid w:val="0"/>
        </w:rPr>
        <w:t>for the long term model period resulted in significantly reduced survival for patients with</w:t>
      </w:r>
      <w:r w:rsidR="000613B9" w:rsidRPr="00AE3438">
        <w:rPr>
          <w:rFonts w:asciiTheme="minorHAnsi" w:hAnsiTheme="minorHAnsi"/>
          <w:snapToGrid w:val="0"/>
        </w:rPr>
        <w:t xml:space="preserve"> Type I and Type II SMA, which was inconsistent with the clinical data suggesting improved survival of Type I and II SMA patients with DMT treatment. </w:t>
      </w:r>
    </w:p>
    <w:p w14:paraId="449914B1" w14:textId="2A5219EB" w:rsidR="00B75142" w:rsidRPr="00AE3438" w:rsidRDefault="00B75142" w:rsidP="00B75142">
      <w:pPr>
        <w:numPr>
          <w:ilvl w:val="1"/>
          <w:numId w:val="1"/>
        </w:numPr>
        <w:spacing w:after="120"/>
        <w:rPr>
          <w:rFonts w:asciiTheme="minorHAnsi" w:hAnsiTheme="minorHAnsi"/>
          <w:snapToGrid w:val="0"/>
        </w:rPr>
      </w:pPr>
      <w:r w:rsidRPr="00AE3438">
        <w:rPr>
          <w:rFonts w:asciiTheme="minorHAnsi" w:hAnsiTheme="minorHAnsi"/>
          <w:snapToGrid w:val="0"/>
        </w:rPr>
        <w:t xml:space="preserve">Assumptions in the model also favoured the proposed strategy particularly for patients with Type I and Type II SMA, for example, all pre-symptomatic patients in the proposed strategy entered the model from ‘BRND’ (i.e., the best possible health state) whereas </w:t>
      </w:r>
      <w:r w:rsidR="00C1447A" w:rsidRPr="00AE3438">
        <w:rPr>
          <w:rFonts w:asciiTheme="minorHAnsi" w:hAnsiTheme="minorHAnsi"/>
          <w:snapToGrid w:val="0"/>
        </w:rPr>
        <w:t xml:space="preserve">Type I and Type II SMA </w:t>
      </w:r>
      <w:r w:rsidRPr="00AE3438">
        <w:rPr>
          <w:rFonts w:asciiTheme="minorHAnsi" w:hAnsiTheme="minorHAnsi"/>
          <w:snapToGrid w:val="0"/>
        </w:rPr>
        <w:t xml:space="preserve">patients in the status quo arm were assumed </w:t>
      </w:r>
      <w:r w:rsidR="00AC4F13" w:rsidRPr="00AE3438">
        <w:rPr>
          <w:rFonts w:asciiTheme="minorHAnsi" w:hAnsiTheme="minorHAnsi"/>
          <w:snapToGrid w:val="0"/>
        </w:rPr>
        <w:t xml:space="preserve">to be </w:t>
      </w:r>
      <w:r w:rsidRPr="00AE3438">
        <w:rPr>
          <w:rFonts w:asciiTheme="minorHAnsi" w:hAnsiTheme="minorHAnsi"/>
          <w:snapToGrid w:val="0"/>
        </w:rPr>
        <w:t xml:space="preserve">symptomatic </w:t>
      </w:r>
      <w:r w:rsidR="00AC4F13" w:rsidRPr="00AE3438">
        <w:rPr>
          <w:rFonts w:asciiTheme="minorHAnsi" w:hAnsiTheme="minorHAnsi"/>
          <w:snapToGrid w:val="0"/>
        </w:rPr>
        <w:t xml:space="preserve">from </w:t>
      </w:r>
      <w:r w:rsidRPr="00AE3438">
        <w:rPr>
          <w:rFonts w:asciiTheme="minorHAnsi" w:hAnsiTheme="minorHAnsi"/>
          <w:snapToGrid w:val="0"/>
        </w:rPr>
        <w:t>birth and took residence in a lower motor milestone heath state e.g., ‘1.Non sitter’ for Type I patients, this was not appropriate and favoured ONA.</w:t>
      </w:r>
      <w:r w:rsidR="00943373" w:rsidRPr="00AE3438">
        <w:rPr>
          <w:rFonts w:asciiTheme="minorHAnsi" w:hAnsiTheme="minorHAnsi"/>
          <w:snapToGrid w:val="0"/>
        </w:rPr>
        <w:t xml:space="preserve"> </w:t>
      </w:r>
      <w:r w:rsidRPr="00AE3438">
        <w:rPr>
          <w:rFonts w:asciiTheme="minorHAnsi" w:hAnsiTheme="minorHAnsi"/>
          <w:snapToGrid w:val="0"/>
        </w:rPr>
        <w:t>There was also a lack of clinical data supporting the ‘BRND’ health state, although most patients in SPR1NT (pre-symptomatic ONA) were able to walk by 24 months, given walking was assessed as the ability to take ≥ 5 steps this was unlikely to equate to ‘BRND’. There was also a lack of long-term data to justify the assumed sustained benefit over time.</w:t>
      </w:r>
      <w:r w:rsidR="00F87226" w:rsidRPr="00AE3438">
        <w:rPr>
          <w:rFonts w:asciiTheme="minorHAnsi" w:hAnsiTheme="minorHAnsi"/>
          <w:snapToGrid w:val="0"/>
        </w:rPr>
        <w:t xml:space="preserve"> </w:t>
      </w:r>
    </w:p>
    <w:p w14:paraId="70215BC7" w14:textId="4EEC842A" w:rsidR="00A7537F" w:rsidRPr="00AE3438" w:rsidRDefault="00B75142" w:rsidP="00A7537F">
      <w:pPr>
        <w:numPr>
          <w:ilvl w:val="1"/>
          <w:numId w:val="1"/>
        </w:numPr>
        <w:spacing w:after="120"/>
        <w:rPr>
          <w:rFonts w:asciiTheme="minorHAnsi" w:hAnsiTheme="minorHAnsi"/>
          <w:i/>
          <w:iCs/>
          <w:snapToGrid w:val="0"/>
        </w:rPr>
      </w:pPr>
      <w:r w:rsidRPr="00AE3438">
        <w:rPr>
          <w:rFonts w:asciiTheme="minorHAnsi" w:hAnsiTheme="minorHAnsi"/>
          <w:snapToGrid w:val="0"/>
          <w:szCs w:val="22"/>
          <w:lang w:eastAsia="en-US"/>
        </w:rPr>
        <w:t xml:space="preserve">In the status quo arm, the age at the start of treatment was based on data from the clinical studies for Type I, II and IIIa, although the age definition varied for SMA types and was inconsistent, i.e., from age at study baseline (Type I) screening (Type II) and age at diagnosis (Type IIIa). This was important particularly for Types II and III where there were large gaps between symptom onset, age of diagnosis and age at study screening. Given symptomatic patients entered the model via a symptomatic health state, delays to treatment would bias the results in favour of the proposed strategy. </w:t>
      </w:r>
      <w:r w:rsidR="00A7537F" w:rsidRPr="00AE3438">
        <w:rPr>
          <w:snapToGrid w:val="0"/>
          <w:szCs w:val="22"/>
          <w:lang w:eastAsia="en-US"/>
        </w:rPr>
        <w:t>Given the availability and increased testing for SMA, in clinical practice patients are likely to receive treatment soon after symptom onset.</w:t>
      </w:r>
      <w:r w:rsidR="008C3D01" w:rsidRPr="00AE3438">
        <w:rPr>
          <w:snapToGrid w:val="0"/>
          <w:szCs w:val="22"/>
          <w:lang w:eastAsia="en-US"/>
        </w:rPr>
        <w:t xml:space="preserve"> </w:t>
      </w:r>
      <w:r w:rsidR="00006356" w:rsidRPr="00054F33">
        <w:rPr>
          <w:snapToGrid w:val="0"/>
          <w:szCs w:val="22"/>
          <w:lang w:eastAsia="en-US"/>
        </w:rPr>
        <w:t>The PSCR acknowledged that outcomes for the status quo in Australia are likely to be better than observed in the NUSI trials due to earlier treatment after symptom onset.</w:t>
      </w:r>
    </w:p>
    <w:p w14:paraId="715A5526" w14:textId="041C980F" w:rsidR="00B75142" w:rsidRPr="00AE3438" w:rsidRDefault="00B75142" w:rsidP="00B75142">
      <w:pPr>
        <w:numPr>
          <w:ilvl w:val="1"/>
          <w:numId w:val="1"/>
        </w:numPr>
        <w:spacing w:after="120"/>
        <w:rPr>
          <w:rFonts w:asciiTheme="minorHAnsi" w:hAnsiTheme="minorHAnsi"/>
          <w:snapToGrid w:val="0"/>
        </w:rPr>
      </w:pPr>
      <w:r w:rsidRPr="00AE3438">
        <w:rPr>
          <w:rFonts w:asciiTheme="minorHAnsi" w:hAnsiTheme="minorHAnsi"/>
          <w:snapToGrid w:val="0"/>
        </w:rPr>
        <w:lastRenderedPageBreak/>
        <w:t xml:space="preserve">The assumption that costs were lower in the ‘BRND’ health state compared to the ‘3a. Delayed walker’ health state may also not be reasonable, particularly as patients were assumed to switch from ‘3a. Delayed walker’ to ‘BRND’ at the end of the study period thus artificially creating a change in costs. </w:t>
      </w:r>
      <w:r w:rsidR="00C17CFD" w:rsidRPr="00AE3438">
        <w:rPr>
          <w:rFonts w:asciiTheme="minorHAnsi" w:hAnsiTheme="minorHAnsi"/>
          <w:snapToGrid w:val="0"/>
        </w:rPr>
        <w:t>A s</w:t>
      </w:r>
      <w:r w:rsidRPr="00AE3438">
        <w:rPr>
          <w:rFonts w:asciiTheme="minorHAnsi" w:hAnsiTheme="minorHAnsi"/>
          <w:snapToGrid w:val="0"/>
        </w:rPr>
        <w:t>ensitivity analysis exploring this assumption moderately impacted the ICER, although this was a relatively minor cost component compared to drug costs.</w:t>
      </w:r>
    </w:p>
    <w:p w14:paraId="21789F54" w14:textId="171065B7" w:rsidR="008172DA" w:rsidRPr="00AE3438" w:rsidRDefault="00B75142" w:rsidP="000613B9">
      <w:pPr>
        <w:numPr>
          <w:ilvl w:val="1"/>
          <w:numId w:val="1"/>
        </w:numPr>
        <w:spacing w:after="120"/>
        <w:rPr>
          <w:rFonts w:asciiTheme="minorHAnsi" w:hAnsiTheme="minorHAnsi"/>
          <w:snapToGrid w:val="0"/>
        </w:rPr>
      </w:pPr>
      <w:r w:rsidRPr="00AE3438">
        <w:rPr>
          <w:rFonts w:asciiTheme="minorHAnsi" w:hAnsiTheme="minorHAnsi" w:cstheme="minorHAnsi"/>
          <w:snapToGrid w:val="0"/>
          <w:lang w:eastAsia="en-US"/>
        </w:rPr>
        <w:fldChar w:fldCharType="begin"/>
      </w:r>
      <w:r w:rsidRPr="00AE3438">
        <w:rPr>
          <w:rFonts w:asciiTheme="minorHAnsi" w:hAnsiTheme="minorHAnsi" w:cstheme="minorHAnsi"/>
          <w:snapToGrid w:val="0"/>
          <w:lang w:eastAsia="en-US"/>
        </w:rPr>
        <w:instrText xml:space="preserve"> REF _Ref113009183 \h </w:instrText>
      </w:r>
      <w:r w:rsidR="00F42347" w:rsidRPr="00AE3438">
        <w:rPr>
          <w:rFonts w:asciiTheme="minorHAnsi" w:hAnsiTheme="minorHAnsi" w:cstheme="minorHAnsi"/>
          <w:snapToGrid w:val="0"/>
          <w:lang w:eastAsia="en-US"/>
        </w:rPr>
        <w:instrText xml:space="preserve"> \* MERGEFORMAT </w:instrText>
      </w:r>
      <w:r w:rsidRPr="00AE3438">
        <w:rPr>
          <w:rFonts w:asciiTheme="minorHAnsi" w:hAnsiTheme="minorHAnsi" w:cstheme="minorHAnsi"/>
          <w:snapToGrid w:val="0"/>
          <w:lang w:eastAsia="en-US"/>
        </w:rPr>
      </w:r>
      <w:r w:rsidRPr="00AE3438">
        <w:rPr>
          <w:rFonts w:asciiTheme="minorHAnsi" w:hAnsiTheme="minorHAnsi" w:cstheme="minorHAnsi"/>
          <w:snapToGrid w:val="0"/>
          <w:lang w:eastAsia="en-US"/>
        </w:rPr>
        <w:fldChar w:fldCharType="separate"/>
      </w:r>
      <w:r w:rsidR="008E4E26" w:rsidRPr="008E4E26">
        <w:rPr>
          <w:rFonts w:asciiTheme="minorHAnsi" w:hAnsiTheme="minorHAnsi" w:cstheme="minorHAnsi"/>
          <w:bCs/>
        </w:rPr>
        <w:t>Figure 5</w:t>
      </w:r>
      <w:r w:rsidRPr="00AE3438">
        <w:rPr>
          <w:rFonts w:asciiTheme="minorHAnsi" w:hAnsiTheme="minorHAnsi" w:cstheme="minorHAnsi"/>
          <w:snapToGrid w:val="0"/>
          <w:lang w:eastAsia="en-US"/>
        </w:rPr>
        <w:fldChar w:fldCharType="end"/>
      </w:r>
      <w:r w:rsidRPr="00AE3438">
        <w:rPr>
          <w:rFonts w:asciiTheme="minorHAnsi" w:hAnsiTheme="minorHAnsi"/>
          <w:snapToGrid w:val="0"/>
          <w:szCs w:val="22"/>
          <w:lang w:eastAsia="en-US"/>
        </w:rPr>
        <w:t xml:space="preserve"> illustrates the model trace for the proposed strategy arm (pre-symptomatic treatment). The figure illustrates that with the exception of a small proportion (1/15, i.e., 6.7%) of patients transitioning to the ‘3a.Delayed walker’ health state before 2 years of age, all patients remained in ‘BRND’ for the entire model duration except for death due to general population mortality. It may not be plausible for the majority of patients in the pre-symptomatic treatment arm to remain in the ‘BRND’ health state for 30 years.</w:t>
      </w:r>
    </w:p>
    <w:p w14:paraId="0E7FC816" w14:textId="07863C84" w:rsidR="006F07DF" w:rsidRPr="00AE3438" w:rsidRDefault="00B75142" w:rsidP="000613B9">
      <w:pPr>
        <w:pStyle w:val="3-BodyText"/>
        <w:rPr>
          <w:i/>
          <w:iCs/>
          <w:szCs w:val="22"/>
          <w:lang w:eastAsia="en-US"/>
        </w:rPr>
      </w:pPr>
      <w:r w:rsidRPr="00AE3438">
        <w:fldChar w:fldCharType="begin"/>
      </w:r>
      <w:r w:rsidRPr="00AE3438">
        <w:instrText xml:space="preserve"> REF _Ref113009724 \h  \* MERGEFORMAT </w:instrText>
      </w:r>
      <w:r w:rsidRPr="00AE3438">
        <w:fldChar w:fldCharType="separate"/>
      </w:r>
      <w:r w:rsidR="008E4E26" w:rsidRPr="008E4E26">
        <w:t>Figure 6</w:t>
      </w:r>
      <w:r w:rsidRPr="00AE3438">
        <w:fldChar w:fldCharType="end"/>
      </w:r>
      <w:r w:rsidRPr="00AE3438">
        <w:t xml:space="preserve">, </w:t>
      </w:r>
      <w:r w:rsidRPr="00AE3438">
        <w:fldChar w:fldCharType="begin"/>
      </w:r>
      <w:r w:rsidRPr="00AE3438">
        <w:instrText xml:space="preserve"> REF _Ref113009732 \h  \* MERGEFORMAT </w:instrText>
      </w:r>
      <w:r w:rsidRPr="00AE3438">
        <w:fldChar w:fldCharType="separate"/>
      </w:r>
      <w:r w:rsidR="008E4E26" w:rsidRPr="008E4E26">
        <w:t>Figure 7</w:t>
      </w:r>
      <w:r w:rsidRPr="00AE3438">
        <w:fldChar w:fldCharType="end"/>
      </w:r>
      <w:r w:rsidRPr="00AE3438">
        <w:t xml:space="preserve">, </w:t>
      </w:r>
      <w:r w:rsidRPr="00AE3438">
        <w:fldChar w:fldCharType="begin"/>
      </w:r>
      <w:r w:rsidRPr="00AE3438">
        <w:instrText xml:space="preserve"> REF _Ref113009746 \h  \* MERGEFORMAT </w:instrText>
      </w:r>
      <w:r w:rsidRPr="00AE3438">
        <w:fldChar w:fldCharType="separate"/>
      </w:r>
      <w:r w:rsidR="008E4E26" w:rsidRPr="008E4E26">
        <w:t>Figure 8</w:t>
      </w:r>
      <w:r w:rsidRPr="00AE3438">
        <w:fldChar w:fldCharType="end"/>
      </w:r>
      <w:r w:rsidRPr="00AE3438">
        <w:t xml:space="preserve"> and </w:t>
      </w:r>
      <w:r w:rsidRPr="00AE3438">
        <w:fldChar w:fldCharType="begin"/>
      </w:r>
      <w:r w:rsidRPr="00AE3438">
        <w:instrText xml:space="preserve"> REF _Ref113009760 \h  \* MERGEFORMAT </w:instrText>
      </w:r>
      <w:r w:rsidRPr="00AE3438">
        <w:fldChar w:fldCharType="separate"/>
      </w:r>
      <w:r w:rsidR="008E4E26" w:rsidRPr="008E4E26">
        <w:t>Figure 9</w:t>
      </w:r>
      <w:r w:rsidRPr="00AE3438">
        <w:fldChar w:fldCharType="end"/>
      </w:r>
      <w:r w:rsidRPr="00AE3438">
        <w:t xml:space="preserve"> illustrate the model traces for symptomatic treatment of patients with Types I, II, IIIa and IIIb SMA, respectively in the status quo arm. </w:t>
      </w:r>
      <w:r w:rsidRPr="00AE3438">
        <w:rPr>
          <w:szCs w:val="22"/>
          <w:lang w:eastAsia="en-US"/>
        </w:rPr>
        <w:t xml:space="preserve">These results were in stark contrast with modelled events in the proposed strategy arm. Patients with SMA Types I and II were assumed to experience immediate symptom onset at birth (which was not plausible), and only improved with treatment (but only to ‘2. Sitter’ for the majority) before an early death following natural history. Survival for patients with SMA Type IIIa and IIIb </w:t>
      </w:r>
      <w:r w:rsidR="008C3D01" w:rsidRPr="00AE3438">
        <w:rPr>
          <w:szCs w:val="22"/>
          <w:lang w:eastAsia="en-US"/>
        </w:rPr>
        <w:t xml:space="preserve">was </w:t>
      </w:r>
      <w:r w:rsidRPr="00AE3438">
        <w:rPr>
          <w:szCs w:val="22"/>
          <w:lang w:eastAsia="en-US"/>
        </w:rPr>
        <w:t>assumed to be similar to the proposed strategy arm (all following general population mortality), however patients in</w:t>
      </w:r>
      <w:r w:rsidR="009A146F" w:rsidRPr="00AE3438">
        <w:rPr>
          <w:szCs w:val="22"/>
          <w:lang w:eastAsia="en-US"/>
        </w:rPr>
        <w:t xml:space="preserve"> the</w:t>
      </w:r>
      <w:r w:rsidRPr="00AE3438">
        <w:rPr>
          <w:szCs w:val="22"/>
          <w:lang w:eastAsia="en-US"/>
        </w:rPr>
        <w:t xml:space="preserve"> status quo arm were assumed to spend more time in the poorer mobility health states and accrue greater costs.</w:t>
      </w:r>
      <w:r w:rsidR="00C76F89" w:rsidRPr="00AE3438">
        <w:rPr>
          <w:szCs w:val="22"/>
          <w:lang w:eastAsia="en-US"/>
        </w:rPr>
        <w:t xml:space="preserve"> </w:t>
      </w:r>
      <w:r w:rsidR="00332F05" w:rsidRPr="00054F33">
        <w:rPr>
          <w:szCs w:val="22"/>
          <w:lang w:eastAsia="en-US"/>
        </w:rPr>
        <w:t xml:space="preserve">The PSCR </w:t>
      </w:r>
      <w:r w:rsidR="00962BFD" w:rsidRPr="00054F33">
        <w:rPr>
          <w:szCs w:val="22"/>
          <w:lang w:eastAsia="en-US"/>
        </w:rPr>
        <w:t>considered that</w:t>
      </w:r>
      <w:r w:rsidR="005821FF" w:rsidRPr="00054F33">
        <w:rPr>
          <w:szCs w:val="22"/>
          <w:lang w:eastAsia="en-US"/>
        </w:rPr>
        <w:t xml:space="preserve"> the natural history study</w:t>
      </w:r>
      <w:r w:rsidR="008C3D01" w:rsidRPr="00054F33">
        <w:rPr>
          <w:szCs w:val="22"/>
          <w:lang w:eastAsia="en-US"/>
        </w:rPr>
        <w:t>,</w:t>
      </w:r>
      <w:r w:rsidR="005821FF" w:rsidRPr="00054F33">
        <w:rPr>
          <w:szCs w:val="22"/>
          <w:lang w:eastAsia="en-US"/>
        </w:rPr>
        <w:t xml:space="preserve"> which Type I SMA survival was based on</w:t>
      </w:r>
      <w:r w:rsidR="008C3D01" w:rsidRPr="00054F33">
        <w:rPr>
          <w:szCs w:val="22"/>
          <w:lang w:eastAsia="en-US"/>
        </w:rPr>
        <w:t>,</w:t>
      </w:r>
      <w:r w:rsidR="005821FF" w:rsidRPr="00054F33">
        <w:rPr>
          <w:szCs w:val="22"/>
          <w:lang w:eastAsia="en-US"/>
        </w:rPr>
        <w:t xml:space="preserve"> may be prone to survivorship bias given the high mortality of these patients</w:t>
      </w:r>
      <w:r w:rsidR="0040676B" w:rsidRPr="00054F33">
        <w:rPr>
          <w:szCs w:val="22"/>
          <w:lang w:eastAsia="en-US"/>
        </w:rPr>
        <w:t>.</w:t>
      </w:r>
      <w:r w:rsidR="005821FF" w:rsidRPr="00054F33">
        <w:rPr>
          <w:szCs w:val="22"/>
          <w:lang w:eastAsia="en-US"/>
        </w:rPr>
        <w:t xml:space="preserve"> </w:t>
      </w:r>
      <w:r w:rsidR="0040676B" w:rsidRPr="00054F33">
        <w:rPr>
          <w:szCs w:val="22"/>
          <w:lang w:eastAsia="en-US"/>
        </w:rPr>
        <w:t>As such, the PSCR</w:t>
      </w:r>
      <w:r w:rsidR="00332F05" w:rsidRPr="00054F33">
        <w:rPr>
          <w:szCs w:val="22"/>
          <w:lang w:eastAsia="en-US"/>
        </w:rPr>
        <w:t xml:space="preserve"> contended that it would be inappropriate to assume general population mortality (which is applied in the ‘BRND’ health state) </w:t>
      </w:r>
      <w:r w:rsidR="0040676B" w:rsidRPr="00054F33">
        <w:rPr>
          <w:szCs w:val="22"/>
          <w:lang w:eastAsia="en-US"/>
        </w:rPr>
        <w:t>for Type I SMA prior to initiation treatment</w:t>
      </w:r>
      <w:r w:rsidR="005821FF" w:rsidRPr="00054F33">
        <w:rPr>
          <w:szCs w:val="22"/>
          <w:lang w:eastAsia="en-US"/>
        </w:rPr>
        <w:t>. The PSCR noted that</w:t>
      </w:r>
      <w:r w:rsidR="003A4F46" w:rsidRPr="00054F33">
        <w:rPr>
          <w:szCs w:val="22"/>
          <w:lang w:eastAsia="en-US"/>
        </w:rPr>
        <w:t xml:space="preserve"> pre</w:t>
      </w:r>
      <w:r w:rsidR="008C3D01" w:rsidRPr="00054F33">
        <w:rPr>
          <w:szCs w:val="22"/>
          <w:lang w:eastAsia="en-US"/>
        </w:rPr>
        <w:noBreakHyphen/>
      </w:r>
      <w:r w:rsidR="003A4F46" w:rsidRPr="00054F33">
        <w:rPr>
          <w:szCs w:val="22"/>
          <w:lang w:eastAsia="en-US"/>
        </w:rPr>
        <w:t>symptomatic treatment with ONA remained less costly and more effective compared to status quo when</w:t>
      </w:r>
      <w:r w:rsidR="005821FF" w:rsidRPr="00054F33">
        <w:rPr>
          <w:szCs w:val="22"/>
          <w:lang w:eastAsia="en-US"/>
        </w:rPr>
        <w:t xml:space="preserve"> symptomatic Type I and Type II SMA </w:t>
      </w:r>
      <w:r w:rsidR="003A4F46" w:rsidRPr="00054F33">
        <w:rPr>
          <w:szCs w:val="22"/>
          <w:lang w:eastAsia="en-US"/>
        </w:rPr>
        <w:t>patients were assumed to enter the model in the ‘BRND’ health state until they receive treatment.</w:t>
      </w:r>
      <w:r w:rsidR="006F07DF" w:rsidRPr="00054F33">
        <w:rPr>
          <w:szCs w:val="22"/>
          <w:lang w:eastAsia="en-US"/>
        </w:rPr>
        <w:t xml:space="preserve"> The ESC noted </w:t>
      </w:r>
      <w:r w:rsidR="006A2399" w:rsidRPr="00054F33">
        <w:rPr>
          <w:szCs w:val="22"/>
          <w:lang w:eastAsia="en-US"/>
        </w:rPr>
        <w:t xml:space="preserve">that the proposed strategy would remain less costly than status quo </w:t>
      </w:r>
      <w:r w:rsidR="008C3D01" w:rsidRPr="00054F33">
        <w:rPr>
          <w:szCs w:val="22"/>
          <w:lang w:eastAsia="en-US"/>
        </w:rPr>
        <w:t xml:space="preserve">over the 30 year horizon </w:t>
      </w:r>
      <w:r w:rsidR="006A2399" w:rsidRPr="00054F33">
        <w:rPr>
          <w:szCs w:val="22"/>
          <w:lang w:eastAsia="en-US"/>
        </w:rPr>
        <w:t>with the current assumptions around sequential treatments.</w:t>
      </w:r>
      <w:r w:rsidR="006A2399" w:rsidRPr="00AE3438">
        <w:rPr>
          <w:i/>
          <w:iCs/>
          <w:szCs w:val="22"/>
          <w:lang w:eastAsia="en-US"/>
        </w:rPr>
        <w:t xml:space="preserve"> </w:t>
      </w:r>
    </w:p>
    <w:p w14:paraId="5FC20744" w14:textId="7C2EDB42" w:rsidR="00B75142" w:rsidRPr="00AE3438" w:rsidRDefault="00B75142" w:rsidP="00B75142">
      <w:pPr>
        <w:keepNext/>
        <w:keepLines/>
        <w:rPr>
          <w:rFonts w:ascii="Arial Narrow" w:hAnsi="Arial Narrow"/>
          <w:b/>
          <w:bCs/>
          <w:sz w:val="20"/>
          <w:szCs w:val="18"/>
        </w:rPr>
      </w:pPr>
      <w:bookmarkStart w:id="60" w:name="_Ref113009183"/>
      <w:r w:rsidRPr="00AE3438">
        <w:rPr>
          <w:rFonts w:ascii="Arial Narrow" w:hAnsi="Arial Narrow"/>
          <w:b/>
          <w:bCs/>
          <w:sz w:val="20"/>
          <w:szCs w:val="18"/>
        </w:rPr>
        <w:lastRenderedPageBreak/>
        <w:t xml:space="preserve">Figure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Figure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5</w:t>
      </w:r>
      <w:r w:rsidRPr="00AE3438">
        <w:rPr>
          <w:rFonts w:ascii="Arial Narrow" w:hAnsi="Arial Narrow"/>
          <w:b/>
          <w:bCs/>
          <w:sz w:val="20"/>
          <w:szCs w:val="18"/>
        </w:rPr>
        <w:fldChar w:fldCharType="end"/>
      </w:r>
      <w:bookmarkEnd w:id="60"/>
      <w:r w:rsidRPr="00AE3438">
        <w:rPr>
          <w:rFonts w:ascii="Arial Narrow" w:hAnsi="Arial Narrow"/>
          <w:b/>
          <w:bCs/>
          <w:sz w:val="20"/>
          <w:szCs w:val="20"/>
        </w:rPr>
        <w:t xml:space="preserve">: Markov trace for proposed strategy – </w:t>
      </w:r>
      <w:r w:rsidRPr="00AE3438">
        <w:rPr>
          <w:rFonts w:ascii="Arial Narrow" w:hAnsi="Arial Narrow"/>
          <w:b/>
          <w:bCs/>
          <w:color w:val="00B050"/>
          <w:sz w:val="20"/>
          <w:szCs w:val="20"/>
        </w:rPr>
        <w:t xml:space="preserve">pre-symptomatic </w:t>
      </w:r>
      <w:r w:rsidRPr="00AE3438">
        <w:rPr>
          <w:rFonts w:ascii="Arial Narrow" w:hAnsi="Arial Narrow"/>
          <w:b/>
          <w:bCs/>
          <w:sz w:val="20"/>
          <w:szCs w:val="20"/>
        </w:rPr>
        <w:t>treatment of patients with 3 copies of SMN</w:t>
      </w:r>
      <w:r w:rsidRPr="00AE3438">
        <w:rPr>
          <w:rFonts w:ascii="Arial Narrow" w:hAnsi="Arial Narrow"/>
          <w:b/>
          <w:bCs/>
          <w:sz w:val="20"/>
          <w:szCs w:val="20"/>
          <w:vertAlign w:val="subscript"/>
        </w:rPr>
        <w:t>2</w:t>
      </w:r>
    </w:p>
    <w:p w14:paraId="319D9997" w14:textId="77777777" w:rsidR="00B75142" w:rsidRPr="00AE3438" w:rsidRDefault="00B75142" w:rsidP="00B75142">
      <w:pPr>
        <w:rPr>
          <w:color w:val="3366FF"/>
        </w:rPr>
      </w:pPr>
      <w:r w:rsidRPr="00AE3438">
        <w:rPr>
          <w:noProof/>
          <w:color w:val="3366FF"/>
          <w:lang w:eastAsia="zh-CN"/>
        </w:rPr>
        <w:drawing>
          <wp:inline distT="0" distB="0" distL="0" distR="0" wp14:anchorId="1E40D25B" wp14:editId="22779761">
            <wp:extent cx="5716800" cy="2019600"/>
            <wp:effectExtent l="0" t="0" r="0" b="0"/>
            <wp:docPr id="26" name="Picture 26" descr="Figure 5: Markov trace for proposed strategy – pre-symptomatic treatment of patients with 3 copies of SM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5: Markov trace for proposed strategy – pre-symptomatic treatment of patients with 3 copies of SMN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6800" cy="2019600"/>
                    </a:xfrm>
                    <a:prstGeom prst="rect">
                      <a:avLst/>
                    </a:prstGeom>
                    <a:noFill/>
                  </pic:spPr>
                </pic:pic>
              </a:graphicData>
            </a:graphic>
          </wp:inline>
        </w:drawing>
      </w:r>
    </w:p>
    <w:p w14:paraId="061A0030" w14:textId="77777777" w:rsidR="00B75142" w:rsidRPr="00AE3438" w:rsidRDefault="00B75142" w:rsidP="00B75142">
      <w:pPr>
        <w:contextualSpacing/>
        <w:rPr>
          <w:rFonts w:ascii="Arial Narrow" w:hAnsi="Arial Narrow"/>
          <w:snapToGrid w:val="0"/>
          <w:sz w:val="18"/>
          <w:szCs w:val="22"/>
        </w:rPr>
      </w:pPr>
      <w:r w:rsidRPr="00AE3438">
        <w:rPr>
          <w:rFonts w:ascii="Arial Narrow" w:hAnsi="Arial Narrow"/>
          <w:snapToGrid w:val="0"/>
          <w:sz w:val="18"/>
          <w:szCs w:val="22"/>
        </w:rPr>
        <w:t>Source: Figure 3.9, p207 of the submission.</w:t>
      </w:r>
    </w:p>
    <w:p w14:paraId="2E85EC1C" w14:textId="77777777" w:rsidR="00B75142" w:rsidRPr="00AE3438" w:rsidRDefault="00B75142" w:rsidP="00B75142">
      <w:pPr>
        <w:rPr>
          <w:rFonts w:ascii="Arial Narrow" w:hAnsi="Arial Narrow"/>
          <w:sz w:val="18"/>
          <w:szCs w:val="18"/>
        </w:rPr>
      </w:pPr>
      <w:r w:rsidRPr="00AE3438">
        <w:rPr>
          <w:rFonts w:ascii="Arial Narrow" w:hAnsi="Arial Narrow"/>
          <w:sz w:val="18"/>
          <w:szCs w:val="18"/>
        </w:rPr>
        <w:t>PAV=permanent assisted ventilation; SMA=spinal muscular atrophy; SMN=survival motor neuron.</w:t>
      </w:r>
    </w:p>
    <w:p w14:paraId="62BFAA43" w14:textId="77777777" w:rsidR="00B75142" w:rsidRPr="00AE3438" w:rsidRDefault="00B75142" w:rsidP="00B75142"/>
    <w:p w14:paraId="6DF3C01A" w14:textId="53626E8E" w:rsidR="00B75142" w:rsidRPr="00AE3438" w:rsidRDefault="00B75142" w:rsidP="00B75142">
      <w:pPr>
        <w:rPr>
          <w:rFonts w:ascii="Arial Narrow" w:hAnsi="Arial Narrow"/>
          <w:b/>
          <w:bCs/>
          <w:sz w:val="20"/>
          <w:szCs w:val="20"/>
        </w:rPr>
      </w:pPr>
      <w:bookmarkStart w:id="61" w:name="_Ref113009724"/>
      <w:r w:rsidRPr="00AE3438">
        <w:rPr>
          <w:rFonts w:ascii="Arial Narrow" w:hAnsi="Arial Narrow"/>
          <w:b/>
          <w:bCs/>
          <w:sz w:val="20"/>
          <w:szCs w:val="20"/>
        </w:rPr>
        <w:t xml:space="preserve">Figure </w:t>
      </w:r>
      <w:r w:rsidRPr="00AE3438">
        <w:rPr>
          <w:rFonts w:ascii="Arial Narrow" w:hAnsi="Arial Narrow"/>
          <w:b/>
          <w:bCs/>
          <w:sz w:val="20"/>
          <w:szCs w:val="20"/>
        </w:rPr>
        <w:fldChar w:fldCharType="begin"/>
      </w:r>
      <w:r w:rsidRPr="00AE3438">
        <w:rPr>
          <w:rFonts w:ascii="Arial Narrow" w:hAnsi="Arial Narrow"/>
          <w:b/>
          <w:bCs/>
          <w:sz w:val="20"/>
          <w:szCs w:val="20"/>
        </w:rPr>
        <w:instrText xml:space="preserve"> SEQ Figure \* ARABIC </w:instrText>
      </w:r>
      <w:r w:rsidRPr="00AE3438">
        <w:rPr>
          <w:rFonts w:ascii="Arial Narrow" w:hAnsi="Arial Narrow"/>
          <w:b/>
          <w:bCs/>
          <w:sz w:val="20"/>
          <w:szCs w:val="20"/>
        </w:rPr>
        <w:fldChar w:fldCharType="separate"/>
      </w:r>
      <w:r w:rsidR="008E4E26">
        <w:rPr>
          <w:rFonts w:ascii="Arial Narrow" w:hAnsi="Arial Narrow"/>
          <w:b/>
          <w:bCs/>
          <w:noProof/>
          <w:sz w:val="20"/>
          <w:szCs w:val="20"/>
        </w:rPr>
        <w:t>6</w:t>
      </w:r>
      <w:r w:rsidRPr="00AE3438">
        <w:rPr>
          <w:rFonts w:ascii="Arial Narrow" w:hAnsi="Arial Narrow"/>
          <w:b/>
          <w:bCs/>
          <w:sz w:val="20"/>
          <w:szCs w:val="20"/>
        </w:rPr>
        <w:fldChar w:fldCharType="end"/>
      </w:r>
      <w:bookmarkEnd w:id="61"/>
      <w:r w:rsidRPr="00AE3438">
        <w:rPr>
          <w:rFonts w:ascii="Arial Narrow" w:hAnsi="Arial Narrow"/>
          <w:b/>
          <w:bCs/>
          <w:sz w:val="20"/>
          <w:szCs w:val="20"/>
        </w:rPr>
        <w:t xml:space="preserve">: Markov trace for status quo – </w:t>
      </w:r>
      <w:bookmarkStart w:id="62" w:name="_Hlk113197696"/>
      <w:r w:rsidRPr="00AE3438">
        <w:rPr>
          <w:rFonts w:ascii="Arial Narrow" w:eastAsiaTheme="majorEastAsia" w:hAnsi="Arial Narrow" w:cstheme="majorBidi"/>
          <w:b/>
          <w:bCs/>
          <w:color w:val="D60093"/>
          <w:sz w:val="20"/>
          <w:szCs w:val="20"/>
          <w:u w:val="single"/>
        </w:rPr>
        <w:t xml:space="preserve">symptomatic </w:t>
      </w:r>
      <w:bookmarkEnd w:id="62"/>
      <w:r w:rsidRPr="00AE3438">
        <w:rPr>
          <w:rFonts w:ascii="Arial Narrow" w:hAnsi="Arial Narrow"/>
          <w:b/>
          <w:bCs/>
          <w:sz w:val="20"/>
          <w:szCs w:val="20"/>
        </w:rPr>
        <w:t>Type I SMA</w:t>
      </w:r>
    </w:p>
    <w:p w14:paraId="3B1D97A3" w14:textId="77777777" w:rsidR="00B75142" w:rsidRPr="00AE3438" w:rsidRDefault="00B75142" w:rsidP="00B75142">
      <w:r w:rsidRPr="00AE3438">
        <w:rPr>
          <w:noProof/>
          <w:lang w:eastAsia="zh-CN"/>
        </w:rPr>
        <w:drawing>
          <wp:inline distT="0" distB="0" distL="0" distR="0" wp14:anchorId="2B19E341" wp14:editId="579EAE0D">
            <wp:extent cx="5634000" cy="2084400"/>
            <wp:effectExtent l="0" t="0" r="5080" b="0"/>
            <wp:docPr id="27" name="Picture 27" descr="Figure 6: Markov trace for status quo – symptomatic Type I 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6: Markov trace for status quo – symptomatic Type I SM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4000" cy="2084400"/>
                    </a:xfrm>
                    <a:prstGeom prst="rect">
                      <a:avLst/>
                    </a:prstGeom>
                    <a:noFill/>
                  </pic:spPr>
                </pic:pic>
              </a:graphicData>
            </a:graphic>
          </wp:inline>
        </w:drawing>
      </w:r>
    </w:p>
    <w:p w14:paraId="794F1B28" w14:textId="77777777" w:rsidR="00B75142" w:rsidRPr="00AE3438" w:rsidRDefault="00B75142" w:rsidP="00B75142">
      <w:pPr>
        <w:contextualSpacing/>
        <w:rPr>
          <w:rFonts w:ascii="Arial Narrow" w:hAnsi="Arial Narrow"/>
          <w:snapToGrid w:val="0"/>
          <w:sz w:val="18"/>
          <w:szCs w:val="22"/>
        </w:rPr>
      </w:pPr>
      <w:r w:rsidRPr="00AE3438">
        <w:rPr>
          <w:rFonts w:ascii="Arial Narrow" w:hAnsi="Arial Narrow"/>
          <w:snapToGrid w:val="0"/>
          <w:sz w:val="18"/>
          <w:szCs w:val="22"/>
        </w:rPr>
        <w:t>Source: Figure 3.10, p208 of the submission.</w:t>
      </w:r>
    </w:p>
    <w:p w14:paraId="6AD1D0A7" w14:textId="77777777" w:rsidR="00B75142" w:rsidRPr="00AE3438" w:rsidRDefault="00B75142" w:rsidP="00B75142">
      <w:pPr>
        <w:rPr>
          <w:rFonts w:ascii="Arial Narrow" w:hAnsi="Arial Narrow"/>
          <w:sz w:val="18"/>
          <w:szCs w:val="18"/>
        </w:rPr>
      </w:pPr>
      <w:r w:rsidRPr="00AE3438">
        <w:rPr>
          <w:rFonts w:ascii="Arial Narrow" w:hAnsi="Arial Narrow"/>
          <w:sz w:val="18"/>
          <w:szCs w:val="18"/>
        </w:rPr>
        <w:t>PAV=permanent assisted ventilation; SMA=spinal muscular atrophy; SoC=standard of care.</w:t>
      </w:r>
    </w:p>
    <w:p w14:paraId="0E3E9214" w14:textId="77777777" w:rsidR="00B75142" w:rsidRPr="00AE3438" w:rsidRDefault="00B75142" w:rsidP="00B75142"/>
    <w:p w14:paraId="1176C30A" w14:textId="15D73365" w:rsidR="00B75142" w:rsidRPr="00AE3438" w:rsidRDefault="00B75142" w:rsidP="00B75142">
      <w:pPr>
        <w:keepNext/>
        <w:keepLines/>
        <w:rPr>
          <w:rFonts w:ascii="Arial Narrow" w:hAnsi="Arial Narrow"/>
          <w:b/>
          <w:bCs/>
          <w:sz w:val="20"/>
          <w:szCs w:val="18"/>
        </w:rPr>
      </w:pPr>
      <w:bookmarkStart w:id="63" w:name="_Ref113009732"/>
      <w:r w:rsidRPr="00AE3438">
        <w:rPr>
          <w:rFonts w:ascii="Arial Narrow" w:hAnsi="Arial Narrow"/>
          <w:b/>
          <w:bCs/>
          <w:sz w:val="20"/>
          <w:szCs w:val="18"/>
        </w:rPr>
        <w:t xml:space="preserve">Figure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Figure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7</w:t>
      </w:r>
      <w:r w:rsidRPr="00AE3438">
        <w:rPr>
          <w:rFonts w:ascii="Arial Narrow" w:hAnsi="Arial Narrow"/>
          <w:b/>
          <w:bCs/>
          <w:sz w:val="20"/>
          <w:szCs w:val="18"/>
        </w:rPr>
        <w:fldChar w:fldCharType="end"/>
      </w:r>
      <w:bookmarkEnd w:id="63"/>
      <w:r w:rsidRPr="00AE3438">
        <w:rPr>
          <w:rFonts w:ascii="Arial Narrow" w:hAnsi="Arial Narrow"/>
          <w:b/>
          <w:bCs/>
          <w:sz w:val="20"/>
          <w:szCs w:val="20"/>
        </w:rPr>
        <w:t xml:space="preserve">: Markov trace for status quo – </w:t>
      </w:r>
      <w:r w:rsidRPr="00AE3438">
        <w:rPr>
          <w:rFonts w:ascii="Arial Narrow" w:eastAsiaTheme="majorEastAsia" w:hAnsi="Arial Narrow" w:cstheme="majorBidi"/>
          <w:b/>
          <w:bCs/>
          <w:color w:val="D60093"/>
          <w:sz w:val="20"/>
          <w:szCs w:val="20"/>
          <w:u w:val="single"/>
        </w:rPr>
        <w:t xml:space="preserve">symptomatic </w:t>
      </w:r>
      <w:r w:rsidRPr="00AE3438">
        <w:rPr>
          <w:rFonts w:ascii="Arial Narrow" w:hAnsi="Arial Narrow"/>
          <w:b/>
          <w:bCs/>
          <w:sz w:val="20"/>
          <w:szCs w:val="20"/>
        </w:rPr>
        <w:t>Type II SMA</w:t>
      </w:r>
    </w:p>
    <w:p w14:paraId="14250BD6" w14:textId="77777777" w:rsidR="00B75142" w:rsidRPr="00AE3438" w:rsidRDefault="00B75142" w:rsidP="00B75142">
      <w:pPr>
        <w:keepNext/>
        <w:keepLines/>
      </w:pPr>
      <w:r w:rsidRPr="00AE3438">
        <w:rPr>
          <w:noProof/>
          <w:lang w:eastAsia="zh-CN"/>
        </w:rPr>
        <w:drawing>
          <wp:inline distT="0" distB="0" distL="0" distR="0" wp14:anchorId="1D87AB3D" wp14:editId="30EF33F4">
            <wp:extent cx="5780014" cy="2083242"/>
            <wp:effectExtent l="0" t="0" r="0" b="0"/>
            <wp:docPr id="28" name="Picture 28" descr="Figure 7: Markov trace for status quo – symptomatic Type II 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7: Markov trace for status quo – symptomatic Type II SM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4027" cy="2091897"/>
                    </a:xfrm>
                    <a:prstGeom prst="rect">
                      <a:avLst/>
                    </a:prstGeom>
                    <a:noFill/>
                  </pic:spPr>
                </pic:pic>
              </a:graphicData>
            </a:graphic>
          </wp:inline>
        </w:drawing>
      </w:r>
    </w:p>
    <w:p w14:paraId="6C43C2DE" w14:textId="77777777" w:rsidR="00B75142" w:rsidRPr="00AE3438" w:rsidRDefault="00B75142" w:rsidP="00B75142">
      <w:pPr>
        <w:keepNext/>
        <w:keepLines/>
        <w:contextualSpacing/>
        <w:rPr>
          <w:rFonts w:ascii="Arial Narrow" w:hAnsi="Arial Narrow"/>
          <w:snapToGrid w:val="0"/>
          <w:sz w:val="18"/>
          <w:szCs w:val="22"/>
        </w:rPr>
      </w:pPr>
      <w:r w:rsidRPr="00AE3438">
        <w:rPr>
          <w:rFonts w:ascii="Arial Narrow" w:hAnsi="Arial Narrow"/>
          <w:snapToGrid w:val="0"/>
          <w:sz w:val="18"/>
          <w:szCs w:val="22"/>
        </w:rPr>
        <w:t>Source: Figure 3.12, p209 of the submission.</w:t>
      </w:r>
    </w:p>
    <w:p w14:paraId="7E97AC57" w14:textId="77777777" w:rsidR="00B75142" w:rsidRPr="00AE3438" w:rsidRDefault="00B75142" w:rsidP="00B75142">
      <w:pPr>
        <w:keepNext/>
        <w:keepLines/>
        <w:rPr>
          <w:rFonts w:ascii="Arial Narrow" w:hAnsi="Arial Narrow"/>
          <w:sz w:val="18"/>
          <w:szCs w:val="18"/>
        </w:rPr>
      </w:pPr>
      <w:r w:rsidRPr="00AE3438">
        <w:rPr>
          <w:rFonts w:ascii="Arial Narrow" w:hAnsi="Arial Narrow"/>
          <w:sz w:val="18"/>
          <w:szCs w:val="18"/>
        </w:rPr>
        <w:t>PAV=permanent assisted ventilation; SMA=spinal muscular atrophy; SoC=standard of care.</w:t>
      </w:r>
    </w:p>
    <w:p w14:paraId="1BBB82D0" w14:textId="77777777" w:rsidR="00B75142" w:rsidRPr="00AE3438" w:rsidRDefault="00B75142" w:rsidP="00B75142">
      <w:pPr>
        <w:rPr>
          <w:rFonts w:ascii="Arial Narrow" w:hAnsi="Arial Narrow"/>
          <w:sz w:val="18"/>
          <w:szCs w:val="18"/>
        </w:rPr>
      </w:pPr>
    </w:p>
    <w:p w14:paraId="03962D1F" w14:textId="72D98B0B" w:rsidR="00B75142" w:rsidRPr="00AE3438" w:rsidRDefault="00B75142" w:rsidP="00B75142">
      <w:pPr>
        <w:keepNext/>
        <w:keepLines/>
        <w:rPr>
          <w:rFonts w:ascii="Arial Narrow" w:hAnsi="Arial Narrow"/>
          <w:b/>
          <w:bCs/>
          <w:sz w:val="20"/>
          <w:szCs w:val="18"/>
        </w:rPr>
      </w:pPr>
      <w:bookmarkStart w:id="64" w:name="_Ref113009746"/>
      <w:r w:rsidRPr="00AE3438">
        <w:rPr>
          <w:rFonts w:ascii="Arial Narrow" w:hAnsi="Arial Narrow"/>
          <w:b/>
          <w:bCs/>
          <w:sz w:val="20"/>
          <w:szCs w:val="18"/>
        </w:rPr>
        <w:lastRenderedPageBreak/>
        <w:t xml:space="preserve">Figure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Figure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8</w:t>
      </w:r>
      <w:r w:rsidRPr="00AE3438">
        <w:rPr>
          <w:rFonts w:ascii="Arial Narrow" w:hAnsi="Arial Narrow"/>
          <w:b/>
          <w:bCs/>
          <w:sz w:val="20"/>
          <w:szCs w:val="18"/>
        </w:rPr>
        <w:fldChar w:fldCharType="end"/>
      </w:r>
      <w:bookmarkEnd w:id="64"/>
      <w:r w:rsidRPr="00AE3438">
        <w:rPr>
          <w:rFonts w:ascii="Arial Narrow" w:hAnsi="Arial Narrow"/>
          <w:b/>
          <w:bCs/>
          <w:sz w:val="20"/>
          <w:szCs w:val="20"/>
        </w:rPr>
        <w:t xml:space="preserve">: Markov trace for status quo – </w:t>
      </w:r>
      <w:r w:rsidRPr="00AE3438">
        <w:rPr>
          <w:rFonts w:ascii="Arial Narrow" w:eastAsiaTheme="majorEastAsia" w:hAnsi="Arial Narrow" w:cstheme="majorBidi"/>
          <w:b/>
          <w:bCs/>
          <w:color w:val="D60093"/>
          <w:sz w:val="20"/>
          <w:szCs w:val="20"/>
          <w:u w:val="single"/>
        </w:rPr>
        <w:t>symptomatic</w:t>
      </w:r>
      <w:r w:rsidRPr="00AE3438">
        <w:rPr>
          <w:rFonts w:ascii="Arial Narrow" w:hAnsi="Arial Narrow"/>
          <w:b/>
          <w:bCs/>
          <w:sz w:val="20"/>
          <w:szCs w:val="20"/>
        </w:rPr>
        <w:t xml:space="preserve"> Type IIIa SMA</w:t>
      </w:r>
    </w:p>
    <w:p w14:paraId="334DC3A5" w14:textId="77777777" w:rsidR="00B75142" w:rsidRPr="00AE3438" w:rsidRDefault="00B75142" w:rsidP="00B75142">
      <w:pPr>
        <w:keepNext/>
        <w:keepLines/>
        <w:rPr>
          <w:rFonts w:ascii="Arial Narrow" w:hAnsi="Arial Narrow"/>
          <w:sz w:val="20"/>
          <w:szCs w:val="20"/>
        </w:rPr>
      </w:pPr>
      <w:r w:rsidRPr="00AE3438">
        <w:rPr>
          <w:rFonts w:ascii="Arial Narrow" w:hAnsi="Arial Narrow"/>
          <w:noProof/>
          <w:sz w:val="20"/>
          <w:szCs w:val="20"/>
          <w:lang w:eastAsia="zh-CN"/>
        </w:rPr>
        <w:drawing>
          <wp:inline distT="0" distB="0" distL="0" distR="0" wp14:anchorId="1EBCB1A3" wp14:editId="339DB01E">
            <wp:extent cx="5796280" cy="2115047"/>
            <wp:effectExtent l="0" t="0" r="0" b="0"/>
            <wp:docPr id="29" name="Picture 29" descr="Figure 8: Markov trace for status quo – symptomatic Type IIIa 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8: Markov trace for status quo – symptomatic Type IIIa SM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9429" cy="2123494"/>
                    </a:xfrm>
                    <a:prstGeom prst="rect">
                      <a:avLst/>
                    </a:prstGeom>
                    <a:noFill/>
                  </pic:spPr>
                </pic:pic>
              </a:graphicData>
            </a:graphic>
          </wp:inline>
        </w:drawing>
      </w:r>
    </w:p>
    <w:p w14:paraId="4957726C" w14:textId="77777777" w:rsidR="00B75142" w:rsidRPr="00AE3438" w:rsidRDefault="00B75142" w:rsidP="00B75142">
      <w:pPr>
        <w:keepNext/>
        <w:keepLines/>
        <w:rPr>
          <w:rFonts w:ascii="Arial Narrow" w:hAnsi="Arial Narrow"/>
          <w:sz w:val="18"/>
          <w:szCs w:val="18"/>
        </w:rPr>
      </w:pPr>
      <w:r w:rsidRPr="00AE3438">
        <w:rPr>
          <w:rFonts w:ascii="Arial Narrow" w:hAnsi="Arial Narrow"/>
          <w:sz w:val="18"/>
          <w:szCs w:val="18"/>
        </w:rPr>
        <w:t>Source: Figure 3.15, p211 of the submission.</w:t>
      </w:r>
    </w:p>
    <w:p w14:paraId="3ACD7F23" w14:textId="77777777" w:rsidR="00B75142" w:rsidRPr="00AE3438" w:rsidRDefault="00B75142" w:rsidP="00B75142">
      <w:pPr>
        <w:keepNext/>
        <w:keepLines/>
        <w:rPr>
          <w:rFonts w:ascii="Arial Narrow" w:hAnsi="Arial Narrow"/>
          <w:sz w:val="18"/>
          <w:szCs w:val="18"/>
        </w:rPr>
      </w:pPr>
      <w:r w:rsidRPr="00AE3438">
        <w:rPr>
          <w:rFonts w:ascii="Arial Narrow" w:hAnsi="Arial Narrow"/>
          <w:sz w:val="18"/>
          <w:szCs w:val="18"/>
        </w:rPr>
        <w:t>PAV=permanent assisted ventilation; SMA=spinal muscular atrophy; SoC=standard of care.</w:t>
      </w:r>
    </w:p>
    <w:p w14:paraId="78933CC0" w14:textId="77777777" w:rsidR="00B75142" w:rsidRPr="00AE3438" w:rsidRDefault="00B75142" w:rsidP="00B75142"/>
    <w:p w14:paraId="438E8630" w14:textId="4E22553F" w:rsidR="00B75142" w:rsidRPr="00AE3438" w:rsidRDefault="00B75142" w:rsidP="00B75142">
      <w:pPr>
        <w:keepNext/>
        <w:keepLines/>
        <w:rPr>
          <w:rFonts w:ascii="Arial Narrow" w:hAnsi="Arial Narrow"/>
          <w:b/>
          <w:bCs/>
          <w:sz w:val="20"/>
          <w:szCs w:val="18"/>
        </w:rPr>
      </w:pPr>
      <w:bookmarkStart w:id="65" w:name="_Ref113009760"/>
      <w:r w:rsidRPr="00AE3438">
        <w:rPr>
          <w:rFonts w:ascii="Arial Narrow" w:hAnsi="Arial Narrow"/>
          <w:b/>
          <w:bCs/>
          <w:sz w:val="20"/>
          <w:szCs w:val="18"/>
        </w:rPr>
        <w:t xml:space="preserve">Figure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Figure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9</w:t>
      </w:r>
      <w:r w:rsidRPr="00AE3438">
        <w:rPr>
          <w:rFonts w:ascii="Arial Narrow" w:hAnsi="Arial Narrow"/>
          <w:b/>
          <w:bCs/>
          <w:sz w:val="20"/>
          <w:szCs w:val="18"/>
        </w:rPr>
        <w:fldChar w:fldCharType="end"/>
      </w:r>
      <w:bookmarkEnd w:id="65"/>
      <w:r w:rsidRPr="00AE3438">
        <w:rPr>
          <w:rFonts w:ascii="Arial Narrow" w:hAnsi="Arial Narrow"/>
          <w:b/>
          <w:bCs/>
          <w:sz w:val="20"/>
          <w:szCs w:val="20"/>
        </w:rPr>
        <w:t xml:space="preserve">: Markov trace for status quo – </w:t>
      </w:r>
      <w:r w:rsidRPr="00AE3438">
        <w:rPr>
          <w:rFonts w:ascii="Arial Narrow" w:eastAsiaTheme="majorEastAsia" w:hAnsi="Arial Narrow" w:cstheme="majorBidi"/>
          <w:b/>
          <w:bCs/>
          <w:color w:val="D60093"/>
          <w:sz w:val="20"/>
          <w:szCs w:val="20"/>
          <w:u w:val="single"/>
        </w:rPr>
        <w:t>symptomatic</w:t>
      </w:r>
      <w:r w:rsidRPr="00AE3438">
        <w:rPr>
          <w:rFonts w:ascii="Arial Narrow" w:hAnsi="Arial Narrow"/>
          <w:b/>
          <w:bCs/>
          <w:sz w:val="20"/>
          <w:szCs w:val="20"/>
        </w:rPr>
        <w:t xml:space="preserve"> Type IIIb SMA</w:t>
      </w:r>
    </w:p>
    <w:p w14:paraId="4DBEC3C4" w14:textId="77777777" w:rsidR="00B75142" w:rsidRPr="00AE3438" w:rsidRDefault="00B75142" w:rsidP="00B75142">
      <w:pPr>
        <w:keepNext/>
        <w:keepLines/>
      </w:pPr>
      <w:r w:rsidRPr="00AE3438">
        <w:rPr>
          <w:noProof/>
          <w:lang w:eastAsia="zh-CN"/>
        </w:rPr>
        <w:drawing>
          <wp:inline distT="0" distB="0" distL="0" distR="0" wp14:anchorId="7DEC864B" wp14:editId="05837FE3">
            <wp:extent cx="5739130" cy="1860605"/>
            <wp:effectExtent l="0" t="0" r="0" b="6350"/>
            <wp:docPr id="31" name="Picture 31" descr="Figure 9: Markov trace for status quo – symptomatic Type IIIb 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9: Markov trace for status quo – symptomatic Type IIIb SM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1957" cy="1871247"/>
                    </a:xfrm>
                    <a:prstGeom prst="rect">
                      <a:avLst/>
                    </a:prstGeom>
                    <a:noFill/>
                  </pic:spPr>
                </pic:pic>
              </a:graphicData>
            </a:graphic>
          </wp:inline>
        </w:drawing>
      </w:r>
    </w:p>
    <w:p w14:paraId="2A69185C" w14:textId="77777777" w:rsidR="00B75142" w:rsidRPr="00AE3438" w:rsidRDefault="00B75142" w:rsidP="00B75142">
      <w:pPr>
        <w:keepNext/>
        <w:keepLines/>
        <w:contextualSpacing/>
        <w:rPr>
          <w:rFonts w:ascii="Arial Narrow" w:hAnsi="Arial Narrow"/>
          <w:snapToGrid w:val="0"/>
          <w:sz w:val="18"/>
          <w:szCs w:val="22"/>
        </w:rPr>
      </w:pPr>
      <w:r w:rsidRPr="00AE3438">
        <w:rPr>
          <w:rFonts w:ascii="Arial Narrow" w:hAnsi="Arial Narrow"/>
          <w:snapToGrid w:val="0"/>
          <w:sz w:val="18"/>
          <w:szCs w:val="22"/>
        </w:rPr>
        <w:t xml:space="preserve">Source: Figure 3.16, p211 of the submission.  </w:t>
      </w:r>
    </w:p>
    <w:p w14:paraId="1CD85951" w14:textId="77777777" w:rsidR="00B75142" w:rsidRPr="00AE3438" w:rsidRDefault="00B75142" w:rsidP="00B75142">
      <w:pPr>
        <w:keepNext/>
        <w:keepLines/>
        <w:rPr>
          <w:rFonts w:ascii="Arial Narrow" w:hAnsi="Arial Narrow"/>
          <w:sz w:val="18"/>
          <w:szCs w:val="18"/>
        </w:rPr>
      </w:pPr>
      <w:r w:rsidRPr="00AE3438">
        <w:rPr>
          <w:rFonts w:ascii="Arial Narrow" w:hAnsi="Arial Narrow"/>
          <w:sz w:val="18"/>
          <w:szCs w:val="18"/>
        </w:rPr>
        <w:t>PAV=permanent assisted ventilation; SMA=spinal muscular atrophy; SoC=standard of care.</w:t>
      </w:r>
    </w:p>
    <w:p w14:paraId="32E72E60" w14:textId="77777777" w:rsidR="00B75142" w:rsidRPr="00AE3438" w:rsidRDefault="00B75142" w:rsidP="00B75142">
      <w:pPr>
        <w:spacing w:after="120"/>
        <w:rPr>
          <w:rFonts w:asciiTheme="minorHAnsi" w:hAnsiTheme="minorHAnsi"/>
          <w:i/>
          <w:iCs/>
          <w:snapToGrid w:val="0"/>
        </w:rPr>
      </w:pPr>
    </w:p>
    <w:p w14:paraId="5966BD19" w14:textId="5AAEE0BB" w:rsidR="008172DA" w:rsidRPr="00054F33" w:rsidRDefault="008172DA" w:rsidP="00B75142">
      <w:pPr>
        <w:numPr>
          <w:ilvl w:val="1"/>
          <w:numId w:val="1"/>
        </w:numPr>
        <w:tabs>
          <w:tab w:val="left" w:pos="5954"/>
        </w:tabs>
        <w:spacing w:after="120"/>
        <w:rPr>
          <w:rFonts w:asciiTheme="minorHAnsi" w:hAnsiTheme="minorHAnsi"/>
          <w:iCs/>
          <w:snapToGrid w:val="0"/>
        </w:rPr>
      </w:pPr>
      <w:r w:rsidRPr="00054F33">
        <w:rPr>
          <w:iCs/>
          <w:szCs w:val="22"/>
          <w:lang w:eastAsia="en-US"/>
        </w:rPr>
        <w:t>The ESC noted that these traces highlighted the</w:t>
      </w:r>
      <w:r w:rsidR="00091988" w:rsidRPr="00054F33">
        <w:rPr>
          <w:iCs/>
          <w:szCs w:val="22"/>
          <w:lang w:eastAsia="en-US"/>
        </w:rPr>
        <w:t xml:space="preserve"> substantially</w:t>
      </w:r>
      <w:r w:rsidRPr="00054F33">
        <w:rPr>
          <w:iCs/>
          <w:szCs w:val="22"/>
          <w:lang w:eastAsia="en-US"/>
        </w:rPr>
        <w:t xml:space="preserve"> poorer outcomes</w:t>
      </w:r>
      <w:r w:rsidR="00091988" w:rsidRPr="00054F33">
        <w:rPr>
          <w:iCs/>
          <w:szCs w:val="22"/>
          <w:lang w:eastAsia="en-US"/>
        </w:rPr>
        <w:t xml:space="preserve"> with respect to survival benefit and motor milestones </w:t>
      </w:r>
      <w:r w:rsidR="008C3D01" w:rsidRPr="00054F33">
        <w:rPr>
          <w:iCs/>
          <w:szCs w:val="22"/>
          <w:lang w:eastAsia="en-US"/>
        </w:rPr>
        <w:t>modelled</w:t>
      </w:r>
      <w:r w:rsidRPr="00054F33">
        <w:rPr>
          <w:iCs/>
          <w:szCs w:val="22"/>
          <w:lang w:eastAsia="en-US"/>
        </w:rPr>
        <w:t xml:space="preserve"> for</w:t>
      </w:r>
      <w:r w:rsidR="00091988" w:rsidRPr="00054F33">
        <w:rPr>
          <w:iCs/>
          <w:szCs w:val="22"/>
          <w:lang w:eastAsia="en-US"/>
        </w:rPr>
        <w:t xml:space="preserve"> patients in the status quo arm compared to the proposed strategy arm</w:t>
      </w:r>
      <w:r w:rsidRPr="00054F33">
        <w:rPr>
          <w:iCs/>
          <w:szCs w:val="22"/>
          <w:lang w:eastAsia="en-US"/>
        </w:rPr>
        <w:t xml:space="preserve">. The ESC </w:t>
      </w:r>
      <w:r w:rsidR="00091988" w:rsidRPr="00054F33">
        <w:rPr>
          <w:iCs/>
          <w:szCs w:val="22"/>
          <w:lang w:eastAsia="en-US"/>
        </w:rPr>
        <w:t xml:space="preserve">considered that the </w:t>
      </w:r>
      <w:r w:rsidR="000747EB" w:rsidRPr="00054F33">
        <w:rPr>
          <w:iCs/>
          <w:szCs w:val="22"/>
          <w:lang w:eastAsia="en-US"/>
        </w:rPr>
        <w:t xml:space="preserve">modelled incremental benefit was optimistic and not </w:t>
      </w:r>
      <w:r w:rsidR="00EE1D04" w:rsidRPr="00054F33">
        <w:rPr>
          <w:iCs/>
          <w:szCs w:val="22"/>
          <w:lang w:eastAsia="en-US"/>
        </w:rPr>
        <w:t>adequately supported</w:t>
      </w:r>
      <w:r w:rsidRPr="00054F33">
        <w:rPr>
          <w:iCs/>
          <w:szCs w:val="22"/>
          <w:lang w:eastAsia="en-US"/>
        </w:rPr>
        <w:t xml:space="preserve"> by the clinical evidence presented.</w:t>
      </w:r>
      <w:r w:rsidR="0004525D" w:rsidRPr="00054F33">
        <w:rPr>
          <w:iCs/>
          <w:szCs w:val="22"/>
          <w:lang w:eastAsia="en-US"/>
        </w:rPr>
        <w:t xml:space="preserve"> </w:t>
      </w:r>
    </w:p>
    <w:p w14:paraId="69EAEA52" w14:textId="154D79D9" w:rsidR="00B75142" w:rsidRPr="00AE3438" w:rsidRDefault="00B75142" w:rsidP="00B75142">
      <w:pPr>
        <w:numPr>
          <w:ilvl w:val="1"/>
          <w:numId w:val="1"/>
        </w:numPr>
        <w:tabs>
          <w:tab w:val="left" w:pos="5954"/>
        </w:tabs>
        <w:spacing w:after="120"/>
        <w:rPr>
          <w:rFonts w:asciiTheme="minorHAnsi" w:hAnsiTheme="minorHAnsi"/>
          <w:snapToGrid w:val="0"/>
        </w:rPr>
      </w:pPr>
      <w:r w:rsidRPr="00AE3438">
        <w:rPr>
          <w:rFonts w:asciiTheme="minorHAnsi" w:hAnsiTheme="minorHAnsi" w:cstheme="minorHAnsi"/>
          <w:snapToGrid w:val="0"/>
        </w:rPr>
        <w:fldChar w:fldCharType="begin"/>
      </w:r>
      <w:r w:rsidRPr="00AE3438">
        <w:rPr>
          <w:rFonts w:asciiTheme="minorHAnsi" w:hAnsiTheme="minorHAnsi" w:cstheme="minorHAnsi"/>
          <w:snapToGrid w:val="0"/>
        </w:rPr>
        <w:instrText xml:space="preserve"> REF _Ref104805122 \h </w:instrText>
      </w:r>
      <w:r w:rsidR="00F42347" w:rsidRPr="00AE3438">
        <w:rPr>
          <w:rFonts w:asciiTheme="minorHAnsi" w:hAnsiTheme="minorHAnsi" w:cstheme="minorHAnsi"/>
          <w:snapToGrid w:val="0"/>
        </w:rPr>
        <w:instrText xml:space="preserve"> \* MERGEFORMAT </w:instrText>
      </w:r>
      <w:r w:rsidRPr="00AE3438">
        <w:rPr>
          <w:rFonts w:asciiTheme="minorHAnsi" w:hAnsiTheme="minorHAnsi" w:cstheme="minorHAnsi"/>
          <w:snapToGrid w:val="0"/>
        </w:rPr>
      </w:r>
      <w:r w:rsidRPr="00AE3438">
        <w:rPr>
          <w:rFonts w:asciiTheme="minorHAnsi" w:hAnsiTheme="minorHAnsi" w:cstheme="minorHAnsi"/>
          <w:snapToGrid w:val="0"/>
        </w:rPr>
        <w:fldChar w:fldCharType="separate"/>
      </w:r>
      <w:r w:rsidR="008E4E26" w:rsidRPr="008E4E26">
        <w:rPr>
          <w:rFonts w:asciiTheme="minorHAnsi" w:hAnsiTheme="minorHAnsi" w:cstheme="minorHAnsi"/>
          <w:bCs/>
        </w:rPr>
        <w:t>Table 10</w:t>
      </w:r>
      <w:r w:rsidRPr="00AE3438">
        <w:rPr>
          <w:rFonts w:asciiTheme="minorHAnsi" w:hAnsiTheme="minorHAnsi" w:cstheme="minorHAnsi"/>
          <w:snapToGrid w:val="0"/>
        </w:rPr>
        <w:fldChar w:fldCharType="end"/>
      </w:r>
      <w:r w:rsidRPr="00AE3438">
        <w:rPr>
          <w:rFonts w:asciiTheme="minorHAnsi" w:hAnsiTheme="minorHAnsi"/>
          <w:snapToGrid w:val="0"/>
        </w:rPr>
        <w:t xml:space="preserve"> provides a summary of the key drivers in the modelled economic evaluation.</w:t>
      </w:r>
    </w:p>
    <w:p w14:paraId="742C36A2" w14:textId="2F51430E" w:rsidR="00B75142" w:rsidRPr="00AE3438" w:rsidRDefault="00B75142" w:rsidP="00B75142">
      <w:pPr>
        <w:keepNext/>
        <w:keepLines/>
        <w:jc w:val="left"/>
        <w:rPr>
          <w:rFonts w:ascii="Arial Narrow" w:hAnsi="Arial Narrow"/>
          <w:b/>
          <w:bCs/>
          <w:sz w:val="20"/>
          <w:szCs w:val="18"/>
        </w:rPr>
      </w:pPr>
      <w:bookmarkStart w:id="66" w:name="_Ref104805122"/>
      <w:bookmarkStart w:id="67" w:name="_Ref113009845"/>
      <w:r w:rsidRPr="00AE3438">
        <w:rPr>
          <w:rFonts w:ascii="Arial Narrow" w:hAnsi="Arial Narrow"/>
          <w:b/>
          <w:bCs/>
          <w:sz w:val="20"/>
          <w:szCs w:val="18"/>
        </w:rPr>
        <w:lastRenderedPageBreak/>
        <w:t xml:space="preserve">Table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Table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10</w:t>
      </w:r>
      <w:r w:rsidRPr="00AE3438">
        <w:rPr>
          <w:rFonts w:ascii="Arial Narrow" w:hAnsi="Arial Narrow"/>
          <w:b/>
          <w:bCs/>
          <w:sz w:val="20"/>
          <w:szCs w:val="18"/>
        </w:rPr>
        <w:fldChar w:fldCharType="end"/>
      </w:r>
      <w:bookmarkEnd w:id="66"/>
      <w:r w:rsidRPr="00AE3438">
        <w:rPr>
          <w:rFonts w:ascii="Arial Narrow" w:hAnsi="Arial Narrow"/>
          <w:b/>
          <w:bCs/>
          <w:sz w:val="20"/>
          <w:szCs w:val="18"/>
        </w:rPr>
        <w:t>:</w:t>
      </w:r>
      <w:r w:rsidRPr="00AE3438">
        <w:rPr>
          <w:rFonts w:ascii="Arial Narrow" w:hAnsi="Arial Narrow"/>
          <w:b/>
          <w:bCs/>
          <w:sz w:val="20"/>
        </w:rPr>
        <w:t xml:space="preserve"> Key drivers of the model</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686"/>
        <w:gridCol w:w="4202"/>
      </w:tblGrid>
      <w:tr w:rsidR="00B75142" w:rsidRPr="00AE3438" w14:paraId="0044AB06" w14:textId="77777777" w:rsidTr="00B75142">
        <w:trPr>
          <w:tblHeader/>
        </w:trPr>
        <w:tc>
          <w:tcPr>
            <w:tcW w:w="626" w:type="pct"/>
            <w:shd w:val="clear" w:color="auto" w:fill="auto"/>
            <w:vAlign w:val="center"/>
          </w:tcPr>
          <w:p w14:paraId="5F38E5CD"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Description</w:t>
            </w:r>
          </w:p>
        </w:tc>
        <w:tc>
          <w:tcPr>
            <w:tcW w:w="2044" w:type="pct"/>
            <w:shd w:val="clear" w:color="auto" w:fill="auto"/>
            <w:vAlign w:val="center"/>
          </w:tcPr>
          <w:p w14:paraId="24D4DA8B"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Method/Value</w:t>
            </w:r>
          </w:p>
        </w:tc>
        <w:tc>
          <w:tcPr>
            <w:tcW w:w="2330" w:type="pct"/>
            <w:shd w:val="clear" w:color="auto" w:fill="auto"/>
            <w:vAlign w:val="center"/>
          </w:tcPr>
          <w:p w14:paraId="14D0BDA5"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Impact</w:t>
            </w:r>
          </w:p>
          <w:p w14:paraId="270830CB"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b/>
                <w:sz w:val="20"/>
                <w:szCs w:val="20"/>
              </w:rPr>
              <w:t>Base case: Dominant</w:t>
            </w:r>
            <w:r w:rsidRPr="00AE3438">
              <w:rPr>
                <w:rFonts w:ascii="Arial Narrow" w:eastAsiaTheme="majorEastAsia" w:hAnsi="Arial Narrow"/>
                <w:b/>
                <w:color w:val="3366FF"/>
                <w:sz w:val="20"/>
                <w:szCs w:val="20"/>
              </w:rPr>
              <w:t>.</w:t>
            </w:r>
          </w:p>
        </w:tc>
      </w:tr>
      <w:tr w:rsidR="00B75142" w:rsidRPr="00AE3438" w14:paraId="68C5A9F1" w14:textId="77777777" w:rsidTr="00B75142">
        <w:tc>
          <w:tcPr>
            <w:tcW w:w="626" w:type="pct"/>
            <w:shd w:val="clear" w:color="auto" w:fill="auto"/>
            <w:vAlign w:val="center"/>
          </w:tcPr>
          <w:p w14:paraId="6561BF66"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Drug costs of sequential DMTs</w:t>
            </w:r>
          </w:p>
        </w:tc>
        <w:tc>
          <w:tcPr>
            <w:tcW w:w="2044" w:type="pct"/>
            <w:shd w:val="clear" w:color="auto" w:fill="auto"/>
            <w:vAlign w:val="center"/>
          </w:tcPr>
          <w:p w14:paraId="71F88B10" w14:textId="00F36D02" w:rsidR="00B75142" w:rsidRPr="007B3BD3" w:rsidRDefault="00B75142" w:rsidP="00B75142">
            <w:pPr>
              <w:keepNext/>
              <w:jc w:val="left"/>
              <w:rPr>
                <w:rFonts w:ascii="Arial Narrow" w:eastAsiaTheme="majorEastAsia" w:hAnsi="Arial Narrow" w:cstheme="majorBidi"/>
                <w:bCs/>
                <w:sz w:val="20"/>
                <w:vertAlign w:val="superscript"/>
              </w:rPr>
            </w:pPr>
            <w:r w:rsidRPr="00AE3438">
              <w:rPr>
                <w:rFonts w:ascii="Arial Narrow" w:eastAsiaTheme="majorEastAsia" w:hAnsi="Arial Narrow" w:cstheme="majorBidi"/>
                <w:bCs/>
                <w:sz w:val="20"/>
              </w:rPr>
              <w:t xml:space="preserve">No sequential treatments were permitted in the model </w:t>
            </w:r>
            <w:r w:rsidR="007E1D0E" w:rsidRPr="00AE3438">
              <w:rPr>
                <w:rFonts w:ascii="Arial Narrow" w:eastAsiaTheme="majorEastAsia" w:hAnsi="Arial Narrow" w:cstheme="majorBidi"/>
                <w:bCs/>
                <w:sz w:val="20"/>
              </w:rPr>
              <w:t>over the full 30 year time horizon</w:t>
            </w:r>
          </w:p>
        </w:tc>
        <w:tc>
          <w:tcPr>
            <w:tcW w:w="2330" w:type="pct"/>
            <w:shd w:val="clear" w:color="auto" w:fill="auto"/>
            <w:vAlign w:val="center"/>
          </w:tcPr>
          <w:p w14:paraId="66FBD953"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Very high, favoured ONA.</w:t>
            </w:r>
          </w:p>
          <w:p w14:paraId="66CD305F" w14:textId="62E15343"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A multivariate sensitivity analysis assuming patients could start alternate treatments in the model increased the ICER to </w:t>
            </w:r>
            <w:r w:rsidR="00284C02" w:rsidRPr="000C49F8">
              <w:rPr>
                <w:rFonts w:ascii="Arial Narrow" w:eastAsiaTheme="majorEastAsia" w:hAnsi="Arial Narrow" w:cstheme="majorBidi"/>
                <w:bCs/>
                <w:color w:val="000000"/>
                <w:spacing w:val="64"/>
                <w:sz w:val="20"/>
                <w:shd w:val="solid" w:color="000000" w:fill="000000"/>
                <w:fitText w:val="363" w:id="-1305197565"/>
                <w14:textFill>
                  <w14:solidFill>
                    <w14:srgbClr w14:val="000000">
                      <w14:alpha w14:val="100000"/>
                    </w14:srgbClr>
                  </w14:solidFill>
                </w14:textFill>
              </w:rPr>
              <w:t>|||</w:t>
            </w:r>
            <w:r w:rsidR="00284C02" w:rsidRPr="000C49F8">
              <w:rPr>
                <w:rFonts w:ascii="Arial Narrow" w:eastAsiaTheme="majorEastAsia" w:hAnsi="Arial Narrow" w:cstheme="majorBidi"/>
                <w:bCs/>
                <w:color w:val="000000"/>
                <w:spacing w:val="1"/>
                <w:sz w:val="20"/>
                <w:shd w:val="solid" w:color="000000" w:fill="000000"/>
                <w:fitText w:val="363" w:id="-1305197565"/>
                <w14:textFill>
                  <w14:solidFill>
                    <w14:srgbClr w14:val="000000">
                      <w14:alpha w14:val="100000"/>
                    </w14:srgbClr>
                  </w14:solidFill>
                </w14:textFill>
              </w:rPr>
              <w:t>|</w:t>
            </w:r>
            <w:r w:rsidR="007B3BD3">
              <w:rPr>
                <w:rFonts w:ascii="Arial Narrow" w:eastAsiaTheme="majorEastAsia" w:hAnsi="Arial Narrow" w:cstheme="majorBidi"/>
                <w:bCs/>
                <w:sz w:val="20"/>
                <w:vertAlign w:val="superscript"/>
              </w:rPr>
              <w:t>1</w:t>
            </w:r>
            <w:r w:rsidRPr="00AE3438">
              <w:rPr>
                <w:rFonts w:ascii="Arial Narrow" w:eastAsiaTheme="majorEastAsia" w:hAnsi="Arial Narrow" w:cstheme="majorBidi"/>
                <w:bCs/>
                <w:sz w:val="20"/>
              </w:rPr>
              <w:t>/ QALY gained.</w:t>
            </w:r>
          </w:p>
        </w:tc>
      </w:tr>
      <w:tr w:rsidR="00B75142" w:rsidRPr="00AE3438" w14:paraId="6F3FAF2B" w14:textId="77777777" w:rsidTr="00B75142">
        <w:tc>
          <w:tcPr>
            <w:tcW w:w="626" w:type="pct"/>
            <w:shd w:val="clear" w:color="auto" w:fill="auto"/>
            <w:vAlign w:val="center"/>
          </w:tcPr>
          <w:p w14:paraId="02155EF1"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Time horizon</w:t>
            </w:r>
          </w:p>
        </w:tc>
        <w:tc>
          <w:tcPr>
            <w:tcW w:w="2044" w:type="pct"/>
            <w:shd w:val="clear" w:color="auto" w:fill="auto"/>
            <w:vAlign w:val="center"/>
          </w:tcPr>
          <w:p w14:paraId="08E7F59B" w14:textId="7FA66482"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Model assumed a 30-year time horizon, versus 24 months in the SPR1NT study. Due to ONA costs being up front and NUSI’s costs to accrue over time, the modelled costs were very sensitive to time horizon.</w:t>
            </w:r>
          </w:p>
        </w:tc>
        <w:tc>
          <w:tcPr>
            <w:tcW w:w="2330" w:type="pct"/>
            <w:shd w:val="clear" w:color="auto" w:fill="auto"/>
            <w:vAlign w:val="center"/>
          </w:tcPr>
          <w:p w14:paraId="45C5FBAD"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High, favoured ONA.</w:t>
            </w:r>
          </w:p>
          <w:p w14:paraId="5754E771" w14:textId="1151CC95"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Assuming a 15-year time horizon increased the ICER to </w:t>
            </w:r>
            <w:r w:rsidR="00284C02" w:rsidRPr="00284C02">
              <w:rPr>
                <w:rFonts w:ascii="Arial Narrow" w:eastAsiaTheme="majorEastAsia" w:hAnsi="Arial Narrow" w:cstheme="majorBidi"/>
                <w:bCs/>
                <w:color w:val="000000"/>
                <w:spacing w:val="62"/>
                <w:sz w:val="20"/>
                <w:shd w:val="solid" w:color="000000" w:fill="000000"/>
                <w:fitText w:val="363" w:id="-1305197564"/>
                <w14:textFill>
                  <w14:solidFill>
                    <w14:srgbClr w14:val="000000">
                      <w14:alpha w14:val="100000"/>
                    </w14:srgbClr>
                  </w14:solidFill>
                </w14:textFill>
              </w:rPr>
              <w:t>|||</w:t>
            </w:r>
            <w:r w:rsidR="00284C02" w:rsidRPr="00284C02">
              <w:rPr>
                <w:rFonts w:ascii="Arial Narrow" w:eastAsiaTheme="majorEastAsia" w:hAnsi="Arial Narrow" w:cstheme="majorBidi"/>
                <w:bCs/>
                <w:color w:val="000000"/>
                <w:spacing w:val="12"/>
                <w:sz w:val="20"/>
                <w:shd w:val="solid" w:color="000000" w:fill="000000"/>
                <w:fitText w:val="363" w:id="-1305197564"/>
                <w14:textFill>
                  <w14:solidFill>
                    <w14:srgbClr w14:val="000000">
                      <w14:alpha w14:val="100000"/>
                    </w14:srgbClr>
                  </w14:solidFill>
                </w14:textFill>
              </w:rPr>
              <w:t>|</w:t>
            </w:r>
            <w:r w:rsidR="007B3BD3">
              <w:rPr>
                <w:rFonts w:ascii="Arial Narrow" w:eastAsiaTheme="majorEastAsia" w:hAnsi="Arial Narrow" w:cstheme="majorBidi"/>
                <w:bCs/>
                <w:sz w:val="20"/>
                <w:vertAlign w:val="superscript"/>
              </w:rPr>
              <w:t>2</w:t>
            </w:r>
            <w:r w:rsidRPr="00AE3438">
              <w:rPr>
                <w:rFonts w:ascii="Arial Narrow" w:eastAsiaTheme="majorEastAsia" w:hAnsi="Arial Narrow" w:cstheme="majorBidi"/>
                <w:bCs/>
                <w:sz w:val="20"/>
              </w:rPr>
              <w:t>/QALY.</w:t>
            </w:r>
          </w:p>
        </w:tc>
      </w:tr>
      <w:tr w:rsidR="00B75142" w:rsidRPr="00AE3438" w14:paraId="6CD13238" w14:textId="77777777" w:rsidTr="00B75142">
        <w:tc>
          <w:tcPr>
            <w:tcW w:w="626" w:type="pct"/>
            <w:shd w:val="clear" w:color="auto" w:fill="auto"/>
            <w:vAlign w:val="center"/>
          </w:tcPr>
          <w:p w14:paraId="792FEBA5"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Survival of sitters</w:t>
            </w:r>
          </w:p>
        </w:tc>
        <w:tc>
          <w:tcPr>
            <w:tcW w:w="2044" w:type="pct"/>
            <w:shd w:val="clear" w:color="auto" w:fill="auto"/>
            <w:vAlign w:val="center"/>
          </w:tcPr>
          <w:p w14:paraId="3E700FDA" w14:textId="3ED7F63F" w:rsidR="00B75142" w:rsidRPr="00AE3438" w:rsidRDefault="00B75142" w:rsidP="00B75142">
            <w:pPr>
              <w:spacing w:after="120"/>
              <w:rPr>
                <w:rFonts w:ascii="Arial Narrow" w:hAnsi="Arial Narrow"/>
                <w:snapToGrid w:val="0"/>
                <w:sz w:val="20"/>
                <w:szCs w:val="20"/>
              </w:rPr>
            </w:pPr>
            <w:r w:rsidRPr="00AE3438">
              <w:rPr>
                <w:rFonts w:ascii="Arial Narrow" w:hAnsi="Arial Narrow"/>
                <w:snapToGrid w:val="0"/>
                <w:sz w:val="20"/>
                <w:szCs w:val="20"/>
              </w:rPr>
              <w:t xml:space="preserve">Model assumed the survival curve from </w:t>
            </w:r>
            <w:r w:rsidR="005D07D7" w:rsidRPr="00AE3438">
              <w:rPr>
                <w:rFonts w:ascii="Arial Narrow" w:hAnsi="Arial Narrow"/>
                <w:snapToGrid w:val="0"/>
                <w:sz w:val="20"/>
                <w:szCs w:val="20"/>
              </w:rPr>
              <w:t>natural</w:t>
            </w:r>
            <w:r w:rsidR="005D07D7" w:rsidRPr="00AE3438">
              <w:rPr>
                <w:snapToGrid w:val="0"/>
                <w:szCs w:val="20"/>
              </w:rPr>
              <w:t xml:space="preserve"> </w:t>
            </w:r>
            <w:r w:rsidR="005D07D7" w:rsidRPr="00AE3438">
              <w:rPr>
                <w:rFonts w:ascii="Arial Narrow" w:hAnsi="Arial Narrow"/>
                <w:snapToGrid w:val="0"/>
                <w:sz w:val="20"/>
                <w:szCs w:val="20"/>
              </w:rPr>
              <w:t>history data (</w:t>
            </w:r>
            <w:r w:rsidRPr="00AE3438">
              <w:rPr>
                <w:rFonts w:ascii="Arial Narrow" w:hAnsi="Arial Narrow"/>
                <w:snapToGrid w:val="0"/>
                <w:sz w:val="20"/>
                <w:szCs w:val="20"/>
              </w:rPr>
              <w:t>Zerres et al 1997</w:t>
            </w:r>
            <w:r w:rsidR="005D07D7" w:rsidRPr="00AE3438">
              <w:rPr>
                <w:rFonts w:ascii="Arial Narrow" w:hAnsi="Arial Narrow"/>
                <w:i/>
                <w:iCs/>
                <w:snapToGrid w:val="0"/>
                <w:sz w:val="20"/>
                <w:szCs w:val="20"/>
              </w:rPr>
              <w:t>)</w:t>
            </w:r>
            <w:r w:rsidRPr="00AE3438">
              <w:rPr>
                <w:rFonts w:ascii="Arial Narrow" w:hAnsi="Arial Narrow"/>
                <w:i/>
                <w:iCs/>
                <w:snapToGrid w:val="0"/>
                <w:sz w:val="20"/>
                <w:szCs w:val="20"/>
              </w:rPr>
              <w:t xml:space="preserve"> </w:t>
            </w:r>
            <w:r w:rsidR="007E1D0E" w:rsidRPr="003D0AFC">
              <w:rPr>
                <w:rFonts w:ascii="Arial Narrow" w:hAnsi="Arial Narrow"/>
                <w:snapToGrid w:val="0"/>
                <w:sz w:val="20"/>
                <w:szCs w:val="20"/>
              </w:rPr>
              <w:t xml:space="preserve">for the long term model </w:t>
            </w:r>
            <w:r w:rsidRPr="00AE3438">
              <w:rPr>
                <w:rFonts w:ascii="Arial Narrow" w:hAnsi="Arial Narrow"/>
                <w:snapToGrid w:val="0"/>
                <w:sz w:val="20"/>
                <w:szCs w:val="20"/>
              </w:rPr>
              <w:t xml:space="preserve">for patients in the ‘2.Sitter’ health state. </w:t>
            </w:r>
          </w:p>
        </w:tc>
        <w:tc>
          <w:tcPr>
            <w:tcW w:w="2330" w:type="pct"/>
            <w:shd w:val="clear" w:color="auto" w:fill="auto"/>
            <w:vAlign w:val="center"/>
          </w:tcPr>
          <w:p w14:paraId="6C1D0239"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Low to moderate.</w:t>
            </w:r>
          </w:p>
          <w:p w14:paraId="2FEB315B" w14:textId="60E2D3FE"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Assuming survival of general population (‘BRND’ survival) for patients in the ‘2.Sitter’ health state decreased incremental benefits by 12%. </w:t>
            </w:r>
          </w:p>
        </w:tc>
      </w:tr>
      <w:tr w:rsidR="00B75142" w:rsidRPr="00AE3438" w14:paraId="161450E8" w14:textId="77777777" w:rsidTr="00B75142">
        <w:tc>
          <w:tcPr>
            <w:tcW w:w="626" w:type="pct"/>
            <w:shd w:val="clear" w:color="auto" w:fill="auto"/>
            <w:vAlign w:val="center"/>
          </w:tcPr>
          <w:p w14:paraId="30807718"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Healthcare costs (disease management)</w:t>
            </w:r>
          </w:p>
        </w:tc>
        <w:tc>
          <w:tcPr>
            <w:tcW w:w="2044" w:type="pct"/>
            <w:shd w:val="clear" w:color="auto" w:fill="auto"/>
            <w:vAlign w:val="center"/>
          </w:tcPr>
          <w:p w14:paraId="4B65AB29"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Model assumed that patients in the ‘BRND’ health state had less intensive monitoring compared to patients in the ‘3a.Delayed walker’ health state. The model also assumed no regression in motor milestones in the base case.</w:t>
            </w:r>
          </w:p>
        </w:tc>
        <w:tc>
          <w:tcPr>
            <w:tcW w:w="2330" w:type="pct"/>
            <w:shd w:val="clear" w:color="auto" w:fill="auto"/>
            <w:vAlign w:val="center"/>
          </w:tcPr>
          <w:p w14:paraId="16641CC3"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Moderate, favoured ONA.</w:t>
            </w:r>
          </w:p>
          <w:p w14:paraId="19B028A7"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Assuming the same healthcare costs for the ‘BRND’ health state as the ‘3a. Delayed walker’ health state decreased the cost savings for proposed strategy versus status quo arm by around 50%.</w:t>
            </w:r>
          </w:p>
        </w:tc>
      </w:tr>
    </w:tbl>
    <w:p w14:paraId="24709DA3" w14:textId="77777777" w:rsidR="00B75142" w:rsidRPr="00AE3438" w:rsidRDefault="00B75142" w:rsidP="00B75142">
      <w:pPr>
        <w:spacing w:after="120"/>
        <w:contextualSpacing/>
        <w:rPr>
          <w:rFonts w:ascii="Arial Narrow" w:hAnsi="Arial Narrow"/>
          <w:snapToGrid w:val="0"/>
          <w:sz w:val="18"/>
          <w:szCs w:val="22"/>
        </w:rPr>
      </w:pPr>
      <w:r w:rsidRPr="00AE3438">
        <w:rPr>
          <w:rFonts w:ascii="Arial Narrow" w:hAnsi="Arial Narrow"/>
          <w:snapToGrid w:val="0"/>
          <w:sz w:val="18"/>
          <w:szCs w:val="22"/>
        </w:rPr>
        <w:t>Source: compiled during the evaluation.</w:t>
      </w:r>
    </w:p>
    <w:p w14:paraId="0F5C4963" w14:textId="78EBA7F6" w:rsidR="00B75142" w:rsidRPr="00AE3438" w:rsidRDefault="00B75142" w:rsidP="00B75142">
      <w:pPr>
        <w:spacing w:after="120"/>
        <w:contextualSpacing/>
        <w:rPr>
          <w:rFonts w:ascii="Arial Narrow" w:hAnsi="Arial Narrow"/>
          <w:snapToGrid w:val="0"/>
          <w:sz w:val="18"/>
          <w:szCs w:val="22"/>
        </w:rPr>
      </w:pPr>
      <w:r w:rsidRPr="00AE3438">
        <w:rPr>
          <w:rFonts w:ascii="Arial Narrow" w:hAnsi="Arial Narrow"/>
          <w:snapToGrid w:val="0"/>
          <w:sz w:val="18"/>
          <w:szCs w:val="22"/>
        </w:rPr>
        <w:t xml:space="preserve">BRND=broad range of normal development; DMT=disease modifying </w:t>
      </w:r>
      <w:r w:rsidR="00D77E1A">
        <w:rPr>
          <w:rFonts w:ascii="Arial Narrow" w:hAnsi="Arial Narrow"/>
          <w:snapToGrid w:val="0"/>
          <w:sz w:val="18"/>
          <w:szCs w:val="22"/>
        </w:rPr>
        <w:t>therapies</w:t>
      </w:r>
      <w:r w:rsidRPr="00AE3438">
        <w:rPr>
          <w:rFonts w:ascii="Arial Narrow" w:hAnsi="Arial Narrow"/>
          <w:snapToGrid w:val="0"/>
          <w:sz w:val="18"/>
          <w:szCs w:val="22"/>
        </w:rPr>
        <w:t>, NUSI=nusinersen; ONA=onasemnogene abeparvovec; PAV=permanent assisted ventilation; SMA=spinal muscular atrophy; SMN=survival of motor neurone.</w:t>
      </w:r>
    </w:p>
    <w:p w14:paraId="62782644" w14:textId="1C83F2FF" w:rsidR="00B75142" w:rsidRDefault="00B75142" w:rsidP="00B75142">
      <w:pPr>
        <w:spacing w:after="120"/>
        <w:ind w:left="165" w:hanging="165"/>
        <w:contextualSpacing/>
        <w:rPr>
          <w:rFonts w:ascii="Arial Narrow" w:hAnsi="Arial Narrow"/>
          <w:snapToGrid w:val="0"/>
          <w:sz w:val="18"/>
          <w:szCs w:val="18"/>
        </w:rPr>
      </w:pPr>
      <w:r w:rsidRPr="00AE3438">
        <w:rPr>
          <w:rFonts w:ascii="Arial Narrow" w:hAnsi="Arial Narrow"/>
          <w:snapToGrid w:val="0"/>
          <w:sz w:val="18"/>
          <w:szCs w:val="18"/>
          <w:vertAlign w:val="superscript"/>
        </w:rPr>
        <w:t>a</w:t>
      </w:r>
      <w:r w:rsidRPr="00AE3438">
        <w:rPr>
          <w:rFonts w:ascii="Arial Narrow" w:hAnsi="Arial Narrow"/>
          <w:snapToGrid w:val="0"/>
          <w:sz w:val="18"/>
          <w:szCs w:val="18"/>
          <w:vertAlign w:val="superscript"/>
        </w:rPr>
        <w:tab/>
      </w:r>
      <w:r w:rsidRPr="00AE3438">
        <w:rPr>
          <w:rFonts w:ascii="Arial Narrow" w:hAnsi="Arial Narrow"/>
          <w:snapToGrid w:val="0"/>
          <w:sz w:val="18"/>
          <w:szCs w:val="18"/>
        </w:rPr>
        <w:t>This analysis also assumed (i) 100% of patients in the status quo arm had SMA Type II (ii) survival of general population for patients in the ‘2.Sitter’ health state.</w:t>
      </w:r>
    </w:p>
    <w:p w14:paraId="66726F80" w14:textId="77777777" w:rsidR="007B3BD3" w:rsidRPr="009A6D58" w:rsidRDefault="007B3BD3" w:rsidP="007B3BD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F2C5DBC" w14:textId="18B5D022" w:rsidR="007B3BD3" w:rsidRPr="009A6D58" w:rsidRDefault="007B3BD3" w:rsidP="007B3BD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B3BD3">
        <w:rPr>
          <w:rFonts w:ascii="Arial Narrow" w:hAnsi="Arial Narrow"/>
          <w:i/>
          <w:sz w:val="18"/>
          <w:szCs w:val="18"/>
        </w:rPr>
        <w:t>$155,000 to &lt; $255,000</w:t>
      </w:r>
    </w:p>
    <w:p w14:paraId="3660ED99" w14:textId="09FB4165" w:rsidR="00B75142" w:rsidRPr="009A65A9" w:rsidRDefault="007B3BD3" w:rsidP="009A65A9">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B3BD3">
        <w:rPr>
          <w:rFonts w:ascii="Arial Narrow" w:hAnsi="Arial Narrow"/>
          <w:i/>
          <w:sz w:val="18"/>
          <w:szCs w:val="18"/>
        </w:rPr>
        <w:t>$95,000 to &lt; $115,000</w:t>
      </w:r>
    </w:p>
    <w:p w14:paraId="3F87D9D4" w14:textId="6D3110C7" w:rsidR="00B75142" w:rsidRPr="00054F33" w:rsidRDefault="00B75142" w:rsidP="00B75142">
      <w:pPr>
        <w:numPr>
          <w:ilvl w:val="1"/>
          <w:numId w:val="1"/>
        </w:numPr>
        <w:tabs>
          <w:tab w:val="left" w:pos="5954"/>
        </w:tabs>
        <w:spacing w:after="120"/>
        <w:rPr>
          <w:rFonts w:asciiTheme="minorHAnsi" w:hAnsiTheme="minorHAnsi"/>
          <w:snapToGrid w:val="0"/>
        </w:rPr>
      </w:pPr>
      <w:r w:rsidRPr="00AE3438">
        <w:rPr>
          <w:rFonts w:asciiTheme="minorHAnsi" w:hAnsiTheme="minorHAnsi" w:cstheme="minorHAnsi"/>
          <w:snapToGrid w:val="0"/>
        </w:rPr>
        <w:fldChar w:fldCharType="begin"/>
      </w:r>
      <w:r w:rsidRPr="00AE3438">
        <w:rPr>
          <w:rFonts w:asciiTheme="minorHAnsi" w:hAnsiTheme="minorHAnsi" w:cstheme="minorHAnsi"/>
          <w:snapToGrid w:val="0"/>
        </w:rPr>
        <w:instrText xml:space="preserve"> REF _Ref104805160 \h </w:instrText>
      </w:r>
      <w:r w:rsidR="00F42347" w:rsidRPr="00AE3438">
        <w:rPr>
          <w:rFonts w:asciiTheme="minorHAnsi" w:hAnsiTheme="minorHAnsi" w:cstheme="minorHAnsi"/>
          <w:snapToGrid w:val="0"/>
        </w:rPr>
        <w:instrText xml:space="preserve"> \* MERGEFORMAT </w:instrText>
      </w:r>
      <w:r w:rsidRPr="00AE3438">
        <w:rPr>
          <w:rFonts w:asciiTheme="minorHAnsi" w:hAnsiTheme="minorHAnsi" w:cstheme="minorHAnsi"/>
          <w:snapToGrid w:val="0"/>
        </w:rPr>
      </w:r>
      <w:r w:rsidRPr="00AE3438">
        <w:rPr>
          <w:rFonts w:asciiTheme="minorHAnsi" w:hAnsiTheme="minorHAnsi" w:cstheme="minorHAnsi"/>
          <w:snapToGrid w:val="0"/>
        </w:rPr>
        <w:fldChar w:fldCharType="separate"/>
      </w:r>
      <w:r w:rsidR="008E4E26" w:rsidRPr="008E4E26">
        <w:rPr>
          <w:rFonts w:asciiTheme="minorHAnsi" w:hAnsiTheme="minorHAnsi" w:cstheme="minorHAnsi"/>
          <w:bCs/>
        </w:rPr>
        <w:t>Table 11</w:t>
      </w:r>
      <w:r w:rsidRPr="00AE3438">
        <w:rPr>
          <w:rFonts w:asciiTheme="minorHAnsi" w:hAnsiTheme="minorHAnsi" w:cstheme="minorHAnsi"/>
          <w:snapToGrid w:val="0"/>
        </w:rPr>
        <w:fldChar w:fldCharType="end"/>
      </w:r>
      <w:r w:rsidRPr="00AE3438">
        <w:rPr>
          <w:rFonts w:asciiTheme="minorHAnsi" w:hAnsiTheme="minorHAnsi"/>
          <w:snapToGrid w:val="0"/>
        </w:rPr>
        <w:t xml:space="preserve"> provides the results of the modelled economic evaluation for the proposed strategy (pre-symptomatic treatment with ONA) versus status quo. </w:t>
      </w:r>
      <w:bookmarkStart w:id="68" w:name="_Hlk113096876"/>
      <w:r w:rsidRPr="00AE3438">
        <w:rPr>
          <w:rFonts w:asciiTheme="minorHAnsi" w:hAnsiTheme="minorHAnsi"/>
          <w:snapToGrid w:val="0"/>
        </w:rPr>
        <w:t xml:space="preserve">The results show that the biggest change in ICER occurred when the model time horizon was extended from 3 years to 30 years, </w:t>
      </w:r>
      <w:r w:rsidR="00414819" w:rsidRPr="00AE3438">
        <w:rPr>
          <w:rFonts w:asciiTheme="minorHAnsi" w:hAnsiTheme="minorHAnsi"/>
          <w:snapToGrid w:val="0"/>
        </w:rPr>
        <w:t xml:space="preserve">reducing </w:t>
      </w:r>
      <w:r w:rsidRPr="00AE3438">
        <w:rPr>
          <w:rFonts w:asciiTheme="minorHAnsi" w:hAnsiTheme="minorHAnsi"/>
          <w:snapToGrid w:val="0"/>
        </w:rPr>
        <w:t xml:space="preserve">the additional costs for </w:t>
      </w:r>
      <w:r w:rsidR="003D0AFC">
        <w:rPr>
          <w:rFonts w:asciiTheme="minorHAnsi" w:hAnsiTheme="minorHAnsi"/>
          <w:snapToGrid w:val="0"/>
        </w:rPr>
        <w:t xml:space="preserve">the </w:t>
      </w:r>
      <w:r w:rsidRPr="00AE3438">
        <w:rPr>
          <w:rFonts w:asciiTheme="minorHAnsi" w:hAnsiTheme="minorHAnsi"/>
          <w:snapToGrid w:val="0"/>
        </w:rPr>
        <w:t xml:space="preserve">proposed strategy versus status quo from </w:t>
      </w:r>
      <w:r w:rsidR="007B3BD3" w:rsidRPr="007B3BD3">
        <w:rPr>
          <w:rFonts w:asciiTheme="minorHAnsi" w:hAnsiTheme="minorHAnsi"/>
          <w:snapToGrid w:val="0"/>
        </w:rPr>
        <w:t>$0 to &lt; $10 million</w:t>
      </w:r>
      <w:r w:rsidR="007B3BD3">
        <w:rPr>
          <w:rFonts w:asciiTheme="minorHAnsi" w:hAnsiTheme="minorHAnsi"/>
          <w:snapToGrid w:val="0"/>
        </w:rPr>
        <w:t xml:space="preserve"> </w:t>
      </w:r>
      <w:r w:rsidRPr="00AE3438">
        <w:rPr>
          <w:rFonts w:asciiTheme="minorHAnsi" w:hAnsiTheme="minorHAnsi"/>
          <w:snapToGrid w:val="0"/>
        </w:rPr>
        <w:t>(in Step 2) to a cost saving per patient (in Step 3). This was primarily due to the upfront drug costs for ONA being offset by the drug costs of nusinersen over a longer time period</w:t>
      </w:r>
      <w:bookmarkEnd w:id="68"/>
      <w:r w:rsidRPr="00AE3438">
        <w:rPr>
          <w:rFonts w:asciiTheme="minorHAnsi" w:hAnsiTheme="minorHAnsi"/>
          <w:snapToGrid w:val="0"/>
        </w:rPr>
        <w:t xml:space="preserve">. </w:t>
      </w:r>
      <w:r w:rsidR="00EE1D04" w:rsidRPr="00054F33">
        <w:rPr>
          <w:rFonts w:asciiTheme="minorHAnsi" w:hAnsiTheme="minorHAnsi"/>
          <w:snapToGrid w:val="0"/>
        </w:rPr>
        <w:t xml:space="preserve">The ESC </w:t>
      </w:r>
      <w:r w:rsidR="00FF6695" w:rsidRPr="00054F33">
        <w:rPr>
          <w:rFonts w:asciiTheme="minorHAnsi" w:hAnsiTheme="minorHAnsi"/>
          <w:snapToGrid w:val="0"/>
        </w:rPr>
        <w:t>considered the estimated cost saving to be highly uncertain noting these were on the basis of</w:t>
      </w:r>
      <w:r w:rsidR="004A6FE4" w:rsidRPr="00054F33">
        <w:rPr>
          <w:rFonts w:asciiTheme="minorHAnsi" w:hAnsiTheme="minorHAnsi"/>
          <w:snapToGrid w:val="0"/>
        </w:rPr>
        <w:t xml:space="preserve"> ongoing costs for nusinersen with</w:t>
      </w:r>
      <w:r w:rsidR="00FF6695" w:rsidRPr="00054F33">
        <w:rPr>
          <w:rFonts w:asciiTheme="minorHAnsi" w:hAnsiTheme="minorHAnsi"/>
          <w:snapToGrid w:val="0"/>
        </w:rPr>
        <w:t xml:space="preserve"> no subsequent treatments following ONA</w:t>
      </w:r>
      <w:r w:rsidR="007E1D0E" w:rsidRPr="00054F33">
        <w:rPr>
          <w:rFonts w:asciiTheme="minorHAnsi" w:hAnsiTheme="minorHAnsi"/>
          <w:snapToGrid w:val="0"/>
        </w:rPr>
        <w:t xml:space="preserve"> over the full 30</w:t>
      </w:r>
      <w:r w:rsidR="004A6FE4" w:rsidRPr="00054F33">
        <w:rPr>
          <w:rFonts w:asciiTheme="minorHAnsi" w:hAnsiTheme="minorHAnsi"/>
          <w:snapToGrid w:val="0"/>
        </w:rPr>
        <w:noBreakHyphen/>
      </w:r>
      <w:r w:rsidR="007E1D0E" w:rsidRPr="00054F33">
        <w:rPr>
          <w:rFonts w:asciiTheme="minorHAnsi" w:hAnsiTheme="minorHAnsi"/>
          <w:snapToGrid w:val="0"/>
        </w:rPr>
        <w:t>year time horizon</w:t>
      </w:r>
      <w:r w:rsidR="004A6FE4" w:rsidRPr="00054F33">
        <w:rPr>
          <w:rFonts w:asciiTheme="minorHAnsi" w:hAnsiTheme="minorHAnsi"/>
          <w:snapToGrid w:val="0"/>
        </w:rPr>
        <w:t xml:space="preserve"> and </w:t>
      </w:r>
      <w:r w:rsidR="00E75087" w:rsidRPr="00054F33">
        <w:rPr>
          <w:rFonts w:asciiTheme="minorHAnsi" w:hAnsiTheme="minorHAnsi"/>
          <w:snapToGrid w:val="0"/>
        </w:rPr>
        <w:t xml:space="preserve">included </w:t>
      </w:r>
      <w:r w:rsidR="004A6FE4" w:rsidRPr="00054F33">
        <w:rPr>
          <w:rFonts w:asciiTheme="minorHAnsi" w:hAnsiTheme="minorHAnsi"/>
          <w:snapToGrid w:val="0"/>
        </w:rPr>
        <w:t>significant medical costs prevented</w:t>
      </w:r>
      <w:r w:rsidR="00FF6695" w:rsidRPr="00054F33">
        <w:rPr>
          <w:rFonts w:asciiTheme="minorHAnsi" w:hAnsiTheme="minorHAnsi"/>
          <w:snapToGrid w:val="0"/>
        </w:rPr>
        <w:t xml:space="preserve">. </w:t>
      </w:r>
    </w:p>
    <w:p w14:paraId="59BC6C49" w14:textId="13BF731C" w:rsidR="00B75142" w:rsidRPr="00AE3438" w:rsidRDefault="00B75142" w:rsidP="00B75142">
      <w:pPr>
        <w:keepNext/>
        <w:keepLines/>
        <w:rPr>
          <w:rFonts w:ascii="Arial Narrow" w:hAnsi="Arial Narrow"/>
          <w:b/>
          <w:bCs/>
          <w:sz w:val="20"/>
          <w:szCs w:val="18"/>
        </w:rPr>
      </w:pPr>
      <w:bookmarkStart w:id="69" w:name="_Ref104805160"/>
      <w:r w:rsidRPr="00AE3438">
        <w:rPr>
          <w:rFonts w:ascii="Arial Narrow" w:hAnsi="Arial Narrow"/>
          <w:b/>
          <w:bCs/>
          <w:sz w:val="20"/>
          <w:szCs w:val="18"/>
        </w:rPr>
        <w:lastRenderedPageBreak/>
        <w:t xml:space="preserve">Table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Table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11</w:t>
      </w:r>
      <w:r w:rsidRPr="00AE3438">
        <w:rPr>
          <w:rFonts w:ascii="Arial Narrow" w:hAnsi="Arial Narrow"/>
          <w:b/>
          <w:bCs/>
          <w:sz w:val="20"/>
          <w:szCs w:val="18"/>
        </w:rPr>
        <w:fldChar w:fldCharType="end"/>
      </w:r>
      <w:bookmarkEnd w:id="69"/>
      <w:r w:rsidRPr="00AE3438">
        <w:rPr>
          <w:rFonts w:ascii="Arial Narrow" w:hAnsi="Arial Narrow"/>
          <w:b/>
          <w:bCs/>
          <w:sz w:val="20"/>
          <w:szCs w:val="18"/>
        </w:rPr>
        <w:t>:</w:t>
      </w:r>
      <w:r w:rsidRPr="00AE3438">
        <w:rPr>
          <w:rFonts w:ascii="Arial Narrow" w:hAnsi="Arial Narrow"/>
          <w:b/>
          <w:bCs/>
          <w:sz w:val="20"/>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B75142" w:rsidRPr="00AE3438" w14:paraId="1F69A534" w14:textId="77777777" w:rsidTr="00B75142">
        <w:trPr>
          <w:tblHeader/>
        </w:trPr>
        <w:tc>
          <w:tcPr>
            <w:tcW w:w="1529" w:type="pct"/>
            <w:vAlign w:val="center"/>
          </w:tcPr>
          <w:p w14:paraId="2C93174B" w14:textId="77777777" w:rsidR="00B75142" w:rsidRPr="00AE3438" w:rsidRDefault="00B75142" w:rsidP="00B75142">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Step and component</w:t>
            </w:r>
          </w:p>
        </w:tc>
        <w:tc>
          <w:tcPr>
            <w:tcW w:w="1359" w:type="pct"/>
            <w:vAlign w:val="center"/>
          </w:tcPr>
          <w:p w14:paraId="21F16BDE"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Proposed strategy</w:t>
            </w:r>
          </w:p>
        </w:tc>
        <w:tc>
          <w:tcPr>
            <w:tcW w:w="1274" w:type="pct"/>
            <w:vAlign w:val="center"/>
          </w:tcPr>
          <w:p w14:paraId="45C3F266" w14:textId="23380878" w:rsidR="00B75142" w:rsidRPr="00AE3438" w:rsidRDefault="000902EF"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Status quo</w:t>
            </w:r>
          </w:p>
        </w:tc>
        <w:tc>
          <w:tcPr>
            <w:tcW w:w="838" w:type="pct"/>
            <w:vAlign w:val="center"/>
          </w:tcPr>
          <w:p w14:paraId="0937093A"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Increment</w:t>
            </w:r>
          </w:p>
        </w:tc>
      </w:tr>
      <w:tr w:rsidR="00B75142" w:rsidRPr="00AE3438" w14:paraId="41770A23" w14:textId="77777777" w:rsidTr="00B75142">
        <w:tc>
          <w:tcPr>
            <w:tcW w:w="5000" w:type="pct"/>
            <w:gridSpan w:val="4"/>
            <w:vAlign w:val="center"/>
          </w:tcPr>
          <w:p w14:paraId="32F37909" w14:textId="77777777" w:rsidR="00B75142" w:rsidRPr="00AE3438" w:rsidRDefault="00B75142" w:rsidP="00B75142">
            <w:pPr>
              <w:keepNext/>
              <w:jc w:val="left"/>
              <w:rPr>
                <w:rFonts w:ascii="Arial Narrow" w:eastAsiaTheme="majorEastAsia" w:hAnsi="Arial Narrow" w:cstheme="majorBidi"/>
                <w:b/>
                <w:sz w:val="20"/>
              </w:rPr>
            </w:pPr>
            <w:r w:rsidRPr="00AE3438">
              <w:rPr>
                <w:rFonts w:ascii="Arial Narrow" w:eastAsiaTheme="majorEastAsia" w:hAnsi="Arial Narrow" w:cstheme="majorBidi"/>
                <w:b/>
                <w:sz w:val="20"/>
              </w:rPr>
              <w:t>Step 1: trial-based costs and outcomes; 3-year time horizon (37 months in the model)</w:t>
            </w:r>
          </w:p>
        </w:tc>
      </w:tr>
      <w:tr w:rsidR="00B75142" w:rsidRPr="00AE3438" w14:paraId="39601C6D" w14:textId="77777777" w:rsidTr="00B75142">
        <w:tc>
          <w:tcPr>
            <w:tcW w:w="1529" w:type="pct"/>
            <w:vAlign w:val="center"/>
          </w:tcPr>
          <w:p w14:paraId="0ECCBF94"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Costs</w:t>
            </w:r>
          </w:p>
        </w:tc>
        <w:tc>
          <w:tcPr>
            <w:tcW w:w="1359" w:type="pct"/>
            <w:vAlign w:val="center"/>
          </w:tcPr>
          <w:p w14:paraId="5FDE4297" w14:textId="478A2899"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6CAD930A"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$306,554</w:t>
            </w:r>
          </w:p>
        </w:tc>
        <w:tc>
          <w:tcPr>
            <w:tcW w:w="838" w:type="pct"/>
            <w:vAlign w:val="center"/>
          </w:tcPr>
          <w:p w14:paraId="59EECDF5" w14:textId="17751114"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B75142" w:rsidRPr="00AE3438" w14:paraId="2E6082D9" w14:textId="77777777" w:rsidTr="00B75142">
        <w:tc>
          <w:tcPr>
            <w:tcW w:w="1529" w:type="pct"/>
            <w:vAlign w:val="center"/>
          </w:tcPr>
          <w:p w14:paraId="372F5512"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Months standing</w:t>
            </w:r>
          </w:p>
        </w:tc>
        <w:tc>
          <w:tcPr>
            <w:tcW w:w="1359" w:type="pct"/>
            <w:vAlign w:val="center"/>
          </w:tcPr>
          <w:p w14:paraId="2DDF545A"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36.90mth</w:t>
            </w:r>
          </w:p>
        </w:tc>
        <w:tc>
          <w:tcPr>
            <w:tcW w:w="1274" w:type="pct"/>
            <w:vAlign w:val="center"/>
          </w:tcPr>
          <w:p w14:paraId="6BB3DF1A"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9.63mth</w:t>
            </w:r>
          </w:p>
        </w:tc>
        <w:tc>
          <w:tcPr>
            <w:tcW w:w="838" w:type="pct"/>
            <w:vAlign w:val="center"/>
          </w:tcPr>
          <w:p w14:paraId="6E82E38D"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27.27mth</w:t>
            </w:r>
          </w:p>
        </w:tc>
      </w:tr>
      <w:tr w:rsidR="00B75142" w:rsidRPr="00AE3438" w14:paraId="2B688D39" w14:textId="77777777" w:rsidTr="00B75142">
        <w:tc>
          <w:tcPr>
            <w:tcW w:w="4162" w:type="pct"/>
            <w:gridSpan w:val="3"/>
            <w:vAlign w:val="center"/>
          </w:tcPr>
          <w:p w14:paraId="47888497" w14:textId="21D77831" w:rsidR="00B75142" w:rsidRPr="007B3BD3" w:rsidRDefault="00B75142" w:rsidP="00B75142">
            <w:pPr>
              <w:keepNext/>
              <w:jc w:val="left"/>
              <w:rPr>
                <w:rFonts w:ascii="Times" w:eastAsiaTheme="majorEastAsia" w:hAnsi="Times" w:cstheme="majorBidi"/>
                <w:bCs/>
                <w:sz w:val="20"/>
                <w:vertAlign w:val="superscript"/>
              </w:rPr>
            </w:pPr>
            <w:r w:rsidRPr="00AE3438">
              <w:rPr>
                <w:rFonts w:ascii="Arial Narrow" w:eastAsiaTheme="majorEastAsia" w:hAnsi="Arial Narrow" w:cstheme="majorBidi"/>
                <w:bCs/>
                <w:sz w:val="20"/>
              </w:rPr>
              <w:t>Incremental cost/additional months the child was standing</w:t>
            </w:r>
          </w:p>
        </w:tc>
        <w:tc>
          <w:tcPr>
            <w:tcW w:w="838" w:type="pct"/>
            <w:vAlign w:val="center"/>
          </w:tcPr>
          <w:p w14:paraId="5B5372D0" w14:textId="7A70C55C"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B3BD3">
              <w:rPr>
                <w:rFonts w:ascii="Arial Narrow" w:eastAsiaTheme="majorEastAsia" w:hAnsi="Arial Narrow" w:cstheme="majorBidi"/>
                <w:bCs/>
                <w:sz w:val="20"/>
                <w:vertAlign w:val="superscript"/>
              </w:rPr>
              <w:t>1</w:t>
            </w:r>
          </w:p>
        </w:tc>
      </w:tr>
      <w:tr w:rsidR="00B75142" w:rsidRPr="00AE3438" w14:paraId="1764B03B" w14:textId="77777777" w:rsidTr="00B75142">
        <w:tc>
          <w:tcPr>
            <w:tcW w:w="5000" w:type="pct"/>
            <w:gridSpan w:val="4"/>
            <w:vAlign w:val="center"/>
          </w:tcPr>
          <w:p w14:paraId="64FEA09E" w14:textId="77777777" w:rsidR="00B75142" w:rsidRPr="00AE3438" w:rsidRDefault="00B75142" w:rsidP="00B75142">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Step 2: incorporation of survival</w:t>
            </w:r>
          </w:p>
        </w:tc>
      </w:tr>
      <w:tr w:rsidR="00B75142" w:rsidRPr="00AE3438" w14:paraId="08C0F141" w14:textId="77777777" w:rsidTr="00B75142">
        <w:tc>
          <w:tcPr>
            <w:tcW w:w="1529" w:type="pct"/>
            <w:vAlign w:val="center"/>
          </w:tcPr>
          <w:p w14:paraId="0CC99151"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Costs</w:t>
            </w:r>
          </w:p>
        </w:tc>
        <w:tc>
          <w:tcPr>
            <w:tcW w:w="1359" w:type="pct"/>
            <w:vAlign w:val="center"/>
          </w:tcPr>
          <w:p w14:paraId="2BD887A6" w14:textId="386E697D"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2CD8C020"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$306,554</w:t>
            </w:r>
          </w:p>
        </w:tc>
        <w:tc>
          <w:tcPr>
            <w:tcW w:w="838" w:type="pct"/>
            <w:vAlign w:val="center"/>
          </w:tcPr>
          <w:p w14:paraId="124F56C8" w14:textId="6FDEFB0F"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B75142" w:rsidRPr="00AE3438" w14:paraId="46F48298" w14:textId="77777777" w:rsidTr="00B75142">
        <w:tc>
          <w:tcPr>
            <w:tcW w:w="1529" w:type="pct"/>
            <w:vAlign w:val="center"/>
          </w:tcPr>
          <w:p w14:paraId="6CF3FFBC"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LYG</w:t>
            </w:r>
          </w:p>
        </w:tc>
        <w:tc>
          <w:tcPr>
            <w:tcW w:w="1359" w:type="pct"/>
            <w:vAlign w:val="center"/>
          </w:tcPr>
          <w:p w14:paraId="67A6C72E"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2.80</w:t>
            </w:r>
          </w:p>
        </w:tc>
        <w:tc>
          <w:tcPr>
            <w:tcW w:w="1274" w:type="pct"/>
            <w:vAlign w:val="center"/>
          </w:tcPr>
          <w:p w14:paraId="04342188"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2.69</w:t>
            </w:r>
          </w:p>
        </w:tc>
        <w:tc>
          <w:tcPr>
            <w:tcW w:w="838" w:type="pct"/>
            <w:vAlign w:val="center"/>
          </w:tcPr>
          <w:p w14:paraId="5EF70E82"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0.11</w:t>
            </w:r>
          </w:p>
        </w:tc>
      </w:tr>
      <w:tr w:rsidR="00B75142" w:rsidRPr="00AE3438" w14:paraId="4335FA9A" w14:textId="77777777" w:rsidTr="00B75142">
        <w:tc>
          <w:tcPr>
            <w:tcW w:w="4162" w:type="pct"/>
            <w:gridSpan w:val="3"/>
            <w:vAlign w:val="center"/>
          </w:tcPr>
          <w:p w14:paraId="2D42D43E"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Incremental cost/extra LYG gained</w:t>
            </w:r>
          </w:p>
        </w:tc>
        <w:tc>
          <w:tcPr>
            <w:tcW w:w="838" w:type="pct"/>
            <w:vAlign w:val="center"/>
          </w:tcPr>
          <w:p w14:paraId="77D50BE3" w14:textId="00A3D05C"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B3BD3">
              <w:rPr>
                <w:rFonts w:ascii="Arial Narrow" w:eastAsiaTheme="majorEastAsia" w:hAnsi="Arial Narrow" w:cstheme="majorBidi"/>
                <w:bCs/>
                <w:sz w:val="20"/>
                <w:vertAlign w:val="superscript"/>
              </w:rPr>
              <w:t>2</w:t>
            </w:r>
          </w:p>
        </w:tc>
      </w:tr>
      <w:tr w:rsidR="00B75142" w:rsidRPr="00AE3438" w14:paraId="7045601B" w14:textId="77777777" w:rsidTr="00B75142">
        <w:tc>
          <w:tcPr>
            <w:tcW w:w="5000" w:type="pct"/>
            <w:gridSpan w:val="4"/>
            <w:vAlign w:val="center"/>
          </w:tcPr>
          <w:p w14:paraId="08DBB898" w14:textId="77777777" w:rsidR="00B75142" w:rsidRPr="00AE3438" w:rsidRDefault="00B75142" w:rsidP="00B75142">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Step 3: time horizon extended to 30 years</w:t>
            </w:r>
          </w:p>
        </w:tc>
      </w:tr>
      <w:tr w:rsidR="00B75142" w:rsidRPr="00AE3438" w14:paraId="400D5453" w14:textId="77777777" w:rsidTr="00B75142">
        <w:tc>
          <w:tcPr>
            <w:tcW w:w="1529" w:type="pct"/>
            <w:vAlign w:val="center"/>
          </w:tcPr>
          <w:p w14:paraId="3084D130"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Costs</w:t>
            </w:r>
          </w:p>
        </w:tc>
        <w:tc>
          <w:tcPr>
            <w:tcW w:w="1359" w:type="pct"/>
            <w:vAlign w:val="center"/>
          </w:tcPr>
          <w:p w14:paraId="7259EF22" w14:textId="2E7FF8F6"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7F37DD3D"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$4,299,340</w:t>
            </w:r>
          </w:p>
        </w:tc>
        <w:tc>
          <w:tcPr>
            <w:tcW w:w="838" w:type="pct"/>
            <w:vAlign w:val="center"/>
          </w:tcPr>
          <w:p w14:paraId="1D2F70F6" w14:textId="31BF4164"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B75142" w:rsidRPr="00AE3438" w14:paraId="57EBA7A6" w14:textId="77777777" w:rsidTr="00B75142">
        <w:tc>
          <w:tcPr>
            <w:tcW w:w="1529" w:type="pct"/>
            <w:vAlign w:val="center"/>
          </w:tcPr>
          <w:p w14:paraId="5A68CE84"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LYG</w:t>
            </w:r>
          </w:p>
        </w:tc>
        <w:tc>
          <w:tcPr>
            <w:tcW w:w="1359" w:type="pct"/>
            <w:vAlign w:val="center"/>
          </w:tcPr>
          <w:p w14:paraId="01C77A0B"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15.96</w:t>
            </w:r>
          </w:p>
        </w:tc>
        <w:tc>
          <w:tcPr>
            <w:tcW w:w="1274" w:type="pct"/>
            <w:vAlign w:val="center"/>
          </w:tcPr>
          <w:p w14:paraId="5CA1B489"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14.10</w:t>
            </w:r>
          </w:p>
        </w:tc>
        <w:tc>
          <w:tcPr>
            <w:tcW w:w="838" w:type="pct"/>
            <w:vAlign w:val="center"/>
          </w:tcPr>
          <w:p w14:paraId="4297E2FC"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1.86</w:t>
            </w:r>
          </w:p>
        </w:tc>
      </w:tr>
      <w:tr w:rsidR="00B75142" w:rsidRPr="00AE3438" w14:paraId="347D3009" w14:textId="77777777" w:rsidTr="00B75142">
        <w:tc>
          <w:tcPr>
            <w:tcW w:w="4162" w:type="pct"/>
            <w:gridSpan w:val="3"/>
            <w:vAlign w:val="center"/>
          </w:tcPr>
          <w:p w14:paraId="068B7DCD"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Incremental cost/extra LYG gained</w:t>
            </w:r>
          </w:p>
        </w:tc>
        <w:tc>
          <w:tcPr>
            <w:tcW w:w="838" w:type="pct"/>
            <w:vAlign w:val="center"/>
          </w:tcPr>
          <w:p w14:paraId="4B0C5DF4"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Dominant</w:t>
            </w:r>
          </w:p>
        </w:tc>
      </w:tr>
      <w:tr w:rsidR="00B75142" w:rsidRPr="00AE3438" w14:paraId="7A41C079" w14:textId="77777777" w:rsidTr="00B75142">
        <w:tc>
          <w:tcPr>
            <w:tcW w:w="5000" w:type="pct"/>
            <w:gridSpan w:val="4"/>
            <w:vAlign w:val="center"/>
          </w:tcPr>
          <w:p w14:paraId="41A88D4E" w14:textId="77777777" w:rsidR="00B75142" w:rsidRPr="00AE3438" w:rsidRDefault="00B75142" w:rsidP="00B75142">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Step 4: incorporation of utilities</w:t>
            </w:r>
          </w:p>
        </w:tc>
      </w:tr>
      <w:tr w:rsidR="00B75142" w:rsidRPr="00AE3438" w14:paraId="455FE970" w14:textId="77777777" w:rsidTr="00B75142">
        <w:tc>
          <w:tcPr>
            <w:tcW w:w="1529" w:type="pct"/>
            <w:vAlign w:val="center"/>
          </w:tcPr>
          <w:p w14:paraId="4781EBAD"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Costs</w:t>
            </w:r>
          </w:p>
        </w:tc>
        <w:tc>
          <w:tcPr>
            <w:tcW w:w="1359" w:type="pct"/>
            <w:vAlign w:val="center"/>
          </w:tcPr>
          <w:p w14:paraId="5E3B204A" w14:textId="0C89B47E"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1D52ABEC"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$4,299,340</w:t>
            </w:r>
          </w:p>
        </w:tc>
        <w:tc>
          <w:tcPr>
            <w:tcW w:w="838" w:type="pct"/>
            <w:vAlign w:val="center"/>
          </w:tcPr>
          <w:p w14:paraId="079A4BF0" w14:textId="2376DF3D"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B75142" w:rsidRPr="00AE3438" w14:paraId="291C368A" w14:textId="77777777" w:rsidTr="00B75142">
        <w:tc>
          <w:tcPr>
            <w:tcW w:w="1529" w:type="pct"/>
            <w:vAlign w:val="center"/>
          </w:tcPr>
          <w:p w14:paraId="0B8B50D2"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QALYs</w:t>
            </w:r>
          </w:p>
        </w:tc>
        <w:tc>
          <w:tcPr>
            <w:tcW w:w="1359" w:type="pct"/>
            <w:vAlign w:val="center"/>
          </w:tcPr>
          <w:p w14:paraId="7AA847AD"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15.20</w:t>
            </w:r>
          </w:p>
        </w:tc>
        <w:tc>
          <w:tcPr>
            <w:tcW w:w="1274" w:type="pct"/>
            <w:vAlign w:val="center"/>
          </w:tcPr>
          <w:p w14:paraId="24D2AB50"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10.01</w:t>
            </w:r>
          </w:p>
        </w:tc>
        <w:tc>
          <w:tcPr>
            <w:tcW w:w="838" w:type="pct"/>
            <w:vAlign w:val="center"/>
          </w:tcPr>
          <w:p w14:paraId="4102F275"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5.19</w:t>
            </w:r>
          </w:p>
        </w:tc>
      </w:tr>
      <w:tr w:rsidR="00B75142" w:rsidRPr="00AE3438" w14:paraId="01513A2B" w14:textId="77777777" w:rsidTr="00B75142">
        <w:tc>
          <w:tcPr>
            <w:tcW w:w="4162" w:type="pct"/>
            <w:gridSpan w:val="3"/>
            <w:vAlign w:val="center"/>
          </w:tcPr>
          <w:p w14:paraId="3A652346" w14:textId="77777777" w:rsidR="00B75142" w:rsidRPr="00AE3438" w:rsidRDefault="00B75142" w:rsidP="00B75142">
            <w:pPr>
              <w:keepNext/>
              <w:jc w:val="left"/>
              <w:rPr>
                <w:rFonts w:ascii="Times" w:eastAsiaTheme="majorEastAsia" w:hAnsi="Times" w:cstheme="majorBidi"/>
                <w:b/>
                <w:sz w:val="20"/>
              </w:rPr>
            </w:pPr>
            <w:r w:rsidRPr="00AE3438">
              <w:rPr>
                <w:rFonts w:ascii="Arial Narrow" w:eastAsiaTheme="majorEastAsia" w:hAnsi="Arial Narrow" w:cstheme="majorBidi"/>
                <w:b/>
                <w:sz w:val="20"/>
              </w:rPr>
              <w:t xml:space="preserve">Incremental cost/extra QALY gained (not considering </w:t>
            </w:r>
            <w:r w:rsidRPr="00AE3438">
              <w:rPr>
                <w:rFonts w:ascii="Arial Narrow" w:eastAsiaTheme="majorEastAsia" w:hAnsi="Arial Narrow" w:cstheme="majorBidi"/>
                <w:b/>
                <w:i/>
                <w:iCs/>
                <w:sz w:val="20"/>
              </w:rPr>
              <w:t>SMN2</w:t>
            </w:r>
            <w:r w:rsidRPr="00AE3438">
              <w:rPr>
                <w:rFonts w:ascii="Arial Narrow" w:eastAsiaTheme="majorEastAsia" w:hAnsi="Arial Narrow" w:cstheme="majorBidi"/>
                <w:b/>
                <w:sz w:val="20"/>
              </w:rPr>
              <w:t xml:space="preserve"> testing accuracy)</w:t>
            </w:r>
          </w:p>
        </w:tc>
        <w:tc>
          <w:tcPr>
            <w:tcW w:w="838" w:type="pct"/>
            <w:vAlign w:val="center"/>
          </w:tcPr>
          <w:p w14:paraId="0C284E51"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Dominant</w:t>
            </w:r>
          </w:p>
        </w:tc>
      </w:tr>
      <w:tr w:rsidR="00B75142" w:rsidRPr="00AE3438" w14:paraId="0EBF8FE6" w14:textId="77777777" w:rsidTr="00B75142">
        <w:tc>
          <w:tcPr>
            <w:tcW w:w="5000" w:type="pct"/>
            <w:gridSpan w:val="4"/>
            <w:vAlign w:val="center"/>
          </w:tcPr>
          <w:p w14:paraId="243134B3" w14:textId="77777777" w:rsidR="00B75142" w:rsidRPr="00AE3438" w:rsidRDefault="00B75142" w:rsidP="00B75142">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 xml:space="preserve">Step 5: Accounting for </w:t>
            </w:r>
            <w:r w:rsidRPr="00AE3438">
              <w:rPr>
                <w:rFonts w:ascii="Arial Narrow" w:eastAsiaTheme="majorEastAsia" w:hAnsi="Arial Narrow" w:cs="Times New Roman"/>
                <w:b/>
                <w:i/>
                <w:iCs/>
                <w:sz w:val="20"/>
              </w:rPr>
              <w:t>SMN2</w:t>
            </w:r>
            <w:r w:rsidRPr="00AE3438">
              <w:rPr>
                <w:rFonts w:ascii="Arial Narrow" w:eastAsiaTheme="majorEastAsia" w:hAnsi="Arial Narrow" w:cs="Times New Roman"/>
                <w:b/>
                <w:sz w:val="20"/>
              </w:rPr>
              <w:t xml:space="preserve"> testing accuracy</w:t>
            </w:r>
          </w:p>
        </w:tc>
      </w:tr>
      <w:tr w:rsidR="00B75142" w:rsidRPr="00AE3438" w14:paraId="1D18A2F1" w14:textId="77777777" w:rsidTr="00B75142">
        <w:tc>
          <w:tcPr>
            <w:tcW w:w="1529" w:type="pct"/>
            <w:vAlign w:val="center"/>
          </w:tcPr>
          <w:p w14:paraId="66001380"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Costs</w:t>
            </w:r>
          </w:p>
        </w:tc>
        <w:tc>
          <w:tcPr>
            <w:tcW w:w="1359" w:type="pct"/>
            <w:vAlign w:val="center"/>
          </w:tcPr>
          <w:p w14:paraId="2BF90CC0" w14:textId="2E8C7CB0"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0C6AEB7C"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$4,299,340</w:t>
            </w:r>
          </w:p>
        </w:tc>
        <w:tc>
          <w:tcPr>
            <w:tcW w:w="838" w:type="pct"/>
            <w:vAlign w:val="center"/>
          </w:tcPr>
          <w:p w14:paraId="7CD89D54" w14:textId="36A4AF63"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w:t>
            </w:r>
            <w:r w:rsidR="00284C02" w:rsidRPr="00284C02">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B75142" w:rsidRPr="00AE3438" w14:paraId="5FF1DE10" w14:textId="77777777" w:rsidTr="00B75142">
        <w:tc>
          <w:tcPr>
            <w:tcW w:w="1529" w:type="pct"/>
            <w:vAlign w:val="center"/>
          </w:tcPr>
          <w:p w14:paraId="552FC21A" w14:textId="77777777" w:rsidR="00B75142" w:rsidRPr="00AE3438" w:rsidRDefault="00B75142" w:rsidP="00B75142">
            <w:pPr>
              <w:keepNext/>
              <w:jc w:val="left"/>
              <w:rPr>
                <w:rFonts w:ascii="Times" w:eastAsiaTheme="majorEastAsia" w:hAnsi="Times" w:cstheme="majorBidi"/>
                <w:bCs/>
                <w:sz w:val="20"/>
              </w:rPr>
            </w:pPr>
            <w:r w:rsidRPr="00AE3438">
              <w:rPr>
                <w:rFonts w:ascii="Arial Narrow" w:eastAsiaTheme="majorEastAsia" w:hAnsi="Arial Narrow" w:cstheme="majorBidi"/>
                <w:bCs/>
                <w:sz w:val="20"/>
              </w:rPr>
              <w:t>QALYs</w:t>
            </w:r>
          </w:p>
        </w:tc>
        <w:tc>
          <w:tcPr>
            <w:tcW w:w="1359" w:type="pct"/>
            <w:vAlign w:val="center"/>
          </w:tcPr>
          <w:p w14:paraId="24365562"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14.21</w:t>
            </w:r>
          </w:p>
        </w:tc>
        <w:tc>
          <w:tcPr>
            <w:tcW w:w="1274" w:type="pct"/>
            <w:vAlign w:val="center"/>
          </w:tcPr>
          <w:p w14:paraId="537666B1" w14:textId="77777777" w:rsidR="00B75142" w:rsidRPr="00AE3438" w:rsidRDefault="00B75142" w:rsidP="00B75142">
            <w:pPr>
              <w:keepNext/>
              <w:jc w:val="center"/>
              <w:rPr>
                <w:rFonts w:ascii="Times" w:eastAsiaTheme="majorEastAsia" w:hAnsi="Times" w:cstheme="majorBidi"/>
                <w:bCs/>
                <w:sz w:val="20"/>
              </w:rPr>
            </w:pPr>
            <w:r w:rsidRPr="00AE3438">
              <w:rPr>
                <w:rFonts w:ascii="Arial Narrow" w:eastAsiaTheme="majorEastAsia" w:hAnsi="Arial Narrow" w:cstheme="majorBidi"/>
                <w:bCs/>
                <w:sz w:val="20"/>
              </w:rPr>
              <w:t>10.01</w:t>
            </w:r>
          </w:p>
        </w:tc>
        <w:tc>
          <w:tcPr>
            <w:tcW w:w="838" w:type="pct"/>
            <w:vAlign w:val="center"/>
          </w:tcPr>
          <w:p w14:paraId="004E8931"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4.20</w:t>
            </w:r>
          </w:p>
        </w:tc>
      </w:tr>
      <w:tr w:rsidR="00B75142" w:rsidRPr="00AE3438" w14:paraId="0C562092" w14:textId="77777777" w:rsidTr="00B75142">
        <w:tc>
          <w:tcPr>
            <w:tcW w:w="4162" w:type="pct"/>
            <w:gridSpan w:val="3"/>
            <w:vAlign w:val="center"/>
          </w:tcPr>
          <w:p w14:paraId="5CE0EDAB" w14:textId="77777777" w:rsidR="00B75142" w:rsidRPr="00AE3438" w:rsidRDefault="00B75142" w:rsidP="00B75142">
            <w:pPr>
              <w:keepNext/>
              <w:jc w:val="left"/>
              <w:rPr>
                <w:rFonts w:ascii="Times" w:eastAsiaTheme="majorEastAsia" w:hAnsi="Times" w:cstheme="majorBidi"/>
                <w:b/>
                <w:bCs/>
                <w:sz w:val="20"/>
              </w:rPr>
            </w:pPr>
            <w:r w:rsidRPr="00AE3438">
              <w:rPr>
                <w:rFonts w:ascii="Arial Narrow" w:eastAsiaTheme="majorEastAsia" w:hAnsi="Arial Narrow" w:cstheme="majorBidi"/>
                <w:b/>
                <w:bCs/>
                <w:sz w:val="20"/>
              </w:rPr>
              <w:t>Incremental cost/extra QALY gained (base case in the model)</w:t>
            </w:r>
          </w:p>
        </w:tc>
        <w:tc>
          <w:tcPr>
            <w:tcW w:w="838" w:type="pct"/>
            <w:vAlign w:val="center"/>
          </w:tcPr>
          <w:p w14:paraId="00245178" w14:textId="77777777" w:rsidR="00B75142" w:rsidRPr="00AE3438" w:rsidRDefault="00B75142" w:rsidP="00B75142">
            <w:pPr>
              <w:keepNext/>
              <w:jc w:val="center"/>
              <w:rPr>
                <w:rFonts w:ascii="Times" w:eastAsiaTheme="majorEastAsia" w:hAnsi="Times" w:cstheme="majorBidi"/>
                <w:b/>
                <w:bCs/>
                <w:sz w:val="20"/>
              </w:rPr>
            </w:pPr>
            <w:r w:rsidRPr="00AE3438">
              <w:rPr>
                <w:rFonts w:ascii="Arial Narrow" w:eastAsiaTheme="majorEastAsia" w:hAnsi="Arial Narrow" w:cstheme="majorBidi"/>
                <w:b/>
                <w:bCs/>
                <w:sz w:val="20"/>
              </w:rPr>
              <w:t>Dominant</w:t>
            </w:r>
          </w:p>
        </w:tc>
      </w:tr>
    </w:tbl>
    <w:p w14:paraId="5F2C2874" w14:textId="77777777" w:rsidR="00B75142" w:rsidRPr="00AE3438" w:rsidRDefault="00B75142" w:rsidP="00B75142">
      <w:pPr>
        <w:spacing w:after="120"/>
        <w:contextualSpacing/>
        <w:rPr>
          <w:rFonts w:ascii="Arial Narrow" w:hAnsi="Arial Narrow"/>
          <w:snapToGrid w:val="0"/>
          <w:sz w:val="18"/>
          <w:szCs w:val="22"/>
        </w:rPr>
      </w:pPr>
      <w:r w:rsidRPr="00AE3438">
        <w:rPr>
          <w:rFonts w:ascii="Arial Narrow" w:hAnsi="Arial Narrow"/>
          <w:snapToGrid w:val="0"/>
          <w:sz w:val="18"/>
          <w:szCs w:val="22"/>
        </w:rPr>
        <w:t>Source: Table 3.38, p215 of the submission.</w:t>
      </w:r>
    </w:p>
    <w:p w14:paraId="3C18C0D3" w14:textId="46723F22" w:rsidR="00B75142" w:rsidRDefault="00B75142" w:rsidP="00B75142">
      <w:pPr>
        <w:spacing w:after="120"/>
        <w:contextualSpacing/>
        <w:rPr>
          <w:rFonts w:ascii="Arial Narrow" w:hAnsi="Arial Narrow"/>
          <w:snapToGrid w:val="0"/>
          <w:sz w:val="18"/>
          <w:szCs w:val="22"/>
        </w:rPr>
      </w:pPr>
      <w:r w:rsidRPr="00AE3438">
        <w:rPr>
          <w:rFonts w:ascii="Arial Narrow" w:hAnsi="Arial Narrow"/>
          <w:snapToGrid w:val="0"/>
          <w:sz w:val="18"/>
          <w:szCs w:val="22"/>
        </w:rPr>
        <w:t>SMN = survival of motor neurone.</w:t>
      </w:r>
    </w:p>
    <w:p w14:paraId="4370CDD6" w14:textId="77777777" w:rsidR="007B3BD3" w:rsidRPr="009A6D58" w:rsidRDefault="007B3BD3" w:rsidP="007B3BD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9955C30" w14:textId="0153DBD3" w:rsidR="007B3BD3" w:rsidRPr="009A6D58" w:rsidRDefault="007B3BD3" w:rsidP="007B3BD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B3BD3">
        <w:rPr>
          <w:rFonts w:ascii="Arial Narrow" w:hAnsi="Arial Narrow"/>
          <w:i/>
          <w:sz w:val="18"/>
          <w:szCs w:val="18"/>
        </w:rPr>
        <w:t>$95,000 to &lt; $115,000</w:t>
      </w:r>
    </w:p>
    <w:p w14:paraId="0E610ECA" w14:textId="06B0CBF3" w:rsidR="00893271" w:rsidRPr="009A65A9" w:rsidRDefault="007B3BD3" w:rsidP="009A65A9">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B3BD3">
        <w:rPr>
          <w:rFonts w:ascii="Arial Narrow" w:hAnsi="Arial Narrow"/>
          <w:i/>
          <w:sz w:val="18"/>
          <w:szCs w:val="18"/>
        </w:rPr>
        <w:t>&gt; $1,055,000</w:t>
      </w:r>
    </w:p>
    <w:p w14:paraId="1CAA2F47" w14:textId="3225896D" w:rsidR="00B75142" w:rsidRPr="00E57876" w:rsidRDefault="00B75142" w:rsidP="00E57876">
      <w:pPr>
        <w:numPr>
          <w:ilvl w:val="1"/>
          <w:numId w:val="1"/>
        </w:numPr>
        <w:tabs>
          <w:tab w:val="left" w:pos="5954"/>
        </w:tabs>
        <w:spacing w:after="120"/>
        <w:rPr>
          <w:rFonts w:asciiTheme="minorHAnsi" w:hAnsiTheme="minorHAnsi"/>
          <w:snapToGrid w:val="0"/>
          <w:sz w:val="20"/>
        </w:rPr>
      </w:pPr>
      <w:r w:rsidRPr="00AE3438">
        <w:rPr>
          <w:rFonts w:asciiTheme="minorHAnsi" w:hAnsiTheme="minorHAnsi" w:cstheme="minorHAnsi"/>
          <w:snapToGrid w:val="0"/>
        </w:rPr>
        <w:fldChar w:fldCharType="begin"/>
      </w:r>
      <w:r w:rsidRPr="00AE3438">
        <w:rPr>
          <w:rFonts w:asciiTheme="minorHAnsi" w:hAnsiTheme="minorHAnsi" w:cstheme="minorHAnsi"/>
          <w:snapToGrid w:val="0"/>
        </w:rPr>
        <w:instrText xml:space="preserve"> REF _Ref113134053 \h  \* MERGEFORMAT </w:instrText>
      </w:r>
      <w:r w:rsidRPr="00AE3438">
        <w:rPr>
          <w:rFonts w:asciiTheme="minorHAnsi" w:hAnsiTheme="minorHAnsi" w:cstheme="minorHAnsi"/>
          <w:snapToGrid w:val="0"/>
        </w:rPr>
      </w:r>
      <w:r w:rsidRPr="00AE3438">
        <w:rPr>
          <w:rFonts w:asciiTheme="minorHAnsi" w:hAnsiTheme="minorHAnsi" w:cstheme="minorHAnsi"/>
          <w:snapToGrid w:val="0"/>
        </w:rPr>
        <w:fldChar w:fldCharType="separate"/>
      </w:r>
      <w:r w:rsidR="008E4E26" w:rsidRPr="008E4E26">
        <w:rPr>
          <w:rFonts w:asciiTheme="minorHAnsi" w:hAnsiTheme="minorHAnsi" w:cstheme="minorHAnsi"/>
          <w:snapToGrid w:val="0"/>
        </w:rPr>
        <w:t>Table 12</w:t>
      </w:r>
      <w:r w:rsidRPr="00AE3438">
        <w:rPr>
          <w:rFonts w:asciiTheme="minorHAnsi" w:hAnsiTheme="minorHAnsi" w:cstheme="minorHAnsi"/>
          <w:snapToGrid w:val="0"/>
        </w:rPr>
        <w:fldChar w:fldCharType="end"/>
      </w:r>
      <w:r w:rsidRPr="00AE3438">
        <w:rPr>
          <w:rFonts w:cs="Calibri"/>
          <w:snapToGrid w:val="0"/>
        </w:rPr>
        <w:t xml:space="preserve"> </w:t>
      </w:r>
      <w:r w:rsidRPr="00AE3438">
        <w:rPr>
          <w:rFonts w:asciiTheme="minorHAnsi" w:hAnsiTheme="minorHAnsi"/>
          <w:snapToGrid w:val="0"/>
        </w:rPr>
        <w:t>summ</w:t>
      </w:r>
      <w:r w:rsidRPr="00E57876">
        <w:rPr>
          <w:rFonts w:asciiTheme="minorHAnsi" w:hAnsiTheme="minorHAnsi"/>
          <w:snapToGrid w:val="0"/>
        </w:rPr>
        <w:t>arises ICERs of the proposed scenario versus each SMA Type in status quo.</w:t>
      </w:r>
    </w:p>
    <w:p w14:paraId="47E47B5A" w14:textId="62DEC2AD" w:rsidR="00B75142" w:rsidRPr="00AE3438" w:rsidRDefault="00B75142" w:rsidP="00893271">
      <w:pPr>
        <w:keepNext/>
        <w:keepLines/>
        <w:rPr>
          <w:rFonts w:ascii="Arial Narrow" w:hAnsi="Arial Narrow"/>
          <w:b/>
          <w:bCs/>
          <w:sz w:val="20"/>
        </w:rPr>
      </w:pPr>
      <w:bookmarkStart w:id="70" w:name="_Ref113134053"/>
      <w:r w:rsidRPr="00AE3438">
        <w:rPr>
          <w:rFonts w:ascii="Arial Narrow" w:hAnsi="Arial Narrow"/>
          <w:b/>
          <w:bCs/>
          <w:sz w:val="20"/>
        </w:rPr>
        <w:t xml:space="preserve">Table </w:t>
      </w:r>
      <w:r w:rsidRPr="00AE3438">
        <w:rPr>
          <w:rFonts w:ascii="Arial Narrow" w:hAnsi="Arial Narrow"/>
          <w:b/>
          <w:bCs/>
          <w:sz w:val="20"/>
        </w:rPr>
        <w:fldChar w:fldCharType="begin"/>
      </w:r>
      <w:r w:rsidRPr="00AE3438">
        <w:rPr>
          <w:rFonts w:ascii="Arial Narrow" w:hAnsi="Arial Narrow"/>
          <w:b/>
          <w:bCs/>
          <w:sz w:val="20"/>
        </w:rPr>
        <w:instrText xml:space="preserve"> SEQ Table \* ARABIC </w:instrText>
      </w:r>
      <w:r w:rsidRPr="00AE3438">
        <w:rPr>
          <w:rFonts w:ascii="Arial Narrow" w:hAnsi="Arial Narrow"/>
          <w:b/>
          <w:bCs/>
          <w:sz w:val="20"/>
        </w:rPr>
        <w:fldChar w:fldCharType="separate"/>
      </w:r>
      <w:r w:rsidR="008E4E26">
        <w:rPr>
          <w:rFonts w:ascii="Arial Narrow" w:hAnsi="Arial Narrow"/>
          <w:b/>
          <w:bCs/>
          <w:noProof/>
          <w:sz w:val="20"/>
        </w:rPr>
        <w:t>12</w:t>
      </w:r>
      <w:r w:rsidRPr="00AE3438">
        <w:rPr>
          <w:rFonts w:ascii="Arial Narrow" w:hAnsi="Arial Narrow"/>
          <w:b/>
          <w:bCs/>
          <w:sz w:val="20"/>
        </w:rPr>
        <w:fldChar w:fldCharType="end"/>
      </w:r>
      <w:bookmarkEnd w:id="70"/>
      <w:r w:rsidRPr="00AE3438">
        <w:rPr>
          <w:rFonts w:ascii="Arial Narrow" w:hAnsi="Arial Narrow"/>
          <w:b/>
          <w:bCs/>
          <w:sz w:val="20"/>
        </w:rPr>
        <w:t>: Disaggregated summary ICER of the proposed scenario versus each SMA Type in status quo.</w:t>
      </w:r>
    </w:p>
    <w:tbl>
      <w:tblPr>
        <w:tblStyle w:val="TableGrid"/>
        <w:tblW w:w="9017" w:type="dxa"/>
        <w:tblCellMar>
          <w:left w:w="28" w:type="dxa"/>
          <w:right w:w="28" w:type="dxa"/>
        </w:tblCellMar>
        <w:tblLook w:val="04A0" w:firstRow="1" w:lastRow="0" w:firstColumn="1" w:lastColumn="0" w:noHBand="0" w:noVBand="1"/>
      </w:tblPr>
      <w:tblGrid>
        <w:gridCol w:w="1154"/>
        <w:gridCol w:w="859"/>
        <w:gridCol w:w="649"/>
        <w:gridCol w:w="741"/>
        <w:gridCol w:w="947"/>
        <w:gridCol w:w="1040"/>
        <w:gridCol w:w="1040"/>
        <w:gridCol w:w="1739"/>
        <w:gridCol w:w="848"/>
      </w:tblGrid>
      <w:tr w:rsidR="00B75142" w:rsidRPr="00AE3438" w14:paraId="16037119" w14:textId="77777777" w:rsidTr="00F66267">
        <w:tc>
          <w:tcPr>
            <w:tcW w:w="1161" w:type="dxa"/>
            <w:vAlign w:val="center"/>
          </w:tcPr>
          <w:p w14:paraId="235D0D41" w14:textId="77777777" w:rsidR="00B75142" w:rsidRPr="00AE3438" w:rsidRDefault="00B75142" w:rsidP="00893271">
            <w:pPr>
              <w:keepNext/>
              <w:keepLines/>
              <w:jc w:val="left"/>
              <w:rPr>
                <w:rFonts w:ascii="Arial Narrow" w:hAnsi="Arial Narrow"/>
                <w:b/>
                <w:bCs/>
                <w:sz w:val="20"/>
                <w:szCs w:val="20"/>
              </w:rPr>
            </w:pPr>
            <w:r w:rsidRPr="00AE3438">
              <w:rPr>
                <w:rFonts w:ascii="Arial Narrow" w:hAnsi="Arial Narrow"/>
                <w:b/>
                <w:bCs/>
                <w:sz w:val="20"/>
                <w:szCs w:val="20"/>
              </w:rPr>
              <w:t>Type</w:t>
            </w:r>
          </w:p>
        </w:tc>
        <w:tc>
          <w:tcPr>
            <w:tcW w:w="877" w:type="dxa"/>
            <w:vAlign w:val="center"/>
          </w:tcPr>
          <w:p w14:paraId="43D23D1F" w14:textId="03F0B2FD" w:rsidR="00B75142" w:rsidRPr="00AE3438" w:rsidRDefault="00B75142" w:rsidP="00893271">
            <w:pPr>
              <w:keepNext/>
              <w:keepLines/>
              <w:jc w:val="center"/>
              <w:rPr>
                <w:rFonts w:ascii="Arial Narrow" w:hAnsi="Arial Narrow"/>
                <w:b/>
                <w:bCs/>
                <w:sz w:val="20"/>
                <w:szCs w:val="20"/>
              </w:rPr>
            </w:pPr>
            <w:r w:rsidRPr="00AE3438">
              <w:rPr>
                <w:rFonts w:ascii="Arial Narrow" w:hAnsi="Arial Narrow"/>
                <w:b/>
                <w:bCs/>
                <w:sz w:val="20"/>
                <w:szCs w:val="20"/>
              </w:rPr>
              <w:t>Drug cost</w:t>
            </w:r>
            <w:r w:rsidR="00F66267">
              <w:rPr>
                <w:rFonts w:ascii="Arial Narrow" w:hAnsi="Arial Narrow"/>
                <w:b/>
                <w:bCs/>
                <w:sz w:val="20"/>
                <w:szCs w:val="20"/>
              </w:rPr>
              <w:t xml:space="preserve"> ($)</w:t>
            </w:r>
          </w:p>
        </w:tc>
        <w:tc>
          <w:tcPr>
            <w:tcW w:w="649" w:type="dxa"/>
            <w:vAlign w:val="center"/>
          </w:tcPr>
          <w:p w14:paraId="737FA52D" w14:textId="77777777" w:rsidR="00B75142" w:rsidRPr="00AE3438" w:rsidRDefault="00B75142" w:rsidP="00893271">
            <w:pPr>
              <w:keepNext/>
              <w:keepLines/>
              <w:jc w:val="center"/>
              <w:rPr>
                <w:rFonts w:ascii="Arial Narrow" w:hAnsi="Arial Narrow"/>
                <w:b/>
                <w:bCs/>
                <w:sz w:val="20"/>
                <w:szCs w:val="20"/>
              </w:rPr>
            </w:pPr>
            <w:r w:rsidRPr="00AE3438">
              <w:rPr>
                <w:rFonts w:ascii="Arial Narrow" w:hAnsi="Arial Narrow"/>
                <w:b/>
                <w:bCs/>
                <w:sz w:val="20"/>
                <w:szCs w:val="20"/>
              </w:rPr>
              <w:t>Admin costs</w:t>
            </w:r>
          </w:p>
        </w:tc>
        <w:tc>
          <w:tcPr>
            <w:tcW w:w="741" w:type="dxa"/>
            <w:vAlign w:val="center"/>
          </w:tcPr>
          <w:p w14:paraId="02F0A42A" w14:textId="77777777" w:rsidR="00B75142" w:rsidRPr="00AE3438" w:rsidRDefault="00B75142" w:rsidP="00893271">
            <w:pPr>
              <w:keepNext/>
              <w:keepLines/>
              <w:jc w:val="center"/>
              <w:rPr>
                <w:rFonts w:ascii="Arial Narrow" w:hAnsi="Arial Narrow"/>
                <w:b/>
                <w:bCs/>
                <w:sz w:val="20"/>
                <w:szCs w:val="20"/>
              </w:rPr>
            </w:pPr>
            <w:r w:rsidRPr="00AE3438">
              <w:rPr>
                <w:rFonts w:ascii="Arial Narrow" w:hAnsi="Arial Narrow"/>
                <w:b/>
                <w:bCs/>
                <w:sz w:val="20"/>
                <w:szCs w:val="20"/>
              </w:rPr>
              <w:t>Medical costs</w:t>
            </w:r>
          </w:p>
        </w:tc>
        <w:tc>
          <w:tcPr>
            <w:tcW w:w="962" w:type="dxa"/>
            <w:vAlign w:val="center"/>
          </w:tcPr>
          <w:p w14:paraId="64D699A0" w14:textId="1C8219AB" w:rsidR="00B75142" w:rsidRPr="00AE3438" w:rsidRDefault="00B75142" w:rsidP="00893271">
            <w:pPr>
              <w:keepNext/>
              <w:keepLines/>
              <w:jc w:val="center"/>
              <w:rPr>
                <w:rFonts w:ascii="Arial Narrow" w:hAnsi="Arial Narrow"/>
                <w:b/>
                <w:bCs/>
                <w:sz w:val="20"/>
                <w:szCs w:val="20"/>
              </w:rPr>
            </w:pPr>
            <w:r w:rsidRPr="00AE3438">
              <w:rPr>
                <w:rFonts w:ascii="Arial Narrow" w:hAnsi="Arial Narrow"/>
                <w:b/>
                <w:bCs/>
                <w:sz w:val="20"/>
                <w:szCs w:val="20"/>
              </w:rPr>
              <w:t>Total Cost / patient</w:t>
            </w:r>
            <w:r w:rsidR="00F66267">
              <w:rPr>
                <w:rFonts w:ascii="Arial Narrow" w:hAnsi="Arial Narrow"/>
                <w:b/>
                <w:bCs/>
                <w:sz w:val="20"/>
                <w:szCs w:val="20"/>
              </w:rPr>
              <w:t xml:space="preserve"> ($)</w:t>
            </w:r>
          </w:p>
        </w:tc>
        <w:tc>
          <w:tcPr>
            <w:tcW w:w="955" w:type="dxa"/>
            <w:vAlign w:val="center"/>
          </w:tcPr>
          <w:p w14:paraId="17D07C13" w14:textId="77777777" w:rsidR="00B75142" w:rsidRPr="00AE3438" w:rsidRDefault="00B75142" w:rsidP="00893271">
            <w:pPr>
              <w:keepNext/>
              <w:keepLines/>
              <w:jc w:val="center"/>
              <w:rPr>
                <w:rFonts w:ascii="Arial Narrow" w:hAnsi="Arial Narrow"/>
                <w:b/>
                <w:bCs/>
                <w:sz w:val="20"/>
                <w:szCs w:val="20"/>
              </w:rPr>
            </w:pPr>
            <w:r w:rsidRPr="00AE3438">
              <w:rPr>
                <w:rFonts w:ascii="Arial Narrow" w:hAnsi="Arial Narrow"/>
                <w:b/>
                <w:bCs/>
                <w:sz w:val="20"/>
                <w:szCs w:val="20"/>
              </w:rPr>
              <w:t>LYs (discounted)</w:t>
            </w:r>
          </w:p>
        </w:tc>
        <w:tc>
          <w:tcPr>
            <w:tcW w:w="1040" w:type="dxa"/>
            <w:vAlign w:val="center"/>
          </w:tcPr>
          <w:p w14:paraId="3434B36E" w14:textId="77777777" w:rsidR="00B75142" w:rsidRPr="00AE3438" w:rsidRDefault="00B75142" w:rsidP="00893271">
            <w:pPr>
              <w:keepNext/>
              <w:keepLines/>
              <w:jc w:val="center"/>
              <w:rPr>
                <w:rFonts w:ascii="Arial Narrow" w:hAnsi="Arial Narrow"/>
                <w:b/>
                <w:bCs/>
                <w:sz w:val="20"/>
                <w:szCs w:val="20"/>
              </w:rPr>
            </w:pPr>
            <w:r w:rsidRPr="00AE3438">
              <w:rPr>
                <w:rFonts w:ascii="Arial Narrow" w:hAnsi="Arial Narrow"/>
                <w:b/>
                <w:bCs/>
                <w:sz w:val="20"/>
                <w:szCs w:val="20"/>
              </w:rPr>
              <w:t>QALYs (discounted)</w:t>
            </w:r>
          </w:p>
        </w:tc>
        <w:tc>
          <w:tcPr>
            <w:tcW w:w="1780" w:type="dxa"/>
            <w:vAlign w:val="center"/>
          </w:tcPr>
          <w:p w14:paraId="64D44439" w14:textId="77777777" w:rsidR="00B75142" w:rsidRPr="00AE3438" w:rsidRDefault="00B75142" w:rsidP="00893271">
            <w:pPr>
              <w:keepNext/>
              <w:keepLines/>
              <w:jc w:val="center"/>
              <w:rPr>
                <w:rFonts w:ascii="Arial Narrow" w:hAnsi="Arial Narrow"/>
                <w:b/>
                <w:bCs/>
                <w:sz w:val="20"/>
                <w:szCs w:val="20"/>
              </w:rPr>
            </w:pPr>
            <w:r w:rsidRPr="00AE3438">
              <w:rPr>
                <w:rFonts w:ascii="Arial Narrow" w:hAnsi="Arial Narrow"/>
                <w:b/>
                <w:bCs/>
                <w:sz w:val="20"/>
                <w:szCs w:val="20"/>
              </w:rPr>
              <w:t xml:space="preserve">ICER ($/QALY) </w:t>
            </w:r>
          </w:p>
          <w:p w14:paraId="3E4A2090" w14:textId="77777777" w:rsidR="00B75142" w:rsidRPr="00AE3438" w:rsidRDefault="00B75142" w:rsidP="00893271">
            <w:pPr>
              <w:keepNext/>
              <w:keepLines/>
              <w:jc w:val="center"/>
              <w:rPr>
                <w:rFonts w:ascii="Arial Narrow" w:hAnsi="Arial Narrow"/>
                <w:b/>
                <w:bCs/>
                <w:sz w:val="20"/>
                <w:szCs w:val="20"/>
              </w:rPr>
            </w:pPr>
          </w:p>
        </w:tc>
        <w:tc>
          <w:tcPr>
            <w:tcW w:w="852" w:type="dxa"/>
          </w:tcPr>
          <w:p w14:paraId="3CD016B2" w14:textId="77777777" w:rsidR="00B75142" w:rsidRPr="00AE3438" w:rsidRDefault="00B75142" w:rsidP="00893271">
            <w:pPr>
              <w:keepNext/>
              <w:keepLines/>
              <w:jc w:val="center"/>
              <w:rPr>
                <w:rFonts w:ascii="Arial Narrow" w:hAnsi="Arial Narrow"/>
                <w:b/>
                <w:bCs/>
                <w:sz w:val="20"/>
                <w:szCs w:val="20"/>
              </w:rPr>
            </w:pPr>
            <w:r w:rsidRPr="00AE3438">
              <w:rPr>
                <w:rFonts w:ascii="Arial Narrow" w:hAnsi="Arial Narrow"/>
                <w:b/>
                <w:bCs/>
                <w:sz w:val="20"/>
                <w:szCs w:val="20"/>
              </w:rPr>
              <w:t>CE plane quadrant</w:t>
            </w:r>
          </w:p>
        </w:tc>
      </w:tr>
      <w:tr w:rsidR="00B75142" w:rsidRPr="00AE3438" w14:paraId="6FE1759A" w14:textId="77777777" w:rsidTr="00F66267">
        <w:tc>
          <w:tcPr>
            <w:tcW w:w="8165" w:type="dxa"/>
            <w:gridSpan w:val="8"/>
            <w:vAlign w:val="center"/>
          </w:tcPr>
          <w:p w14:paraId="1D169C08" w14:textId="77777777" w:rsidR="00B75142" w:rsidRPr="00AE3438" w:rsidRDefault="00B75142" w:rsidP="00893271">
            <w:pPr>
              <w:keepNext/>
              <w:keepLines/>
              <w:jc w:val="left"/>
              <w:rPr>
                <w:rFonts w:ascii="Arial Narrow" w:hAnsi="Arial Narrow"/>
                <w:b/>
                <w:bCs/>
                <w:sz w:val="20"/>
                <w:szCs w:val="20"/>
              </w:rPr>
            </w:pPr>
            <w:r w:rsidRPr="00AE3438">
              <w:rPr>
                <w:rFonts w:ascii="Arial Narrow" w:hAnsi="Arial Narrow"/>
                <w:b/>
                <w:bCs/>
                <w:sz w:val="20"/>
                <w:szCs w:val="20"/>
              </w:rPr>
              <w:t>Proposed scenario</w:t>
            </w:r>
          </w:p>
        </w:tc>
        <w:tc>
          <w:tcPr>
            <w:tcW w:w="852" w:type="dxa"/>
          </w:tcPr>
          <w:p w14:paraId="076CB17B" w14:textId="77777777" w:rsidR="00B75142" w:rsidRPr="00AE3438" w:rsidRDefault="00B75142" w:rsidP="00893271">
            <w:pPr>
              <w:keepNext/>
              <w:keepLines/>
              <w:jc w:val="left"/>
              <w:rPr>
                <w:rFonts w:ascii="Arial Narrow" w:hAnsi="Arial Narrow"/>
                <w:b/>
                <w:bCs/>
                <w:sz w:val="20"/>
                <w:szCs w:val="20"/>
              </w:rPr>
            </w:pPr>
          </w:p>
        </w:tc>
      </w:tr>
      <w:tr w:rsidR="00B75142" w:rsidRPr="00AE3438" w14:paraId="3738940D" w14:textId="77777777" w:rsidTr="00284C02">
        <w:tc>
          <w:tcPr>
            <w:tcW w:w="1161" w:type="dxa"/>
          </w:tcPr>
          <w:p w14:paraId="37697E72" w14:textId="77777777" w:rsidR="00B75142" w:rsidRPr="00AE3438" w:rsidRDefault="00B75142" w:rsidP="00893271">
            <w:pPr>
              <w:keepNext/>
              <w:keepLines/>
              <w:rPr>
                <w:rFonts w:ascii="Arial Narrow" w:hAnsi="Arial Narrow"/>
                <w:sz w:val="20"/>
                <w:szCs w:val="20"/>
              </w:rPr>
            </w:pPr>
            <w:r w:rsidRPr="00AE3438">
              <w:rPr>
                <w:rFonts w:ascii="Arial Narrow" w:hAnsi="Arial Narrow"/>
                <w:sz w:val="20"/>
                <w:szCs w:val="20"/>
              </w:rPr>
              <w:t>Pre-symptomatic SMN2 3 copy*</w:t>
            </w:r>
          </w:p>
        </w:tc>
        <w:tc>
          <w:tcPr>
            <w:tcW w:w="877" w:type="dxa"/>
            <w:shd w:val="solid" w:color="000000" w:fill="000000"/>
            <w:vAlign w:val="center"/>
          </w:tcPr>
          <w:p w14:paraId="6524ABA9" w14:textId="6AC42FD0" w:rsidR="00B75142" w:rsidRPr="00284C02" w:rsidRDefault="00284C02" w:rsidP="00893271">
            <w:pPr>
              <w:keepNext/>
              <w:keepLines/>
              <w:jc w:val="center"/>
              <w:rPr>
                <w:rFonts w:ascii="Arial Narrow" w:hAnsi="Arial Narrow"/>
                <w:sz w:val="20"/>
                <w:szCs w:val="20"/>
              </w:rPr>
            </w:pPr>
            <w:r w:rsidRPr="009D1C84">
              <w:rPr>
                <w:rFonts w:ascii="Arial Narrow" w:hAnsi="Arial Narrow"/>
                <w:color w:val="000000"/>
                <w:spacing w:val="101"/>
                <w:sz w:val="20"/>
                <w:szCs w:val="20"/>
                <w:fitText w:val="187" w:id="-1305197563"/>
                <w14:textFill>
                  <w14:solidFill>
                    <w14:srgbClr w14:val="000000">
                      <w14:alpha w14:val="100000"/>
                    </w14:srgbClr>
                  </w14:solidFill>
                </w14:textFill>
              </w:rPr>
              <w:t>|</w:t>
            </w:r>
            <w:r w:rsidRPr="009D1C84">
              <w:rPr>
                <w:rFonts w:ascii="Arial Narrow" w:hAnsi="Arial Narrow"/>
                <w:color w:val="000000"/>
                <w:sz w:val="20"/>
                <w:szCs w:val="20"/>
                <w:fitText w:val="187" w:id="-1305197563"/>
                <w14:textFill>
                  <w14:solidFill>
                    <w14:srgbClr w14:val="000000">
                      <w14:alpha w14:val="100000"/>
                    </w14:srgbClr>
                  </w14:solidFill>
                </w14:textFill>
              </w:rPr>
              <w:t>|</w:t>
            </w:r>
          </w:p>
        </w:tc>
        <w:tc>
          <w:tcPr>
            <w:tcW w:w="649" w:type="dxa"/>
            <w:vAlign w:val="center"/>
          </w:tcPr>
          <w:p w14:paraId="4ADA60D7"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$2,222</w:t>
            </w:r>
          </w:p>
        </w:tc>
        <w:tc>
          <w:tcPr>
            <w:tcW w:w="741" w:type="dxa"/>
            <w:vAlign w:val="center"/>
          </w:tcPr>
          <w:p w14:paraId="36C1E7E8"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$176,045</w:t>
            </w:r>
          </w:p>
        </w:tc>
        <w:tc>
          <w:tcPr>
            <w:tcW w:w="962" w:type="dxa"/>
            <w:shd w:val="solid" w:color="000000" w:fill="000000"/>
            <w:vAlign w:val="center"/>
          </w:tcPr>
          <w:p w14:paraId="47EA73EA" w14:textId="0D9D1C68" w:rsidR="00B75142" w:rsidRPr="00284C02" w:rsidRDefault="00284C02" w:rsidP="00893271">
            <w:pPr>
              <w:keepNext/>
              <w:keepLines/>
              <w:jc w:val="center"/>
              <w:rPr>
                <w:rFonts w:ascii="Arial Narrow" w:hAnsi="Arial Narrow"/>
                <w:sz w:val="20"/>
                <w:szCs w:val="20"/>
              </w:rPr>
            </w:pPr>
            <w:r w:rsidRPr="009D1C84">
              <w:rPr>
                <w:rFonts w:ascii="Arial Narrow" w:hAnsi="Arial Narrow" w:hint="eastAsia"/>
                <w:color w:val="000000"/>
                <w:w w:val="33"/>
                <w:sz w:val="20"/>
                <w:szCs w:val="20"/>
                <w:fitText w:val="150" w:id="-1305197562"/>
                <w14:textFill>
                  <w14:solidFill>
                    <w14:srgbClr w14:val="000000">
                      <w14:alpha w14:val="100000"/>
                    </w14:srgbClr>
                  </w14:solidFill>
                </w14:textFill>
              </w:rPr>
              <w:t xml:space="preserve">　</w:t>
            </w:r>
            <w:r w:rsidRPr="009D1C84">
              <w:rPr>
                <w:rFonts w:ascii="Arial Narrow" w:hAnsi="Arial Narrow"/>
                <w:color w:val="000000"/>
                <w:w w:val="33"/>
                <w:sz w:val="20"/>
                <w:szCs w:val="20"/>
                <w:fitText w:val="150" w:id="-1305197562"/>
                <w14:textFill>
                  <w14:solidFill>
                    <w14:srgbClr w14:val="000000">
                      <w14:alpha w14:val="100000"/>
                    </w14:srgbClr>
                  </w14:solidFill>
                </w14:textFill>
              </w:rPr>
              <w:t>|</w:t>
            </w:r>
            <w:r w:rsidRPr="009D1C84">
              <w:rPr>
                <w:rFonts w:ascii="Arial Narrow" w:hAnsi="Arial Narrow" w:hint="eastAsia"/>
                <w:color w:val="000000"/>
                <w:spacing w:val="4"/>
                <w:w w:val="33"/>
                <w:sz w:val="20"/>
                <w:szCs w:val="20"/>
                <w:fitText w:val="150" w:id="-1305197562"/>
                <w14:textFill>
                  <w14:solidFill>
                    <w14:srgbClr w14:val="000000">
                      <w14:alpha w14:val="100000"/>
                    </w14:srgbClr>
                  </w14:solidFill>
                </w14:textFill>
              </w:rPr>
              <w:t xml:space="preserve">　</w:t>
            </w:r>
          </w:p>
        </w:tc>
        <w:tc>
          <w:tcPr>
            <w:tcW w:w="955" w:type="dxa"/>
            <w:vAlign w:val="center"/>
          </w:tcPr>
          <w:p w14:paraId="086DC089"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15.61</w:t>
            </w:r>
          </w:p>
        </w:tc>
        <w:tc>
          <w:tcPr>
            <w:tcW w:w="1040" w:type="dxa"/>
            <w:vAlign w:val="center"/>
          </w:tcPr>
          <w:p w14:paraId="75800A27"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14.21</w:t>
            </w:r>
          </w:p>
        </w:tc>
        <w:tc>
          <w:tcPr>
            <w:tcW w:w="1780" w:type="dxa"/>
            <w:vAlign w:val="center"/>
          </w:tcPr>
          <w:p w14:paraId="4C1277D3"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w:t>
            </w:r>
          </w:p>
        </w:tc>
        <w:tc>
          <w:tcPr>
            <w:tcW w:w="852" w:type="dxa"/>
            <w:vAlign w:val="center"/>
          </w:tcPr>
          <w:p w14:paraId="7B8BA4A7"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w:t>
            </w:r>
          </w:p>
        </w:tc>
      </w:tr>
      <w:tr w:rsidR="00B75142" w:rsidRPr="00AE3438" w14:paraId="10F2F782" w14:textId="77777777" w:rsidTr="00F66267">
        <w:tc>
          <w:tcPr>
            <w:tcW w:w="8165" w:type="dxa"/>
            <w:gridSpan w:val="8"/>
            <w:vAlign w:val="center"/>
          </w:tcPr>
          <w:p w14:paraId="10949A75" w14:textId="77777777" w:rsidR="00B75142" w:rsidRPr="00AE3438" w:rsidRDefault="00B75142" w:rsidP="00893271">
            <w:pPr>
              <w:keepNext/>
              <w:keepLines/>
              <w:jc w:val="left"/>
              <w:rPr>
                <w:rFonts w:ascii="Arial Narrow" w:hAnsi="Arial Narrow"/>
                <w:b/>
                <w:bCs/>
                <w:sz w:val="20"/>
                <w:szCs w:val="20"/>
              </w:rPr>
            </w:pPr>
            <w:r w:rsidRPr="00AE3438">
              <w:rPr>
                <w:rFonts w:ascii="Arial Narrow" w:hAnsi="Arial Narrow"/>
                <w:b/>
                <w:bCs/>
                <w:sz w:val="20"/>
                <w:szCs w:val="20"/>
              </w:rPr>
              <w:t>Status quo</w:t>
            </w:r>
          </w:p>
        </w:tc>
        <w:tc>
          <w:tcPr>
            <w:tcW w:w="852" w:type="dxa"/>
          </w:tcPr>
          <w:p w14:paraId="2FF624EA" w14:textId="77777777" w:rsidR="00B75142" w:rsidRPr="00AE3438" w:rsidRDefault="00B75142" w:rsidP="00893271">
            <w:pPr>
              <w:keepNext/>
              <w:keepLines/>
              <w:jc w:val="left"/>
              <w:rPr>
                <w:rFonts w:ascii="Arial Narrow" w:hAnsi="Arial Narrow"/>
                <w:b/>
                <w:bCs/>
                <w:sz w:val="20"/>
                <w:szCs w:val="20"/>
              </w:rPr>
            </w:pPr>
          </w:p>
        </w:tc>
      </w:tr>
      <w:tr w:rsidR="00B75142" w:rsidRPr="00AE3438" w14:paraId="6607A30D" w14:textId="77777777" w:rsidTr="00284C02">
        <w:tc>
          <w:tcPr>
            <w:tcW w:w="1161" w:type="dxa"/>
          </w:tcPr>
          <w:p w14:paraId="540DE92D" w14:textId="611725E2" w:rsidR="00B75142" w:rsidRPr="00F66267" w:rsidRDefault="00B75142" w:rsidP="00893271">
            <w:pPr>
              <w:keepNext/>
              <w:keepLines/>
              <w:rPr>
                <w:rFonts w:ascii="Arial Narrow" w:hAnsi="Arial Narrow"/>
                <w:sz w:val="20"/>
                <w:szCs w:val="20"/>
                <w:vertAlign w:val="superscript"/>
              </w:rPr>
            </w:pPr>
            <w:r w:rsidRPr="00AE3438">
              <w:rPr>
                <w:rFonts w:ascii="Arial Narrow" w:hAnsi="Arial Narrow"/>
                <w:sz w:val="20"/>
                <w:szCs w:val="20"/>
              </w:rPr>
              <w:t>Type I</w:t>
            </w:r>
          </w:p>
        </w:tc>
        <w:tc>
          <w:tcPr>
            <w:tcW w:w="877" w:type="dxa"/>
            <w:tcBorders>
              <w:bottom w:val="single" w:sz="4" w:space="0" w:color="auto"/>
            </w:tcBorders>
            <w:shd w:val="solid" w:color="000000" w:fill="000000"/>
            <w:vAlign w:val="center"/>
          </w:tcPr>
          <w:p w14:paraId="34B750F8" w14:textId="170E1AE8" w:rsidR="00B75142" w:rsidRPr="00284C02" w:rsidRDefault="00284C02" w:rsidP="00893271">
            <w:pPr>
              <w:keepNext/>
              <w:keepLines/>
              <w:jc w:val="center"/>
              <w:rPr>
                <w:rFonts w:ascii="Arial Narrow" w:hAnsi="Arial Narrow"/>
                <w:sz w:val="20"/>
                <w:szCs w:val="20"/>
              </w:rPr>
            </w:pPr>
            <w:r w:rsidRPr="00284C02">
              <w:rPr>
                <w:rFonts w:ascii="Arial Narrow" w:hAnsi="Arial Narrow"/>
                <w:color w:val="000000"/>
                <w:spacing w:val="101"/>
                <w:sz w:val="20"/>
                <w:szCs w:val="20"/>
                <w:fitText w:val="187" w:id="-1305197561"/>
                <w14:textFill>
                  <w14:solidFill>
                    <w14:srgbClr w14:val="000000">
                      <w14:alpha w14:val="100000"/>
                    </w14:srgbClr>
                  </w14:solidFill>
                </w14:textFill>
              </w:rPr>
              <w:t>|</w:t>
            </w:r>
            <w:r w:rsidRPr="00284C02">
              <w:rPr>
                <w:rFonts w:ascii="Arial Narrow" w:hAnsi="Arial Narrow"/>
                <w:color w:val="000000"/>
                <w:sz w:val="20"/>
                <w:szCs w:val="20"/>
                <w:fitText w:val="187" w:id="-1305197561"/>
                <w14:textFill>
                  <w14:solidFill>
                    <w14:srgbClr w14:val="000000">
                      <w14:alpha w14:val="100000"/>
                    </w14:srgbClr>
                  </w14:solidFill>
                </w14:textFill>
              </w:rPr>
              <w:t>|</w:t>
            </w:r>
          </w:p>
        </w:tc>
        <w:tc>
          <w:tcPr>
            <w:tcW w:w="649" w:type="dxa"/>
            <w:vAlign w:val="center"/>
          </w:tcPr>
          <w:p w14:paraId="77AA09F7"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$8,771</w:t>
            </w:r>
          </w:p>
        </w:tc>
        <w:tc>
          <w:tcPr>
            <w:tcW w:w="741" w:type="dxa"/>
            <w:vAlign w:val="center"/>
          </w:tcPr>
          <w:p w14:paraId="514D3AB2"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$779,294</w:t>
            </w:r>
          </w:p>
        </w:tc>
        <w:tc>
          <w:tcPr>
            <w:tcW w:w="962" w:type="dxa"/>
            <w:tcBorders>
              <w:bottom w:val="single" w:sz="4" w:space="0" w:color="auto"/>
            </w:tcBorders>
            <w:shd w:val="solid" w:color="000000" w:fill="000000"/>
            <w:vAlign w:val="center"/>
          </w:tcPr>
          <w:p w14:paraId="1AD1A325" w14:textId="1CD1A18D" w:rsidR="00B75142" w:rsidRPr="00284C02" w:rsidRDefault="00284C02" w:rsidP="00893271">
            <w:pPr>
              <w:keepNext/>
              <w:keepLines/>
              <w:jc w:val="center"/>
              <w:rPr>
                <w:rFonts w:ascii="Arial Narrow" w:hAnsi="Arial Narrow"/>
                <w:sz w:val="20"/>
                <w:szCs w:val="20"/>
              </w:rPr>
            </w:pPr>
            <w:r w:rsidRPr="009D1C84">
              <w:rPr>
                <w:rFonts w:ascii="Arial Narrow" w:hAnsi="Arial Narrow" w:hint="eastAsia"/>
                <w:color w:val="000000"/>
                <w:w w:val="33"/>
                <w:sz w:val="20"/>
                <w:szCs w:val="20"/>
                <w:fitText w:val="150" w:id="-1305197560"/>
                <w14:textFill>
                  <w14:solidFill>
                    <w14:srgbClr w14:val="000000">
                      <w14:alpha w14:val="100000"/>
                    </w14:srgbClr>
                  </w14:solidFill>
                </w14:textFill>
              </w:rPr>
              <w:t xml:space="preserve">　</w:t>
            </w:r>
            <w:r w:rsidRPr="009D1C84">
              <w:rPr>
                <w:rFonts w:ascii="Arial Narrow" w:hAnsi="Arial Narrow"/>
                <w:color w:val="000000"/>
                <w:w w:val="33"/>
                <w:sz w:val="20"/>
                <w:szCs w:val="20"/>
                <w:fitText w:val="150" w:id="-1305197560"/>
                <w14:textFill>
                  <w14:solidFill>
                    <w14:srgbClr w14:val="000000">
                      <w14:alpha w14:val="100000"/>
                    </w14:srgbClr>
                  </w14:solidFill>
                </w14:textFill>
              </w:rPr>
              <w:t>|</w:t>
            </w:r>
            <w:r w:rsidRPr="009D1C84">
              <w:rPr>
                <w:rFonts w:ascii="Arial Narrow" w:hAnsi="Arial Narrow" w:hint="eastAsia"/>
                <w:color w:val="000000"/>
                <w:spacing w:val="4"/>
                <w:w w:val="33"/>
                <w:sz w:val="20"/>
                <w:szCs w:val="20"/>
                <w:fitText w:val="150" w:id="-1305197560"/>
                <w14:textFill>
                  <w14:solidFill>
                    <w14:srgbClr w14:val="000000">
                      <w14:alpha w14:val="100000"/>
                    </w14:srgbClr>
                  </w14:solidFill>
                </w14:textFill>
              </w:rPr>
              <w:t xml:space="preserve">　</w:t>
            </w:r>
          </w:p>
        </w:tc>
        <w:tc>
          <w:tcPr>
            <w:tcW w:w="955" w:type="dxa"/>
            <w:vAlign w:val="center"/>
          </w:tcPr>
          <w:p w14:paraId="776C8C2B"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9.91</w:t>
            </w:r>
          </w:p>
        </w:tc>
        <w:tc>
          <w:tcPr>
            <w:tcW w:w="1040" w:type="dxa"/>
            <w:vAlign w:val="center"/>
          </w:tcPr>
          <w:p w14:paraId="1A4A43A3"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5.33</w:t>
            </w:r>
          </w:p>
        </w:tc>
        <w:tc>
          <w:tcPr>
            <w:tcW w:w="1780" w:type="dxa"/>
            <w:vAlign w:val="center"/>
          </w:tcPr>
          <w:p w14:paraId="6FA80D48"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Proposed strategy dominant</w:t>
            </w:r>
          </w:p>
        </w:tc>
        <w:tc>
          <w:tcPr>
            <w:tcW w:w="852" w:type="dxa"/>
          </w:tcPr>
          <w:p w14:paraId="1D12670A"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SE</w:t>
            </w:r>
          </w:p>
        </w:tc>
      </w:tr>
      <w:tr w:rsidR="00B75142" w:rsidRPr="00AE3438" w14:paraId="77E8E7C1" w14:textId="77777777" w:rsidTr="00284C02">
        <w:tc>
          <w:tcPr>
            <w:tcW w:w="1161" w:type="dxa"/>
          </w:tcPr>
          <w:p w14:paraId="4E07214F" w14:textId="77777777" w:rsidR="00B75142" w:rsidRPr="00AE3438" w:rsidRDefault="00B75142" w:rsidP="00893271">
            <w:pPr>
              <w:keepNext/>
              <w:keepLines/>
              <w:rPr>
                <w:rFonts w:ascii="Arial Narrow" w:hAnsi="Arial Narrow"/>
                <w:sz w:val="20"/>
                <w:szCs w:val="20"/>
              </w:rPr>
            </w:pPr>
            <w:r w:rsidRPr="00AE3438">
              <w:rPr>
                <w:rFonts w:ascii="Arial Narrow" w:hAnsi="Arial Narrow"/>
                <w:sz w:val="20"/>
                <w:szCs w:val="20"/>
              </w:rPr>
              <w:t>Type II</w:t>
            </w:r>
          </w:p>
        </w:tc>
        <w:tc>
          <w:tcPr>
            <w:tcW w:w="877" w:type="dxa"/>
            <w:tcBorders>
              <w:bottom w:val="single" w:sz="4" w:space="0" w:color="auto"/>
            </w:tcBorders>
            <w:shd w:val="solid" w:color="000000" w:fill="000000"/>
            <w:vAlign w:val="center"/>
          </w:tcPr>
          <w:p w14:paraId="0295A9A5" w14:textId="5012BAB6" w:rsidR="00B75142" w:rsidRPr="00284C02" w:rsidRDefault="00284C02" w:rsidP="00893271">
            <w:pPr>
              <w:keepNext/>
              <w:keepLines/>
              <w:jc w:val="center"/>
              <w:rPr>
                <w:rFonts w:ascii="Arial Narrow" w:hAnsi="Arial Narrow"/>
                <w:sz w:val="20"/>
                <w:szCs w:val="20"/>
              </w:rPr>
            </w:pPr>
            <w:r w:rsidRPr="009D1C84">
              <w:rPr>
                <w:rFonts w:ascii="Arial Narrow" w:hAnsi="Arial Narrow"/>
                <w:color w:val="000000"/>
                <w:spacing w:val="101"/>
                <w:sz w:val="20"/>
                <w:szCs w:val="20"/>
                <w:fitText w:val="187" w:id="-1305197559"/>
                <w14:textFill>
                  <w14:solidFill>
                    <w14:srgbClr w14:val="000000">
                      <w14:alpha w14:val="100000"/>
                    </w14:srgbClr>
                  </w14:solidFill>
                </w14:textFill>
              </w:rPr>
              <w:t>|</w:t>
            </w:r>
            <w:r w:rsidRPr="009D1C84">
              <w:rPr>
                <w:rFonts w:ascii="Arial Narrow" w:hAnsi="Arial Narrow"/>
                <w:color w:val="000000"/>
                <w:sz w:val="20"/>
                <w:szCs w:val="20"/>
                <w:fitText w:val="187" w:id="-1305197559"/>
                <w14:textFill>
                  <w14:solidFill>
                    <w14:srgbClr w14:val="000000">
                      <w14:alpha w14:val="100000"/>
                    </w14:srgbClr>
                  </w14:solidFill>
                </w14:textFill>
              </w:rPr>
              <w:t>|</w:t>
            </w:r>
          </w:p>
        </w:tc>
        <w:tc>
          <w:tcPr>
            <w:tcW w:w="649" w:type="dxa"/>
            <w:vAlign w:val="center"/>
          </w:tcPr>
          <w:p w14:paraId="4299DF88"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$9,471</w:t>
            </w:r>
          </w:p>
        </w:tc>
        <w:tc>
          <w:tcPr>
            <w:tcW w:w="741" w:type="dxa"/>
            <w:vAlign w:val="center"/>
          </w:tcPr>
          <w:p w14:paraId="24212DEA"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$765,471</w:t>
            </w:r>
          </w:p>
        </w:tc>
        <w:tc>
          <w:tcPr>
            <w:tcW w:w="962" w:type="dxa"/>
            <w:tcBorders>
              <w:bottom w:val="single" w:sz="4" w:space="0" w:color="auto"/>
            </w:tcBorders>
            <w:shd w:val="solid" w:color="000000" w:fill="000000"/>
            <w:vAlign w:val="center"/>
          </w:tcPr>
          <w:p w14:paraId="27EB3BC2" w14:textId="7A0518E2" w:rsidR="00B75142" w:rsidRPr="00284C02" w:rsidRDefault="00284C02" w:rsidP="00893271">
            <w:pPr>
              <w:keepNext/>
              <w:keepLines/>
              <w:jc w:val="center"/>
              <w:rPr>
                <w:rFonts w:ascii="Arial Narrow" w:hAnsi="Arial Narrow"/>
                <w:sz w:val="20"/>
                <w:szCs w:val="20"/>
              </w:rPr>
            </w:pPr>
            <w:r w:rsidRPr="009D1C84">
              <w:rPr>
                <w:rFonts w:ascii="Arial Narrow" w:hAnsi="Arial Narrow" w:hint="eastAsia"/>
                <w:color w:val="000000"/>
                <w:w w:val="33"/>
                <w:sz w:val="20"/>
                <w:szCs w:val="20"/>
                <w:fitText w:val="150" w:id="-1305197558"/>
                <w14:textFill>
                  <w14:solidFill>
                    <w14:srgbClr w14:val="000000">
                      <w14:alpha w14:val="100000"/>
                    </w14:srgbClr>
                  </w14:solidFill>
                </w14:textFill>
              </w:rPr>
              <w:t xml:space="preserve">　</w:t>
            </w:r>
            <w:r w:rsidRPr="009D1C84">
              <w:rPr>
                <w:rFonts w:ascii="Arial Narrow" w:hAnsi="Arial Narrow"/>
                <w:color w:val="000000"/>
                <w:w w:val="33"/>
                <w:sz w:val="20"/>
                <w:szCs w:val="20"/>
                <w:fitText w:val="150" w:id="-1305197558"/>
                <w14:textFill>
                  <w14:solidFill>
                    <w14:srgbClr w14:val="000000">
                      <w14:alpha w14:val="100000"/>
                    </w14:srgbClr>
                  </w14:solidFill>
                </w14:textFill>
              </w:rPr>
              <w:t>|</w:t>
            </w:r>
            <w:r w:rsidRPr="009D1C84">
              <w:rPr>
                <w:rFonts w:ascii="Arial Narrow" w:hAnsi="Arial Narrow" w:hint="eastAsia"/>
                <w:color w:val="000000"/>
                <w:spacing w:val="4"/>
                <w:w w:val="33"/>
                <w:sz w:val="20"/>
                <w:szCs w:val="20"/>
                <w:fitText w:val="150" w:id="-1305197558"/>
                <w14:textFill>
                  <w14:solidFill>
                    <w14:srgbClr w14:val="000000">
                      <w14:alpha w14:val="100000"/>
                    </w14:srgbClr>
                  </w14:solidFill>
                </w14:textFill>
              </w:rPr>
              <w:t xml:space="preserve">　</w:t>
            </w:r>
          </w:p>
        </w:tc>
        <w:tc>
          <w:tcPr>
            <w:tcW w:w="955" w:type="dxa"/>
            <w:vAlign w:val="center"/>
          </w:tcPr>
          <w:p w14:paraId="06603B7A"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14.48</w:t>
            </w:r>
          </w:p>
        </w:tc>
        <w:tc>
          <w:tcPr>
            <w:tcW w:w="1040" w:type="dxa"/>
            <w:vAlign w:val="center"/>
          </w:tcPr>
          <w:p w14:paraId="34D65B10"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9.01</w:t>
            </w:r>
          </w:p>
        </w:tc>
        <w:tc>
          <w:tcPr>
            <w:tcW w:w="1780" w:type="dxa"/>
            <w:vAlign w:val="center"/>
          </w:tcPr>
          <w:p w14:paraId="53782601"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Proposed strategy dominant</w:t>
            </w:r>
          </w:p>
        </w:tc>
        <w:tc>
          <w:tcPr>
            <w:tcW w:w="852" w:type="dxa"/>
          </w:tcPr>
          <w:p w14:paraId="4356E701"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SE</w:t>
            </w:r>
          </w:p>
        </w:tc>
      </w:tr>
      <w:tr w:rsidR="00B75142" w:rsidRPr="00AE3438" w14:paraId="2B51A0F1" w14:textId="77777777" w:rsidTr="00284C02">
        <w:tc>
          <w:tcPr>
            <w:tcW w:w="1161" w:type="dxa"/>
          </w:tcPr>
          <w:p w14:paraId="3D0FC183" w14:textId="77777777" w:rsidR="00B75142" w:rsidRPr="00AE3438" w:rsidRDefault="00B75142" w:rsidP="00893271">
            <w:pPr>
              <w:keepNext/>
              <w:keepLines/>
              <w:rPr>
                <w:rFonts w:ascii="Arial Narrow" w:hAnsi="Arial Narrow"/>
                <w:sz w:val="20"/>
                <w:szCs w:val="20"/>
              </w:rPr>
            </w:pPr>
            <w:r w:rsidRPr="00AE3438">
              <w:rPr>
                <w:rFonts w:ascii="Arial Narrow" w:hAnsi="Arial Narrow"/>
                <w:sz w:val="20"/>
                <w:szCs w:val="20"/>
              </w:rPr>
              <w:t>Type IIIa</w:t>
            </w:r>
          </w:p>
        </w:tc>
        <w:tc>
          <w:tcPr>
            <w:tcW w:w="877" w:type="dxa"/>
            <w:tcBorders>
              <w:bottom w:val="single" w:sz="4" w:space="0" w:color="auto"/>
            </w:tcBorders>
            <w:shd w:val="solid" w:color="000000" w:fill="000000"/>
            <w:vAlign w:val="center"/>
          </w:tcPr>
          <w:p w14:paraId="207F95BC" w14:textId="6EB06C11" w:rsidR="00B75142" w:rsidRPr="00284C02" w:rsidRDefault="00284C02" w:rsidP="00893271">
            <w:pPr>
              <w:keepNext/>
              <w:keepLines/>
              <w:jc w:val="center"/>
              <w:rPr>
                <w:rFonts w:ascii="Arial Narrow" w:hAnsi="Arial Narrow"/>
                <w:sz w:val="20"/>
                <w:szCs w:val="20"/>
              </w:rPr>
            </w:pPr>
            <w:r w:rsidRPr="00284C02">
              <w:rPr>
                <w:rFonts w:ascii="Arial Narrow" w:hAnsi="Arial Narrow"/>
                <w:color w:val="000000"/>
                <w:spacing w:val="101"/>
                <w:sz w:val="20"/>
                <w:szCs w:val="20"/>
                <w:fitText w:val="187" w:id="-1305197557"/>
                <w14:textFill>
                  <w14:solidFill>
                    <w14:srgbClr w14:val="000000">
                      <w14:alpha w14:val="100000"/>
                    </w14:srgbClr>
                  </w14:solidFill>
                </w14:textFill>
              </w:rPr>
              <w:t>|</w:t>
            </w:r>
            <w:r w:rsidRPr="00284C02">
              <w:rPr>
                <w:rFonts w:ascii="Arial Narrow" w:hAnsi="Arial Narrow"/>
                <w:color w:val="000000"/>
                <w:sz w:val="20"/>
                <w:szCs w:val="20"/>
                <w:fitText w:val="187" w:id="-1305197557"/>
                <w14:textFill>
                  <w14:solidFill>
                    <w14:srgbClr w14:val="000000">
                      <w14:alpha w14:val="100000"/>
                    </w14:srgbClr>
                  </w14:solidFill>
                </w14:textFill>
              </w:rPr>
              <w:t>|</w:t>
            </w:r>
          </w:p>
        </w:tc>
        <w:tc>
          <w:tcPr>
            <w:tcW w:w="649" w:type="dxa"/>
            <w:vAlign w:val="center"/>
          </w:tcPr>
          <w:p w14:paraId="59A00A4A"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$11,259</w:t>
            </w:r>
          </w:p>
        </w:tc>
        <w:tc>
          <w:tcPr>
            <w:tcW w:w="741" w:type="dxa"/>
            <w:vAlign w:val="center"/>
          </w:tcPr>
          <w:p w14:paraId="6BB78D2D"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$132,311</w:t>
            </w:r>
          </w:p>
        </w:tc>
        <w:tc>
          <w:tcPr>
            <w:tcW w:w="962" w:type="dxa"/>
            <w:tcBorders>
              <w:bottom w:val="single" w:sz="4" w:space="0" w:color="auto"/>
            </w:tcBorders>
            <w:shd w:val="solid" w:color="000000" w:fill="000000"/>
            <w:vAlign w:val="center"/>
          </w:tcPr>
          <w:p w14:paraId="7BAFDE72" w14:textId="4C4096A7" w:rsidR="00B75142" w:rsidRPr="00284C02" w:rsidRDefault="00284C02" w:rsidP="00893271">
            <w:pPr>
              <w:keepNext/>
              <w:keepLines/>
              <w:jc w:val="center"/>
              <w:rPr>
                <w:rFonts w:ascii="Arial Narrow" w:hAnsi="Arial Narrow"/>
                <w:sz w:val="20"/>
                <w:szCs w:val="20"/>
              </w:rPr>
            </w:pPr>
            <w:r w:rsidRPr="009D1C84">
              <w:rPr>
                <w:rFonts w:ascii="Arial Narrow" w:hAnsi="Arial Narrow" w:hint="eastAsia"/>
                <w:color w:val="000000"/>
                <w:w w:val="33"/>
                <w:sz w:val="20"/>
                <w:szCs w:val="20"/>
                <w:fitText w:val="150" w:id="-1305197556"/>
                <w14:textFill>
                  <w14:solidFill>
                    <w14:srgbClr w14:val="000000">
                      <w14:alpha w14:val="100000"/>
                    </w14:srgbClr>
                  </w14:solidFill>
                </w14:textFill>
              </w:rPr>
              <w:t xml:space="preserve">　</w:t>
            </w:r>
            <w:r w:rsidRPr="009D1C84">
              <w:rPr>
                <w:rFonts w:ascii="Arial Narrow" w:hAnsi="Arial Narrow"/>
                <w:color w:val="000000"/>
                <w:w w:val="33"/>
                <w:sz w:val="20"/>
                <w:szCs w:val="20"/>
                <w:fitText w:val="150" w:id="-1305197556"/>
                <w14:textFill>
                  <w14:solidFill>
                    <w14:srgbClr w14:val="000000">
                      <w14:alpha w14:val="100000"/>
                    </w14:srgbClr>
                  </w14:solidFill>
                </w14:textFill>
              </w:rPr>
              <w:t>|</w:t>
            </w:r>
            <w:r w:rsidRPr="009D1C84">
              <w:rPr>
                <w:rFonts w:ascii="Arial Narrow" w:hAnsi="Arial Narrow" w:hint="eastAsia"/>
                <w:color w:val="000000"/>
                <w:spacing w:val="4"/>
                <w:w w:val="33"/>
                <w:sz w:val="20"/>
                <w:szCs w:val="20"/>
                <w:fitText w:val="150" w:id="-1305197556"/>
                <w14:textFill>
                  <w14:solidFill>
                    <w14:srgbClr w14:val="000000">
                      <w14:alpha w14:val="100000"/>
                    </w14:srgbClr>
                  </w14:solidFill>
                </w14:textFill>
              </w:rPr>
              <w:t xml:space="preserve">　</w:t>
            </w:r>
          </w:p>
        </w:tc>
        <w:tc>
          <w:tcPr>
            <w:tcW w:w="955" w:type="dxa"/>
            <w:vAlign w:val="center"/>
          </w:tcPr>
          <w:p w14:paraId="24F5B938"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15.96</w:t>
            </w:r>
          </w:p>
        </w:tc>
        <w:tc>
          <w:tcPr>
            <w:tcW w:w="1040" w:type="dxa"/>
            <w:vAlign w:val="center"/>
          </w:tcPr>
          <w:p w14:paraId="01CF724A"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15.20</w:t>
            </w:r>
          </w:p>
        </w:tc>
        <w:tc>
          <w:tcPr>
            <w:tcW w:w="1780" w:type="dxa"/>
            <w:vAlign w:val="center"/>
          </w:tcPr>
          <w:p w14:paraId="0E60254D" w14:textId="0794E280" w:rsidR="00B75142" w:rsidRPr="00AE3438" w:rsidRDefault="00284C02" w:rsidP="00893271">
            <w:pPr>
              <w:keepNext/>
              <w:keepLines/>
              <w:jc w:val="center"/>
              <w:rPr>
                <w:rFonts w:ascii="Arial Narrow" w:hAnsi="Arial Narrow"/>
                <w:sz w:val="20"/>
                <w:szCs w:val="20"/>
              </w:rPr>
            </w:pPr>
            <w:r w:rsidRPr="00284C02">
              <w:rPr>
                <w:rFonts w:ascii="Arial Narrow" w:hAnsi="Arial Narrow"/>
                <w:color w:val="000000"/>
                <w:sz w:val="20"/>
                <w:szCs w:val="20"/>
                <w:shd w:val="solid" w:color="000000" w:fill="000000"/>
                <w14:textFill>
                  <w14:solidFill>
                    <w14:srgbClr w14:val="000000">
                      <w14:alpha w14:val="100000"/>
                    </w14:srgbClr>
                  </w14:solidFill>
                </w14:textFill>
              </w:rPr>
              <w:t>|</w:t>
            </w:r>
            <w:r w:rsidR="00F66267">
              <w:rPr>
                <w:rFonts w:ascii="Arial Narrow" w:hAnsi="Arial Narrow"/>
                <w:sz w:val="20"/>
                <w:szCs w:val="20"/>
                <w:vertAlign w:val="superscript"/>
              </w:rPr>
              <w:t>1</w:t>
            </w:r>
          </w:p>
          <w:p w14:paraId="1983B918"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Proposed strategy less effective and less costly</w:t>
            </w:r>
          </w:p>
        </w:tc>
        <w:tc>
          <w:tcPr>
            <w:tcW w:w="852" w:type="dxa"/>
          </w:tcPr>
          <w:p w14:paraId="6D608816"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SW</w:t>
            </w:r>
          </w:p>
        </w:tc>
      </w:tr>
      <w:tr w:rsidR="00B75142" w:rsidRPr="00AE3438" w14:paraId="29058FF5" w14:textId="77777777" w:rsidTr="00284C02">
        <w:tc>
          <w:tcPr>
            <w:tcW w:w="1161" w:type="dxa"/>
          </w:tcPr>
          <w:p w14:paraId="7597F538" w14:textId="77777777" w:rsidR="00B75142" w:rsidRPr="00AE3438" w:rsidRDefault="00B75142" w:rsidP="00893271">
            <w:pPr>
              <w:keepNext/>
              <w:keepLines/>
              <w:rPr>
                <w:rFonts w:ascii="Arial Narrow" w:hAnsi="Arial Narrow"/>
                <w:sz w:val="20"/>
                <w:szCs w:val="20"/>
              </w:rPr>
            </w:pPr>
            <w:r w:rsidRPr="00AE3438">
              <w:rPr>
                <w:rFonts w:ascii="Arial Narrow" w:hAnsi="Arial Narrow"/>
                <w:sz w:val="20"/>
                <w:szCs w:val="20"/>
              </w:rPr>
              <w:t>Type IIIb</w:t>
            </w:r>
          </w:p>
        </w:tc>
        <w:tc>
          <w:tcPr>
            <w:tcW w:w="877" w:type="dxa"/>
            <w:tcBorders>
              <w:bottom w:val="single" w:sz="4" w:space="0" w:color="auto"/>
            </w:tcBorders>
            <w:shd w:val="solid" w:color="000000" w:fill="000000"/>
            <w:vAlign w:val="center"/>
          </w:tcPr>
          <w:p w14:paraId="61A763F9" w14:textId="01798F9A" w:rsidR="00B75142" w:rsidRPr="00284C02" w:rsidRDefault="00284C02" w:rsidP="00893271">
            <w:pPr>
              <w:keepNext/>
              <w:keepLines/>
              <w:jc w:val="center"/>
              <w:rPr>
                <w:rFonts w:ascii="Arial Narrow" w:hAnsi="Arial Narrow"/>
                <w:sz w:val="20"/>
                <w:szCs w:val="20"/>
              </w:rPr>
            </w:pPr>
            <w:r w:rsidRPr="00284C02">
              <w:rPr>
                <w:rFonts w:ascii="Arial Narrow" w:hAnsi="Arial Narrow"/>
                <w:color w:val="000000"/>
                <w:spacing w:val="101"/>
                <w:sz w:val="20"/>
                <w:szCs w:val="20"/>
                <w:fitText w:val="187" w:id="-1305197555"/>
                <w14:textFill>
                  <w14:solidFill>
                    <w14:srgbClr w14:val="000000">
                      <w14:alpha w14:val="100000"/>
                    </w14:srgbClr>
                  </w14:solidFill>
                </w14:textFill>
              </w:rPr>
              <w:t>|</w:t>
            </w:r>
            <w:r w:rsidRPr="00284C02">
              <w:rPr>
                <w:rFonts w:ascii="Arial Narrow" w:hAnsi="Arial Narrow"/>
                <w:color w:val="000000"/>
                <w:sz w:val="20"/>
                <w:szCs w:val="20"/>
                <w:fitText w:val="187" w:id="-1305197555"/>
                <w14:textFill>
                  <w14:solidFill>
                    <w14:srgbClr w14:val="000000">
                      <w14:alpha w14:val="100000"/>
                    </w14:srgbClr>
                  </w14:solidFill>
                </w14:textFill>
              </w:rPr>
              <w:t>|</w:t>
            </w:r>
          </w:p>
        </w:tc>
        <w:tc>
          <w:tcPr>
            <w:tcW w:w="649" w:type="dxa"/>
            <w:vAlign w:val="center"/>
          </w:tcPr>
          <w:p w14:paraId="6DB32065"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$3,561</w:t>
            </w:r>
          </w:p>
        </w:tc>
        <w:tc>
          <w:tcPr>
            <w:tcW w:w="741" w:type="dxa"/>
            <w:vAlign w:val="center"/>
          </w:tcPr>
          <w:p w14:paraId="0BEEB3D6"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$121,708</w:t>
            </w:r>
          </w:p>
        </w:tc>
        <w:tc>
          <w:tcPr>
            <w:tcW w:w="962" w:type="dxa"/>
            <w:tcBorders>
              <w:bottom w:val="single" w:sz="4" w:space="0" w:color="auto"/>
            </w:tcBorders>
            <w:shd w:val="solid" w:color="000000" w:fill="000000"/>
            <w:vAlign w:val="center"/>
          </w:tcPr>
          <w:p w14:paraId="5F75D702" w14:textId="2407612C" w:rsidR="00B75142" w:rsidRPr="00284C02" w:rsidRDefault="00284C02" w:rsidP="00893271">
            <w:pPr>
              <w:keepNext/>
              <w:keepLines/>
              <w:jc w:val="center"/>
              <w:rPr>
                <w:rFonts w:ascii="Arial Narrow" w:hAnsi="Arial Narrow"/>
                <w:sz w:val="20"/>
                <w:szCs w:val="20"/>
              </w:rPr>
            </w:pPr>
            <w:r w:rsidRPr="009D1C84">
              <w:rPr>
                <w:rFonts w:ascii="Arial Narrow" w:hAnsi="Arial Narrow" w:hint="eastAsia"/>
                <w:color w:val="000000"/>
                <w:w w:val="33"/>
                <w:sz w:val="20"/>
                <w:szCs w:val="20"/>
                <w:fitText w:val="150" w:id="-1305197554"/>
                <w14:textFill>
                  <w14:solidFill>
                    <w14:srgbClr w14:val="000000">
                      <w14:alpha w14:val="100000"/>
                    </w14:srgbClr>
                  </w14:solidFill>
                </w14:textFill>
              </w:rPr>
              <w:t xml:space="preserve">　</w:t>
            </w:r>
            <w:r w:rsidRPr="009D1C84">
              <w:rPr>
                <w:rFonts w:ascii="Arial Narrow" w:hAnsi="Arial Narrow"/>
                <w:color w:val="000000"/>
                <w:w w:val="33"/>
                <w:sz w:val="20"/>
                <w:szCs w:val="20"/>
                <w:fitText w:val="150" w:id="-1305197554"/>
                <w14:textFill>
                  <w14:solidFill>
                    <w14:srgbClr w14:val="000000">
                      <w14:alpha w14:val="100000"/>
                    </w14:srgbClr>
                  </w14:solidFill>
                </w14:textFill>
              </w:rPr>
              <w:t>|</w:t>
            </w:r>
            <w:r w:rsidRPr="009D1C84">
              <w:rPr>
                <w:rFonts w:ascii="Arial Narrow" w:hAnsi="Arial Narrow" w:hint="eastAsia"/>
                <w:color w:val="000000"/>
                <w:spacing w:val="4"/>
                <w:w w:val="33"/>
                <w:sz w:val="20"/>
                <w:szCs w:val="20"/>
                <w:fitText w:val="150" w:id="-1305197554"/>
                <w14:textFill>
                  <w14:solidFill>
                    <w14:srgbClr w14:val="000000">
                      <w14:alpha w14:val="100000"/>
                    </w14:srgbClr>
                  </w14:solidFill>
                </w14:textFill>
              </w:rPr>
              <w:t xml:space="preserve">　</w:t>
            </w:r>
          </w:p>
        </w:tc>
        <w:tc>
          <w:tcPr>
            <w:tcW w:w="955" w:type="dxa"/>
            <w:vAlign w:val="center"/>
          </w:tcPr>
          <w:p w14:paraId="46C63F64"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15.96</w:t>
            </w:r>
          </w:p>
        </w:tc>
        <w:tc>
          <w:tcPr>
            <w:tcW w:w="1040" w:type="dxa"/>
            <w:vAlign w:val="center"/>
          </w:tcPr>
          <w:p w14:paraId="3E7ACD19"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15.20</w:t>
            </w:r>
          </w:p>
        </w:tc>
        <w:tc>
          <w:tcPr>
            <w:tcW w:w="1780" w:type="dxa"/>
            <w:vAlign w:val="center"/>
          </w:tcPr>
          <w:p w14:paraId="1223B58E"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Status quo dominant</w:t>
            </w:r>
          </w:p>
        </w:tc>
        <w:tc>
          <w:tcPr>
            <w:tcW w:w="852" w:type="dxa"/>
          </w:tcPr>
          <w:p w14:paraId="7EF8C75F"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NW</w:t>
            </w:r>
          </w:p>
        </w:tc>
      </w:tr>
      <w:tr w:rsidR="00B75142" w:rsidRPr="00AE3438" w14:paraId="53873F93" w14:textId="77777777" w:rsidTr="00284C02">
        <w:tc>
          <w:tcPr>
            <w:tcW w:w="1161" w:type="dxa"/>
          </w:tcPr>
          <w:p w14:paraId="55707B00" w14:textId="77777777" w:rsidR="00B75142" w:rsidRPr="00AE3438" w:rsidRDefault="00B75142" w:rsidP="00893271">
            <w:pPr>
              <w:keepNext/>
              <w:keepLines/>
              <w:jc w:val="right"/>
              <w:rPr>
                <w:rFonts w:ascii="Arial Narrow" w:hAnsi="Arial Narrow"/>
                <w:sz w:val="20"/>
                <w:szCs w:val="20"/>
              </w:rPr>
            </w:pPr>
            <w:r w:rsidRPr="00AE3438">
              <w:rPr>
                <w:rFonts w:ascii="Arial Narrow" w:hAnsi="Arial Narrow"/>
                <w:sz w:val="20"/>
                <w:szCs w:val="20"/>
              </w:rPr>
              <w:t>Weighted Average</w:t>
            </w:r>
          </w:p>
        </w:tc>
        <w:tc>
          <w:tcPr>
            <w:tcW w:w="877" w:type="dxa"/>
            <w:shd w:val="solid" w:color="000000" w:fill="000000"/>
            <w:vAlign w:val="center"/>
          </w:tcPr>
          <w:p w14:paraId="572B9666" w14:textId="1FAD7863" w:rsidR="00B75142" w:rsidRPr="00284C02" w:rsidRDefault="00284C02" w:rsidP="00893271">
            <w:pPr>
              <w:keepNext/>
              <w:keepLines/>
              <w:jc w:val="center"/>
              <w:rPr>
                <w:rFonts w:ascii="Arial Narrow" w:hAnsi="Arial Narrow"/>
                <w:sz w:val="20"/>
                <w:szCs w:val="20"/>
              </w:rPr>
            </w:pPr>
            <w:r w:rsidRPr="00284C02">
              <w:rPr>
                <w:rFonts w:ascii="Arial Narrow" w:hAnsi="Arial Narrow"/>
                <w:color w:val="000000"/>
                <w:spacing w:val="101"/>
                <w:sz w:val="20"/>
                <w:szCs w:val="20"/>
                <w:fitText w:val="187" w:id="-1305197553"/>
                <w14:textFill>
                  <w14:solidFill>
                    <w14:srgbClr w14:val="000000">
                      <w14:alpha w14:val="100000"/>
                    </w14:srgbClr>
                  </w14:solidFill>
                </w14:textFill>
              </w:rPr>
              <w:t>|</w:t>
            </w:r>
            <w:r w:rsidRPr="00284C02">
              <w:rPr>
                <w:rFonts w:ascii="Arial Narrow" w:hAnsi="Arial Narrow"/>
                <w:color w:val="000000"/>
                <w:sz w:val="20"/>
                <w:szCs w:val="20"/>
                <w:fitText w:val="187" w:id="-1305197553"/>
                <w14:textFill>
                  <w14:solidFill>
                    <w14:srgbClr w14:val="000000">
                      <w14:alpha w14:val="100000"/>
                    </w14:srgbClr>
                  </w14:solidFill>
                </w14:textFill>
              </w:rPr>
              <w:t>|</w:t>
            </w:r>
          </w:p>
        </w:tc>
        <w:tc>
          <w:tcPr>
            <w:tcW w:w="649" w:type="dxa"/>
            <w:vAlign w:val="center"/>
          </w:tcPr>
          <w:p w14:paraId="3E35BA5F"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$9,281</w:t>
            </w:r>
          </w:p>
        </w:tc>
        <w:tc>
          <w:tcPr>
            <w:tcW w:w="741" w:type="dxa"/>
            <w:vAlign w:val="center"/>
          </w:tcPr>
          <w:p w14:paraId="2E3B96E5"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$601,767</w:t>
            </w:r>
          </w:p>
        </w:tc>
        <w:tc>
          <w:tcPr>
            <w:tcW w:w="962" w:type="dxa"/>
            <w:shd w:val="solid" w:color="000000" w:fill="000000"/>
            <w:vAlign w:val="center"/>
          </w:tcPr>
          <w:p w14:paraId="3F189480" w14:textId="170D0B4E" w:rsidR="00B75142" w:rsidRPr="00284C02" w:rsidRDefault="00284C02" w:rsidP="00893271">
            <w:pPr>
              <w:keepNext/>
              <w:keepLines/>
              <w:jc w:val="center"/>
              <w:rPr>
                <w:rFonts w:ascii="Arial Narrow" w:hAnsi="Arial Narrow"/>
                <w:sz w:val="20"/>
                <w:szCs w:val="20"/>
              </w:rPr>
            </w:pPr>
            <w:r w:rsidRPr="009D1C84">
              <w:rPr>
                <w:rFonts w:ascii="Arial Narrow" w:hAnsi="Arial Narrow" w:hint="eastAsia"/>
                <w:color w:val="000000"/>
                <w:w w:val="33"/>
                <w:sz w:val="20"/>
                <w:szCs w:val="20"/>
                <w:fitText w:val="150" w:id="-1305197552"/>
                <w14:textFill>
                  <w14:solidFill>
                    <w14:srgbClr w14:val="000000">
                      <w14:alpha w14:val="100000"/>
                    </w14:srgbClr>
                  </w14:solidFill>
                </w14:textFill>
              </w:rPr>
              <w:t xml:space="preserve">　</w:t>
            </w:r>
            <w:r w:rsidRPr="009D1C84">
              <w:rPr>
                <w:rFonts w:ascii="Arial Narrow" w:hAnsi="Arial Narrow"/>
                <w:color w:val="000000"/>
                <w:w w:val="33"/>
                <w:sz w:val="20"/>
                <w:szCs w:val="20"/>
                <w:fitText w:val="150" w:id="-1305197552"/>
                <w14:textFill>
                  <w14:solidFill>
                    <w14:srgbClr w14:val="000000">
                      <w14:alpha w14:val="100000"/>
                    </w14:srgbClr>
                  </w14:solidFill>
                </w14:textFill>
              </w:rPr>
              <w:t>|</w:t>
            </w:r>
            <w:r w:rsidRPr="009D1C84">
              <w:rPr>
                <w:rFonts w:ascii="Arial Narrow" w:hAnsi="Arial Narrow" w:hint="eastAsia"/>
                <w:color w:val="000000"/>
                <w:spacing w:val="4"/>
                <w:w w:val="33"/>
                <w:sz w:val="20"/>
                <w:szCs w:val="20"/>
                <w:fitText w:val="150" w:id="-1305197552"/>
                <w14:textFill>
                  <w14:solidFill>
                    <w14:srgbClr w14:val="000000">
                      <w14:alpha w14:val="100000"/>
                    </w14:srgbClr>
                  </w14:solidFill>
                </w14:textFill>
              </w:rPr>
              <w:t xml:space="preserve">　</w:t>
            </w:r>
          </w:p>
        </w:tc>
        <w:tc>
          <w:tcPr>
            <w:tcW w:w="955" w:type="dxa"/>
            <w:vAlign w:val="center"/>
          </w:tcPr>
          <w:p w14:paraId="2D05CD04"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14.10</w:t>
            </w:r>
          </w:p>
        </w:tc>
        <w:tc>
          <w:tcPr>
            <w:tcW w:w="1040" w:type="dxa"/>
            <w:vAlign w:val="center"/>
          </w:tcPr>
          <w:p w14:paraId="5296D61D"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10.01</w:t>
            </w:r>
          </w:p>
        </w:tc>
        <w:tc>
          <w:tcPr>
            <w:tcW w:w="1780" w:type="dxa"/>
            <w:vAlign w:val="center"/>
          </w:tcPr>
          <w:p w14:paraId="5C52031F"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Proposed strategy dominant</w:t>
            </w:r>
          </w:p>
        </w:tc>
        <w:tc>
          <w:tcPr>
            <w:tcW w:w="852" w:type="dxa"/>
            <w:vAlign w:val="center"/>
          </w:tcPr>
          <w:p w14:paraId="514EB51F" w14:textId="77777777" w:rsidR="00B75142" w:rsidRPr="00AE3438" w:rsidRDefault="00B75142" w:rsidP="00893271">
            <w:pPr>
              <w:keepNext/>
              <w:keepLines/>
              <w:jc w:val="center"/>
              <w:rPr>
                <w:rFonts w:ascii="Arial Narrow" w:hAnsi="Arial Narrow"/>
                <w:sz w:val="20"/>
                <w:szCs w:val="20"/>
              </w:rPr>
            </w:pPr>
            <w:r w:rsidRPr="00AE3438">
              <w:rPr>
                <w:rFonts w:ascii="Arial Narrow" w:hAnsi="Arial Narrow"/>
                <w:sz w:val="20"/>
                <w:szCs w:val="20"/>
              </w:rPr>
              <w:t>SE</w:t>
            </w:r>
          </w:p>
        </w:tc>
      </w:tr>
    </w:tbl>
    <w:p w14:paraId="069ED807" w14:textId="77777777" w:rsidR="00B75142" w:rsidRPr="00AE3438" w:rsidRDefault="00B75142" w:rsidP="00893271">
      <w:pPr>
        <w:keepNext/>
        <w:keepLines/>
        <w:spacing w:after="120"/>
        <w:contextualSpacing/>
        <w:rPr>
          <w:rFonts w:ascii="Arial Narrow" w:hAnsi="Arial Narrow"/>
          <w:snapToGrid w:val="0"/>
          <w:sz w:val="18"/>
          <w:szCs w:val="22"/>
        </w:rPr>
      </w:pPr>
      <w:r w:rsidRPr="00AE3438">
        <w:rPr>
          <w:rFonts w:ascii="Arial Narrow" w:hAnsi="Arial Narrow"/>
          <w:snapToGrid w:val="0"/>
          <w:sz w:val="18"/>
          <w:szCs w:val="22"/>
        </w:rPr>
        <w:t>Source: generated during the evaluation using the submitted model Zolgensma_3copy_CUA.xlsx.</w:t>
      </w:r>
    </w:p>
    <w:p w14:paraId="3568EF6E" w14:textId="77777777" w:rsidR="00292503" w:rsidRPr="00AE3438" w:rsidRDefault="00B75142" w:rsidP="00893271">
      <w:pPr>
        <w:keepNext/>
        <w:keepLines/>
        <w:spacing w:after="120"/>
        <w:contextualSpacing/>
        <w:rPr>
          <w:rFonts w:ascii="Arial Narrow" w:hAnsi="Arial Narrow"/>
          <w:snapToGrid w:val="0"/>
          <w:sz w:val="18"/>
          <w:szCs w:val="22"/>
        </w:rPr>
      </w:pPr>
      <w:r w:rsidRPr="00AE3438">
        <w:rPr>
          <w:rFonts w:ascii="Arial Narrow" w:hAnsi="Arial Narrow"/>
          <w:snapToGrid w:val="0"/>
          <w:sz w:val="18"/>
          <w:szCs w:val="22"/>
        </w:rPr>
        <w:t>CE=cost effectiveness, NE=north east, SE=south east, SMA=spinal muscular atrophy, SW=south west</w:t>
      </w:r>
      <w:r w:rsidR="00292503" w:rsidRPr="00AE3438">
        <w:rPr>
          <w:rFonts w:ascii="Arial Narrow" w:hAnsi="Arial Narrow"/>
          <w:snapToGrid w:val="0"/>
          <w:sz w:val="18"/>
          <w:szCs w:val="22"/>
        </w:rPr>
        <w:t>.</w:t>
      </w:r>
    </w:p>
    <w:p w14:paraId="16D22E0E" w14:textId="4E5B04F2" w:rsidR="00B75142" w:rsidRDefault="00292503" w:rsidP="00893271">
      <w:pPr>
        <w:keepNext/>
        <w:keepLines/>
        <w:spacing w:after="120"/>
        <w:contextualSpacing/>
        <w:rPr>
          <w:rFonts w:ascii="Arial Narrow" w:hAnsi="Arial Narrow"/>
          <w:snapToGrid w:val="0"/>
          <w:sz w:val="18"/>
          <w:szCs w:val="22"/>
        </w:rPr>
      </w:pPr>
      <w:r w:rsidRPr="00AE3438">
        <w:rPr>
          <w:rFonts w:ascii="Arial Narrow" w:hAnsi="Arial Narrow"/>
          <w:snapToGrid w:val="0"/>
          <w:sz w:val="18"/>
          <w:szCs w:val="22"/>
        </w:rPr>
        <w:t>*</w:t>
      </w:r>
      <w:r w:rsidRPr="00AE3438">
        <w:rPr>
          <w:rFonts w:ascii="Arial Narrow" w:hAnsi="Arial Narrow"/>
          <w:snapToGrid w:val="0"/>
          <w:sz w:val="18"/>
          <w:szCs w:val="22"/>
        </w:rPr>
        <w:tab/>
        <w:t>Adjusting for test performance (diagnostic accuracy).</w:t>
      </w:r>
    </w:p>
    <w:p w14:paraId="7CBBD396" w14:textId="77777777" w:rsidR="00F66267" w:rsidRPr="009A6D58" w:rsidRDefault="00F66267" w:rsidP="00F6626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AF1F36B" w14:textId="7E4E3E4B" w:rsidR="00F42347" w:rsidRPr="00AE3438" w:rsidRDefault="00F66267" w:rsidP="009A65A9">
      <w:pPr>
        <w:spacing w:after="120"/>
        <w:rPr>
          <w:rFonts w:ascii="Arial Narrow" w:hAnsi="Arial Narrow"/>
          <w:snapToGrid w:val="0"/>
          <w:sz w:val="18"/>
          <w:szCs w:val="22"/>
        </w:rPr>
      </w:pPr>
      <w:r w:rsidRPr="009A6D58">
        <w:rPr>
          <w:rFonts w:ascii="Arial Narrow" w:hAnsi="Arial Narrow"/>
          <w:i/>
          <w:sz w:val="18"/>
          <w:szCs w:val="18"/>
          <w:vertAlign w:val="superscript"/>
        </w:rPr>
        <w:t>1</w:t>
      </w:r>
      <w:r>
        <w:rPr>
          <w:rFonts w:ascii="Arial Narrow" w:hAnsi="Arial Narrow"/>
          <w:i/>
          <w:sz w:val="18"/>
          <w:szCs w:val="18"/>
        </w:rPr>
        <w:t xml:space="preserve"> </w:t>
      </w:r>
      <w:r w:rsidRPr="00F66267">
        <w:rPr>
          <w:rFonts w:ascii="Arial Narrow" w:hAnsi="Arial Narrow"/>
          <w:i/>
          <w:sz w:val="18"/>
          <w:szCs w:val="18"/>
        </w:rPr>
        <w:t>&gt; $1,055,000</w:t>
      </w:r>
    </w:p>
    <w:p w14:paraId="4C1D782A" w14:textId="4E586B4D" w:rsidR="00072204" w:rsidRPr="00AE3438" w:rsidRDefault="00B75142" w:rsidP="00B75142">
      <w:pPr>
        <w:numPr>
          <w:ilvl w:val="1"/>
          <w:numId w:val="1"/>
        </w:numPr>
        <w:spacing w:after="120"/>
        <w:rPr>
          <w:rFonts w:asciiTheme="minorHAnsi" w:hAnsiTheme="minorHAnsi"/>
          <w:snapToGrid w:val="0"/>
        </w:rPr>
      </w:pPr>
      <w:r w:rsidRPr="00AE3438">
        <w:rPr>
          <w:rFonts w:asciiTheme="minorHAnsi" w:hAnsiTheme="minorHAnsi"/>
          <w:snapToGrid w:val="0"/>
        </w:rPr>
        <w:lastRenderedPageBreak/>
        <w:fldChar w:fldCharType="begin"/>
      </w:r>
      <w:r w:rsidRPr="00AE3438">
        <w:rPr>
          <w:rFonts w:asciiTheme="minorHAnsi" w:hAnsiTheme="minorHAnsi"/>
          <w:snapToGrid w:val="0"/>
        </w:rPr>
        <w:instrText xml:space="preserve"> REF _Ref113134053 \h  \* MERGEFORMAT </w:instrText>
      </w:r>
      <w:r w:rsidRPr="00AE3438">
        <w:rPr>
          <w:rFonts w:asciiTheme="minorHAnsi" w:hAnsiTheme="minorHAnsi"/>
          <w:snapToGrid w:val="0"/>
        </w:rPr>
      </w:r>
      <w:r w:rsidRPr="00AE3438">
        <w:rPr>
          <w:rFonts w:asciiTheme="minorHAnsi" w:hAnsiTheme="minorHAnsi"/>
          <w:snapToGrid w:val="0"/>
        </w:rPr>
        <w:fldChar w:fldCharType="separate"/>
      </w:r>
      <w:r w:rsidR="008E4E26" w:rsidRPr="008E4E26">
        <w:rPr>
          <w:rFonts w:asciiTheme="minorHAnsi" w:hAnsiTheme="minorHAnsi"/>
          <w:snapToGrid w:val="0"/>
        </w:rPr>
        <w:t>Table 12</w:t>
      </w:r>
      <w:r w:rsidRPr="00AE3438">
        <w:rPr>
          <w:rFonts w:asciiTheme="minorHAnsi" w:hAnsiTheme="minorHAnsi"/>
          <w:snapToGrid w:val="0"/>
        </w:rPr>
        <w:fldChar w:fldCharType="end"/>
      </w:r>
      <w:r w:rsidRPr="00AE3438">
        <w:rPr>
          <w:rFonts w:asciiTheme="minorHAnsi" w:hAnsiTheme="minorHAnsi"/>
          <w:snapToGrid w:val="0"/>
        </w:rPr>
        <w:t xml:space="preserve"> illustrates that</w:t>
      </w:r>
      <w:r w:rsidR="005D7EB1" w:rsidRPr="00AE3438">
        <w:rPr>
          <w:rFonts w:asciiTheme="minorHAnsi" w:hAnsiTheme="minorHAnsi"/>
          <w:snapToGrid w:val="0"/>
        </w:rPr>
        <w:t xml:space="preserve"> the</w:t>
      </w:r>
      <w:r w:rsidRPr="00AE3438">
        <w:rPr>
          <w:rFonts w:asciiTheme="minorHAnsi" w:hAnsiTheme="minorHAnsi"/>
          <w:snapToGrid w:val="0"/>
        </w:rPr>
        <w:t xml:space="preserve"> ICER for the proposed scenario </w:t>
      </w:r>
      <w:r w:rsidR="00785962">
        <w:rPr>
          <w:rFonts w:asciiTheme="minorHAnsi" w:hAnsiTheme="minorHAnsi"/>
          <w:snapToGrid w:val="0"/>
        </w:rPr>
        <w:t>varied according to</w:t>
      </w:r>
      <w:r w:rsidRPr="00AE3438">
        <w:rPr>
          <w:rFonts w:asciiTheme="minorHAnsi" w:hAnsiTheme="minorHAnsi"/>
          <w:snapToGrid w:val="0"/>
        </w:rPr>
        <w:t xml:space="preserve"> SMA Type</w:t>
      </w:r>
      <w:r w:rsidR="00785962">
        <w:rPr>
          <w:rFonts w:asciiTheme="minorHAnsi" w:hAnsiTheme="minorHAnsi"/>
          <w:snapToGrid w:val="0"/>
        </w:rPr>
        <w:t xml:space="preserve"> from dominant (Type I and II) to dominated (Type IIIb)</w:t>
      </w:r>
      <w:r w:rsidRPr="00AE3438">
        <w:rPr>
          <w:rFonts w:asciiTheme="minorHAnsi" w:hAnsiTheme="minorHAnsi"/>
          <w:snapToGrid w:val="0"/>
        </w:rPr>
        <w:t xml:space="preserve">. The biggest differences between the treatment strategies in QALYs and LYs were evident for SMA Types I and II (given these patients were assumed to have significantly reduced survival in the status quo arm), otherwise there </w:t>
      </w:r>
      <w:r w:rsidR="00653533" w:rsidRPr="00AE3438">
        <w:rPr>
          <w:rFonts w:asciiTheme="minorHAnsi" w:hAnsiTheme="minorHAnsi"/>
          <w:snapToGrid w:val="0"/>
        </w:rPr>
        <w:t xml:space="preserve">was </w:t>
      </w:r>
      <w:r w:rsidRPr="00AE3438">
        <w:rPr>
          <w:rFonts w:asciiTheme="minorHAnsi" w:hAnsiTheme="minorHAnsi"/>
          <w:snapToGrid w:val="0"/>
        </w:rPr>
        <w:t xml:space="preserve">little difference in LYs or QALYs for Type IIIa and IIIb SMA, and the different ICERs were therefore driven by the costs accrued for these SMA types, resulting in the proposed strategy being less effective and less costly than status quo for Type IIIa patients and less effective but more costly than status quo for Type IIIb patients. </w:t>
      </w:r>
    </w:p>
    <w:p w14:paraId="183D9AB1" w14:textId="7430B8BA" w:rsidR="00B75142" w:rsidRPr="00AE3438" w:rsidRDefault="00BE1204" w:rsidP="00B75142">
      <w:pPr>
        <w:numPr>
          <w:ilvl w:val="1"/>
          <w:numId w:val="1"/>
        </w:numPr>
        <w:spacing w:after="120"/>
        <w:rPr>
          <w:rFonts w:asciiTheme="minorHAnsi" w:hAnsiTheme="minorHAnsi"/>
          <w:snapToGrid w:val="0"/>
        </w:rPr>
      </w:pPr>
      <w:r w:rsidRPr="00AE3438">
        <w:rPr>
          <w:rFonts w:asciiTheme="minorHAnsi" w:hAnsiTheme="minorHAnsi"/>
          <w:snapToGrid w:val="0"/>
        </w:rPr>
        <w:t xml:space="preserve">ONA is a once off infusion, whilst costs of nusinersen are ongoing from the assumed age of starting treatment to the end of the </w:t>
      </w:r>
      <w:r w:rsidR="0023544A" w:rsidRPr="00AE3438">
        <w:rPr>
          <w:rFonts w:asciiTheme="minorHAnsi" w:hAnsiTheme="minorHAnsi"/>
          <w:snapToGrid w:val="0"/>
        </w:rPr>
        <w:t xml:space="preserve">30 year </w:t>
      </w:r>
      <w:r w:rsidRPr="00AE3438">
        <w:rPr>
          <w:rFonts w:asciiTheme="minorHAnsi" w:hAnsiTheme="minorHAnsi"/>
          <w:snapToGrid w:val="0"/>
        </w:rPr>
        <w:t>model duration, assuming no discontinuations from nusinersen.</w:t>
      </w:r>
      <w:r w:rsidR="00943373" w:rsidRPr="00AE3438">
        <w:rPr>
          <w:rFonts w:asciiTheme="minorHAnsi" w:hAnsiTheme="minorHAnsi"/>
          <w:snapToGrid w:val="0"/>
        </w:rPr>
        <w:t xml:space="preserve"> The PBAC previously considered 11 years to be an </w:t>
      </w:r>
      <w:r w:rsidR="0023544A" w:rsidRPr="00AE3438">
        <w:rPr>
          <w:rFonts w:asciiTheme="minorHAnsi" w:hAnsiTheme="minorHAnsi"/>
          <w:snapToGrid w:val="0"/>
        </w:rPr>
        <w:t>acceptable</w:t>
      </w:r>
      <w:r w:rsidR="00943373" w:rsidRPr="00AE3438">
        <w:rPr>
          <w:rFonts w:asciiTheme="minorHAnsi" w:hAnsiTheme="minorHAnsi"/>
          <w:snapToGrid w:val="0"/>
        </w:rPr>
        <w:t xml:space="preserve"> time horizon to consider costs and benefits of ONA versus comparators in </w:t>
      </w:r>
      <w:r w:rsidR="00B742D3" w:rsidRPr="00AE3438">
        <w:rPr>
          <w:rFonts w:asciiTheme="minorHAnsi" w:hAnsiTheme="minorHAnsi"/>
          <w:snapToGrid w:val="0"/>
        </w:rPr>
        <w:t xml:space="preserve">the context of </w:t>
      </w:r>
      <w:r w:rsidR="0023544A" w:rsidRPr="00AE3438">
        <w:rPr>
          <w:rFonts w:asciiTheme="minorHAnsi" w:hAnsiTheme="minorHAnsi"/>
          <w:snapToGrid w:val="0"/>
        </w:rPr>
        <w:t xml:space="preserve">(i) </w:t>
      </w:r>
      <w:r w:rsidR="00B742D3" w:rsidRPr="00AE3438">
        <w:rPr>
          <w:rFonts w:asciiTheme="minorHAnsi" w:hAnsiTheme="minorHAnsi"/>
          <w:snapToGrid w:val="0"/>
        </w:rPr>
        <w:t xml:space="preserve">an outcomes based RSA and </w:t>
      </w:r>
      <w:r w:rsidR="0023544A" w:rsidRPr="00AE3438">
        <w:rPr>
          <w:rFonts w:asciiTheme="minorHAnsi" w:hAnsiTheme="minorHAnsi"/>
          <w:snapToGrid w:val="0"/>
        </w:rPr>
        <w:t xml:space="preserve">(ii) </w:t>
      </w:r>
      <w:r w:rsidR="00B742D3" w:rsidRPr="00AE3438">
        <w:rPr>
          <w:rFonts w:asciiTheme="minorHAnsi" w:hAnsiTheme="minorHAnsi"/>
          <w:snapToGrid w:val="0"/>
        </w:rPr>
        <w:t>provision of longer follow-up data</w:t>
      </w:r>
      <w:r w:rsidR="0023544A" w:rsidRPr="00AE3438">
        <w:rPr>
          <w:rFonts w:asciiTheme="minorHAnsi" w:hAnsiTheme="minorHAnsi"/>
          <w:snapToGrid w:val="0"/>
        </w:rPr>
        <w:t xml:space="preserve"> to inform the price for a subsequent deed (para 9.11</w:t>
      </w:r>
      <w:r w:rsidR="00875284">
        <w:rPr>
          <w:rFonts w:asciiTheme="minorHAnsi" w:hAnsiTheme="minorHAnsi"/>
          <w:snapToGrid w:val="0"/>
        </w:rPr>
        <w:t>,</w:t>
      </w:r>
      <w:r w:rsidR="0023544A" w:rsidRPr="00AE3438">
        <w:rPr>
          <w:rFonts w:asciiTheme="minorHAnsi" w:hAnsiTheme="minorHAnsi"/>
          <w:snapToGrid w:val="0"/>
        </w:rPr>
        <w:t xml:space="preserve"> onasemnogene abeparvovec</w:t>
      </w:r>
      <w:r w:rsidR="00875284">
        <w:rPr>
          <w:rFonts w:asciiTheme="minorHAnsi" w:hAnsiTheme="minorHAnsi"/>
          <w:snapToGrid w:val="0"/>
        </w:rPr>
        <w:t xml:space="preserve"> PSD</w:t>
      </w:r>
      <w:r w:rsidR="0023544A" w:rsidRPr="00AE3438">
        <w:rPr>
          <w:rFonts w:asciiTheme="minorHAnsi" w:hAnsiTheme="minorHAnsi"/>
          <w:snapToGrid w:val="0"/>
        </w:rPr>
        <w:t>, November 2020 PBAC meeting September 2021 ad</w:t>
      </w:r>
      <w:r w:rsidR="00BF0A5B">
        <w:rPr>
          <w:rFonts w:asciiTheme="minorHAnsi" w:hAnsiTheme="minorHAnsi"/>
          <w:snapToGrid w:val="0"/>
        </w:rPr>
        <w:t>d</w:t>
      </w:r>
      <w:r w:rsidR="0023544A" w:rsidRPr="00AE3438">
        <w:rPr>
          <w:rFonts w:asciiTheme="minorHAnsi" w:hAnsiTheme="minorHAnsi"/>
          <w:snapToGrid w:val="0"/>
        </w:rPr>
        <w:t>endum).</w:t>
      </w:r>
      <w:r w:rsidR="005B6227" w:rsidRPr="00AE3438">
        <w:rPr>
          <w:rFonts w:asciiTheme="minorHAnsi" w:hAnsiTheme="minorHAnsi"/>
          <w:snapToGrid w:val="0"/>
        </w:rPr>
        <w:t xml:space="preserve"> </w:t>
      </w:r>
      <w:r w:rsidR="00666140" w:rsidRPr="00054F33">
        <w:rPr>
          <w:rFonts w:asciiTheme="minorHAnsi" w:hAnsiTheme="minorHAnsi"/>
          <w:snapToGrid w:val="0"/>
        </w:rPr>
        <w:t xml:space="preserve">The ESC considered that the uncertainties </w:t>
      </w:r>
      <w:r w:rsidR="00E75087" w:rsidRPr="00054F33">
        <w:rPr>
          <w:rFonts w:asciiTheme="minorHAnsi" w:hAnsiTheme="minorHAnsi"/>
          <w:snapToGrid w:val="0"/>
        </w:rPr>
        <w:t>in treatment utilisation, medical costs,</w:t>
      </w:r>
      <w:r w:rsidR="00666140" w:rsidRPr="00054F33">
        <w:rPr>
          <w:rFonts w:asciiTheme="minorHAnsi" w:hAnsiTheme="minorHAnsi"/>
          <w:snapToGrid w:val="0"/>
        </w:rPr>
        <w:t xml:space="preserve"> </w:t>
      </w:r>
      <w:r w:rsidR="000D4106" w:rsidRPr="00054F33">
        <w:rPr>
          <w:rFonts w:asciiTheme="minorHAnsi" w:hAnsiTheme="minorHAnsi"/>
          <w:snapToGrid w:val="0"/>
        </w:rPr>
        <w:t xml:space="preserve">survival </w:t>
      </w:r>
      <w:r w:rsidR="00666140" w:rsidRPr="00054F33">
        <w:rPr>
          <w:rFonts w:asciiTheme="minorHAnsi" w:hAnsiTheme="minorHAnsi"/>
          <w:snapToGrid w:val="0"/>
        </w:rPr>
        <w:t>benefit</w:t>
      </w:r>
      <w:r w:rsidR="000D4106" w:rsidRPr="00054F33">
        <w:rPr>
          <w:rFonts w:asciiTheme="minorHAnsi" w:hAnsiTheme="minorHAnsi"/>
          <w:snapToGrid w:val="0"/>
        </w:rPr>
        <w:t xml:space="preserve"> and motor milestones obtained</w:t>
      </w:r>
      <w:r w:rsidR="00666140" w:rsidRPr="00054F33">
        <w:rPr>
          <w:rFonts w:asciiTheme="minorHAnsi" w:hAnsiTheme="minorHAnsi"/>
          <w:snapToGrid w:val="0"/>
        </w:rPr>
        <w:t xml:space="preserve"> applied in the model were magnified b</w:t>
      </w:r>
      <w:r w:rsidR="00A322BB" w:rsidRPr="00054F33">
        <w:rPr>
          <w:rFonts w:asciiTheme="minorHAnsi" w:hAnsiTheme="minorHAnsi"/>
          <w:snapToGrid w:val="0"/>
        </w:rPr>
        <w:t>y extrapolating over the 30 year time horizon.</w:t>
      </w:r>
    </w:p>
    <w:p w14:paraId="046453C2" w14:textId="0926A010" w:rsidR="008C3D01" w:rsidRPr="00AE3438" w:rsidRDefault="00B75142" w:rsidP="00A4432D">
      <w:pPr>
        <w:pStyle w:val="3-BodyText"/>
        <w:rPr>
          <w:bCs/>
        </w:rPr>
      </w:pPr>
      <w:r w:rsidRPr="00AE3438">
        <w:t xml:space="preserve">The results of key univariate </w:t>
      </w:r>
      <w:r w:rsidR="00E75087" w:rsidRPr="00AE3438">
        <w:t>and</w:t>
      </w:r>
      <w:r w:rsidRPr="00AE3438">
        <w:t xml:space="preserve"> multivariate sensitivity analyses are summarised in </w:t>
      </w:r>
      <w:r w:rsidR="00F42347" w:rsidRPr="00AE3438">
        <w:rPr>
          <w:rFonts w:cstheme="minorHAnsi"/>
        </w:rPr>
        <w:fldChar w:fldCharType="begin"/>
      </w:r>
      <w:r w:rsidR="00F42347" w:rsidRPr="00AE3438">
        <w:rPr>
          <w:rFonts w:cstheme="minorHAnsi"/>
        </w:rPr>
        <w:instrText xml:space="preserve"> REF _Ref113111161 \h  \* MERGEFORMAT </w:instrText>
      </w:r>
      <w:r w:rsidR="00F42347" w:rsidRPr="00AE3438">
        <w:rPr>
          <w:rFonts w:cstheme="minorHAnsi"/>
        </w:rPr>
      </w:r>
      <w:r w:rsidR="00F42347" w:rsidRPr="00AE3438">
        <w:rPr>
          <w:rFonts w:cstheme="minorHAnsi"/>
        </w:rPr>
        <w:fldChar w:fldCharType="separate"/>
      </w:r>
      <w:r w:rsidR="008E4E26" w:rsidRPr="008E4E26">
        <w:rPr>
          <w:rFonts w:cstheme="minorHAnsi"/>
          <w:bCs/>
        </w:rPr>
        <w:t>Table 13</w:t>
      </w:r>
      <w:r w:rsidR="00F42347" w:rsidRPr="00AE3438">
        <w:rPr>
          <w:rFonts w:cstheme="minorHAnsi"/>
        </w:rPr>
        <w:fldChar w:fldCharType="end"/>
      </w:r>
      <w:r w:rsidRPr="00AE3438">
        <w:t>. Given the submission’s base case estimated significant cost savings for the proposed strategy, the results of most sensitivity analyses resulted in negative ICERs with the proposed strategy being dominant</w:t>
      </w:r>
      <w:r w:rsidR="00785962">
        <w:t xml:space="preserve">. </w:t>
      </w:r>
      <w:r w:rsidRPr="00AE3438">
        <w:t>The key drivers in the model were drug costs, subsequent treatment costs, and time horizon.</w:t>
      </w:r>
      <w:r w:rsidR="00155DD4" w:rsidRPr="00AE3438">
        <w:t xml:space="preserve"> </w:t>
      </w:r>
    </w:p>
    <w:p w14:paraId="202D8951" w14:textId="46DFF325" w:rsidR="008C3D01" w:rsidRPr="00054F33" w:rsidRDefault="008C3D01" w:rsidP="00A4432D">
      <w:pPr>
        <w:pStyle w:val="3-BodyText"/>
        <w:rPr>
          <w:bCs/>
        </w:rPr>
      </w:pPr>
      <w:r w:rsidRPr="00AE3438">
        <w:t xml:space="preserve">A sensitivity analysis assuming patients could start alternate treatments in the model increased the ICER to </w:t>
      </w:r>
      <w:r w:rsidR="00F66267" w:rsidRPr="00F66267">
        <w:t>$155,000 to &lt; $255,000</w:t>
      </w:r>
      <w:r w:rsidRPr="00AE3438">
        <w:t xml:space="preserve">/QALY gained (versus the ICER being dominant in the base case i.e., less costly and more effective), indicating the sensitivity of the ICER to assumptions around drug costs for subsequent treatments. </w:t>
      </w:r>
      <w:r w:rsidRPr="00AE3438">
        <w:rPr>
          <w:rFonts w:cstheme="minorHAnsi"/>
        </w:rPr>
        <w:t xml:space="preserve">This analysis assumed 50% of pre-symptomatic patients and symptomatic Type I patients treated with ONA will receive sequential treatment with nusinersen (based on START-LTFU). </w:t>
      </w:r>
      <w:r w:rsidRPr="00054F33">
        <w:rPr>
          <w:rFonts w:cstheme="minorHAnsi"/>
        </w:rPr>
        <w:t xml:space="preserve">The PSCR argued that children in START who initiated an additional DMT would not be eligible for this subsequent treatment on the PBS without demonstration of the loss of a motor milestone. The sensitivity analysis also assumed that 50% of nusinersen patients treated symptomatically for Type II and IIIa will switch to risdiplam (though the PSCR noted that as costs and outcomes for nusinersen and risdiplam are assumed to be identical this would not be expected to impact the ICER). </w:t>
      </w:r>
    </w:p>
    <w:p w14:paraId="48D82824" w14:textId="1FE67D4E" w:rsidR="00A4432D" w:rsidRPr="00054F33" w:rsidRDefault="00155DD4" w:rsidP="00A4432D">
      <w:pPr>
        <w:pStyle w:val="3-BodyText"/>
        <w:rPr>
          <w:bCs/>
        </w:rPr>
      </w:pPr>
      <w:r w:rsidRPr="00054F33">
        <w:t xml:space="preserve">The ESC considered that overall, </w:t>
      </w:r>
      <w:r w:rsidR="005B27D8" w:rsidRPr="00054F33">
        <w:t>the economic model presented was not useful for informing the cost-effectiveness of ONA in pre-symptomatic patients with 3 copies of SMN2. The ESC considered that a revised model</w:t>
      </w:r>
      <w:r w:rsidR="00911B10" w:rsidRPr="00054F33">
        <w:t xml:space="preserve"> should include a treatment pathway and outcomes which are more reflective of the current clinical setting. </w:t>
      </w:r>
    </w:p>
    <w:p w14:paraId="600E29B4" w14:textId="1C0FBE4B" w:rsidR="00B75142" w:rsidRPr="00AE3438" w:rsidRDefault="00B75142" w:rsidP="00B75142">
      <w:pPr>
        <w:keepNext/>
        <w:keepLines/>
        <w:rPr>
          <w:rFonts w:ascii="Arial Narrow" w:hAnsi="Arial Narrow"/>
          <w:b/>
          <w:sz w:val="20"/>
        </w:rPr>
      </w:pPr>
      <w:bookmarkStart w:id="71" w:name="_Ref113111161"/>
      <w:r w:rsidRPr="00AE3438">
        <w:rPr>
          <w:rFonts w:ascii="Arial Narrow" w:hAnsi="Arial Narrow"/>
          <w:b/>
          <w:bCs/>
          <w:sz w:val="20"/>
          <w:szCs w:val="18"/>
        </w:rPr>
        <w:lastRenderedPageBreak/>
        <w:t xml:space="preserve">Table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Table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13</w:t>
      </w:r>
      <w:r w:rsidRPr="00AE3438">
        <w:rPr>
          <w:rFonts w:ascii="Arial Narrow" w:hAnsi="Arial Narrow"/>
          <w:b/>
          <w:bCs/>
          <w:sz w:val="20"/>
          <w:szCs w:val="18"/>
        </w:rPr>
        <w:fldChar w:fldCharType="end"/>
      </w:r>
      <w:bookmarkEnd w:id="71"/>
      <w:r w:rsidRPr="00AE3438">
        <w:rPr>
          <w:rFonts w:ascii="Arial Narrow" w:hAnsi="Arial Narrow"/>
          <w:b/>
          <w:bCs/>
          <w:sz w:val="20"/>
          <w:szCs w:val="18"/>
        </w:rPr>
        <w:t>:</w:t>
      </w:r>
      <w:r w:rsidRPr="00AE3438">
        <w:rPr>
          <w:rFonts w:ascii="Arial Narrow" w:hAnsi="Arial Narrow"/>
          <w:bCs/>
          <w:sz w:val="20"/>
        </w:rPr>
        <w:t xml:space="preserve"> </w:t>
      </w:r>
      <w:r w:rsidRPr="00AE3438">
        <w:rPr>
          <w:rFonts w:ascii="Arial Narrow" w:hAnsi="Arial Narrow"/>
          <w:b/>
          <w:sz w:val="20"/>
        </w:rPr>
        <w:t>Key Sensitivity Analyses</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39"/>
        <w:gridCol w:w="1274"/>
        <w:gridCol w:w="991"/>
        <w:gridCol w:w="1562"/>
        <w:gridCol w:w="851"/>
        <w:gridCol w:w="854"/>
      </w:tblGrid>
      <w:tr w:rsidR="00B75142" w:rsidRPr="00AE3438" w14:paraId="74E27BE0" w14:textId="77777777" w:rsidTr="00B75142">
        <w:trPr>
          <w:cantSplit/>
          <w:tblHeader/>
        </w:trPr>
        <w:tc>
          <w:tcPr>
            <w:tcW w:w="1951" w:type="pct"/>
            <w:vAlign w:val="center"/>
          </w:tcPr>
          <w:p w14:paraId="1A62BB14" w14:textId="77777777" w:rsidR="00B75142" w:rsidRPr="00AE3438" w:rsidRDefault="00B75142" w:rsidP="00B75142">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Analyses</w:t>
            </w:r>
          </w:p>
        </w:tc>
        <w:tc>
          <w:tcPr>
            <w:tcW w:w="702" w:type="pct"/>
            <w:vAlign w:val="center"/>
          </w:tcPr>
          <w:p w14:paraId="58AFBC31"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Incremental cost</w:t>
            </w:r>
          </w:p>
        </w:tc>
        <w:tc>
          <w:tcPr>
            <w:tcW w:w="546" w:type="pct"/>
            <w:vAlign w:val="center"/>
          </w:tcPr>
          <w:p w14:paraId="68D37A0B"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Incremental QALY</w:t>
            </w:r>
          </w:p>
        </w:tc>
        <w:tc>
          <w:tcPr>
            <w:tcW w:w="861" w:type="pct"/>
            <w:vAlign w:val="center"/>
          </w:tcPr>
          <w:p w14:paraId="13FDD476"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ICER</w:t>
            </w:r>
          </w:p>
        </w:tc>
        <w:tc>
          <w:tcPr>
            <w:tcW w:w="469" w:type="pct"/>
            <w:vAlign w:val="center"/>
          </w:tcPr>
          <w:p w14:paraId="0BCC6BE4"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 to cost savings</w:t>
            </w:r>
          </w:p>
        </w:tc>
        <w:tc>
          <w:tcPr>
            <w:tcW w:w="471" w:type="pct"/>
            <w:vAlign w:val="center"/>
          </w:tcPr>
          <w:p w14:paraId="3C53C612" w14:textId="77777777" w:rsidR="00B75142" w:rsidRPr="00AE3438" w:rsidRDefault="00B75142" w:rsidP="00B75142">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 to incr. QALY</w:t>
            </w:r>
          </w:p>
        </w:tc>
      </w:tr>
      <w:tr w:rsidR="00B75142" w:rsidRPr="00AE3438" w14:paraId="7BCE2EA2" w14:textId="77777777" w:rsidTr="00B75142">
        <w:trPr>
          <w:cantSplit/>
        </w:trPr>
        <w:tc>
          <w:tcPr>
            <w:tcW w:w="1951" w:type="pct"/>
            <w:shd w:val="clear" w:color="auto" w:fill="F2F2F2" w:themeFill="background1" w:themeFillShade="F2"/>
            <w:vAlign w:val="center"/>
          </w:tcPr>
          <w:p w14:paraId="2FB72A53" w14:textId="77777777" w:rsidR="00B75142" w:rsidRPr="00AE3438" w:rsidRDefault="00B75142" w:rsidP="00B75142">
            <w:pPr>
              <w:keepNext/>
              <w:jc w:val="left"/>
              <w:rPr>
                <w:rFonts w:ascii="Arial Narrow" w:eastAsiaTheme="majorEastAsia" w:hAnsi="Arial Narrow" w:cstheme="majorBidi"/>
                <w:b/>
                <w:bCs/>
                <w:sz w:val="20"/>
              </w:rPr>
            </w:pPr>
            <w:r w:rsidRPr="00AE3438">
              <w:rPr>
                <w:rFonts w:ascii="Arial Narrow" w:eastAsiaTheme="majorEastAsia" w:hAnsi="Arial Narrow" w:cstheme="majorBidi"/>
                <w:b/>
                <w:bCs/>
                <w:sz w:val="20"/>
              </w:rPr>
              <w:t>Base case</w:t>
            </w:r>
          </w:p>
        </w:tc>
        <w:tc>
          <w:tcPr>
            <w:tcW w:w="702" w:type="pct"/>
            <w:shd w:val="clear" w:color="auto" w:fill="F2F2F2" w:themeFill="background1" w:themeFillShade="F2"/>
            <w:vAlign w:val="center"/>
          </w:tcPr>
          <w:p w14:paraId="20DF8600" w14:textId="38F502A6" w:rsidR="00B75142" w:rsidRPr="00AE3438" w:rsidRDefault="00B75142" w:rsidP="00B75142">
            <w:pPr>
              <w:keepNext/>
              <w:jc w:val="center"/>
              <w:rPr>
                <w:rFonts w:ascii="Arial Narrow" w:eastAsiaTheme="majorEastAsia" w:hAnsi="Arial Narrow" w:cstheme="majorBidi"/>
                <w:b/>
                <w:bCs/>
                <w:sz w:val="20"/>
                <w:highlight w:val="black"/>
              </w:rPr>
            </w:pPr>
            <w:r w:rsidRPr="00AE3438">
              <w:rPr>
                <w:rFonts w:ascii="Arial Narrow" w:eastAsiaTheme="majorEastAsia" w:hAnsi="Arial Narrow" w:cstheme="majorBidi"/>
                <w:b/>
                <w:bCs/>
                <w:sz w:val="20"/>
              </w:rPr>
              <w:t>-$</w:t>
            </w:r>
            <w:r w:rsidR="00284C02" w:rsidRPr="000C49F8">
              <w:rPr>
                <w:rFonts w:ascii="Arial Narrow" w:eastAsiaTheme="majorEastAsia" w:hAnsi="Arial Narrow" w:cstheme="majorBidi" w:hint="eastAsia"/>
                <w:b/>
                <w:bCs/>
                <w:color w:val="000000"/>
                <w:w w:val="15"/>
                <w:sz w:val="20"/>
                <w:shd w:val="solid" w:color="000000" w:fill="000000"/>
                <w:fitText w:val="50" w:id="-1305197568"/>
                <w14:textFill>
                  <w14:solidFill>
                    <w14:srgbClr w14:val="000000">
                      <w14:alpha w14:val="100000"/>
                    </w14:srgbClr>
                  </w14:solidFill>
                </w14:textFill>
              </w:rPr>
              <w:t xml:space="preserve">　</w:t>
            </w:r>
            <w:r w:rsidR="00284C02" w:rsidRPr="000C49F8">
              <w:rPr>
                <w:rFonts w:ascii="Arial Narrow" w:eastAsiaTheme="majorEastAsia" w:hAnsi="Arial Narrow" w:cstheme="majorBidi"/>
                <w:b/>
                <w:bCs/>
                <w:color w:val="000000"/>
                <w:w w:val="15"/>
                <w:sz w:val="20"/>
                <w:shd w:val="solid" w:color="000000" w:fill="000000"/>
                <w:fitText w:val="50" w:id="-1305197568"/>
                <w14:textFill>
                  <w14:solidFill>
                    <w14:srgbClr w14:val="000000">
                      <w14:alpha w14:val="100000"/>
                    </w14:srgbClr>
                  </w14:solidFill>
                </w14:textFill>
              </w:rPr>
              <w:t>|</w:t>
            </w:r>
            <w:r w:rsidR="00284C02" w:rsidRPr="000C49F8">
              <w:rPr>
                <w:rFonts w:ascii="Arial Narrow" w:eastAsiaTheme="majorEastAsia" w:hAnsi="Arial Narrow" w:cstheme="majorBidi" w:hint="eastAsia"/>
                <w:b/>
                <w:bCs/>
                <w:color w:val="000000"/>
                <w:spacing w:val="-16"/>
                <w:w w:val="15"/>
                <w:sz w:val="20"/>
                <w:shd w:val="solid" w:color="000000" w:fill="000000"/>
                <w:fitText w:val="50" w:id="-1305197568"/>
                <w14:textFill>
                  <w14:solidFill>
                    <w14:srgbClr w14:val="000000">
                      <w14:alpha w14:val="100000"/>
                    </w14:srgbClr>
                  </w14:solidFill>
                </w14:textFill>
              </w:rPr>
              <w:t xml:space="preserve">　</w:t>
            </w:r>
          </w:p>
        </w:tc>
        <w:tc>
          <w:tcPr>
            <w:tcW w:w="546" w:type="pct"/>
            <w:shd w:val="clear" w:color="auto" w:fill="F2F2F2" w:themeFill="background1" w:themeFillShade="F2"/>
            <w:vAlign w:val="center"/>
          </w:tcPr>
          <w:p w14:paraId="3A246B4B" w14:textId="77777777" w:rsidR="00B75142" w:rsidRPr="00AE3438" w:rsidRDefault="00B75142" w:rsidP="00B75142">
            <w:pPr>
              <w:keepNext/>
              <w:jc w:val="center"/>
              <w:rPr>
                <w:rFonts w:ascii="Arial Narrow" w:eastAsiaTheme="majorEastAsia" w:hAnsi="Arial Narrow" w:cstheme="majorBidi"/>
                <w:b/>
                <w:bCs/>
                <w:sz w:val="20"/>
              </w:rPr>
            </w:pPr>
            <w:r w:rsidRPr="00AE3438">
              <w:rPr>
                <w:rFonts w:ascii="Arial Narrow" w:eastAsiaTheme="majorEastAsia" w:hAnsi="Arial Narrow" w:cstheme="majorBidi"/>
                <w:b/>
                <w:bCs/>
                <w:sz w:val="20"/>
              </w:rPr>
              <w:t>4.20</w:t>
            </w:r>
          </w:p>
        </w:tc>
        <w:tc>
          <w:tcPr>
            <w:tcW w:w="861" w:type="pct"/>
            <w:shd w:val="clear" w:color="auto" w:fill="F2F2F2" w:themeFill="background1" w:themeFillShade="F2"/>
            <w:vAlign w:val="center"/>
          </w:tcPr>
          <w:p w14:paraId="2234E60D" w14:textId="4165CE59" w:rsidR="00B75142" w:rsidRPr="00AE3438" w:rsidRDefault="00B75142" w:rsidP="00B75142">
            <w:pPr>
              <w:keepNext/>
              <w:jc w:val="center"/>
              <w:rPr>
                <w:rFonts w:ascii="Arial Narrow" w:eastAsiaTheme="majorEastAsia" w:hAnsi="Arial Narrow" w:cstheme="majorBidi"/>
                <w:b/>
                <w:bCs/>
                <w:sz w:val="20"/>
              </w:rPr>
            </w:pPr>
            <w:r w:rsidRPr="00AE3438">
              <w:rPr>
                <w:rFonts w:ascii="Arial Narrow" w:eastAsiaTheme="majorEastAsia" w:hAnsi="Arial Narrow" w:cstheme="majorBidi"/>
                <w:b/>
                <w:bCs/>
                <w:sz w:val="20"/>
              </w:rPr>
              <w:t>Dominant</w:t>
            </w:r>
          </w:p>
        </w:tc>
        <w:tc>
          <w:tcPr>
            <w:tcW w:w="469" w:type="pct"/>
            <w:shd w:val="clear" w:color="auto" w:fill="F2F2F2" w:themeFill="background1" w:themeFillShade="F2"/>
            <w:vAlign w:val="center"/>
          </w:tcPr>
          <w:p w14:paraId="626A5757" w14:textId="77777777" w:rsidR="00B75142" w:rsidRPr="00AE3438" w:rsidRDefault="00B75142" w:rsidP="00B75142">
            <w:pPr>
              <w:keepNext/>
              <w:jc w:val="center"/>
              <w:rPr>
                <w:rFonts w:ascii="Arial Narrow" w:eastAsia="Calibri" w:hAnsi="Arial Narrow" w:cstheme="majorBidi"/>
                <w:b/>
                <w:bCs/>
                <w:sz w:val="20"/>
                <w:szCs w:val="20"/>
              </w:rPr>
            </w:pPr>
            <w:r w:rsidRPr="00AE3438">
              <w:rPr>
                <w:rFonts w:ascii="Arial Narrow" w:eastAsia="Calibri" w:hAnsi="Arial Narrow" w:cstheme="majorBidi"/>
                <w:b/>
                <w:bCs/>
                <w:sz w:val="20"/>
                <w:szCs w:val="20"/>
              </w:rPr>
              <w:t>-</w:t>
            </w:r>
          </w:p>
        </w:tc>
        <w:tc>
          <w:tcPr>
            <w:tcW w:w="471" w:type="pct"/>
            <w:shd w:val="clear" w:color="auto" w:fill="F2F2F2" w:themeFill="background1" w:themeFillShade="F2"/>
            <w:vAlign w:val="center"/>
          </w:tcPr>
          <w:p w14:paraId="24A57D8C" w14:textId="77777777" w:rsidR="00B75142" w:rsidRPr="00AE3438" w:rsidRDefault="00B75142" w:rsidP="00B75142">
            <w:pPr>
              <w:keepNext/>
              <w:jc w:val="center"/>
              <w:rPr>
                <w:rFonts w:ascii="Arial Narrow" w:eastAsia="Calibri" w:hAnsi="Arial Narrow" w:cstheme="majorBidi"/>
                <w:b/>
                <w:bCs/>
                <w:sz w:val="20"/>
                <w:szCs w:val="20"/>
              </w:rPr>
            </w:pPr>
            <w:r w:rsidRPr="00AE3438">
              <w:rPr>
                <w:rFonts w:ascii="Arial Narrow" w:eastAsia="Calibri" w:hAnsi="Arial Narrow" w:cstheme="majorBidi"/>
                <w:b/>
                <w:bCs/>
                <w:sz w:val="20"/>
                <w:szCs w:val="20"/>
              </w:rPr>
              <w:t>-</w:t>
            </w:r>
          </w:p>
        </w:tc>
      </w:tr>
      <w:tr w:rsidR="00B75142" w:rsidRPr="00AE3438" w14:paraId="4065038F" w14:textId="77777777" w:rsidTr="00B75142">
        <w:trPr>
          <w:cantSplit/>
        </w:trPr>
        <w:tc>
          <w:tcPr>
            <w:tcW w:w="4060" w:type="pct"/>
            <w:gridSpan w:val="4"/>
            <w:vAlign w:val="center"/>
          </w:tcPr>
          <w:p w14:paraId="2FE007B2" w14:textId="77777777" w:rsidR="00B75142" w:rsidRPr="00AE3438" w:rsidRDefault="00B75142" w:rsidP="00B75142">
            <w:pPr>
              <w:keepNext/>
              <w:jc w:val="left"/>
              <w:rPr>
                <w:rFonts w:ascii="Arial Narrow" w:eastAsiaTheme="majorEastAsia" w:hAnsi="Arial Narrow" w:cstheme="majorBidi"/>
                <w:b/>
                <w:sz w:val="20"/>
              </w:rPr>
            </w:pPr>
            <w:r w:rsidRPr="00AE3438">
              <w:rPr>
                <w:rFonts w:ascii="Arial Narrow" w:eastAsiaTheme="majorEastAsia" w:hAnsi="Arial Narrow" w:cstheme="majorBidi"/>
                <w:b/>
                <w:sz w:val="20"/>
              </w:rPr>
              <w:t>Time horizon (base case 30 years)</w:t>
            </w:r>
          </w:p>
        </w:tc>
        <w:tc>
          <w:tcPr>
            <w:tcW w:w="469" w:type="pct"/>
            <w:vAlign w:val="center"/>
          </w:tcPr>
          <w:p w14:paraId="40940178" w14:textId="77777777" w:rsidR="00B75142" w:rsidRPr="00AE3438" w:rsidRDefault="00B75142" w:rsidP="00B75142">
            <w:pPr>
              <w:keepNext/>
              <w:jc w:val="center"/>
              <w:rPr>
                <w:rFonts w:ascii="Arial Narrow" w:eastAsiaTheme="majorEastAsia" w:hAnsi="Arial Narrow" w:cstheme="majorBidi"/>
                <w:bCs/>
                <w:sz w:val="20"/>
              </w:rPr>
            </w:pPr>
          </w:p>
        </w:tc>
        <w:tc>
          <w:tcPr>
            <w:tcW w:w="471" w:type="pct"/>
            <w:vAlign w:val="center"/>
          </w:tcPr>
          <w:p w14:paraId="09092F37" w14:textId="77777777" w:rsidR="00B75142" w:rsidRPr="00AE3438" w:rsidRDefault="00B75142" w:rsidP="00B75142">
            <w:pPr>
              <w:keepNext/>
              <w:jc w:val="center"/>
              <w:rPr>
                <w:rFonts w:ascii="Arial Narrow" w:eastAsiaTheme="majorEastAsia" w:hAnsi="Arial Narrow" w:cstheme="majorBidi"/>
                <w:bCs/>
                <w:sz w:val="20"/>
              </w:rPr>
            </w:pPr>
          </w:p>
        </w:tc>
      </w:tr>
      <w:tr w:rsidR="00B75142" w:rsidRPr="00AE3438" w14:paraId="47FE6272" w14:textId="77777777" w:rsidTr="00B75142">
        <w:trPr>
          <w:cantSplit/>
        </w:trPr>
        <w:tc>
          <w:tcPr>
            <w:tcW w:w="1951" w:type="pct"/>
            <w:vAlign w:val="center"/>
          </w:tcPr>
          <w:p w14:paraId="7E464FB9" w14:textId="6FF0FD57" w:rsidR="00B75142" w:rsidRPr="00F66267" w:rsidRDefault="00B75142" w:rsidP="00B75142">
            <w:pPr>
              <w:keepNext/>
              <w:jc w:val="left"/>
              <w:rPr>
                <w:rFonts w:ascii="Arial Narrow" w:eastAsiaTheme="majorEastAsia" w:hAnsi="Arial Narrow" w:cstheme="majorBidi"/>
                <w:bCs/>
                <w:sz w:val="20"/>
                <w:vertAlign w:val="superscript"/>
              </w:rPr>
            </w:pPr>
            <w:r w:rsidRPr="00AE3438">
              <w:rPr>
                <w:rFonts w:ascii="Arial Narrow" w:eastAsiaTheme="majorEastAsia" w:hAnsi="Arial Narrow" w:cstheme="majorBidi"/>
                <w:bCs/>
                <w:sz w:val="20"/>
              </w:rPr>
              <w:t>20 years</w:t>
            </w:r>
          </w:p>
        </w:tc>
        <w:tc>
          <w:tcPr>
            <w:tcW w:w="702" w:type="pct"/>
            <w:vAlign w:val="center"/>
          </w:tcPr>
          <w:p w14:paraId="6A6D770C" w14:textId="170E01E6" w:rsidR="00B75142" w:rsidRPr="00AE3438" w:rsidRDefault="00B75142" w:rsidP="00B75142">
            <w:pPr>
              <w:keepNext/>
              <w:jc w:val="center"/>
              <w:rPr>
                <w:rFonts w:ascii="Arial Narrow" w:eastAsiaTheme="majorEastAsia" w:hAnsi="Arial Narrow" w:cstheme="majorBidi"/>
                <w:bCs/>
                <w:sz w:val="20"/>
                <w:highlight w:val="black"/>
              </w:rPr>
            </w:pPr>
            <w:r w:rsidRPr="00AE3438">
              <w:rPr>
                <w:rFonts w:ascii="Arial Narrow" w:eastAsia="Calibri" w:hAnsi="Arial Narrow" w:cstheme="majorBidi"/>
                <w:bCs/>
                <w:sz w:val="20"/>
                <w:szCs w:val="20"/>
              </w:rPr>
              <w:t>-$</w:t>
            </w:r>
            <w:r w:rsidR="00284C02" w:rsidRPr="000C49F8">
              <w:rPr>
                <w:rFonts w:ascii="Arial Narrow" w:eastAsia="Calibri" w:hAnsi="Arial Narrow" w:cstheme="majorBidi" w:hint="eastAsia"/>
                <w:bCs/>
                <w:color w:val="000000"/>
                <w:w w:val="15"/>
                <w:sz w:val="20"/>
                <w:szCs w:val="20"/>
                <w:shd w:val="solid" w:color="000000" w:fill="000000"/>
                <w:fitText w:val="50" w:id="-1305197567"/>
                <w14:textFill>
                  <w14:solidFill>
                    <w14:srgbClr w14:val="000000">
                      <w14:alpha w14:val="100000"/>
                    </w14:srgbClr>
                  </w14:solidFill>
                </w14:textFill>
              </w:rPr>
              <w:t xml:space="preserve">　</w:t>
            </w:r>
            <w:r w:rsidR="00284C02" w:rsidRPr="000C49F8">
              <w:rPr>
                <w:rFonts w:ascii="Arial Narrow" w:eastAsia="Calibri" w:hAnsi="Arial Narrow" w:cstheme="majorBidi"/>
                <w:bCs/>
                <w:color w:val="000000"/>
                <w:w w:val="15"/>
                <w:sz w:val="20"/>
                <w:szCs w:val="20"/>
                <w:shd w:val="solid" w:color="000000" w:fill="000000"/>
                <w:fitText w:val="50" w:id="-1305197567"/>
                <w14:textFill>
                  <w14:solidFill>
                    <w14:srgbClr w14:val="000000">
                      <w14:alpha w14:val="100000"/>
                    </w14:srgbClr>
                  </w14:solidFill>
                </w14:textFill>
              </w:rPr>
              <w:t>|</w:t>
            </w:r>
            <w:r w:rsidR="00284C02" w:rsidRPr="000C49F8">
              <w:rPr>
                <w:rFonts w:ascii="Arial Narrow" w:eastAsia="Calibri" w:hAnsi="Arial Narrow" w:cstheme="majorBidi" w:hint="eastAsia"/>
                <w:bCs/>
                <w:color w:val="000000"/>
                <w:spacing w:val="-15"/>
                <w:w w:val="15"/>
                <w:sz w:val="20"/>
                <w:szCs w:val="20"/>
                <w:shd w:val="solid" w:color="000000" w:fill="000000"/>
                <w:fitText w:val="50" w:id="-1305197567"/>
                <w14:textFill>
                  <w14:solidFill>
                    <w14:srgbClr w14:val="000000">
                      <w14:alpha w14:val="100000"/>
                    </w14:srgbClr>
                  </w14:solidFill>
                </w14:textFill>
              </w:rPr>
              <w:t xml:space="preserve">　</w:t>
            </w:r>
          </w:p>
        </w:tc>
        <w:tc>
          <w:tcPr>
            <w:tcW w:w="546" w:type="pct"/>
            <w:vAlign w:val="center"/>
          </w:tcPr>
          <w:p w14:paraId="047CF788"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3.29</w:t>
            </w:r>
          </w:p>
        </w:tc>
        <w:tc>
          <w:tcPr>
            <w:tcW w:w="861" w:type="pct"/>
            <w:shd w:val="clear" w:color="auto" w:fill="auto"/>
            <w:vAlign w:val="center"/>
          </w:tcPr>
          <w:p w14:paraId="4930CCA9" w14:textId="0B28D2BF"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Dominant</w:t>
            </w:r>
          </w:p>
        </w:tc>
        <w:tc>
          <w:tcPr>
            <w:tcW w:w="469" w:type="pct"/>
            <w:vAlign w:val="center"/>
          </w:tcPr>
          <w:p w14:paraId="70284855"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-73.7%</w:t>
            </w:r>
          </w:p>
        </w:tc>
        <w:tc>
          <w:tcPr>
            <w:tcW w:w="471" w:type="pct"/>
            <w:vAlign w:val="center"/>
          </w:tcPr>
          <w:p w14:paraId="546BD605"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-21.7%</w:t>
            </w:r>
          </w:p>
        </w:tc>
      </w:tr>
      <w:tr w:rsidR="00B75142" w:rsidRPr="00AE3438" w14:paraId="21F4C4E1" w14:textId="77777777" w:rsidTr="00B75142">
        <w:trPr>
          <w:cantSplit/>
        </w:trPr>
        <w:tc>
          <w:tcPr>
            <w:tcW w:w="1951" w:type="pct"/>
            <w:vAlign w:val="center"/>
          </w:tcPr>
          <w:p w14:paraId="05138716"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15 years</w:t>
            </w:r>
          </w:p>
        </w:tc>
        <w:tc>
          <w:tcPr>
            <w:tcW w:w="702" w:type="pct"/>
            <w:vAlign w:val="center"/>
          </w:tcPr>
          <w:p w14:paraId="5931F809" w14:textId="5C3D1F5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w:t>
            </w:r>
            <w:r w:rsidR="00284C02" w:rsidRPr="008E4E26">
              <w:rPr>
                <w:rFonts w:ascii="Arial Narrow" w:eastAsia="Calibri" w:hAnsi="Arial Narrow" w:cstheme="majorBidi" w:hint="eastAsia"/>
                <w:bCs/>
                <w:color w:val="000000"/>
                <w:w w:val="15"/>
                <w:sz w:val="20"/>
                <w:szCs w:val="20"/>
                <w:shd w:val="solid" w:color="000000" w:fill="000000"/>
                <w:fitText w:val="25" w:id="-1305197566"/>
                <w14:textFill>
                  <w14:solidFill>
                    <w14:srgbClr w14:val="000000">
                      <w14:alpha w14:val="100000"/>
                    </w14:srgbClr>
                  </w14:solidFill>
                </w14:textFill>
              </w:rPr>
              <w:t xml:space="preserve">　</w:t>
            </w:r>
            <w:r w:rsidR="00284C02" w:rsidRPr="008E4E26">
              <w:rPr>
                <w:rFonts w:ascii="Arial Narrow" w:eastAsia="Calibri" w:hAnsi="Arial Narrow" w:cstheme="majorBidi"/>
                <w:bCs/>
                <w:color w:val="000000"/>
                <w:w w:val="15"/>
                <w:sz w:val="20"/>
                <w:szCs w:val="20"/>
                <w:shd w:val="solid" w:color="000000" w:fill="000000"/>
                <w:fitText w:val="25" w:id="-1305197566"/>
                <w14:textFill>
                  <w14:solidFill>
                    <w14:srgbClr w14:val="000000">
                      <w14:alpha w14:val="100000"/>
                    </w14:srgbClr>
                  </w14:solidFill>
                </w14:textFill>
              </w:rPr>
              <w:t>|</w:t>
            </w:r>
            <w:r w:rsidR="00284C02" w:rsidRPr="008E4E26">
              <w:rPr>
                <w:rFonts w:ascii="Arial Narrow" w:eastAsia="Calibri" w:hAnsi="Arial Narrow" w:cstheme="majorBidi" w:hint="eastAsia"/>
                <w:bCs/>
                <w:color w:val="000000"/>
                <w:spacing w:val="-40"/>
                <w:w w:val="15"/>
                <w:sz w:val="20"/>
                <w:szCs w:val="20"/>
                <w:shd w:val="solid" w:color="000000" w:fill="000000"/>
                <w:fitText w:val="25" w:id="-1305197566"/>
                <w14:textFill>
                  <w14:solidFill>
                    <w14:srgbClr w14:val="000000">
                      <w14:alpha w14:val="100000"/>
                    </w14:srgbClr>
                  </w14:solidFill>
                </w14:textFill>
              </w:rPr>
              <w:t xml:space="preserve">　</w:t>
            </w:r>
          </w:p>
        </w:tc>
        <w:tc>
          <w:tcPr>
            <w:tcW w:w="546" w:type="pct"/>
            <w:vAlign w:val="center"/>
          </w:tcPr>
          <w:p w14:paraId="6D054F14"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2.71</w:t>
            </w:r>
          </w:p>
        </w:tc>
        <w:tc>
          <w:tcPr>
            <w:tcW w:w="861" w:type="pct"/>
            <w:shd w:val="clear" w:color="auto" w:fill="auto"/>
            <w:vAlign w:val="center"/>
          </w:tcPr>
          <w:p w14:paraId="7FB79BFC" w14:textId="0DD7F8F5"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w:t>
            </w:r>
            <w:r w:rsidR="00284C02" w:rsidRPr="00284C02">
              <w:rPr>
                <w:rFonts w:ascii="Arial Narrow" w:eastAsia="Calibri" w:hAnsi="Arial Narrow" w:cstheme="majorBidi"/>
                <w:bCs/>
                <w:color w:val="000000"/>
                <w:sz w:val="20"/>
                <w:szCs w:val="20"/>
                <w:shd w:val="solid" w:color="000000" w:fill="000000"/>
                <w14:textFill>
                  <w14:solidFill>
                    <w14:srgbClr w14:val="000000">
                      <w14:alpha w14:val="100000"/>
                    </w14:srgbClr>
                  </w14:solidFill>
                </w14:textFill>
              </w:rPr>
              <w:t>|</w:t>
            </w:r>
            <w:r w:rsidR="00F66267">
              <w:rPr>
                <w:rFonts w:ascii="Arial Narrow" w:eastAsiaTheme="majorEastAsia" w:hAnsi="Arial Narrow" w:cstheme="majorBidi"/>
                <w:bCs/>
                <w:sz w:val="20"/>
                <w:vertAlign w:val="superscript"/>
              </w:rPr>
              <w:t>1</w:t>
            </w:r>
          </w:p>
        </w:tc>
        <w:tc>
          <w:tcPr>
            <w:tcW w:w="469" w:type="pct"/>
            <w:vAlign w:val="center"/>
          </w:tcPr>
          <w:p w14:paraId="41E81E23"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-130.8%</w:t>
            </w:r>
          </w:p>
        </w:tc>
        <w:tc>
          <w:tcPr>
            <w:tcW w:w="471" w:type="pct"/>
            <w:vAlign w:val="center"/>
          </w:tcPr>
          <w:p w14:paraId="00D90DD8"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-35.5%</w:t>
            </w:r>
          </w:p>
        </w:tc>
      </w:tr>
      <w:tr w:rsidR="00B75142" w:rsidRPr="00AE3438" w14:paraId="15491D59" w14:textId="77777777" w:rsidTr="00B75142">
        <w:trPr>
          <w:cantSplit/>
          <w:trHeight w:val="283"/>
        </w:trPr>
        <w:tc>
          <w:tcPr>
            <w:tcW w:w="1951" w:type="pct"/>
            <w:vAlign w:val="center"/>
          </w:tcPr>
          <w:p w14:paraId="4631A210"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10 years</w:t>
            </w:r>
          </w:p>
        </w:tc>
        <w:tc>
          <w:tcPr>
            <w:tcW w:w="702" w:type="pct"/>
            <w:vAlign w:val="center"/>
          </w:tcPr>
          <w:p w14:paraId="7923193C" w14:textId="381E4391" w:rsidR="00B75142" w:rsidRPr="00AE3438" w:rsidRDefault="00B75142" w:rsidP="00B75142">
            <w:pPr>
              <w:keepNext/>
              <w:jc w:val="center"/>
              <w:rPr>
                <w:rFonts w:ascii="Arial Narrow" w:eastAsiaTheme="majorEastAsia" w:hAnsi="Arial Narrow" w:cstheme="majorBidi"/>
                <w:bCs/>
                <w:sz w:val="20"/>
                <w:highlight w:val="black"/>
              </w:rPr>
            </w:pPr>
            <w:r w:rsidRPr="00AE3438">
              <w:rPr>
                <w:rFonts w:ascii="Arial Narrow" w:eastAsia="Calibri" w:hAnsi="Arial Narrow" w:cstheme="majorBidi"/>
                <w:bCs/>
                <w:sz w:val="20"/>
                <w:szCs w:val="20"/>
              </w:rPr>
              <w:t>$</w:t>
            </w:r>
            <w:r w:rsidR="00284C02" w:rsidRPr="008E4E26">
              <w:rPr>
                <w:rFonts w:ascii="Arial Narrow" w:eastAsia="Calibri" w:hAnsi="Arial Narrow" w:cstheme="majorBidi" w:hint="eastAsia"/>
                <w:bCs/>
                <w:color w:val="000000"/>
                <w:w w:val="15"/>
                <w:sz w:val="20"/>
                <w:szCs w:val="20"/>
                <w:shd w:val="solid" w:color="000000" w:fill="000000"/>
                <w:fitText w:val="25" w:id="-1305197565"/>
                <w14:textFill>
                  <w14:solidFill>
                    <w14:srgbClr w14:val="000000">
                      <w14:alpha w14:val="100000"/>
                    </w14:srgbClr>
                  </w14:solidFill>
                </w14:textFill>
              </w:rPr>
              <w:t xml:space="preserve">　</w:t>
            </w:r>
            <w:r w:rsidR="00284C02" w:rsidRPr="008E4E26">
              <w:rPr>
                <w:rFonts w:ascii="Arial Narrow" w:eastAsia="Calibri" w:hAnsi="Arial Narrow" w:cstheme="majorBidi"/>
                <w:bCs/>
                <w:color w:val="000000"/>
                <w:w w:val="15"/>
                <w:sz w:val="20"/>
                <w:szCs w:val="20"/>
                <w:shd w:val="solid" w:color="000000" w:fill="000000"/>
                <w:fitText w:val="25" w:id="-1305197565"/>
                <w14:textFill>
                  <w14:solidFill>
                    <w14:srgbClr w14:val="000000">
                      <w14:alpha w14:val="100000"/>
                    </w14:srgbClr>
                  </w14:solidFill>
                </w14:textFill>
              </w:rPr>
              <w:t>|</w:t>
            </w:r>
            <w:r w:rsidR="00284C02" w:rsidRPr="008E4E26">
              <w:rPr>
                <w:rFonts w:ascii="Arial Narrow" w:eastAsia="Calibri" w:hAnsi="Arial Narrow" w:cstheme="majorBidi" w:hint="eastAsia"/>
                <w:bCs/>
                <w:color w:val="000000"/>
                <w:spacing w:val="-40"/>
                <w:w w:val="15"/>
                <w:sz w:val="20"/>
                <w:szCs w:val="20"/>
                <w:shd w:val="solid" w:color="000000" w:fill="000000"/>
                <w:fitText w:val="25" w:id="-1305197565"/>
                <w14:textFill>
                  <w14:solidFill>
                    <w14:srgbClr w14:val="000000">
                      <w14:alpha w14:val="100000"/>
                    </w14:srgbClr>
                  </w14:solidFill>
                </w14:textFill>
              </w:rPr>
              <w:t xml:space="preserve">　</w:t>
            </w:r>
          </w:p>
        </w:tc>
        <w:tc>
          <w:tcPr>
            <w:tcW w:w="546" w:type="pct"/>
            <w:vAlign w:val="center"/>
          </w:tcPr>
          <w:p w14:paraId="528C1E03"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2.01</w:t>
            </w:r>
          </w:p>
        </w:tc>
        <w:tc>
          <w:tcPr>
            <w:tcW w:w="861" w:type="pct"/>
            <w:vAlign w:val="center"/>
          </w:tcPr>
          <w:p w14:paraId="646845CF" w14:textId="258F9FC2" w:rsidR="00B75142" w:rsidRPr="00AE3438" w:rsidRDefault="00B75142" w:rsidP="00B75142">
            <w:pPr>
              <w:keepNext/>
              <w:jc w:val="center"/>
              <w:rPr>
                <w:rFonts w:ascii="Arial Narrow" w:eastAsiaTheme="majorEastAsia" w:hAnsi="Arial Narrow" w:cstheme="majorBidi"/>
                <w:bCs/>
                <w:sz w:val="20"/>
                <w:highlight w:val="black"/>
              </w:rPr>
            </w:pPr>
            <w:r w:rsidRPr="00AE3438">
              <w:rPr>
                <w:rFonts w:ascii="Arial Narrow" w:eastAsia="Calibri" w:hAnsi="Arial Narrow" w:cstheme="majorBidi"/>
                <w:bCs/>
                <w:sz w:val="20"/>
                <w:szCs w:val="20"/>
              </w:rPr>
              <w:t>$</w:t>
            </w:r>
            <w:r w:rsidR="00284C02" w:rsidRPr="00284C02">
              <w:rPr>
                <w:rFonts w:ascii="Arial Narrow" w:eastAsia="Calibri" w:hAnsi="Arial Narrow" w:cstheme="majorBidi"/>
                <w:bCs/>
                <w:color w:val="000000"/>
                <w:sz w:val="20"/>
                <w:szCs w:val="20"/>
                <w:shd w:val="solid" w:color="000000" w:fill="000000"/>
                <w14:textFill>
                  <w14:solidFill>
                    <w14:srgbClr w14:val="000000">
                      <w14:alpha w14:val="100000"/>
                    </w14:srgbClr>
                  </w14:solidFill>
                </w14:textFill>
              </w:rPr>
              <w:t>|</w:t>
            </w:r>
            <w:r w:rsidR="00F66267">
              <w:rPr>
                <w:rFonts w:ascii="Arial Narrow" w:eastAsiaTheme="majorEastAsia" w:hAnsi="Arial Narrow" w:cstheme="majorBidi"/>
                <w:bCs/>
                <w:sz w:val="20"/>
                <w:vertAlign w:val="superscript"/>
              </w:rPr>
              <w:t>2</w:t>
            </w:r>
          </w:p>
        </w:tc>
        <w:tc>
          <w:tcPr>
            <w:tcW w:w="469" w:type="pct"/>
            <w:vAlign w:val="center"/>
          </w:tcPr>
          <w:p w14:paraId="0F4B058C"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-204.5%</w:t>
            </w:r>
          </w:p>
        </w:tc>
        <w:tc>
          <w:tcPr>
            <w:tcW w:w="471" w:type="pct"/>
            <w:vAlign w:val="center"/>
          </w:tcPr>
          <w:p w14:paraId="4C207C30"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-52.1%</w:t>
            </w:r>
          </w:p>
        </w:tc>
      </w:tr>
      <w:tr w:rsidR="00B75142" w:rsidRPr="00AE3438" w14:paraId="69748869" w14:textId="77777777" w:rsidTr="00B75142">
        <w:trPr>
          <w:cantSplit/>
          <w:trHeight w:val="283"/>
        </w:trPr>
        <w:tc>
          <w:tcPr>
            <w:tcW w:w="4529" w:type="pct"/>
            <w:gridSpan w:val="5"/>
            <w:vAlign w:val="center"/>
          </w:tcPr>
          <w:p w14:paraId="30F7A5FE" w14:textId="77777777" w:rsidR="00B75142" w:rsidRPr="00AE3438" w:rsidRDefault="00B75142" w:rsidP="00B75142">
            <w:pPr>
              <w:keepNext/>
              <w:jc w:val="left"/>
              <w:rPr>
                <w:rFonts w:ascii="Arial Narrow" w:eastAsia="Calibri" w:hAnsi="Arial Narrow" w:cstheme="majorBidi"/>
                <w:b/>
                <w:sz w:val="20"/>
                <w:szCs w:val="20"/>
              </w:rPr>
            </w:pPr>
            <w:r w:rsidRPr="00AE3438">
              <w:rPr>
                <w:rFonts w:ascii="Arial Narrow" w:eastAsiaTheme="majorEastAsia" w:hAnsi="Arial Narrow" w:cstheme="majorBidi"/>
                <w:b/>
                <w:sz w:val="20"/>
              </w:rPr>
              <w:t>Discount rate (base case: 5%)</w:t>
            </w:r>
          </w:p>
        </w:tc>
        <w:tc>
          <w:tcPr>
            <w:tcW w:w="471" w:type="pct"/>
            <w:vAlign w:val="center"/>
          </w:tcPr>
          <w:p w14:paraId="27A7BFC4" w14:textId="77777777" w:rsidR="00B75142" w:rsidRPr="00AE3438" w:rsidRDefault="00B75142" w:rsidP="00B75142">
            <w:pPr>
              <w:keepNext/>
              <w:jc w:val="center"/>
              <w:rPr>
                <w:rFonts w:ascii="Arial Narrow" w:eastAsiaTheme="majorEastAsia" w:hAnsi="Arial Narrow" w:cstheme="majorBidi"/>
                <w:b/>
                <w:sz w:val="20"/>
              </w:rPr>
            </w:pPr>
          </w:p>
        </w:tc>
      </w:tr>
      <w:tr w:rsidR="00B75142" w:rsidRPr="00AE3438" w14:paraId="5B32AEBA" w14:textId="77777777" w:rsidTr="00B75142">
        <w:trPr>
          <w:cantSplit/>
          <w:trHeight w:val="283"/>
        </w:trPr>
        <w:tc>
          <w:tcPr>
            <w:tcW w:w="1951" w:type="pct"/>
            <w:vAlign w:val="center"/>
          </w:tcPr>
          <w:p w14:paraId="36A2058D"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0%</w:t>
            </w:r>
          </w:p>
        </w:tc>
        <w:tc>
          <w:tcPr>
            <w:tcW w:w="702" w:type="pct"/>
            <w:vAlign w:val="center"/>
          </w:tcPr>
          <w:p w14:paraId="00BBD129" w14:textId="123153CB"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w:t>
            </w:r>
            <w:r w:rsidR="00284C02" w:rsidRPr="000C49F8">
              <w:rPr>
                <w:rFonts w:ascii="Arial Narrow" w:eastAsia="Calibri" w:hAnsi="Arial Narrow" w:cstheme="majorBidi" w:hint="eastAsia"/>
                <w:bCs/>
                <w:color w:val="000000"/>
                <w:w w:val="15"/>
                <w:sz w:val="20"/>
                <w:szCs w:val="20"/>
                <w:shd w:val="solid" w:color="000000" w:fill="000000"/>
                <w:fitText w:val="50" w:id="-1305197564"/>
                <w14:textFill>
                  <w14:solidFill>
                    <w14:srgbClr w14:val="000000">
                      <w14:alpha w14:val="100000"/>
                    </w14:srgbClr>
                  </w14:solidFill>
                </w14:textFill>
              </w:rPr>
              <w:t xml:space="preserve">　</w:t>
            </w:r>
            <w:r w:rsidR="00284C02" w:rsidRPr="000C49F8">
              <w:rPr>
                <w:rFonts w:ascii="Arial Narrow" w:eastAsia="Calibri" w:hAnsi="Arial Narrow" w:cstheme="majorBidi"/>
                <w:bCs/>
                <w:color w:val="000000"/>
                <w:w w:val="15"/>
                <w:sz w:val="20"/>
                <w:szCs w:val="20"/>
                <w:shd w:val="solid" w:color="000000" w:fill="000000"/>
                <w:fitText w:val="50" w:id="-1305197564"/>
                <w14:textFill>
                  <w14:solidFill>
                    <w14:srgbClr w14:val="000000">
                      <w14:alpha w14:val="100000"/>
                    </w14:srgbClr>
                  </w14:solidFill>
                </w14:textFill>
              </w:rPr>
              <w:t>|</w:t>
            </w:r>
            <w:r w:rsidR="00284C02" w:rsidRPr="000C49F8">
              <w:rPr>
                <w:rFonts w:ascii="Arial Narrow" w:eastAsia="Calibri" w:hAnsi="Arial Narrow" w:cstheme="majorBidi" w:hint="eastAsia"/>
                <w:bCs/>
                <w:color w:val="000000"/>
                <w:spacing w:val="-15"/>
                <w:w w:val="15"/>
                <w:sz w:val="20"/>
                <w:szCs w:val="20"/>
                <w:shd w:val="solid" w:color="000000" w:fill="000000"/>
                <w:fitText w:val="50" w:id="-1305197564"/>
                <w14:textFill>
                  <w14:solidFill>
                    <w14:srgbClr w14:val="000000">
                      <w14:alpha w14:val="100000"/>
                    </w14:srgbClr>
                  </w14:solidFill>
                </w14:textFill>
              </w:rPr>
              <w:t xml:space="preserve">　</w:t>
            </w:r>
          </w:p>
        </w:tc>
        <w:tc>
          <w:tcPr>
            <w:tcW w:w="546" w:type="pct"/>
            <w:vAlign w:val="center"/>
          </w:tcPr>
          <w:p w14:paraId="4053CAB1"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8.09</w:t>
            </w:r>
          </w:p>
        </w:tc>
        <w:tc>
          <w:tcPr>
            <w:tcW w:w="861" w:type="pct"/>
            <w:vAlign w:val="center"/>
          </w:tcPr>
          <w:p w14:paraId="6993B600" w14:textId="6744E278"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 xml:space="preserve">Dominant </w:t>
            </w:r>
          </w:p>
        </w:tc>
        <w:tc>
          <w:tcPr>
            <w:tcW w:w="469" w:type="pct"/>
            <w:vAlign w:val="center"/>
          </w:tcPr>
          <w:p w14:paraId="62BA112A"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+350.6%</w:t>
            </w:r>
          </w:p>
        </w:tc>
        <w:tc>
          <w:tcPr>
            <w:tcW w:w="471" w:type="pct"/>
            <w:vAlign w:val="center"/>
          </w:tcPr>
          <w:p w14:paraId="17315911"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+92.6%</w:t>
            </w:r>
          </w:p>
        </w:tc>
      </w:tr>
      <w:tr w:rsidR="00B75142" w:rsidRPr="00AE3438" w14:paraId="7B0B6EB2" w14:textId="77777777" w:rsidTr="00B75142">
        <w:trPr>
          <w:cantSplit/>
          <w:trHeight w:val="283"/>
        </w:trPr>
        <w:tc>
          <w:tcPr>
            <w:tcW w:w="1951" w:type="pct"/>
            <w:vAlign w:val="center"/>
          </w:tcPr>
          <w:p w14:paraId="4265EF56"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3.5%</w:t>
            </w:r>
          </w:p>
        </w:tc>
        <w:tc>
          <w:tcPr>
            <w:tcW w:w="702" w:type="pct"/>
            <w:vAlign w:val="center"/>
          </w:tcPr>
          <w:p w14:paraId="5B9B80F2" w14:textId="58791986"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w:t>
            </w:r>
            <w:r w:rsidR="00284C02" w:rsidRPr="009D1C84">
              <w:rPr>
                <w:rFonts w:ascii="Arial Narrow" w:eastAsia="Calibri" w:hAnsi="Arial Narrow" w:cstheme="majorBidi" w:hint="eastAsia"/>
                <w:bCs/>
                <w:color w:val="000000"/>
                <w:w w:val="15"/>
                <w:sz w:val="20"/>
                <w:szCs w:val="20"/>
                <w:shd w:val="solid" w:color="000000" w:fill="000000"/>
                <w:fitText w:val="50" w:id="-1305197563"/>
                <w14:textFill>
                  <w14:solidFill>
                    <w14:srgbClr w14:val="000000">
                      <w14:alpha w14:val="100000"/>
                    </w14:srgbClr>
                  </w14:solidFill>
                </w14:textFill>
              </w:rPr>
              <w:t xml:space="preserve">　</w:t>
            </w:r>
            <w:r w:rsidR="00284C02" w:rsidRPr="009D1C84">
              <w:rPr>
                <w:rFonts w:ascii="Arial Narrow" w:eastAsia="Calibri" w:hAnsi="Arial Narrow" w:cstheme="majorBidi"/>
                <w:bCs/>
                <w:color w:val="000000"/>
                <w:w w:val="15"/>
                <w:sz w:val="20"/>
                <w:szCs w:val="20"/>
                <w:shd w:val="solid" w:color="000000" w:fill="000000"/>
                <w:fitText w:val="50" w:id="-1305197563"/>
                <w14:textFill>
                  <w14:solidFill>
                    <w14:srgbClr w14:val="000000">
                      <w14:alpha w14:val="100000"/>
                    </w14:srgbClr>
                  </w14:solidFill>
                </w14:textFill>
              </w:rPr>
              <w:t>|</w:t>
            </w:r>
            <w:r w:rsidR="00284C02" w:rsidRPr="009D1C84">
              <w:rPr>
                <w:rFonts w:ascii="Arial Narrow" w:eastAsia="Calibri" w:hAnsi="Arial Narrow" w:cstheme="majorBidi" w:hint="eastAsia"/>
                <w:bCs/>
                <w:color w:val="000000"/>
                <w:spacing w:val="-25"/>
                <w:w w:val="15"/>
                <w:sz w:val="20"/>
                <w:szCs w:val="20"/>
                <w:shd w:val="solid" w:color="000000" w:fill="000000"/>
                <w:fitText w:val="50" w:id="-1305197563"/>
                <w14:textFill>
                  <w14:solidFill>
                    <w14:srgbClr w14:val="000000">
                      <w14:alpha w14:val="100000"/>
                    </w14:srgbClr>
                  </w14:solidFill>
                </w14:textFill>
              </w:rPr>
              <w:t xml:space="preserve">　</w:t>
            </w:r>
          </w:p>
        </w:tc>
        <w:tc>
          <w:tcPr>
            <w:tcW w:w="546" w:type="pct"/>
            <w:vAlign w:val="center"/>
          </w:tcPr>
          <w:p w14:paraId="77AEA16C"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5.00</w:t>
            </w:r>
          </w:p>
        </w:tc>
        <w:tc>
          <w:tcPr>
            <w:tcW w:w="861" w:type="pct"/>
            <w:vAlign w:val="center"/>
          </w:tcPr>
          <w:p w14:paraId="0173A074" w14:textId="3C61E86A"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Dominant</w:t>
            </w:r>
          </w:p>
        </w:tc>
        <w:tc>
          <w:tcPr>
            <w:tcW w:w="469" w:type="pct"/>
            <w:vAlign w:val="center"/>
          </w:tcPr>
          <w:p w14:paraId="4BDF2B20"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+73.7%</w:t>
            </w:r>
          </w:p>
        </w:tc>
        <w:tc>
          <w:tcPr>
            <w:tcW w:w="471" w:type="pct"/>
            <w:vAlign w:val="center"/>
          </w:tcPr>
          <w:p w14:paraId="4B86522D"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+19.1%</w:t>
            </w:r>
          </w:p>
        </w:tc>
      </w:tr>
      <w:tr w:rsidR="00B75142" w:rsidRPr="00AE3438" w14:paraId="7B012860" w14:textId="77777777" w:rsidTr="00B75142">
        <w:trPr>
          <w:cantSplit/>
          <w:trHeight w:val="283"/>
        </w:trPr>
        <w:tc>
          <w:tcPr>
            <w:tcW w:w="5000" w:type="pct"/>
            <w:gridSpan w:val="6"/>
            <w:vAlign w:val="center"/>
          </w:tcPr>
          <w:p w14:paraId="00A2A784" w14:textId="77777777" w:rsidR="00B75142" w:rsidRPr="00AE3438" w:rsidRDefault="00B75142" w:rsidP="00B75142">
            <w:pPr>
              <w:keepNext/>
              <w:jc w:val="left"/>
              <w:rPr>
                <w:rFonts w:ascii="Arial Narrow" w:eastAsia="Calibri" w:hAnsi="Arial Narrow" w:cstheme="majorBidi"/>
                <w:b/>
                <w:sz w:val="20"/>
                <w:szCs w:val="20"/>
              </w:rPr>
            </w:pPr>
            <w:r w:rsidRPr="00AE3438">
              <w:rPr>
                <w:rFonts w:ascii="Arial Narrow" w:eastAsia="Calibri" w:hAnsi="Arial Narrow" w:cstheme="majorBidi"/>
                <w:b/>
                <w:sz w:val="20"/>
                <w:szCs w:val="20"/>
              </w:rPr>
              <w:t>Survival for patients in ‘2.Sitter’</w:t>
            </w:r>
          </w:p>
        </w:tc>
      </w:tr>
      <w:tr w:rsidR="00B75142" w:rsidRPr="00AE3438" w14:paraId="54A0ED64" w14:textId="77777777" w:rsidTr="00B75142">
        <w:trPr>
          <w:cantSplit/>
          <w:trHeight w:val="283"/>
        </w:trPr>
        <w:tc>
          <w:tcPr>
            <w:tcW w:w="1951" w:type="pct"/>
            <w:vAlign w:val="center"/>
          </w:tcPr>
          <w:p w14:paraId="7676D845"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Assume survival of general population (‘BRND’ survival) for patients in the ‘2.Sitter’ health state</w:t>
            </w:r>
          </w:p>
        </w:tc>
        <w:tc>
          <w:tcPr>
            <w:tcW w:w="702" w:type="pct"/>
            <w:vAlign w:val="center"/>
          </w:tcPr>
          <w:p w14:paraId="4853BBF0" w14:textId="61999748"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w:t>
            </w:r>
            <w:r w:rsidR="00284C02" w:rsidRPr="009D1C84">
              <w:rPr>
                <w:rFonts w:ascii="Arial Narrow" w:eastAsiaTheme="majorEastAsia" w:hAnsi="Arial Narrow" w:cstheme="majorBidi" w:hint="eastAsia"/>
                <w:bCs/>
                <w:color w:val="000000"/>
                <w:w w:val="15"/>
                <w:sz w:val="20"/>
                <w:shd w:val="solid" w:color="000000" w:fill="000000"/>
                <w:fitText w:val="50" w:id="-1305197562"/>
                <w14:textFill>
                  <w14:solidFill>
                    <w14:srgbClr w14:val="000000">
                      <w14:alpha w14:val="100000"/>
                    </w14:srgbClr>
                  </w14:solidFill>
                </w14:textFill>
              </w:rPr>
              <w:t xml:space="preserve">　</w:t>
            </w:r>
            <w:r w:rsidR="00284C02" w:rsidRPr="009D1C84">
              <w:rPr>
                <w:rFonts w:ascii="Arial Narrow" w:eastAsiaTheme="majorEastAsia" w:hAnsi="Arial Narrow" w:cstheme="majorBidi"/>
                <w:bCs/>
                <w:color w:val="000000"/>
                <w:w w:val="15"/>
                <w:sz w:val="20"/>
                <w:shd w:val="solid" w:color="000000" w:fill="000000"/>
                <w:fitText w:val="50" w:id="-1305197562"/>
                <w14:textFill>
                  <w14:solidFill>
                    <w14:srgbClr w14:val="000000">
                      <w14:alpha w14:val="100000"/>
                    </w14:srgbClr>
                  </w14:solidFill>
                </w14:textFill>
              </w:rPr>
              <w:t>|</w:t>
            </w:r>
            <w:r w:rsidR="00284C02" w:rsidRPr="009D1C84">
              <w:rPr>
                <w:rFonts w:ascii="Arial Narrow" w:eastAsiaTheme="majorEastAsia" w:hAnsi="Arial Narrow" w:cstheme="majorBidi" w:hint="eastAsia"/>
                <w:bCs/>
                <w:color w:val="000000"/>
                <w:spacing w:val="-25"/>
                <w:w w:val="15"/>
                <w:sz w:val="20"/>
                <w:shd w:val="solid" w:color="000000" w:fill="000000"/>
                <w:fitText w:val="50" w:id="-1305197562"/>
                <w14:textFill>
                  <w14:solidFill>
                    <w14:srgbClr w14:val="000000">
                      <w14:alpha w14:val="100000"/>
                    </w14:srgbClr>
                  </w14:solidFill>
                </w14:textFill>
              </w:rPr>
              <w:t xml:space="preserve">　</w:t>
            </w:r>
          </w:p>
        </w:tc>
        <w:tc>
          <w:tcPr>
            <w:tcW w:w="546" w:type="pct"/>
            <w:vAlign w:val="center"/>
          </w:tcPr>
          <w:p w14:paraId="4F5DBD2E" w14:textId="77777777"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3.71</w:t>
            </w:r>
          </w:p>
        </w:tc>
        <w:tc>
          <w:tcPr>
            <w:tcW w:w="861" w:type="pct"/>
            <w:vAlign w:val="center"/>
          </w:tcPr>
          <w:p w14:paraId="5A2F6321" w14:textId="7B983C1D"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Dominant</w:t>
            </w:r>
          </w:p>
        </w:tc>
        <w:tc>
          <w:tcPr>
            <w:tcW w:w="469" w:type="pct"/>
            <w:vAlign w:val="center"/>
          </w:tcPr>
          <w:p w14:paraId="66FAC586"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+35.0%</w:t>
            </w:r>
          </w:p>
        </w:tc>
        <w:tc>
          <w:tcPr>
            <w:tcW w:w="471" w:type="pct"/>
            <w:vAlign w:val="center"/>
          </w:tcPr>
          <w:p w14:paraId="3D788C08"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-11.7%</w:t>
            </w:r>
          </w:p>
        </w:tc>
      </w:tr>
      <w:tr w:rsidR="00B75142" w:rsidRPr="00AE3438" w14:paraId="490F6BE7" w14:textId="77777777" w:rsidTr="00B75142">
        <w:trPr>
          <w:cantSplit/>
          <w:trHeight w:val="283"/>
        </w:trPr>
        <w:tc>
          <w:tcPr>
            <w:tcW w:w="4529" w:type="pct"/>
            <w:gridSpan w:val="5"/>
            <w:vAlign w:val="center"/>
          </w:tcPr>
          <w:p w14:paraId="3CBFF10A" w14:textId="77777777" w:rsidR="00B75142" w:rsidRPr="00AE3438" w:rsidRDefault="00B75142" w:rsidP="00B75142">
            <w:pPr>
              <w:keepNext/>
              <w:jc w:val="left"/>
              <w:rPr>
                <w:rFonts w:ascii="Arial Narrow" w:eastAsia="Calibri" w:hAnsi="Arial Narrow" w:cstheme="majorBidi"/>
                <w:b/>
                <w:sz w:val="20"/>
                <w:szCs w:val="20"/>
              </w:rPr>
            </w:pPr>
            <w:r w:rsidRPr="00AE3438">
              <w:rPr>
                <w:rFonts w:ascii="Arial Narrow" w:eastAsia="Calibri" w:hAnsi="Arial Narrow" w:cstheme="majorBidi"/>
                <w:b/>
                <w:sz w:val="20"/>
                <w:szCs w:val="20"/>
              </w:rPr>
              <w:t>Costs</w:t>
            </w:r>
          </w:p>
        </w:tc>
        <w:tc>
          <w:tcPr>
            <w:tcW w:w="471" w:type="pct"/>
            <w:vAlign w:val="center"/>
          </w:tcPr>
          <w:p w14:paraId="2A8EF310" w14:textId="77777777" w:rsidR="00B75142" w:rsidRPr="00AE3438" w:rsidRDefault="00B75142" w:rsidP="00B75142">
            <w:pPr>
              <w:keepNext/>
              <w:jc w:val="center"/>
              <w:rPr>
                <w:rFonts w:ascii="Arial Narrow" w:eastAsia="Calibri" w:hAnsi="Arial Narrow" w:cstheme="majorBidi"/>
                <w:b/>
                <w:sz w:val="20"/>
                <w:szCs w:val="20"/>
              </w:rPr>
            </w:pPr>
          </w:p>
        </w:tc>
      </w:tr>
      <w:tr w:rsidR="00B75142" w:rsidRPr="00AE3438" w14:paraId="08679C90" w14:textId="77777777" w:rsidTr="00B75142">
        <w:trPr>
          <w:cantSplit/>
          <w:trHeight w:val="283"/>
        </w:trPr>
        <w:tc>
          <w:tcPr>
            <w:tcW w:w="1951" w:type="pct"/>
            <w:vAlign w:val="center"/>
          </w:tcPr>
          <w:p w14:paraId="6FAB5482"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Assume ‘BRND’ health state costs are the same as ‘3a. Delayed walker’</w:t>
            </w:r>
          </w:p>
        </w:tc>
        <w:tc>
          <w:tcPr>
            <w:tcW w:w="702" w:type="pct"/>
            <w:tcBorders>
              <w:top w:val="single" w:sz="4" w:space="0" w:color="auto"/>
              <w:left w:val="single" w:sz="4" w:space="0" w:color="auto"/>
              <w:bottom w:val="single" w:sz="4" w:space="0" w:color="auto"/>
              <w:right w:val="single" w:sz="4" w:space="0" w:color="auto"/>
            </w:tcBorders>
            <w:vAlign w:val="center"/>
          </w:tcPr>
          <w:p w14:paraId="1AD5E608" w14:textId="389F1EE0"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w:t>
            </w:r>
            <w:r w:rsidR="00284C02" w:rsidRPr="009D1C84">
              <w:rPr>
                <w:rFonts w:ascii="Arial Narrow" w:eastAsiaTheme="majorEastAsia" w:hAnsi="Arial Narrow" w:cstheme="majorBidi" w:hint="eastAsia"/>
                <w:bCs/>
                <w:color w:val="000000"/>
                <w:w w:val="15"/>
                <w:sz w:val="20"/>
                <w:shd w:val="solid" w:color="000000" w:fill="000000"/>
                <w:fitText w:val="50" w:id="-1305197561"/>
                <w14:textFill>
                  <w14:solidFill>
                    <w14:srgbClr w14:val="000000">
                      <w14:alpha w14:val="100000"/>
                    </w14:srgbClr>
                  </w14:solidFill>
                </w14:textFill>
              </w:rPr>
              <w:t xml:space="preserve">　</w:t>
            </w:r>
            <w:r w:rsidR="00284C02" w:rsidRPr="009D1C84">
              <w:rPr>
                <w:rFonts w:ascii="Arial Narrow" w:eastAsiaTheme="majorEastAsia" w:hAnsi="Arial Narrow" w:cstheme="majorBidi"/>
                <w:bCs/>
                <w:color w:val="000000"/>
                <w:w w:val="15"/>
                <w:sz w:val="20"/>
                <w:shd w:val="solid" w:color="000000" w:fill="000000"/>
                <w:fitText w:val="50" w:id="-1305197561"/>
                <w14:textFill>
                  <w14:solidFill>
                    <w14:srgbClr w14:val="000000">
                      <w14:alpha w14:val="100000"/>
                    </w14:srgbClr>
                  </w14:solidFill>
                </w14:textFill>
              </w:rPr>
              <w:t>|</w:t>
            </w:r>
            <w:r w:rsidR="00284C02" w:rsidRPr="009D1C84">
              <w:rPr>
                <w:rFonts w:ascii="Arial Narrow" w:eastAsiaTheme="majorEastAsia" w:hAnsi="Arial Narrow" w:cstheme="majorBidi" w:hint="eastAsia"/>
                <w:bCs/>
                <w:color w:val="000000"/>
                <w:spacing w:val="-25"/>
                <w:w w:val="15"/>
                <w:sz w:val="20"/>
                <w:shd w:val="solid" w:color="000000" w:fill="000000"/>
                <w:fitText w:val="50" w:id="-1305197561"/>
                <w14:textFill>
                  <w14:solidFill>
                    <w14:srgbClr w14:val="000000">
                      <w14:alpha w14:val="100000"/>
                    </w14:srgbClr>
                  </w14:solidFill>
                </w14:textFill>
              </w:rPr>
              <w:t xml:space="preserve">　</w:t>
            </w:r>
          </w:p>
        </w:tc>
        <w:tc>
          <w:tcPr>
            <w:tcW w:w="546" w:type="pct"/>
            <w:tcBorders>
              <w:top w:val="single" w:sz="4" w:space="0" w:color="auto"/>
              <w:left w:val="single" w:sz="4" w:space="0" w:color="auto"/>
              <w:bottom w:val="single" w:sz="4" w:space="0" w:color="auto"/>
              <w:right w:val="single" w:sz="4" w:space="0" w:color="auto"/>
            </w:tcBorders>
            <w:vAlign w:val="center"/>
          </w:tcPr>
          <w:p w14:paraId="1AE67C7A"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Theme="majorEastAsia" w:hAnsi="Arial Narrow" w:cstheme="majorBidi"/>
                <w:bCs/>
                <w:sz w:val="20"/>
              </w:rPr>
              <w:t>4.20</w:t>
            </w:r>
          </w:p>
        </w:tc>
        <w:tc>
          <w:tcPr>
            <w:tcW w:w="861" w:type="pct"/>
            <w:tcBorders>
              <w:top w:val="single" w:sz="4" w:space="0" w:color="auto"/>
              <w:left w:val="single" w:sz="4" w:space="0" w:color="auto"/>
              <w:bottom w:val="single" w:sz="4" w:space="0" w:color="auto"/>
              <w:right w:val="single" w:sz="4" w:space="0" w:color="auto"/>
            </w:tcBorders>
            <w:vAlign w:val="center"/>
          </w:tcPr>
          <w:p w14:paraId="1742174F" w14:textId="60E144DA" w:rsidR="00B75142" w:rsidRPr="00AE3438" w:rsidRDefault="00B75142" w:rsidP="00B75142">
            <w:pPr>
              <w:keepNext/>
              <w:jc w:val="center"/>
              <w:rPr>
                <w:rFonts w:ascii="Arial Narrow" w:eastAsiaTheme="majorEastAsia" w:hAnsi="Arial Narrow" w:cstheme="majorBidi"/>
                <w:bCs/>
                <w:sz w:val="20"/>
              </w:rPr>
            </w:pPr>
            <w:r w:rsidRPr="00AE3438">
              <w:rPr>
                <w:rFonts w:ascii="Arial Narrow" w:eastAsiaTheme="majorEastAsia" w:hAnsi="Arial Narrow" w:cstheme="majorBidi"/>
                <w:bCs/>
                <w:sz w:val="20"/>
              </w:rPr>
              <w:t>Dominant</w:t>
            </w:r>
          </w:p>
        </w:tc>
        <w:tc>
          <w:tcPr>
            <w:tcW w:w="469" w:type="pct"/>
            <w:vAlign w:val="center"/>
          </w:tcPr>
          <w:p w14:paraId="5D84F402"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-48.6%</w:t>
            </w:r>
          </w:p>
        </w:tc>
        <w:tc>
          <w:tcPr>
            <w:tcW w:w="471" w:type="pct"/>
            <w:vAlign w:val="center"/>
          </w:tcPr>
          <w:p w14:paraId="5091E76A"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w:t>
            </w:r>
          </w:p>
        </w:tc>
      </w:tr>
      <w:tr w:rsidR="00B75142" w:rsidRPr="00AE3438" w14:paraId="3A5EEB24" w14:textId="77777777" w:rsidTr="00B75142">
        <w:trPr>
          <w:cantSplit/>
          <w:trHeight w:val="283"/>
        </w:trPr>
        <w:tc>
          <w:tcPr>
            <w:tcW w:w="4529" w:type="pct"/>
            <w:gridSpan w:val="5"/>
            <w:vAlign w:val="center"/>
          </w:tcPr>
          <w:p w14:paraId="09EDE5A1" w14:textId="77777777" w:rsidR="00B75142" w:rsidRPr="00AE3438" w:rsidRDefault="00B75142" w:rsidP="00B75142">
            <w:pPr>
              <w:keepNext/>
              <w:jc w:val="left"/>
              <w:rPr>
                <w:rFonts w:ascii="Arial Narrow" w:eastAsia="Calibri" w:hAnsi="Arial Narrow" w:cstheme="majorBidi"/>
                <w:b/>
                <w:sz w:val="20"/>
                <w:szCs w:val="20"/>
              </w:rPr>
            </w:pPr>
            <w:r w:rsidRPr="00AE3438">
              <w:rPr>
                <w:rFonts w:ascii="Arial Narrow" w:eastAsia="Calibri" w:hAnsi="Arial Narrow" w:cstheme="majorBidi"/>
                <w:b/>
                <w:sz w:val="20"/>
                <w:szCs w:val="20"/>
              </w:rPr>
              <w:t>Utilities</w:t>
            </w:r>
          </w:p>
        </w:tc>
        <w:tc>
          <w:tcPr>
            <w:tcW w:w="471" w:type="pct"/>
            <w:vAlign w:val="center"/>
          </w:tcPr>
          <w:p w14:paraId="068F1680" w14:textId="77777777" w:rsidR="00B75142" w:rsidRPr="00AE3438" w:rsidRDefault="00B75142" w:rsidP="00B75142">
            <w:pPr>
              <w:keepNext/>
              <w:jc w:val="center"/>
              <w:rPr>
                <w:rFonts w:ascii="Arial Narrow" w:eastAsia="Calibri" w:hAnsi="Arial Narrow" w:cstheme="majorBidi"/>
                <w:b/>
                <w:sz w:val="20"/>
                <w:szCs w:val="20"/>
              </w:rPr>
            </w:pPr>
          </w:p>
        </w:tc>
      </w:tr>
      <w:tr w:rsidR="00B75142" w:rsidRPr="00AE3438" w14:paraId="21F6589C" w14:textId="77777777" w:rsidTr="00B75142">
        <w:trPr>
          <w:cantSplit/>
          <w:trHeight w:val="283"/>
        </w:trPr>
        <w:tc>
          <w:tcPr>
            <w:tcW w:w="1951" w:type="pct"/>
            <w:vAlign w:val="center"/>
          </w:tcPr>
          <w:p w14:paraId="666F9838"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Use of case vignette values as reported in Malone 2019.</w:t>
            </w:r>
          </w:p>
        </w:tc>
        <w:tc>
          <w:tcPr>
            <w:tcW w:w="702" w:type="pct"/>
            <w:vAlign w:val="center"/>
          </w:tcPr>
          <w:p w14:paraId="622F9BDF" w14:textId="461D04F6"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Theme="majorEastAsia" w:hAnsi="Arial Narrow" w:cstheme="majorBidi"/>
                <w:bCs/>
                <w:sz w:val="20"/>
              </w:rPr>
              <w:t>-$</w:t>
            </w:r>
            <w:r w:rsidR="00284C02" w:rsidRPr="009D1C84">
              <w:rPr>
                <w:rFonts w:ascii="Arial Narrow" w:eastAsiaTheme="majorEastAsia" w:hAnsi="Arial Narrow" w:cstheme="majorBidi" w:hint="eastAsia"/>
                <w:bCs/>
                <w:color w:val="000000"/>
                <w:w w:val="15"/>
                <w:sz w:val="20"/>
                <w:shd w:val="solid" w:color="000000" w:fill="000000"/>
                <w:fitText w:val="50" w:id="-1305197560"/>
                <w14:textFill>
                  <w14:solidFill>
                    <w14:srgbClr w14:val="000000">
                      <w14:alpha w14:val="100000"/>
                    </w14:srgbClr>
                  </w14:solidFill>
                </w14:textFill>
              </w:rPr>
              <w:t xml:space="preserve">　</w:t>
            </w:r>
            <w:r w:rsidR="00284C02" w:rsidRPr="009D1C84">
              <w:rPr>
                <w:rFonts w:ascii="Arial Narrow" w:eastAsiaTheme="majorEastAsia" w:hAnsi="Arial Narrow" w:cstheme="majorBidi"/>
                <w:bCs/>
                <w:color w:val="000000"/>
                <w:w w:val="15"/>
                <w:sz w:val="20"/>
                <w:shd w:val="solid" w:color="000000" w:fill="000000"/>
                <w:fitText w:val="50" w:id="-1305197560"/>
                <w14:textFill>
                  <w14:solidFill>
                    <w14:srgbClr w14:val="000000">
                      <w14:alpha w14:val="100000"/>
                    </w14:srgbClr>
                  </w14:solidFill>
                </w14:textFill>
              </w:rPr>
              <w:t>|</w:t>
            </w:r>
            <w:r w:rsidR="00284C02" w:rsidRPr="009D1C84">
              <w:rPr>
                <w:rFonts w:ascii="Arial Narrow" w:eastAsiaTheme="majorEastAsia" w:hAnsi="Arial Narrow" w:cstheme="majorBidi" w:hint="eastAsia"/>
                <w:bCs/>
                <w:color w:val="000000"/>
                <w:spacing w:val="-25"/>
                <w:w w:val="15"/>
                <w:sz w:val="20"/>
                <w:shd w:val="solid" w:color="000000" w:fill="000000"/>
                <w:fitText w:val="50" w:id="-1305197560"/>
                <w14:textFill>
                  <w14:solidFill>
                    <w14:srgbClr w14:val="000000">
                      <w14:alpha w14:val="100000"/>
                    </w14:srgbClr>
                  </w14:solidFill>
                </w14:textFill>
              </w:rPr>
              <w:t xml:space="preserve">　</w:t>
            </w:r>
          </w:p>
        </w:tc>
        <w:tc>
          <w:tcPr>
            <w:tcW w:w="546" w:type="pct"/>
            <w:vAlign w:val="center"/>
          </w:tcPr>
          <w:p w14:paraId="577B99B2"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2.19</w:t>
            </w:r>
          </w:p>
        </w:tc>
        <w:tc>
          <w:tcPr>
            <w:tcW w:w="861" w:type="pct"/>
            <w:vAlign w:val="center"/>
          </w:tcPr>
          <w:p w14:paraId="3BC419C8" w14:textId="3524FE84"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Dominant</w:t>
            </w:r>
          </w:p>
        </w:tc>
        <w:tc>
          <w:tcPr>
            <w:tcW w:w="469" w:type="pct"/>
            <w:vAlign w:val="center"/>
          </w:tcPr>
          <w:p w14:paraId="6D1DD882"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w:t>
            </w:r>
          </w:p>
        </w:tc>
        <w:tc>
          <w:tcPr>
            <w:tcW w:w="471" w:type="pct"/>
            <w:vAlign w:val="center"/>
          </w:tcPr>
          <w:p w14:paraId="2D07DEAD"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-47.9%</w:t>
            </w:r>
          </w:p>
        </w:tc>
      </w:tr>
      <w:tr w:rsidR="00B75142" w:rsidRPr="00AE3438" w14:paraId="0426F85E" w14:textId="77777777" w:rsidTr="00B75142">
        <w:trPr>
          <w:cantSplit/>
          <w:trHeight w:val="283"/>
        </w:trPr>
        <w:tc>
          <w:tcPr>
            <w:tcW w:w="5000" w:type="pct"/>
            <w:gridSpan w:val="6"/>
            <w:vAlign w:val="center"/>
          </w:tcPr>
          <w:p w14:paraId="02B21046" w14:textId="77777777" w:rsidR="00B75142" w:rsidRPr="00AE3438" w:rsidRDefault="00B75142" w:rsidP="00B75142">
            <w:pPr>
              <w:keepNext/>
              <w:jc w:val="left"/>
              <w:rPr>
                <w:rFonts w:ascii="Arial Narrow" w:eastAsia="Calibri" w:hAnsi="Arial Narrow" w:cstheme="majorBidi"/>
                <w:b/>
                <w:sz w:val="20"/>
                <w:szCs w:val="20"/>
              </w:rPr>
            </w:pPr>
            <w:r w:rsidRPr="00AE3438">
              <w:rPr>
                <w:rFonts w:ascii="Arial Narrow" w:eastAsia="Calibri" w:hAnsi="Arial Narrow" w:cstheme="majorBidi"/>
                <w:b/>
                <w:sz w:val="20"/>
                <w:szCs w:val="20"/>
              </w:rPr>
              <w:t>Allow sequential treatment</w:t>
            </w:r>
            <w:r w:rsidRPr="00AE3438">
              <w:rPr>
                <w:rFonts w:ascii="Arial Narrow" w:eastAsia="Calibri" w:hAnsi="Arial Narrow" w:cstheme="majorBidi"/>
                <w:b/>
                <w:sz w:val="20"/>
                <w:szCs w:val="20"/>
                <w:vertAlign w:val="superscript"/>
              </w:rPr>
              <w:t>a</w:t>
            </w:r>
            <w:r w:rsidRPr="00AE3438">
              <w:rPr>
                <w:rFonts w:ascii="Arial Narrow" w:eastAsia="Calibri" w:hAnsi="Arial Narrow" w:cstheme="majorBidi"/>
                <w:b/>
                <w:sz w:val="20"/>
                <w:szCs w:val="20"/>
              </w:rPr>
              <w:t>:</w:t>
            </w:r>
          </w:p>
        </w:tc>
      </w:tr>
      <w:tr w:rsidR="00B75142" w:rsidRPr="00AE3438" w14:paraId="26AEF5AF" w14:textId="77777777" w:rsidTr="00B75142">
        <w:trPr>
          <w:cantSplit/>
          <w:trHeight w:val="1551"/>
        </w:trPr>
        <w:tc>
          <w:tcPr>
            <w:tcW w:w="1951" w:type="pct"/>
            <w:vAlign w:val="center"/>
          </w:tcPr>
          <w:p w14:paraId="6612E4B2"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Allow Type I symptomatic patients to be treated with ONA first (at its effective price)</w:t>
            </w:r>
          </w:p>
          <w:p w14:paraId="7DDC7A7C" w14:textId="77777777" w:rsidR="00B75142" w:rsidRPr="00AE3438" w:rsidRDefault="00B75142" w:rsidP="00B75142">
            <w:pPr>
              <w:keepNext/>
              <w:jc w:val="left"/>
              <w:rPr>
                <w:rFonts w:ascii="Arial Narrow" w:eastAsiaTheme="majorEastAsia" w:hAnsi="Arial Narrow" w:cstheme="majorBidi"/>
                <w:bCs/>
                <w:sz w:val="20"/>
              </w:rPr>
            </w:pPr>
            <w:r w:rsidRPr="00AE3438">
              <w:rPr>
                <w:rFonts w:ascii="Arial Narrow" w:eastAsiaTheme="majorEastAsia" w:hAnsi="Arial Narrow" w:cstheme="majorBidi"/>
                <w:bCs/>
                <w:sz w:val="20"/>
              </w:rPr>
              <w:t>Allow sequential treatments:</w:t>
            </w:r>
          </w:p>
          <w:p w14:paraId="0E53E54E" w14:textId="77777777" w:rsidR="00B75142" w:rsidRPr="00AE3438" w:rsidRDefault="00B75142" w:rsidP="00054F33">
            <w:pPr>
              <w:keepNext/>
              <w:numPr>
                <w:ilvl w:val="0"/>
                <w:numId w:val="9"/>
              </w:numPr>
              <w:ind w:left="175" w:hanging="142"/>
              <w:jc w:val="left"/>
              <w:rPr>
                <w:rFonts w:ascii="Arial Narrow" w:eastAsiaTheme="majorEastAsia" w:hAnsi="Arial Narrow" w:cstheme="majorBidi"/>
                <w:bCs/>
                <w:sz w:val="20"/>
              </w:rPr>
            </w:pPr>
            <w:r w:rsidRPr="00AE3438">
              <w:rPr>
                <w:rFonts w:ascii="Arial Narrow" w:eastAsiaTheme="majorEastAsia" w:hAnsi="Arial Narrow" w:cstheme="majorBidi"/>
                <w:bCs/>
                <w:sz w:val="20"/>
              </w:rPr>
              <w:t>NUSI following ONA in pre-symptomatic and symptomatic Type I</w:t>
            </w:r>
          </w:p>
          <w:p w14:paraId="4390975C" w14:textId="77777777" w:rsidR="00B75142" w:rsidRPr="00AE3438" w:rsidRDefault="00B75142" w:rsidP="00054F33">
            <w:pPr>
              <w:keepNext/>
              <w:numPr>
                <w:ilvl w:val="0"/>
                <w:numId w:val="9"/>
              </w:numPr>
              <w:ind w:left="175" w:hanging="142"/>
              <w:jc w:val="left"/>
              <w:rPr>
                <w:rFonts w:ascii="Arial Narrow" w:eastAsiaTheme="majorEastAsia" w:hAnsi="Arial Narrow" w:cstheme="majorBidi"/>
                <w:bCs/>
                <w:sz w:val="20"/>
              </w:rPr>
            </w:pPr>
            <w:r w:rsidRPr="00AE3438">
              <w:rPr>
                <w:rFonts w:ascii="Arial Narrow" w:eastAsiaTheme="majorEastAsia" w:hAnsi="Arial Narrow" w:cstheme="majorBidi"/>
                <w:bCs/>
                <w:sz w:val="20"/>
              </w:rPr>
              <w:t>NUSI treated symptomatically switch to risdiplam in Type II &amp; IIIa</w:t>
            </w:r>
            <w:r w:rsidRPr="00AE3438">
              <w:rPr>
                <w:rFonts w:ascii="Arial Narrow" w:eastAsiaTheme="majorEastAsia" w:hAnsi="Arial Narrow" w:cstheme="majorBidi"/>
                <w:bCs/>
                <w:sz w:val="20"/>
                <w:vertAlign w:val="superscript"/>
              </w:rPr>
              <w:t>a</w:t>
            </w:r>
          </w:p>
        </w:tc>
        <w:tc>
          <w:tcPr>
            <w:tcW w:w="702" w:type="pct"/>
            <w:vAlign w:val="center"/>
          </w:tcPr>
          <w:p w14:paraId="1D0B7CD7" w14:textId="11BD9AE3"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w:t>
            </w:r>
            <w:r w:rsidR="00284C02" w:rsidRPr="008E4E26">
              <w:rPr>
                <w:rFonts w:ascii="Arial Narrow" w:eastAsia="Calibri" w:hAnsi="Arial Narrow" w:cstheme="majorBidi" w:hint="eastAsia"/>
                <w:bCs/>
                <w:color w:val="000000"/>
                <w:w w:val="15"/>
                <w:sz w:val="20"/>
                <w:szCs w:val="20"/>
                <w:shd w:val="solid" w:color="000000" w:fill="000000"/>
                <w:fitText w:val="25" w:id="-1305197559"/>
                <w14:textFill>
                  <w14:solidFill>
                    <w14:srgbClr w14:val="000000">
                      <w14:alpha w14:val="100000"/>
                    </w14:srgbClr>
                  </w14:solidFill>
                </w14:textFill>
              </w:rPr>
              <w:t xml:space="preserve">　</w:t>
            </w:r>
            <w:r w:rsidR="00284C02" w:rsidRPr="008E4E26">
              <w:rPr>
                <w:rFonts w:ascii="Arial Narrow" w:eastAsia="Calibri" w:hAnsi="Arial Narrow" w:cstheme="majorBidi"/>
                <w:bCs/>
                <w:color w:val="000000"/>
                <w:w w:val="15"/>
                <w:sz w:val="20"/>
                <w:szCs w:val="20"/>
                <w:shd w:val="solid" w:color="000000" w:fill="000000"/>
                <w:fitText w:val="25" w:id="-1305197559"/>
                <w14:textFill>
                  <w14:solidFill>
                    <w14:srgbClr w14:val="000000">
                      <w14:alpha w14:val="100000"/>
                    </w14:srgbClr>
                  </w14:solidFill>
                </w14:textFill>
              </w:rPr>
              <w:t>|</w:t>
            </w:r>
            <w:r w:rsidR="00284C02" w:rsidRPr="008E4E26">
              <w:rPr>
                <w:rFonts w:ascii="Arial Narrow" w:eastAsia="Calibri" w:hAnsi="Arial Narrow" w:cstheme="majorBidi" w:hint="eastAsia"/>
                <w:bCs/>
                <w:color w:val="000000"/>
                <w:spacing w:val="-40"/>
                <w:w w:val="15"/>
                <w:sz w:val="20"/>
                <w:szCs w:val="20"/>
                <w:shd w:val="solid" w:color="000000" w:fill="000000"/>
                <w:fitText w:val="25" w:id="-1305197559"/>
                <w14:textFill>
                  <w14:solidFill>
                    <w14:srgbClr w14:val="000000">
                      <w14:alpha w14:val="100000"/>
                    </w14:srgbClr>
                  </w14:solidFill>
                </w14:textFill>
              </w:rPr>
              <w:t xml:space="preserve">　</w:t>
            </w:r>
          </w:p>
        </w:tc>
        <w:tc>
          <w:tcPr>
            <w:tcW w:w="546" w:type="pct"/>
            <w:vAlign w:val="center"/>
          </w:tcPr>
          <w:p w14:paraId="5CC10478"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4.20</w:t>
            </w:r>
          </w:p>
        </w:tc>
        <w:tc>
          <w:tcPr>
            <w:tcW w:w="861" w:type="pct"/>
            <w:vAlign w:val="center"/>
          </w:tcPr>
          <w:p w14:paraId="73D54A8E" w14:textId="7A783354"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w:t>
            </w:r>
            <w:r w:rsidR="00284C02" w:rsidRPr="00284C02">
              <w:rPr>
                <w:rFonts w:ascii="Arial Narrow" w:eastAsia="Calibri" w:hAnsi="Arial Narrow" w:cstheme="majorBidi"/>
                <w:bCs/>
                <w:color w:val="000000"/>
                <w:sz w:val="20"/>
                <w:szCs w:val="20"/>
                <w:shd w:val="solid" w:color="000000" w:fill="000000"/>
                <w14:textFill>
                  <w14:solidFill>
                    <w14:srgbClr w14:val="000000">
                      <w14:alpha w14:val="100000"/>
                    </w14:srgbClr>
                  </w14:solidFill>
                </w14:textFill>
              </w:rPr>
              <w:t>|</w:t>
            </w:r>
            <w:r w:rsidR="00F66267">
              <w:rPr>
                <w:rFonts w:ascii="Arial Narrow" w:eastAsiaTheme="majorEastAsia" w:hAnsi="Arial Narrow" w:cstheme="majorBidi"/>
                <w:bCs/>
                <w:sz w:val="20"/>
                <w:vertAlign w:val="superscript"/>
              </w:rPr>
              <w:t>3</w:t>
            </w:r>
          </w:p>
        </w:tc>
        <w:tc>
          <w:tcPr>
            <w:tcW w:w="469" w:type="pct"/>
            <w:vAlign w:val="center"/>
          </w:tcPr>
          <w:p w14:paraId="589A170E"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-195.1%</w:t>
            </w:r>
          </w:p>
        </w:tc>
        <w:tc>
          <w:tcPr>
            <w:tcW w:w="471" w:type="pct"/>
            <w:vAlign w:val="center"/>
          </w:tcPr>
          <w:p w14:paraId="2A735C76" w14:textId="77777777" w:rsidR="00B75142" w:rsidRPr="00AE3438" w:rsidRDefault="00B75142" w:rsidP="00B75142">
            <w:pPr>
              <w:keepNext/>
              <w:jc w:val="center"/>
              <w:rPr>
                <w:rFonts w:ascii="Arial Narrow" w:eastAsia="Calibri" w:hAnsi="Arial Narrow" w:cstheme="majorBidi"/>
                <w:bCs/>
                <w:sz w:val="20"/>
                <w:szCs w:val="20"/>
              </w:rPr>
            </w:pPr>
            <w:r w:rsidRPr="00AE3438">
              <w:rPr>
                <w:rFonts w:ascii="Arial Narrow" w:eastAsia="Calibri" w:hAnsi="Arial Narrow" w:cstheme="majorBidi"/>
                <w:bCs/>
                <w:sz w:val="20"/>
                <w:szCs w:val="20"/>
              </w:rPr>
              <w:t>-</w:t>
            </w:r>
          </w:p>
        </w:tc>
      </w:tr>
    </w:tbl>
    <w:p w14:paraId="2A94C707" w14:textId="77777777" w:rsidR="001B040D" w:rsidRPr="00AE3438" w:rsidRDefault="00B75142" w:rsidP="0050327B">
      <w:pPr>
        <w:spacing w:after="120"/>
        <w:contextualSpacing/>
        <w:rPr>
          <w:rFonts w:ascii="Arial Narrow" w:eastAsia="Calibri" w:hAnsi="Arial Narrow"/>
          <w:snapToGrid w:val="0"/>
          <w:sz w:val="18"/>
          <w:szCs w:val="20"/>
        </w:rPr>
      </w:pPr>
      <w:r w:rsidRPr="00AE3438">
        <w:rPr>
          <w:rFonts w:ascii="Arial Narrow" w:hAnsi="Arial Narrow"/>
          <w:snapToGrid w:val="0"/>
          <w:sz w:val="18"/>
          <w:szCs w:val="22"/>
        </w:rPr>
        <w:t xml:space="preserve">Source: compiled during the evaluation. BRND=broad range of normal development, ICER=incremental cost-effectiveness ratio, </w:t>
      </w:r>
      <w:r w:rsidRPr="00AE3438">
        <w:rPr>
          <w:rFonts w:ascii="Arial Narrow" w:eastAsia="Calibri" w:hAnsi="Arial Narrow"/>
          <w:snapToGrid w:val="0"/>
          <w:sz w:val="18"/>
          <w:szCs w:val="20"/>
        </w:rPr>
        <w:t>QALY = quality adjusted life year.</w:t>
      </w:r>
      <w:r w:rsidR="0050327B" w:rsidRPr="00AE3438">
        <w:rPr>
          <w:rFonts w:ascii="Arial Narrow" w:eastAsia="Calibri" w:hAnsi="Arial Narrow"/>
          <w:snapToGrid w:val="0"/>
          <w:sz w:val="18"/>
          <w:szCs w:val="20"/>
        </w:rPr>
        <w:t xml:space="preserve"> </w:t>
      </w:r>
    </w:p>
    <w:p w14:paraId="157AB092" w14:textId="744B02BA" w:rsidR="00B75142" w:rsidRDefault="00B75142" w:rsidP="0050327B">
      <w:pPr>
        <w:spacing w:after="120"/>
        <w:contextualSpacing/>
        <w:rPr>
          <w:rFonts w:ascii="Arial Narrow" w:eastAsia="Calibri" w:hAnsi="Arial Narrow"/>
          <w:snapToGrid w:val="0"/>
          <w:sz w:val="18"/>
          <w:szCs w:val="20"/>
        </w:rPr>
      </w:pPr>
      <w:r w:rsidRPr="00AE3438">
        <w:rPr>
          <w:rFonts w:ascii="Arial Narrow" w:eastAsia="Calibri" w:hAnsi="Arial Narrow"/>
          <w:snapToGrid w:val="0"/>
          <w:sz w:val="18"/>
          <w:szCs w:val="20"/>
          <w:vertAlign w:val="superscript"/>
        </w:rPr>
        <w:t>a</w:t>
      </w:r>
      <w:r w:rsidRPr="00AE3438">
        <w:rPr>
          <w:rFonts w:ascii="Arial Narrow" w:eastAsia="Calibri" w:hAnsi="Arial Narrow"/>
          <w:snapToGrid w:val="0"/>
          <w:sz w:val="18"/>
          <w:szCs w:val="20"/>
        </w:rPr>
        <w:t>Assumed that 50% of pre-symptomatic, symptomatic Type I, II and IIIa patients had sequential treatments.</w:t>
      </w:r>
    </w:p>
    <w:p w14:paraId="3542EC49" w14:textId="77777777" w:rsidR="00F66267" w:rsidRPr="009A6D58" w:rsidRDefault="00F66267" w:rsidP="00F6626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36F70ED" w14:textId="487E4A42" w:rsidR="00F66267" w:rsidRPr="009A6D58" w:rsidRDefault="00F66267" w:rsidP="00F6626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66267">
        <w:rPr>
          <w:rFonts w:ascii="Arial Narrow" w:hAnsi="Arial Narrow"/>
          <w:i/>
          <w:sz w:val="18"/>
          <w:szCs w:val="18"/>
        </w:rPr>
        <w:t>$95,000 to &lt; $115,000</w:t>
      </w:r>
    </w:p>
    <w:p w14:paraId="454C2E15" w14:textId="42F7AAD6" w:rsidR="00F66267" w:rsidRPr="009A6D58" w:rsidRDefault="00F66267" w:rsidP="00F6626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66267">
        <w:rPr>
          <w:rFonts w:ascii="Arial Narrow" w:hAnsi="Arial Narrow"/>
          <w:i/>
          <w:sz w:val="18"/>
          <w:szCs w:val="18"/>
        </w:rPr>
        <w:t>$455,000 to &lt; $555,000</w:t>
      </w:r>
    </w:p>
    <w:p w14:paraId="38D3F212" w14:textId="70B17123" w:rsidR="0050327B" w:rsidRPr="00BE29F1" w:rsidRDefault="00F66267" w:rsidP="00BE29F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66267">
        <w:rPr>
          <w:rFonts w:ascii="Arial Narrow" w:hAnsi="Arial Narrow"/>
          <w:i/>
          <w:sz w:val="18"/>
          <w:szCs w:val="18"/>
        </w:rPr>
        <w:t>$155,000 to &lt; $255,000</w:t>
      </w:r>
    </w:p>
    <w:p w14:paraId="2CD06D7C" w14:textId="681AA38B" w:rsidR="005158F7" w:rsidRPr="00AE3438" w:rsidRDefault="005158F7" w:rsidP="0004525D">
      <w:pPr>
        <w:keepNext/>
        <w:keepLines/>
        <w:spacing w:before="120" w:after="120"/>
        <w:outlineLvl w:val="1"/>
        <w:rPr>
          <w:rFonts w:asciiTheme="minorHAnsi" w:eastAsiaTheme="majorEastAsia" w:hAnsiTheme="minorHAnsi" w:cstheme="majorBidi"/>
          <w:b/>
          <w:i/>
          <w:spacing w:val="5"/>
          <w:kern w:val="28"/>
          <w:sz w:val="28"/>
          <w:szCs w:val="36"/>
        </w:rPr>
      </w:pPr>
      <w:bookmarkStart w:id="72" w:name="_Toc22897646"/>
      <w:r w:rsidRPr="00AE3438">
        <w:rPr>
          <w:rFonts w:asciiTheme="minorHAnsi" w:eastAsiaTheme="majorEastAsia" w:hAnsiTheme="minorHAnsi" w:cstheme="majorBidi"/>
          <w:b/>
          <w:i/>
          <w:spacing w:val="5"/>
          <w:kern w:val="28"/>
          <w:sz w:val="28"/>
          <w:szCs w:val="36"/>
        </w:rPr>
        <w:lastRenderedPageBreak/>
        <w:t>Drug cost/patient/course</w:t>
      </w:r>
      <w:bookmarkEnd w:id="72"/>
      <w:r w:rsidRPr="00AE3438">
        <w:rPr>
          <w:rFonts w:asciiTheme="minorHAnsi" w:eastAsiaTheme="majorEastAsia" w:hAnsiTheme="minorHAnsi" w:cstheme="majorBidi"/>
          <w:b/>
          <w:i/>
          <w:spacing w:val="5"/>
          <w:kern w:val="28"/>
          <w:sz w:val="28"/>
          <w:szCs w:val="36"/>
        </w:rPr>
        <w:t>: $</w:t>
      </w:r>
      <w:r w:rsidR="00284C02" w:rsidRPr="006F3184">
        <w:rPr>
          <w:rFonts w:asciiTheme="minorHAnsi" w:eastAsiaTheme="majorEastAsia" w:hAnsiTheme="minorHAnsi" w:cstheme="majorBidi"/>
          <w:b/>
          <w:i/>
          <w:color w:val="000000"/>
          <w:w w:val="46"/>
          <w:sz w:val="28"/>
          <w:szCs w:val="36"/>
          <w:shd w:val="solid" w:color="000000" w:fill="000000"/>
          <w:fitText w:val="556" w:id="-1305197558"/>
          <w14:textFill>
            <w14:solidFill>
              <w14:srgbClr w14:val="000000">
                <w14:alpha w14:val="100000"/>
              </w14:srgbClr>
            </w14:solidFill>
          </w14:textFill>
        </w:rPr>
        <w:t>||||  |||</w:t>
      </w:r>
      <w:r w:rsidR="00284C02" w:rsidRPr="006F3184">
        <w:rPr>
          <w:rFonts w:asciiTheme="minorHAnsi" w:eastAsiaTheme="majorEastAsia" w:hAnsiTheme="minorHAnsi" w:cstheme="majorBidi"/>
          <w:b/>
          <w:i/>
          <w:color w:val="000000"/>
          <w:spacing w:val="8"/>
          <w:w w:val="46"/>
          <w:sz w:val="28"/>
          <w:szCs w:val="36"/>
          <w:shd w:val="solid" w:color="000000" w:fill="000000"/>
          <w:fitText w:val="556" w:id="-1305197558"/>
          <w14:textFill>
            <w14:solidFill>
              <w14:srgbClr w14:val="000000">
                <w14:alpha w14:val="100000"/>
              </w14:srgbClr>
            </w14:solidFill>
          </w14:textFill>
        </w:rPr>
        <w:t>|</w:t>
      </w:r>
      <w:r w:rsidRPr="00AE3438">
        <w:rPr>
          <w:rFonts w:asciiTheme="minorHAnsi" w:eastAsiaTheme="majorEastAsia" w:hAnsiTheme="minorHAnsi" w:cstheme="majorBidi"/>
          <w:b/>
          <w:i/>
          <w:spacing w:val="5"/>
          <w:kern w:val="28"/>
          <w:sz w:val="28"/>
          <w:szCs w:val="36"/>
        </w:rPr>
        <w:t xml:space="preserve"> per patient (once </w:t>
      </w:r>
      <w:r w:rsidR="00560EE9">
        <w:rPr>
          <w:rFonts w:asciiTheme="minorHAnsi" w:eastAsiaTheme="majorEastAsia" w:hAnsiTheme="minorHAnsi" w:cstheme="majorBidi"/>
          <w:b/>
          <w:i/>
          <w:spacing w:val="5"/>
          <w:kern w:val="28"/>
          <w:sz w:val="28"/>
          <w:szCs w:val="36"/>
        </w:rPr>
        <w:t>per</w:t>
      </w:r>
      <w:r w:rsidRPr="00AE3438">
        <w:rPr>
          <w:rFonts w:asciiTheme="minorHAnsi" w:eastAsiaTheme="majorEastAsia" w:hAnsiTheme="minorHAnsi" w:cstheme="majorBidi"/>
          <w:b/>
          <w:i/>
          <w:spacing w:val="5"/>
          <w:kern w:val="28"/>
          <w:sz w:val="28"/>
          <w:szCs w:val="36"/>
        </w:rPr>
        <w:t xml:space="preserve"> lifetime).</w:t>
      </w:r>
    </w:p>
    <w:p w14:paraId="5586A861" w14:textId="13CAF917" w:rsidR="001A293B" w:rsidRPr="00AE3438" w:rsidRDefault="001A293B" w:rsidP="0004525D">
      <w:pPr>
        <w:pStyle w:val="Caption"/>
        <w:rPr>
          <w:rStyle w:val="CommentReference"/>
          <w:b/>
          <w:bCs w:val="0"/>
          <w:szCs w:val="24"/>
        </w:rPr>
      </w:pPr>
      <w:r w:rsidRPr="00AE3438">
        <w:t xml:space="preserve">Table </w:t>
      </w:r>
      <w:r w:rsidR="008E4E26">
        <w:fldChar w:fldCharType="begin"/>
      </w:r>
      <w:r w:rsidR="008E4E26">
        <w:instrText xml:space="preserve"> SEQ Table \* ARABIC </w:instrText>
      </w:r>
      <w:r w:rsidR="008E4E26">
        <w:fldChar w:fldCharType="separate"/>
      </w:r>
      <w:r w:rsidR="008E4E26">
        <w:rPr>
          <w:noProof/>
        </w:rPr>
        <w:t>14</w:t>
      </w:r>
      <w:r w:rsidR="008E4E26">
        <w:rPr>
          <w:noProof/>
        </w:rPr>
        <w:fldChar w:fldCharType="end"/>
      </w:r>
      <w:r w:rsidRPr="00AE3438">
        <w:t>:</w:t>
      </w:r>
      <w:r w:rsidRPr="00AE3438">
        <w:rPr>
          <w:rStyle w:val="CommentReference"/>
          <w:b/>
          <w:bCs w:val="0"/>
          <w:szCs w:val="24"/>
        </w:rPr>
        <w:t xml:space="preserve"> Drug cost per patient for ONA and comparator drugs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16"/>
        <w:gridCol w:w="1147"/>
        <w:gridCol w:w="961"/>
        <w:gridCol w:w="882"/>
        <w:gridCol w:w="1639"/>
        <w:gridCol w:w="1277"/>
        <w:gridCol w:w="1995"/>
      </w:tblGrid>
      <w:tr w:rsidR="000910D1" w:rsidRPr="00AE3438" w14:paraId="04B9AB94" w14:textId="77777777" w:rsidTr="0004525D">
        <w:trPr>
          <w:cantSplit/>
          <w:tblHeader/>
        </w:trPr>
        <w:tc>
          <w:tcPr>
            <w:tcW w:w="619" w:type="pct"/>
            <w:tcBorders>
              <w:top w:val="single" w:sz="4" w:space="0" w:color="auto"/>
              <w:left w:val="single" w:sz="4" w:space="0" w:color="auto"/>
              <w:bottom w:val="single" w:sz="4" w:space="0" w:color="auto"/>
              <w:right w:val="single" w:sz="4" w:space="0" w:color="auto"/>
            </w:tcBorders>
            <w:vAlign w:val="center"/>
          </w:tcPr>
          <w:p w14:paraId="29F67CC3" w14:textId="77777777" w:rsidR="001A293B" w:rsidRPr="00AE3438" w:rsidRDefault="001A293B" w:rsidP="004028ED">
            <w:pPr>
              <w:pStyle w:val="In-tableHeading"/>
              <w:keepLines/>
              <w:spacing w:line="256" w:lineRule="auto"/>
              <w:jc w:val="center"/>
              <w:rPr>
                <w:szCs w:val="20"/>
                <w:lang w:val="en-AU" w:eastAsia="zh-CN"/>
              </w:rPr>
            </w:pPr>
          </w:p>
        </w:tc>
        <w:tc>
          <w:tcPr>
            <w:tcW w:w="636" w:type="pct"/>
            <w:tcBorders>
              <w:top w:val="single" w:sz="4" w:space="0" w:color="auto"/>
              <w:left w:val="single" w:sz="4" w:space="0" w:color="auto"/>
              <w:bottom w:val="single" w:sz="4" w:space="0" w:color="auto"/>
              <w:right w:val="single" w:sz="4" w:space="0" w:color="auto"/>
            </w:tcBorders>
            <w:vAlign w:val="center"/>
            <w:hideMark/>
          </w:tcPr>
          <w:p w14:paraId="701D116A"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ONA</w:t>
            </w:r>
          </w:p>
          <w:p w14:paraId="263201C6"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Trial dose and duration</w:t>
            </w:r>
          </w:p>
        </w:tc>
        <w:tc>
          <w:tcPr>
            <w:tcW w:w="533" w:type="pct"/>
            <w:tcBorders>
              <w:top w:val="single" w:sz="4" w:space="0" w:color="auto"/>
              <w:left w:val="single" w:sz="4" w:space="0" w:color="auto"/>
              <w:bottom w:val="single" w:sz="4" w:space="0" w:color="auto"/>
              <w:right w:val="single" w:sz="4" w:space="0" w:color="auto"/>
            </w:tcBorders>
            <w:vAlign w:val="center"/>
            <w:hideMark/>
          </w:tcPr>
          <w:p w14:paraId="677AE2EB"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ONA</w:t>
            </w:r>
          </w:p>
          <w:p w14:paraId="706030FA"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Model</w:t>
            </w:r>
          </w:p>
        </w:tc>
        <w:tc>
          <w:tcPr>
            <w:tcW w:w="489" w:type="pct"/>
            <w:tcBorders>
              <w:top w:val="single" w:sz="4" w:space="0" w:color="auto"/>
              <w:left w:val="single" w:sz="4" w:space="0" w:color="auto"/>
              <w:bottom w:val="single" w:sz="4" w:space="0" w:color="auto"/>
              <w:right w:val="single" w:sz="4" w:space="0" w:color="auto"/>
            </w:tcBorders>
            <w:vAlign w:val="center"/>
            <w:hideMark/>
          </w:tcPr>
          <w:p w14:paraId="3543DE55"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ONA</w:t>
            </w:r>
          </w:p>
          <w:p w14:paraId="07B531EF"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Financial estimates</w:t>
            </w:r>
          </w:p>
        </w:tc>
        <w:tc>
          <w:tcPr>
            <w:tcW w:w="909" w:type="pct"/>
            <w:tcBorders>
              <w:top w:val="single" w:sz="4" w:space="0" w:color="auto"/>
              <w:left w:val="single" w:sz="4" w:space="0" w:color="auto"/>
              <w:bottom w:val="single" w:sz="4" w:space="0" w:color="auto"/>
              <w:right w:val="single" w:sz="4" w:space="0" w:color="auto"/>
            </w:tcBorders>
            <w:vAlign w:val="center"/>
            <w:hideMark/>
          </w:tcPr>
          <w:p w14:paraId="4D494323"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Comparator</w:t>
            </w:r>
          </w:p>
          <w:p w14:paraId="0EA18117"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Trial dose and duration</w:t>
            </w:r>
          </w:p>
        </w:tc>
        <w:tc>
          <w:tcPr>
            <w:tcW w:w="708" w:type="pct"/>
            <w:tcBorders>
              <w:top w:val="single" w:sz="4" w:space="0" w:color="auto"/>
              <w:left w:val="single" w:sz="4" w:space="0" w:color="auto"/>
              <w:bottom w:val="single" w:sz="4" w:space="0" w:color="auto"/>
              <w:right w:val="single" w:sz="4" w:space="0" w:color="auto"/>
            </w:tcBorders>
            <w:vAlign w:val="center"/>
            <w:hideMark/>
          </w:tcPr>
          <w:p w14:paraId="64E20DFE"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Comparator</w:t>
            </w:r>
          </w:p>
          <w:p w14:paraId="4F3FC3C8"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Model</w:t>
            </w:r>
          </w:p>
        </w:tc>
        <w:tc>
          <w:tcPr>
            <w:tcW w:w="1106" w:type="pct"/>
            <w:tcBorders>
              <w:top w:val="single" w:sz="4" w:space="0" w:color="auto"/>
              <w:left w:val="single" w:sz="4" w:space="0" w:color="auto"/>
              <w:bottom w:val="single" w:sz="4" w:space="0" w:color="auto"/>
              <w:right w:val="single" w:sz="4" w:space="0" w:color="auto"/>
            </w:tcBorders>
            <w:hideMark/>
          </w:tcPr>
          <w:p w14:paraId="5C46A8D2"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Comparator</w:t>
            </w:r>
          </w:p>
          <w:p w14:paraId="1DC75FFA" w14:textId="77777777" w:rsidR="001A293B" w:rsidRPr="00AE3438" w:rsidRDefault="001A293B" w:rsidP="004028ED">
            <w:pPr>
              <w:pStyle w:val="In-tableHeading"/>
              <w:keepLines/>
              <w:spacing w:line="256" w:lineRule="auto"/>
              <w:jc w:val="center"/>
              <w:rPr>
                <w:szCs w:val="20"/>
                <w:lang w:val="en-AU" w:eastAsia="zh-CN"/>
              </w:rPr>
            </w:pPr>
            <w:r w:rsidRPr="00AE3438">
              <w:rPr>
                <w:szCs w:val="20"/>
                <w:lang w:val="en-AU" w:eastAsia="zh-CN"/>
              </w:rPr>
              <w:t>Financial estimates</w:t>
            </w:r>
          </w:p>
        </w:tc>
      </w:tr>
      <w:tr w:rsidR="00C8671F" w:rsidRPr="00AE3438" w14:paraId="1BF1025E" w14:textId="77777777" w:rsidTr="0004525D">
        <w:trPr>
          <w:cantSplit/>
        </w:trPr>
        <w:tc>
          <w:tcPr>
            <w:tcW w:w="619" w:type="pct"/>
            <w:tcBorders>
              <w:top w:val="single" w:sz="4" w:space="0" w:color="auto"/>
              <w:left w:val="single" w:sz="4" w:space="0" w:color="auto"/>
              <w:bottom w:val="single" w:sz="4" w:space="0" w:color="auto"/>
              <w:right w:val="single" w:sz="4" w:space="0" w:color="auto"/>
            </w:tcBorders>
            <w:vAlign w:val="center"/>
            <w:hideMark/>
          </w:tcPr>
          <w:p w14:paraId="61F7F141" w14:textId="77777777" w:rsidR="001A293B" w:rsidRPr="00AE3438" w:rsidRDefault="001A293B">
            <w:pPr>
              <w:pStyle w:val="TableText0"/>
              <w:spacing w:line="256" w:lineRule="auto"/>
              <w:rPr>
                <w:szCs w:val="20"/>
                <w:lang w:eastAsia="zh-CN"/>
              </w:rPr>
            </w:pPr>
            <w:r w:rsidRPr="00AE3438">
              <w:rPr>
                <w:szCs w:val="20"/>
                <w:lang w:eastAsia="zh-CN"/>
              </w:rPr>
              <w:t>Mean dose</w:t>
            </w:r>
          </w:p>
        </w:tc>
        <w:tc>
          <w:tcPr>
            <w:tcW w:w="636" w:type="pct"/>
            <w:tcBorders>
              <w:top w:val="single" w:sz="4" w:space="0" w:color="auto"/>
              <w:left w:val="single" w:sz="4" w:space="0" w:color="auto"/>
              <w:bottom w:val="single" w:sz="4" w:space="0" w:color="auto"/>
              <w:right w:val="single" w:sz="4" w:space="0" w:color="auto"/>
            </w:tcBorders>
            <w:vAlign w:val="center"/>
            <w:hideMark/>
          </w:tcPr>
          <w:p w14:paraId="7FEF360F" w14:textId="77777777" w:rsidR="001A293B" w:rsidRPr="00AE3438" w:rsidRDefault="001A293B">
            <w:pPr>
              <w:pStyle w:val="TableText0"/>
              <w:spacing w:line="256" w:lineRule="auto"/>
              <w:jc w:val="center"/>
              <w:rPr>
                <w:szCs w:val="20"/>
                <w:lang w:eastAsia="zh-CN"/>
              </w:rPr>
            </w:pPr>
            <w:r w:rsidRPr="00AE3438">
              <w:rPr>
                <w:szCs w:val="20"/>
                <w:lang w:eastAsia="zh-CN"/>
              </w:rPr>
              <w:t>1.1x10</w:t>
            </w:r>
            <w:r w:rsidRPr="00AE3438">
              <w:rPr>
                <w:szCs w:val="20"/>
                <w:vertAlign w:val="superscript"/>
                <w:lang w:eastAsia="zh-CN"/>
              </w:rPr>
              <w:t xml:space="preserve">14 </w:t>
            </w:r>
            <w:r w:rsidRPr="00AE3438">
              <w:rPr>
                <w:szCs w:val="20"/>
                <w:lang w:eastAsia="zh-CN"/>
              </w:rPr>
              <w:t>vg/kg</w:t>
            </w:r>
          </w:p>
        </w:tc>
        <w:tc>
          <w:tcPr>
            <w:tcW w:w="533" w:type="pct"/>
            <w:vMerge w:val="restart"/>
            <w:tcBorders>
              <w:top w:val="single" w:sz="4" w:space="0" w:color="auto"/>
              <w:left w:val="single" w:sz="4" w:space="0" w:color="auto"/>
              <w:bottom w:val="single" w:sz="4" w:space="0" w:color="auto"/>
              <w:right w:val="single" w:sz="4" w:space="0" w:color="auto"/>
            </w:tcBorders>
            <w:vAlign w:val="center"/>
            <w:hideMark/>
          </w:tcPr>
          <w:p w14:paraId="16F9C96C" w14:textId="77777777" w:rsidR="001A293B" w:rsidRPr="00AE3438" w:rsidRDefault="001A293B">
            <w:pPr>
              <w:pStyle w:val="TableText0"/>
              <w:spacing w:line="256" w:lineRule="auto"/>
              <w:jc w:val="center"/>
              <w:rPr>
                <w:b/>
                <w:szCs w:val="20"/>
                <w:lang w:eastAsia="zh-CN"/>
              </w:rPr>
            </w:pPr>
            <w:r w:rsidRPr="00AE3438">
              <w:rPr>
                <w:bCs w:val="0"/>
                <w:szCs w:val="20"/>
                <w:lang w:eastAsia="zh-CN"/>
              </w:rPr>
              <w:t>Once-off injection</w:t>
            </w:r>
          </w:p>
        </w:tc>
        <w:tc>
          <w:tcPr>
            <w:tcW w:w="489" w:type="pct"/>
            <w:vMerge w:val="restart"/>
            <w:tcBorders>
              <w:top w:val="single" w:sz="4" w:space="0" w:color="auto"/>
              <w:left w:val="single" w:sz="4" w:space="0" w:color="auto"/>
              <w:bottom w:val="single" w:sz="4" w:space="0" w:color="auto"/>
              <w:right w:val="single" w:sz="4" w:space="0" w:color="auto"/>
            </w:tcBorders>
            <w:vAlign w:val="center"/>
            <w:hideMark/>
          </w:tcPr>
          <w:p w14:paraId="07B10456" w14:textId="77777777" w:rsidR="001A293B" w:rsidRPr="00AE3438" w:rsidRDefault="001A293B">
            <w:pPr>
              <w:pStyle w:val="TableText0"/>
              <w:spacing w:line="256" w:lineRule="auto"/>
              <w:jc w:val="center"/>
              <w:rPr>
                <w:b/>
                <w:szCs w:val="20"/>
                <w:lang w:eastAsia="zh-CN"/>
              </w:rPr>
            </w:pPr>
            <w:r w:rsidRPr="00AE3438">
              <w:rPr>
                <w:bCs w:val="0"/>
                <w:szCs w:val="20"/>
                <w:lang w:eastAsia="zh-CN"/>
              </w:rPr>
              <w:t>Once-off injection</w:t>
            </w:r>
          </w:p>
        </w:tc>
        <w:tc>
          <w:tcPr>
            <w:tcW w:w="909" w:type="pct"/>
            <w:tcBorders>
              <w:top w:val="single" w:sz="4" w:space="0" w:color="auto"/>
              <w:left w:val="single" w:sz="4" w:space="0" w:color="auto"/>
              <w:bottom w:val="single" w:sz="4" w:space="0" w:color="auto"/>
              <w:right w:val="single" w:sz="4" w:space="0" w:color="auto"/>
            </w:tcBorders>
            <w:vAlign w:val="center"/>
            <w:hideMark/>
          </w:tcPr>
          <w:p w14:paraId="3C0F27BE" w14:textId="2F8443E1" w:rsidR="00C8671F" w:rsidRPr="00AE3438" w:rsidRDefault="00C8671F">
            <w:pPr>
              <w:pStyle w:val="TableText0"/>
              <w:spacing w:line="256" w:lineRule="auto"/>
              <w:jc w:val="center"/>
              <w:rPr>
                <w:szCs w:val="20"/>
                <w:lang w:eastAsia="zh-CN"/>
              </w:rPr>
            </w:pPr>
            <w:r w:rsidRPr="00AE3438">
              <w:rPr>
                <w:szCs w:val="20"/>
                <w:lang w:eastAsia="zh-CN"/>
              </w:rPr>
              <w:t>ONA (once off)</w:t>
            </w:r>
          </w:p>
          <w:p w14:paraId="2D001163" w14:textId="6A9D9FFA" w:rsidR="001A293B" w:rsidRPr="00AE3438" w:rsidRDefault="001A293B">
            <w:pPr>
              <w:pStyle w:val="TableText0"/>
              <w:spacing w:line="256" w:lineRule="auto"/>
              <w:jc w:val="center"/>
              <w:rPr>
                <w:szCs w:val="20"/>
                <w:lang w:eastAsia="zh-CN"/>
              </w:rPr>
            </w:pPr>
            <w:r w:rsidRPr="00AE3438">
              <w:rPr>
                <w:szCs w:val="20"/>
                <w:lang w:eastAsia="zh-CN"/>
              </w:rPr>
              <w:t>NUSI 12 mg^</w:t>
            </w:r>
          </w:p>
          <w:p w14:paraId="76A7DB01" w14:textId="599662DB" w:rsidR="001A293B" w:rsidRPr="00AE3438" w:rsidRDefault="001A293B">
            <w:pPr>
              <w:pStyle w:val="TableText0"/>
              <w:spacing w:line="256" w:lineRule="auto"/>
              <w:jc w:val="center"/>
              <w:rPr>
                <w:szCs w:val="20"/>
                <w:lang w:eastAsia="zh-CN"/>
              </w:rPr>
            </w:pPr>
            <w:r w:rsidRPr="00AE3438">
              <w:rPr>
                <w:szCs w:val="20"/>
                <w:lang w:eastAsia="zh-CN"/>
              </w:rPr>
              <w:t>RISD by age and weight to target exposure</w:t>
            </w:r>
          </w:p>
        </w:tc>
        <w:tc>
          <w:tcPr>
            <w:tcW w:w="708" w:type="pct"/>
            <w:tcBorders>
              <w:top w:val="single" w:sz="4" w:space="0" w:color="auto"/>
              <w:left w:val="single" w:sz="4" w:space="0" w:color="auto"/>
              <w:bottom w:val="single" w:sz="4" w:space="0" w:color="auto"/>
              <w:right w:val="single" w:sz="4" w:space="0" w:color="auto"/>
            </w:tcBorders>
            <w:vAlign w:val="center"/>
            <w:hideMark/>
          </w:tcPr>
          <w:p w14:paraId="610EC15C" w14:textId="3DF15959" w:rsidR="00C8671F" w:rsidRPr="00AE3438" w:rsidRDefault="00C8671F">
            <w:pPr>
              <w:pStyle w:val="TableText0"/>
              <w:spacing w:line="256" w:lineRule="auto"/>
              <w:jc w:val="center"/>
              <w:rPr>
                <w:bCs w:val="0"/>
                <w:szCs w:val="20"/>
                <w:lang w:eastAsia="zh-CN"/>
              </w:rPr>
            </w:pPr>
            <w:r w:rsidRPr="00AE3438">
              <w:rPr>
                <w:bCs w:val="0"/>
                <w:szCs w:val="20"/>
                <w:lang w:eastAsia="zh-CN"/>
              </w:rPr>
              <w:t>NUSI only:</w:t>
            </w:r>
          </w:p>
          <w:p w14:paraId="20899F9D" w14:textId="48A91AC8" w:rsidR="001A293B" w:rsidRPr="00AE3438" w:rsidRDefault="001A293B">
            <w:pPr>
              <w:pStyle w:val="TableText0"/>
              <w:spacing w:line="256" w:lineRule="auto"/>
              <w:jc w:val="center"/>
              <w:rPr>
                <w:bCs w:val="0"/>
                <w:szCs w:val="20"/>
                <w:lang w:eastAsia="zh-CN"/>
              </w:rPr>
            </w:pPr>
            <w:r w:rsidRPr="00AE3438">
              <w:rPr>
                <w:bCs w:val="0"/>
                <w:szCs w:val="20"/>
                <w:lang w:eastAsia="zh-CN"/>
              </w:rPr>
              <w:t>Loading</w:t>
            </w:r>
            <w:r w:rsidR="00C8671F" w:rsidRPr="00AE3438">
              <w:rPr>
                <w:bCs w:val="0"/>
                <w:szCs w:val="20"/>
                <w:lang w:eastAsia="zh-CN"/>
              </w:rPr>
              <w:t xml:space="preserve"> then </w:t>
            </w:r>
            <w:r w:rsidRPr="00AE3438">
              <w:rPr>
                <w:bCs w:val="0"/>
                <w:szCs w:val="20"/>
                <w:lang w:eastAsia="zh-CN"/>
              </w:rPr>
              <w:t>maintenance</w:t>
            </w:r>
            <w:r w:rsidR="00C8671F" w:rsidRPr="00AE3438">
              <w:rPr>
                <w:bCs w:val="0"/>
                <w:szCs w:val="20"/>
                <w:lang w:eastAsia="zh-CN"/>
              </w:rPr>
              <w:t xml:space="preserve"> (</w:t>
            </w:r>
            <w:r w:rsidRPr="00AE3438">
              <w:rPr>
                <w:bCs w:val="0"/>
                <w:szCs w:val="20"/>
                <w:lang w:eastAsia="zh-CN"/>
              </w:rPr>
              <w:t>every 4 m</w:t>
            </w:r>
            <w:r w:rsidR="00DB63FA" w:rsidRPr="00AE3438">
              <w:rPr>
                <w:bCs w:val="0"/>
                <w:szCs w:val="20"/>
                <w:lang w:eastAsia="zh-CN"/>
              </w:rPr>
              <w:t>onth</w:t>
            </w:r>
            <w:r w:rsidRPr="00AE3438">
              <w:rPr>
                <w:bCs w:val="0"/>
                <w:szCs w:val="20"/>
                <w:lang w:eastAsia="zh-CN"/>
              </w:rPr>
              <w:t>s</w:t>
            </w:r>
            <w:r w:rsidR="00C8671F" w:rsidRPr="00AE3438">
              <w:rPr>
                <w:bCs w:val="0"/>
                <w:szCs w:val="20"/>
                <w:lang w:eastAsia="zh-CN"/>
              </w:rPr>
              <w:t xml:space="preserve">) </w:t>
            </w:r>
          </w:p>
        </w:tc>
        <w:tc>
          <w:tcPr>
            <w:tcW w:w="1106" w:type="pct"/>
            <w:tcBorders>
              <w:top w:val="single" w:sz="4" w:space="0" w:color="auto"/>
              <w:left w:val="single" w:sz="4" w:space="0" w:color="auto"/>
              <w:bottom w:val="single" w:sz="4" w:space="0" w:color="auto"/>
              <w:right w:val="single" w:sz="4" w:space="0" w:color="auto"/>
            </w:tcBorders>
            <w:vAlign w:val="center"/>
            <w:hideMark/>
          </w:tcPr>
          <w:p w14:paraId="6DC8D25E" w14:textId="77777777" w:rsidR="00C8671F" w:rsidRPr="00AE3438" w:rsidRDefault="001A293B" w:rsidP="00C8671F">
            <w:pPr>
              <w:pStyle w:val="TableText0"/>
              <w:spacing w:line="256" w:lineRule="auto"/>
              <w:jc w:val="center"/>
              <w:rPr>
                <w:szCs w:val="20"/>
                <w:lang w:eastAsia="zh-CN"/>
              </w:rPr>
            </w:pPr>
            <w:r w:rsidRPr="00AE3438">
              <w:rPr>
                <w:szCs w:val="20"/>
                <w:lang w:eastAsia="zh-CN"/>
              </w:rPr>
              <w:t>50% NUSI</w:t>
            </w:r>
            <w:r w:rsidR="00C8671F" w:rsidRPr="00AE3438">
              <w:rPr>
                <w:szCs w:val="20"/>
                <w:lang w:eastAsia="zh-CN"/>
              </w:rPr>
              <w:t xml:space="preserve"> (12mg)</w:t>
            </w:r>
            <w:r w:rsidRPr="00AE3438">
              <w:rPr>
                <w:szCs w:val="20"/>
                <w:lang w:eastAsia="zh-CN"/>
              </w:rPr>
              <w:t xml:space="preserve">, </w:t>
            </w:r>
          </w:p>
          <w:p w14:paraId="176F17CE" w14:textId="6B9C7F34" w:rsidR="001A293B" w:rsidRPr="00AE3438" w:rsidRDefault="001A293B" w:rsidP="00C8671F">
            <w:pPr>
              <w:pStyle w:val="TableText0"/>
              <w:spacing w:line="256" w:lineRule="auto"/>
              <w:jc w:val="center"/>
              <w:rPr>
                <w:szCs w:val="20"/>
                <w:lang w:eastAsia="zh-CN"/>
              </w:rPr>
            </w:pPr>
            <w:r w:rsidRPr="00AE3438">
              <w:rPr>
                <w:szCs w:val="20"/>
                <w:lang w:eastAsia="zh-CN"/>
              </w:rPr>
              <w:t>50% RISD</w:t>
            </w:r>
            <w:r w:rsidR="00C8671F" w:rsidRPr="00AE3438">
              <w:rPr>
                <w:szCs w:val="20"/>
                <w:lang w:eastAsia="zh-CN"/>
              </w:rPr>
              <w:t xml:space="preserve"> (</w:t>
            </w:r>
            <w:r w:rsidRPr="00AE3438">
              <w:rPr>
                <w:szCs w:val="20"/>
                <w:lang w:eastAsia="zh-CN"/>
              </w:rPr>
              <w:t>548-1,826mg (age dependent</w:t>
            </w:r>
            <w:r w:rsidR="00C8671F" w:rsidRPr="00AE3438">
              <w:rPr>
                <w:szCs w:val="20"/>
                <w:lang w:eastAsia="zh-CN"/>
              </w:rPr>
              <w:t>))</w:t>
            </w:r>
          </w:p>
        </w:tc>
      </w:tr>
      <w:tr w:rsidR="000910D1" w:rsidRPr="00AE3438" w14:paraId="25DA2AD2" w14:textId="77777777" w:rsidTr="0004525D">
        <w:trPr>
          <w:cantSplit/>
        </w:trPr>
        <w:tc>
          <w:tcPr>
            <w:tcW w:w="619" w:type="pct"/>
            <w:tcBorders>
              <w:top w:val="single" w:sz="4" w:space="0" w:color="auto"/>
              <w:left w:val="single" w:sz="4" w:space="0" w:color="auto"/>
              <w:bottom w:val="single" w:sz="4" w:space="0" w:color="auto"/>
              <w:right w:val="single" w:sz="4" w:space="0" w:color="auto"/>
            </w:tcBorders>
            <w:vAlign w:val="center"/>
            <w:hideMark/>
          </w:tcPr>
          <w:p w14:paraId="07F4A366" w14:textId="77777777" w:rsidR="001A293B" w:rsidRPr="00AE3438" w:rsidRDefault="001A293B">
            <w:pPr>
              <w:pStyle w:val="TableText0"/>
              <w:spacing w:line="256" w:lineRule="auto"/>
              <w:rPr>
                <w:szCs w:val="20"/>
                <w:lang w:eastAsia="zh-CN"/>
              </w:rPr>
            </w:pPr>
            <w:r w:rsidRPr="00AE3438">
              <w:rPr>
                <w:szCs w:val="20"/>
                <w:lang w:eastAsia="zh-CN"/>
              </w:rPr>
              <w:t>Mean duration</w:t>
            </w:r>
          </w:p>
        </w:tc>
        <w:tc>
          <w:tcPr>
            <w:tcW w:w="636" w:type="pct"/>
            <w:tcBorders>
              <w:top w:val="single" w:sz="4" w:space="0" w:color="auto"/>
              <w:left w:val="single" w:sz="4" w:space="0" w:color="auto"/>
              <w:bottom w:val="single" w:sz="4" w:space="0" w:color="auto"/>
              <w:right w:val="single" w:sz="4" w:space="0" w:color="auto"/>
            </w:tcBorders>
            <w:vAlign w:val="center"/>
            <w:hideMark/>
          </w:tcPr>
          <w:p w14:paraId="4F2D2BF6" w14:textId="77777777" w:rsidR="001A293B" w:rsidRPr="00AE3438" w:rsidRDefault="001A293B">
            <w:pPr>
              <w:pStyle w:val="TableText0"/>
              <w:spacing w:line="256" w:lineRule="auto"/>
              <w:jc w:val="center"/>
              <w:rPr>
                <w:szCs w:val="20"/>
                <w:lang w:eastAsia="zh-CN"/>
              </w:rPr>
            </w:pPr>
            <w:r w:rsidRPr="00AE3438">
              <w:rPr>
                <w:szCs w:val="20"/>
                <w:lang w:eastAsia="zh-CN"/>
              </w:rPr>
              <w:t>Once-off injection</w:t>
            </w:r>
          </w:p>
        </w:tc>
        <w:tc>
          <w:tcPr>
            <w:tcW w:w="533" w:type="pct"/>
            <w:vMerge/>
            <w:tcBorders>
              <w:top w:val="single" w:sz="4" w:space="0" w:color="auto"/>
              <w:left w:val="single" w:sz="4" w:space="0" w:color="auto"/>
              <w:bottom w:val="single" w:sz="4" w:space="0" w:color="auto"/>
              <w:right w:val="single" w:sz="4" w:space="0" w:color="auto"/>
            </w:tcBorders>
            <w:vAlign w:val="center"/>
            <w:hideMark/>
          </w:tcPr>
          <w:p w14:paraId="12FC6725" w14:textId="77777777" w:rsidR="001A293B" w:rsidRPr="00AE3438" w:rsidRDefault="001A293B">
            <w:pPr>
              <w:spacing w:line="256" w:lineRule="auto"/>
              <w:jc w:val="left"/>
              <w:rPr>
                <w:rFonts w:ascii="Arial Narrow" w:eastAsiaTheme="majorEastAsia" w:hAnsi="Arial Narrow" w:cstheme="majorBidi"/>
                <w:b/>
                <w:bCs/>
                <w:sz w:val="20"/>
                <w:szCs w:val="20"/>
                <w:lang w:eastAsia="zh-CN"/>
              </w:rPr>
            </w:pPr>
          </w:p>
        </w:tc>
        <w:tc>
          <w:tcPr>
            <w:tcW w:w="489" w:type="pct"/>
            <w:vMerge/>
            <w:tcBorders>
              <w:top w:val="single" w:sz="4" w:space="0" w:color="auto"/>
              <w:left w:val="single" w:sz="4" w:space="0" w:color="auto"/>
              <w:bottom w:val="single" w:sz="4" w:space="0" w:color="auto"/>
              <w:right w:val="single" w:sz="4" w:space="0" w:color="auto"/>
            </w:tcBorders>
            <w:vAlign w:val="center"/>
            <w:hideMark/>
          </w:tcPr>
          <w:p w14:paraId="780DA3B2" w14:textId="77777777" w:rsidR="001A293B" w:rsidRPr="00AE3438" w:rsidRDefault="001A293B">
            <w:pPr>
              <w:spacing w:line="256" w:lineRule="auto"/>
              <w:jc w:val="left"/>
              <w:rPr>
                <w:rFonts w:ascii="Arial Narrow" w:eastAsiaTheme="majorEastAsia" w:hAnsi="Arial Narrow" w:cstheme="majorBidi"/>
                <w:b/>
                <w:bCs/>
                <w:sz w:val="20"/>
                <w:szCs w:val="20"/>
                <w:lang w:eastAsia="zh-CN"/>
              </w:rPr>
            </w:pPr>
          </w:p>
        </w:tc>
        <w:tc>
          <w:tcPr>
            <w:tcW w:w="909" w:type="pct"/>
            <w:tcBorders>
              <w:top w:val="single" w:sz="4" w:space="0" w:color="auto"/>
              <w:left w:val="single" w:sz="4" w:space="0" w:color="auto"/>
              <w:bottom w:val="single" w:sz="4" w:space="0" w:color="auto"/>
              <w:right w:val="single" w:sz="4" w:space="0" w:color="auto"/>
            </w:tcBorders>
            <w:vAlign w:val="center"/>
            <w:hideMark/>
          </w:tcPr>
          <w:p w14:paraId="3E4DD8C7" w14:textId="2386A732" w:rsidR="001A293B" w:rsidRPr="00AE3438" w:rsidRDefault="001A293B">
            <w:pPr>
              <w:pStyle w:val="TableText0"/>
              <w:spacing w:line="256" w:lineRule="auto"/>
              <w:jc w:val="center"/>
              <w:rPr>
                <w:szCs w:val="20"/>
                <w:lang w:eastAsia="zh-CN"/>
              </w:rPr>
            </w:pPr>
            <w:r w:rsidRPr="00AE3438">
              <w:rPr>
                <w:szCs w:val="20"/>
                <w:lang w:eastAsia="zh-CN"/>
              </w:rPr>
              <w:t>Varied</w:t>
            </w:r>
          </w:p>
        </w:tc>
        <w:tc>
          <w:tcPr>
            <w:tcW w:w="708" w:type="pct"/>
            <w:tcBorders>
              <w:top w:val="single" w:sz="4" w:space="0" w:color="auto"/>
              <w:left w:val="single" w:sz="4" w:space="0" w:color="auto"/>
              <w:bottom w:val="single" w:sz="4" w:space="0" w:color="auto"/>
              <w:right w:val="single" w:sz="4" w:space="0" w:color="auto"/>
            </w:tcBorders>
            <w:vAlign w:val="center"/>
            <w:hideMark/>
          </w:tcPr>
          <w:p w14:paraId="4B822089" w14:textId="77777777" w:rsidR="001A293B" w:rsidRPr="00AE3438" w:rsidRDefault="001A293B">
            <w:pPr>
              <w:pStyle w:val="TableText0"/>
              <w:spacing w:line="256" w:lineRule="auto"/>
              <w:jc w:val="center"/>
              <w:rPr>
                <w:bCs w:val="0"/>
                <w:szCs w:val="20"/>
                <w:lang w:eastAsia="zh-CN"/>
              </w:rPr>
            </w:pPr>
            <w:r w:rsidRPr="00AE3438">
              <w:rPr>
                <w:bCs w:val="0"/>
                <w:szCs w:val="20"/>
                <w:lang w:eastAsia="zh-CN"/>
              </w:rPr>
              <w:t>Ongoing tx</w:t>
            </w:r>
          </w:p>
        </w:tc>
        <w:tc>
          <w:tcPr>
            <w:tcW w:w="1106" w:type="pct"/>
            <w:tcBorders>
              <w:top w:val="single" w:sz="4" w:space="0" w:color="auto"/>
              <w:left w:val="single" w:sz="4" w:space="0" w:color="auto"/>
              <w:bottom w:val="single" w:sz="4" w:space="0" w:color="auto"/>
              <w:right w:val="single" w:sz="4" w:space="0" w:color="auto"/>
            </w:tcBorders>
            <w:hideMark/>
          </w:tcPr>
          <w:p w14:paraId="5A27043B" w14:textId="77777777" w:rsidR="001A293B" w:rsidRPr="00AE3438" w:rsidRDefault="001A293B">
            <w:pPr>
              <w:pStyle w:val="TableText0"/>
              <w:spacing w:line="256" w:lineRule="auto"/>
              <w:jc w:val="center"/>
              <w:rPr>
                <w:szCs w:val="20"/>
                <w:lang w:eastAsia="zh-CN"/>
              </w:rPr>
            </w:pPr>
            <w:r w:rsidRPr="00AE3438">
              <w:rPr>
                <w:szCs w:val="20"/>
                <w:lang w:eastAsia="zh-CN"/>
              </w:rPr>
              <w:t>6 years (ongoing)</w:t>
            </w:r>
          </w:p>
        </w:tc>
      </w:tr>
      <w:tr w:rsidR="000910D1" w:rsidRPr="00AE3438" w14:paraId="492C02B1" w14:textId="77777777" w:rsidTr="0004525D">
        <w:trPr>
          <w:cantSplit/>
        </w:trPr>
        <w:tc>
          <w:tcPr>
            <w:tcW w:w="619" w:type="pct"/>
            <w:tcBorders>
              <w:top w:val="single" w:sz="4" w:space="0" w:color="auto"/>
              <w:left w:val="single" w:sz="4" w:space="0" w:color="auto"/>
              <w:bottom w:val="single" w:sz="4" w:space="0" w:color="auto"/>
              <w:right w:val="single" w:sz="4" w:space="0" w:color="auto"/>
            </w:tcBorders>
            <w:vAlign w:val="center"/>
            <w:hideMark/>
          </w:tcPr>
          <w:p w14:paraId="3DA97688" w14:textId="471A3405" w:rsidR="001A293B" w:rsidRPr="00AE3438" w:rsidRDefault="001A293B">
            <w:pPr>
              <w:pStyle w:val="TableText0"/>
              <w:spacing w:line="256" w:lineRule="auto"/>
              <w:rPr>
                <w:szCs w:val="20"/>
                <w:lang w:eastAsia="zh-CN"/>
              </w:rPr>
            </w:pPr>
            <w:r w:rsidRPr="00AE3438">
              <w:rPr>
                <w:szCs w:val="20"/>
                <w:lang w:eastAsia="zh-CN"/>
              </w:rPr>
              <w:t>Cost/patient/</w:t>
            </w:r>
            <w:r w:rsidR="000910D1" w:rsidRPr="00AE3438">
              <w:rPr>
                <w:szCs w:val="20"/>
                <w:lang w:eastAsia="zh-CN"/>
              </w:rPr>
              <w:t xml:space="preserve"> </w:t>
            </w:r>
            <w:r w:rsidRPr="00AE3438">
              <w:rPr>
                <w:szCs w:val="20"/>
                <w:lang w:eastAsia="zh-CN"/>
              </w:rPr>
              <w:t>month</w:t>
            </w:r>
          </w:p>
        </w:tc>
        <w:tc>
          <w:tcPr>
            <w:tcW w:w="636" w:type="pct"/>
            <w:tcBorders>
              <w:top w:val="single" w:sz="4" w:space="0" w:color="auto"/>
              <w:left w:val="single" w:sz="4" w:space="0" w:color="auto"/>
              <w:bottom w:val="single" w:sz="4" w:space="0" w:color="auto"/>
              <w:right w:val="single" w:sz="4" w:space="0" w:color="auto"/>
            </w:tcBorders>
            <w:vAlign w:val="center"/>
            <w:hideMark/>
          </w:tcPr>
          <w:p w14:paraId="29351ABF" w14:textId="77777777" w:rsidR="001A293B" w:rsidRPr="00AE3438" w:rsidRDefault="001A293B">
            <w:pPr>
              <w:pStyle w:val="TableText0"/>
              <w:spacing w:line="256" w:lineRule="auto"/>
              <w:jc w:val="center"/>
              <w:rPr>
                <w:szCs w:val="20"/>
                <w:lang w:eastAsia="zh-CN"/>
              </w:rPr>
            </w:pPr>
            <w:r w:rsidRPr="00AE3438">
              <w:rPr>
                <w:szCs w:val="20"/>
                <w:lang w:eastAsia="zh-CN"/>
              </w:rPr>
              <w:t>-</w:t>
            </w:r>
          </w:p>
        </w:tc>
        <w:tc>
          <w:tcPr>
            <w:tcW w:w="533" w:type="pct"/>
            <w:vMerge w:val="restart"/>
            <w:tcBorders>
              <w:top w:val="single" w:sz="4" w:space="0" w:color="auto"/>
              <w:left w:val="single" w:sz="4" w:space="0" w:color="auto"/>
              <w:bottom w:val="single" w:sz="4" w:space="0" w:color="auto"/>
              <w:right w:val="single" w:sz="4" w:space="0" w:color="auto"/>
            </w:tcBorders>
            <w:vAlign w:val="center"/>
            <w:hideMark/>
          </w:tcPr>
          <w:p w14:paraId="754FD4F8" w14:textId="74E13359" w:rsidR="001A293B" w:rsidRPr="00AE3438" w:rsidRDefault="001A293B">
            <w:pPr>
              <w:pStyle w:val="TableText0"/>
              <w:spacing w:line="256" w:lineRule="auto"/>
              <w:jc w:val="center"/>
              <w:rPr>
                <w:szCs w:val="20"/>
                <w:lang w:eastAsia="zh-CN"/>
              </w:rPr>
            </w:pPr>
            <w:r w:rsidRPr="00AE3438">
              <w:rPr>
                <w:szCs w:val="20"/>
                <w:lang w:eastAsia="zh-CN"/>
              </w:rPr>
              <w:t>$</w:t>
            </w:r>
            <w:r w:rsidR="00284C02" w:rsidRPr="009D1C84">
              <w:rPr>
                <w:color w:val="000000"/>
                <w:spacing w:val="50"/>
                <w:szCs w:val="20"/>
                <w:shd w:val="solid" w:color="000000" w:fill="000000"/>
                <w:fitText w:val="325" w:id="-1305197557"/>
                <w:lang w:eastAsia="zh-CN"/>
                <w14:textFill>
                  <w14:solidFill>
                    <w14:srgbClr w14:val="000000">
                      <w14:alpha w14:val="100000"/>
                    </w14:srgbClr>
                  </w14:solidFill>
                </w14:textFill>
              </w:rPr>
              <w:t>|||</w:t>
            </w:r>
            <w:r w:rsidR="00284C02" w:rsidRPr="009D1C84">
              <w:rPr>
                <w:color w:val="000000"/>
                <w:spacing w:val="13"/>
                <w:szCs w:val="20"/>
                <w:shd w:val="solid" w:color="000000" w:fill="000000"/>
                <w:fitText w:val="325" w:id="-1305197557"/>
                <w:lang w:eastAsia="zh-CN"/>
                <w14:textFill>
                  <w14:solidFill>
                    <w14:srgbClr w14:val="000000">
                      <w14:alpha w14:val="100000"/>
                    </w14:srgbClr>
                  </w14:solidFill>
                </w14:textFill>
              </w:rPr>
              <w:t>|</w:t>
            </w:r>
            <w:r w:rsidRPr="00AE3438">
              <w:rPr>
                <w:szCs w:val="20"/>
                <w:lang w:eastAsia="zh-CN"/>
              </w:rPr>
              <w:t xml:space="preserve"> per patient</w:t>
            </w:r>
          </w:p>
        </w:tc>
        <w:tc>
          <w:tcPr>
            <w:tcW w:w="489" w:type="pct"/>
            <w:vMerge w:val="restart"/>
            <w:tcBorders>
              <w:top w:val="single" w:sz="4" w:space="0" w:color="auto"/>
              <w:left w:val="single" w:sz="4" w:space="0" w:color="auto"/>
              <w:bottom w:val="single" w:sz="4" w:space="0" w:color="auto"/>
              <w:right w:val="single" w:sz="4" w:space="0" w:color="auto"/>
            </w:tcBorders>
            <w:vAlign w:val="center"/>
            <w:hideMark/>
          </w:tcPr>
          <w:p w14:paraId="12AA2828" w14:textId="10CD372A" w:rsidR="001A293B" w:rsidRPr="00AE3438" w:rsidRDefault="001A293B">
            <w:pPr>
              <w:pStyle w:val="TableText0"/>
              <w:spacing w:line="256" w:lineRule="auto"/>
              <w:jc w:val="center"/>
              <w:rPr>
                <w:szCs w:val="20"/>
                <w:lang w:eastAsia="zh-CN"/>
              </w:rPr>
            </w:pPr>
            <w:r w:rsidRPr="00AE3438">
              <w:rPr>
                <w:szCs w:val="20"/>
                <w:lang w:eastAsia="zh-CN"/>
              </w:rPr>
              <w:t>$</w:t>
            </w:r>
            <w:r w:rsidR="00284C02" w:rsidRPr="009D1C84">
              <w:rPr>
                <w:color w:val="000000"/>
                <w:spacing w:val="48"/>
                <w:szCs w:val="20"/>
                <w:shd w:val="solid" w:color="000000" w:fill="000000"/>
                <w:fitText w:val="226" w:id="-1305197556"/>
                <w:lang w:eastAsia="zh-CN"/>
                <w14:textFill>
                  <w14:solidFill>
                    <w14:srgbClr w14:val="000000">
                      <w14:alpha w14:val="100000"/>
                    </w14:srgbClr>
                  </w14:solidFill>
                </w14:textFill>
              </w:rPr>
              <w:t>||</w:t>
            </w:r>
            <w:r w:rsidR="00284C02" w:rsidRPr="009D1C84">
              <w:rPr>
                <w:color w:val="000000"/>
                <w:spacing w:val="1"/>
                <w:szCs w:val="20"/>
                <w:shd w:val="solid" w:color="000000" w:fill="000000"/>
                <w:fitText w:val="226" w:id="-1305197556"/>
                <w:lang w:eastAsia="zh-CN"/>
                <w14:textFill>
                  <w14:solidFill>
                    <w14:srgbClr w14:val="000000">
                      <w14:alpha w14:val="100000"/>
                    </w14:srgbClr>
                  </w14:solidFill>
                </w14:textFill>
              </w:rPr>
              <w:t>|</w:t>
            </w:r>
            <w:r w:rsidRPr="00AE3438">
              <w:rPr>
                <w:szCs w:val="20"/>
                <w:lang w:eastAsia="zh-CN"/>
              </w:rPr>
              <w:t xml:space="preserve"> per patient</w:t>
            </w:r>
          </w:p>
        </w:tc>
        <w:tc>
          <w:tcPr>
            <w:tcW w:w="909" w:type="pct"/>
            <w:tcBorders>
              <w:top w:val="single" w:sz="4" w:space="0" w:color="auto"/>
              <w:left w:val="single" w:sz="4" w:space="0" w:color="auto"/>
              <w:bottom w:val="single" w:sz="4" w:space="0" w:color="auto"/>
              <w:right w:val="single" w:sz="4" w:space="0" w:color="auto"/>
            </w:tcBorders>
            <w:vAlign w:val="center"/>
            <w:hideMark/>
          </w:tcPr>
          <w:p w14:paraId="24D335F6" w14:textId="77777777" w:rsidR="001A293B" w:rsidRPr="00AE3438" w:rsidRDefault="001A293B">
            <w:pPr>
              <w:pStyle w:val="TableText0"/>
              <w:spacing w:line="256" w:lineRule="auto"/>
              <w:jc w:val="center"/>
              <w:rPr>
                <w:szCs w:val="20"/>
                <w:lang w:eastAsia="zh-CN"/>
              </w:rPr>
            </w:pPr>
            <w:r w:rsidRPr="00AE3438">
              <w:rPr>
                <w:szCs w:val="20"/>
                <w:lang w:eastAsia="zh-CN"/>
              </w:rPr>
              <w:t>-</w:t>
            </w:r>
          </w:p>
        </w:tc>
        <w:tc>
          <w:tcPr>
            <w:tcW w:w="708" w:type="pct"/>
            <w:tcBorders>
              <w:top w:val="single" w:sz="4" w:space="0" w:color="auto"/>
              <w:left w:val="single" w:sz="4" w:space="0" w:color="auto"/>
              <w:bottom w:val="single" w:sz="4" w:space="0" w:color="auto"/>
              <w:right w:val="single" w:sz="4" w:space="0" w:color="auto"/>
            </w:tcBorders>
            <w:vAlign w:val="center"/>
            <w:hideMark/>
          </w:tcPr>
          <w:p w14:paraId="55C9F762" w14:textId="77777777" w:rsidR="001A293B" w:rsidRPr="00AE3438" w:rsidRDefault="001A293B">
            <w:pPr>
              <w:pStyle w:val="TableText0"/>
              <w:spacing w:line="256" w:lineRule="auto"/>
              <w:jc w:val="center"/>
              <w:rPr>
                <w:szCs w:val="20"/>
                <w:lang w:eastAsia="zh-CN"/>
              </w:rPr>
            </w:pPr>
            <w:r w:rsidRPr="00AE3438">
              <w:rPr>
                <w:szCs w:val="20"/>
                <w:lang w:eastAsia="zh-CN"/>
              </w:rPr>
              <w:t>$27,500 in maintenance (NUSI)</w:t>
            </w:r>
          </w:p>
        </w:tc>
        <w:tc>
          <w:tcPr>
            <w:tcW w:w="1106" w:type="pct"/>
            <w:tcBorders>
              <w:top w:val="single" w:sz="4" w:space="0" w:color="auto"/>
              <w:left w:val="single" w:sz="4" w:space="0" w:color="auto"/>
              <w:bottom w:val="single" w:sz="4" w:space="0" w:color="auto"/>
              <w:right w:val="single" w:sz="4" w:space="0" w:color="auto"/>
            </w:tcBorders>
            <w:hideMark/>
          </w:tcPr>
          <w:p w14:paraId="40243C59" w14:textId="77777777" w:rsidR="001A293B" w:rsidRPr="00AE3438" w:rsidRDefault="001A293B">
            <w:pPr>
              <w:pStyle w:val="TableText0"/>
              <w:spacing w:line="256" w:lineRule="auto"/>
              <w:jc w:val="center"/>
              <w:rPr>
                <w:szCs w:val="20"/>
                <w:lang w:eastAsia="zh-CN"/>
              </w:rPr>
            </w:pPr>
            <w:r w:rsidRPr="00AE3438">
              <w:rPr>
                <w:szCs w:val="20"/>
                <w:lang w:eastAsia="zh-CN"/>
              </w:rPr>
              <w:t>$23,976 in maintenance (NUSI/RISD weighted average)</w:t>
            </w:r>
          </w:p>
        </w:tc>
      </w:tr>
      <w:tr w:rsidR="000910D1" w:rsidRPr="00AE3438" w14:paraId="78EBF363" w14:textId="77777777" w:rsidTr="0004525D">
        <w:trPr>
          <w:cantSplit/>
        </w:trPr>
        <w:tc>
          <w:tcPr>
            <w:tcW w:w="619" w:type="pct"/>
            <w:tcBorders>
              <w:top w:val="single" w:sz="4" w:space="0" w:color="auto"/>
              <w:left w:val="single" w:sz="4" w:space="0" w:color="auto"/>
              <w:bottom w:val="single" w:sz="4" w:space="0" w:color="auto"/>
              <w:right w:val="single" w:sz="4" w:space="0" w:color="auto"/>
            </w:tcBorders>
            <w:vAlign w:val="center"/>
            <w:hideMark/>
          </w:tcPr>
          <w:p w14:paraId="38700A68" w14:textId="534A6F7E" w:rsidR="001A293B" w:rsidRPr="00AE3438" w:rsidRDefault="001A293B">
            <w:pPr>
              <w:pStyle w:val="TableText0"/>
              <w:spacing w:line="256" w:lineRule="auto"/>
              <w:rPr>
                <w:szCs w:val="20"/>
                <w:lang w:eastAsia="zh-CN"/>
              </w:rPr>
            </w:pPr>
            <w:r w:rsidRPr="00AE3438">
              <w:rPr>
                <w:szCs w:val="20"/>
                <w:lang w:eastAsia="zh-CN"/>
              </w:rPr>
              <w:t>Cost/patient/</w:t>
            </w:r>
            <w:r w:rsidR="000910D1" w:rsidRPr="00AE3438">
              <w:rPr>
                <w:szCs w:val="20"/>
                <w:lang w:eastAsia="zh-CN"/>
              </w:rPr>
              <w:t xml:space="preserve"> </w:t>
            </w:r>
            <w:r w:rsidRPr="00AE3438">
              <w:rPr>
                <w:szCs w:val="20"/>
                <w:lang w:eastAsia="zh-CN"/>
              </w:rPr>
              <w:t>year (chronic) or /course</w:t>
            </w:r>
          </w:p>
        </w:tc>
        <w:tc>
          <w:tcPr>
            <w:tcW w:w="636" w:type="pct"/>
            <w:tcBorders>
              <w:top w:val="single" w:sz="4" w:space="0" w:color="auto"/>
              <w:left w:val="single" w:sz="4" w:space="0" w:color="auto"/>
              <w:bottom w:val="single" w:sz="4" w:space="0" w:color="auto"/>
              <w:right w:val="single" w:sz="4" w:space="0" w:color="auto"/>
            </w:tcBorders>
            <w:vAlign w:val="center"/>
            <w:hideMark/>
          </w:tcPr>
          <w:p w14:paraId="3D4C03E9" w14:textId="77777777" w:rsidR="001A293B" w:rsidRPr="00AE3438" w:rsidRDefault="001A293B">
            <w:pPr>
              <w:pStyle w:val="TableText0"/>
              <w:spacing w:line="256" w:lineRule="auto"/>
              <w:jc w:val="center"/>
              <w:rPr>
                <w:szCs w:val="20"/>
                <w:lang w:eastAsia="zh-CN"/>
              </w:rPr>
            </w:pPr>
            <w:r w:rsidRPr="00AE3438">
              <w:rPr>
                <w:szCs w:val="20"/>
                <w:lang w:eastAsia="zh-CN"/>
              </w:rPr>
              <w:t>-</w:t>
            </w:r>
          </w:p>
        </w:tc>
        <w:tc>
          <w:tcPr>
            <w:tcW w:w="533" w:type="pct"/>
            <w:vMerge/>
            <w:tcBorders>
              <w:top w:val="single" w:sz="4" w:space="0" w:color="auto"/>
              <w:left w:val="single" w:sz="4" w:space="0" w:color="auto"/>
              <w:bottom w:val="single" w:sz="4" w:space="0" w:color="auto"/>
              <w:right w:val="single" w:sz="4" w:space="0" w:color="auto"/>
            </w:tcBorders>
            <w:vAlign w:val="center"/>
            <w:hideMark/>
          </w:tcPr>
          <w:p w14:paraId="283ECA1A" w14:textId="77777777" w:rsidR="001A293B" w:rsidRPr="00AE3438" w:rsidRDefault="001A293B">
            <w:pPr>
              <w:spacing w:line="256" w:lineRule="auto"/>
              <w:jc w:val="left"/>
              <w:rPr>
                <w:rFonts w:ascii="Arial Narrow" w:eastAsiaTheme="majorEastAsia" w:hAnsi="Arial Narrow" w:cstheme="majorBidi"/>
                <w:bCs/>
                <w:sz w:val="20"/>
                <w:szCs w:val="20"/>
                <w:lang w:eastAsia="zh-CN"/>
              </w:rPr>
            </w:pPr>
          </w:p>
        </w:tc>
        <w:tc>
          <w:tcPr>
            <w:tcW w:w="489" w:type="pct"/>
            <w:vMerge/>
            <w:tcBorders>
              <w:top w:val="single" w:sz="4" w:space="0" w:color="auto"/>
              <w:left w:val="single" w:sz="4" w:space="0" w:color="auto"/>
              <w:bottom w:val="single" w:sz="4" w:space="0" w:color="auto"/>
              <w:right w:val="single" w:sz="4" w:space="0" w:color="auto"/>
            </w:tcBorders>
            <w:vAlign w:val="center"/>
            <w:hideMark/>
          </w:tcPr>
          <w:p w14:paraId="0BDC13BA" w14:textId="77777777" w:rsidR="001A293B" w:rsidRPr="00AE3438" w:rsidRDefault="001A293B">
            <w:pPr>
              <w:spacing w:line="256" w:lineRule="auto"/>
              <w:jc w:val="left"/>
              <w:rPr>
                <w:rFonts w:ascii="Arial Narrow" w:eastAsiaTheme="majorEastAsia" w:hAnsi="Arial Narrow" w:cstheme="majorBidi"/>
                <w:bCs/>
                <w:sz w:val="20"/>
                <w:szCs w:val="20"/>
                <w:lang w:eastAsia="zh-CN"/>
              </w:rPr>
            </w:pPr>
          </w:p>
        </w:tc>
        <w:tc>
          <w:tcPr>
            <w:tcW w:w="909" w:type="pct"/>
            <w:tcBorders>
              <w:top w:val="single" w:sz="4" w:space="0" w:color="auto"/>
              <w:left w:val="single" w:sz="4" w:space="0" w:color="auto"/>
              <w:bottom w:val="single" w:sz="4" w:space="0" w:color="auto"/>
              <w:right w:val="single" w:sz="4" w:space="0" w:color="auto"/>
            </w:tcBorders>
            <w:vAlign w:val="center"/>
            <w:hideMark/>
          </w:tcPr>
          <w:p w14:paraId="14ED769A" w14:textId="77777777" w:rsidR="001A293B" w:rsidRPr="00AE3438" w:rsidRDefault="001A293B">
            <w:pPr>
              <w:pStyle w:val="TableText0"/>
              <w:spacing w:line="256" w:lineRule="auto"/>
              <w:jc w:val="center"/>
              <w:rPr>
                <w:szCs w:val="20"/>
                <w:lang w:eastAsia="zh-CN"/>
              </w:rPr>
            </w:pPr>
            <w:r w:rsidRPr="00AE3438">
              <w:rPr>
                <w:szCs w:val="20"/>
                <w:lang w:eastAsia="zh-CN"/>
              </w:rPr>
              <w:t>-</w:t>
            </w:r>
          </w:p>
        </w:tc>
        <w:tc>
          <w:tcPr>
            <w:tcW w:w="708" w:type="pct"/>
            <w:tcBorders>
              <w:top w:val="single" w:sz="4" w:space="0" w:color="auto"/>
              <w:left w:val="single" w:sz="4" w:space="0" w:color="auto"/>
              <w:bottom w:val="single" w:sz="4" w:space="0" w:color="auto"/>
              <w:right w:val="single" w:sz="4" w:space="0" w:color="auto"/>
            </w:tcBorders>
            <w:vAlign w:val="center"/>
            <w:hideMark/>
          </w:tcPr>
          <w:p w14:paraId="74EBB5FA" w14:textId="77777777" w:rsidR="001A293B" w:rsidRPr="00AE3438" w:rsidRDefault="001A293B">
            <w:pPr>
              <w:pStyle w:val="TableText0"/>
              <w:spacing w:line="256" w:lineRule="auto"/>
              <w:jc w:val="center"/>
              <w:rPr>
                <w:szCs w:val="20"/>
                <w:lang w:eastAsia="zh-CN"/>
              </w:rPr>
            </w:pPr>
            <w:r w:rsidRPr="00AE3438">
              <w:rPr>
                <w:szCs w:val="20"/>
                <w:lang w:eastAsia="zh-CN"/>
              </w:rPr>
              <w:t>$330,000 in maintenance (NUSI)</w:t>
            </w:r>
          </w:p>
        </w:tc>
        <w:tc>
          <w:tcPr>
            <w:tcW w:w="1106" w:type="pct"/>
            <w:tcBorders>
              <w:top w:val="single" w:sz="4" w:space="0" w:color="auto"/>
              <w:left w:val="single" w:sz="4" w:space="0" w:color="auto"/>
              <w:bottom w:val="single" w:sz="4" w:space="0" w:color="auto"/>
              <w:right w:val="single" w:sz="4" w:space="0" w:color="auto"/>
            </w:tcBorders>
            <w:hideMark/>
          </w:tcPr>
          <w:p w14:paraId="11B13554" w14:textId="77777777" w:rsidR="001A293B" w:rsidRPr="00AE3438" w:rsidRDefault="001A293B">
            <w:pPr>
              <w:pStyle w:val="TableText0"/>
              <w:spacing w:line="256" w:lineRule="auto"/>
              <w:jc w:val="center"/>
              <w:rPr>
                <w:szCs w:val="20"/>
                <w:lang w:eastAsia="zh-CN"/>
              </w:rPr>
            </w:pPr>
            <w:r w:rsidRPr="00AE3438">
              <w:rPr>
                <w:szCs w:val="20"/>
                <w:lang w:eastAsia="zh-CN"/>
              </w:rPr>
              <w:t>$287,710 in maintenance</w:t>
            </w:r>
          </w:p>
          <w:p w14:paraId="56579495" w14:textId="77777777" w:rsidR="001A293B" w:rsidRPr="00AE3438" w:rsidRDefault="001A293B">
            <w:pPr>
              <w:pStyle w:val="TableText0"/>
              <w:spacing w:line="256" w:lineRule="auto"/>
              <w:jc w:val="center"/>
              <w:rPr>
                <w:szCs w:val="20"/>
                <w:lang w:eastAsia="zh-CN"/>
              </w:rPr>
            </w:pPr>
            <w:r w:rsidRPr="00AE3438">
              <w:rPr>
                <w:szCs w:val="20"/>
                <w:lang w:eastAsia="zh-CN"/>
              </w:rPr>
              <w:t>(NUSI/RISD weighted average)</w:t>
            </w:r>
          </w:p>
        </w:tc>
      </w:tr>
    </w:tbl>
    <w:p w14:paraId="5FE62CC3" w14:textId="77777777" w:rsidR="00785962" w:rsidRDefault="001A293B" w:rsidP="00785962">
      <w:pPr>
        <w:pStyle w:val="TableFigureFooter"/>
        <w:spacing w:after="0"/>
        <w:contextualSpacing w:val="0"/>
        <w:rPr>
          <w:szCs w:val="18"/>
        </w:rPr>
      </w:pPr>
      <w:r w:rsidRPr="00AE3438">
        <w:rPr>
          <w:szCs w:val="18"/>
        </w:rPr>
        <w:t>Source: compiled during the evaluation.</w:t>
      </w:r>
      <w:r w:rsidR="000910D1" w:rsidRPr="00AE3438">
        <w:rPr>
          <w:szCs w:val="18"/>
        </w:rPr>
        <w:t xml:space="preserve"> </w:t>
      </w:r>
      <w:r w:rsidRPr="00AE3438">
        <w:rPr>
          <w:szCs w:val="18"/>
        </w:rPr>
        <w:t>NUSI=nusinersen; ONA =onasemnogene abeparvovec, RISD=risdiplam</w:t>
      </w:r>
      <w:r w:rsidR="003F4CE6" w:rsidRPr="00AE3438">
        <w:rPr>
          <w:szCs w:val="18"/>
        </w:rPr>
        <w:t>, tx=treatment</w:t>
      </w:r>
      <w:r w:rsidR="0050327B" w:rsidRPr="00AE3438">
        <w:rPr>
          <w:szCs w:val="18"/>
        </w:rPr>
        <w:t xml:space="preserve"> </w:t>
      </w:r>
    </w:p>
    <w:p w14:paraId="2E860812" w14:textId="74E7138E" w:rsidR="001A293B" w:rsidRPr="00AE3438" w:rsidRDefault="001A293B" w:rsidP="00785962">
      <w:pPr>
        <w:pStyle w:val="TableFigureFooter"/>
        <w:spacing w:after="0"/>
        <w:contextualSpacing w:val="0"/>
        <w:rPr>
          <w:szCs w:val="18"/>
        </w:rPr>
      </w:pPr>
      <w:r w:rsidRPr="00AE3438">
        <w:rPr>
          <w:szCs w:val="18"/>
        </w:rPr>
        <w:t>^</w:t>
      </w:r>
      <w:r w:rsidRPr="00AE3438">
        <w:rPr>
          <w:szCs w:val="18"/>
        </w:rPr>
        <w:tab/>
        <w:t>Dosing frequency varied across the symptomatic and pre-symptomatic studies</w:t>
      </w:r>
    </w:p>
    <w:p w14:paraId="5304F527" w14:textId="77777777" w:rsidR="005158F7" w:rsidRPr="00AE3438" w:rsidRDefault="005158F7" w:rsidP="005158F7">
      <w:pPr>
        <w:keepNext/>
        <w:spacing w:before="120" w:after="120"/>
        <w:outlineLvl w:val="1"/>
        <w:rPr>
          <w:rFonts w:asciiTheme="minorHAnsi" w:eastAsiaTheme="majorEastAsia" w:hAnsiTheme="minorHAnsi" w:cstheme="majorBidi"/>
          <w:b/>
          <w:i/>
          <w:spacing w:val="5"/>
          <w:kern w:val="28"/>
          <w:sz w:val="28"/>
          <w:szCs w:val="36"/>
        </w:rPr>
      </w:pPr>
      <w:bookmarkStart w:id="73" w:name="_Toc22897647"/>
      <w:r w:rsidRPr="00AE3438">
        <w:rPr>
          <w:rFonts w:asciiTheme="minorHAnsi" w:eastAsiaTheme="majorEastAsia" w:hAnsiTheme="minorHAnsi" w:cstheme="majorBidi"/>
          <w:b/>
          <w:i/>
          <w:spacing w:val="5"/>
          <w:kern w:val="28"/>
          <w:sz w:val="28"/>
          <w:szCs w:val="36"/>
        </w:rPr>
        <w:t>Estimated PBS usage &amp; financial implications</w:t>
      </w:r>
      <w:bookmarkEnd w:id="73"/>
    </w:p>
    <w:p w14:paraId="1246DAF6" w14:textId="5A587EC6" w:rsidR="00A45D7A" w:rsidRPr="00AE3438" w:rsidRDefault="005158F7" w:rsidP="005158F7">
      <w:pPr>
        <w:numPr>
          <w:ilvl w:val="1"/>
          <w:numId w:val="1"/>
        </w:numPr>
        <w:spacing w:after="120"/>
        <w:rPr>
          <w:rFonts w:asciiTheme="minorHAnsi" w:hAnsiTheme="minorHAnsi"/>
        </w:rPr>
      </w:pPr>
      <w:bookmarkStart w:id="74" w:name="_Hlk107307804"/>
      <w:r w:rsidRPr="00AE3438">
        <w:rPr>
          <w:rFonts w:asciiTheme="minorHAnsi" w:hAnsiTheme="minorHAnsi"/>
          <w:snapToGrid w:val="0"/>
        </w:rPr>
        <w:t xml:space="preserve">This submission </w:t>
      </w:r>
      <w:r w:rsidR="00A45D7A" w:rsidRPr="00AE3438">
        <w:rPr>
          <w:rFonts w:asciiTheme="minorHAnsi" w:hAnsiTheme="minorHAnsi"/>
          <w:snapToGrid w:val="0"/>
        </w:rPr>
        <w:t xml:space="preserve">was </w:t>
      </w:r>
      <w:r w:rsidRPr="00AE3438">
        <w:rPr>
          <w:rFonts w:asciiTheme="minorHAnsi" w:hAnsiTheme="minorHAnsi"/>
          <w:snapToGrid w:val="0"/>
        </w:rPr>
        <w:t xml:space="preserve">not considered by DUSC. </w:t>
      </w:r>
    </w:p>
    <w:p w14:paraId="446B30B5" w14:textId="187FBF04" w:rsidR="000945A3" w:rsidRPr="00AE3438" w:rsidRDefault="005158F7" w:rsidP="008F4325">
      <w:pPr>
        <w:numPr>
          <w:ilvl w:val="1"/>
          <w:numId w:val="1"/>
        </w:numPr>
        <w:spacing w:after="120"/>
        <w:rPr>
          <w:rFonts w:asciiTheme="minorHAnsi" w:hAnsiTheme="minorHAnsi"/>
        </w:rPr>
      </w:pPr>
      <w:r w:rsidRPr="00AE3438">
        <w:rPr>
          <w:rFonts w:asciiTheme="minorHAnsi" w:hAnsiTheme="minorHAnsi"/>
          <w:snapToGrid w:val="0"/>
        </w:rPr>
        <w:t>The submission used an epidemiological approach to estimate the financial impact of listing ONA for pre</w:t>
      </w:r>
      <w:r w:rsidR="001A293B" w:rsidRPr="00AE3438">
        <w:rPr>
          <w:rFonts w:asciiTheme="minorHAnsi" w:hAnsiTheme="minorHAnsi"/>
          <w:snapToGrid w:val="0"/>
        </w:rPr>
        <w:t>-</w:t>
      </w:r>
      <w:r w:rsidRPr="00AE3438">
        <w:rPr>
          <w:rFonts w:asciiTheme="minorHAnsi" w:hAnsiTheme="minorHAnsi"/>
          <w:snapToGrid w:val="0"/>
        </w:rPr>
        <w:t xml:space="preserve">symptomatic treatment of SMA patents with 3 copies of SMN2 (i.e., the proposed strategy) on the PBS. The submission assumed 100% </w:t>
      </w:r>
      <w:r w:rsidR="00785962">
        <w:rPr>
          <w:rFonts w:asciiTheme="minorHAnsi" w:hAnsiTheme="minorHAnsi"/>
          <w:snapToGrid w:val="0"/>
        </w:rPr>
        <w:t xml:space="preserve">of </w:t>
      </w:r>
      <w:r w:rsidRPr="00AE3438">
        <w:rPr>
          <w:rFonts w:asciiTheme="minorHAnsi" w:hAnsiTheme="minorHAnsi"/>
          <w:snapToGrid w:val="0"/>
        </w:rPr>
        <w:t>pre</w:t>
      </w:r>
      <w:r w:rsidR="00785962">
        <w:rPr>
          <w:rFonts w:asciiTheme="minorHAnsi" w:hAnsiTheme="minorHAnsi"/>
          <w:snapToGrid w:val="0"/>
        </w:rPr>
        <w:noBreakHyphen/>
      </w:r>
      <w:r w:rsidRPr="00AE3438">
        <w:rPr>
          <w:rFonts w:asciiTheme="minorHAnsi" w:hAnsiTheme="minorHAnsi"/>
          <w:snapToGrid w:val="0"/>
        </w:rPr>
        <w:t xml:space="preserve">symptomatic patients with 3 copies of SMN2 treated with ONA would have otherwise received treatment with nusinersen or risdiplam (i.e., the status quo). In estimating these cost offsets, as was in the modelled economic evaluation, </w:t>
      </w:r>
      <w:bookmarkStart w:id="75" w:name="_Hlk120736306"/>
      <w:r w:rsidRPr="00AE3438">
        <w:rPr>
          <w:rFonts w:asciiTheme="minorHAnsi" w:hAnsiTheme="minorHAnsi"/>
          <w:snapToGrid w:val="0"/>
        </w:rPr>
        <w:t>no discontinuation of treatment with either nusinersen or risdiplam was assumed</w:t>
      </w:r>
      <w:bookmarkEnd w:id="75"/>
      <w:r w:rsidRPr="00AE3438">
        <w:rPr>
          <w:rFonts w:asciiTheme="minorHAnsi" w:hAnsiTheme="minorHAnsi"/>
          <w:snapToGrid w:val="0"/>
        </w:rPr>
        <w:t xml:space="preserve">. This was not reasonable, in clinical studies patients did discontinue treatment with nusinersen and in practice patients could discontinue nusinersen and switch to risdiplam treatment. </w:t>
      </w:r>
      <w:r w:rsidR="000945A3" w:rsidRPr="00054F33">
        <w:rPr>
          <w:rFonts w:asciiTheme="minorHAnsi" w:hAnsiTheme="minorHAnsi"/>
        </w:rPr>
        <w:t>The PSCR noted that only 2 out of 20 patients</w:t>
      </w:r>
      <w:r w:rsidR="00394F2F" w:rsidRPr="00054F33">
        <w:rPr>
          <w:rFonts w:asciiTheme="minorHAnsi" w:hAnsiTheme="minorHAnsi"/>
        </w:rPr>
        <w:t xml:space="preserve"> </w:t>
      </w:r>
      <w:r w:rsidR="00A45D7A" w:rsidRPr="00054F33">
        <w:rPr>
          <w:rFonts w:asciiTheme="minorHAnsi" w:hAnsiTheme="minorHAnsi"/>
        </w:rPr>
        <w:t xml:space="preserve">in CS3A </w:t>
      </w:r>
      <w:r w:rsidR="000945A3" w:rsidRPr="00054F33">
        <w:rPr>
          <w:rFonts w:asciiTheme="minorHAnsi" w:hAnsiTheme="minorHAnsi"/>
        </w:rPr>
        <w:t>voluntarily discontinued treatment; one patient for reasons not stated, and one patient due to hardship travelling to study site.</w:t>
      </w:r>
      <w:r w:rsidR="00394F2F" w:rsidRPr="00054F33">
        <w:rPr>
          <w:rFonts w:asciiTheme="minorHAnsi" w:hAnsiTheme="minorHAnsi"/>
        </w:rPr>
        <w:t xml:space="preserve"> The PSCR also noted that patients switching from NUSI to RISD would not impact the estimated cost to Government of ONA as the treatments are cost-minimised to one another.</w:t>
      </w:r>
      <w:r w:rsidR="00394F2F" w:rsidRPr="00AE3438">
        <w:rPr>
          <w:rFonts w:asciiTheme="minorHAnsi" w:hAnsiTheme="minorHAnsi"/>
          <w:i/>
          <w:iCs/>
        </w:rPr>
        <w:t xml:space="preserve"> </w:t>
      </w:r>
    </w:p>
    <w:p w14:paraId="4F740748" w14:textId="12B00D4C" w:rsidR="00A45D7A" w:rsidRPr="00AE3438" w:rsidRDefault="00A45D7A" w:rsidP="00A45D7A">
      <w:pPr>
        <w:numPr>
          <w:ilvl w:val="1"/>
          <w:numId w:val="1"/>
        </w:numPr>
        <w:spacing w:after="120"/>
        <w:rPr>
          <w:rFonts w:asciiTheme="minorHAnsi" w:hAnsiTheme="minorHAnsi"/>
        </w:rPr>
      </w:pPr>
      <w:r w:rsidRPr="00AE3438">
        <w:rPr>
          <w:rFonts w:asciiTheme="minorHAnsi" w:hAnsiTheme="minorHAnsi"/>
          <w:snapToGrid w:val="0"/>
        </w:rPr>
        <w:t xml:space="preserve">The submission also assumed </w:t>
      </w:r>
      <w:bookmarkStart w:id="76" w:name="_Hlk120736205"/>
      <w:r w:rsidRPr="00AE3438">
        <w:rPr>
          <w:rFonts w:asciiTheme="minorHAnsi" w:hAnsiTheme="minorHAnsi"/>
          <w:snapToGrid w:val="0"/>
        </w:rPr>
        <w:t xml:space="preserve">no patient treated with ONA would require further treatments </w:t>
      </w:r>
      <w:bookmarkEnd w:id="76"/>
      <w:r w:rsidRPr="00AE3438">
        <w:rPr>
          <w:rFonts w:asciiTheme="minorHAnsi" w:hAnsiTheme="minorHAnsi"/>
          <w:snapToGrid w:val="0"/>
        </w:rPr>
        <w:t>(i.e., with nusinersen and risdiplam). This may not have been reasonable,</w:t>
      </w:r>
      <w:r w:rsidR="00785962">
        <w:rPr>
          <w:rFonts w:asciiTheme="minorHAnsi" w:hAnsiTheme="minorHAnsi"/>
          <w:snapToGrid w:val="0"/>
        </w:rPr>
        <w:t xml:space="preserve"> </w:t>
      </w:r>
      <w:r w:rsidRPr="00054F33">
        <w:rPr>
          <w:rFonts w:asciiTheme="minorHAnsi" w:hAnsiTheme="minorHAnsi"/>
          <w:snapToGrid w:val="0"/>
        </w:rPr>
        <w:t>however the ESC considered that such use could be managed with PBS restrictions limiting sequential use.</w:t>
      </w:r>
      <w:r w:rsidRPr="00AE3438">
        <w:rPr>
          <w:rFonts w:asciiTheme="minorHAnsi" w:hAnsiTheme="minorHAnsi"/>
          <w:snapToGrid w:val="0"/>
        </w:rPr>
        <w:t xml:space="preserve"> </w:t>
      </w:r>
    </w:p>
    <w:p w14:paraId="4BB05F93" w14:textId="6E60CB4D" w:rsidR="005158F7" w:rsidRPr="00AE3438" w:rsidRDefault="005158F7" w:rsidP="00A45D7A">
      <w:pPr>
        <w:numPr>
          <w:ilvl w:val="1"/>
          <w:numId w:val="1"/>
        </w:numPr>
        <w:spacing w:after="120"/>
        <w:rPr>
          <w:rFonts w:asciiTheme="minorHAnsi" w:hAnsiTheme="minorHAnsi"/>
          <w:snapToGrid w:val="0"/>
        </w:rPr>
      </w:pPr>
      <w:r w:rsidRPr="00AE3438">
        <w:rPr>
          <w:rFonts w:asciiTheme="minorHAnsi" w:hAnsiTheme="minorHAnsi"/>
          <w:snapToGrid w:val="0"/>
        </w:rPr>
        <w:t xml:space="preserve">The financial estimates presented </w:t>
      </w:r>
      <w:r w:rsidR="00D7151B" w:rsidRPr="00AE3438">
        <w:rPr>
          <w:rFonts w:asciiTheme="minorHAnsi" w:hAnsiTheme="minorHAnsi"/>
          <w:snapToGrid w:val="0"/>
        </w:rPr>
        <w:t>by the evaluation</w:t>
      </w:r>
      <w:r w:rsidRPr="00AE3438">
        <w:rPr>
          <w:rFonts w:asciiTheme="minorHAnsi" w:hAnsiTheme="minorHAnsi"/>
          <w:snapToGrid w:val="0"/>
        </w:rPr>
        <w:t xml:space="preserve"> </w:t>
      </w:r>
      <w:r w:rsidR="00A45D7A" w:rsidRPr="00AE3438">
        <w:rPr>
          <w:rFonts w:asciiTheme="minorHAnsi" w:hAnsiTheme="minorHAnsi"/>
          <w:snapToGrid w:val="0"/>
        </w:rPr>
        <w:t xml:space="preserve">were </w:t>
      </w:r>
      <w:r w:rsidRPr="00AE3438">
        <w:rPr>
          <w:rFonts w:asciiTheme="minorHAnsi" w:hAnsiTheme="minorHAnsi"/>
          <w:snapToGrid w:val="0"/>
        </w:rPr>
        <w:t xml:space="preserve">corrected by: i) removing rounding from patient numbers, ii) including the prevalent patients in the first year of listing in the cost-offsets and iii) updated all unit costs to reflect prices as of September </w:t>
      </w:r>
      <w:r w:rsidRPr="00AE3438">
        <w:rPr>
          <w:rFonts w:asciiTheme="minorHAnsi" w:hAnsiTheme="minorHAnsi"/>
          <w:snapToGrid w:val="0"/>
        </w:rPr>
        <w:lastRenderedPageBreak/>
        <w:t xml:space="preserve">2022. The corrected and uncorrected estimates are presented in </w:t>
      </w:r>
      <w:r w:rsidRPr="00AE3438">
        <w:rPr>
          <w:rFonts w:asciiTheme="minorHAnsi" w:hAnsiTheme="minorHAnsi"/>
          <w:snapToGrid w:val="0"/>
        </w:rPr>
        <w:fldChar w:fldCharType="begin"/>
      </w:r>
      <w:r w:rsidRPr="00AE3438">
        <w:rPr>
          <w:rFonts w:asciiTheme="minorHAnsi" w:hAnsiTheme="minorHAnsi"/>
          <w:snapToGrid w:val="0"/>
        </w:rPr>
        <w:instrText xml:space="preserve"> REF _Ref113293690 \h  \* MERGEFORMAT </w:instrText>
      </w:r>
      <w:r w:rsidRPr="00AE3438">
        <w:rPr>
          <w:rFonts w:asciiTheme="minorHAnsi" w:hAnsiTheme="minorHAnsi"/>
          <w:snapToGrid w:val="0"/>
        </w:rPr>
      </w:r>
      <w:r w:rsidRPr="00AE3438">
        <w:rPr>
          <w:rFonts w:asciiTheme="minorHAnsi" w:hAnsiTheme="minorHAnsi"/>
          <w:snapToGrid w:val="0"/>
        </w:rPr>
        <w:fldChar w:fldCharType="separate"/>
      </w:r>
      <w:r w:rsidR="008E4E26" w:rsidRPr="008E4E26">
        <w:rPr>
          <w:rFonts w:asciiTheme="minorHAnsi" w:hAnsiTheme="minorHAnsi"/>
          <w:snapToGrid w:val="0"/>
        </w:rPr>
        <w:t>Table 15</w:t>
      </w:r>
      <w:r w:rsidRPr="00AE3438">
        <w:rPr>
          <w:rFonts w:asciiTheme="minorHAnsi" w:hAnsiTheme="minorHAnsi"/>
          <w:snapToGrid w:val="0"/>
        </w:rPr>
        <w:fldChar w:fldCharType="end"/>
      </w:r>
      <w:r w:rsidRPr="00AE3438">
        <w:rPr>
          <w:rFonts w:asciiTheme="minorHAnsi" w:hAnsiTheme="minorHAnsi"/>
          <w:snapToGrid w:val="0"/>
        </w:rPr>
        <w:t xml:space="preserve">. Only corrected results are presented in </w:t>
      </w:r>
      <w:r w:rsidRPr="00AE3438">
        <w:rPr>
          <w:rFonts w:asciiTheme="minorHAnsi" w:hAnsiTheme="minorHAnsi"/>
          <w:snapToGrid w:val="0"/>
        </w:rPr>
        <w:fldChar w:fldCharType="begin"/>
      </w:r>
      <w:r w:rsidRPr="00AE3438">
        <w:rPr>
          <w:rFonts w:asciiTheme="minorHAnsi" w:hAnsiTheme="minorHAnsi"/>
          <w:snapToGrid w:val="0"/>
        </w:rPr>
        <w:instrText xml:space="preserve"> REF _Ref113293746 \h  \* MERGEFORMAT </w:instrText>
      </w:r>
      <w:r w:rsidRPr="00AE3438">
        <w:rPr>
          <w:rFonts w:asciiTheme="minorHAnsi" w:hAnsiTheme="minorHAnsi"/>
          <w:snapToGrid w:val="0"/>
        </w:rPr>
      </w:r>
      <w:r w:rsidRPr="00AE3438">
        <w:rPr>
          <w:rFonts w:asciiTheme="minorHAnsi" w:hAnsiTheme="minorHAnsi"/>
          <w:snapToGrid w:val="0"/>
        </w:rPr>
        <w:fldChar w:fldCharType="separate"/>
      </w:r>
      <w:r w:rsidR="008E4E26" w:rsidRPr="008E4E26">
        <w:rPr>
          <w:rFonts w:asciiTheme="minorHAnsi" w:hAnsiTheme="minorHAnsi"/>
          <w:snapToGrid w:val="0"/>
        </w:rPr>
        <w:t>Table 16</w:t>
      </w:r>
      <w:r w:rsidRPr="00AE3438">
        <w:rPr>
          <w:rFonts w:asciiTheme="minorHAnsi" w:hAnsiTheme="minorHAnsi"/>
          <w:snapToGrid w:val="0"/>
        </w:rPr>
        <w:fldChar w:fldCharType="end"/>
      </w:r>
      <w:r w:rsidRPr="00AE3438">
        <w:rPr>
          <w:rFonts w:asciiTheme="minorHAnsi" w:hAnsiTheme="minorHAnsi"/>
          <w:snapToGrid w:val="0"/>
        </w:rPr>
        <w:t>.</w:t>
      </w:r>
    </w:p>
    <w:p w14:paraId="484F75B3" w14:textId="6071362F" w:rsidR="005158F7" w:rsidRPr="00AE3438" w:rsidRDefault="005158F7" w:rsidP="005158F7">
      <w:pPr>
        <w:keepNext/>
        <w:keepLines/>
        <w:rPr>
          <w:rFonts w:ascii="Arial Narrow" w:hAnsi="Arial Narrow"/>
          <w:b/>
          <w:bCs/>
          <w:sz w:val="20"/>
          <w:szCs w:val="18"/>
        </w:rPr>
      </w:pPr>
      <w:bookmarkStart w:id="77" w:name="_Ref113293690"/>
      <w:r w:rsidRPr="00AE3438">
        <w:rPr>
          <w:rFonts w:ascii="Arial Narrow" w:hAnsi="Arial Narrow"/>
          <w:b/>
          <w:bCs/>
          <w:sz w:val="20"/>
          <w:szCs w:val="18"/>
        </w:rPr>
        <w:t xml:space="preserve">Table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Table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15</w:t>
      </w:r>
      <w:r w:rsidRPr="00AE3438">
        <w:rPr>
          <w:rFonts w:ascii="Arial Narrow" w:hAnsi="Arial Narrow"/>
          <w:b/>
          <w:bCs/>
          <w:sz w:val="20"/>
          <w:szCs w:val="18"/>
        </w:rPr>
        <w:fldChar w:fldCharType="end"/>
      </w:r>
      <w:bookmarkEnd w:id="77"/>
      <w:r w:rsidRPr="00AE3438">
        <w:rPr>
          <w:rFonts w:ascii="Arial Narrow" w:hAnsi="Arial Narrow"/>
          <w:b/>
          <w:bCs/>
          <w:sz w:val="20"/>
          <w:szCs w:val="18"/>
        </w:rPr>
        <w:t>: Data sources and parameter values applied in the utilisation and financial estimates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7"/>
        <w:gridCol w:w="922"/>
        <w:gridCol w:w="923"/>
        <w:gridCol w:w="2977"/>
        <w:gridCol w:w="3260"/>
      </w:tblGrid>
      <w:tr w:rsidR="005158F7" w:rsidRPr="00AE3438" w14:paraId="61B02F9A" w14:textId="77777777" w:rsidTr="005158F7">
        <w:trPr>
          <w:cantSplit/>
          <w:tblHeader/>
        </w:trPr>
        <w:tc>
          <w:tcPr>
            <w:tcW w:w="1127" w:type="dxa"/>
            <w:vMerge w:val="restart"/>
            <w:vAlign w:val="center"/>
          </w:tcPr>
          <w:p w14:paraId="2B633210" w14:textId="77777777" w:rsidR="005158F7" w:rsidRPr="00AE3438" w:rsidRDefault="005158F7" w:rsidP="005158F7">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Data</w:t>
            </w:r>
          </w:p>
        </w:tc>
        <w:tc>
          <w:tcPr>
            <w:tcW w:w="1845" w:type="dxa"/>
            <w:gridSpan w:val="2"/>
            <w:vAlign w:val="center"/>
          </w:tcPr>
          <w:p w14:paraId="17846815" w14:textId="77777777" w:rsidR="005158F7" w:rsidRPr="00AE3438" w:rsidRDefault="005158F7" w:rsidP="005158F7">
            <w:pPr>
              <w:keepNext/>
              <w:jc w:val="center"/>
              <w:rPr>
                <w:rFonts w:ascii="Arial Narrow" w:eastAsiaTheme="majorEastAsia" w:hAnsi="Arial Narrow" w:cs="Times New Roman"/>
                <w:b/>
                <w:sz w:val="20"/>
              </w:rPr>
            </w:pPr>
            <w:r w:rsidRPr="00AE3438">
              <w:rPr>
                <w:rFonts w:ascii="Arial Narrow" w:eastAsiaTheme="majorEastAsia" w:hAnsi="Arial Narrow" w:cs="Times New Roman"/>
                <w:b/>
                <w:sz w:val="20"/>
              </w:rPr>
              <w:t>Value</w:t>
            </w:r>
          </w:p>
        </w:tc>
        <w:tc>
          <w:tcPr>
            <w:tcW w:w="2977" w:type="dxa"/>
            <w:vMerge w:val="restart"/>
            <w:vAlign w:val="center"/>
          </w:tcPr>
          <w:p w14:paraId="4D99A00E" w14:textId="77777777" w:rsidR="005158F7" w:rsidRPr="00AE3438" w:rsidRDefault="005158F7" w:rsidP="005158F7">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Source</w:t>
            </w:r>
          </w:p>
        </w:tc>
        <w:tc>
          <w:tcPr>
            <w:tcW w:w="3260" w:type="dxa"/>
            <w:vMerge w:val="restart"/>
            <w:vAlign w:val="center"/>
          </w:tcPr>
          <w:p w14:paraId="199E1C4B" w14:textId="77777777" w:rsidR="005158F7" w:rsidRPr="00AE3438" w:rsidRDefault="005158F7" w:rsidP="005158F7">
            <w:pPr>
              <w:keepNext/>
              <w:jc w:val="left"/>
              <w:rPr>
                <w:rFonts w:ascii="Arial Narrow" w:eastAsiaTheme="majorEastAsia" w:hAnsi="Arial Narrow" w:cs="Times New Roman"/>
                <w:b/>
                <w:sz w:val="20"/>
              </w:rPr>
            </w:pPr>
            <w:r w:rsidRPr="00AE3438">
              <w:rPr>
                <w:rFonts w:ascii="Arial Narrow" w:eastAsiaTheme="majorEastAsia" w:hAnsi="Arial Narrow" w:cs="Times New Roman"/>
                <w:b/>
                <w:sz w:val="20"/>
              </w:rPr>
              <w:t>Comment</w:t>
            </w:r>
          </w:p>
        </w:tc>
      </w:tr>
      <w:tr w:rsidR="005158F7" w:rsidRPr="00AE3438" w14:paraId="4DE92D1B" w14:textId="77777777" w:rsidTr="005158F7">
        <w:trPr>
          <w:cantSplit/>
          <w:tblHeader/>
        </w:trPr>
        <w:tc>
          <w:tcPr>
            <w:tcW w:w="1127" w:type="dxa"/>
            <w:vMerge/>
            <w:vAlign w:val="center"/>
          </w:tcPr>
          <w:p w14:paraId="3F1F164A" w14:textId="77777777" w:rsidR="005158F7" w:rsidRPr="00AE3438" w:rsidRDefault="005158F7" w:rsidP="005158F7">
            <w:pPr>
              <w:jc w:val="left"/>
              <w:rPr>
                <w:rFonts w:ascii="Arial Narrow" w:eastAsiaTheme="majorEastAsia" w:hAnsi="Arial Narrow" w:cs="Times New Roman"/>
                <w:b/>
                <w:sz w:val="20"/>
              </w:rPr>
            </w:pPr>
          </w:p>
        </w:tc>
        <w:tc>
          <w:tcPr>
            <w:tcW w:w="922" w:type="dxa"/>
            <w:vAlign w:val="center"/>
          </w:tcPr>
          <w:p w14:paraId="26A6EB94" w14:textId="77777777" w:rsidR="005158F7" w:rsidRPr="00AE3438" w:rsidRDefault="005158F7" w:rsidP="005158F7">
            <w:pPr>
              <w:jc w:val="left"/>
              <w:rPr>
                <w:rFonts w:ascii="Arial Narrow" w:eastAsiaTheme="majorEastAsia" w:hAnsi="Arial Narrow" w:cs="Times New Roman"/>
                <w:b/>
                <w:sz w:val="18"/>
              </w:rPr>
            </w:pPr>
            <w:r w:rsidRPr="00AE3438">
              <w:rPr>
                <w:rFonts w:ascii="Arial Narrow" w:eastAsiaTheme="majorEastAsia" w:hAnsi="Arial Narrow" w:cs="Times New Roman"/>
                <w:b/>
                <w:sz w:val="18"/>
              </w:rPr>
              <w:t>Submission</w:t>
            </w:r>
          </w:p>
        </w:tc>
        <w:tc>
          <w:tcPr>
            <w:tcW w:w="923" w:type="dxa"/>
            <w:vAlign w:val="center"/>
          </w:tcPr>
          <w:p w14:paraId="6CA8464F" w14:textId="77777777" w:rsidR="005158F7" w:rsidRPr="00AE3438" w:rsidRDefault="005158F7" w:rsidP="005158F7">
            <w:pPr>
              <w:jc w:val="left"/>
              <w:rPr>
                <w:rFonts w:ascii="Arial Narrow" w:eastAsiaTheme="majorEastAsia" w:hAnsi="Arial Narrow" w:cs="Times New Roman"/>
                <w:b/>
                <w:sz w:val="18"/>
              </w:rPr>
            </w:pPr>
            <w:r w:rsidRPr="00AE3438">
              <w:rPr>
                <w:rFonts w:ascii="Arial Narrow" w:eastAsiaTheme="majorEastAsia" w:hAnsi="Arial Narrow" w:cs="Times New Roman"/>
                <w:b/>
                <w:sz w:val="18"/>
              </w:rPr>
              <w:t>Corrected (if different)</w:t>
            </w:r>
          </w:p>
        </w:tc>
        <w:tc>
          <w:tcPr>
            <w:tcW w:w="2977" w:type="dxa"/>
            <w:vMerge/>
            <w:vAlign w:val="center"/>
          </w:tcPr>
          <w:p w14:paraId="0E9E31B9" w14:textId="77777777" w:rsidR="005158F7" w:rsidRPr="00AE3438" w:rsidRDefault="005158F7" w:rsidP="005158F7">
            <w:pPr>
              <w:jc w:val="left"/>
              <w:rPr>
                <w:rFonts w:ascii="Arial Narrow" w:eastAsiaTheme="majorEastAsia" w:hAnsi="Arial Narrow" w:cs="Times New Roman"/>
                <w:b/>
                <w:sz w:val="20"/>
              </w:rPr>
            </w:pPr>
          </w:p>
        </w:tc>
        <w:tc>
          <w:tcPr>
            <w:tcW w:w="3260" w:type="dxa"/>
            <w:vMerge/>
            <w:vAlign w:val="center"/>
          </w:tcPr>
          <w:p w14:paraId="65E644C5" w14:textId="77777777" w:rsidR="005158F7" w:rsidRPr="00AE3438" w:rsidRDefault="005158F7" w:rsidP="005158F7">
            <w:pPr>
              <w:jc w:val="left"/>
              <w:rPr>
                <w:rFonts w:ascii="Arial Narrow" w:eastAsiaTheme="majorEastAsia" w:hAnsi="Arial Narrow" w:cs="Times New Roman"/>
                <w:b/>
                <w:sz w:val="20"/>
              </w:rPr>
            </w:pPr>
          </w:p>
        </w:tc>
      </w:tr>
      <w:tr w:rsidR="005158F7" w:rsidRPr="00AE3438" w14:paraId="58187207" w14:textId="77777777" w:rsidTr="005158F7">
        <w:trPr>
          <w:cantSplit/>
        </w:trPr>
        <w:tc>
          <w:tcPr>
            <w:tcW w:w="9209" w:type="dxa"/>
            <w:gridSpan w:val="5"/>
            <w:vAlign w:val="center"/>
          </w:tcPr>
          <w:p w14:paraId="05744219" w14:textId="77777777" w:rsidR="005158F7" w:rsidRPr="00AE3438" w:rsidRDefault="005158F7" w:rsidP="005158F7">
            <w:pPr>
              <w:jc w:val="left"/>
              <w:rPr>
                <w:rFonts w:ascii="Arial Narrow" w:eastAsiaTheme="majorEastAsia" w:hAnsi="Arial Narrow" w:cs="Times New Roman"/>
                <w:b/>
                <w:sz w:val="20"/>
              </w:rPr>
            </w:pPr>
            <w:r w:rsidRPr="00AE3438">
              <w:rPr>
                <w:rFonts w:ascii="Arial Narrow" w:eastAsiaTheme="majorEastAsia" w:hAnsi="Arial Narrow" w:cs="Times New Roman"/>
                <w:b/>
                <w:sz w:val="20"/>
              </w:rPr>
              <w:t>Eligible population</w:t>
            </w:r>
          </w:p>
        </w:tc>
      </w:tr>
      <w:tr w:rsidR="005158F7" w:rsidRPr="00AE3438" w14:paraId="3BA3FF3F" w14:textId="77777777" w:rsidTr="005158F7">
        <w:trPr>
          <w:cantSplit/>
        </w:trPr>
        <w:tc>
          <w:tcPr>
            <w:tcW w:w="1127" w:type="dxa"/>
            <w:vAlign w:val="center"/>
          </w:tcPr>
          <w:p w14:paraId="3CDB522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Incident patients born from 2023</w:t>
            </w:r>
          </w:p>
        </w:tc>
        <w:tc>
          <w:tcPr>
            <w:tcW w:w="922" w:type="dxa"/>
            <w:vAlign w:val="center"/>
          </w:tcPr>
          <w:p w14:paraId="44EC8E2B"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1: 12</w:t>
            </w:r>
          </w:p>
          <w:p w14:paraId="4216F13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2: 13</w:t>
            </w:r>
          </w:p>
          <w:p w14:paraId="052FE26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3: 13 </w:t>
            </w:r>
          </w:p>
          <w:p w14:paraId="190C8D90"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4: 13</w:t>
            </w:r>
          </w:p>
          <w:p w14:paraId="119F9D7D"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5: 13</w:t>
            </w:r>
          </w:p>
          <w:p w14:paraId="3369858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6: 13</w:t>
            </w:r>
          </w:p>
        </w:tc>
        <w:tc>
          <w:tcPr>
            <w:tcW w:w="923" w:type="dxa"/>
            <w:vAlign w:val="center"/>
          </w:tcPr>
          <w:p w14:paraId="72343999"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1: 13</w:t>
            </w:r>
          </w:p>
          <w:p w14:paraId="58928D34"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2: 13</w:t>
            </w:r>
          </w:p>
          <w:p w14:paraId="093FF004"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3: 13 </w:t>
            </w:r>
          </w:p>
          <w:p w14:paraId="74E7810C"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4: 13</w:t>
            </w:r>
          </w:p>
          <w:p w14:paraId="704EA104"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5: 13</w:t>
            </w:r>
          </w:p>
          <w:p w14:paraId="138419C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6: 13</w:t>
            </w:r>
          </w:p>
        </w:tc>
        <w:tc>
          <w:tcPr>
            <w:tcW w:w="2977" w:type="dxa"/>
            <w:vAlign w:val="center"/>
          </w:tcPr>
          <w:p w14:paraId="4DDEB759"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Applying the following to the estimated ABS population aged 0 in 2023-2029:</w:t>
            </w:r>
          </w:p>
          <w:p w14:paraId="742C9E0E"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1 in 10,000 diagnosed with SMA (SMA Australia),</w:t>
            </w:r>
          </w:p>
          <w:p w14:paraId="6EB87F49"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100% identified with NBS,</w:t>
            </w:r>
          </w:p>
          <w:p w14:paraId="36F80BA1"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38.1% 3 copies of SMN2 identified with NBS (Feldkotetter 2002),</w:t>
            </w:r>
          </w:p>
          <w:p w14:paraId="64E2FFEB"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94% AAV9 eligible (6% AAV9+ve in ONA trials).</w:t>
            </w:r>
          </w:p>
        </w:tc>
        <w:tc>
          <w:tcPr>
            <w:tcW w:w="3260" w:type="dxa"/>
            <w:vAlign w:val="center"/>
          </w:tcPr>
          <w:p w14:paraId="33DD4C29"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Proportion of SMA patients with 3 copies of SMN2 varied each year in the submission as a result of rounding (submission calculated rounded number based of 38.1% then applying that rounded number to the number of SMA patients to estimate the proportion).</w:t>
            </w:r>
          </w:p>
          <w:p w14:paraId="4BBF909E" w14:textId="77777777" w:rsidR="005158F7" w:rsidRPr="00AE3438" w:rsidRDefault="005158F7" w:rsidP="005158F7">
            <w:pPr>
              <w:jc w:val="left"/>
              <w:rPr>
                <w:rFonts w:ascii="Arial Narrow" w:eastAsiaTheme="majorEastAsia" w:hAnsi="Arial Narrow" w:cstheme="majorBidi"/>
                <w:bCs/>
                <w:sz w:val="20"/>
              </w:rPr>
            </w:pPr>
          </w:p>
          <w:p w14:paraId="0F1BE16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Submission expected 97% coverage with NBS by end of 2023, financial estimates assume 100% from 2023.</w:t>
            </w:r>
          </w:p>
        </w:tc>
      </w:tr>
      <w:tr w:rsidR="005158F7" w:rsidRPr="00AE3438" w14:paraId="49C86225" w14:textId="77777777" w:rsidTr="005158F7">
        <w:trPr>
          <w:cantSplit/>
        </w:trPr>
        <w:tc>
          <w:tcPr>
            <w:tcW w:w="1127" w:type="dxa"/>
            <w:vAlign w:val="center"/>
          </w:tcPr>
          <w:p w14:paraId="1D83D5E7"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Incident patients born in 2022</w:t>
            </w:r>
          </w:p>
        </w:tc>
        <w:tc>
          <w:tcPr>
            <w:tcW w:w="1845" w:type="dxa"/>
            <w:gridSpan w:val="2"/>
            <w:vAlign w:val="center"/>
          </w:tcPr>
          <w:p w14:paraId="65B1B35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1: 2</w:t>
            </w:r>
          </w:p>
          <w:p w14:paraId="6D3AFCA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2-6: NA</w:t>
            </w:r>
          </w:p>
        </w:tc>
        <w:tc>
          <w:tcPr>
            <w:tcW w:w="2977" w:type="dxa"/>
            <w:vAlign w:val="center"/>
          </w:tcPr>
          <w:p w14:paraId="0AFC8FC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Estimated ABS Australian birth rates 2022:</w:t>
            </w:r>
          </w:p>
          <w:p w14:paraId="1623B25D"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1 in 10,000 diagnosed with SMA </w:t>
            </w:r>
          </w:p>
          <w:p w14:paraId="727E45B1"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44% identified with NBS (based on % births in 2020 in NSW, WA, ACT).</w:t>
            </w:r>
          </w:p>
          <w:p w14:paraId="71448212"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38.1% 3 copies of SMN2 (Feldkotter 2002).</w:t>
            </w:r>
          </w:p>
          <w:p w14:paraId="6C3EE698"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94% AAV9 eligible </w:t>
            </w:r>
          </w:p>
          <w:p w14:paraId="44215160"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33.15% &lt;9 months old by ONA listing (assumption based on expected listing date of 1 June 2023: 1 Sept 2022- 31 Dec 2022 represented as a % of the year).</w:t>
            </w:r>
          </w:p>
        </w:tc>
        <w:tc>
          <w:tcPr>
            <w:tcW w:w="3260" w:type="dxa"/>
            <w:vAlign w:val="center"/>
          </w:tcPr>
          <w:p w14:paraId="69C1C5A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As with incident patients rounding was used inconsistently (though this did not affect whole number of patients).</w:t>
            </w:r>
          </w:p>
        </w:tc>
      </w:tr>
      <w:tr w:rsidR="005158F7" w:rsidRPr="00AE3438" w14:paraId="52A9F8E6" w14:textId="77777777" w:rsidTr="005158F7">
        <w:trPr>
          <w:cantSplit/>
        </w:trPr>
        <w:tc>
          <w:tcPr>
            <w:tcW w:w="1127" w:type="dxa"/>
            <w:vAlign w:val="center"/>
          </w:tcPr>
          <w:p w14:paraId="276A1469"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Total patients eligible to initiate treatment</w:t>
            </w:r>
          </w:p>
        </w:tc>
        <w:tc>
          <w:tcPr>
            <w:tcW w:w="1845" w:type="dxa"/>
            <w:gridSpan w:val="2"/>
            <w:vAlign w:val="center"/>
          </w:tcPr>
          <w:p w14:paraId="2B9DDA5C"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1: 13</w:t>
            </w:r>
          </w:p>
          <w:p w14:paraId="61CEC99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2: 12</w:t>
            </w:r>
          </w:p>
          <w:p w14:paraId="5517D130"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3: 12</w:t>
            </w:r>
          </w:p>
          <w:p w14:paraId="0DC0EE8A"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4: 12</w:t>
            </w:r>
          </w:p>
          <w:p w14:paraId="3D8BDE47"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5: 12</w:t>
            </w:r>
          </w:p>
          <w:p w14:paraId="39DB21D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6: 12</w:t>
            </w:r>
          </w:p>
        </w:tc>
        <w:tc>
          <w:tcPr>
            <w:tcW w:w="2977" w:type="dxa"/>
            <w:vAlign w:val="center"/>
          </w:tcPr>
          <w:p w14:paraId="26ADD2A1"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Incident patients combined.</w:t>
            </w:r>
          </w:p>
        </w:tc>
        <w:tc>
          <w:tcPr>
            <w:tcW w:w="3260" w:type="dxa"/>
            <w:vAlign w:val="center"/>
          </w:tcPr>
          <w:p w14:paraId="757633B1"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Calculations were arithmetically correct (though rounding errors would carry through).</w:t>
            </w:r>
          </w:p>
        </w:tc>
      </w:tr>
      <w:tr w:rsidR="005158F7" w:rsidRPr="00AE3438" w14:paraId="6BECA439" w14:textId="77777777" w:rsidTr="005158F7">
        <w:trPr>
          <w:cantSplit/>
        </w:trPr>
        <w:tc>
          <w:tcPr>
            <w:tcW w:w="9209" w:type="dxa"/>
            <w:gridSpan w:val="5"/>
            <w:vAlign w:val="center"/>
          </w:tcPr>
          <w:p w14:paraId="5DBE6319" w14:textId="77777777" w:rsidR="005158F7" w:rsidRPr="00AE3438" w:rsidRDefault="005158F7" w:rsidP="005158F7">
            <w:pPr>
              <w:jc w:val="left"/>
              <w:rPr>
                <w:rFonts w:ascii="Arial Narrow" w:eastAsiaTheme="majorEastAsia" w:hAnsi="Arial Narrow" w:cstheme="majorBidi"/>
                <w:b/>
                <w:bCs/>
                <w:sz w:val="20"/>
              </w:rPr>
            </w:pPr>
            <w:r w:rsidRPr="00AE3438">
              <w:rPr>
                <w:rFonts w:ascii="Arial Narrow" w:eastAsiaTheme="majorEastAsia" w:hAnsi="Arial Narrow" w:cstheme="majorBidi"/>
                <w:b/>
                <w:bCs/>
                <w:sz w:val="20"/>
              </w:rPr>
              <w:t>Treatment utilisation</w:t>
            </w:r>
          </w:p>
        </w:tc>
      </w:tr>
      <w:tr w:rsidR="005158F7" w:rsidRPr="00AE3438" w14:paraId="03A6B190" w14:textId="77777777" w:rsidTr="005158F7">
        <w:trPr>
          <w:cantSplit/>
        </w:trPr>
        <w:tc>
          <w:tcPr>
            <w:tcW w:w="1127" w:type="dxa"/>
            <w:vAlign w:val="center"/>
          </w:tcPr>
          <w:p w14:paraId="70651F5B"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Uptake rate </w:t>
            </w:r>
          </w:p>
        </w:tc>
        <w:tc>
          <w:tcPr>
            <w:tcW w:w="1845" w:type="dxa"/>
            <w:gridSpan w:val="2"/>
            <w:vAlign w:val="center"/>
          </w:tcPr>
          <w:p w14:paraId="7270E19D"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Yr 1-6: 90%</w:t>
            </w:r>
          </w:p>
        </w:tc>
        <w:tc>
          <w:tcPr>
            <w:tcW w:w="2977" w:type="dxa"/>
            <w:vAlign w:val="center"/>
          </w:tcPr>
          <w:p w14:paraId="6F8C321A"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Based on 23/25 families elected treatment with ONA in pre-reimbursement routes in 2020 (92%).</w:t>
            </w:r>
          </w:p>
        </w:tc>
        <w:tc>
          <w:tcPr>
            <w:tcW w:w="3260" w:type="dxa"/>
            <w:vAlign w:val="center"/>
          </w:tcPr>
          <w:p w14:paraId="706B0933"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May be underestimated. However due to rounding the actual uptake implemented equated to 91.7-92.3% for patients born 2023 onwards and 100% for patients born in 2022.</w:t>
            </w:r>
          </w:p>
          <w:p w14:paraId="554CF02C"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Due to rounding errors, increasing uptake in the base case to 95% resulted in a reduction in net costs.</w:t>
            </w:r>
          </w:p>
        </w:tc>
      </w:tr>
      <w:tr w:rsidR="005158F7" w:rsidRPr="00AE3438" w14:paraId="73A810B7" w14:textId="77777777" w:rsidTr="005158F7">
        <w:trPr>
          <w:cantSplit/>
        </w:trPr>
        <w:tc>
          <w:tcPr>
            <w:tcW w:w="1127" w:type="dxa"/>
            <w:vAlign w:val="center"/>
          </w:tcPr>
          <w:p w14:paraId="2CF6922B"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Number initiating treatment</w:t>
            </w:r>
          </w:p>
        </w:tc>
        <w:tc>
          <w:tcPr>
            <w:tcW w:w="1845" w:type="dxa"/>
            <w:gridSpan w:val="2"/>
            <w:vAlign w:val="center"/>
          </w:tcPr>
          <w:p w14:paraId="0A523F96" w14:textId="5FDD7D3E"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1: </w:t>
            </w:r>
            <w:r w:rsidR="00284C02" w:rsidRPr="009D1C84">
              <w:rPr>
                <w:rFonts w:ascii="Arial Narrow" w:eastAsiaTheme="majorEastAsia" w:hAnsi="Arial Narrow" w:cstheme="majorBidi"/>
                <w:bCs/>
                <w:color w:val="000000"/>
                <w:spacing w:val="62"/>
                <w:sz w:val="20"/>
                <w:shd w:val="solid" w:color="000000" w:fill="000000"/>
                <w:fitText w:val="363" w:id="-1305197555"/>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5"/>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105E074E" w14:textId="19C19184"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2: </w:t>
            </w:r>
            <w:r w:rsidR="00284C02" w:rsidRPr="009D1C84">
              <w:rPr>
                <w:rFonts w:ascii="Arial Narrow" w:eastAsiaTheme="majorEastAsia" w:hAnsi="Arial Narrow" w:cstheme="majorBidi"/>
                <w:bCs/>
                <w:color w:val="000000"/>
                <w:spacing w:val="62"/>
                <w:sz w:val="20"/>
                <w:shd w:val="solid" w:color="000000" w:fill="000000"/>
                <w:fitText w:val="363" w:id="-1305197554"/>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4"/>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024AFC74" w14:textId="4159FF30"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3: </w:t>
            </w:r>
            <w:r w:rsidR="00284C02" w:rsidRPr="009D1C84">
              <w:rPr>
                <w:rFonts w:ascii="Arial Narrow" w:eastAsiaTheme="majorEastAsia" w:hAnsi="Arial Narrow" w:cstheme="majorBidi"/>
                <w:bCs/>
                <w:color w:val="000000"/>
                <w:spacing w:val="62"/>
                <w:sz w:val="20"/>
                <w:shd w:val="solid" w:color="000000" w:fill="000000"/>
                <w:fitText w:val="363" w:id="-1305197553"/>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3"/>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11C39BB3" w14:textId="1B5CEE79"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4: </w:t>
            </w:r>
            <w:r w:rsidR="00284C02" w:rsidRPr="009D1C84">
              <w:rPr>
                <w:rFonts w:ascii="Arial Narrow" w:eastAsiaTheme="majorEastAsia" w:hAnsi="Arial Narrow" w:cstheme="majorBidi"/>
                <w:bCs/>
                <w:color w:val="000000"/>
                <w:spacing w:val="62"/>
                <w:sz w:val="20"/>
                <w:shd w:val="solid" w:color="000000" w:fill="000000"/>
                <w:fitText w:val="363" w:id="-1305197552"/>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2"/>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1838E64B" w14:textId="4AA6E884"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5: </w:t>
            </w:r>
            <w:r w:rsidR="00284C02" w:rsidRPr="009D1C84">
              <w:rPr>
                <w:rFonts w:ascii="Arial Narrow" w:eastAsiaTheme="majorEastAsia" w:hAnsi="Arial Narrow" w:cstheme="majorBidi"/>
                <w:bCs/>
                <w:color w:val="000000"/>
                <w:spacing w:val="62"/>
                <w:sz w:val="20"/>
                <w:shd w:val="solid" w:color="000000" w:fill="000000"/>
                <w:fitText w:val="363" w:id="-1305197568"/>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8"/>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59E78191" w14:textId="3D24D8FD"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6: </w:t>
            </w:r>
            <w:r w:rsidR="00284C02" w:rsidRPr="009D1C84">
              <w:rPr>
                <w:rFonts w:ascii="Arial Narrow" w:eastAsiaTheme="majorEastAsia" w:hAnsi="Arial Narrow" w:cstheme="majorBidi"/>
                <w:bCs/>
                <w:color w:val="000000"/>
                <w:spacing w:val="62"/>
                <w:sz w:val="20"/>
                <w:shd w:val="solid" w:color="000000" w:fill="000000"/>
                <w:fitText w:val="363" w:id="-1305197567"/>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7"/>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tc>
        <w:tc>
          <w:tcPr>
            <w:tcW w:w="2977" w:type="dxa"/>
            <w:vAlign w:val="center"/>
          </w:tcPr>
          <w:p w14:paraId="0E8224EC" w14:textId="6706A1C2" w:rsidR="005158F7" w:rsidRPr="00A83CA7" w:rsidRDefault="005158F7" w:rsidP="00E6738A">
            <w:pPr>
              <w:jc w:val="left"/>
              <w:rPr>
                <w:rFonts w:ascii="Arial Narrow" w:eastAsiaTheme="majorEastAsia" w:hAnsi="Arial Narrow" w:cstheme="majorBidi"/>
                <w:bCs/>
                <w:sz w:val="20"/>
                <w:vertAlign w:val="superscript"/>
              </w:rPr>
            </w:pPr>
            <w:r w:rsidRPr="00AE3438">
              <w:rPr>
                <w:rFonts w:ascii="Arial Narrow" w:eastAsiaTheme="majorEastAsia" w:hAnsi="Arial Narrow" w:cstheme="majorBidi"/>
                <w:bCs/>
                <w:sz w:val="20"/>
              </w:rPr>
              <w:t xml:space="preserve">Total eligible multiplied by uptake rate </w:t>
            </w:r>
          </w:p>
        </w:tc>
        <w:tc>
          <w:tcPr>
            <w:tcW w:w="3260" w:type="dxa"/>
            <w:vAlign w:val="center"/>
          </w:tcPr>
          <w:p w14:paraId="31CF2AC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Calculations were arithmetically correct.</w:t>
            </w:r>
          </w:p>
        </w:tc>
      </w:tr>
      <w:tr w:rsidR="005158F7" w:rsidRPr="00AE3438" w14:paraId="5778DBC8" w14:textId="77777777" w:rsidTr="005158F7">
        <w:trPr>
          <w:cantSplit/>
        </w:trPr>
        <w:tc>
          <w:tcPr>
            <w:tcW w:w="1127" w:type="dxa"/>
            <w:vAlign w:val="center"/>
          </w:tcPr>
          <w:p w14:paraId="11963E2F"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lastRenderedPageBreak/>
              <w:t>Number continuing treatment (NUSI/RISD only)</w:t>
            </w:r>
          </w:p>
        </w:tc>
        <w:tc>
          <w:tcPr>
            <w:tcW w:w="922" w:type="dxa"/>
            <w:vAlign w:val="center"/>
          </w:tcPr>
          <w:p w14:paraId="4BDC54BC" w14:textId="1CA474F6"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1: </w:t>
            </w:r>
            <w:r w:rsidR="00284C02" w:rsidRPr="009D1C84">
              <w:rPr>
                <w:rFonts w:ascii="Arial Narrow" w:eastAsiaTheme="majorEastAsia" w:hAnsi="Arial Narrow" w:cstheme="majorBidi"/>
                <w:bCs/>
                <w:color w:val="000000"/>
                <w:spacing w:val="62"/>
                <w:sz w:val="20"/>
                <w:shd w:val="solid" w:color="000000" w:fill="000000"/>
                <w:fitText w:val="363" w:id="-1305197566"/>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6"/>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5EAB8AF5" w14:textId="28EAEF6B"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2: </w:t>
            </w:r>
            <w:r w:rsidR="00284C02" w:rsidRPr="009D1C84">
              <w:rPr>
                <w:rFonts w:ascii="Arial Narrow" w:eastAsiaTheme="majorEastAsia" w:hAnsi="Arial Narrow" w:cstheme="majorBidi"/>
                <w:bCs/>
                <w:color w:val="000000"/>
                <w:spacing w:val="62"/>
                <w:sz w:val="20"/>
                <w:shd w:val="solid" w:color="000000" w:fill="000000"/>
                <w:fitText w:val="363" w:id="-1305197565"/>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5"/>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75FED0F6" w14:textId="2F6A10A1"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3: </w:t>
            </w:r>
            <w:r w:rsidR="00284C02" w:rsidRPr="009D1C84">
              <w:rPr>
                <w:rFonts w:ascii="Arial Narrow" w:eastAsiaTheme="majorEastAsia" w:hAnsi="Arial Narrow" w:cstheme="majorBidi"/>
                <w:bCs/>
                <w:color w:val="000000"/>
                <w:spacing w:val="62"/>
                <w:sz w:val="20"/>
                <w:shd w:val="solid" w:color="000000" w:fill="000000"/>
                <w:fitText w:val="363" w:id="-1305197564"/>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4"/>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4BA36627" w14:textId="221C9301"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4: </w:t>
            </w:r>
            <w:r w:rsidR="00284C02" w:rsidRPr="009D1C84">
              <w:rPr>
                <w:rFonts w:ascii="Arial Narrow" w:eastAsiaTheme="majorEastAsia" w:hAnsi="Arial Narrow" w:cstheme="majorBidi"/>
                <w:bCs/>
                <w:color w:val="000000"/>
                <w:spacing w:val="62"/>
                <w:sz w:val="20"/>
                <w:shd w:val="solid" w:color="000000" w:fill="000000"/>
                <w:fitText w:val="363" w:id="-1305197563"/>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3"/>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5692B883" w14:textId="10F0F725"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5: </w:t>
            </w:r>
            <w:r w:rsidR="00284C02" w:rsidRPr="009D1C84">
              <w:rPr>
                <w:rFonts w:ascii="Arial Narrow" w:eastAsiaTheme="majorEastAsia" w:hAnsi="Arial Narrow" w:cstheme="majorBidi"/>
                <w:bCs/>
                <w:color w:val="000000"/>
                <w:spacing w:val="62"/>
                <w:sz w:val="20"/>
                <w:shd w:val="solid" w:color="000000" w:fill="000000"/>
                <w:fitText w:val="363" w:id="-1305197562"/>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2"/>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55BD6B54" w14:textId="282FF630"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6: </w:t>
            </w:r>
            <w:r w:rsidR="00284C02" w:rsidRPr="009D1C84">
              <w:rPr>
                <w:rFonts w:ascii="Arial Narrow" w:eastAsiaTheme="majorEastAsia" w:hAnsi="Arial Narrow" w:cstheme="majorBidi"/>
                <w:bCs/>
                <w:color w:val="000000"/>
                <w:spacing w:val="62"/>
                <w:sz w:val="20"/>
                <w:shd w:val="solid" w:color="000000" w:fill="000000"/>
                <w:fitText w:val="363" w:id="-1305197561"/>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1"/>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tc>
        <w:tc>
          <w:tcPr>
            <w:tcW w:w="923" w:type="dxa"/>
            <w:vAlign w:val="center"/>
          </w:tcPr>
          <w:p w14:paraId="5ECB6B60" w14:textId="07766711"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1: </w:t>
            </w:r>
            <w:r w:rsidR="00284C02" w:rsidRPr="009D1C84">
              <w:rPr>
                <w:rFonts w:ascii="Arial Narrow" w:eastAsiaTheme="majorEastAsia" w:hAnsi="Arial Narrow" w:cstheme="majorBidi"/>
                <w:bCs/>
                <w:color w:val="000000"/>
                <w:spacing w:val="62"/>
                <w:sz w:val="20"/>
                <w:shd w:val="solid" w:color="000000" w:fill="000000"/>
                <w:fitText w:val="363" w:id="-1305197560"/>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0"/>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3CE3375D" w14:textId="4D0F61A5"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2: </w:t>
            </w:r>
            <w:r w:rsidR="00284C02" w:rsidRPr="009D1C84">
              <w:rPr>
                <w:rFonts w:ascii="Arial Narrow" w:eastAsiaTheme="majorEastAsia" w:hAnsi="Arial Narrow" w:cstheme="majorBidi"/>
                <w:bCs/>
                <w:color w:val="000000"/>
                <w:spacing w:val="62"/>
                <w:sz w:val="20"/>
                <w:shd w:val="solid" w:color="000000" w:fill="000000"/>
                <w:fitText w:val="363" w:id="-1305197559"/>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9"/>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73CFBD6E" w14:textId="5F2A63E6"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3: </w:t>
            </w:r>
            <w:r w:rsidR="00284C02" w:rsidRPr="009D1C84">
              <w:rPr>
                <w:rFonts w:ascii="Arial Narrow" w:eastAsiaTheme="majorEastAsia" w:hAnsi="Arial Narrow" w:cstheme="majorBidi"/>
                <w:bCs/>
                <w:color w:val="000000"/>
                <w:spacing w:val="62"/>
                <w:sz w:val="20"/>
                <w:shd w:val="solid" w:color="000000" w:fill="000000"/>
                <w:fitText w:val="363" w:id="-1305197558"/>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8"/>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03A30C37" w14:textId="6DBE3908"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4: </w:t>
            </w:r>
            <w:r w:rsidR="00284C02" w:rsidRPr="009D1C84">
              <w:rPr>
                <w:rFonts w:ascii="Arial Narrow" w:eastAsiaTheme="majorEastAsia" w:hAnsi="Arial Narrow" w:cstheme="majorBidi"/>
                <w:bCs/>
                <w:color w:val="000000"/>
                <w:spacing w:val="62"/>
                <w:sz w:val="20"/>
                <w:shd w:val="solid" w:color="000000" w:fill="000000"/>
                <w:fitText w:val="363" w:id="-1305197557"/>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7"/>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21185926" w14:textId="219E8FE9"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5: </w:t>
            </w:r>
            <w:r w:rsidR="00284C02" w:rsidRPr="009D1C84">
              <w:rPr>
                <w:rFonts w:ascii="Arial Narrow" w:eastAsiaTheme="majorEastAsia" w:hAnsi="Arial Narrow" w:cstheme="majorBidi"/>
                <w:bCs/>
                <w:color w:val="000000"/>
                <w:spacing w:val="62"/>
                <w:sz w:val="20"/>
                <w:shd w:val="solid" w:color="000000" w:fill="000000"/>
                <w:fitText w:val="363" w:id="-1305197556"/>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6"/>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p w14:paraId="3E20BF00" w14:textId="534E4046"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6: </w:t>
            </w:r>
            <w:r w:rsidR="00284C02" w:rsidRPr="009D1C84">
              <w:rPr>
                <w:rFonts w:ascii="Arial Narrow" w:eastAsiaTheme="majorEastAsia" w:hAnsi="Arial Narrow" w:cstheme="majorBidi"/>
                <w:bCs/>
                <w:color w:val="000000"/>
                <w:spacing w:val="62"/>
                <w:sz w:val="20"/>
                <w:shd w:val="solid" w:color="000000" w:fill="000000"/>
                <w:fitText w:val="363" w:id="-1305197555"/>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5"/>
                <w14:textFill>
                  <w14:solidFill>
                    <w14:srgbClr w14:val="000000">
                      <w14:alpha w14:val="100000"/>
                    </w14:srgbClr>
                  </w14:solidFill>
                </w14:textFill>
              </w:rPr>
              <w:t>|</w:t>
            </w:r>
            <w:r w:rsidR="0064010B">
              <w:rPr>
                <w:rFonts w:ascii="Arial Narrow" w:eastAsiaTheme="majorEastAsia" w:hAnsi="Arial Narrow" w:cstheme="majorBidi"/>
                <w:bCs/>
                <w:sz w:val="20"/>
                <w:vertAlign w:val="superscript"/>
              </w:rPr>
              <w:t>1</w:t>
            </w:r>
          </w:p>
        </w:tc>
        <w:tc>
          <w:tcPr>
            <w:tcW w:w="2977" w:type="dxa"/>
            <w:vAlign w:val="center"/>
          </w:tcPr>
          <w:p w14:paraId="094C45AF"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Assumption that patients initiating NUSI/RISD will continue to receive treatment indefinitely.</w:t>
            </w:r>
          </w:p>
        </w:tc>
        <w:tc>
          <w:tcPr>
            <w:tcW w:w="3260" w:type="dxa"/>
            <w:vAlign w:val="center"/>
          </w:tcPr>
          <w:p w14:paraId="4E1A0684"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The submission did not include the 2 patients born in 2022 in the first year of the continuing treatments. Prevalent patients each year were based on the rounded numbers who initiated the year before, but those continuing treatment who initiated in the same year were not rounded, leading to slightly different numbers when all the rounding was removed.</w:t>
            </w:r>
          </w:p>
        </w:tc>
      </w:tr>
      <w:tr w:rsidR="005158F7" w:rsidRPr="00AE3438" w14:paraId="680DD73B" w14:textId="77777777" w:rsidTr="005158F7">
        <w:trPr>
          <w:cantSplit/>
        </w:trPr>
        <w:tc>
          <w:tcPr>
            <w:tcW w:w="1127" w:type="dxa"/>
            <w:vAlign w:val="center"/>
          </w:tcPr>
          <w:p w14:paraId="52945BBA"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Scripts dispensed (ONA)</w:t>
            </w:r>
          </w:p>
        </w:tc>
        <w:tc>
          <w:tcPr>
            <w:tcW w:w="1845" w:type="dxa"/>
            <w:gridSpan w:val="2"/>
            <w:vAlign w:val="center"/>
          </w:tcPr>
          <w:p w14:paraId="208FC0C5" w14:textId="6A629581"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1: </w:t>
            </w:r>
            <w:r w:rsidR="00284C02" w:rsidRPr="009D1C84">
              <w:rPr>
                <w:rFonts w:ascii="Arial Narrow" w:eastAsiaTheme="majorEastAsia" w:hAnsi="Arial Narrow" w:cstheme="majorBidi"/>
                <w:bCs/>
                <w:color w:val="000000"/>
                <w:spacing w:val="62"/>
                <w:sz w:val="20"/>
                <w:shd w:val="solid" w:color="000000" w:fill="000000"/>
                <w:fitText w:val="363" w:id="-1305197554"/>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4"/>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45E30302" w14:textId="53012746"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2: </w:t>
            </w:r>
            <w:r w:rsidR="00284C02" w:rsidRPr="009D1C84">
              <w:rPr>
                <w:rFonts w:ascii="Arial Narrow" w:eastAsiaTheme="majorEastAsia" w:hAnsi="Arial Narrow" w:cstheme="majorBidi"/>
                <w:bCs/>
                <w:color w:val="000000"/>
                <w:spacing w:val="62"/>
                <w:sz w:val="20"/>
                <w:shd w:val="solid" w:color="000000" w:fill="000000"/>
                <w:fitText w:val="363" w:id="-1305197553"/>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3"/>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30F73B78" w14:textId="09C3C31C"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3: </w:t>
            </w:r>
            <w:r w:rsidR="00284C02" w:rsidRPr="009D1C84">
              <w:rPr>
                <w:rFonts w:ascii="Arial Narrow" w:eastAsiaTheme="majorEastAsia" w:hAnsi="Arial Narrow" w:cstheme="majorBidi"/>
                <w:bCs/>
                <w:color w:val="000000"/>
                <w:spacing w:val="62"/>
                <w:sz w:val="20"/>
                <w:shd w:val="solid" w:color="000000" w:fill="000000"/>
                <w:fitText w:val="363" w:id="-1305197552"/>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52"/>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17B138F9" w14:textId="797D5469"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4: </w:t>
            </w:r>
            <w:r w:rsidR="00284C02" w:rsidRPr="009D1C84">
              <w:rPr>
                <w:rFonts w:ascii="Arial Narrow" w:eastAsiaTheme="majorEastAsia" w:hAnsi="Arial Narrow" w:cstheme="majorBidi"/>
                <w:bCs/>
                <w:color w:val="000000"/>
                <w:spacing w:val="62"/>
                <w:sz w:val="20"/>
                <w:shd w:val="solid" w:color="000000" w:fill="000000"/>
                <w:fitText w:val="363" w:id="-1305197568"/>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8"/>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04E35BC9" w14:textId="5075D7DD"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5: </w:t>
            </w:r>
            <w:r w:rsidR="00284C02" w:rsidRPr="009D1C84">
              <w:rPr>
                <w:rFonts w:ascii="Arial Narrow" w:eastAsiaTheme="majorEastAsia" w:hAnsi="Arial Narrow" w:cstheme="majorBidi"/>
                <w:bCs/>
                <w:color w:val="000000"/>
                <w:spacing w:val="62"/>
                <w:sz w:val="20"/>
                <w:shd w:val="solid" w:color="000000" w:fill="000000"/>
                <w:fitText w:val="363" w:id="-1305197567"/>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7"/>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p w14:paraId="2144F1C2" w14:textId="784CABA9"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Yr 6: </w:t>
            </w:r>
            <w:r w:rsidR="00284C02" w:rsidRPr="009D1C84">
              <w:rPr>
                <w:rFonts w:ascii="Arial Narrow" w:eastAsiaTheme="majorEastAsia" w:hAnsi="Arial Narrow" w:cstheme="majorBidi"/>
                <w:bCs/>
                <w:color w:val="000000"/>
                <w:spacing w:val="62"/>
                <w:sz w:val="20"/>
                <w:shd w:val="solid" w:color="000000" w:fill="000000"/>
                <w:fitText w:val="363" w:id="-1305197566"/>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6"/>
                <w14:textFill>
                  <w14:solidFill>
                    <w14:srgbClr w14:val="000000">
                      <w14:alpha w14:val="100000"/>
                    </w14:srgbClr>
                  </w14:solidFill>
                </w14:textFill>
              </w:rPr>
              <w:t>|</w:t>
            </w:r>
            <w:r w:rsidR="00A83CA7">
              <w:rPr>
                <w:rFonts w:ascii="Arial Narrow" w:eastAsiaTheme="majorEastAsia" w:hAnsi="Arial Narrow" w:cstheme="majorBidi"/>
                <w:bCs/>
                <w:sz w:val="20"/>
                <w:vertAlign w:val="superscript"/>
              </w:rPr>
              <w:t>1</w:t>
            </w:r>
          </w:p>
        </w:tc>
        <w:tc>
          <w:tcPr>
            <w:tcW w:w="2977" w:type="dxa"/>
            <w:vAlign w:val="center"/>
          </w:tcPr>
          <w:p w14:paraId="6CFB5AB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ONA is a one-off treatment and therefore one script was required per patients.</w:t>
            </w:r>
          </w:p>
        </w:tc>
        <w:tc>
          <w:tcPr>
            <w:tcW w:w="3260" w:type="dxa"/>
            <w:vAlign w:val="center"/>
          </w:tcPr>
          <w:p w14:paraId="01D51ED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This was appropriate.</w:t>
            </w:r>
          </w:p>
        </w:tc>
      </w:tr>
      <w:tr w:rsidR="005158F7" w:rsidRPr="00AE3438" w14:paraId="6AD91B5B" w14:textId="77777777" w:rsidTr="005158F7">
        <w:trPr>
          <w:cantSplit/>
        </w:trPr>
        <w:tc>
          <w:tcPr>
            <w:tcW w:w="1127" w:type="dxa"/>
            <w:vAlign w:val="center"/>
          </w:tcPr>
          <w:p w14:paraId="7606CF3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Subsequent treatments</w:t>
            </w:r>
          </w:p>
        </w:tc>
        <w:tc>
          <w:tcPr>
            <w:tcW w:w="1845" w:type="dxa"/>
            <w:gridSpan w:val="2"/>
            <w:vAlign w:val="center"/>
          </w:tcPr>
          <w:p w14:paraId="7E479D0F"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Not costed</w:t>
            </w:r>
          </w:p>
        </w:tc>
        <w:tc>
          <w:tcPr>
            <w:tcW w:w="2977" w:type="dxa"/>
            <w:vAlign w:val="center"/>
          </w:tcPr>
          <w:p w14:paraId="1C6137DF" w14:textId="70A8AF58"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Subsequent treatment following ONA was not discussed in </w:t>
            </w:r>
            <w:r w:rsidR="001B040D" w:rsidRPr="00AE3438">
              <w:rPr>
                <w:rFonts w:ascii="Arial Narrow" w:eastAsiaTheme="majorEastAsia" w:hAnsi="Arial Narrow" w:cstheme="majorBidi"/>
                <w:bCs/>
                <w:sz w:val="20"/>
              </w:rPr>
              <w:t>the financial estimates</w:t>
            </w:r>
            <w:r w:rsidRPr="00AE3438">
              <w:rPr>
                <w:rFonts w:ascii="Arial Narrow" w:eastAsiaTheme="majorEastAsia" w:hAnsi="Arial Narrow" w:cstheme="majorBidi"/>
                <w:bCs/>
                <w:sz w:val="20"/>
              </w:rPr>
              <w:t>.</w:t>
            </w:r>
          </w:p>
        </w:tc>
        <w:tc>
          <w:tcPr>
            <w:tcW w:w="3260" w:type="dxa"/>
            <w:vAlign w:val="center"/>
          </w:tcPr>
          <w:p w14:paraId="58A91D62" w14:textId="79C3EE50"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This was consistent with </w:t>
            </w:r>
            <w:r w:rsidR="001B040D" w:rsidRPr="00AE3438">
              <w:rPr>
                <w:rFonts w:ascii="Arial Narrow" w:eastAsiaTheme="majorEastAsia" w:hAnsi="Arial Narrow" w:cstheme="majorBidi"/>
                <w:bCs/>
                <w:sz w:val="20"/>
              </w:rPr>
              <w:t>the economic model</w:t>
            </w:r>
            <w:r w:rsidRPr="00AE3438">
              <w:rPr>
                <w:rFonts w:ascii="Arial Narrow" w:eastAsiaTheme="majorEastAsia" w:hAnsi="Arial Narrow" w:cstheme="majorBidi"/>
                <w:bCs/>
                <w:sz w:val="20"/>
              </w:rPr>
              <w:t xml:space="preserve"> but may not be realistic. Evidence for the long-term benefit of ONA pre</w:t>
            </w:r>
            <w:r w:rsidR="001A293B" w:rsidRPr="00AE3438">
              <w:rPr>
                <w:rFonts w:ascii="Arial Narrow" w:eastAsiaTheme="majorEastAsia" w:hAnsi="Arial Narrow" w:cstheme="majorBidi"/>
                <w:bCs/>
                <w:sz w:val="20"/>
              </w:rPr>
              <w:t>-</w:t>
            </w:r>
            <w:r w:rsidRPr="00AE3438">
              <w:rPr>
                <w:rFonts w:ascii="Arial Narrow" w:eastAsiaTheme="majorEastAsia" w:hAnsi="Arial Narrow" w:cstheme="majorBidi"/>
                <w:bCs/>
                <w:sz w:val="20"/>
              </w:rPr>
              <w:t>symptomatic treatment is limited and in 53% of patients in START-LTFU received NUSI/RISD post ONA for symptomatic treatment of SMA Type I.</w:t>
            </w:r>
          </w:p>
        </w:tc>
      </w:tr>
      <w:tr w:rsidR="005158F7" w:rsidRPr="00AE3438" w14:paraId="189F346F" w14:textId="77777777" w:rsidTr="005158F7">
        <w:trPr>
          <w:cantSplit/>
        </w:trPr>
        <w:tc>
          <w:tcPr>
            <w:tcW w:w="1127" w:type="dxa"/>
            <w:vAlign w:val="center"/>
          </w:tcPr>
          <w:p w14:paraId="25FB5B5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Population split NUSI/RISD</w:t>
            </w:r>
          </w:p>
        </w:tc>
        <w:tc>
          <w:tcPr>
            <w:tcW w:w="1845" w:type="dxa"/>
            <w:gridSpan w:val="2"/>
            <w:vAlign w:val="center"/>
          </w:tcPr>
          <w:p w14:paraId="36EBADA9"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50%:50%</w:t>
            </w:r>
          </w:p>
        </w:tc>
        <w:tc>
          <w:tcPr>
            <w:tcW w:w="2977" w:type="dxa"/>
            <w:vAlign w:val="center"/>
          </w:tcPr>
          <w:p w14:paraId="0A7207D0" w14:textId="45AD3A90"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Patients were assumed</w:t>
            </w:r>
            <w:r w:rsidR="00527786" w:rsidRPr="00AE3438">
              <w:rPr>
                <w:rFonts w:ascii="Arial Narrow" w:eastAsiaTheme="majorEastAsia" w:hAnsi="Arial Narrow" w:cstheme="majorBidi"/>
                <w:bCs/>
                <w:sz w:val="20"/>
              </w:rPr>
              <w:t xml:space="preserve"> to</w:t>
            </w:r>
            <w:r w:rsidRPr="00AE3438">
              <w:rPr>
                <w:rFonts w:ascii="Arial Narrow" w:eastAsiaTheme="majorEastAsia" w:hAnsi="Arial Narrow" w:cstheme="majorBidi"/>
                <w:bCs/>
                <w:sz w:val="20"/>
              </w:rPr>
              <w:t xml:space="preserve"> be symptomatic from birth, with 50% receiving nusinersen and 50% receiving risdiplam for the length of the financial estimates.</w:t>
            </w:r>
          </w:p>
        </w:tc>
        <w:tc>
          <w:tcPr>
            <w:tcW w:w="3260" w:type="dxa"/>
            <w:vAlign w:val="center"/>
          </w:tcPr>
          <w:p w14:paraId="06B6413D" w14:textId="6F02A2F5" w:rsidR="009C5A21"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The true split of NUSI and RISD may depend upon patient symptoms, availability, access and preferences for mode of administration etc. Patients who develop Type I symptoms currently would also be eligible for treatment with ONA (approx</w:t>
            </w:r>
            <w:r w:rsidR="00BF0A5B">
              <w:rPr>
                <w:rFonts w:ascii="Arial Narrow" w:eastAsiaTheme="majorEastAsia" w:hAnsi="Arial Narrow" w:cstheme="majorBidi"/>
                <w:bCs/>
                <w:sz w:val="20"/>
              </w:rPr>
              <w:t>.</w:t>
            </w:r>
            <w:r w:rsidRPr="00AE3438">
              <w:rPr>
                <w:rFonts w:ascii="Arial Narrow" w:eastAsiaTheme="majorEastAsia" w:hAnsi="Arial Narrow" w:cstheme="majorBidi"/>
                <w:bCs/>
                <w:sz w:val="20"/>
              </w:rPr>
              <w:t xml:space="preserve"> 17%).</w:t>
            </w:r>
          </w:p>
          <w:p w14:paraId="02FDE68B" w14:textId="77777777" w:rsidR="008A2D91" w:rsidRPr="00AE3438" w:rsidRDefault="008A2D91" w:rsidP="005158F7">
            <w:pPr>
              <w:jc w:val="left"/>
              <w:rPr>
                <w:rFonts w:ascii="Arial Narrow" w:eastAsiaTheme="majorEastAsia" w:hAnsi="Arial Narrow" w:cstheme="majorBidi"/>
                <w:bCs/>
                <w:sz w:val="20"/>
              </w:rPr>
            </w:pPr>
          </w:p>
          <w:p w14:paraId="28417CF3" w14:textId="07246305" w:rsidR="00F63366" w:rsidRPr="00AE3438" w:rsidRDefault="00F63366"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Patients who present with less severe phenotype</w:t>
            </w:r>
            <w:r w:rsidR="00C6469A" w:rsidRPr="00AE3438">
              <w:rPr>
                <w:rFonts w:ascii="Arial Narrow" w:eastAsiaTheme="majorEastAsia" w:hAnsi="Arial Narrow" w:cstheme="majorBidi"/>
                <w:bCs/>
                <w:sz w:val="20"/>
              </w:rPr>
              <w:t>s</w:t>
            </w:r>
            <w:r w:rsidRPr="00AE3438">
              <w:rPr>
                <w:rFonts w:ascii="Arial Narrow" w:eastAsiaTheme="majorEastAsia" w:hAnsi="Arial Narrow" w:cstheme="majorBidi"/>
                <w:bCs/>
                <w:sz w:val="20"/>
              </w:rPr>
              <w:t xml:space="preserve"> may not receive NUSI/RISD until they are older/at all, and therefore it may not be appropriate to assume an additional 6 years of treatment for all patients who do</w:t>
            </w:r>
            <w:r w:rsidR="00671497" w:rsidRPr="00AE3438">
              <w:rPr>
                <w:rFonts w:ascii="Arial Narrow" w:eastAsiaTheme="majorEastAsia" w:hAnsi="Arial Narrow" w:cstheme="majorBidi"/>
                <w:bCs/>
                <w:sz w:val="20"/>
              </w:rPr>
              <w:t xml:space="preserve"> no</w:t>
            </w:r>
            <w:r w:rsidRPr="00AE3438">
              <w:rPr>
                <w:rFonts w:ascii="Arial Narrow" w:eastAsiaTheme="majorEastAsia" w:hAnsi="Arial Narrow" w:cstheme="majorBidi"/>
                <w:bCs/>
                <w:sz w:val="20"/>
              </w:rPr>
              <w:t>t receive ONA</w:t>
            </w:r>
            <w:r w:rsidR="00801F86" w:rsidRPr="00AE3438">
              <w:rPr>
                <w:rFonts w:ascii="Arial Narrow" w:eastAsiaTheme="majorEastAsia" w:hAnsi="Arial Narrow" w:cstheme="majorBidi"/>
                <w:bCs/>
                <w:sz w:val="20"/>
              </w:rPr>
              <w:t xml:space="preserve">. </w:t>
            </w:r>
          </w:p>
          <w:p w14:paraId="42A3D07A" w14:textId="77777777" w:rsidR="00F63366" w:rsidRPr="00AE3438" w:rsidRDefault="00F63366" w:rsidP="005158F7">
            <w:pPr>
              <w:jc w:val="left"/>
              <w:rPr>
                <w:rFonts w:ascii="Arial Narrow" w:eastAsiaTheme="majorEastAsia" w:hAnsi="Arial Narrow" w:cstheme="majorBidi"/>
                <w:bCs/>
                <w:sz w:val="20"/>
              </w:rPr>
            </w:pPr>
          </w:p>
          <w:p w14:paraId="57FCCF07" w14:textId="1DC22457" w:rsidR="00801F86" w:rsidRPr="00AE3438" w:rsidRDefault="009C5A21" w:rsidP="005158F7">
            <w:pPr>
              <w:jc w:val="left"/>
              <w:rPr>
                <w:rFonts w:ascii="Arial Narrow" w:eastAsiaTheme="majorEastAsia" w:hAnsi="Arial Narrow" w:cstheme="majorBidi"/>
                <w:bCs/>
                <w:sz w:val="20"/>
              </w:rPr>
            </w:pPr>
            <w:r>
              <w:rPr>
                <w:rFonts w:ascii="Arial Narrow" w:eastAsiaTheme="majorEastAsia" w:hAnsi="Arial Narrow" w:cstheme="majorBidi"/>
                <w:bCs/>
                <w:sz w:val="20"/>
              </w:rPr>
              <w:t>C</w:t>
            </w:r>
            <w:r w:rsidR="00801F86" w:rsidRPr="00AE3438">
              <w:rPr>
                <w:rFonts w:ascii="Arial Narrow" w:eastAsiaTheme="majorEastAsia" w:hAnsi="Arial Narrow" w:cstheme="majorBidi"/>
                <w:bCs/>
                <w:sz w:val="20"/>
              </w:rPr>
              <w:t xml:space="preserve">osts of RISD </w:t>
            </w:r>
            <w:r w:rsidR="00F63366" w:rsidRPr="00AE3438">
              <w:rPr>
                <w:rFonts w:ascii="Arial Narrow" w:eastAsiaTheme="majorEastAsia" w:hAnsi="Arial Narrow" w:cstheme="majorBidi"/>
                <w:bCs/>
                <w:sz w:val="20"/>
              </w:rPr>
              <w:t>may</w:t>
            </w:r>
            <w:r w:rsidR="00801F86" w:rsidRPr="00AE3438">
              <w:rPr>
                <w:rFonts w:ascii="Arial Narrow" w:eastAsiaTheme="majorEastAsia" w:hAnsi="Arial Narrow" w:cstheme="majorBidi"/>
                <w:bCs/>
                <w:sz w:val="20"/>
              </w:rPr>
              <w:t xml:space="preserve"> be underestimated, as younger patients will weigh less and therefore have a lower dosage.</w:t>
            </w:r>
          </w:p>
        </w:tc>
      </w:tr>
      <w:tr w:rsidR="005158F7" w:rsidRPr="00AE3438" w14:paraId="7BE62758" w14:textId="77777777" w:rsidTr="005158F7">
        <w:trPr>
          <w:cantSplit/>
        </w:trPr>
        <w:tc>
          <w:tcPr>
            <w:tcW w:w="9209" w:type="dxa"/>
            <w:gridSpan w:val="5"/>
            <w:vAlign w:val="center"/>
          </w:tcPr>
          <w:p w14:paraId="2EAB4797" w14:textId="77777777" w:rsidR="005158F7" w:rsidRPr="00AE3438" w:rsidRDefault="005158F7" w:rsidP="005158F7">
            <w:pPr>
              <w:jc w:val="left"/>
              <w:rPr>
                <w:rFonts w:ascii="Arial Narrow" w:eastAsiaTheme="majorEastAsia" w:hAnsi="Arial Narrow" w:cstheme="majorBidi"/>
                <w:b/>
                <w:bCs/>
                <w:sz w:val="20"/>
              </w:rPr>
            </w:pPr>
            <w:r w:rsidRPr="00AE3438">
              <w:rPr>
                <w:rFonts w:ascii="Arial Narrow" w:eastAsiaTheme="majorEastAsia" w:hAnsi="Arial Narrow" w:cstheme="majorBidi"/>
                <w:b/>
                <w:bCs/>
                <w:sz w:val="20"/>
              </w:rPr>
              <w:t>PBS/RPBS Costs</w:t>
            </w:r>
          </w:p>
        </w:tc>
      </w:tr>
      <w:tr w:rsidR="005158F7" w:rsidRPr="00AE3438" w14:paraId="3739A9E4" w14:textId="77777777" w:rsidTr="005158F7">
        <w:trPr>
          <w:cantSplit/>
        </w:trPr>
        <w:tc>
          <w:tcPr>
            <w:tcW w:w="1127" w:type="dxa"/>
            <w:vAlign w:val="center"/>
          </w:tcPr>
          <w:p w14:paraId="478063B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ONA</w:t>
            </w:r>
          </w:p>
        </w:tc>
        <w:tc>
          <w:tcPr>
            <w:tcW w:w="1845" w:type="dxa"/>
            <w:gridSpan w:val="2"/>
            <w:vAlign w:val="center"/>
          </w:tcPr>
          <w:p w14:paraId="237E29FD" w14:textId="73D4DAFD"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w:t>
            </w:r>
            <w:r w:rsidR="00284C02" w:rsidRPr="009D1C84">
              <w:rPr>
                <w:rFonts w:ascii="Arial Narrow" w:eastAsiaTheme="majorEastAsia" w:hAnsi="Arial Narrow" w:cstheme="majorBidi"/>
                <w:bCs/>
                <w:color w:val="000000"/>
                <w:spacing w:val="62"/>
                <w:sz w:val="20"/>
                <w:shd w:val="solid" w:color="000000" w:fill="000000"/>
                <w:fitText w:val="363" w:id="-1305197565"/>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5"/>
                <w14:textFill>
                  <w14:solidFill>
                    <w14:srgbClr w14:val="000000">
                      <w14:alpha w14:val="100000"/>
                    </w14:srgbClr>
                  </w14:solidFill>
                </w14:textFill>
              </w:rPr>
              <w:t>|</w:t>
            </w:r>
            <w:r w:rsidRPr="00AE3438">
              <w:rPr>
                <w:rFonts w:ascii="Arial Narrow" w:eastAsiaTheme="majorEastAsia" w:hAnsi="Arial Narrow" w:cstheme="majorBidi"/>
                <w:bCs/>
                <w:sz w:val="20"/>
              </w:rPr>
              <w:t xml:space="preserve"> per dose</w:t>
            </w:r>
          </w:p>
        </w:tc>
        <w:tc>
          <w:tcPr>
            <w:tcW w:w="2977" w:type="dxa"/>
            <w:vAlign w:val="center"/>
          </w:tcPr>
          <w:p w14:paraId="3A1DA5D4"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DPMQ (effective) (one-off cost) </w:t>
            </w:r>
          </w:p>
        </w:tc>
        <w:tc>
          <w:tcPr>
            <w:tcW w:w="3260" w:type="dxa"/>
            <w:vAlign w:val="center"/>
          </w:tcPr>
          <w:p w14:paraId="1E6F8478" w14:textId="3BF8DBA6" w:rsidR="005158F7" w:rsidRPr="00AE3438" w:rsidRDefault="009C5A21" w:rsidP="005158F7">
            <w:pPr>
              <w:jc w:val="left"/>
              <w:rPr>
                <w:rFonts w:ascii="Arial Narrow" w:eastAsiaTheme="majorEastAsia" w:hAnsi="Arial Narrow" w:cstheme="majorBidi"/>
                <w:bCs/>
                <w:sz w:val="20"/>
              </w:rPr>
            </w:pPr>
            <w:r>
              <w:rPr>
                <w:rFonts w:ascii="Arial Narrow" w:eastAsiaTheme="majorEastAsia" w:hAnsi="Arial Narrow" w:cstheme="majorBidi"/>
                <w:bCs/>
                <w:sz w:val="20"/>
              </w:rPr>
              <w:t>Requested price.</w:t>
            </w:r>
          </w:p>
        </w:tc>
      </w:tr>
      <w:tr w:rsidR="005158F7" w:rsidRPr="00AE3438" w14:paraId="23F34CF4" w14:textId="77777777" w:rsidTr="005158F7">
        <w:trPr>
          <w:cantSplit/>
        </w:trPr>
        <w:tc>
          <w:tcPr>
            <w:tcW w:w="1127" w:type="dxa"/>
            <w:vAlign w:val="center"/>
          </w:tcPr>
          <w:p w14:paraId="3A374F71"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Prednisolone</w:t>
            </w:r>
          </w:p>
        </w:tc>
        <w:tc>
          <w:tcPr>
            <w:tcW w:w="922" w:type="dxa"/>
            <w:vAlign w:val="center"/>
          </w:tcPr>
          <w:p w14:paraId="76EF840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$19.28 per 30ml dose</w:t>
            </w:r>
          </w:p>
        </w:tc>
        <w:tc>
          <w:tcPr>
            <w:tcW w:w="923" w:type="dxa"/>
            <w:vAlign w:val="center"/>
          </w:tcPr>
          <w:p w14:paraId="5DA9FD67"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$19.34 per 30ml dose</w:t>
            </w:r>
          </w:p>
        </w:tc>
        <w:tc>
          <w:tcPr>
            <w:tcW w:w="2977" w:type="dxa"/>
            <w:vAlign w:val="center"/>
          </w:tcPr>
          <w:p w14:paraId="5D6B3D0C"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PBS code 8285C (one-off cost)</w:t>
            </w:r>
          </w:p>
        </w:tc>
        <w:tc>
          <w:tcPr>
            <w:tcW w:w="3260" w:type="dxa"/>
            <w:vAlign w:val="center"/>
          </w:tcPr>
          <w:p w14:paraId="7611CD0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Updated for consistency.</w:t>
            </w:r>
          </w:p>
        </w:tc>
      </w:tr>
      <w:tr w:rsidR="005158F7" w:rsidRPr="00AE3438" w14:paraId="0AAFC71F" w14:textId="77777777" w:rsidTr="005158F7">
        <w:trPr>
          <w:cantSplit/>
        </w:trPr>
        <w:tc>
          <w:tcPr>
            <w:tcW w:w="1127" w:type="dxa"/>
            <w:vAlign w:val="center"/>
          </w:tcPr>
          <w:p w14:paraId="47DBE42A"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NUSI</w:t>
            </w:r>
          </w:p>
        </w:tc>
        <w:tc>
          <w:tcPr>
            <w:tcW w:w="1845" w:type="dxa"/>
            <w:gridSpan w:val="2"/>
            <w:vAlign w:val="center"/>
          </w:tcPr>
          <w:p w14:paraId="59CCE99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$110,000 per 12mg/5ml injection</w:t>
            </w:r>
          </w:p>
        </w:tc>
        <w:tc>
          <w:tcPr>
            <w:tcW w:w="2977" w:type="dxa"/>
            <w:vAlign w:val="center"/>
          </w:tcPr>
          <w:p w14:paraId="252A0087"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PBS codes 11363C, 11378W (4 initiating scripts then a further 2.96 scripts in initiating year, followed by 3 scripts per year indefinitely).</w:t>
            </w:r>
          </w:p>
        </w:tc>
        <w:tc>
          <w:tcPr>
            <w:tcW w:w="3260" w:type="dxa"/>
            <w:vAlign w:val="center"/>
          </w:tcPr>
          <w:p w14:paraId="5762F722" w14:textId="550F3211" w:rsidR="005158F7" w:rsidRPr="00AE3438" w:rsidRDefault="005158F7" w:rsidP="005158F7">
            <w:pPr>
              <w:jc w:val="left"/>
              <w:rPr>
                <w:rFonts w:ascii="Arial Narrow" w:eastAsiaTheme="majorEastAsia" w:hAnsi="Arial Narrow" w:cstheme="majorBidi"/>
                <w:bCs/>
                <w:sz w:val="20"/>
              </w:rPr>
            </w:pPr>
          </w:p>
        </w:tc>
      </w:tr>
      <w:tr w:rsidR="005158F7" w:rsidRPr="00AE3438" w14:paraId="733F9E49" w14:textId="77777777" w:rsidTr="005158F7">
        <w:trPr>
          <w:cantSplit/>
        </w:trPr>
        <w:tc>
          <w:tcPr>
            <w:tcW w:w="1127" w:type="dxa"/>
            <w:vAlign w:val="center"/>
          </w:tcPr>
          <w:p w14:paraId="147695BB"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lastRenderedPageBreak/>
              <w:t>RISD</w:t>
            </w:r>
          </w:p>
        </w:tc>
        <w:tc>
          <w:tcPr>
            <w:tcW w:w="922" w:type="dxa"/>
            <w:vAlign w:val="center"/>
          </w:tcPr>
          <w:p w14:paraId="245AD385"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$12,144.72 per 80ml (60mg)</w:t>
            </w:r>
          </w:p>
        </w:tc>
        <w:tc>
          <w:tcPr>
            <w:tcW w:w="923" w:type="dxa"/>
            <w:vAlign w:val="center"/>
          </w:tcPr>
          <w:p w14:paraId="4B714BB7"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$10,889.71 per 80ml (60mg)</w:t>
            </w:r>
          </w:p>
        </w:tc>
        <w:tc>
          <w:tcPr>
            <w:tcW w:w="2977" w:type="dxa"/>
            <w:vAlign w:val="center"/>
          </w:tcPr>
          <w:p w14:paraId="54728060"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PBS codes 12610Q, 12606L (548-1,826mg per year depending upon age) </w:t>
            </w:r>
          </w:p>
        </w:tc>
        <w:tc>
          <w:tcPr>
            <w:tcW w:w="3260" w:type="dxa"/>
            <w:vAlign w:val="center"/>
          </w:tcPr>
          <w:p w14:paraId="47B3B4FF"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Updated for change in published price.</w:t>
            </w:r>
          </w:p>
          <w:p w14:paraId="54337779" w14:textId="301F8F01"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The submission reported an effective AEMP for risdiplam of $</w:t>
            </w:r>
            <w:r w:rsidR="00284C02" w:rsidRPr="009D1C84">
              <w:rPr>
                <w:rFonts w:ascii="Arial Narrow" w:eastAsiaTheme="majorEastAsia" w:hAnsi="Arial Narrow" w:cstheme="majorBidi"/>
                <w:bCs/>
                <w:color w:val="000000"/>
                <w:spacing w:val="62"/>
                <w:sz w:val="20"/>
                <w:shd w:val="solid" w:color="000000" w:fill="000000"/>
                <w:fitText w:val="363" w:id="-1305197564"/>
                <w14:textFill>
                  <w14:solidFill>
                    <w14:srgbClr w14:val="000000">
                      <w14:alpha w14:val="100000"/>
                    </w14:srgbClr>
                  </w14:solidFill>
                </w14:textFill>
              </w:rPr>
              <w:t>|||</w:t>
            </w:r>
            <w:r w:rsidR="00284C02" w:rsidRPr="009D1C84">
              <w:rPr>
                <w:rFonts w:ascii="Arial Narrow" w:eastAsiaTheme="majorEastAsia" w:hAnsi="Arial Narrow" w:cstheme="majorBidi"/>
                <w:bCs/>
                <w:color w:val="000000"/>
                <w:spacing w:val="12"/>
                <w:sz w:val="20"/>
                <w:shd w:val="solid" w:color="000000" w:fill="000000"/>
                <w:fitText w:val="363" w:id="-1305197564"/>
                <w14:textFill>
                  <w14:solidFill>
                    <w14:srgbClr w14:val="000000">
                      <w14:alpha w14:val="100000"/>
                    </w14:srgbClr>
                  </w14:solidFill>
                </w14:textFill>
              </w:rPr>
              <w:t>|</w:t>
            </w:r>
            <w:r w:rsidRPr="00AE3438">
              <w:rPr>
                <w:rFonts w:ascii="Arial Narrow" w:eastAsiaTheme="majorEastAsia" w:hAnsi="Arial Narrow" w:cstheme="majorBidi"/>
                <w:bCs/>
                <w:sz w:val="20"/>
              </w:rPr>
              <w:t xml:space="preserve"> in its Excel workbook but this was not included in the calculations.</w:t>
            </w:r>
          </w:p>
          <w:p w14:paraId="557B38D1"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The source of the dose by age was not reported.</w:t>
            </w:r>
          </w:p>
        </w:tc>
      </w:tr>
      <w:tr w:rsidR="005158F7" w:rsidRPr="00AE3438" w14:paraId="248D6657" w14:textId="77777777" w:rsidTr="005158F7">
        <w:trPr>
          <w:cantSplit/>
          <w:trHeight w:val="710"/>
        </w:trPr>
        <w:tc>
          <w:tcPr>
            <w:tcW w:w="1127" w:type="dxa"/>
            <w:vAlign w:val="center"/>
          </w:tcPr>
          <w:p w14:paraId="6AA85A17"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PBS/RPBS split</w:t>
            </w:r>
          </w:p>
        </w:tc>
        <w:tc>
          <w:tcPr>
            <w:tcW w:w="1845" w:type="dxa"/>
            <w:gridSpan w:val="2"/>
            <w:vAlign w:val="center"/>
          </w:tcPr>
          <w:p w14:paraId="5795230F"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100%:0% </w:t>
            </w:r>
          </w:p>
        </w:tc>
        <w:tc>
          <w:tcPr>
            <w:tcW w:w="2977" w:type="dxa"/>
            <w:vMerge w:val="restart"/>
            <w:vAlign w:val="center"/>
          </w:tcPr>
          <w:p w14:paraId="0F6ED63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Based on existing PBS Item statistics for NUSI and RISD.</w:t>
            </w:r>
          </w:p>
        </w:tc>
        <w:tc>
          <w:tcPr>
            <w:tcW w:w="3260" w:type="dxa"/>
            <w:vMerge w:val="restart"/>
            <w:vAlign w:val="center"/>
          </w:tcPr>
          <w:p w14:paraId="2A1C8E57" w14:textId="06B8E59B" w:rsidR="005158F7" w:rsidRPr="00AE3438" w:rsidRDefault="005158F7" w:rsidP="005158F7">
            <w:pPr>
              <w:jc w:val="left"/>
              <w:rPr>
                <w:rFonts w:ascii="Arial Narrow" w:eastAsiaTheme="majorEastAsia" w:hAnsi="Arial Narrow" w:cstheme="majorBidi"/>
                <w:bCs/>
                <w:sz w:val="20"/>
              </w:rPr>
            </w:pPr>
          </w:p>
        </w:tc>
      </w:tr>
      <w:tr w:rsidR="005158F7" w:rsidRPr="00AE3438" w14:paraId="79275645" w14:textId="77777777" w:rsidTr="005158F7">
        <w:trPr>
          <w:cantSplit/>
        </w:trPr>
        <w:tc>
          <w:tcPr>
            <w:tcW w:w="1127" w:type="dxa"/>
            <w:vAlign w:val="center"/>
          </w:tcPr>
          <w:p w14:paraId="5F9BDD10"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Public/ private split</w:t>
            </w:r>
          </w:p>
        </w:tc>
        <w:tc>
          <w:tcPr>
            <w:tcW w:w="1845" w:type="dxa"/>
            <w:gridSpan w:val="2"/>
            <w:vAlign w:val="center"/>
          </w:tcPr>
          <w:p w14:paraId="797C974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100%:0%</w:t>
            </w:r>
          </w:p>
        </w:tc>
        <w:tc>
          <w:tcPr>
            <w:tcW w:w="2977" w:type="dxa"/>
            <w:vMerge/>
            <w:vAlign w:val="center"/>
          </w:tcPr>
          <w:p w14:paraId="3BC3C71F" w14:textId="77777777" w:rsidR="005158F7" w:rsidRPr="00AE3438" w:rsidRDefault="005158F7" w:rsidP="005158F7">
            <w:pPr>
              <w:jc w:val="left"/>
              <w:rPr>
                <w:rFonts w:ascii="Arial Narrow" w:eastAsiaTheme="majorEastAsia" w:hAnsi="Arial Narrow" w:cstheme="majorBidi"/>
                <w:bCs/>
                <w:sz w:val="20"/>
              </w:rPr>
            </w:pPr>
          </w:p>
        </w:tc>
        <w:tc>
          <w:tcPr>
            <w:tcW w:w="3260" w:type="dxa"/>
            <w:vMerge/>
            <w:vAlign w:val="center"/>
          </w:tcPr>
          <w:p w14:paraId="60BACBBF" w14:textId="77777777" w:rsidR="005158F7" w:rsidRPr="00AE3438" w:rsidRDefault="005158F7" w:rsidP="005158F7">
            <w:pPr>
              <w:jc w:val="left"/>
              <w:rPr>
                <w:rFonts w:ascii="Arial Narrow" w:eastAsiaTheme="majorEastAsia" w:hAnsi="Arial Narrow" w:cstheme="majorBidi"/>
                <w:bCs/>
                <w:sz w:val="20"/>
              </w:rPr>
            </w:pPr>
          </w:p>
        </w:tc>
      </w:tr>
      <w:tr w:rsidR="005158F7" w:rsidRPr="00AE3438" w14:paraId="1F232247" w14:textId="77777777" w:rsidTr="005158F7">
        <w:trPr>
          <w:cantSplit/>
          <w:trHeight w:val="345"/>
        </w:trPr>
        <w:tc>
          <w:tcPr>
            <w:tcW w:w="1127" w:type="dxa"/>
            <w:vMerge w:val="restart"/>
            <w:vAlign w:val="center"/>
          </w:tcPr>
          <w:p w14:paraId="752586E1"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Patient copayment</w:t>
            </w:r>
          </w:p>
        </w:tc>
        <w:tc>
          <w:tcPr>
            <w:tcW w:w="1845" w:type="dxa"/>
            <w:gridSpan w:val="2"/>
            <w:vAlign w:val="center"/>
          </w:tcPr>
          <w:p w14:paraId="3BB462A5"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ONA, NUSI, RISD: $18.99</w:t>
            </w:r>
          </w:p>
        </w:tc>
        <w:tc>
          <w:tcPr>
            <w:tcW w:w="2977" w:type="dxa"/>
            <w:vMerge w:val="restart"/>
          </w:tcPr>
          <w:p w14:paraId="123925F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64% patients concessional, 36% general benefit based on PBS Item statistics for NUSI and RISD.</w:t>
            </w:r>
          </w:p>
        </w:tc>
        <w:tc>
          <w:tcPr>
            <w:tcW w:w="3260" w:type="dxa"/>
            <w:vMerge w:val="restart"/>
            <w:vAlign w:val="center"/>
          </w:tcPr>
          <w:p w14:paraId="357330C7" w14:textId="7E4D12DE" w:rsidR="005158F7" w:rsidRPr="00AE3438" w:rsidRDefault="005158F7" w:rsidP="005158F7">
            <w:pPr>
              <w:jc w:val="left"/>
              <w:rPr>
                <w:rFonts w:ascii="Arial Narrow" w:eastAsiaTheme="majorEastAsia" w:hAnsi="Arial Narrow" w:cstheme="majorBidi"/>
                <w:bCs/>
                <w:sz w:val="20"/>
              </w:rPr>
            </w:pPr>
          </w:p>
        </w:tc>
      </w:tr>
      <w:tr w:rsidR="005158F7" w:rsidRPr="00AE3438" w14:paraId="5F6BF43B" w14:textId="77777777" w:rsidTr="005158F7">
        <w:trPr>
          <w:cantSplit/>
          <w:trHeight w:val="345"/>
        </w:trPr>
        <w:tc>
          <w:tcPr>
            <w:tcW w:w="1127" w:type="dxa"/>
            <w:vMerge/>
            <w:vAlign w:val="center"/>
          </w:tcPr>
          <w:p w14:paraId="21E6CB6C" w14:textId="77777777" w:rsidR="005158F7" w:rsidRPr="00AE3438" w:rsidRDefault="005158F7" w:rsidP="005158F7">
            <w:pPr>
              <w:jc w:val="left"/>
              <w:rPr>
                <w:rFonts w:ascii="Arial Narrow" w:eastAsiaTheme="majorEastAsia" w:hAnsi="Arial Narrow" w:cstheme="majorBidi"/>
                <w:bCs/>
                <w:sz w:val="20"/>
              </w:rPr>
            </w:pPr>
          </w:p>
        </w:tc>
        <w:tc>
          <w:tcPr>
            <w:tcW w:w="922" w:type="dxa"/>
            <w:vAlign w:val="center"/>
          </w:tcPr>
          <w:p w14:paraId="2E16A89B"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Pred: $8.99</w:t>
            </w:r>
          </w:p>
        </w:tc>
        <w:tc>
          <w:tcPr>
            <w:tcW w:w="923" w:type="dxa"/>
            <w:vAlign w:val="center"/>
          </w:tcPr>
          <w:p w14:paraId="364F08E4"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Pred $8.02</w:t>
            </w:r>
          </w:p>
        </w:tc>
        <w:tc>
          <w:tcPr>
            <w:tcW w:w="2977" w:type="dxa"/>
            <w:vMerge/>
            <w:vAlign w:val="center"/>
          </w:tcPr>
          <w:p w14:paraId="1114F0B7" w14:textId="77777777" w:rsidR="005158F7" w:rsidRPr="00AE3438" w:rsidRDefault="005158F7" w:rsidP="005158F7">
            <w:pPr>
              <w:jc w:val="left"/>
              <w:rPr>
                <w:rFonts w:ascii="Arial Narrow" w:eastAsiaTheme="majorEastAsia" w:hAnsi="Arial Narrow" w:cstheme="majorBidi"/>
                <w:bCs/>
                <w:sz w:val="20"/>
              </w:rPr>
            </w:pPr>
          </w:p>
        </w:tc>
        <w:tc>
          <w:tcPr>
            <w:tcW w:w="3260" w:type="dxa"/>
            <w:vMerge/>
            <w:vAlign w:val="center"/>
          </w:tcPr>
          <w:p w14:paraId="6B6366CF" w14:textId="77777777" w:rsidR="005158F7" w:rsidRPr="00AE3438" w:rsidRDefault="005158F7" w:rsidP="005158F7">
            <w:pPr>
              <w:jc w:val="left"/>
              <w:rPr>
                <w:rFonts w:ascii="Arial Narrow" w:eastAsiaTheme="majorEastAsia" w:hAnsi="Arial Narrow" w:cstheme="majorBidi"/>
                <w:bCs/>
                <w:sz w:val="20"/>
              </w:rPr>
            </w:pPr>
          </w:p>
        </w:tc>
      </w:tr>
      <w:tr w:rsidR="005158F7" w:rsidRPr="00AE3438" w14:paraId="5672A119" w14:textId="77777777" w:rsidTr="005158F7">
        <w:trPr>
          <w:cantSplit/>
        </w:trPr>
        <w:tc>
          <w:tcPr>
            <w:tcW w:w="9209" w:type="dxa"/>
            <w:gridSpan w:val="5"/>
            <w:vAlign w:val="center"/>
          </w:tcPr>
          <w:p w14:paraId="4B855DF7"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
                <w:bCs/>
                <w:sz w:val="20"/>
              </w:rPr>
              <w:t>MBS costs</w:t>
            </w:r>
          </w:p>
        </w:tc>
      </w:tr>
      <w:tr w:rsidR="005158F7" w:rsidRPr="00AE3438" w14:paraId="3CD1D146" w14:textId="77777777" w:rsidTr="005158F7">
        <w:trPr>
          <w:cantSplit/>
        </w:trPr>
        <w:tc>
          <w:tcPr>
            <w:tcW w:w="1127" w:type="dxa"/>
            <w:vAlign w:val="center"/>
          </w:tcPr>
          <w:p w14:paraId="069B2A28"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IV administration (1hr)</w:t>
            </w:r>
          </w:p>
        </w:tc>
        <w:tc>
          <w:tcPr>
            <w:tcW w:w="922" w:type="dxa"/>
            <w:vAlign w:val="center"/>
          </w:tcPr>
          <w:p w14:paraId="09ACED7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$101.90</w:t>
            </w:r>
          </w:p>
        </w:tc>
        <w:tc>
          <w:tcPr>
            <w:tcW w:w="923" w:type="dxa"/>
            <w:vAlign w:val="center"/>
          </w:tcPr>
          <w:p w14:paraId="4A1FADA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$103.55</w:t>
            </w:r>
          </w:p>
        </w:tc>
        <w:tc>
          <w:tcPr>
            <w:tcW w:w="2977" w:type="dxa"/>
            <w:vAlign w:val="center"/>
          </w:tcPr>
          <w:p w14:paraId="3C559FF5"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Item 14245</w:t>
            </w:r>
          </w:p>
        </w:tc>
        <w:tc>
          <w:tcPr>
            <w:tcW w:w="3260" w:type="dxa"/>
            <w:vMerge w:val="restart"/>
            <w:vAlign w:val="center"/>
          </w:tcPr>
          <w:p w14:paraId="3BE64E00"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Costs were generally reasonable based on June 2022 prices, except:</w:t>
            </w:r>
          </w:p>
          <w:p w14:paraId="0D4B213B"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The submission costed post treatment follow up with a specialist visit for NUSI/RISD at $89.55 (rather than $90.35) with no justification.</w:t>
            </w:r>
          </w:p>
          <w:p w14:paraId="16469600" w14:textId="77777777" w:rsidR="005158F7" w:rsidRPr="00AE3438" w:rsidRDefault="005158F7" w:rsidP="00054F33">
            <w:pPr>
              <w:numPr>
                <w:ilvl w:val="0"/>
                <w:numId w:val="8"/>
              </w:numPr>
              <w:ind w:left="120" w:hanging="120"/>
              <w:jc w:val="left"/>
              <w:rPr>
                <w:rFonts w:ascii="Arial Narrow" w:eastAsiaTheme="majorEastAsia" w:hAnsi="Arial Narrow" w:cstheme="majorBidi"/>
                <w:bCs/>
                <w:sz w:val="20"/>
              </w:rPr>
            </w:pPr>
            <w:r w:rsidRPr="00AE3438">
              <w:rPr>
                <w:rFonts w:ascii="Arial Narrow" w:eastAsiaTheme="majorEastAsia" w:hAnsi="Arial Narrow" w:cstheme="majorBidi"/>
                <w:bCs/>
                <w:sz w:val="20"/>
              </w:rPr>
              <w:t xml:space="preserve">Full blood exam (FBE) cost appeared to have included a typographical error. </w:t>
            </w:r>
          </w:p>
          <w:p w14:paraId="2CF52F01" w14:textId="77777777" w:rsidR="005158F7" w:rsidRPr="00AE3438" w:rsidRDefault="005158F7" w:rsidP="005158F7">
            <w:pPr>
              <w:jc w:val="left"/>
              <w:rPr>
                <w:rFonts w:ascii="Arial Narrow" w:eastAsiaTheme="majorEastAsia" w:hAnsi="Arial Narrow" w:cstheme="majorBidi"/>
                <w:bCs/>
                <w:sz w:val="20"/>
              </w:rPr>
            </w:pPr>
          </w:p>
          <w:p w14:paraId="55190B4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As such, MBS costs were updated for Sept 2022 prices where available.</w:t>
            </w:r>
          </w:p>
        </w:tc>
      </w:tr>
      <w:tr w:rsidR="005158F7" w:rsidRPr="00AE3438" w14:paraId="59B49CB6" w14:textId="77777777" w:rsidTr="005158F7">
        <w:trPr>
          <w:cantSplit/>
        </w:trPr>
        <w:tc>
          <w:tcPr>
            <w:tcW w:w="1127" w:type="dxa"/>
            <w:vAlign w:val="center"/>
          </w:tcPr>
          <w:p w14:paraId="58562C4A"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Intrathecal infusion (up to 1hr)</w:t>
            </w:r>
          </w:p>
        </w:tc>
        <w:tc>
          <w:tcPr>
            <w:tcW w:w="922" w:type="dxa"/>
            <w:vAlign w:val="center"/>
          </w:tcPr>
          <w:p w14:paraId="7CEE061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$195.85</w:t>
            </w:r>
          </w:p>
        </w:tc>
        <w:tc>
          <w:tcPr>
            <w:tcW w:w="923" w:type="dxa"/>
            <w:vAlign w:val="center"/>
          </w:tcPr>
          <w:p w14:paraId="526DBB09"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$200.75</w:t>
            </w:r>
          </w:p>
        </w:tc>
        <w:tc>
          <w:tcPr>
            <w:tcW w:w="2977" w:type="dxa"/>
            <w:vAlign w:val="center"/>
          </w:tcPr>
          <w:p w14:paraId="56AD3823"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Item 18216</w:t>
            </w:r>
          </w:p>
        </w:tc>
        <w:tc>
          <w:tcPr>
            <w:tcW w:w="3260" w:type="dxa"/>
            <w:vMerge/>
            <w:vAlign w:val="center"/>
          </w:tcPr>
          <w:p w14:paraId="4E4F77D2" w14:textId="77777777" w:rsidR="005158F7" w:rsidRPr="00AE3438" w:rsidRDefault="005158F7" w:rsidP="005158F7">
            <w:pPr>
              <w:jc w:val="left"/>
              <w:rPr>
                <w:rFonts w:ascii="Arial Narrow" w:eastAsiaTheme="majorEastAsia" w:hAnsi="Arial Narrow" w:cstheme="majorBidi"/>
                <w:bCs/>
                <w:sz w:val="20"/>
              </w:rPr>
            </w:pPr>
          </w:p>
        </w:tc>
      </w:tr>
      <w:tr w:rsidR="005158F7" w:rsidRPr="00AE3438" w14:paraId="5F593ECF" w14:textId="77777777" w:rsidTr="005158F7">
        <w:trPr>
          <w:cantSplit/>
        </w:trPr>
        <w:tc>
          <w:tcPr>
            <w:tcW w:w="1127" w:type="dxa"/>
            <w:vAlign w:val="center"/>
          </w:tcPr>
          <w:p w14:paraId="00ECE1C4"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Intrathecal infusion (each subsequent 15 mins)</w:t>
            </w:r>
          </w:p>
        </w:tc>
        <w:tc>
          <w:tcPr>
            <w:tcW w:w="922" w:type="dxa"/>
            <w:vAlign w:val="center"/>
          </w:tcPr>
          <w:p w14:paraId="1A9DC20B"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$19.60</w:t>
            </w:r>
          </w:p>
        </w:tc>
        <w:tc>
          <w:tcPr>
            <w:tcW w:w="923" w:type="dxa"/>
            <w:vAlign w:val="center"/>
          </w:tcPr>
          <w:p w14:paraId="3129EF6C"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$20.10</w:t>
            </w:r>
          </w:p>
        </w:tc>
        <w:tc>
          <w:tcPr>
            <w:tcW w:w="2977" w:type="dxa"/>
            <w:vAlign w:val="center"/>
          </w:tcPr>
          <w:p w14:paraId="30D2D5E5"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Item 18219</w:t>
            </w:r>
          </w:p>
        </w:tc>
        <w:tc>
          <w:tcPr>
            <w:tcW w:w="3260" w:type="dxa"/>
            <w:vMerge/>
            <w:vAlign w:val="center"/>
          </w:tcPr>
          <w:p w14:paraId="2364713F" w14:textId="77777777" w:rsidR="005158F7" w:rsidRPr="00AE3438" w:rsidRDefault="005158F7" w:rsidP="005158F7">
            <w:pPr>
              <w:jc w:val="left"/>
              <w:rPr>
                <w:rFonts w:ascii="Arial Narrow" w:eastAsiaTheme="majorEastAsia" w:hAnsi="Arial Narrow" w:cstheme="majorBidi"/>
                <w:bCs/>
                <w:sz w:val="20"/>
              </w:rPr>
            </w:pPr>
          </w:p>
        </w:tc>
      </w:tr>
      <w:tr w:rsidR="005158F7" w:rsidRPr="00AE3438" w14:paraId="7EB77A1B" w14:textId="77777777" w:rsidTr="005158F7">
        <w:trPr>
          <w:cantSplit/>
        </w:trPr>
        <w:tc>
          <w:tcPr>
            <w:tcW w:w="1127" w:type="dxa"/>
            <w:vAlign w:val="center"/>
          </w:tcPr>
          <w:p w14:paraId="7DCB873D"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Specialist visit</w:t>
            </w:r>
          </w:p>
        </w:tc>
        <w:tc>
          <w:tcPr>
            <w:tcW w:w="922" w:type="dxa"/>
            <w:vAlign w:val="center"/>
          </w:tcPr>
          <w:p w14:paraId="0410373C"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$90.35</w:t>
            </w:r>
          </w:p>
        </w:tc>
        <w:tc>
          <w:tcPr>
            <w:tcW w:w="923" w:type="dxa"/>
            <w:vAlign w:val="center"/>
          </w:tcPr>
          <w:p w14:paraId="7D23A6E0"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$91.80</w:t>
            </w:r>
          </w:p>
        </w:tc>
        <w:tc>
          <w:tcPr>
            <w:tcW w:w="2977" w:type="dxa"/>
            <w:vAlign w:val="center"/>
          </w:tcPr>
          <w:p w14:paraId="5BC5D469"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Item 104</w:t>
            </w:r>
          </w:p>
        </w:tc>
        <w:tc>
          <w:tcPr>
            <w:tcW w:w="3260" w:type="dxa"/>
            <w:vMerge/>
            <w:vAlign w:val="center"/>
          </w:tcPr>
          <w:p w14:paraId="4F72B5DB" w14:textId="77777777" w:rsidR="005158F7" w:rsidRPr="00AE3438" w:rsidRDefault="005158F7" w:rsidP="005158F7">
            <w:pPr>
              <w:jc w:val="left"/>
              <w:rPr>
                <w:rFonts w:ascii="Arial Narrow" w:eastAsiaTheme="majorEastAsia" w:hAnsi="Arial Narrow" w:cstheme="majorBidi"/>
                <w:bCs/>
                <w:sz w:val="20"/>
              </w:rPr>
            </w:pPr>
          </w:p>
        </w:tc>
      </w:tr>
      <w:tr w:rsidR="005158F7" w:rsidRPr="00AE3438" w14:paraId="38805B84" w14:textId="77777777" w:rsidTr="005158F7">
        <w:trPr>
          <w:cantSplit/>
        </w:trPr>
        <w:tc>
          <w:tcPr>
            <w:tcW w:w="1127" w:type="dxa"/>
            <w:vAlign w:val="center"/>
          </w:tcPr>
          <w:p w14:paraId="5FD45F0F"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Liver function test</w:t>
            </w:r>
          </w:p>
        </w:tc>
        <w:tc>
          <w:tcPr>
            <w:tcW w:w="1845" w:type="dxa"/>
            <w:gridSpan w:val="2"/>
            <w:vAlign w:val="center"/>
          </w:tcPr>
          <w:p w14:paraId="714FA906"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$17.70</w:t>
            </w:r>
          </w:p>
        </w:tc>
        <w:tc>
          <w:tcPr>
            <w:tcW w:w="2977" w:type="dxa"/>
            <w:vAlign w:val="center"/>
          </w:tcPr>
          <w:p w14:paraId="18143E9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Item 66512</w:t>
            </w:r>
          </w:p>
        </w:tc>
        <w:tc>
          <w:tcPr>
            <w:tcW w:w="3260" w:type="dxa"/>
            <w:vMerge/>
            <w:vAlign w:val="center"/>
          </w:tcPr>
          <w:p w14:paraId="5BB13663" w14:textId="77777777" w:rsidR="005158F7" w:rsidRPr="00AE3438" w:rsidRDefault="005158F7" w:rsidP="005158F7">
            <w:pPr>
              <w:jc w:val="left"/>
              <w:rPr>
                <w:rFonts w:ascii="Arial Narrow" w:eastAsiaTheme="majorEastAsia" w:hAnsi="Arial Narrow" w:cstheme="majorBidi"/>
                <w:bCs/>
                <w:sz w:val="20"/>
              </w:rPr>
            </w:pPr>
          </w:p>
        </w:tc>
      </w:tr>
      <w:tr w:rsidR="005158F7" w:rsidRPr="00AE3438" w14:paraId="56651898" w14:textId="77777777" w:rsidTr="005158F7">
        <w:trPr>
          <w:cantSplit/>
        </w:trPr>
        <w:tc>
          <w:tcPr>
            <w:tcW w:w="1127" w:type="dxa"/>
            <w:vAlign w:val="center"/>
          </w:tcPr>
          <w:p w14:paraId="2F43B1D8"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Cardiac Troponin test</w:t>
            </w:r>
          </w:p>
        </w:tc>
        <w:tc>
          <w:tcPr>
            <w:tcW w:w="1845" w:type="dxa"/>
            <w:gridSpan w:val="2"/>
            <w:vAlign w:val="center"/>
          </w:tcPr>
          <w:p w14:paraId="530A6B9B"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$20.05</w:t>
            </w:r>
          </w:p>
        </w:tc>
        <w:tc>
          <w:tcPr>
            <w:tcW w:w="2977" w:type="dxa"/>
            <w:vAlign w:val="center"/>
          </w:tcPr>
          <w:p w14:paraId="51CF05BB"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Item 66518</w:t>
            </w:r>
          </w:p>
        </w:tc>
        <w:tc>
          <w:tcPr>
            <w:tcW w:w="3260" w:type="dxa"/>
            <w:vMerge/>
            <w:vAlign w:val="center"/>
          </w:tcPr>
          <w:p w14:paraId="0E1BAA68" w14:textId="77777777" w:rsidR="005158F7" w:rsidRPr="00AE3438" w:rsidRDefault="005158F7" w:rsidP="005158F7">
            <w:pPr>
              <w:jc w:val="left"/>
              <w:rPr>
                <w:rFonts w:ascii="Arial Narrow" w:eastAsiaTheme="majorEastAsia" w:hAnsi="Arial Narrow" w:cstheme="majorBidi"/>
                <w:bCs/>
                <w:sz w:val="20"/>
              </w:rPr>
            </w:pPr>
          </w:p>
        </w:tc>
      </w:tr>
      <w:tr w:rsidR="005158F7" w:rsidRPr="00AE3438" w14:paraId="3DDAAD63" w14:textId="77777777" w:rsidTr="005158F7">
        <w:trPr>
          <w:cantSplit/>
        </w:trPr>
        <w:tc>
          <w:tcPr>
            <w:tcW w:w="1127" w:type="dxa"/>
            <w:vAlign w:val="center"/>
          </w:tcPr>
          <w:p w14:paraId="7F6D5DA0"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Full blood count</w:t>
            </w:r>
          </w:p>
        </w:tc>
        <w:tc>
          <w:tcPr>
            <w:tcW w:w="922" w:type="dxa"/>
            <w:vAlign w:val="center"/>
          </w:tcPr>
          <w:p w14:paraId="21ADBE3C"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$152.55</w:t>
            </w:r>
          </w:p>
        </w:tc>
        <w:tc>
          <w:tcPr>
            <w:tcW w:w="923" w:type="dxa"/>
            <w:vAlign w:val="center"/>
          </w:tcPr>
          <w:p w14:paraId="2167C80F"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$16.95</w:t>
            </w:r>
          </w:p>
        </w:tc>
        <w:tc>
          <w:tcPr>
            <w:tcW w:w="2977" w:type="dxa"/>
            <w:vAlign w:val="center"/>
          </w:tcPr>
          <w:p w14:paraId="2572AD22"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Item 65070</w:t>
            </w:r>
          </w:p>
        </w:tc>
        <w:tc>
          <w:tcPr>
            <w:tcW w:w="3260" w:type="dxa"/>
            <w:vMerge/>
            <w:vAlign w:val="center"/>
          </w:tcPr>
          <w:p w14:paraId="3B68C858" w14:textId="77777777" w:rsidR="005158F7" w:rsidRPr="00AE3438" w:rsidRDefault="005158F7" w:rsidP="005158F7">
            <w:pPr>
              <w:jc w:val="left"/>
              <w:rPr>
                <w:rFonts w:ascii="Arial Narrow" w:eastAsiaTheme="majorEastAsia" w:hAnsi="Arial Narrow" w:cstheme="majorBidi"/>
                <w:bCs/>
                <w:sz w:val="20"/>
              </w:rPr>
            </w:pPr>
          </w:p>
        </w:tc>
      </w:tr>
      <w:tr w:rsidR="005158F7" w:rsidRPr="00AE3438" w14:paraId="75872A29" w14:textId="77777777" w:rsidTr="005158F7">
        <w:trPr>
          <w:cantSplit/>
        </w:trPr>
        <w:tc>
          <w:tcPr>
            <w:tcW w:w="1127" w:type="dxa"/>
            <w:vAlign w:val="center"/>
          </w:tcPr>
          <w:p w14:paraId="093A8B81"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Creatinine</w:t>
            </w:r>
          </w:p>
        </w:tc>
        <w:tc>
          <w:tcPr>
            <w:tcW w:w="1845" w:type="dxa"/>
            <w:gridSpan w:val="2"/>
            <w:vAlign w:val="center"/>
          </w:tcPr>
          <w:p w14:paraId="260693DB"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$9.70</w:t>
            </w:r>
          </w:p>
        </w:tc>
        <w:tc>
          <w:tcPr>
            <w:tcW w:w="2977" w:type="dxa"/>
            <w:vAlign w:val="center"/>
          </w:tcPr>
          <w:p w14:paraId="6562F0AE" w14:textId="77777777" w:rsidR="005158F7" w:rsidRPr="00AE3438" w:rsidRDefault="005158F7" w:rsidP="005158F7">
            <w:pPr>
              <w:jc w:val="left"/>
              <w:rPr>
                <w:rFonts w:ascii="Arial Narrow" w:eastAsiaTheme="majorEastAsia" w:hAnsi="Arial Narrow" w:cstheme="majorBidi"/>
                <w:bCs/>
                <w:sz w:val="20"/>
              </w:rPr>
            </w:pPr>
            <w:r w:rsidRPr="00AE3438">
              <w:rPr>
                <w:rFonts w:ascii="Arial Narrow" w:eastAsiaTheme="majorEastAsia" w:hAnsi="Arial Narrow" w:cstheme="majorBidi"/>
                <w:bCs/>
                <w:sz w:val="20"/>
              </w:rPr>
              <w:t>Item 66500</w:t>
            </w:r>
          </w:p>
        </w:tc>
        <w:tc>
          <w:tcPr>
            <w:tcW w:w="3260" w:type="dxa"/>
            <w:vMerge/>
            <w:vAlign w:val="center"/>
          </w:tcPr>
          <w:p w14:paraId="1FB81EED" w14:textId="77777777" w:rsidR="005158F7" w:rsidRPr="00AE3438" w:rsidRDefault="005158F7" w:rsidP="005158F7">
            <w:pPr>
              <w:jc w:val="left"/>
              <w:rPr>
                <w:rFonts w:ascii="Arial Narrow" w:eastAsiaTheme="majorEastAsia" w:hAnsi="Arial Narrow" w:cstheme="majorBidi"/>
                <w:bCs/>
                <w:sz w:val="20"/>
              </w:rPr>
            </w:pPr>
          </w:p>
        </w:tc>
      </w:tr>
    </w:tbl>
    <w:p w14:paraId="5D694C59" w14:textId="77777777" w:rsidR="005158F7" w:rsidRPr="00AE3438" w:rsidRDefault="005158F7" w:rsidP="005158F7">
      <w:pPr>
        <w:spacing w:after="120"/>
        <w:contextualSpacing/>
        <w:rPr>
          <w:rFonts w:ascii="Arial Narrow" w:hAnsi="Arial Narrow"/>
          <w:snapToGrid w:val="0"/>
          <w:sz w:val="18"/>
          <w:szCs w:val="22"/>
        </w:rPr>
      </w:pPr>
      <w:r w:rsidRPr="00AE3438">
        <w:rPr>
          <w:rFonts w:ascii="Arial Narrow" w:hAnsi="Arial Narrow"/>
          <w:snapToGrid w:val="0"/>
          <w:sz w:val="18"/>
          <w:szCs w:val="22"/>
        </w:rPr>
        <w:t>Source: Table 4.1, 4.2, 4.3, 4.11 and Sections 4.2.2, 4.3.1.1, 4.3.1.2 of the submission and compiled during the evaluation</w:t>
      </w:r>
    </w:p>
    <w:p w14:paraId="2BA2CA13" w14:textId="65347889" w:rsidR="005158F7" w:rsidRDefault="005158F7" w:rsidP="005158F7">
      <w:pPr>
        <w:spacing w:after="120"/>
        <w:contextualSpacing/>
        <w:rPr>
          <w:rFonts w:ascii="Arial Narrow" w:hAnsi="Arial Narrow"/>
          <w:snapToGrid w:val="0"/>
          <w:sz w:val="18"/>
          <w:szCs w:val="22"/>
        </w:rPr>
      </w:pPr>
      <w:r w:rsidRPr="00AE3438">
        <w:rPr>
          <w:rFonts w:ascii="Arial Narrow" w:hAnsi="Arial Narrow"/>
          <w:snapToGrid w:val="0"/>
          <w:sz w:val="18"/>
          <w:szCs w:val="22"/>
        </w:rPr>
        <w:t>ABS=Australian Bureau of Statistics; IV=intravenous; hr=hour, NBS = newborn bloodspot screening; SMA = spinal muscular atrophy; DPMQ=dispensed price of maximum quantity; MBS=Medicare Benefits Schedule; NA=not applicable, NUSI-nusinersen, ONA=onasemnogene abeparvovec; PBS=Pharmaceutical Benefits Scheme, Pred=prednisolone, RISD=risdiplam, Yr=year</w:t>
      </w:r>
    </w:p>
    <w:p w14:paraId="037A79AC" w14:textId="77777777" w:rsidR="00A83CA7" w:rsidRPr="009A6D58" w:rsidRDefault="00A83CA7" w:rsidP="00A83CA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2773BD7" w14:textId="259B1E52" w:rsidR="00A83CA7" w:rsidRPr="009A6D58" w:rsidRDefault="00A83CA7" w:rsidP="00BE29F1">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83CA7">
        <w:rPr>
          <w:rFonts w:ascii="Arial Narrow" w:hAnsi="Arial Narrow"/>
          <w:i/>
          <w:sz w:val="18"/>
          <w:szCs w:val="18"/>
        </w:rPr>
        <w:t>&lt; 500</w:t>
      </w:r>
    </w:p>
    <w:p w14:paraId="6A83C27B" w14:textId="08F86398" w:rsidR="005158F7" w:rsidRPr="00BE29F1" w:rsidRDefault="005158F7" w:rsidP="005158F7">
      <w:pPr>
        <w:pStyle w:val="3-BodyText"/>
        <w:rPr>
          <w:iCs/>
        </w:rPr>
      </w:pPr>
      <w:r w:rsidRPr="00AE3438">
        <w:t xml:space="preserve">In the financial estimates, all patients receiving ONA were assumed to receive no further treatments, but do accrue MBS costs for diagnostic tests and specialist visits. Patients who do not receive ONA are assumed to become symptomatic from birth, with 50% receiving nusinersen and 50% receiving risdiplam for the length of the financial estimates. </w:t>
      </w:r>
      <w:r w:rsidRPr="00AE3438">
        <w:rPr>
          <w:iCs/>
        </w:rPr>
        <w:t>Some patients will present with symptoms at a later age,</w:t>
      </w:r>
      <w:r w:rsidR="00671497" w:rsidRPr="00AE3438">
        <w:rPr>
          <w:iCs/>
        </w:rPr>
        <w:t xml:space="preserve"> or with milder symptoms, and therefore it may not be appropriate to assume an additional 6 years of treatment for all patients who do not receive ONA. </w:t>
      </w:r>
      <w:r w:rsidRPr="00AE3438">
        <w:rPr>
          <w:iCs/>
        </w:rPr>
        <w:t xml:space="preserve">The financial estimates were not broken down by type of SMA for status quo, nor did </w:t>
      </w:r>
      <w:r w:rsidR="004D6675" w:rsidRPr="00AE3438">
        <w:rPr>
          <w:iCs/>
        </w:rPr>
        <w:t>they</w:t>
      </w:r>
      <w:r w:rsidRPr="00AE3438">
        <w:rPr>
          <w:iCs/>
        </w:rPr>
        <w:t xml:space="preserve"> include treatment discontinuations, subsequent treatments, or the cost of ONA for symptomatic Type 1 </w:t>
      </w:r>
      <w:r w:rsidRPr="00AE3438">
        <w:rPr>
          <w:iCs/>
        </w:rPr>
        <w:lastRenderedPageBreak/>
        <w:t>patients. The submission also did not include costs for genetic testing (assumed to be covered under NBS)</w:t>
      </w:r>
      <w:r w:rsidR="00B82941" w:rsidRPr="00AE3438">
        <w:rPr>
          <w:iCs/>
        </w:rPr>
        <w:t xml:space="preserve"> and</w:t>
      </w:r>
      <w:r w:rsidRPr="00AE3438">
        <w:rPr>
          <w:iCs/>
        </w:rPr>
        <w:t xml:space="preserve"> AAV9 testing (covered by sponsor)</w:t>
      </w:r>
      <w:r w:rsidR="00527786" w:rsidRPr="00AE3438">
        <w:rPr>
          <w:iCs/>
        </w:rPr>
        <w:t>.</w:t>
      </w:r>
      <w:r w:rsidR="00671497" w:rsidRPr="00AE3438">
        <w:rPr>
          <w:iCs/>
        </w:rPr>
        <w:t xml:space="preserve"> Annual healthcare costs for the different phenotypes ranged from </w:t>
      </w:r>
      <w:r w:rsidR="004E5837" w:rsidRPr="00AE3438">
        <w:rPr>
          <w:iCs/>
        </w:rPr>
        <w:t xml:space="preserve">$52,019 (Type III) to $192,498 (Type I) in </w:t>
      </w:r>
      <w:r w:rsidR="0023544A" w:rsidRPr="00AE3438">
        <w:rPr>
          <w:iCs/>
        </w:rPr>
        <w:t xml:space="preserve">the </w:t>
      </w:r>
      <w:r w:rsidR="004E5837" w:rsidRPr="00AE3438">
        <w:rPr>
          <w:iCs/>
        </w:rPr>
        <w:t>economic model, suggesting potential additional cost-offsets where symptomatic burden is reduced.</w:t>
      </w:r>
    </w:p>
    <w:p w14:paraId="5BC8D2C8" w14:textId="4E5C62E5" w:rsidR="005158F7" w:rsidRPr="00AE3438" w:rsidRDefault="005158F7" w:rsidP="005158F7">
      <w:pPr>
        <w:keepNext/>
        <w:keepLines/>
        <w:rPr>
          <w:rFonts w:ascii="Arial Narrow" w:hAnsi="Arial Narrow"/>
          <w:b/>
          <w:bCs/>
          <w:sz w:val="20"/>
          <w:szCs w:val="18"/>
        </w:rPr>
      </w:pPr>
      <w:bookmarkStart w:id="78" w:name="_Ref113293746"/>
      <w:r w:rsidRPr="00AE3438">
        <w:rPr>
          <w:rFonts w:ascii="Arial Narrow" w:hAnsi="Arial Narrow"/>
          <w:b/>
          <w:bCs/>
          <w:sz w:val="20"/>
          <w:szCs w:val="18"/>
        </w:rPr>
        <w:t xml:space="preserve">Table </w:t>
      </w:r>
      <w:r w:rsidRPr="00AE3438">
        <w:rPr>
          <w:rFonts w:ascii="Arial Narrow" w:hAnsi="Arial Narrow"/>
          <w:b/>
          <w:bCs/>
          <w:sz w:val="20"/>
          <w:szCs w:val="18"/>
        </w:rPr>
        <w:fldChar w:fldCharType="begin"/>
      </w:r>
      <w:r w:rsidRPr="00AE3438">
        <w:rPr>
          <w:rFonts w:ascii="Arial Narrow" w:hAnsi="Arial Narrow"/>
          <w:b/>
          <w:bCs/>
          <w:sz w:val="20"/>
          <w:szCs w:val="18"/>
        </w:rPr>
        <w:instrText xml:space="preserve"> SEQ Table \* ARABIC </w:instrText>
      </w:r>
      <w:r w:rsidRPr="00AE3438">
        <w:rPr>
          <w:rFonts w:ascii="Arial Narrow" w:hAnsi="Arial Narrow"/>
          <w:b/>
          <w:bCs/>
          <w:sz w:val="20"/>
          <w:szCs w:val="18"/>
        </w:rPr>
        <w:fldChar w:fldCharType="separate"/>
      </w:r>
      <w:r w:rsidR="008E4E26">
        <w:rPr>
          <w:rFonts w:ascii="Arial Narrow" w:hAnsi="Arial Narrow"/>
          <w:b/>
          <w:bCs/>
          <w:noProof/>
          <w:sz w:val="20"/>
          <w:szCs w:val="18"/>
        </w:rPr>
        <w:t>16</w:t>
      </w:r>
      <w:r w:rsidRPr="00AE3438">
        <w:rPr>
          <w:rFonts w:ascii="Arial Narrow" w:hAnsi="Arial Narrow"/>
          <w:b/>
          <w:bCs/>
          <w:sz w:val="20"/>
          <w:szCs w:val="18"/>
        </w:rPr>
        <w:fldChar w:fldCharType="end"/>
      </w:r>
      <w:bookmarkEnd w:id="78"/>
      <w:r w:rsidRPr="00AE3438">
        <w:rPr>
          <w:rFonts w:ascii="Arial Narrow" w:hAnsi="Arial Narrow"/>
          <w:b/>
          <w:bCs/>
          <w:sz w:val="20"/>
          <w:szCs w:val="18"/>
        </w:rPr>
        <w:t>: Estimation of use and financial impact of the proposed medicine</w:t>
      </w:r>
    </w:p>
    <w:tbl>
      <w:tblPr>
        <w:tblStyle w:val="ASDTable2"/>
        <w:tblW w:w="9070" w:type="dxa"/>
        <w:tblLayout w:type="fixed"/>
        <w:tblCellMar>
          <w:left w:w="28" w:type="dxa"/>
          <w:right w:w="28" w:type="dxa"/>
        </w:tblCellMar>
        <w:tblLook w:val="04A0" w:firstRow="1" w:lastRow="0" w:firstColumn="1" w:lastColumn="0" w:noHBand="0" w:noVBand="1"/>
      </w:tblPr>
      <w:tblGrid>
        <w:gridCol w:w="2830"/>
        <w:gridCol w:w="1039"/>
        <w:gridCol w:w="1040"/>
        <w:gridCol w:w="1039"/>
        <w:gridCol w:w="1040"/>
        <w:gridCol w:w="1039"/>
        <w:gridCol w:w="1043"/>
      </w:tblGrid>
      <w:tr w:rsidR="005158F7" w:rsidRPr="00AE3438" w14:paraId="0CC2F4E8" w14:textId="77777777" w:rsidTr="004076EE">
        <w:trPr>
          <w:tblHeader/>
        </w:trPr>
        <w:tc>
          <w:tcPr>
            <w:tcW w:w="2830" w:type="dxa"/>
            <w:shd w:val="clear" w:color="auto" w:fill="auto"/>
            <w:vAlign w:val="center"/>
          </w:tcPr>
          <w:p w14:paraId="424B244A" w14:textId="77777777" w:rsidR="005158F7" w:rsidRPr="00AE3438" w:rsidRDefault="005158F7" w:rsidP="005158F7">
            <w:pPr>
              <w:keepNext/>
              <w:jc w:val="left"/>
              <w:rPr>
                <w:rFonts w:ascii="Arial Narrow" w:eastAsiaTheme="majorEastAsia" w:hAnsi="Arial Narrow" w:cstheme="majorBidi"/>
                <w:bCs/>
                <w:sz w:val="20"/>
                <w:szCs w:val="20"/>
              </w:rPr>
            </w:pPr>
          </w:p>
        </w:tc>
        <w:tc>
          <w:tcPr>
            <w:tcW w:w="1039" w:type="dxa"/>
            <w:shd w:val="clear" w:color="auto" w:fill="auto"/>
            <w:vAlign w:val="center"/>
          </w:tcPr>
          <w:p w14:paraId="57BBF85C" w14:textId="77777777" w:rsidR="005158F7" w:rsidRPr="00AE3438" w:rsidRDefault="005158F7" w:rsidP="005158F7">
            <w:pPr>
              <w:keepNext/>
              <w:jc w:val="center"/>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2023</w:t>
            </w:r>
          </w:p>
        </w:tc>
        <w:tc>
          <w:tcPr>
            <w:tcW w:w="1040" w:type="dxa"/>
            <w:shd w:val="clear" w:color="auto" w:fill="auto"/>
            <w:vAlign w:val="center"/>
          </w:tcPr>
          <w:p w14:paraId="6133B437" w14:textId="77777777" w:rsidR="005158F7" w:rsidRPr="00AE3438" w:rsidRDefault="005158F7" w:rsidP="005158F7">
            <w:pPr>
              <w:keepNext/>
              <w:jc w:val="center"/>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2024</w:t>
            </w:r>
          </w:p>
        </w:tc>
        <w:tc>
          <w:tcPr>
            <w:tcW w:w="1039" w:type="dxa"/>
            <w:shd w:val="clear" w:color="auto" w:fill="auto"/>
            <w:vAlign w:val="center"/>
          </w:tcPr>
          <w:p w14:paraId="1795972C" w14:textId="77777777" w:rsidR="005158F7" w:rsidRPr="00AE3438" w:rsidRDefault="005158F7" w:rsidP="005158F7">
            <w:pPr>
              <w:keepNext/>
              <w:jc w:val="center"/>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2025</w:t>
            </w:r>
          </w:p>
        </w:tc>
        <w:tc>
          <w:tcPr>
            <w:tcW w:w="1040" w:type="dxa"/>
            <w:shd w:val="clear" w:color="auto" w:fill="auto"/>
            <w:vAlign w:val="center"/>
          </w:tcPr>
          <w:p w14:paraId="60D529C1" w14:textId="77777777" w:rsidR="005158F7" w:rsidRPr="00AE3438" w:rsidRDefault="005158F7" w:rsidP="005158F7">
            <w:pPr>
              <w:keepNext/>
              <w:jc w:val="center"/>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2026</w:t>
            </w:r>
          </w:p>
        </w:tc>
        <w:tc>
          <w:tcPr>
            <w:tcW w:w="1039" w:type="dxa"/>
            <w:shd w:val="clear" w:color="auto" w:fill="auto"/>
            <w:vAlign w:val="center"/>
          </w:tcPr>
          <w:p w14:paraId="6CAFC8D9" w14:textId="77777777" w:rsidR="005158F7" w:rsidRPr="00AE3438" w:rsidRDefault="005158F7" w:rsidP="005158F7">
            <w:pPr>
              <w:keepNext/>
              <w:jc w:val="center"/>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2027</w:t>
            </w:r>
          </w:p>
        </w:tc>
        <w:tc>
          <w:tcPr>
            <w:tcW w:w="1043" w:type="dxa"/>
            <w:shd w:val="clear" w:color="auto" w:fill="auto"/>
            <w:vAlign w:val="center"/>
          </w:tcPr>
          <w:p w14:paraId="2EB910B6" w14:textId="77777777" w:rsidR="005158F7" w:rsidRPr="00AE3438" w:rsidRDefault="005158F7" w:rsidP="005158F7">
            <w:pPr>
              <w:keepNext/>
              <w:jc w:val="center"/>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2028</w:t>
            </w:r>
          </w:p>
        </w:tc>
      </w:tr>
      <w:tr w:rsidR="005158F7" w:rsidRPr="00AE3438" w14:paraId="04FD2206" w14:textId="77777777" w:rsidTr="005158F7">
        <w:trPr>
          <w:trHeight w:val="331"/>
        </w:trPr>
        <w:tc>
          <w:tcPr>
            <w:tcW w:w="9070" w:type="dxa"/>
            <w:gridSpan w:val="7"/>
            <w:shd w:val="clear" w:color="auto" w:fill="auto"/>
            <w:vAlign w:val="center"/>
          </w:tcPr>
          <w:p w14:paraId="2E3A1324" w14:textId="77777777" w:rsidR="005158F7" w:rsidRPr="00AE3438" w:rsidRDefault="005158F7" w:rsidP="005158F7">
            <w:pPr>
              <w:keepNext/>
              <w:jc w:val="left"/>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Estimation of number of treated patients</w:t>
            </w:r>
          </w:p>
        </w:tc>
      </w:tr>
      <w:tr w:rsidR="005158F7" w:rsidRPr="00AE3438" w14:paraId="209D4F13" w14:textId="77777777" w:rsidTr="005158F7">
        <w:tc>
          <w:tcPr>
            <w:tcW w:w="9070" w:type="dxa"/>
            <w:gridSpan w:val="7"/>
            <w:shd w:val="clear" w:color="auto" w:fill="auto"/>
            <w:vAlign w:val="center"/>
          </w:tcPr>
          <w:p w14:paraId="7E0F00C4" w14:textId="77777777" w:rsidR="005158F7" w:rsidRPr="00AE3438" w:rsidRDefault="005158F7" w:rsidP="005158F7">
            <w:pPr>
              <w:keepNext/>
              <w:jc w:val="left"/>
              <w:rPr>
                <w:rFonts w:ascii="Arial Narrow" w:eastAsiaTheme="majorEastAsia" w:hAnsi="Arial Narrow" w:cstheme="majorBidi"/>
                <w:bCs/>
                <w:sz w:val="20"/>
                <w:szCs w:val="20"/>
              </w:rPr>
            </w:pPr>
            <w:r w:rsidRPr="00AE3438">
              <w:rPr>
                <w:rFonts w:ascii="Arial Narrow" w:eastAsiaTheme="majorEastAsia" w:hAnsi="Arial Narrow" w:cstheme="majorBidi"/>
                <w:b/>
                <w:bCs/>
                <w:sz w:val="20"/>
                <w:szCs w:val="20"/>
              </w:rPr>
              <w:t>Initiating SMA treatment</w:t>
            </w:r>
          </w:p>
        </w:tc>
      </w:tr>
      <w:tr w:rsidR="005158F7" w:rsidRPr="00AE3438" w14:paraId="0F405933" w14:textId="77777777" w:rsidTr="004076EE">
        <w:tc>
          <w:tcPr>
            <w:tcW w:w="2830" w:type="dxa"/>
            <w:shd w:val="clear" w:color="auto" w:fill="auto"/>
            <w:vAlign w:val="center"/>
          </w:tcPr>
          <w:p w14:paraId="4DEF46B8" w14:textId="77777777" w:rsidR="005158F7" w:rsidRPr="00AE3438" w:rsidRDefault="005158F7" w:rsidP="005158F7">
            <w:pPr>
              <w:keepNext/>
              <w:jc w:val="left"/>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 xml:space="preserve">Incident SMA </w:t>
            </w:r>
          </w:p>
        </w:tc>
        <w:tc>
          <w:tcPr>
            <w:tcW w:w="1039" w:type="dxa"/>
            <w:shd w:val="clear" w:color="auto" w:fill="auto"/>
            <w:vAlign w:val="center"/>
          </w:tcPr>
          <w:p w14:paraId="6F78F13C" w14:textId="2D0EE3FC" w:rsidR="005158F7" w:rsidRPr="00E640E7" w:rsidRDefault="00284C02" w:rsidP="005158F7">
            <w:pPr>
              <w:keepNext/>
              <w:jc w:val="center"/>
              <w:rPr>
                <w:rFonts w:ascii="Arial Narrow" w:eastAsiaTheme="majorEastAsia" w:hAnsi="Arial Narrow" w:cstheme="majorBidi"/>
                <w:bCs/>
                <w:sz w:val="20"/>
                <w:szCs w:val="20"/>
                <w:highlight w:val="darkGray"/>
                <w:vertAlign w:val="superscript"/>
              </w:rPr>
            </w:pPr>
            <w:r w:rsidRPr="00284C02">
              <w:rPr>
                <w:rFonts w:ascii="Arial Narrow" w:eastAsiaTheme="majorEastAsia" w:hAnsi="Arial Narrow" w:cstheme="majorBidi" w:hint="eastAsia"/>
                <w:bCs/>
                <w:color w:val="000000"/>
                <w:w w:val="28"/>
                <w:sz w:val="20"/>
                <w:szCs w:val="20"/>
                <w:shd w:val="solid" w:color="000000" w:fill="000000"/>
                <w:fitText w:val="125" w:id="-1305197563"/>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3"/>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3"/>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shd w:val="clear" w:color="auto" w:fill="auto"/>
            <w:vAlign w:val="center"/>
          </w:tcPr>
          <w:p w14:paraId="0DCB7653" w14:textId="2E97C82F" w:rsidR="005158F7" w:rsidRPr="00E640E7" w:rsidRDefault="00284C02" w:rsidP="005158F7">
            <w:pPr>
              <w:keepNext/>
              <w:jc w:val="center"/>
              <w:rPr>
                <w:rFonts w:ascii="Arial Narrow" w:eastAsiaTheme="majorEastAsia" w:hAnsi="Arial Narrow" w:cstheme="majorBidi"/>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562"/>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562"/>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56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shd w:val="clear" w:color="auto" w:fill="auto"/>
            <w:vAlign w:val="center"/>
          </w:tcPr>
          <w:p w14:paraId="5186F471" w14:textId="2FBE9DAE" w:rsidR="005158F7" w:rsidRPr="00E640E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1"/>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1"/>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1"/>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shd w:val="clear" w:color="auto" w:fill="auto"/>
            <w:vAlign w:val="center"/>
          </w:tcPr>
          <w:p w14:paraId="415C65EC" w14:textId="2227147B" w:rsidR="005158F7" w:rsidRPr="00E640E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0"/>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0"/>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0"/>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shd w:val="clear" w:color="auto" w:fill="auto"/>
            <w:vAlign w:val="center"/>
          </w:tcPr>
          <w:p w14:paraId="10BEE488" w14:textId="5A8F77A0" w:rsidR="005158F7" w:rsidRPr="00E640E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9"/>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9"/>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9"/>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3" w:type="dxa"/>
            <w:shd w:val="clear" w:color="auto" w:fill="auto"/>
            <w:vAlign w:val="center"/>
          </w:tcPr>
          <w:p w14:paraId="0651E810" w14:textId="2CB0714B" w:rsidR="005158F7" w:rsidRPr="00E640E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8"/>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8"/>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8"/>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r>
      <w:tr w:rsidR="005158F7" w:rsidRPr="00AE3438" w14:paraId="35B44595" w14:textId="77777777" w:rsidTr="004076EE">
        <w:tc>
          <w:tcPr>
            <w:tcW w:w="2830" w:type="dxa"/>
            <w:vAlign w:val="center"/>
          </w:tcPr>
          <w:p w14:paraId="32AAB386" w14:textId="77777777" w:rsidR="005158F7" w:rsidRPr="00E640E7" w:rsidRDefault="005158F7" w:rsidP="005158F7">
            <w:pPr>
              <w:keepNext/>
              <w:ind w:left="104"/>
              <w:jc w:val="left"/>
              <w:rPr>
                <w:rFonts w:ascii="Arial Narrow" w:eastAsiaTheme="majorEastAsia" w:hAnsi="Arial Narrow" w:cstheme="majorBidi"/>
                <w:bCs/>
                <w:sz w:val="20"/>
                <w:szCs w:val="20"/>
                <w:vertAlign w:val="superscript"/>
              </w:rPr>
            </w:pPr>
            <w:r w:rsidRPr="00AE3438">
              <w:rPr>
                <w:rFonts w:ascii="Arial Narrow" w:eastAsiaTheme="majorEastAsia" w:hAnsi="Arial Narrow" w:cstheme="majorBidi"/>
                <w:bCs/>
                <w:sz w:val="20"/>
                <w:szCs w:val="20"/>
              </w:rPr>
              <w:t xml:space="preserve">Patients with 3 copies of SMN2 </w:t>
            </w:r>
          </w:p>
        </w:tc>
        <w:tc>
          <w:tcPr>
            <w:tcW w:w="1039" w:type="dxa"/>
          </w:tcPr>
          <w:p w14:paraId="59B5E5C8" w14:textId="4C318852"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7"/>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7"/>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7"/>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tcPr>
          <w:p w14:paraId="323D1C26" w14:textId="1A951C18" w:rsidR="005158F7" w:rsidRPr="00A83CA7" w:rsidRDefault="00284C02" w:rsidP="005158F7">
            <w:pPr>
              <w:keepNext/>
              <w:jc w:val="center"/>
              <w:rPr>
                <w:rFonts w:ascii="Arial Narrow" w:eastAsiaTheme="majorEastAsia" w:hAnsi="Arial Narrow" w:cstheme="majorBidi"/>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556"/>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556"/>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556"/>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tcPr>
          <w:p w14:paraId="6D6DA642" w14:textId="0006EDAB"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5"/>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5"/>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5"/>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tcPr>
          <w:p w14:paraId="2290249E" w14:textId="0BD08065"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4"/>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4"/>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4"/>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tcPr>
          <w:p w14:paraId="0ED997F2" w14:textId="2A545B51"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3"/>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3"/>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3"/>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3" w:type="dxa"/>
          </w:tcPr>
          <w:p w14:paraId="4CA6CA86" w14:textId="0C51CB05"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2"/>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2"/>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r>
      <w:tr w:rsidR="005158F7" w:rsidRPr="00AE3438" w14:paraId="0FEFE1CB" w14:textId="77777777" w:rsidTr="004076EE">
        <w:tc>
          <w:tcPr>
            <w:tcW w:w="2830" w:type="dxa"/>
            <w:vAlign w:val="center"/>
          </w:tcPr>
          <w:p w14:paraId="5FDE22DE" w14:textId="77777777" w:rsidR="005158F7" w:rsidRPr="00AE3438" w:rsidDel="00E722D4" w:rsidRDefault="005158F7" w:rsidP="005158F7">
            <w:pPr>
              <w:keepNext/>
              <w:ind w:left="104"/>
              <w:jc w:val="left"/>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Patients AAV9 eligible</w:t>
            </w:r>
          </w:p>
        </w:tc>
        <w:tc>
          <w:tcPr>
            <w:tcW w:w="1039" w:type="dxa"/>
          </w:tcPr>
          <w:p w14:paraId="67EC9243" w14:textId="2C17EB08"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8"/>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8"/>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8"/>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tcPr>
          <w:p w14:paraId="79B3F897" w14:textId="7FBE3523" w:rsidR="005158F7" w:rsidRPr="00A83CA7" w:rsidRDefault="00284C02" w:rsidP="005158F7">
            <w:pPr>
              <w:keepNext/>
              <w:jc w:val="center"/>
              <w:rPr>
                <w:rFonts w:ascii="Arial Narrow" w:eastAsiaTheme="majorEastAsia" w:hAnsi="Arial Narrow" w:cstheme="majorBidi"/>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567"/>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567"/>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567"/>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tcPr>
          <w:p w14:paraId="0854BA69" w14:textId="7A875B4A"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6"/>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6"/>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6"/>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tcPr>
          <w:p w14:paraId="358003DE" w14:textId="5DDD2F86"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5"/>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5"/>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5"/>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tcPr>
          <w:p w14:paraId="0B213E8F" w14:textId="349B67B3"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4"/>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4"/>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4"/>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3" w:type="dxa"/>
          </w:tcPr>
          <w:p w14:paraId="15699E70" w14:textId="3AA5F401"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3"/>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3"/>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3"/>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r>
      <w:tr w:rsidR="005158F7" w:rsidRPr="00AE3438" w14:paraId="0DA5AB4F" w14:textId="77777777" w:rsidTr="004076EE">
        <w:tc>
          <w:tcPr>
            <w:tcW w:w="2830" w:type="dxa"/>
            <w:vAlign w:val="center"/>
          </w:tcPr>
          <w:p w14:paraId="00B5D795" w14:textId="77777777" w:rsidR="005158F7" w:rsidRPr="00AE3438" w:rsidRDefault="005158F7" w:rsidP="005158F7">
            <w:pPr>
              <w:keepNext/>
              <w:ind w:left="104"/>
              <w:jc w:val="left"/>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Patients electing treatment with ONA</w:t>
            </w:r>
          </w:p>
        </w:tc>
        <w:tc>
          <w:tcPr>
            <w:tcW w:w="1039" w:type="dxa"/>
          </w:tcPr>
          <w:p w14:paraId="5B1C1065" w14:textId="22BB037D"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2"/>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2"/>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tcPr>
          <w:p w14:paraId="5EADE568" w14:textId="4C71A0C3" w:rsidR="005158F7" w:rsidRPr="00A83CA7" w:rsidRDefault="00284C02" w:rsidP="005158F7">
            <w:pPr>
              <w:keepNext/>
              <w:jc w:val="center"/>
              <w:rPr>
                <w:rFonts w:ascii="Arial Narrow" w:eastAsiaTheme="majorEastAsia" w:hAnsi="Arial Narrow" w:cstheme="majorBidi"/>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561"/>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561"/>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561"/>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tcPr>
          <w:p w14:paraId="5046AF9B" w14:textId="0CDD8379"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0"/>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0"/>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0"/>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tcPr>
          <w:p w14:paraId="42CBAB92" w14:textId="0B98ABB1"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9"/>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9"/>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9"/>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tcPr>
          <w:p w14:paraId="1A81C6D9" w14:textId="6F6FA700"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8"/>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8"/>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8"/>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3" w:type="dxa"/>
          </w:tcPr>
          <w:p w14:paraId="7FB63F41" w14:textId="6F3ED388"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7"/>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7"/>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7"/>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r>
      <w:tr w:rsidR="005158F7" w:rsidRPr="00AE3438" w14:paraId="186B987D" w14:textId="77777777" w:rsidTr="004076EE">
        <w:tc>
          <w:tcPr>
            <w:tcW w:w="2830" w:type="dxa"/>
            <w:vAlign w:val="center"/>
          </w:tcPr>
          <w:p w14:paraId="27A9B192" w14:textId="77777777" w:rsidR="005158F7" w:rsidRPr="00AE3438" w:rsidRDefault="005158F7" w:rsidP="005158F7">
            <w:pPr>
              <w:keepNext/>
              <w:ind w:left="104"/>
              <w:jc w:val="left"/>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Incident patients born 2022</w:t>
            </w:r>
          </w:p>
        </w:tc>
        <w:tc>
          <w:tcPr>
            <w:tcW w:w="1039" w:type="dxa"/>
          </w:tcPr>
          <w:p w14:paraId="340DE689" w14:textId="2431DF1E"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6"/>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6"/>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6"/>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tcPr>
          <w:p w14:paraId="1451EDF7" w14:textId="77777777" w:rsidR="005158F7" w:rsidRPr="00AE3438" w:rsidRDefault="005158F7" w:rsidP="005158F7">
            <w:pPr>
              <w:keepNext/>
              <w:jc w:val="center"/>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w:t>
            </w:r>
          </w:p>
        </w:tc>
        <w:tc>
          <w:tcPr>
            <w:tcW w:w="1039" w:type="dxa"/>
          </w:tcPr>
          <w:p w14:paraId="2622C831" w14:textId="77777777" w:rsidR="005158F7" w:rsidRPr="00AE3438" w:rsidRDefault="005158F7" w:rsidP="005158F7">
            <w:pPr>
              <w:keepNext/>
              <w:jc w:val="center"/>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w:t>
            </w:r>
          </w:p>
        </w:tc>
        <w:tc>
          <w:tcPr>
            <w:tcW w:w="1040" w:type="dxa"/>
          </w:tcPr>
          <w:p w14:paraId="1F66C0C4" w14:textId="77777777" w:rsidR="005158F7" w:rsidRPr="00AE3438" w:rsidRDefault="005158F7" w:rsidP="005158F7">
            <w:pPr>
              <w:keepNext/>
              <w:jc w:val="center"/>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w:t>
            </w:r>
          </w:p>
        </w:tc>
        <w:tc>
          <w:tcPr>
            <w:tcW w:w="1039" w:type="dxa"/>
          </w:tcPr>
          <w:p w14:paraId="43FDE530" w14:textId="77777777" w:rsidR="005158F7" w:rsidRPr="00AE3438" w:rsidRDefault="005158F7" w:rsidP="005158F7">
            <w:pPr>
              <w:keepNext/>
              <w:jc w:val="center"/>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w:t>
            </w:r>
          </w:p>
        </w:tc>
        <w:tc>
          <w:tcPr>
            <w:tcW w:w="1043" w:type="dxa"/>
          </w:tcPr>
          <w:p w14:paraId="7E4E2EF0" w14:textId="77777777" w:rsidR="005158F7" w:rsidRPr="00AE3438" w:rsidRDefault="005158F7" w:rsidP="005158F7">
            <w:pPr>
              <w:keepNext/>
              <w:jc w:val="center"/>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w:t>
            </w:r>
          </w:p>
        </w:tc>
      </w:tr>
      <w:tr w:rsidR="005158F7" w:rsidRPr="00AE3438" w14:paraId="11F9E4F1" w14:textId="77777777" w:rsidTr="004076EE">
        <w:tc>
          <w:tcPr>
            <w:tcW w:w="2830" w:type="dxa"/>
            <w:vAlign w:val="center"/>
          </w:tcPr>
          <w:p w14:paraId="72C5AB14" w14:textId="77777777" w:rsidR="005158F7" w:rsidRPr="00AE3438" w:rsidRDefault="005158F7" w:rsidP="005158F7">
            <w:pPr>
              <w:keepNext/>
              <w:jc w:val="left"/>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 xml:space="preserve">Total initial patients for ONA </w:t>
            </w:r>
          </w:p>
        </w:tc>
        <w:tc>
          <w:tcPr>
            <w:tcW w:w="1039" w:type="dxa"/>
            <w:vAlign w:val="center"/>
          </w:tcPr>
          <w:p w14:paraId="24411CE5" w14:textId="5FC91EE8" w:rsidR="005158F7" w:rsidRPr="00A83CA7" w:rsidRDefault="00284C02" w:rsidP="005158F7">
            <w:pPr>
              <w:keepNext/>
              <w:keepLines/>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5"/>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5"/>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5"/>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vAlign w:val="center"/>
          </w:tcPr>
          <w:p w14:paraId="70FE5621" w14:textId="65177E0E" w:rsidR="005158F7" w:rsidRPr="00A83CA7" w:rsidRDefault="00284C02" w:rsidP="005158F7">
            <w:pPr>
              <w:keepNext/>
              <w:jc w:val="center"/>
              <w:rPr>
                <w:rFonts w:ascii="Arial Narrow" w:eastAsiaTheme="majorEastAsia" w:hAnsi="Arial Narrow" w:cstheme="majorBidi"/>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554"/>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554"/>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554"/>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vAlign w:val="center"/>
          </w:tcPr>
          <w:p w14:paraId="683B2121" w14:textId="23F1633D"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3"/>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3"/>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3"/>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vAlign w:val="center"/>
          </w:tcPr>
          <w:p w14:paraId="3F72D39E" w14:textId="73C6A5B9"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52"/>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52"/>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5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vAlign w:val="center"/>
          </w:tcPr>
          <w:p w14:paraId="332D2C11" w14:textId="7CE87E2C"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8"/>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8"/>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8"/>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3" w:type="dxa"/>
            <w:vAlign w:val="center"/>
          </w:tcPr>
          <w:p w14:paraId="67004F95" w14:textId="45C2EB2B"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7"/>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7"/>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7"/>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r>
      <w:tr w:rsidR="005158F7" w:rsidRPr="00AE3438" w14:paraId="6216EB0C" w14:textId="77777777" w:rsidTr="004076EE">
        <w:tc>
          <w:tcPr>
            <w:tcW w:w="2830" w:type="dxa"/>
            <w:vAlign w:val="center"/>
          </w:tcPr>
          <w:p w14:paraId="3AD0B4E9" w14:textId="77777777" w:rsidR="005158F7" w:rsidRPr="00AE3438" w:rsidRDefault="005158F7" w:rsidP="005158F7">
            <w:pPr>
              <w:keepNext/>
              <w:jc w:val="left"/>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Total ONA scripts</w:t>
            </w:r>
          </w:p>
        </w:tc>
        <w:tc>
          <w:tcPr>
            <w:tcW w:w="1039" w:type="dxa"/>
            <w:vAlign w:val="center"/>
          </w:tcPr>
          <w:p w14:paraId="73B933CB" w14:textId="3A1036C9" w:rsidR="005158F7" w:rsidRPr="00A83CA7" w:rsidRDefault="00284C02" w:rsidP="005158F7">
            <w:pPr>
              <w:keepNext/>
              <w:jc w:val="center"/>
              <w:rPr>
                <w:rFonts w:ascii="Arial Narrow" w:eastAsiaTheme="majorEastAsia" w:hAnsi="Arial Narrow" w:cstheme="majorBidi"/>
                <w:b/>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6"/>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6"/>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6"/>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vAlign w:val="center"/>
          </w:tcPr>
          <w:p w14:paraId="2304FB31" w14:textId="29D20DCC" w:rsidR="005158F7" w:rsidRPr="00A83CA7" w:rsidRDefault="00284C02" w:rsidP="005158F7">
            <w:pPr>
              <w:keepNext/>
              <w:jc w:val="center"/>
              <w:rPr>
                <w:rFonts w:ascii="Arial Narrow" w:eastAsiaTheme="majorEastAsia" w:hAnsi="Arial Narrow" w:cstheme="majorBidi"/>
                <w:b/>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565"/>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565"/>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565"/>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vAlign w:val="center"/>
          </w:tcPr>
          <w:p w14:paraId="112557CD" w14:textId="56CE1BC1" w:rsidR="005158F7" w:rsidRPr="00A83CA7" w:rsidRDefault="00284C02" w:rsidP="005158F7">
            <w:pPr>
              <w:keepNext/>
              <w:jc w:val="center"/>
              <w:rPr>
                <w:rFonts w:ascii="Arial Narrow" w:eastAsiaTheme="majorEastAsia" w:hAnsi="Arial Narrow" w:cstheme="majorBidi"/>
                <w:b/>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4"/>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4"/>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4"/>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vAlign w:val="center"/>
          </w:tcPr>
          <w:p w14:paraId="60A61482" w14:textId="67C61F09" w:rsidR="005158F7" w:rsidRPr="00A83CA7" w:rsidRDefault="00284C02" w:rsidP="005158F7">
            <w:pPr>
              <w:keepNext/>
              <w:jc w:val="center"/>
              <w:rPr>
                <w:rFonts w:ascii="Arial Narrow" w:eastAsiaTheme="majorEastAsia" w:hAnsi="Arial Narrow" w:cstheme="majorBidi"/>
                <w:b/>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563"/>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563"/>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563"/>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vAlign w:val="center"/>
          </w:tcPr>
          <w:p w14:paraId="5E6DB28A" w14:textId="5F6914CB" w:rsidR="005158F7" w:rsidRPr="00A83CA7" w:rsidRDefault="00284C02" w:rsidP="005158F7">
            <w:pPr>
              <w:keepNext/>
              <w:jc w:val="center"/>
              <w:rPr>
                <w:rFonts w:ascii="Arial Narrow" w:eastAsiaTheme="majorEastAsia" w:hAnsi="Arial Narrow" w:cstheme="majorBidi"/>
                <w:b/>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12"/>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12"/>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1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3" w:type="dxa"/>
            <w:vAlign w:val="center"/>
          </w:tcPr>
          <w:p w14:paraId="316746E1" w14:textId="25CC8019" w:rsidR="005158F7" w:rsidRPr="00A83CA7" w:rsidRDefault="00284C02" w:rsidP="005158F7">
            <w:pPr>
              <w:keepNext/>
              <w:jc w:val="center"/>
              <w:rPr>
                <w:rFonts w:ascii="Arial Narrow" w:eastAsiaTheme="majorEastAsia" w:hAnsi="Arial Narrow" w:cstheme="majorBidi"/>
                <w:b/>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11"/>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11"/>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11"/>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r>
      <w:tr w:rsidR="005158F7" w:rsidRPr="00AE3438" w14:paraId="392C6C0C" w14:textId="77777777" w:rsidTr="004076EE">
        <w:tc>
          <w:tcPr>
            <w:tcW w:w="2830" w:type="dxa"/>
            <w:vAlign w:val="center"/>
          </w:tcPr>
          <w:p w14:paraId="244405E0" w14:textId="77777777" w:rsidR="005158F7" w:rsidRPr="00AE3438" w:rsidRDefault="005158F7" w:rsidP="005158F7">
            <w:pPr>
              <w:keepNext/>
              <w:jc w:val="left"/>
              <w:rPr>
                <w:rFonts w:ascii="Arial Narrow" w:eastAsiaTheme="majorEastAsia" w:hAnsi="Arial Narrow" w:cstheme="majorBidi"/>
                <w:b/>
                <w:bCs/>
                <w:sz w:val="20"/>
                <w:szCs w:val="20"/>
              </w:rPr>
            </w:pPr>
            <w:r w:rsidRPr="00AE3438">
              <w:rPr>
                <w:rFonts w:ascii="Arial Narrow" w:eastAsiaTheme="majorEastAsia" w:hAnsi="Arial Narrow" w:cstheme="majorBidi"/>
                <w:b/>
                <w:bCs/>
                <w:sz w:val="20"/>
                <w:szCs w:val="20"/>
              </w:rPr>
              <w:t>Net cost of ONA to PBS/RPBS</w:t>
            </w:r>
          </w:p>
        </w:tc>
        <w:tc>
          <w:tcPr>
            <w:tcW w:w="1039" w:type="dxa"/>
          </w:tcPr>
          <w:p w14:paraId="60A22609" w14:textId="37C0E4C3"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10"/>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10"/>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10"/>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2</w:t>
            </w:r>
          </w:p>
        </w:tc>
        <w:tc>
          <w:tcPr>
            <w:tcW w:w="1040" w:type="dxa"/>
          </w:tcPr>
          <w:p w14:paraId="479A01EF" w14:textId="40BC37A7" w:rsidR="005158F7" w:rsidRPr="00A83CA7" w:rsidRDefault="00284C02" w:rsidP="005158F7">
            <w:pPr>
              <w:keepNext/>
              <w:jc w:val="center"/>
              <w:rPr>
                <w:rFonts w:ascii="Arial Narrow" w:eastAsiaTheme="majorEastAsia" w:hAnsi="Arial Narrow" w:cstheme="majorBidi"/>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309"/>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309"/>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309"/>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3</w:t>
            </w:r>
          </w:p>
        </w:tc>
        <w:tc>
          <w:tcPr>
            <w:tcW w:w="1039" w:type="dxa"/>
          </w:tcPr>
          <w:p w14:paraId="7A48FF6B" w14:textId="05823EEA"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8"/>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8"/>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8"/>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3</w:t>
            </w:r>
          </w:p>
        </w:tc>
        <w:tc>
          <w:tcPr>
            <w:tcW w:w="1040" w:type="dxa"/>
          </w:tcPr>
          <w:p w14:paraId="5D7BA4A7" w14:textId="1E6B76A4"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7"/>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7"/>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7"/>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3</w:t>
            </w:r>
          </w:p>
        </w:tc>
        <w:tc>
          <w:tcPr>
            <w:tcW w:w="1039" w:type="dxa"/>
          </w:tcPr>
          <w:p w14:paraId="6B689360" w14:textId="604B8A2D"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6"/>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6"/>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6"/>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3</w:t>
            </w:r>
          </w:p>
        </w:tc>
        <w:tc>
          <w:tcPr>
            <w:tcW w:w="1043" w:type="dxa"/>
          </w:tcPr>
          <w:p w14:paraId="25EABB9E" w14:textId="4E5F97A7"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5"/>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5"/>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5"/>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3</w:t>
            </w:r>
          </w:p>
        </w:tc>
      </w:tr>
      <w:tr w:rsidR="005158F7" w:rsidRPr="00AE3438" w14:paraId="60232AA3" w14:textId="77777777" w:rsidTr="005158F7">
        <w:trPr>
          <w:trHeight w:val="305"/>
        </w:trPr>
        <w:tc>
          <w:tcPr>
            <w:tcW w:w="9070" w:type="dxa"/>
            <w:gridSpan w:val="7"/>
            <w:shd w:val="clear" w:color="auto" w:fill="auto"/>
            <w:vAlign w:val="center"/>
          </w:tcPr>
          <w:p w14:paraId="7839E56B" w14:textId="77777777" w:rsidR="005158F7" w:rsidRPr="00AE3438" w:rsidRDefault="005158F7" w:rsidP="005158F7">
            <w:pPr>
              <w:keepNext/>
              <w:jc w:val="left"/>
              <w:rPr>
                <w:rFonts w:ascii="Arial Narrow" w:eastAsiaTheme="majorEastAsia" w:hAnsi="Arial Narrow" w:cstheme="majorBidi"/>
                <w:bCs/>
                <w:sz w:val="20"/>
                <w:szCs w:val="20"/>
              </w:rPr>
            </w:pPr>
            <w:r w:rsidRPr="00AE3438">
              <w:rPr>
                <w:rFonts w:ascii="Arial Narrow" w:eastAsiaTheme="majorEastAsia" w:hAnsi="Arial Narrow" w:cstheme="majorBidi"/>
                <w:b/>
                <w:bCs/>
                <w:sz w:val="20"/>
                <w:szCs w:val="20"/>
              </w:rPr>
              <w:t>Estimation changes in use and financial impact of currently listed treatments</w:t>
            </w:r>
          </w:p>
        </w:tc>
      </w:tr>
      <w:tr w:rsidR="005158F7" w:rsidRPr="00AE3438" w14:paraId="4B1C14F2" w14:textId="77777777" w:rsidTr="004076EE">
        <w:tc>
          <w:tcPr>
            <w:tcW w:w="2830" w:type="dxa"/>
            <w:vAlign w:val="center"/>
          </w:tcPr>
          <w:p w14:paraId="4027974A" w14:textId="77777777" w:rsidR="005158F7" w:rsidRPr="00AE3438" w:rsidRDefault="005158F7" w:rsidP="005158F7">
            <w:pPr>
              <w:keepNext/>
              <w:ind w:left="104"/>
              <w:jc w:val="left"/>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Patients on comparators displaced by PBS listing of ONA</w:t>
            </w:r>
          </w:p>
        </w:tc>
        <w:tc>
          <w:tcPr>
            <w:tcW w:w="1039" w:type="dxa"/>
            <w:vAlign w:val="center"/>
          </w:tcPr>
          <w:p w14:paraId="49E3D730" w14:textId="68234162"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4"/>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4"/>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4"/>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vAlign w:val="center"/>
          </w:tcPr>
          <w:p w14:paraId="44C31618" w14:textId="491DFB8C" w:rsidR="005158F7" w:rsidRPr="00A83CA7" w:rsidRDefault="00284C02" w:rsidP="005158F7">
            <w:pPr>
              <w:keepNext/>
              <w:jc w:val="center"/>
              <w:rPr>
                <w:rFonts w:ascii="Arial Narrow" w:eastAsiaTheme="majorEastAsia" w:hAnsi="Arial Narrow" w:cstheme="majorBidi"/>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303"/>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303"/>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303"/>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vAlign w:val="center"/>
          </w:tcPr>
          <w:p w14:paraId="0B335F67" w14:textId="0077B967"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2"/>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2"/>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vAlign w:val="center"/>
          </w:tcPr>
          <w:p w14:paraId="4CDFAD3C" w14:textId="1B72FBA4"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1"/>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1"/>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1"/>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vAlign w:val="center"/>
          </w:tcPr>
          <w:p w14:paraId="3C05C731" w14:textId="3F9BF105"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0"/>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0"/>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0"/>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3" w:type="dxa"/>
            <w:vAlign w:val="center"/>
          </w:tcPr>
          <w:p w14:paraId="44B767F6" w14:textId="4636A9CD"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299"/>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299"/>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299"/>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r>
      <w:tr w:rsidR="005158F7" w:rsidRPr="00AE3438" w14:paraId="5ECB1D8A" w14:textId="77777777" w:rsidTr="004076EE">
        <w:tc>
          <w:tcPr>
            <w:tcW w:w="2830" w:type="dxa"/>
            <w:vAlign w:val="center"/>
          </w:tcPr>
          <w:p w14:paraId="0F5C53D2" w14:textId="77777777" w:rsidR="005158F7" w:rsidRPr="00AE3438" w:rsidRDefault="005158F7" w:rsidP="005158F7">
            <w:pPr>
              <w:keepNext/>
              <w:ind w:left="104"/>
              <w:jc w:val="left"/>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Reduction in NUSI scripts</w:t>
            </w:r>
          </w:p>
        </w:tc>
        <w:tc>
          <w:tcPr>
            <w:tcW w:w="1039" w:type="dxa"/>
            <w:vAlign w:val="center"/>
          </w:tcPr>
          <w:p w14:paraId="640852D6" w14:textId="3CF6CCF2"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bCs/>
                <w:color w:val="000000"/>
                <w:spacing w:val="87"/>
                <w:sz w:val="20"/>
                <w:szCs w:val="20"/>
                <w:shd w:val="solid" w:color="000000" w:fill="000000"/>
                <w:fitText w:val="163" w:id="-1305197298"/>
                <w14:textFill>
                  <w14:solidFill>
                    <w14:srgbClr w14:val="000000">
                      <w14:alpha w14:val="100000"/>
                    </w14:srgbClr>
                  </w14:solidFill>
                </w14:textFill>
              </w:rPr>
              <w:t>|</w:t>
            </w:r>
            <w:r w:rsidR="00284C02" w:rsidRPr="009D1C84">
              <w:rPr>
                <w:rFonts w:ascii="Arial Narrow" w:eastAsiaTheme="majorEastAsia" w:hAnsi="Arial Narrow" w:cstheme="majorBidi"/>
                <w:bCs/>
                <w:color w:val="000000"/>
                <w:sz w:val="20"/>
                <w:szCs w:val="20"/>
                <w:shd w:val="solid" w:color="000000" w:fill="000000"/>
                <w:fitText w:val="163" w:id="-1305197298"/>
                <w14:textFill>
                  <w14:solidFill>
                    <w14:srgbClr w14:val="000000">
                      <w14:alpha w14:val="100000"/>
                    </w14:srgbClr>
                  </w14:solidFill>
                </w14:textFill>
              </w:rPr>
              <w:t>|</w:t>
            </w:r>
            <w:r w:rsidR="00E640E7">
              <w:rPr>
                <w:rFonts w:ascii="Arial Narrow" w:eastAsiaTheme="majorEastAsia" w:hAnsi="Arial Narrow" w:cstheme="majorBidi"/>
                <w:bCs/>
                <w:sz w:val="20"/>
                <w:szCs w:val="20"/>
                <w:vertAlign w:val="superscript"/>
              </w:rPr>
              <w:t>1</w:t>
            </w:r>
          </w:p>
        </w:tc>
        <w:tc>
          <w:tcPr>
            <w:tcW w:w="1040" w:type="dxa"/>
            <w:vAlign w:val="center"/>
          </w:tcPr>
          <w:p w14:paraId="2E5EDABF" w14:textId="6C9351B8"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bCs/>
                <w:color w:val="000000"/>
                <w:spacing w:val="75"/>
                <w:sz w:val="20"/>
                <w:szCs w:val="20"/>
                <w:shd w:val="solid" w:color="000000" w:fill="000000"/>
                <w:fitText w:val="151" w:id="-1305197297"/>
                <w14:textFill>
                  <w14:solidFill>
                    <w14:srgbClr w14:val="000000">
                      <w14:alpha w14:val="100000"/>
                    </w14:srgbClr>
                  </w14:solidFill>
                </w14:textFill>
              </w:rPr>
              <w:t>|</w:t>
            </w:r>
            <w:r w:rsidR="00284C02" w:rsidRPr="009D1C84">
              <w:rPr>
                <w:rFonts w:ascii="Arial Narrow" w:eastAsiaTheme="majorEastAsia" w:hAnsi="Arial Narrow" w:cstheme="majorBidi"/>
                <w:bCs/>
                <w:color w:val="000000"/>
                <w:sz w:val="20"/>
                <w:szCs w:val="20"/>
                <w:shd w:val="solid" w:color="000000" w:fill="000000"/>
                <w:fitText w:val="151" w:id="-1305197297"/>
                <w14:textFill>
                  <w14:solidFill>
                    <w14:srgbClr w14:val="000000">
                      <w14:alpha w14:val="100000"/>
                    </w14:srgbClr>
                  </w14:solidFill>
                </w14:textFill>
              </w:rPr>
              <w:t>|</w:t>
            </w:r>
            <w:r w:rsidR="00E640E7">
              <w:rPr>
                <w:rFonts w:ascii="Arial Narrow" w:eastAsiaTheme="majorEastAsia" w:hAnsi="Arial Narrow" w:cstheme="majorBidi"/>
                <w:bCs/>
                <w:sz w:val="20"/>
                <w:szCs w:val="20"/>
                <w:vertAlign w:val="superscript"/>
              </w:rPr>
              <w:t>1</w:t>
            </w:r>
          </w:p>
        </w:tc>
        <w:tc>
          <w:tcPr>
            <w:tcW w:w="1039" w:type="dxa"/>
            <w:vAlign w:val="center"/>
          </w:tcPr>
          <w:p w14:paraId="07FAA6A9" w14:textId="5A341F1B"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284C02">
              <w:rPr>
                <w:rFonts w:ascii="Arial Narrow" w:eastAsiaTheme="majorEastAsia" w:hAnsi="Arial Narrow" w:cstheme="majorBidi"/>
                <w:bCs/>
                <w:color w:val="000000"/>
                <w:spacing w:val="76"/>
                <w:sz w:val="20"/>
                <w:szCs w:val="20"/>
                <w:shd w:val="solid" w:color="000000" w:fill="000000"/>
                <w:fitText w:val="162" w:id="-1305197296"/>
                <w14:textFill>
                  <w14:solidFill>
                    <w14:srgbClr w14:val="000000">
                      <w14:alpha w14:val="100000"/>
                    </w14:srgbClr>
                  </w14:solidFill>
                </w14:textFill>
              </w:rPr>
              <w:t>|</w:t>
            </w:r>
            <w:r w:rsidR="00284C02" w:rsidRPr="00284C02">
              <w:rPr>
                <w:rFonts w:ascii="Arial Narrow" w:eastAsiaTheme="majorEastAsia" w:hAnsi="Arial Narrow" w:cstheme="majorBidi"/>
                <w:bCs/>
                <w:color w:val="000000"/>
                <w:spacing w:val="1"/>
                <w:sz w:val="20"/>
                <w:szCs w:val="20"/>
                <w:shd w:val="solid" w:color="000000" w:fill="000000"/>
                <w:fitText w:val="162" w:id="-1305197296"/>
                <w14:textFill>
                  <w14:solidFill>
                    <w14:srgbClr w14:val="000000">
                      <w14:alpha w14:val="100000"/>
                    </w14:srgbClr>
                  </w14:solidFill>
                </w14:textFill>
              </w:rPr>
              <w:t>|</w:t>
            </w:r>
            <w:r w:rsidR="00E640E7">
              <w:rPr>
                <w:rFonts w:ascii="Arial Narrow" w:eastAsiaTheme="majorEastAsia" w:hAnsi="Arial Narrow" w:cstheme="majorBidi"/>
                <w:bCs/>
                <w:sz w:val="20"/>
                <w:szCs w:val="20"/>
                <w:vertAlign w:val="superscript"/>
              </w:rPr>
              <w:t>1</w:t>
            </w:r>
          </w:p>
        </w:tc>
        <w:tc>
          <w:tcPr>
            <w:tcW w:w="1040" w:type="dxa"/>
            <w:vAlign w:val="center"/>
          </w:tcPr>
          <w:p w14:paraId="35D849A2" w14:textId="2D310157"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hint="eastAsia"/>
                <w:bCs/>
                <w:color w:val="000000"/>
                <w:w w:val="33"/>
                <w:sz w:val="20"/>
                <w:szCs w:val="20"/>
                <w:shd w:val="solid" w:color="000000" w:fill="000000"/>
                <w:fitText w:val="150" w:id="-1305197312"/>
                <w14:textFill>
                  <w14:solidFill>
                    <w14:srgbClr w14:val="000000">
                      <w14:alpha w14:val="100000"/>
                    </w14:srgbClr>
                  </w14:solidFill>
                </w14:textFill>
              </w:rPr>
              <w:t xml:space="preserve">　</w:t>
            </w:r>
            <w:r w:rsidR="00284C02" w:rsidRPr="009D1C84">
              <w:rPr>
                <w:rFonts w:ascii="Arial Narrow" w:eastAsiaTheme="majorEastAsia" w:hAnsi="Arial Narrow" w:cstheme="majorBidi"/>
                <w:bCs/>
                <w:color w:val="000000"/>
                <w:w w:val="33"/>
                <w:sz w:val="20"/>
                <w:szCs w:val="20"/>
                <w:shd w:val="solid" w:color="000000" w:fill="000000"/>
                <w:fitText w:val="150" w:id="-1305197312"/>
                <w14:textFill>
                  <w14:solidFill>
                    <w14:srgbClr w14:val="000000">
                      <w14:alpha w14:val="100000"/>
                    </w14:srgbClr>
                  </w14:solidFill>
                </w14:textFill>
              </w:rPr>
              <w:t>|</w:t>
            </w:r>
            <w:r w:rsidR="00284C02" w:rsidRPr="009D1C84">
              <w:rPr>
                <w:rFonts w:ascii="Arial Narrow" w:eastAsiaTheme="majorEastAsia" w:hAnsi="Arial Narrow" w:cstheme="majorBidi" w:hint="eastAsia"/>
                <w:bCs/>
                <w:color w:val="000000"/>
                <w:spacing w:val="4"/>
                <w:w w:val="33"/>
                <w:sz w:val="20"/>
                <w:szCs w:val="20"/>
                <w:shd w:val="solid" w:color="000000" w:fill="000000"/>
                <w:fitText w:val="150" w:id="-130519731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vAlign w:val="center"/>
          </w:tcPr>
          <w:p w14:paraId="458D9415" w14:textId="7A225702"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bCs/>
                <w:color w:val="000000"/>
                <w:spacing w:val="87"/>
                <w:sz w:val="20"/>
                <w:szCs w:val="20"/>
                <w:shd w:val="solid" w:color="000000" w:fill="000000"/>
                <w:fitText w:val="163" w:id="-1305197311"/>
                <w14:textFill>
                  <w14:solidFill>
                    <w14:srgbClr w14:val="000000">
                      <w14:alpha w14:val="100000"/>
                    </w14:srgbClr>
                  </w14:solidFill>
                </w14:textFill>
              </w:rPr>
              <w:t>|</w:t>
            </w:r>
            <w:r w:rsidR="00284C02" w:rsidRPr="009D1C84">
              <w:rPr>
                <w:rFonts w:ascii="Arial Narrow" w:eastAsiaTheme="majorEastAsia" w:hAnsi="Arial Narrow" w:cstheme="majorBidi"/>
                <w:bCs/>
                <w:color w:val="000000"/>
                <w:sz w:val="20"/>
                <w:szCs w:val="20"/>
                <w:shd w:val="solid" w:color="000000" w:fill="000000"/>
                <w:fitText w:val="163" w:id="-1305197311"/>
                <w14:textFill>
                  <w14:solidFill>
                    <w14:srgbClr w14:val="000000">
                      <w14:alpha w14:val="100000"/>
                    </w14:srgbClr>
                  </w14:solidFill>
                </w14:textFill>
              </w:rPr>
              <w:t>|</w:t>
            </w:r>
            <w:r w:rsidR="00E640E7">
              <w:rPr>
                <w:rFonts w:ascii="Arial Narrow" w:eastAsiaTheme="majorEastAsia" w:hAnsi="Arial Narrow" w:cstheme="majorBidi"/>
                <w:bCs/>
                <w:sz w:val="20"/>
                <w:szCs w:val="20"/>
                <w:vertAlign w:val="superscript"/>
              </w:rPr>
              <w:t>1</w:t>
            </w:r>
          </w:p>
        </w:tc>
        <w:tc>
          <w:tcPr>
            <w:tcW w:w="1043" w:type="dxa"/>
            <w:vAlign w:val="center"/>
          </w:tcPr>
          <w:p w14:paraId="6376C75D" w14:textId="481DF194"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hint="eastAsia"/>
                <w:bCs/>
                <w:color w:val="000000"/>
                <w:w w:val="33"/>
                <w:sz w:val="20"/>
                <w:szCs w:val="20"/>
                <w:shd w:val="solid" w:color="000000" w:fill="000000"/>
                <w:fitText w:val="150" w:id="-1305197310"/>
                <w14:textFill>
                  <w14:solidFill>
                    <w14:srgbClr w14:val="000000">
                      <w14:alpha w14:val="100000"/>
                    </w14:srgbClr>
                  </w14:solidFill>
                </w14:textFill>
              </w:rPr>
              <w:t xml:space="preserve">　</w:t>
            </w:r>
            <w:r w:rsidR="00284C02" w:rsidRPr="009D1C84">
              <w:rPr>
                <w:rFonts w:ascii="Arial Narrow" w:eastAsiaTheme="majorEastAsia" w:hAnsi="Arial Narrow" w:cstheme="majorBidi"/>
                <w:bCs/>
                <w:color w:val="000000"/>
                <w:w w:val="33"/>
                <w:sz w:val="20"/>
                <w:szCs w:val="20"/>
                <w:shd w:val="solid" w:color="000000" w:fill="000000"/>
                <w:fitText w:val="150" w:id="-1305197310"/>
                <w14:textFill>
                  <w14:solidFill>
                    <w14:srgbClr w14:val="000000">
                      <w14:alpha w14:val="100000"/>
                    </w14:srgbClr>
                  </w14:solidFill>
                </w14:textFill>
              </w:rPr>
              <w:t>|</w:t>
            </w:r>
            <w:r w:rsidR="00284C02" w:rsidRPr="009D1C84">
              <w:rPr>
                <w:rFonts w:ascii="Arial Narrow" w:eastAsiaTheme="majorEastAsia" w:hAnsi="Arial Narrow" w:cstheme="majorBidi" w:hint="eastAsia"/>
                <w:bCs/>
                <w:color w:val="000000"/>
                <w:spacing w:val="4"/>
                <w:w w:val="33"/>
                <w:sz w:val="20"/>
                <w:szCs w:val="20"/>
                <w:shd w:val="solid" w:color="000000" w:fill="000000"/>
                <w:fitText w:val="150" w:id="-1305197310"/>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r>
      <w:tr w:rsidR="005158F7" w:rsidRPr="00AE3438" w14:paraId="4A99665C" w14:textId="77777777" w:rsidTr="004076EE">
        <w:tc>
          <w:tcPr>
            <w:tcW w:w="2830" w:type="dxa"/>
            <w:vAlign w:val="center"/>
          </w:tcPr>
          <w:p w14:paraId="31392069" w14:textId="77777777" w:rsidR="005158F7" w:rsidRPr="00AE3438" w:rsidRDefault="005158F7" w:rsidP="005158F7">
            <w:pPr>
              <w:keepNext/>
              <w:ind w:left="104"/>
              <w:jc w:val="left"/>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Reduction in RISD scripts</w:t>
            </w:r>
          </w:p>
        </w:tc>
        <w:tc>
          <w:tcPr>
            <w:tcW w:w="1039" w:type="dxa"/>
            <w:vAlign w:val="center"/>
          </w:tcPr>
          <w:p w14:paraId="779D177C" w14:textId="44752E8D"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bCs/>
                <w:color w:val="000000"/>
                <w:spacing w:val="87"/>
                <w:sz w:val="20"/>
                <w:szCs w:val="20"/>
                <w:shd w:val="solid" w:color="000000" w:fill="000000"/>
                <w:fitText w:val="163" w:id="-1305197309"/>
                <w14:textFill>
                  <w14:solidFill>
                    <w14:srgbClr w14:val="000000">
                      <w14:alpha w14:val="100000"/>
                    </w14:srgbClr>
                  </w14:solidFill>
                </w14:textFill>
              </w:rPr>
              <w:t>|</w:t>
            </w:r>
            <w:r w:rsidR="00284C02" w:rsidRPr="009D1C84">
              <w:rPr>
                <w:rFonts w:ascii="Arial Narrow" w:eastAsiaTheme="majorEastAsia" w:hAnsi="Arial Narrow" w:cstheme="majorBidi"/>
                <w:bCs/>
                <w:color w:val="000000"/>
                <w:sz w:val="20"/>
                <w:szCs w:val="20"/>
                <w:shd w:val="solid" w:color="000000" w:fill="000000"/>
                <w:fitText w:val="163" w:id="-1305197309"/>
                <w14:textFill>
                  <w14:solidFill>
                    <w14:srgbClr w14:val="000000">
                      <w14:alpha w14:val="100000"/>
                    </w14:srgbClr>
                  </w14:solidFill>
                </w14:textFill>
              </w:rPr>
              <w:t>|</w:t>
            </w:r>
            <w:r w:rsidR="00E640E7">
              <w:rPr>
                <w:rFonts w:ascii="Arial Narrow" w:eastAsiaTheme="majorEastAsia" w:hAnsi="Arial Narrow" w:cstheme="majorBidi"/>
                <w:bCs/>
                <w:sz w:val="20"/>
                <w:szCs w:val="20"/>
                <w:vertAlign w:val="superscript"/>
              </w:rPr>
              <w:t>1</w:t>
            </w:r>
          </w:p>
        </w:tc>
        <w:tc>
          <w:tcPr>
            <w:tcW w:w="1040" w:type="dxa"/>
            <w:vAlign w:val="center"/>
          </w:tcPr>
          <w:p w14:paraId="609AEADA" w14:textId="0F1BA6C0"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bCs/>
                <w:color w:val="000000"/>
                <w:spacing w:val="75"/>
                <w:sz w:val="20"/>
                <w:szCs w:val="20"/>
                <w:shd w:val="solid" w:color="000000" w:fill="000000"/>
                <w:fitText w:val="151" w:id="-1305197308"/>
                <w14:textFill>
                  <w14:solidFill>
                    <w14:srgbClr w14:val="000000">
                      <w14:alpha w14:val="100000"/>
                    </w14:srgbClr>
                  </w14:solidFill>
                </w14:textFill>
              </w:rPr>
              <w:t>|</w:t>
            </w:r>
            <w:r w:rsidR="00284C02" w:rsidRPr="009D1C84">
              <w:rPr>
                <w:rFonts w:ascii="Arial Narrow" w:eastAsiaTheme="majorEastAsia" w:hAnsi="Arial Narrow" w:cstheme="majorBidi"/>
                <w:bCs/>
                <w:color w:val="000000"/>
                <w:sz w:val="20"/>
                <w:szCs w:val="20"/>
                <w:shd w:val="solid" w:color="000000" w:fill="000000"/>
                <w:fitText w:val="151" w:id="-1305197308"/>
                <w14:textFill>
                  <w14:solidFill>
                    <w14:srgbClr w14:val="000000">
                      <w14:alpha w14:val="100000"/>
                    </w14:srgbClr>
                  </w14:solidFill>
                </w14:textFill>
              </w:rPr>
              <w:t>|</w:t>
            </w:r>
            <w:r w:rsidR="00E640E7">
              <w:rPr>
                <w:rFonts w:ascii="Arial Narrow" w:eastAsiaTheme="majorEastAsia" w:hAnsi="Arial Narrow" w:cstheme="majorBidi"/>
                <w:bCs/>
                <w:sz w:val="20"/>
                <w:szCs w:val="20"/>
                <w:vertAlign w:val="superscript"/>
              </w:rPr>
              <w:t>1</w:t>
            </w:r>
          </w:p>
        </w:tc>
        <w:tc>
          <w:tcPr>
            <w:tcW w:w="1039" w:type="dxa"/>
            <w:vAlign w:val="center"/>
          </w:tcPr>
          <w:p w14:paraId="3230A24F" w14:textId="00F0C36B"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284C02">
              <w:rPr>
                <w:rFonts w:ascii="Arial Narrow" w:eastAsiaTheme="majorEastAsia" w:hAnsi="Arial Narrow" w:cstheme="majorBidi"/>
                <w:bCs/>
                <w:color w:val="000000"/>
                <w:spacing w:val="76"/>
                <w:sz w:val="20"/>
                <w:szCs w:val="20"/>
                <w:shd w:val="solid" w:color="000000" w:fill="000000"/>
                <w:fitText w:val="162" w:id="-1305197307"/>
                <w14:textFill>
                  <w14:solidFill>
                    <w14:srgbClr w14:val="000000">
                      <w14:alpha w14:val="100000"/>
                    </w14:srgbClr>
                  </w14:solidFill>
                </w14:textFill>
              </w:rPr>
              <w:t>|</w:t>
            </w:r>
            <w:r w:rsidR="00284C02" w:rsidRPr="00284C02">
              <w:rPr>
                <w:rFonts w:ascii="Arial Narrow" w:eastAsiaTheme="majorEastAsia" w:hAnsi="Arial Narrow" w:cstheme="majorBidi"/>
                <w:bCs/>
                <w:color w:val="000000"/>
                <w:spacing w:val="1"/>
                <w:sz w:val="20"/>
                <w:szCs w:val="20"/>
                <w:shd w:val="solid" w:color="000000" w:fill="000000"/>
                <w:fitText w:val="162" w:id="-1305197307"/>
                <w14:textFill>
                  <w14:solidFill>
                    <w14:srgbClr w14:val="000000">
                      <w14:alpha w14:val="100000"/>
                    </w14:srgbClr>
                  </w14:solidFill>
                </w14:textFill>
              </w:rPr>
              <w:t>|</w:t>
            </w:r>
            <w:r w:rsidR="00E640E7">
              <w:rPr>
                <w:rFonts w:ascii="Arial Narrow" w:eastAsiaTheme="majorEastAsia" w:hAnsi="Arial Narrow" w:cstheme="majorBidi"/>
                <w:bCs/>
                <w:sz w:val="20"/>
                <w:szCs w:val="20"/>
                <w:vertAlign w:val="superscript"/>
              </w:rPr>
              <w:t>8</w:t>
            </w:r>
          </w:p>
        </w:tc>
        <w:tc>
          <w:tcPr>
            <w:tcW w:w="1040" w:type="dxa"/>
            <w:vAlign w:val="center"/>
          </w:tcPr>
          <w:p w14:paraId="0ECF86DF" w14:textId="1A531831"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hint="eastAsia"/>
                <w:bCs/>
                <w:color w:val="000000"/>
                <w:w w:val="33"/>
                <w:sz w:val="20"/>
                <w:szCs w:val="20"/>
                <w:shd w:val="solid" w:color="000000" w:fill="000000"/>
                <w:fitText w:val="150" w:id="-1305197306"/>
                <w14:textFill>
                  <w14:solidFill>
                    <w14:srgbClr w14:val="000000">
                      <w14:alpha w14:val="100000"/>
                    </w14:srgbClr>
                  </w14:solidFill>
                </w14:textFill>
              </w:rPr>
              <w:t xml:space="preserve">　</w:t>
            </w:r>
            <w:r w:rsidR="00284C02" w:rsidRPr="009D1C84">
              <w:rPr>
                <w:rFonts w:ascii="Arial Narrow" w:eastAsiaTheme="majorEastAsia" w:hAnsi="Arial Narrow" w:cstheme="majorBidi"/>
                <w:bCs/>
                <w:color w:val="000000"/>
                <w:w w:val="33"/>
                <w:sz w:val="20"/>
                <w:szCs w:val="20"/>
                <w:shd w:val="solid" w:color="000000" w:fill="000000"/>
                <w:fitText w:val="150" w:id="-1305197306"/>
                <w14:textFill>
                  <w14:solidFill>
                    <w14:srgbClr w14:val="000000">
                      <w14:alpha w14:val="100000"/>
                    </w14:srgbClr>
                  </w14:solidFill>
                </w14:textFill>
              </w:rPr>
              <w:t>|</w:t>
            </w:r>
            <w:r w:rsidR="00284C02" w:rsidRPr="009D1C84">
              <w:rPr>
                <w:rFonts w:ascii="Arial Narrow" w:eastAsiaTheme="majorEastAsia" w:hAnsi="Arial Narrow" w:cstheme="majorBidi" w:hint="eastAsia"/>
                <w:bCs/>
                <w:color w:val="000000"/>
                <w:spacing w:val="4"/>
                <w:w w:val="33"/>
                <w:sz w:val="20"/>
                <w:szCs w:val="20"/>
                <w:shd w:val="solid" w:color="000000" w:fill="000000"/>
                <w:fitText w:val="150" w:id="-1305197306"/>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8</w:t>
            </w:r>
          </w:p>
        </w:tc>
        <w:tc>
          <w:tcPr>
            <w:tcW w:w="1039" w:type="dxa"/>
            <w:vAlign w:val="center"/>
          </w:tcPr>
          <w:p w14:paraId="4A75C824" w14:textId="208484D5"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bCs/>
                <w:color w:val="000000"/>
                <w:spacing w:val="87"/>
                <w:sz w:val="20"/>
                <w:szCs w:val="20"/>
                <w:shd w:val="solid" w:color="000000" w:fill="000000"/>
                <w:fitText w:val="163" w:id="-1305197305"/>
                <w14:textFill>
                  <w14:solidFill>
                    <w14:srgbClr w14:val="000000">
                      <w14:alpha w14:val="100000"/>
                    </w14:srgbClr>
                  </w14:solidFill>
                </w14:textFill>
              </w:rPr>
              <w:t>|</w:t>
            </w:r>
            <w:r w:rsidR="00284C02" w:rsidRPr="009D1C84">
              <w:rPr>
                <w:rFonts w:ascii="Arial Narrow" w:eastAsiaTheme="majorEastAsia" w:hAnsi="Arial Narrow" w:cstheme="majorBidi"/>
                <w:bCs/>
                <w:color w:val="000000"/>
                <w:sz w:val="20"/>
                <w:szCs w:val="20"/>
                <w:shd w:val="solid" w:color="000000" w:fill="000000"/>
                <w:fitText w:val="163" w:id="-1305197305"/>
                <w14:textFill>
                  <w14:solidFill>
                    <w14:srgbClr w14:val="000000">
                      <w14:alpha w14:val="100000"/>
                    </w14:srgbClr>
                  </w14:solidFill>
                </w14:textFill>
              </w:rPr>
              <w:t>|</w:t>
            </w:r>
            <w:r w:rsidR="00E640E7">
              <w:rPr>
                <w:rFonts w:ascii="Arial Narrow" w:eastAsiaTheme="majorEastAsia" w:hAnsi="Arial Narrow" w:cstheme="majorBidi"/>
                <w:bCs/>
                <w:sz w:val="20"/>
                <w:szCs w:val="20"/>
                <w:vertAlign w:val="superscript"/>
              </w:rPr>
              <w:t>8</w:t>
            </w:r>
          </w:p>
        </w:tc>
        <w:tc>
          <w:tcPr>
            <w:tcW w:w="1043" w:type="dxa"/>
            <w:vAlign w:val="center"/>
          </w:tcPr>
          <w:p w14:paraId="238BF096" w14:textId="2702737E" w:rsidR="005158F7" w:rsidRPr="00A83CA7" w:rsidRDefault="005158F7"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bCs/>
                <w:sz w:val="20"/>
                <w:szCs w:val="20"/>
              </w:rPr>
              <w:t>-</w:t>
            </w:r>
            <w:r w:rsidR="00284C02" w:rsidRPr="009D1C84">
              <w:rPr>
                <w:rFonts w:ascii="Arial Narrow" w:eastAsiaTheme="majorEastAsia" w:hAnsi="Arial Narrow" w:cstheme="majorBidi" w:hint="eastAsia"/>
                <w:bCs/>
                <w:color w:val="000000"/>
                <w:w w:val="33"/>
                <w:sz w:val="20"/>
                <w:szCs w:val="20"/>
                <w:shd w:val="solid" w:color="000000" w:fill="000000"/>
                <w:fitText w:val="150" w:id="-1305197304"/>
                <w14:textFill>
                  <w14:solidFill>
                    <w14:srgbClr w14:val="000000">
                      <w14:alpha w14:val="100000"/>
                    </w14:srgbClr>
                  </w14:solidFill>
                </w14:textFill>
              </w:rPr>
              <w:t xml:space="preserve">　</w:t>
            </w:r>
            <w:r w:rsidR="00284C02" w:rsidRPr="009D1C84">
              <w:rPr>
                <w:rFonts w:ascii="Arial Narrow" w:eastAsiaTheme="majorEastAsia" w:hAnsi="Arial Narrow" w:cstheme="majorBidi"/>
                <w:bCs/>
                <w:color w:val="000000"/>
                <w:w w:val="33"/>
                <w:sz w:val="20"/>
                <w:szCs w:val="20"/>
                <w:shd w:val="solid" w:color="000000" w:fill="000000"/>
                <w:fitText w:val="150" w:id="-1305197304"/>
                <w14:textFill>
                  <w14:solidFill>
                    <w14:srgbClr w14:val="000000">
                      <w14:alpha w14:val="100000"/>
                    </w14:srgbClr>
                  </w14:solidFill>
                </w14:textFill>
              </w:rPr>
              <w:t>|</w:t>
            </w:r>
            <w:r w:rsidR="00284C02" w:rsidRPr="009D1C84">
              <w:rPr>
                <w:rFonts w:ascii="Arial Narrow" w:eastAsiaTheme="majorEastAsia" w:hAnsi="Arial Narrow" w:cstheme="majorBidi" w:hint="eastAsia"/>
                <w:bCs/>
                <w:color w:val="000000"/>
                <w:spacing w:val="4"/>
                <w:w w:val="33"/>
                <w:sz w:val="20"/>
                <w:szCs w:val="20"/>
                <w:shd w:val="solid" w:color="000000" w:fill="000000"/>
                <w:fitText w:val="150" w:id="-1305197304"/>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8</w:t>
            </w:r>
          </w:p>
        </w:tc>
      </w:tr>
      <w:tr w:rsidR="005158F7" w:rsidRPr="00AE3438" w14:paraId="6410A965" w14:textId="77777777" w:rsidTr="004076EE">
        <w:tc>
          <w:tcPr>
            <w:tcW w:w="2830" w:type="dxa"/>
            <w:vAlign w:val="center"/>
          </w:tcPr>
          <w:p w14:paraId="79F8B647" w14:textId="77777777" w:rsidR="005158F7" w:rsidRPr="00AE3438" w:rsidRDefault="005158F7" w:rsidP="005158F7">
            <w:pPr>
              <w:keepNext/>
              <w:ind w:left="104"/>
              <w:jc w:val="left"/>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Increase in prednisolone</w:t>
            </w:r>
          </w:p>
        </w:tc>
        <w:tc>
          <w:tcPr>
            <w:tcW w:w="1039" w:type="dxa"/>
            <w:vAlign w:val="center"/>
          </w:tcPr>
          <w:p w14:paraId="5575C059" w14:textId="140C73A3"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3"/>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3"/>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3"/>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vAlign w:val="center"/>
          </w:tcPr>
          <w:p w14:paraId="2160E83B" w14:textId="712B34B2" w:rsidR="005158F7" w:rsidRPr="00A83CA7" w:rsidRDefault="00284C02" w:rsidP="005158F7">
            <w:pPr>
              <w:keepNext/>
              <w:jc w:val="center"/>
              <w:rPr>
                <w:rFonts w:ascii="Arial Narrow" w:eastAsiaTheme="majorEastAsia" w:hAnsi="Arial Narrow" w:cstheme="majorBidi"/>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302"/>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302"/>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30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vAlign w:val="center"/>
          </w:tcPr>
          <w:p w14:paraId="1DB9E75E" w14:textId="1688CE48"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1"/>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1"/>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1"/>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0" w:type="dxa"/>
            <w:vAlign w:val="center"/>
          </w:tcPr>
          <w:p w14:paraId="7FEDC302" w14:textId="7662A8EF"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00"/>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00"/>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00"/>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39" w:type="dxa"/>
            <w:vAlign w:val="center"/>
          </w:tcPr>
          <w:p w14:paraId="5F5F16F7" w14:textId="37069DFA"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299"/>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299"/>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299"/>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c>
          <w:tcPr>
            <w:tcW w:w="1043" w:type="dxa"/>
            <w:vAlign w:val="center"/>
          </w:tcPr>
          <w:p w14:paraId="5E00E9A8" w14:textId="193989B9"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298"/>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298"/>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298"/>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1</w:t>
            </w:r>
          </w:p>
        </w:tc>
      </w:tr>
      <w:tr w:rsidR="005158F7" w:rsidRPr="00AE3438" w14:paraId="4FBA8165" w14:textId="77777777" w:rsidTr="004076EE">
        <w:tc>
          <w:tcPr>
            <w:tcW w:w="2830" w:type="dxa"/>
            <w:vAlign w:val="center"/>
          </w:tcPr>
          <w:p w14:paraId="6E3F7FF3" w14:textId="77777777" w:rsidR="005158F7" w:rsidRPr="00AE3438" w:rsidRDefault="005158F7" w:rsidP="005158F7">
            <w:pPr>
              <w:keepNext/>
              <w:ind w:left="-38"/>
              <w:jc w:val="left"/>
              <w:rPr>
                <w:rFonts w:ascii="Arial Narrow" w:eastAsiaTheme="majorEastAsia" w:hAnsi="Arial Narrow" w:cstheme="majorBidi"/>
                <w:bCs/>
                <w:sz w:val="20"/>
                <w:szCs w:val="20"/>
              </w:rPr>
            </w:pPr>
            <w:r w:rsidRPr="00AE3438">
              <w:rPr>
                <w:rFonts w:ascii="Arial Narrow" w:eastAsiaTheme="majorEastAsia" w:hAnsi="Arial Narrow" w:cstheme="majorBidi"/>
                <w:bCs/>
                <w:sz w:val="20"/>
                <w:szCs w:val="20"/>
              </w:rPr>
              <w:t>Total cost offset to PBS/RPBS</w:t>
            </w:r>
          </w:p>
        </w:tc>
        <w:tc>
          <w:tcPr>
            <w:tcW w:w="1039" w:type="dxa"/>
            <w:vAlign w:val="center"/>
          </w:tcPr>
          <w:p w14:paraId="151C7B93" w14:textId="12F478F1"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297"/>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297"/>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297"/>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c>
          <w:tcPr>
            <w:tcW w:w="1040" w:type="dxa"/>
            <w:vAlign w:val="center"/>
          </w:tcPr>
          <w:p w14:paraId="00BD7845" w14:textId="66BD7048" w:rsidR="005158F7" w:rsidRPr="00A83CA7" w:rsidRDefault="00284C02" w:rsidP="005158F7">
            <w:pPr>
              <w:keepNext/>
              <w:jc w:val="center"/>
              <w:rPr>
                <w:rFonts w:ascii="Arial Narrow" w:eastAsiaTheme="majorEastAsia" w:hAnsi="Arial Narrow" w:cstheme="majorBidi"/>
                <w:bCs/>
                <w:sz w:val="20"/>
                <w:szCs w:val="20"/>
                <w:highlight w:val="darkGray"/>
              </w:rPr>
            </w:pPr>
            <w:r w:rsidRPr="009D1C84">
              <w:rPr>
                <w:rFonts w:ascii="Arial Narrow" w:eastAsiaTheme="majorEastAsia" w:hAnsi="Arial Narrow" w:cstheme="majorBidi" w:hint="eastAsia"/>
                <w:bCs/>
                <w:color w:val="000000"/>
                <w:w w:val="28"/>
                <w:sz w:val="20"/>
                <w:szCs w:val="20"/>
                <w:shd w:val="solid" w:color="000000" w:fill="000000"/>
                <w:fitText w:val="126" w:id="-1305197296"/>
                <w14:textFill>
                  <w14:solidFill>
                    <w14:srgbClr w14:val="000000">
                      <w14:alpha w14:val="100000"/>
                    </w14:srgbClr>
                  </w14:solidFill>
                </w14:textFill>
              </w:rPr>
              <w:t xml:space="preserve">　</w:t>
            </w:r>
            <w:r w:rsidRPr="009D1C84">
              <w:rPr>
                <w:rFonts w:ascii="Arial Narrow" w:eastAsiaTheme="majorEastAsia" w:hAnsi="Arial Narrow" w:cstheme="majorBidi"/>
                <w:bCs/>
                <w:color w:val="000000"/>
                <w:w w:val="28"/>
                <w:sz w:val="20"/>
                <w:szCs w:val="20"/>
                <w:shd w:val="solid" w:color="000000" w:fill="000000"/>
                <w:fitText w:val="126" w:id="-1305197296"/>
                <w14:textFill>
                  <w14:solidFill>
                    <w14:srgbClr w14:val="000000">
                      <w14:alpha w14:val="100000"/>
                    </w14:srgbClr>
                  </w14:solidFill>
                </w14:textFill>
              </w:rPr>
              <w:t>|</w:t>
            </w:r>
            <w:r w:rsidRPr="009D1C84">
              <w:rPr>
                <w:rFonts w:ascii="Arial Narrow" w:eastAsiaTheme="majorEastAsia" w:hAnsi="Arial Narrow" w:cstheme="majorBidi" w:hint="eastAsia"/>
                <w:bCs/>
                <w:color w:val="000000"/>
                <w:spacing w:val="12"/>
                <w:w w:val="28"/>
                <w:sz w:val="20"/>
                <w:szCs w:val="20"/>
                <w:shd w:val="solid" w:color="000000" w:fill="000000"/>
                <w:fitText w:val="126" w:id="-1305197296"/>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c>
          <w:tcPr>
            <w:tcW w:w="1039" w:type="dxa"/>
            <w:vAlign w:val="center"/>
          </w:tcPr>
          <w:p w14:paraId="7FBB9593" w14:textId="4CDB360D"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12"/>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12"/>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1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c>
          <w:tcPr>
            <w:tcW w:w="1040" w:type="dxa"/>
            <w:vAlign w:val="center"/>
          </w:tcPr>
          <w:p w14:paraId="5A66368B" w14:textId="558A2BEB"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11"/>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11"/>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11"/>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c>
          <w:tcPr>
            <w:tcW w:w="1039" w:type="dxa"/>
            <w:vAlign w:val="center"/>
          </w:tcPr>
          <w:p w14:paraId="1E47478B" w14:textId="2B3A7163" w:rsidR="005158F7" w:rsidRPr="00A83CA7" w:rsidRDefault="00284C02" w:rsidP="005158F7">
            <w:pPr>
              <w:keepNext/>
              <w:jc w:val="center"/>
              <w:rPr>
                <w:rFonts w:ascii="Arial Narrow" w:eastAsiaTheme="majorEastAsia" w:hAnsi="Arial Narrow" w:cstheme="majorBidi"/>
                <w:bCs/>
                <w:sz w:val="20"/>
                <w:szCs w:val="20"/>
                <w:highlight w:val="darkGray"/>
              </w:rPr>
            </w:pPr>
            <w:r w:rsidRPr="00284C02">
              <w:rPr>
                <w:rFonts w:ascii="Arial Narrow" w:eastAsiaTheme="majorEastAsia" w:hAnsi="Arial Narrow" w:cstheme="majorBidi" w:hint="eastAsia"/>
                <w:bCs/>
                <w:color w:val="000000"/>
                <w:w w:val="28"/>
                <w:sz w:val="20"/>
                <w:szCs w:val="20"/>
                <w:shd w:val="solid" w:color="000000" w:fill="000000"/>
                <w:fitText w:val="125" w:id="-1305197310"/>
                <w14:textFill>
                  <w14:solidFill>
                    <w14:srgbClr w14:val="000000">
                      <w14:alpha w14:val="100000"/>
                    </w14:srgbClr>
                  </w14:solidFill>
                </w14:textFill>
              </w:rPr>
              <w:t xml:space="preserve">　</w:t>
            </w:r>
            <w:r w:rsidRPr="00284C02">
              <w:rPr>
                <w:rFonts w:ascii="Arial Narrow" w:eastAsiaTheme="majorEastAsia" w:hAnsi="Arial Narrow" w:cstheme="majorBidi"/>
                <w:bCs/>
                <w:color w:val="000000"/>
                <w:w w:val="28"/>
                <w:sz w:val="20"/>
                <w:szCs w:val="20"/>
                <w:shd w:val="solid" w:color="000000" w:fill="000000"/>
                <w:fitText w:val="125" w:id="-1305197310"/>
                <w14:textFill>
                  <w14:solidFill>
                    <w14:srgbClr w14:val="000000">
                      <w14:alpha w14:val="100000"/>
                    </w14:srgbClr>
                  </w14:solidFill>
                </w14:textFill>
              </w:rPr>
              <w:t>|</w:t>
            </w:r>
            <w:r w:rsidRPr="00284C02">
              <w:rPr>
                <w:rFonts w:ascii="Arial Narrow" w:eastAsiaTheme="majorEastAsia" w:hAnsi="Arial Narrow" w:cstheme="majorBidi" w:hint="eastAsia"/>
                <w:bCs/>
                <w:color w:val="000000"/>
                <w:spacing w:val="3"/>
                <w:w w:val="28"/>
                <w:sz w:val="20"/>
                <w:szCs w:val="20"/>
                <w:shd w:val="solid" w:color="000000" w:fill="000000"/>
                <w:fitText w:val="125" w:id="-1305197310"/>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c>
          <w:tcPr>
            <w:tcW w:w="1043" w:type="dxa"/>
            <w:vAlign w:val="center"/>
          </w:tcPr>
          <w:p w14:paraId="2F905931" w14:textId="4D647D8A" w:rsidR="005158F7" w:rsidRPr="00A83CA7" w:rsidRDefault="005158F7" w:rsidP="005158F7">
            <w:pPr>
              <w:keepNext/>
              <w:jc w:val="center"/>
              <w:rPr>
                <w:rFonts w:ascii="Arial Narrow" w:eastAsiaTheme="majorEastAsia" w:hAnsi="Arial Narrow" w:cstheme="majorBidi"/>
                <w:bCs/>
                <w:sz w:val="20"/>
                <w:szCs w:val="20"/>
                <w:highlight w:val="darkGray"/>
              </w:rPr>
            </w:pPr>
            <w:r w:rsidRPr="00A83CA7">
              <w:rPr>
                <w:rFonts w:ascii="Arial Narrow" w:eastAsiaTheme="majorEastAsia" w:hAnsi="Arial Narrow" w:cstheme="majorBidi"/>
                <w:bCs/>
                <w:sz w:val="20"/>
                <w:szCs w:val="20"/>
                <w:highlight w:val="darkGray"/>
              </w:rPr>
              <w:t>-</w:t>
            </w:r>
            <w:r w:rsidR="00284C02" w:rsidRPr="009D1C84">
              <w:rPr>
                <w:rFonts w:ascii="Arial Narrow" w:eastAsiaTheme="majorEastAsia" w:hAnsi="Arial Narrow" w:cstheme="majorBidi" w:hint="eastAsia"/>
                <w:bCs/>
                <w:color w:val="000000"/>
                <w:w w:val="33"/>
                <w:sz w:val="20"/>
                <w:szCs w:val="20"/>
                <w:shd w:val="solid" w:color="000000" w:fill="000000"/>
                <w:fitText w:val="150" w:id="-1305197309"/>
                <w14:textFill>
                  <w14:solidFill>
                    <w14:srgbClr w14:val="000000">
                      <w14:alpha w14:val="100000"/>
                    </w14:srgbClr>
                  </w14:solidFill>
                </w14:textFill>
              </w:rPr>
              <w:t xml:space="preserve">　</w:t>
            </w:r>
            <w:r w:rsidR="00284C02" w:rsidRPr="009D1C84">
              <w:rPr>
                <w:rFonts w:ascii="Arial Narrow" w:eastAsiaTheme="majorEastAsia" w:hAnsi="Arial Narrow" w:cstheme="majorBidi"/>
                <w:bCs/>
                <w:color w:val="000000"/>
                <w:w w:val="33"/>
                <w:sz w:val="20"/>
                <w:szCs w:val="20"/>
                <w:shd w:val="solid" w:color="000000" w:fill="000000"/>
                <w:fitText w:val="150" w:id="-1305197309"/>
                <w14:textFill>
                  <w14:solidFill>
                    <w14:srgbClr w14:val="000000">
                      <w14:alpha w14:val="100000"/>
                    </w14:srgbClr>
                  </w14:solidFill>
                </w14:textFill>
              </w:rPr>
              <w:t>|</w:t>
            </w:r>
            <w:r w:rsidR="00284C02" w:rsidRPr="009D1C84">
              <w:rPr>
                <w:rFonts w:ascii="Arial Narrow" w:eastAsiaTheme="majorEastAsia" w:hAnsi="Arial Narrow" w:cstheme="majorBidi" w:hint="eastAsia"/>
                <w:bCs/>
                <w:color w:val="000000"/>
                <w:spacing w:val="4"/>
                <w:w w:val="33"/>
                <w:sz w:val="20"/>
                <w:szCs w:val="20"/>
                <w:shd w:val="solid" w:color="000000" w:fill="000000"/>
                <w:fitText w:val="150" w:id="-1305197309"/>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r>
      <w:tr w:rsidR="005158F7" w:rsidRPr="00AE3438" w14:paraId="25CA634C" w14:textId="77777777" w:rsidTr="005158F7">
        <w:trPr>
          <w:trHeight w:val="299"/>
        </w:trPr>
        <w:tc>
          <w:tcPr>
            <w:tcW w:w="9070" w:type="dxa"/>
            <w:gridSpan w:val="7"/>
            <w:vAlign w:val="center"/>
          </w:tcPr>
          <w:p w14:paraId="4102DC4E" w14:textId="77777777" w:rsidR="005158F7" w:rsidRPr="00AE3438" w:rsidRDefault="005158F7" w:rsidP="005158F7">
            <w:pPr>
              <w:keepNext/>
              <w:jc w:val="left"/>
              <w:rPr>
                <w:rFonts w:ascii="Arial Narrow" w:eastAsiaTheme="majorEastAsia" w:hAnsi="Arial Narrow" w:cstheme="majorBidi"/>
                <w:bCs/>
                <w:sz w:val="20"/>
                <w:szCs w:val="20"/>
              </w:rPr>
            </w:pPr>
            <w:r w:rsidRPr="00AE3438">
              <w:rPr>
                <w:rFonts w:ascii="Arial Narrow" w:eastAsiaTheme="majorEastAsia" w:hAnsi="Arial Narrow" w:cstheme="majorBidi"/>
                <w:b/>
                <w:bCs/>
                <w:sz w:val="20"/>
                <w:szCs w:val="20"/>
              </w:rPr>
              <w:t>Estimated financial implications for the PBS/RPBS and the health budget</w:t>
            </w:r>
          </w:p>
        </w:tc>
      </w:tr>
      <w:tr w:rsidR="005158F7" w:rsidRPr="00AE3438" w14:paraId="0A125DD6" w14:textId="77777777" w:rsidTr="004076EE">
        <w:tc>
          <w:tcPr>
            <w:tcW w:w="2830" w:type="dxa"/>
            <w:vAlign w:val="center"/>
          </w:tcPr>
          <w:p w14:paraId="1903DBA1" w14:textId="77777777" w:rsidR="005158F7" w:rsidRPr="00AE3438" w:rsidRDefault="005158F7" w:rsidP="005158F7">
            <w:pPr>
              <w:keepNext/>
              <w:jc w:val="left"/>
              <w:rPr>
                <w:rFonts w:ascii="Arial Narrow" w:eastAsiaTheme="majorEastAsia" w:hAnsi="Arial Narrow" w:cstheme="majorBidi"/>
                <w:b/>
                <w:sz w:val="20"/>
                <w:szCs w:val="20"/>
              </w:rPr>
            </w:pPr>
            <w:r w:rsidRPr="00AE3438">
              <w:rPr>
                <w:rFonts w:ascii="Arial Narrow" w:eastAsiaTheme="majorEastAsia" w:hAnsi="Arial Narrow" w:cstheme="majorBidi"/>
                <w:b/>
                <w:sz w:val="20"/>
                <w:szCs w:val="20"/>
              </w:rPr>
              <w:t>Net cost PBS/RPBS (net cost offsets)</w:t>
            </w:r>
          </w:p>
        </w:tc>
        <w:tc>
          <w:tcPr>
            <w:tcW w:w="1039" w:type="dxa"/>
          </w:tcPr>
          <w:p w14:paraId="440D7FD0" w14:textId="6B62DBE7" w:rsidR="005158F7" w:rsidRPr="00A83CA7" w:rsidRDefault="00284C02" w:rsidP="005158F7">
            <w:pPr>
              <w:jc w:val="center"/>
              <w:rPr>
                <w:rFonts w:ascii="Arial Narrow" w:hAnsi="Arial Narrow" w:cs="Times New Roman"/>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08"/>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08"/>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08"/>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3</w:t>
            </w:r>
          </w:p>
        </w:tc>
        <w:tc>
          <w:tcPr>
            <w:tcW w:w="1040" w:type="dxa"/>
          </w:tcPr>
          <w:p w14:paraId="54ED1D9C" w14:textId="5D9821BB" w:rsidR="005158F7" w:rsidRPr="00A83CA7" w:rsidRDefault="00284C02" w:rsidP="005158F7">
            <w:pPr>
              <w:jc w:val="center"/>
              <w:rPr>
                <w:rFonts w:ascii="Arial Narrow" w:hAnsi="Arial Narrow" w:cs="Times New Roman"/>
                <w:snapToGrid w:val="0"/>
                <w:sz w:val="20"/>
                <w:szCs w:val="20"/>
                <w:highlight w:val="darkGray"/>
              </w:rPr>
            </w:pPr>
            <w:r w:rsidRPr="009D1C84">
              <w:rPr>
                <w:rFonts w:ascii="Arial Narrow" w:hAnsi="Arial Narrow" w:cs="Times New Roman" w:hint="eastAsia"/>
                <w:snapToGrid w:val="0"/>
                <w:color w:val="000000"/>
                <w:w w:val="28"/>
                <w:sz w:val="20"/>
                <w:szCs w:val="20"/>
                <w:shd w:val="solid" w:color="000000" w:fill="000000"/>
                <w:fitText w:val="126" w:id="-1305197307"/>
                <w14:textFill>
                  <w14:solidFill>
                    <w14:srgbClr w14:val="000000">
                      <w14:alpha w14:val="100000"/>
                    </w14:srgbClr>
                  </w14:solidFill>
                </w14:textFill>
              </w:rPr>
              <w:t xml:space="preserve">　</w:t>
            </w:r>
            <w:r w:rsidRPr="009D1C84">
              <w:rPr>
                <w:rFonts w:ascii="Arial Narrow" w:hAnsi="Arial Narrow" w:cs="Times New Roman"/>
                <w:snapToGrid w:val="0"/>
                <w:color w:val="000000"/>
                <w:w w:val="28"/>
                <w:sz w:val="20"/>
                <w:szCs w:val="20"/>
                <w:shd w:val="solid" w:color="000000" w:fill="000000"/>
                <w:fitText w:val="126" w:id="-1305197307"/>
                <w14:textFill>
                  <w14:solidFill>
                    <w14:srgbClr w14:val="000000">
                      <w14:alpha w14:val="100000"/>
                    </w14:srgbClr>
                  </w14:solidFill>
                </w14:textFill>
              </w:rPr>
              <w:t>|</w:t>
            </w:r>
            <w:r w:rsidRPr="009D1C84">
              <w:rPr>
                <w:rFonts w:ascii="Arial Narrow" w:hAnsi="Arial Narrow" w:cs="Times New Roman" w:hint="eastAsia"/>
                <w:snapToGrid w:val="0"/>
                <w:color w:val="000000"/>
                <w:spacing w:val="12"/>
                <w:w w:val="28"/>
                <w:sz w:val="20"/>
                <w:szCs w:val="20"/>
                <w:shd w:val="solid" w:color="000000" w:fill="000000"/>
                <w:fitText w:val="126" w:id="-1305197307"/>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5</w:t>
            </w:r>
          </w:p>
        </w:tc>
        <w:tc>
          <w:tcPr>
            <w:tcW w:w="1039" w:type="dxa"/>
          </w:tcPr>
          <w:p w14:paraId="2795DBB7" w14:textId="089E5EB9" w:rsidR="005158F7" w:rsidRPr="00A83CA7" w:rsidRDefault="00284C02" w:rsidP="005158F7">
            <w:pPr>
              <w:jc w:val="center"/>
              <w:rPr>
                <w:rFonts w:ascii="Arial Narrow" w:hAnsi="Arial Narrow" w:cs="Times New Roman"/>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06"/>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06"/>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06"/>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5</w:t>
            </w:r>
          </w:p>
        </w:tc>
        <w:tc>
          <w:tcPr>
            <w:tcW w:w="1040" w:type="dxa"/>
          </w:tcPr>
          <w:p w14:paraId="3B1AC07D" w14:textId="61FAFFFE" w:rsidR="005158F7" w:rsidRPr="00A83CA7" w:rsidRDefault="00284C02" w:rsidP="005158F7">
            <w:pPr>
              <w:jc w:val="center"/>
              <w:rPr>
                <w:rFonts w:ascii="Arial Narrow" w:hAnsi="Arial Narrow" w:cs="Times New Roman"/>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05"/>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05"/>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05"/>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5</w:t>
            </w:r>
          </w:p>
        </w:tc>
        <w:tc>
          <w:tcPr>
            <w:tcW w:w="1039" w:type="dxa"/>
          </w:tcPr>
          <w:p w14:paraId="0C57606B" w14:textId="5B2BB12A" w:rsidR="005158F7" w:rsidRPr="00A83CA7" w:rsidRDefault="00284C02" w:rsidP="005158F7">
            <w:pPr>
              <w:jc w:val="center"/>
              <w:rPr>
                <w:rFonts w:ascii="Arial Narrow" w:hAnsi="Arial Narrow" w:cs="Times New Roman"/>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04"/>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04"/>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04"/>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6</w:t>
            </w:r>
          </w:p>
        </w:tc>
        <w:tc>
          <w:tcPr>
            <w:tcW w:w="1043" w:type="dxa"/>
          </w:tcPr>
          <w:p w14:paraId="0F1A96A8" w14:textId="3BCF0A4D" w:rsidR="005158F7" w:rsidRPr="00A83CA7" w:rsidRDefault="00284C02" w:rsidP="005158F7">
            <w:pPr>
              <w:jc w:val="center"/>
              <w:rPr>
                <w:rFonts w:ascii="Arial Narrow" w:hAnsi="Arial Narrow" w:cs="Times New Roman"/>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03"/>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03"/>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03"/>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6</w:t>
            </w:r>
          </w:p>
        </w:tc>
      </w:tr>
      <w:tr w:rsidR="005158F7" w:rsidRPr="00AE3438" w14:paraId="16079B7B" w14:textId="77777777" w:rsidTr="004076EE">
        <w:tc>
          <w:tcPr>
            <w:tcW w:w="2830" w:type="dxa"/>
            <w:vAlign w:val="center"/>
          </w:tcPr>
          <w:p w14:paraId="69F5BCC7" w14:textId="77777777" w:rsidR="005158F7" w:rsidRPr="00AE3438" w:rsidRDefault="005158F7" w:rsidP="005158F7">
            <w:pPr>
              <w:keepNext/>
              <w:jc w:val="left"/>
              <w:rPr>
                <w:rFonts w:ascii="Arial Narrow" w:eastAsiaTheme="majorEastAsia" w:hAnsi="Arial Narrow" w:cstheme="majorBidi"/>
                <w:b/>
                <w:sz w:val="20"/>
                <w:szCs w:val="20"/>
              </w:rPr>
            </w:pPr>
            <w:r w:rsidRPr="00AE3438">
              <w:rPr>
                <w:rFonts w:ascii="Arial Narrow" w:eastAsiaTheme="majorEastAsia" w:hAnsi="Arial Narrow" w:cstheme="majorBidi"/>
                <w:b/>
                <w:sz w:val="20"/>
                <w:szCs w:val="20"/>
              </w:rPr>
              <w:t>Net cost to MBS</w:t>
            </w:r>
          </w:p>
        </w:tc>
        <w:tc>
          <w:tcPr>
            <w:tcW w:w="1039" w:type="dxa"/>
          </w:tcPr>
          <w:p w14:paraId="13581342" w14:textId="3429B9F0"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02"/>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02"/>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0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7</w:t>
            </w:r>
          </w:p>
        </w:tc>
        <w:tc>
          <w:tcPr>
            <w:tcW w:w="1040" w:type="dxa"/>
          </w:tcPr>
          <w:p w14:paraId="34E79335" w14:textId="31E7E27E" w:rsidR="005158F7" w:rsidRPr="00A83CA7" w:rsidRDefault="00284C02" w:rsidP="005158F7">
            <w:pPr>
              <w:jc w:val="center"/>
              <w:rPr>
                <w:rFonts w:ascii="Arial Narrow" w:hAnsi="Arial Narrow" w:cs="Times New Roman"/>
                <w:b/>
                <w:snapToGrid w:val="0"/>
                <w:sz w:val="20"/>
                <w:szCs w:val="20"/>
                <w:highlight w:val="darkGray"/>
              </w:rPr>
            </w:pPr>
            <w:r w:rsidRPr="009D1C84">
              <w:rPr>
                <w:rFonts w:ascii="Arial Narrow" w:hAnsi="Arial Narrow" w:cs="Times New Roman" w:hint="eastAsia"/>
                <w:snapToGrid w:val="0"/>
                <w:color w:val="000000"/>
                <w:w w:val="28"/>
                <w:sz w:val="20"/>
                <w:szCs w:val="20"/>
                <w:shd w:val="solid" w:color="000000" w:fill="000000"/>
                <w:fitText w:val="126" w:id="-1305197301"/>
                <w14:textFill>
                  <w14:solidFill>
                    <w14:srgbClr w14:val="000000">
                      <w14:alpha w14:val="100000"/>
                    </w14:srgbClr>
                  </w14:solidFill>
                </w14:textFill>
              </w:rPr>
              <w:t xml:space="preserve">　</w:t>
            </w:r>
            <w:r w:rsidRPr="009D1C84">
              <w:rPr>
                <w:rFonts w:ascii="Arial Narrow" w:hAnsi="Arial Narrow" w:cs="Times New Roman"/>
                <w:snapToGrid w:val="0"/>
                <w:color w:val="000000"/>
                <w:w w:val="28"/>
                <w:sz w:val="20"/>
                <w:szCs w:val="20"/>
                <w:shd w:val="solid" w:color="000000" w:fill="000000"/>
                <w:fitText w:val="126" w:id="-1305197301"/>
                <w14:textFill>
                  <w14:solidFill>
                    <w14:srgbClr w14:val="000000">
                      <w14:alpha w14:val="100000"/>
                    </w14:srgbClr>
                  </w14:solidFill>
                </w14:textFill>
              </w:rPr>
              <w:t>|</w:t>
            </w:r>
            <w:r w:rsidRPr="009D1C84">
              <w:rPr>
                <w:rFonts w:ascii="Arial Narrow" w:hAnsi="Arial Narrow" w:cs="Times New Roman" w:hint="eastAsia"/>
                <w:snapToGrid w:val="0"/>
                <w:color w:val="000000"/>
                <w:spacing w:val="12"/>
                <w:w w:val="28"/>
                <w:sz w:val="20"/>
                <w:szCs w:val="20"/>
                <w:shd w:val="solid" w:color="000000" w:fill="000000"/>
                <w:fitText w:val="126" w:id="-1305197301"/>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c>
          <w:tcPr>
            <w:tcW w:w="1039" w:type="dxa"/>
          </w:tcPr>
          <w:p w14:paraId="330735FE" w14:textId="1F368BD4"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00"/>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00"/>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00"/>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c>
          <w:tcPr>
            <w:tcW w:w="1040" w:type="dxa"/>
          </w:tcPr>
          <w:p w14:paraId="36AF0DAB" w14:textId="27B3390D"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299"/>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299"/>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299"/>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c>
          <w:tcPr>
            <w:tcW w:w="1039" w:type="dxa"/>
          </w:tcPr>
          <w:p w14:paraId="74AC1C07" w14:textId="56356599"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298"/>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298"/>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298"/>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c>
          <w:tcPr>
            <w:tcW w:w="1043" w:type="dxa"/>
          </w:tcPr>
          <w:p w14:paraId="09BC409E" w14:textId="10474E54"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297"/>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297"/>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297"/>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4</w:t>
            </w:r>
          </w:p>
        </w:tc>
      </w:tr>
      <w:tr w:rsidR="005158F7" w:rsidRPr="00AE3438" w14:paraId="6C534FDA" w14:textId="77777777" w:rsidTr="004076EE">
        <w:tc>
          <w:tcPr>
            <w:tcW w:w="2830" w:type="dxa"/>
            <w:vAlign w:val="center"/>
          </w:tcPr>
          <w:p w14:paraId="3CE48C5C" w14:textId="77777777" w:rsidR="005158F7" w:rsidRPr="00AE3438" w:rsidRDefault="005158F7" w:rsidP="005158F7">
            <w:pPr>
              <w:keepNext/>
              <w:jc w:val="left"/>
              <w:rPr>
                <w:rFonts w:ascii="Arial Narrow" w:eastAsiaTheme="majorEastAsia" w:hAnsi="Arial Narrow" w:cstheme="majorBidi"/>
                <w:b/>
                <w:sz w:val="20"/>
                <w:szCs w:val="20"/>
              </w:rPr>
            </w:pPr>
            <w:r w:rsidRPr="00AE3438">
              <w:rPr>
                <w:rFonts w:ascii="Arial Narrow" w:eastAsiaTheme="majorEastAsia" w:hAnsi="Arial Narrow" w:cstheme="majorBidi"/>
                <w:b/>
                <w:sz w:val="20"/>
                <w:szCs w:val="20"/>
              </w:rPr>
              <w:t>Net change to government budget</w:t>
            </w:r>
          </w:p>
        </w:tc>
        <w:tc>
          <w:tcPr>
            <w:tcW w:w="1039" w:type="dxa"/>
          </w:tcPr>
          <w:p w14:paraId="26E9749F" w14:textId="52FB37E6"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296"/>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296"/>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296"/>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3</w:t>
            </w:r>
          </w:p>
        </w:tc>
        <w:tc>
          <w:tcPr>
            <w:tcW w:w="1040" w:type="dxa"/>
          </w:tcPr>
          <w:p w14:paraId="652BD160" w14:textId="05826FC7" w:rsidR="005158F7" w:rsidRPr="00A83CA7" w:rsidRDefault="00284C02" w:rsidP="005158F7">
            <w:pPr>
              <w:jc w:val="center"/>
              <w:rPr>
                <w:rFonts w:ascii="Arial Narrow" w:hAnsi="Arial Narrow" w:cs="Times New Roman"/>
                <w:b/>
                <w:snapToGrid w:val="0"/>
                <w:sz w:val="20"/>
                <w:szCs w:val="20"/>
                <w:highlight w:val="darkGray"/>
              </w:rPr>
            </w:pPr>
            <w:r w:rsidRPr="009D1C84">
              <w:rPr>
                <w:rFonts w:ascii="Arial Narrow" w:hAnsi="Arial Narrow" w:cs="Times New Roman" w:hint="eastAsia"/>
                <w:snapToGrid w:val="0"/>
                <w:color w:val="000000"/>
                <w:w w:val="28"/>
                <w:sz w:val="20"/>
                <w:szCs w:val="20"/>
                <w:shd w:val="solid" w:color="000000" w:fill="000000"/>
                <w:fitText w:val="126" w:id="-1305197312"/>
                <w14:textFill>
                  <w14:solidFill>
                    <w14:srgbClr w14:val="000000">
                      <w14:alpha w14:val="100000"/>
                    </w14:srgbClr>
                  </w14:solidFill>
                </w14:textFill>
              </w:rPr>
              <w:t xml:space="preserve">　</w:t>
            </w:r>
            <w:r w:rsidRPr="009D1C84">
              <w:rPr>
                <w:rFonts w:ascii="Arial Narrow" w:hAnsi="Arial Narrow" w:cs="Times New Roman"/>
                <w:snapToGrid w:val="0"/>
                <w:color w:val="000000"/>
                <w:w w:val="28"/>
                <w:sz w:val="20"/>
                <w:szCs w:val="20"/>
                <w:shd w:val="solid" w:color="000000" w:fill="000000"/>
                <w:fitText w:val="126" w:id="-1305197312"/>
                <w14:textFill>
                  <w14:solidFill>
                    <w14:srgbClr w14:val="000000">
                      <w14:alpha w14:val="100000"/>
                    </w14:srgbClr>
                  </w14:solidFill>
                </w14:textFill>
              </w:rPr>
              <w:t>|</w:t>
            </w:r>
            <w:r w:rsidRPr="009D1C84">
              <w:rPr>
                <w:rFonts w:ascii="Arial Narrow" w:hAnsi="Arial Narrow" w:cs="Times New Roman" w:hint="eastAsia"/>
                <w:snapToGrid w:val="0"/>
                <w:color w:val="000000"/>
                <w:spacing w:val="12"/>
                <w:w w:val="28"/>
                <w:sz w:val="20"/>
                <w:szCs w:val="20"/>
                <w:shd w:val="solid" w:color="000000" w:fill="000000"/>
                <w:fitText w:val="126" w:id="-1305197312"/>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5</w:t>
            </w:r>
          </w:p>
        </w:tc>
        <w:tc>
          <w:tcPr>
            <w:tcW w:w="1039" w:type="dxa"/>
          </w:tcPr>
          <w:p w14:paraId="5D0C3301" w14:textId="63BDEF2A"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11"/>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11"/>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11"/>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5</w:t>
            </w:r>
          </w:p>
        </w:tc>
        <w:tc>
          <w:tcPr>
            <w:tcW w:w="1040" w:type="dxa"/>
          </w:tcPr>
          <w:p w14:paraId="380D931E" w14:textId="06FE1227"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10"/>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10"/>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10"/>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5</w:t>
            </w:r>
          </w:p>
        </w:tc>
        <w:tc>
          <w:tcPr>
            <w:tcW w:w="1039" w:type="dxa"/>
          </w:tcPr>
          <w:p w14:paraId="7BD1B2FF" w14:textId="21B3CB42"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09"/>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09"/>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09"/>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6</w:t>
            </w:r>
          </w:p>
        </w:tc>
        <w:tc>
          <w:tcPr>
            <w:tcW w:w="1043" w:type="dxa"/>
          </w:tcPr>
          <w:p w14:paraId="36CCDD51" w14:textId="7CC200E8" w:rsidR="005158F7" w:rsidRPr="00A83CA7" w:rsidRDefault="00284C02" w:rsidP="005158F7">
            <w:pPr>
              <w:jc w:val="center"/>
              <w:rPr>
                <w:rFonts w:ascii="Arial Narrow" w:hAnsi="Arial Narrow" w:cs="Times New Roman"/>
                <w:b/>
                <w:snapToGrid w:val="0"/>
                <w:sz w:val="20"/>
                <w:szCs w:val="20"/>
                <w:highlight w:val="darkGray"/>
              </w:rPr>
            </w:pPr>
            <w:r w:rsidRPr="00284C02">
              <w:rPr>
                <w:rFonts w:ascii="Arial Narrow" w:hAnsi="Arial Narrow" w:cs="Times New Roman" w:hint="eastAsia"/>
                <w:snapToGrid w:val="0"/>
                <w:color w:val="000000"/>
                <w:w w:val="28"/>
                <w:sz w:val="20"/>
                <w:szCs w:val="20"/>
                <w:shd w:val="solid" w:color="000000" w:fill="000000"/>
                <w:fitText w:val="125" w:id="-1305197308"/>
                <w14:textFill>
                  <w14:solidFill>
                    <w14:srgbClr w14:val="000000">
                      <w14:alpha w14:val="100000"/>
                    </w14:srgbClr>
                  </w14:solidFill>
                </w14:textFill>
              </w:rPr>
              <w:t xml:space="preserve">　</w:t>
            </w:r>
            <w:r w:rsidRPr="00284C02">
              <w:rPr>
                <w:rFonts w:ascii="Arial Narrow" w:hAnsi="Arial Narrow" w:cs="Times New Roman"/>
                <w:snapToGrid w:val="0"/>
                <w:color w:val="000000"/>
                <w:w w:val="28"/>
                <w:sz w:val="20"/>
                <w:szCs w:val="20"/>
                <w:shd w:val="solid" w:color="000000" w:fill="000000"/>
                <w:fitText w:val="125" w:id="-1305197308"/>
                <w14:textFill>
                  <w14:solidFill>
                    <w14:srgbClr w14:val="000000">
                      <w14:alpha w14:val="100000"/>
                    </w14:srgbClr>
                  </w14:solidFill>
                </w14:textFill>
              </w:rPr>
              <w:t>|</w:t>
            </w:r>
            <w:r w:rsidRPr="00284C02">
              <w:rPr>
                <w:rFonts w:ascii="Arial Narrow" w:hAnsi="Arial Narrow" w:cs="Times New Roman" w:hint="eastAsia"/>
                <w:snapToGrid w:val="0"/>
                <w:color w:val="000000"/>
                <w:spacing w:val="3"/>
                <w:w w:val="28"/>
                <w:sz w:val="20"/>
                <w:szCs w:val="20"/>
                <w:shd w:val="solid" w:color="000000" w:fill="000000"/>
                <w:fitText w:val="125" w:id="-1305197308"/>
                <w14:textFill>
                  <w14:solidFill>
                    <w14:srgbClr w14:val="000000">
                      <w14:alpha w14:val="100000"/>
                    </w14:srgbClr>
                  </w14:solidFill>
                </w14:textFill>
              </w:rPr>
              <w:t xml:space="preserve">　</w:t>
            </w:r>
            <w:r w:rsidR="00E640E7">
              <w:rPr>
                <w:rFonts w:ascii="Arial Narrow" w:eastAsiaTheme="majorEastAsia" w:hAnsi="Arial Narrow" w:cstheme="majorBidi"/>
                <w:bCs/>
                <w:sz w:val="20"/>
                <w:szCs w:val="20"/>
                <w:vertAlign w:val="superscript"/>
              </w:rPr>
              <w:t>6</w:t>
            </w:r>
          </w:p>
        </w:tc>
      </w:tr>
    </w:tbl>
    <w:p w14:paraId="532B5FD2" w14:textId="6DD9CB40" w:rsidR="005158F7" w:rsidRPr="009C5A21" w:rsidRDefault="005158F7" w:rsidP="005158F7">
      <w:pPr>
        <w:spacing w:after="120"/>
        <w:contextualSpacing/>
        <w:rPr>
          <w:rFonts w:ascii="Arial Narrow" w:hAnsi="Arial Narrow"/>
          <w:snapToGrid w:val="0"/>
          <w:sz w:val="18"/>
          <w:szCs w:val="22"/>
        </w:rPr>
      </w:pPr>
      <w:r w:rsidRPr="009C5A21">
        <w:rPr>
          <w:rFonts w:ascii="Arial Narrow" w:hAnsi="Arial Narrow"/>
          <w:snapToGrid w:val="0"/>
          <w:sz w:val="18"/>
          <w:szCs w:val="22"/>
        </w:rPr>
        <w:t>Source: compiled during the evaluation f</w:t>
      </w:r>
      <w:r w:rsidR="000D4F1E">
        <w:rPr>
          <w:rFonts w:ascii="Arial Narrow" w:hAnsi="Arial Narrow"/>
          <w:snapToGrid w:val="0"/>
          <w:sz w:val="18"/>
          <w:szCs w:val="22"/>
        </w:rPr>
        <w:t>o</w:t>
      </w:r>
      <w:r w:rsidRPr="009C5A21">
        <w:rPr>
          <w:rFonts w:ascii="Arial Narrow" w:hAnsi="Arial Narrow"/>
          <w:snapToGrid w:val="0"/>
          <w:sz w:val="18"/>
          <w:szCs w:val="22"/>
        </w:rPr>
        <w:t>rm Excel workbook ‘Utilisation_Cost_Model_ONA_3copy_final.xlsx.</w:t>
      </w:r>
    </w:p>
    <w:p w14:paraId="4207DE6B" w14:textId="1943C2A9" w:rsidR="005158F7" w:rsidRDefault="005158F7" w:rsidP="005158F7">
      <w:pPr>
        <w:spacing w:after="120"/>
        <w:contextualSpacing/>
        <w:rPr>
          <w:rFonts w:ascii="Arial Narrow" w:hAnsi="Arial Narrow"/>
          <w:snapToGrid w:val="0"/>
          <w:sz w:val="18"/>
          <w:szCs w:val="22"/>
        </w:rPr>
      </w:pPr>
      <w:r w:rsidRPr="00AE3438">
        <w:rPr>
          <w:rFonts w:ascii="Arial Narrow" w:hAnsi="Arial Narrow"/>
          <w:snapToGrid w:val="0"/>
          <w:sz w:val="18"/>
          <w:szCs w:val="22"/>
        </w:rPr>
        <w:t>IV=intravenous; hr=hour, SMA = spinal muscular atrophy; MBS=Medicare Benefits Schedule; NUSI-nusinersen, ONA=onasemnogene abeparvovec; PBS=Pharmaceutical Benefits Scheme, RISD=risdiplam, Yr=year</w:t>
      </w:r>
    </w:p>
    <w:p w14:paraId="381613C3" w14:textId="77777777" w:rsidR="00E640E7" w:rsidRPr="009A6D58" w:rsidRDefault="00E640E7" w:rsidP="00E640E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200E96B" w14:textId="0ED55C6F" w:rsidR="00E640E7" w:rsidRPr="009A6D58" w:rsidRDefault="00E640E7" w:rsidP="00E640E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640E7">
        <w:rPr>
          <w:rFonts w:ascii="Arial Narrow" w:hAnsi="Arial Narrow"/>
          <w:i/>
          <w:sz w:val="18"/>
          <w:szCs w:val="18"/>
        </w:rPr>
        <w:t>&lt; 500</w:t>
      </w:r>
    </w:p>
    <w:p w14:paraId="380795F3" w14:textId="3AD758EE" w:rsidR="00E640E7" w:rsidRPr="009A6D58" w:rsidRDefault="00E640E7" w:rsidP="00E640E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640E7">
        <w:rPr>
          <w:rFonts w:ascii="Arial Narrow" w:hAnsi="Arial Narrow"/>
          <w:i/>
          <w:sz w:val="18"/>
          <w:szCs w:val="18"/>
        </w:rPr>
        <w:t>$40 million to &lt; $50 million</w:t>
      </w:r>
    </w:p>
    <w:p w14:paraId="16104A38" w14:textId="2BCD3CF4" w:rsidR="00E640E7" w:rsidRDefault="00E640E7" w:rsidP="00E640E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640E7">
        <w:rPr>
          <w:rFonts w:ascii="Arial Narrow" w:hAnsi="Arial Narrow"/>
          <w:i/>
          <w:sz w:val="18"/>
          <w:szCs w:val="18"/>
        </w:rPr>
        <w:t>$30 million to &lt; $40 million</w:t>
      </w:r>
    </w:p>
    <w:p w14:paraId="09FC1000" w14:textId="1AED0B2B" w:rsidR="00E640E7" w:rsidRDefault="00E640E7" w:rsidP="00E640E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E640E7">
        <w:rPr>
          <w:rFonts w:ascii="Arial Narrow" w:hAnsi="Arial Narrow"/>
          <w:i/>
          <w:sz w:val="18"/>
          <w:szCs w:val="18"/>
        </w:rPr>
        <w:t>net cost saving</w:t>
      </w:r>
    </w:p>
    <w:p w14:paraId="25FE98AF" w14:textId="00F876EC" w:rsidR="00E640E7" w:rsidRDefault="00E640E7" w:rsidP="00E640E7">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E640E7">
        <w:rPr>
          <w:rFonts w:ascii="Arial Narrow" w:hAnsi="Arial Narrow"/>
          <w:i/>
          <w:sz w:val="18"/>
          <w:szCs w:val="18"/>
        </w:rPr>
        <w:t>$20 million to &lt; $30 million</w:t>
      </w:r>
    </w:p>
    <w:p w14:paraId="33342C65" w14:textId="3D7D0FC1" w:rsidR="00E640E7" w:rsidRDefault="00E640E7" w:rsidP="00E640E7">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E640E7">
        <w:rPr>
          <w:rFonts w:ascii="Arial Narrow" w:hAnsi="Arial Narrow"/>
          <w:i/>
          <w:sz w:val="18"/>
          <w:szCs w:val="18"/>
        </w:rPr>
        <w:t>$10 million to &lt; $20 million</w:t>
      </w:r>
    </w:p>
    <w:p w14:paraId="578F860A" w14:textId="366B2E66" w:rsidR="00E640E7" w:rsidRPr="00E640E7" w:rsidRDefault="00E640E7" w:rsidP="005158F7">
      <w:pPr>
        <w:spacing w:after="120"/>
        <w:contextualSpacing/>
        <w:rPr>
          <w:rFonts w:ascii="Arial Narrow" w:hAnsi="Arial Narrow"/>
          <w:snapToGrid w:val="0"/>
          <w:sz w:val="18"/>
          <w:szCs w:val="22"/>
        </w:rPr>
      </w:pPr>
      <w:r>
        <w:rPr>
          <w:rFonts w:ascii="Arial Narrow" w:hAnsi="Arial Narrow"/>
          <w:i/>
          <w:sz w:val="18"/>
          <w:szCs w:val="18"/>
          <w:vertAlign w:val="superscript"/>
        </w:rPr>
        <w:t>7</w:t>
      </w:r>
      <w:r>
        <w:rPr>
          <w:rFonts w:ascii="Arial Narrow" w:hAnsi="Arial Narrow"/>
          <w:i/>
          <w:sz w:val="18"/>
          <w:szCs w:val="18"/>
        </w:rPr>
        <w:t xml:space="preserve"> </w:t>
      </w:r>
      <w:r w:rsidRPr="00E640E7">
        <w:rPr>
          <w:rFonts w:ascii="Arial Narrow" w:hAnsi="Arial Narrow"/>
          <w:i/>
          <w:sz w:val="18"/>
          <w:szCs w:val="18"/>
        </w:rPr>
        <w:t>$0 to &lt; $10 million</w:t>
      </w:r>
    </w:p>
    <w:p w14:paraId="710A1F55" w14:textId="2020A40A" w:rsidR="00E640E7" w:rsidRPr="009A6D58" w:rsidRDefault="00E640E7" w:rsidP="00BE29F1">
      <w:pPr>
        <w:spacing w:after="120"/>
        <w:rPr>
          <w:rFonts w:ascii="Arial Narrow" w:hAnsi="Arial Narrow"/>
          <w:i/>
          <w:sz w:val="18"/>
          <w:szCs w:val="18"/>
        </w:rPr>
      </w:pPr>
      <w:bookmarkStart w:id="79" w:name="_Hlk116291787"/>
      <w:r>
        <w:rPr>
          <w:rFonts w:ascii="Arial Narrow" w:hAnsi="Arial Narrow"/>
          <w:i/>
          <w:sz w:val="18"/>
          <w:szCs w:val="18"/>
          <w:vertAlign w:val="superscript"/>
        </w:rPr>
        <w:t>8</w:t>
      </w:r>
      <w:r>
        <w:rPr>
          <w:rFonts w:ascii="Arial Narrow" w:hAnsi="Arial Narrow"/>
          <w:i/>
          <w:sz w:val="18"/>
          <w:szCs w:val="18"/>
        </w:rPr>
        <w:t xml:space="preserve"> </w:t>
      </w:r>
      <w:r w:rsidRPr="00E640E7">
        <w:rPr>
          <w:rFonts w:ascii="Arial Narrow" w:hAnsi="Arial Narrow"/>
          <w:i/>
          <w:sz w:val="18"/>
          <w:szCs w:val="18"/>
        </w:rPr>
        <w:t>500 to &lt; 5,000</w:t>
      </w:r>
    </w:p>
    <w:p w14:paraId="71FAFE1B" w14:textId="7049FA08" w:rsidR="00716350" w:rsidRPr="00AE3438" w:rsidRDefault="005158F7" w:rsidP="00716350">
      <w:pPr>
        <w:numPr>
          <w:ilvl w:val="1"/>
          <w:numId w:val="1"/>
        </w:numPr>
        <w:spacing w:after="120"/>
      </w:pPr>
      <w:bookmarkStart w:id="80" w:name="_Hlk113303761"/>
      <w:r w:rsidRPr="00AE3438">
        <w:rPr>
          <w:rFonts w:asciiTheme="minorHAnsi" w:hAnsiTheme="minorHAnsi"/>
          <w:snapToGrid w:val="0"/>
        </w:rPr>
        <w:t xml:space="preserve">The submission estimated net costs </w:t>
      </w:r>
      <w:r w:rsidR="009C5A21">
        <w:rPr>
          <w:rFonts w:asciiTheme="minorHAnsi" w:hAnsiTheme="minorHAnsi"/>
          <w:snapToGrid w:val="0"/>
        </w:rPr>
        <w:t xml:space="preserve">to the PBS </w:t>
      </w:r>
      <w:r w:rsidRPr="00AE3438">
        <w:rPr>
          <w:rFonts w:asciiTheme="minorHAnsi" w:hAnsiTheme="minorHAnsi"/>
          <w:snapToGrid w:val="0"/>
        </w:rPr>
        <w:t xml:space="preserve">of </w:t>
      </w:r>
      <w:r w:rsidR="00E640E7" w:rsidRPr="00E640E7">
        <w:rPr>
          <w:rFonts w:asciiTheme="minorHAnsi" w:hAnsiTheme="minorHAnsi"/>
          <w:snapToGrid w:val="0"/>
        </w:rPr>
        <w:t>$30 million to &lt; $40 million</w:t>
      </w:r>
      <w:r w:rsidR="00E640E7">
        <w:rPr>
          <w:rFonts w:asciiTheme="minorHAnsi" w:hAnsiTheme="minorHAnsi"/>
          <w:snapToGrid w:val="0"/>
        </w:rPr>
        <w:t xml:space="preserve"> </w:t>
      </w:r>
      <w:r w:rsidR="009C5A21">
        <w:rPr>
          <w:rFonts w:asciiTheme="minorHAnsi" w:hAnsiTheme="minorHAnsi"/>
          <w:snapToGrid w:val="0"/>
        </w:rPr>
        <w:t xml:space="preserve">in year 1, decreasing to </w:t>
      </w:r>
      <w:r w:rsidR="00E640E7" w:rsidRPr="00E640E7">
        <w:rPr>
          <w:rFonts w:asciiTheme="minorHAnsi" w:hAnsiTheme="minorHAnsi"/>
          <w:snapToGrid w:val="0"/>
        </w:rPr>
        <w:t xml:space="preserve">$10 million to &lt; $20 </w:t>
      </w:r>
      <w:r w:rsidR="0003706F" w:rsidRPr="00E640E7">
        <w:rPr>
          <w:rFonts w:asciiTheme="minorHAnsi" w:hAnsiTheme="minorHAnsi"/>
          <w:snapToGrid w:val="0"/>
        </w:rPr>
        <w:t>million</w:t>
      </w:r>
      <w:r w:rsidR="0003706F">
        <w:rPr>
          <w:rFonts w:asciiTheme="minorHAnsi" w:hAnsiTheme="minorHAnsi"/>
          <w:snapToGrid w:val="0"/>
        </w:rPr>
        <w:t xml:space="preserve"> in</w:t>
      </w:r>
      <w:r w:rsidR="009C5A21">
        <w:rPr>
          <w:rFonts w:asciiTheme="minorHAnsi" w:hAnsiTheme="minorHAnsi"/>
          <w:snapToGrid w:val="0"/>
        </w:rPr>
        <w:t xml:space="preserve"> year 6, </w:t>
      </w:r>
      <w:r w:rsidRPr="00AE3438">
        <w:rPr>
          <w:rFonts w:asciiTheme="minorHAnsi" w:hAnsiTheme="minorHAnsi"/>
          <w:snapToGrid w:val="0"/>
        </w:rPr>
        <w:t xml:space="preserve">with a combined total net cost to government of approximately </w:t>
      </w:r>
      <w:r w:rsidR="00E640E7" w:rsidRPr="00E640E7">
        <w:rPr>
          <w:rFonts w:asciiTheme="minorHAnsi" w:hAnsiTheme="minorHAnsi"/>
          <w:snapToGrid w:val="0"/>
        </w:rPr>
        <w:t>$100 million to &lt; $200 million</w:t>
      </w:r>
      <w:r w:rsidR="00E640E7">
        <w:rPr>
          <w:rFonts w:asciiTheme="minorHAnsi" w:hAnsiTheme="minorHAnsi"/>
          <w:snapToGrid w:val="0"/>
        </w:rPr>
        <w:t xml:space="preserve"> </w:t>
      </w:r>
      <w:r w:rsidRPr="00AE3438">
        <w:rPr>
          <w:rFonts w:asciiTheme="minorHAnsi" w:hAnsiTheme="minorHAnsi"/>
          <w:snapToGrid w:val="0"/>
        </w:rPr>
        <w:t xml:space="preserve">over the first </w:t>
      </w:r>
      <w:r w:rsidR="00A86423">
        <w:rPr>
          <w:rFonts w:asciiTheme="minorHAnsi" w:hAnsiTheme="minorHAnsi"/>
          <w:snapToGrid w:val="0"/>
        </w:rPr>
        <w:t>6</w:t>
      </w:r>
      <w:r w:rsidR="00A86423" w:rsidRPr="00AE3438">
        <w:rPr>
          <w:rFonts w:asciiTheme="minorHAnsi" w:hAnsiTheme="minorHAnsi"/>
          <w:snapToGrid w:val="0"/>
        </w:rPr>
        <w:t xml:space="preserve"> </w:t>
      </w:r>
      <w:r w:rsidRPr="00AE3438">
        <w:rPr>
          <w:rFonts w:asciiTheme="minorHAnsi" w:hAnsiTheme="minorHAnsi"/>
          <w:snapToGrid w:val="0"/>
        </w:rPr>
        <w:t xml:space="preserve">years of listing. </w:t>
      </w:r>
      <w:r w:rsidR="000D4F1E">
        <w:rPr>
          <w:rFonts w:asciiTheme="minorHAnsi" w:hAnsiTheme="minorHAnsi"/>
          <w:snapToGrid w:val="0"/>
        </w:rPr>
        <w:t xml:space="preserve">The net cost for ONA (without offsets for nusinersen and risdiplam) was estimated to be </w:t>
      </w:r>
      <w:r w:rsidR="00E640E7" w:rsidRPr="00E640E7">
        <w:rPr>
          <w:rFonts w:asciiTheme="minorHAnsi" w:hAnsiTheme="minorHAnsi"/>
          <w:snapToGrid w:val="0"/>
        </w:rPr>
        <w:t>$40 million to &lt; $50 million</w:t>
      </w:r>
      <w:r w:rsidR="00E640E7">
        <w:rPr>
          <w:rFonts w:asciiTheme="minorHAnsi" w:hAnsiTheme="minorHAnsi"/>
          <w:snapToGrid w:val="0"/>
        </w:rPr>
        <w:t xml:space="preserve"> </w:t>
      </w:r>
      <w:r w:rsidR="000D4F1E">
        <w:rPr>
          <w:rFonts w:asciiTheme="minorHAnsi" w:hAnsiTheme="minorHAnsi"/>
          <w:snapToGrid w:val="0"/>
        </w:rPr>
        <w:t xml:space="preserve">in year 1, decreasing to </w:t>
      </w:r>
      <w:r w:rsidR="00E640E7" w:rsidRPr="00E640E7">
        <w:rPr>
          <w:rFonts w:asciiTheme="minorHAnsi" w:hAnsiTheme="minorHAnsi"/>
          <w:snapToGrid w:val="0"/>
        </w:rPr>
        <w:t>$30 million to &lt; $40 million</w:t>
      </w:r>
      <w:r w:rsidR="00E640E7">
        <w:rPr>
          <w:rFonts w:asciiTheme="minorHAnsi" w:hAnsiTheme="minorHAnsi"/>
          <w:snapToGrid w:val="0"/>
        </w:rPr>
        <w:t xml:space="preserve"> </w:t>
      </w:r>
      <w:r w:rsidR="000D4F1E">
        <w:rPr>
          <w:rFonts w:asciiTheme="minorHAnsi" w:hAnsiTheme="minorHAnsi"/>
          <w:snapToGrid w:val="0"/>
        </w:rPr>
        <w:t>-</w:t>
      </w:r>
      <w:r w:rsidR="00E640E7">
        <w:rPr>
          <w:rFonts w:asciiTheme="minorHAnsi" w:hAnsiTheme="minorHAnsi"/>
          <w:snapToGrid w:val="0"/>
        </w:rPr>
        <w:t xml:space="preserve"> </w:t>
      </w:r>
      <w:r w:rsidR="00E640E7" w:rsidRPr="00E640E7">
        <w:rPr>
          <w:rFonts w:asciiTheme="minorHAnsi" w:hAnsiTheme="minorHAnsi"/>
          <w:snapToGrid w:val="0"/>
        </w:rPr>
        <w:t xml:space="preserve">$30 million to &lt; $40 </w:t>
      </w:r>
      <w:r w:rsidR="0003706F" w:rsidRPr="00E640E7">
        <w:rPr>
          <w:rFonts w:asciiTheme="minorHAnsi" w:hAnsiTheme="minorHAnsi"/>
          <w:snapToGrid w:val="0"/>
        </w:rPr>
        <w:t>million</w:t>
      </w:r>
      <w:r w:rsidR="0003706F">
        <w:rPr>
          <w:rFonts w:asciiTheme="minorHAnsi" w:hAnsiTheme="minorHAnsi"/>
          <w:snapToGrid w:val="0"/>
        </w:rPr>
        <w:t xml:space="preserve"> in</w:t>
      </w:r>
      <w:r w:rsidR="000D4F1E">
        <w:rPr>
          <w:rFonts w:asciiTheme="minorHAnsi" w:hAnsiTheme="minorHAnsi"/>
          <w:snapToGrid w:val="0"/>
        </w:rPr>
        <w:t xml:space="preserve"> years 2 to 6, with a total cost of </w:t>
      </w:r>
      <w:r w:rsidR="00E640E7" w:rsidRPr="00E640E7">
        <w:rPr>
          <w:rFonts w:asciiTheme="minorHAnsi" w:hAnsiTheme="minorHAnsi"/>
          <w:snapToGrid w:val="0"/>
        </w:rPr>
        <w:t>$200 million to &lt; $300 million</w:t>
      </w:r>
      <w:r w:rsidR="00E640E7">
        <w:rPr>
          <w:rFonts w:asciiTheme="minorHAnsi" w:hAnsiTheme="minorHAnsi"/>
          <w:snapToGrid w:val="0"/>
        </w:rPr>
        <w:t xml:space="preserve"> </w:t>
      </w:r>
      <w:r w:rsidR="00A86423">
        <w:rPr>
          <w:rFonts w:asciiTheme="minorHAnsi" w:hAnsiTheme="minorHAnsi"/>
          <w:snapToGrid w:val="0"/>
        </w:rPr>
        <w:t>over the first 6 years of listing.</w:t>
      </w:r>
      <w:r w:rsidR="000D4F1E">
        <w:rPr>
          <w:rFonts w:asciiTheme="minorHAnsi" w:hAnsiTheme="minorHAnsi"/>
          <w:snapToGrid w:val="0"/>
        </w:rPr>
        <w:t xml:space="preserve"> </w:t>
      </w:r>
    </w:p>
    <w:p w14:paraId="42EC94A0" w14:textId="2AB0D5E3" w:rsidR="005158F7" w:rsidRPr="00AE3438" w:rsidRDefault="005158F7" w:rsidP="005158F7">
      <w:pPr>
        <w:numPr>
          <w:ilvl w:val="1"/>
          <w:numId w:val="1"/>
        </w:numPr>
      </w:pPr>
      <w:r w:rsidRPr="00AE3438">
        <w:rPr>
          <w:rFonts w:asciiTheme="minorHAnsi" w:hAnsiTheme="minorHAnsi"/>
          <w:snapToGrid w:val="0"/>
        </w:rPr>
        <w:lastRenderedPageBreak/>
        <w:t xml:space="preserve">The financial estimates may be underestimated </w:t>
      </w:r>
      <w:r w:rsidR="009C5A21">
        <w:rPr>
          <w:rFonts w:asciiTheme="minorHAnsi" w:hAnsiTheme="minorHAnsi"/>
          <w:snapToGrid w:val="0"/>
        </w:rPr>
        <w:t>because</w:t>
      </w:r>
      <w:r w:rsidRPr="00AE3438">
        <w:rPr>
          <w:rFonts w:asciiTheme="minorHAnsi" w:hAnsiTheme="minorHAnsi"/>
          <w:snapToGrid w:val="0"/>
        </w:rPr>
        <w:t>:</w:t>
      </w:r>
    </w:p>
    <w:bookmarkEnd w:id="79"/>
    <w:p w14:paraId="090E8B3B" w14:textId="5D0A3D0E" w:rsidR="005158F7" w:rsidRPr="00AE3438" w:rsidRDefault="00420EF8" w:rsidP="00054F33">
      <w:pPr>
        <w:numPr>
          <w:ilvl w:val="0"/>
          <w:numId w:val="6"/>
        </w:numPr>
        <w:tabs>
          <w:tab w:val="num" w:pos="993"/>
        </w:tabs>
        <w:ind w:left="993" w:hanging="284"/>
        <w:contextualSpacing/>
        <w:rPr>
          <w:iCs/>
        </w:rPr>
      </w:pPr>
      <w:r>
        <w:rPr>
          <w:iCs/>
        </w:rPr>
        <w:t>The u</w:t>
      </w:r>
      <w:r w:rsidR="005158F7" w:rsidRPr="00AE3438">
        <w:rPr>
          <w:iCs/>
        </w:rPr>
        <w:t>ptake rate may be underestimated. ONA represents an additional treatment in an area of limited treatments and would be the only treatment for patients with 3 copies of SMN2 available pre-symptomatically. However, uptake would also be dependent on accessibility.</w:t>
      </w:r>
    </w:p>
    <w:p w14:paraId="0E000664" w14:textId="16D00DCC" w:rsidR="005158F7" w:rsidRPr="00AE3438" w:rsidRDefault="005158F7" w:rsidP="00054F33">
      <w:pPr>
        <w:numPr>
          <w:ilvl w:val="0"/>
          <w:numId w:val="6"/>
        </w:numPr>
        <w:tabs>
          <w:tab w:val="num" w:pos="993"/>
        </w:tabs>
        <w:ind w:left="993" w:hanging="284"/>
        <w:contextualSpacing/>
        <w:rPr>
          <w:iCs/>
        </w:rPr>
      </w:pPr>
      <w:r w:rsidRPr="00AE3438">
        <w:rPr>
          <w:iCs/>
        </w:rPr>
        <w:t xml:space="preserve">The rate of SMA identified may be underestimated as the number of patients identified is likely to increase with the newborn screening program. </w:t>
      </w:r>
      <w:bookmarkStart w:id="81" w:name="_Hlk120737235"/>
      <w:r w:rsidRPr="00AE3438">
        <w:rPr>
          <w:iCs/>
        </w:rPr>
        <w:t>However, in the long term, this may be offset by the introduction of reproductive genetic carrier screening to assist family planning decisions.</w:t>
      </w:r>
      <w:r w:rsidR="006B7F26" w:rsidRPr="00AE3438">
        <w:rPr>
          <w:i/>
        </w:rPr>
        <w:t xml:space="preserve"> </w:t>
      </w:r>
      <w:r w:rsidR="006B7F26" w:rsidRPr="00054F33">
        <w:rPr>
          <w:iCs/>
        </w:rPr>
        <w:t xml:space="preserve">The PSCR contended the rate of SMA is unlikely to have been underestimated as the estimated incidence applied in the financial estimates (1 per 10,000 infants) is similar to the incidence of 0.83 diagnosed cases of SMA per 10,000 infants screen from the </w:t>
      </w:r>
      <w:r w:rsidR="00113EE3" w:rsidRPr="00054F33">
        <w:rPr>
          <w:iCs/>
        </w:rPr>
        <w:t>NBS pilot</w:t>
      </w:r>
      <w:r w:rsidR="006B7F26" w:rsidRPr="00054F33">
        <w:rPr>
          <w:iCs/>
        </w:rPr>
        <w:t>.</w:t>
      </w:r>
      <w:r w:rsidR="00A4729A" w:rsidRPr="00AE3438">
        <w:rPr>
          <w:i/>
        </w:rPr>
        <w:t xml:space="preserve"> </w:t>
      </w:r>
    </w:p>
    <w:bookmarkEnd w:id="81"/>
    <w:p w14:paraId="3201E765" w14:textId="36852ED8" w:rsidR="005158F7" w:rsidRPr="00AE3438" w:rsidRDefault="005158F7" w:rsidP="00054F33">
      <w:pPr>
        <w:numPr>
          <w:ilvl w:val="0"/>
          <w:numId w:val="6"/>
        </w:numPr>
        <w:tabs>
          <w:tab w:val="num" w:pos="993"/>
        </w:tabs>
        <w:spacing w:after="120"/>
        <w:ind w:left="993" w:hanging="284"/>
        <w:contextualSpacing/>
        <w:rPr>
          <w:iCs/>
        </w:rPr>
      </w:pPr>
      <w:r w:rsidRPr="00AE3438">
        <w:rPr>
          <w:iCs/>
        </w:rPr>
        <w:t>Cost</w:t>
      </w:r>
      <w:r w:rsidR="005357D6" w:rsidRPr="00AE3438">
        <w:rPr>
          <w:iCs/>
        </w:rPr>
        <w:t xml:space="preserve"> </w:t>
      </w:r>
      <w:r w:rsidRPr="00AE3438">
        <w:rPr>
          <w:iCs/>
        </w:rPr>
        <w:t>offsets may be lower if patients discontinue nusinersen or risdiplam, or if pre</w:t>
      </w:r>
      <w:r w:rsidR="00B82941" w:rsidRPr="00AE3438">
        <w:rPr>
          <w:iCs/>
        </w:rPr>
        <w:noBreakHyphen/>
      </w:r>
      <w:r w:rsidRPr="00AE3438">
        <w:rPr>
          <w:iCs/>
        </w:rPr>
        <w:t xml:space="preserve">symptomatic ONA patients go on to develop </w:t>
      </w:r>
      <w:r w:rsidRPr="00F83675">
        <w:rPr>
          <w:iCs/>
        </w:rPr>
        <w:t xml:space="preserve">symptoms </w:t>
      </w:r>
      <w:r w:rsidR="00B82941" w:rsidRPr="00F83675">
        <w:rPr>
          <w:iCs/>
        </w:rPr>
        <w:t xml:space="preserve">(or lose motor milestones) </w:t>
      </w:r>
      <w:r w:rsidRPr="00F83675">
        <w:rPr>
          <w:iCs/>
        </w:rPr>
        <w:t>and receive further</w:t>
      </w:r>
      <w:r w:rsidRPr="00AE3438">
        <w:rPr>
          <w:iCs/>
        </w:rPr>
        <w:t xml:space="preserve"> DMT treatment. The submission argued that some of this risk could be addressed with an RSA.</w:t>
      </w:r>
      <w:r w:rsidR="00A340D0" w:rsidRPr="00AE3438">
        <w:rPr>
          <w:iCs/>
        </w:rPr>
        <w:t xml:space="preserve"> </w:t>
      </w:r>
      <w:r w:rsidR="00A340D0" w:rsidRPr="00054F33">
        <w:rPr>
          <w:iCs/>
        </w:rPr>
        <w:t>The ESC considered the cost offsets were uncertain and likely over estimated.</w:t>
      </w:r>
      <w:r w:rsidR="00A340D0" w:rsidRPr="00AE3438">
        <w:rPr>
          <w:i/>
        </w:rPr>
        <w:t xml:space="preserve">  </w:t>
      </w:r>
    </w:p>
    <w:p w14:paraId="0E16E8F5" w14:textId="2E62D68F" w:rsidR="005158F7" w:rsidRPr="00AE3438" w:rsidRDefault="005158F7" w:rsidP="00716350">
      <w:pPr>
        <w:pStyle w:val="3-BodyText"/>
      </w:pPr>
      <w:r w:rsidRPr="00AE3438">
        <w:t xml:space="preserve">The financial estimates may be overestimated </w:t>
      </w:r>
      <w:r w:rsidR="00B82941" w:rsidRPr="00AE3438">
        <w:t>because</w:t>
      </w:r>
      <w:r w:rsidRPr="00AE3438">
        <w:t>:</w:t>
      </w:r>
    </w:p>
    <w:p w14:paraId="1FF3BBA0" w14:textId="5D0E15EF" w:rsidR="005158F7" w:rsidRPr="00AE3438" w:rsidRDefault="005158F7" w:rsidP="00054F33">
      <w:pPr>
        <w:numPr>
          <w:ilvl w:val="0"/>
          <w:numId w:val="6"/>
        </w:numPr>
        <w:ind w:left="1134"/>
        <w:contextualSpacing/>
        <w:rPr>
          <w:iCs/>
        </w:rPr>
      </w:pPr>
      <w:r w:rsidRPr="00AE3438">
        <w:rPr>
          <w:iCs/>
        </w:rPr>
        <w:t xml:space="preserve">The estimates do not include </w:t>
      </w:r>
      <w:r w:rsidR="00A86423">
        <w:rPr>
          <w:iCs/>
        </w:rPr>
        <w:t xml:space="preserve">offsets for </w:t>
      </w:r>
      <w:r w:rsidRPr="00AE3438">
        <w:rPr>
          <w:iCs/>
        </w:rPr>
        <w:t>the current cost of ONA to Type I symptomatic patients.</w:t>
      </w:r>
    </w:p>
    <w:p w14:paraId="64719A93" w14:textId="0563B952" w:rsidR="005158F7" w:rsidRPr="00AE3438" w:rsidRDefault="005158F7" w:rsidP="00054F33">
      <w:pPr>
        <w:numPr>
          <w:ilvl w:val="0"/>
          <w:numId w:val="6"/>
        </w:numPr>
        <w:spacing w:after="120"/>
        <w:ind w:left="1134" w:hanging="357"/>
        <w:contextualSpacing/>
        <w:rPr>
          <w:iCs/>
        </w:rPr>
      </w:pPr>
      <w:r w:rsidRPr="00AE3438">
        <w:rPr>
          <w:iCs/>
        </w:rPr>
        <w:t xml:space="preserve">Symptomatic patients may incur additional healthcare, allied health and support services not costed for in the financial estimates </w:t>
      </w:r>
    </w:p>
    <w:bookmarkEnd w:id="80"/>
    <w:p w14:paraId="7976263B" w14:textId="3E28BBFE" w:rsidR="00AD274C" w:rsidRPr="00054F33" w:rsidRDefault="00AD274C" w:rsidP="00AD274C">
      <w:pPr>
        <w:pStyle w:val="3-BodyText"/>
      </w:pPr>
      <w:r w:rsidRPr="00054F33">
        <w:t xml:space="preserve">The ESC considered the financial estimates to be uncertain and </w:t>
      </w:r>
      <w:r w:rsidR="00DD4B68" w:rsidRPr="00054F33">
        <w:t xml:space="preserve">considered it was difficult to determine whether the financial impact was overestimated or underestimated overall. </w:t>
      </w:r>
    </w:p>
    <w:p w14:paraId="009F254A" w14:textId="77777777" w:rsidR="005158F7" w:rsidRPr="00AE3438" w:rsidRDefault="005158F7" w:rsidP="005158F7">
      <w:pPr>
        <w:keepNext/>
        <w:spacing w:before="120" w:after="120"/>
        <w:outlineLvl w:val="1"/>
        <w:rPr>
          <w:rFonts w:asciiTheme="minorHAnsi" w:eastAsiaTheme="majorEastAsia" w:hAnsiTheme="minorHAnsi" w:cstheme="majorBidi"/>
          <w:b/>
          <w:i/>
          <w:spacing w:val="5"/>
          <w:kern w:val="28"/>
          <w:sz w:val="28"/>
          <w:szCs w:val="36"/>
        </w:rPr>
      </w:pPr>
      <w:bookmarkStart w:id="82" w:name="_Toc22897648"/>
      <w:bookmarkEnd w:id="74"/>
      <w:r w:rsidRPr="00AE3438">
        <w:rPr>
          <w:rFonts w:asciiTheme="minorHAnsi" w:eastAsiaTheme="majorEastAsia" w:hAnsiTheme="minorHAnsi" w:cstheme="majorBidi"/>
          <w:b/>
          <w:i/>
          <w:spacing w:val="5"/>
          <w:kern w:val="28"/>
          <w:sz w:val="28"/>
          <w:szCs w:val="36"/>
        </w:rPr>
        <w:t>Quality Use of Medicines</w:t>
      </w:r>
      <w:bookmarkEnd w:id="82"/>
    </w:p>
    <w:p w14:paraId="74662733" w14:textId="6CD528E3" w:rsidR="005158F7" w:rsidRPr="00AE3438" w:rsidRDefault="005158F7" w:rsidP="005158F7">
      <w:pPr>
        <w:numPr>
          <w:ilvl w:val="1"/>
          <w:numId w:val="1"/>
        </w:numPr>
        <w:spacing w:after="120"/>
        <w:rPr>
          <w:rFonts w:asciiTheme="minorHAnsi" w:hAnsiTheme="minorHAnsi"/>
          <w:snapToGrid w:val="0"/>
        </w:rPr>
      </w:pPr>
      <w:r w:rsidRPr="00AE3438">
        <w:rPr>
          <w:rFonts w:asciiTheme="minorHAnsi" w:hAnsiTheme="minorHAnsi"/>
          <w:snapToGrid w:val="0"/>
        </w:rPr>
        <w:t>The submission did not</w:t>
      </w:r>
      <w:r w:rsidR="00E43A71" w:rsidRPr="00AE3438">
        <w:rPr>
          <w:rFonts w:asciiTheme="minorHAnsi" w:hAnsiTheme="minorHAnsi"/>
          <w:snapToGrid w:val="0"/>
        </w:rPr>
        <w:t xml:space="preserve"> include</w:t>
      </w:r>
      <w:r w:rsidRPr="00AE3438">
        <w:rPr>
          <w:rFonts w:asciiTheme="minorHAnsi" w:hAnsiTheme="minorHAnsi"/>
          <w:snapToGrid w:val="0"/>
        </w:rPr>
        <w:t xml:space="preserve"> a quality use of medicines section. </w:t>
      </w:r>
      <w:r w:rsidR="000157F7" w:rsidRPr="00AE3438">
        <w:rPr>
          <w:rFonts w:asciiTheme="minorHAnsi" w:hAnsiTheme="minorHAnsi"/>
          <w:snapToGrid w:val="0"/>
        </w:rPr>
        <w:t>However,</w:t>
      </w:r>
      <w:r w:rsidRPr="00AE3438">
        <w:rPr>
          <w:rFonts w:asciiTheme="minorHAnsi" w:hAnsiTheme="minorHAnsi"/>
          <w:snapToGrid w:val="0"/>
        </w:rPr>
        <w:t xml:space="preserve"> the submission did list </w:t>
      </w:r>
      <w:r w:rsidR="00D36731">
        <w:rPr>
          <w:rFonts w:asciiTheme="minorHAnsi" w:hAnsiTheme="minorHAnsi"/>
          <w:snapToGrid w:val="0"/>
        </w:rPr>
        <w:t>some</w:t>
      </w:r>
      <w:r w:rsidRPr="00AE3438">
        <w:rPr>
          <w:rFonts w:asciiTheme="minorHAnsi" w:hAnsiTheme="minorHAnsi"/>
          <w:snapToGrid w:val="0"/>
        </w:rPr>
        <w:t xml:space="preserve"> access issues for ONA including few centres where gene therapy is offered, which may require patients to travel interstate to access ONA. Delays to NBS screening rollout may also limit accessibility to ONA, as patients will not be eligible for ONA if identified after 9 months of age. According to the financial estimates this could affect over half of all incident patients with 3 copies of SMN2 each year the screening is not in place.</w:t>
      </w:r>
    </w:p>
    <w:p w14:paraId="0DFACCE3" w14:textId="77777777" w:rsidR="005158F7" w:rsidRPr="00AE3438" w:rsidRDefault="005158F7" w:rsidP="005158F7">
      <w:pPr>
        <w:keepNext/>
        <w:spacing w:before="120" w:after="120"/>
        <w:outlineLvl w:val="1"/>
        <w:rPr>
          <w:rFonts w:asciiTheme="minorHAnsi" w:eastAsiaTheme="majorEastAsia" w:hAnsiTheme="minorHAnsi" w:cstheme="majorBidi"/>
          <w:b/>
          <w:i/>
          <w:spacing w:val="5"/>
          <w:kern w:val="28"/>
          <w:sz w:val="28"/>
          <w:szCs w:val="36"/>
        </w:rPr>
      </w:pPr>
      <w:bookmarkStart w:id="83" w:name="_Toc22897649"/>
      <w:r w:rsidRPr="00AE3438">
        <w:rPr>
          <w:rFonts w:asciiTheme="minorHAnsi" w:eastAsiaTheme="majorEastAsia" w:hAnsiTheme="minorHAnsi" w:cstheme="majorBidi"/>
          <w:b/>
          <w:i/>
          <w:spacing w:val="5"/>
          <w:kern w:val="28"/>
          <w:sz w:val="28"/>
          <w:szCs w:val="36"/>
        </w:rPr>
        <w:t>Financial Management – Risk Sharing Arrangements</w:t>
      </w:r>
      <w:bookmarkEnd w:id="83"/>
    </w:p>
    <w:p w14:paraId="2CA3C09D" w14:textId="199A7693" w:rsidR="00E4343B" w:rsidRPr="00E4343B" w:rsidRDefault="005158F7" w:rsidP="009D1C84">
      <w:pPr>
        <w:numPr>
          <w:ilvl w:val="1"/>
          <w:numId w:val="1"/>
        </w:numPr>
        <w:spacing w:after="120"/>
        <w:jc w:val="left"/>
        <w:rPr>
          <w:rFonts w:asciiTheme="minorHAnsi" w:hAnsiTheme="minorHAnsi"/>
          <w:bCs/>
          <w:i/>
          <w:iCs/>
          <w:snapToGrid w:val="0"/>
        </w:rPr>
      </w:pPr>
      <w:r w:rsidRPr="00AE3438">
        <w:rPr>
          <w:rFonts w:asciiTheme="minorHAnsi" w:hAnsiTheme="minorHAnsi"/>
          <w:snapToGrid w:val="0"/>
        </w:rPr>
        <w:t>The submission proposed that the current outcomes</w:t>
      </w:r>
      <w:r w:rsidR="00E43A71" w:rsidRPr="00AE3438">
        <w:rPr>
          <w:rFonts w:asciiTheme="minorHAnsi" w:hAnsiTheme="minorHAnsi"/>
          <w:snapToGrid w:val="0"/>
        </w:rPr>
        <w:t>-</w:t>
      </w:r>
      <w:r w:rsidRPr="00AE3438">
        <w:rPr>
          <w:rFonts w:asciiTheme="minorHAnsi" w:hAnsiTheme="minorHAnsi"/>
          <w:snapToGrid w:val="0"/>
        </w:rPr>
        <w:t>based RSA for ONA in SMA Type I and pre</w:t>
      </w:r>
      <w:r w:rsidR="001A293B" w:rsidRPr="00AE3438">
        <w:rPr>
          <w:rFonts w:asciiTheme="minorHAnsi" w:hAnsiTheme="minorHAnsi"/>
          <w:snapToGrid w:val="0"/>
        </w:rPr>
        <w:t>-</w:t>
      </w:r>
      <w:r w:rsidRPr="00AE3438">
        <w:rPr>
          <w:rFonts w:asciiTheme="minorHAnsi" w:hAnsiTheme="minorHAnsi"/>
          <w:snapToGrid w:val="0"/>
        </w:rPr>
        <w:t xml:space="preserve">symptomatic patients with 1 or 2 copies of the </w:t>
      </w:r>
      <w:r w:rsidRPr="00AE3438">
        <w:rPr>
          <w:rFonts w:asciiTheme="minorHAnsi" w:hAnsiTheme="minorHAnsi"/>
          <w:i/>
          <w:iCs/>
          <w:snapToGrid w:val="0"/>
        </w:rPr>
        <w:t>SMN2</w:t>
      </w:r>
      <w:r w:rsidRPr="00AE3438">
        <w:rPr>
          <w:rFonts w:asciiTheme="minorHAnsi" w:hAnsiTheme="minorHAnsi"/>
          <w:snapToGrid w:val="0"/>
        </w:rPr>
        <w:t xml:space="preserve"> gene should apply to the proposed population, such that </w:t>
      </w:r>
      <w:r w:rsidR="009D1C84" w:rsidRPr="006F3184">
        <w:rPr>
          <w:rFonts w:asciiTheme="minorHAnsi" w:hAnsiTheme="minorHAnsi"/>
          <w:snapToGrid w:val="0"/>
          <w:color w:val="000000"/>
          <w:w w:val="60"/>
          <w:shd w:val="solid" w:color="000000" w:fill="000000"/>
          <w:fitText w:val="8194" w:id="-1305197047"/>
          <w14:textFill>
            <w14:solidFill>
              <w14:srgbClr w14:val="000000">
                <w14:alpha w14:val="100000"/>
              </w14:srgbClr>
            </w14:solidFill>
          </w14:textFill>
        </w:rPr>
        <w:t>|||||||||||||||||||||||||||||||||||||||||||||||||||||||  ||||||||||||||||||||||||||||||||||||||||||||||||||||||||||||||||||</w:t>
      </w:r>
      <w:r w:rsidR="009D1C84" w:rsidRPr="006F3184">
        <w:rPr>
          <w:rFonts w:asciiTheme="minorHAnsi" w:hAnsiTheme="minorHAnsi"/>
          <w:snapToGrid w:val="0"/>
          <w:color w:val="000000"/>
          <w:spacing w:val="36"/>
          <w:w w:val="60"/>
          <w:shd w:val="solid" w:color="000000" w:fill="000000"/>
          <w:fitText w:val="8194" w:id="-1305197047"/>
          <w14:textFill>
            <w14:solidFill>
              <w14:srgbClr w14:val="000000">
                <w14:alpha w14:val="100000"/>
              </w14:srgbClr>
            </w14:solidFill>
          </w14:textFill>
        </w:rPr>
        <w:t>|</w:t>
      </w:r>
      <w:r w:rsidR="009D1C84">
        <w:rPr>
          <w:rFonts w:asciiTheme="minorHAnsi" w:hAnsiTheme="minorHAnsi"/>
          <w:snapToGrid w:val="0"/>
        </w:rPr>
        <w:t xml:space="preserve"> </w:t>
      </w:r>
    </w:p>
    <w:p w14:paraId="131727ED" w14:textId="09E257A8" w:rsidR="00E4343B" w:rsidRPr="00054F33" w:rsidRDefault="00E4343B" w:rsidP="00E4343B">
      <w:pPr>
        <w:pStyle w:val="3-BodyText"/>
        <w:rPr>
          <w:bCs/>
        </w:rPr>
      </w:pPr>
      <w:r w:rsidRPr="00054F33">
        <w:rPr>
          <w:bCs/>
        </w:rPr>
        <w:lastRenderedPageBreak/>
        <w:t>The ESC noted that pre</w:t>
      </w:r>
      <w:r w:rsidRPr="00054F33">
        <w:rPr>
          <w:bCs/>
        </w:rPr>
        <w:noBreakHyphen/>
        <w:t>symptomatic patients with 3 copies of the SMN2 gene are most likely to have Type II or III SMA, for which death is unlikely to occur within 2</w:t>
      </w:r>
      <w:r w:rsidR="00A86423">
        <w:rPr>
          <w:bCs/>
        </w:rPr>
        <w:t xml:space="preserve"> </w:t>
      </w:r>
      <w:r w:rsidRPr="00054F33">
        <w:rPr>
          <w:bCs/>
        </w:rPr>
        <w:t xml:space="preserve">years </w:t>
      </w:r>
      <w:r>
        <w:rPr>
          <w:bCs/>
        </w:rPr>
        <w:t xml:space="preserve">and the </w:t>
      </w:r>
      <w:r>
        <w:t>l</w:t>
      </w:r>
      <w:r w:rsidR="00CE02C3" w:rsidRPr="00AE3438">
        <w:t>oss of motor milestone</w:t>
      </w:r>
      <w:r>
        <w:t>s</w:t>
      </w:r>
      <w:r w:rsidR="00CE02C3" w:rsidRPr="00AE3438">
        <w:t xml:space="preserve"> attained may be more important outcomes for this proposed population rather than deaths.</w:t>
      </w:r>
      <w:r w:rsidR="006D6FED" w:rsidRPr="00AE3438">
        <w:t xml:space="preserve"> </w:t>
      </w:r>
      <w:r w:rsidRPr="00054F33">
        <w:t xml:space="preserve">The PSCR considered that the current outcomes-based RSA for ONA would mitigate the risk related to sequential treatments. </w:t>
      </w:r>
      <w:r w:rsidRPr="00054F33">
        <w:rPr>
          <w:bCs/>
        </w:rPr>
        <w:t>The ESC considered that the outcomes-based RSA for ONA may not mitigate the risks in the current context</w:t>
      </w:r>
      <w:r>
        <w:rPr>
          <w:bCs/>
        </w:rPr>
        <w:t xml:space="preserve"> as</w:t>
      </w:r>
      <w:r w:rsidRPr="00054F33">
        <w:rPr>
          <w:bCs/>
        </w:rPr>
        <w:t xml:space="preserve"> patients may not develop milestone regressions in the proposed RSA time-frame</w:t>
      </w:r>
      <w:r>
        <w:rPr>
          <w:bCs/>
        </w:rPr>
        <w:t>, whereas the economic evaluation assumed patients would not develop milestone regressions over a 30 year horizon</w:t>
      </w:r>
      <w:r w:rsidRPr="00054F33">
        <w:rPr>
          <w:bCs/>
        </w:rPr>
        <w:t>.</w:t>
      </w:r>
    </w:p>
    <w:p w14:paraId="50CC9799" w14:textId="283E7D95" w:rsidR="005158F7" w:rsidRPr="004B7105" w:rsidRDefault="003B2E83" w:rsidP="004B7105">
      <w:pPr>
        <w:numPr>
          <w:ilvl w:val="1"/>
          <w:numId w:val="1"/>
        </w:numPr>
        <w:spacing w:after="120"/>
        <w:rPr>
          <w:rFonts w:asciiTheme="minorHAnsi" w:hAnsiTheme="minorHAnsi"/>
          <w:bCs/>
          <w:i/>
          <w:iCs/>
          <w:snapToGrid w:val="0"/>
        </w:rPr>
      </w:pPr>
      <w:r w:rsidRPr="003B2E83">
        <w:rPr>
          <w:rFonts w:asciiTheme="minorHAnsi" w:hAnsiTheme="minorHAnsi"/>
          <w:snapToGrid w:val="0"/>
          <w:lang w:val="en-US"/>
        </w:rPr>
        <w:t>The</w:t>
      </w:r>
      <w:r>
        <w:rPr>
          <w:rFonts w:asciiTheme="minorHAnsi" w:hAnsiTheme="minorHAnsi"/>
          <w:snapToGrid w:val="0"/>
          <w:lang w:val="en-US"/>
        </w:rPr>
        <w:t xml:space="preserve"> pre-PBAC Response considered that </w:t>
      </w:r>
      <w:r w:rsidR="00AB4E6B">
        <w:rPr>
          <w:rFonts w:asciiTheme="minorHAnsi" w:hAnsiTheme="minorHAnsi"/>
          <w:snapToGrid w:val="0"/>
          <w:lang w:val="en-US"/>
        </w:rPr>
        <w:t xml:space="preserve">uncertainty around treatment benefit should be addressed via </w:t>
      </w:r>
      <w:r w:rsidR="00A86423">
        <w:rPr>
          <w:rFonts w:asciiTheme="minorHAnsi" w:hAnsiTheme="minorHAnsi"/>
          <w:snapToGrid w:val="0"/>
          <w:lang w:val="en-US"/>
        </w:rPr>
        <w:t xml:space="preserve">analysis of the clinical data and </w:t>
      </w:r>
      <w:r w:rsidR="00AB4E6B">
        <w:rPr>
          <w:rFonts w:asciiTheme="minorHAnsi" w:hAnsiTheme="minorHAnsi"/>
          <w:snapToGrid w:val="0"/>
          <w:lang w:val="en-US"/>
        </w:rPr>
        <w:t xml:space="preserve">the price of </w:t>
      </w:r>
      <w:r w:rsidR="00AE2432">
        <w:rPr>
          <w:rFonts w:asciiTheme="minorHAnsi" w:hAnsiTheme="minorHAnsi"/>
          <w:snapToGrid w:val="0"/>
          <w:lang w:val="en-US"/>
        </w:rPr>
        <w:t xml:space="preserve">the </w:t>
      </w:r>
      <w:r w:rsidR="00AB4E6B">
        <w:rPr>
          <w:rFonts w:asciiTheme="minorHAnsi" w:hAnsiTheme="minorHAnsi"/>
          <w:snapToGrid w:val="0"/>
          <w:lang w:val="en-US"/>
        </w:rPr>
        <w:t xml:space="preserve">treatment </w:t>
      </w:r>
      <w:r w:rsidR="00A86423">
        <w:rPr>
          <w:rFonts w:asciiTheme="minorHAnsi" w:hAnsiTheme="minorHAnsi"/>
          <w:snapToGrid w:val="0"/>
          <w:lang w:val="en-US"/>
        </w:rPr>
        <w:t xml:space="preserve">determined via cost-effectiveness analysis </w:t>
      </w:r>
      <w:r w:rsidR="00AB4E6B">
        <w:rPr>
          <w:rFonts w:asciiTheme="minorHAnsi" w:hAnsiTheme="minorHAnsi"/>
          <w:snapToGrid w:val="0"/>
          <w:lang w:val="en-US"/>
        </w:rPr>
        <w:t>rather than through an RSA</w:t>
      </w:r>
    </w:p>
    <w:p w14:paraId="1831117A" w14:textId="77777777" w:rsidR="00054F33" w:rsidRPr="00054F33" w:rsidRDefault="00054F33" w:rsidP="00054F33">
      <w:pPr>
        <w:spacing w:after="120"/>
        <w:ind w:firstLine="709"/>
        <w:rPr>
          <w:rFonts w:asciiTheme="minorHAnsi" w:hAnsiTheme="minorHAnsi" w:cs="Times New Roman"/>
          <w:i/>
          <w:lang w:eastAsia="en-US"/>
        </w:rPr>
      </w:pPr>
      <w:r w:rsidRPr="00054F33">
        <w:rPr>
          <w:rFonts w:asciiTheme="minorHAnsi" w:hAnsiTheme="minorHAnsi" w:cs="Times New Roman"/>
          <w:i/>
          <w:lang w:eastAsia="en-US"/>
        </w:rPr>
        <w:t>For more detail on PBAC’s view, see section 7 PBAC outcome.</w:t>
      </w:r>
    </w:p>
    <w:p w14:paraId="3CE1FB85" w14:textId="77777777" w:rsidR="00054F33" w:rsidRPr="0090150D" w:rsidRDefault="00054F33" w:rsidP="001B49CC">
      <w:pPr>
        <w:pStyle w:val="2-SectionHeading"/>
      </w:pPr>
      <w:bookmarkStart w:id="84" w:name="_Hlk76381249"/>
      <w:bookmarkStart w:id="85" w:name="_Hlk76377955"/>
      <w:r w:rsidRPr="0090150D">
        <w:t>PBAC Outcome</w:t>
      </w:r>
    </w:p>
    <w:p w14:paraId="2D6DCEA2" w14:textId="49BEBD99" w:rsidR="00545C5E" w:rsidRDefault="00545C5E" w:rsidP="00054F33">
      <w:pPr>
        <w:widowControl w:val="0"/>
        <w:numPr>
          <w:ilvl w:val="1"/>
          <w:numId w:val="1"/>
        </w:numPr>
        <w:spacing w:after="120"/>
        <w:rPr>
          <w:rFonts w:asciiTheme="minorHAnsi" w:hAnsiTheme="minorHAnsi"/>
          <w:snapToGrid w:val="0"/>
          <w:lang w:val="en-GB"/>
        </w:rPr>
      </w:pPr>
      <w:bookmarkStart w:id="86" w:name="_Hlk111543188"/>
      <w:r w:rsidRPr="00545C5E">
        <w:rPr>
          <w:rFonts w:asciiTheme="minorHAnsi" w:hAnsiTheme="minorHAnsi"/>
          <w:snapToGrid w:val="0"/>
          <w:lang w:val="en-GB"/>
        </w:rPr>
        <w:t xml:space="preserve">The </w:t>
      </w:r>
      <w:bookmarkStart w:id="87" w:name="_Hlk120733657"/>
      <w:r w:rsidRPr="00545C5E">
        <w:rPr>
          <w:rFonts w:asciiTheme="minorHAnsi" w:hAnsiTheme="minorHAnsi"/>
          <w:snapToGrid w:val="0"/>
          <w:lang w:val="en-GB"/>
        </w:rPr>
        <w:t>PBAC did not recommend onasemnogene abeparvovec</w:t>
      </w:r>
      <w:r>
        <w:rPr>
          <w:rFonts w:asciiTheme="minorHAnsi" w:hAnsiTheme="minorHAnsi"/>
          <w:snapToGrid w:val="0"/>
          <w:lang w:val="en-GB"/>
        </w:rPr>
        <w:t xml:space="preserve"> (ONA)</w:t>
      </w:r>
      <w:r w:rsidRPr="00545C5E">
        <w:rPr>
          <w:rFonts w:asciiTheme="minorHAnsi" w:hAnsiTheme="minorHAnsi"/>
          <w:snapToGrid w:val="0"/>
          <w:lang w:val="en-GB"/>
        </w:rPr>
        <w:t xml:space="preserve"> for the treatment of pre-symptomatic patients who are genetically diagnosed with spinal muscular atrophy (SMA) and have 3 copies of the Survival Motor Neuron 2 (</w:t>
      </w:r>
      <w:r w:rsidRPr="002D5B6E">
        <w:rPr>
          <w:rFonts w:asciiTheme="minorHAnsi" w:hAnsiTheme="minorHAnsi"/>
          <w:snapToGrid w:val="0"/>
          <w:lang w:val="en-GB"/>
        </w:rPr>
        <w:t>SMN2</w:t>
      </w:r>
      <w:r w:rsidRPr="00545C5E">
        <w:rPr>
          <w:rFonts w:asciiTheme="minorHAnsi" w:hAnsiTheme="minorHAnsi"/>
          <w:snapToGrid w:val="0"/>
          <w:lang w:val="en-GB"/>
        </w:rPr>
        <w:t xml:space="preserve">) gene. The PBAC considered that pre-symptomatic treatment with </w:t>
      </w:r>
      <w:r w:rsidR="002D5B6E">
        <w:rPr>
          <w:rFonts w:asciiTheme="minorHAnsi" w:hAnsiTheme="minorHAnsi"/>
          <w:snapToGrid w:val="0"/>
          <w:lang w:val="en-GB"/>
        </w:rPr>
        <w:t>ONA</w:t>
      </w:r>
      <w:r w:rsidRPr="00545C5E">
        <w:rPr>
          <w:rFonts w:asciiTheme="minorHAnsi" w:hAnsiTheme="minorHAnsi"/>
          <w:snapToGrid w:val="0"/>
          <w:lang w:val="en-GB"/>
        </w:rPr>
        <w:t xml:space="preserve"> may provide clinical benefit for some patients compared to treatment with existing disease modifying therapies following the onset of symptoms. However, the PBAC noted the magnitude of benefit was unclear from the limited clinical data available. The PBAC considered that the economic model presented was unreliable for informing the cost</w:t>
      </w:r>
      <w:r w:rsidR="00993AB9">
        <w:rPr>
          <w:rFonts w:asciiTheme="minorHAnsi" w:hAnsiTheme="minorHAnsi"/>
          <w:snapToGrid w:val="0"/>
          <w:lang w:val="en-GB"/>
        </w:rPr>
        <w:noBreakHyphen/>
      </w:r>
      <w:r w:rsidRPr="00545C5E">
        <w:rPr>
          <w:rFonts w:asciiTheme="minorHAnsi" w:hAnsiTheme="minorHAnsi"/>
          <w:snapToGrid w:val="0"/>
          <w:lang w:val="en-GB"/>
        </w:rPr>
        <w:t xml:space="preserve">effectiveness of </w:t>
      </w:r>
      <w:r w:rsidR="002D5B6E">
        <w:rPr>
          <w:rFonts w:asciiTheme="minorHAnsi" w:hAnsiTheme="minorHAnsi"/>
          <w:snapToGrid w:val="0"/>
          <w:lang w:val="en-GB"/>
        </w:rPr>
        <w:t>ONA</w:t>
      </w:r>
      <w:r w:rsidRPr="00545C5E">
        <w:rPr>
          <w:rFonts w:asciiTheme="minorHAnsi" w:hAnsiTheme="minorHAnsi"/>
          <w:snapToGrid w:val="0"/>
          <w:lang w:val="en-GB"/>
        </w:rPr>
        <w:t xml:space="preserve">. The PBAC noted that the price requested was substantially higher than the </w:t>
      </w:r>
      <w:r w:rsidR="00565492">
        <w:rPr>
          <w:rFonts w:asciiTheme="minorHAnsi" w:hAnsiTheme="minorHAnsi"/>
          <w:snapToGrid w:val="0"/>
          <w:lang w:val="en-GB"/>
        </w:rPr>
        <w:t xml:space="preserve">current </w:t>
      </w:r>
      <w:r w:rsidRPr="00545C5E">
        <w:rPr>
          <w:rFonts w:asciiTheme="minorHAnsi" w:hAnsiTheme="minorHAnsi"/>
          <w:snapToGrid w:val="0"/>
          <w:lang w:val="en-GB"/>
        </w:rPr>
        <w:t xml:space="preserve">price for patients with 1-2 copies of </w:t>
      </w:r>
      <w:r w:rsidRPr="00AD5CEF">
        <w:rPr>
          <w:rFonts w:asciiTheme="minorHAnsi" w:hAnsiTheme="minorHAnsi"/>
          <w:i/>
          <w:iCs/>
          <w:snapToGrid w:val="0"/>
          <w:lang w:val="en-GB"/>
        </w:rPr>
        <w:t>SMN2</w:t>
      </w:r>
      <w:r w:rsidRPr="00545C5E">
        <w:rPr>
          <w:rFonts w:asciiTheme="minorHAnsi" w:hAnsiTheme="minorHAnsi"/>
          <w:snapToGrid w:val="0"/>
          <w:lang w:val="en-GB"/>
        </w:rPr>
        <w:t xml:space="preserve"> and considered </w:t>
      </w:r>
      <w:r w:rsidR="00565492">
        <w:rPr>
          <w:rFonts w:asciiTheme="minorHAnsi" w:hAnsiTheme="minorHAnsi"/>
          <w:snapToGrid w:val="0"/>
          <w:lang w:val="en-GB"/>
        </w:rPr>
        <w:t>this</w:t>
      </w:r>
      <w:r w:rsidRPr="00545C5E">
        <w:rPr>
          <w:rFonts w:asciiTheme="minorHAnsi" w:hAnsiTheme="minorHAnsi"/>
          <w:snapToGrid w:val="0"/>
          <w:lang w:val="en-GB"/>
        </w:rPr>
        <w:t xml:space="preserve"> </w:t>
      </w:r>
      <w:r w:rsidR="00565492">
        <w:rPr>
          <w:rFonts w:asciiTheme="minorHAnsi" w:hAnsiTheme="minorHAnsi"/>
          <w:snapToGrid w:val="0"/>
          <w:lang w:val="en-GB"/>
        </w:rPr>
        <w:t>to be</w:t>
      </w:r>
      <w:r w:rsidR="00565492" w:rsidRPr="00545C5E">
        <w:rPr>
          <w:rFonts w:asciiTheme="minorHAnsi" w:hAnsiTheme="minorHAnsi"/>
          <w:snapToGrid w:val="0"/>
          <w:lang w:val="en-GB"/>
        </w:rPr>
        <w:t xml:space="preserve"> </w:t>
      </w:r>
      <w:r w:rsidR="00565492">
        <w:rPr>
          <w:rFonts w:asciiTheme="minorHAnsi" w:hAnsiTheme="minorHAnsi"/>
          <w:snapToGrid w:val="0"/>
          <w:lang w:val="en-GB"/>
        </w:rPr>
        <w:t>in</w:t>
      </w:r>
      <w:r w:rsidRPr="00545C5E">
        <w:rPr>
          <w:rFonts w:asciiTheme="minorHAnsi" w:hAnsiTheme="minorHAnsi"/>
          <w:snapToGrid w:val="0"/>
          <w:lang w:val="en-GB"/>
        </w:rPr>
        <w:t xml:space="preserve">consistent with the </w:t>
      </w:r>
      <w:r w:rsidR="00565492">
        <w:rPr>
          <w:rFonts w:asciiTheme="minorHAnsi" w:hAnsiTheme="minorHAnsi"/>
          <w:snapToGrid w:val="0"/>
          <w:lang w:val="en-GB"/>
        </w:rPr>
        <w:t>reduced incremental</w:t>
      </w:r>
      <w:r w:rsidRPr="00545C5E">
        <w:rPr>
          <w:rFonts w:asciiTheme="minorHAnsi" w:hAnsiTheme="minorHAnsi"/>
          <w:snapToGrid w:val="0"/>
          <w:lang w:val="en-GB"/>
        </w:rPr>
        <w:t xml:space="preserve"> benefit that would be </w:t>
      </w:r>
      <w:r w:rsidR="00565492">
        <w:rPr>
          <w:rFonts w:asciiTheme="minorHAnsi" w:hAnsiTheme="minorHAnsi"/>
          <w:snapToGrid w:val="0"/>
          <w:lang w:val="en-GB"/>
        </w:rPr>
        <w:t>observed</w:t>
      </w:r>
      <w:r w:rsidR="00565492" w:rsidRPr="00545C5E">
        <w:rPr>
          <w:rFonts w:asciiTheme="minorHAnsi" w:hAnsiTheme="minorHAnsi"/>
          <w:snapToGrid w:val="0"/>
          <w:lang w:val="en-GB"/>
        </w:rPr>
        <w:t xml:space="preserve"> </w:t>
      </w:r>
      <w:r w:rsidRPr="00545C5E">
        <w:rPr>
          <w:rFonts w:asciiTheme="minorHAnsi" w:hAnsiTheme="minorHAnsi"/>
          <w:snapToGrid w:val="0"/>
          <w:lang w:val="en-GB"/>
        </w:rPr>
        <w:t xml:space="preserve">for patients with 3 copies of </w:t>
      </w:r>
      <w:r w:rsidRPr="00AD5CEF">
        <w:rPr>
          <w:rFonts w:asciiTheme="minorHAnsi" w:hAnsiTheme="minorHAnsi"/>
          <w:i/>
          <w:iCs/>
          <w:snapToGrid w:val="0"/>
          <w:lang w:val="en-GB"/>
        </w:rPr>
        <w:t>SMN2</w:t>
      </w:r>
      <w:r w:rsidRPr="00545C5E">
        <w:rPr>
          <w:rFonts w:asciiTheme="minorHAnsi" w:hAnsiTheme="minorHAnsi"/>
          <w:snapToGrid w:val="0"/>
          <w:lang w:val="en-GB"/>
        </w:rPr>
        <w:t xml:space="preserve">. The PBAC considered </w:t>
      </w:r>
      <w:r w:rsidR="00764EE3">
        <w:rPr>
          <w:rFonts w:asciiTheme="minorHAnsi" w:hAnsiTheme="minorHAnsi"/>
          <w:snapToGrid w:val="0"/>
          <w:lang w:val="en-GB"/>
        </w:rPr>
        <w:t>for ONA to be similarly cost</w:t>
      </w:r>
      <w:r w:rsidR="00A86423">
        <w:rPr>
          <w:rFonts w:asciiTheme="minorHAnsi" w:hAnsiTheme="minorHAnsi"/>
          <w:snapToGrid w:val="0"/>
          <w:lang w:val="en-GB"/>
        </w:rPr>
        <w:noBreakHyphen/>
      </w:r>
      <w:r w:rsidR="00764EE3">
        <w:rPr>
          <w:rFonts w:asciiTheme="minorHAnsi" w:hAnsiTheme="minorHAnsi"/>
          <w:snapToGrid w:val="0"/>
          <w:lang w:val="en-GB"/>
        </w:rPr>
        <w:t xml:space="preserve">effective in the expanded population </w:t>
      </w:r>
      <w:r w:rsidRPr="00545C5E">
        <w:rPr>
          <w:rFonts w:asciiTheme="minorHAnsi" w:hAnsiTheme="minorHAnsi"/>
          <w:snapToGrid w:val="0"/>
          <w:lang w:val="en-GB"/>
        </w:rPr>
        <w:t xml:space="preserve">that </w:t>
      </w:r>
      <w:r w:rsidR="00565492">
        <w:rPr>
          <w:rFonts w:asciiTheme="minorHAnsi" w:hAnsiTheme="minorHAnsi"/>
          <w:snapToGrid w:val="0"/>
          <w:lang w:val="en-GB"/>
        </w:rPr>
        <w:t>the</w:t>
      </w:r>
      <w:r w:rsidRPr="00545C5E">
        <w:rPr>
          <w:rFonts w:asciiTheme="minorHAnsi" w:hAnsiTheme="minorHAnsi"/>
          <w:snapToGrid w:val="0"/>
          <w:lang w:val="en-GB"/>
        </w:rPr>
        <w:t xml:space="preserve"> price </w:t>
      </w:r>
      <w:r w:rsidR="00565492">
        <w:rPr>
          <w:rFonts w:asciiTheme="minorHAnsi" w:hAnsiTheme="minorHAnsi"/>
          <w:snapToGrid w:val="0"/>
          <w:lang w:val="en-GB"/>
        </w:rPr>
        <w:t>of ONA</w:t>
      </w:r>
      <w:r w:rsidR="00565492" w:rsidRPr="00545C5E">
        <w:rPr>
          <w:rFonts w:asciiTheme="minorHAnsi" w:hAnsiTheme="minorHAnsi"/>
          <w:snapToGrid w:val="0"/>
          <w:lang w:val="en-GB"/>
        </w:rPr>
        <w:t xml:space="preserve"> </w:t>
      </w:r>
      <w:r w:rsidRPr="00545C5E">
        <w:rPr>
          <w:rFonts w:asciiTheme="minorHAnsi" w:hAnsiTheme="minorHAnsi"/>
          <w:snapToGrid w:val="0"/>
          <w:lang w:val="en-GB"/>
        </w:rPr>
        <w:t xml:space="preserve">would </w:t>
      </w:r>
      <w:r w:rsidR="00764EE3">
        <w:rPr>
          <w:rFonts w:asciiTheme="minorHAnsi" w:hAnsiTheme="minorHAnsi"/>
          <w:snapToGrid w:val="0"/>
          <w:lang w:val="en-GB"/>
        </w:rPr>
        <w:t xml:space="preserve">need to </w:t>
      </w:r>
      <w:r w:rsidRPr="00545C5E">
        <w:rPr>
          <w:rFonts w:asciiTheme="minorHAnsi" w:hAnsiTheme="minorHAnsi"/>
          <w:snapToGrid w:val="0"/>
          <w:lang w:val="en-GB"/>
        </w:rPr>
        <w:t xml:space="preserve">be </w:t>
      </w:r>
      <w:r w:rsidR="00565492">
        <w:rPr>
          <w:rFonts w:asciiTheme="minorHAnsi" w:hAnsiTheme="minorHAnsi"/>
          <w:snapToGrid w:val="0"/>
          <w:lang w:val="en-GB"/>
        </w:rPr>
        <w:t>substantially less than</w:t>
      </w:r>
      <w:r w:rsidR="00565492" w:rsidRPr="00545C5E">
        <w:rPr>
          <w:rFonts w:asciiTheme="minorHAnsi" w:hAnsiTheme="minorHAnsi"/>
          <w:snapToGrid w:val="0"/>
          <w:lang w:val="en-GB"/>
        </w:rPr>
        <w:t xml:space="preserve"> </w:t>
      </w:r>
      <w:r w:rsidR="00565492">
        <w:rPr>
          <w:rFonts w:asciiTheme="minorHAnsi" w:hAnsiTheme="minorHAnsi"/>
          <w:snapToGrid w:val="0"/>
          <w:lang w:val="en-GB"/>
        </w:rPr>
        <w:t>for the current listing</w:t>
      </w:r>
      <w:r w:rsidRPr="00545C5E">
        <w:rPr>
          <w:rFonts w:asciiTheme="minorHAnsi" w:hAnsiTheme="minorHAnsi"/>
          <w:snapToGrid w:val="0"/>
          <w:lang w:val="en-GB"/>
        </w:rPr>
        <w:t>.</w:t>
      </w:r>
    </w:p>
    <w:bookmarkEnd w:id="87"/>
    <w:p w14:paraId="0CED0418" w14:textId="78B63329" w:rsidR="009256C2" w:rsidRPr="009256C2" w:rsidRDefault="002630D3" w:rsidP="002630D3">
      <w:pPr>
        <w:pStyle w:val="3-BodyText"/>
        <w:widowControl w:val="0"/>
        <w:rPr>
          <w:bCs/>
        </w:rPr>
      </w:pPr>
      <w:r w:rsidRPr="00917415">
        <w:t>The PBAC</w:t>
      </w:r>
      <w:r w:rsidR="00FF09BB">
        <w:t xml:space="preserve"> </w:t>
      </w:r>
      <w:r w:rsidR="009256C2">
        <w:t>noted the strong support from consumers and organisations for ONA to be made available to patients</w:t>
      </w:r>
      <w:r w:rsidR="00D81286">
        <w:t xml:space="preserve"> genetically diagnosed with SMA who have</w:t>
      </w:r>
      <w:r w:rsidR="009256C2">
        <w:t xml:space="preserve"> 3 </w:t>
      </w:r>
      <w:r w:rsidR="009256C2" w:rsidRPr="009256C2">
        <w:rPr>
          <w:i/>
          <w:iCs/>
        </w:rPr>
        <w:t>SMN2</w:t>
      </w:r>
      <w:r w:rsidR="009256C2">
        <w:t xml:space="preserve"> copies</w:t>
      </w:r>
      <w:r w:rsidR="007A4377">
        <w:t xml:space="preserve">. </w:t>
      </w:r>
      <w:r w:rsidR="009B4C73">
        <w:t xml:space="preserve">The PBAC acknowledged </w:t>
      </w:r>
      <w:r w:rsidR="00B43490">
        <w:t xml:space="preserve">there was a need for </w:t>
      </w:r>
      <w:r w:rsidR="009F7A6F">
        <w:t>equitable access to treatment for all infants genetically diagnosed with SMA</w:t>
      </w:r>
      <w:r w:rsidR="00D81286">
        <w:t xml:space="preserve">, noting that newborn </w:t>
      </w:r>
      <w:r w:rsidR="00D81286" w:rsidRPr="00D81286">
        <w:t>bloodspot screening</w:t>
      </w:r>
      <w:r w:rsidR="00757B52">
        <w:t xml:space="preserve"> programs are planned to be rolled out across Australia. </w:t>
      </w:r>
    </w:p>
    <w:p w14:paraId="6A1FC84F" w14:textId="410B5CE6" w:rsidR="00CC1EC5" w:rsidRPr="00A46DC4" w:rsidRDefault="00CC1EC5" w:rsidP="00CC1EC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CA5DCB">
        <w:rPr>
          <w:rFonts w:asciiTheme="minorHAnsi" w:hAnsiTheme="minorHAnsi"/>
          <w:snapToGrid w:val="0"/>
          <w:lang w:val="en-GB"/>
        </w:rPr>
        <w:t xml:space="preserve">also </w:t>
      </w:r>
      <w:r>
        <w:rPr>
          <w:rFonts w:asciiTheme="minorHAnsi" w:hAnsiTheme="minorHAnsi"/>
          <w:snapToGrid w:val="0"/>
          <w:lang w:val="en-GB"/>
        </w:rPr>
        <w:t>acknowledged that the clinical landscape of SMA is rapidly changing as the disease, which was previously considered fatal, has now become treatable</w:t>
      </w:r>
      <w:r w:rsidRPr="002244DD">
        <w:rPr>
          <w:rFonts w:asciiTheme="minorHAnsi" w:hAnsiTheme="minorHAnsi"/>
          <w:snapToGrid w:val="0"/>
        </w:rPr>
        <w:t xml:space="preserve"> </w:t>
      </w:r>
      <w:r>
        <w:rPr>
          <w:rFonts w:asciiTheme="minorHAnsi" w:hAnsiTheme="minorHAnsi"/>
          <w:snapToGrid w:val="0"/>
        </w:rPr>
        <w:t xml:space="preserve">following the development of effective disease modifying therapies. The PBAC noted that in turn, the clinical approach to SMA is shifting towards early detection and intervention, and disease classification is shifting from SMA types, which was based on the age at which symptoms are identified, towards </w:t>
      </w:r>
      <w:r w:rsidRPr="00AA71A6">
        <w:rPr>
          <w:rFonts w:asciiTheme="minorHAnsi" w:hAnsiTheme="minorHAnsi"/>
          <w:snapToGrid w:val="0"/>
        </w:rPr>
        <w:t>classification as non</w:t>
      </w:r>
      <w:r>
        <w:rPr>
          <w:rFonts w:asciiTheme="minorHAnsi" w:hAnsiTheme="minorHAnsi"/>
          <w:snapToGrid w:val="0"/>
        </w:rPr>
        <w:t>-</w:t>
      </w:r>
      <w:r w:rsidRPr="00AA71A6">
        <w:rPr>
          <w:rFonts w:asciiTheme="minorHAnsi" w:hAnsiTheme="minorHAnsi"/>
          <w:snapToGrid w:val="0"/>
        </w:rPr>
        <w:t>sitters, sitters and walkers</w:t>
      </w:r>
      <w:r>
        <w:rPr>
          <w:rFonts w:asciiTheme="minorHAnsi" w:hAnsiTheme="minorHAnsi"/>
          <w:snapToGrid w:val="0"/>
        </w:rPr>
        <w:t>,</w:t>
      </w:r>
      <w:r w:rsidRPr="00AA71A6">
        <w:rPr>
          <w:rFonts w:asciiTheme="minorHAnsi" w:hAnsiTheme="minorHAnsi"/>
          <w:snapToGrid w:val="0"/>
        </w:rPr>
        <w:t xml:space="preserve"> </w:t>
      </w:r>
      <w:r>
        <w:rPr>
          <w:rFonts w:asciiTheme="minorHAnsi" w:hAnsiTheme="minorHAnsi"/>
          <w:snapToGrid w:val="0"/>
        </w:rPr>
        <w:t>which recognises</w:t>
      </w:r>
      <w:r w:rsidRPr="00AA71A6">
        <w:rPr>
          <w:rFonts w:asciiTheme="minorHAnsi" w:hAnsiTheme="minorHAnsi"/>
          <w:snapToGrid w:val="0"/>
        </w:rPr>
        <w:t xml:space="preserve"> SMA phenotype as a continuum and </w:t>
      </w:r>
      <w:r>
        <w:rPr>
          <w:rFonts w:asciiTheme="minorHAnsi" w:hAnsiTheme="minorHAnsi"/>
          <w:snapToGrid w:val="0"/>
        </w:rPr>
        <w:t xml:space="preserve">is more </w:t>
      </w:r>
      <w:r>
        <w:rPr>
          <w:rFonts w:asciiTheme="minorHAnsi" w:hAnsiTheme="minorHAnsi"/>
          <w:snapToGrid w:val="0"/>
        </w:rPr>
        <w:lastRenderedPageBreak/>
        <w:t>focused on</w:t>
      </w:r>
      <w:r w:rsidRPr="00AA71A6">
        <w:rPr>
          <w:rFonts w:asciiTheme="minorHAnsi" w:hAnsiTheme="minorHAnsi"/>
          <w:snapToGrid w:val="0"/>
        </w:rPr>
        <w:t xml:space="preserve"> current functional status and </w:t>
      </w:r>
      <w:r>
        <w:rPr>
          <w:rFonts w:asciiTheme="minorHAnsi" w:hAnsiTheme="minorHAnsi"/>
          <w:snapToGrid w:val="0"/>
        </w:rPr>
        <w:t>therapy response. The PBAC noted that the existing restrictions for symptomatic treatment of SMA refer to classification by SMA type</w:t>
      </w:r>
      <w:r w:rsidR="00CA5DCB">
        <w:rPr>
          <w:rFonts w:asciiTheme="minorHAnsi" w:hAnsiTheme="minorHAnsi"/>
          <w:snapToGrid w:val="0"/>
        </w:rPr>
        <w:t>, reflect</w:t>
      </w:r>
      <w:r w:rsidR="00E22C2B">
        <w:rPr>
          <w:rFonts w:asciiTheme="minorHAnsi" w:hAnsiTheme="minorHAnsi"/>
          <w:snapToGrid w:val="0"/>
        </w:rPr>
        <w:t>ing</w:t>
      </w:r>
      <w:r w:rsidR="00CA5DCB">
        <w:rPr>
          <w:rFonts w:asciiTheme="minorHAnsi" w:hAnsiTheme="minorHAnsi"/>
          <w:snapToGrid w:val="0"/>
        </w:rPr>
        <w:t xml:space="preserve"> the various submissions and considerations of cost-effectiveness in various sub-populations</w:t>
      </w:r>
      <w:r>
        <w:rPr>
          <w:rFonts w:asciiTheme="minorHAnsi" w:hAnsiTheme="minorHAnsi"/>
          <w:snapToGrid w:val="0"/>
        </w:rPr>
        <w:t xml:space="preserve">. The PBAC considered that the sponsor may wish to consider how </w:t>
      </w:r>
      <w:r w:rsidR="00E22C2B">
        <w:rPr>
          <w:rFonts w:asciiTheme="minorHAnsi" w:hAnsiTheme="minorHAnsi"/>
          <w:snapToGrid w:val="0"/>
        </w:rPr>
        <w:t xml:space="preserve">the </w:t>
      </w:r>
      <w:r>
        <w:rPr>
          <w:rFonts w:asciiTheme="minorHAnsi" w:hAnsiTheme="minorHAnsi"/>
          <w:snapToGrid w:val="0"/>
        </w:rPr>
        <w:t>ONA restrictions could be revised to align more closely with current clinical classification and management of SMA in a future resubmission.</w:t>
      </w:r>
    </w:p>
    <w:p w14:paraId="7257B441" w14:textId="236091DA" w:rsidR="00A46DC4" w:rsidRPr="0040344A" w:rsidRDefault="00A46DC4" w:rsidP="00CC1EC5">
      <w:pPr>
        <w:widowControl w:val="0"/>
        <w:numPr>
          <w:ilvl w:val="1"/>
          <w:numId w:val="1"/>
        </w:numPr>
        <w:spacing w:after="120"/>
        <w:rPr>
          <w:rFonts w:asciiTheme="minorHAnsi" w:hAnsiTheme="minorHAnsi"/>
          <w:snapToGrid w:val="0"/>
          <w:lang w:val="en-GB"/>
        </w:rPr>
      </w:pPr>
      <w:r w:rsidRPr="00054F33">
        <w:rPr>
          <w:iCs/>
        </w:rPr>
        <w:t xml:space="preserve">The </w:t>
      </w:r>
      <w:r w:rsidR="00CA5DCB">
        <w:rPr>
          <w:iCs/>
        </w:rPr>
        <w:t xml:space="preserve">PBAC agreed with </w:t>
      </w:r>
      <w:r w:rsidRPr="00054F33">
        <w:rPr>
          <w:iCs/>
        </w:rPr>
        <w:t>ESC that the move to pre</w:t>
      </w:r>
      <w:r w:rsidRPr="00054F33">
        <w:rPr>
          <w:iCs/>
        </w:rPr>
        <w:noBreakHyphen/>
        <w:t xml:space="preserve">symptomatic treatment in patients who may have otherwise gone on to develop less severe disease represents a substantial shift to preventive treatment. </w:t>
      </w:r>
      <w:r w:rsidR="00234633" w:rsidRPr="00054F33">
        <w:rPr>
          <w:iCs/>
        </w:rPr>
        <w:t xml:space="preserve">The </w:t>
      </w:r>
      <w:r w:rsidR="00234633">
        <w:rPr>
          <w:iCs/>
        </w:rPr>
        <w:t>PBAC</w:t>
      </w:r>
      <w:r w:rsidR="00234633" w:rsidRPr="00054F33">
        <w:rPr>
          <w:iCs/>
        </w:rPr>
        <w:t xml:space="preserve"> considered this may require a different approach to consideration of cost-effectiveness compared with when DMTs first became available as potentially life-saving treatments for patients with severe disease.</w:t>
      </w:r>
      <w:r w:rsidR="00234633">
        <w:rPr>
          <w:iCs/>
        </w:rPr>
        <w:t xml:space="preserve"> </w:t>
      </w:r>
    </w:p>
    <w:p w14:paraId="5A033C35" w14:textId="004DFE25" w:rsidR="002630D3" w:rsidRPr="00B51A56" w:rsidRDefault="00E817A5" w:rsidP="00B51A56">
      <w:pPr>
        <w:pStyle w:val="3-BodyText"/>
        <w:rPr>
          <w:lang w:val="en-GB"/>
        </w:rPr>
      </w:pPr>
      <w:r>
        <w:rPr>
          <w:lang w:val="en-GB"/>
        </w:rPr>
        <w:t>The PBAC noted that the evidence presented consisted of small single-arm, open label studies</w:t>
      </w:r>
      <w:r w:rsidR="00154466">
        <w:rPr>
          <w:lang w:val="en-GB"/>
        </w:rPr>
        <w:t xml:space="preserve"> and associated follow-up extension</w:t>
      </w:r>
      <w:r w:rsidR="00231686">
        <w:rPr>
          <w:lang w:val="en-GB"/>
        </w:rPr>
        <w:t xml:space="preserve">s </w:t>
      </w:r>
      <w:r w:rsidR="00154466">
        <w:rPr>
          <w:lang w:val="en-GB"/>
        </w:rPr>
        <w:t xml:space="preserve">which it had considered </w:t>
      </w:r>
      <w:r w:rsidR="00D77E1A">
        <w:rPr>
          <w:lang w:val="en-GB"/>
        </w:rPr>
        <w:t xml:space="preserve">in previous </w:t>
      </w:r>
      <w:r w:rsidR="00D77E1A" w:rsidRPr="00D77E1A">
        <w:rPr>
          <w:lang w:val="en-GB"/>
        </w:rPr>
        <w:t xml:space="preserve">submissions </w:t>
      </w:r>
      <w:r w:rsidR="00D77E1A">
        <w:rPr>
          <w:lang w:val="en-GB"/>
        </w:rPr>
        <w:t>for disease modifying therapies</w:t>
      </w:r>
      <w:r w:rsidR="00D77E1A" w:rsidRPr="00D77E1A">
        <w:rPr>
          <w:lang w:val="en-GB"/>
        </w:rPr>
        <w:t xml:space="preserve"> for</w:t>
      </w:r>
      <w:r w:rsidR="00064F22">
        <w:rPr>
          <w:lang w:val="en-GB"/>
        </w:rPr>
        <w:t xml:space="preserve"> </w:t>
      </w:r>
      <w:r w:rsidR="00D77E1A" w:rsidRPr="00D77E1A">
        <w:rPr>
          <w:lang w:val="en-GB"/>
        </w:rPr>
        <w:t>SMA</w:t>
      </w:r>
      <w:r w:rsidR="00D77E1A">
        <w:rPr>
          <w:lang w:val="en-GB"/>
        </w:rPr>
        <w:t xml:space="preserve">. </w:t>
      </w:r>
      <w:r w:rsidR="00BB0C8E">
        <w:rPr>
          <w:lang w:val="en-GB"/>
        </w:rPr>
        <w:t xml:space="preserve">The </w:t>
      </w:r>
      <w:r w:rsidR="00BB0C8E" w:rsidRPr="00BB0C8E">
        <w:rPr>
          <w:lang w:val="en-GB"/>
        </w:rPr>
        <w:t>PBAC noted</w:t>
      </w:r>
      <w:r w:rsidR="00BB0C8E">
        <w:rPr>
          <w:lang w:val="en-GB"/>
        </w:rPr>
        <w:t xml:space="preserve"> </w:t>
      </w:r>
      <w:r w:rsidR="00BB0C8E" w:rsidRPr="00BB0C8E">
        <w:rPr>
          <w:lang w:val="en-GB"/>
        </w:rPr>
        <w:t xml:space="preserve">the clinical claim </w:t>
      </w:r>
      <w:r w:rsidR="00BB0C8E">
        <w:rPr>
          <w:lang w:val="en-GB"/>
        </w:rPr>
        <w:t xml:space="preserve">of </w:t>
      </w:r>
      <w:r w:rsidR="00BB0C8E" w:rsidRPr="00BB0C8E">
        <w:rPr>
          <w:lang w:val="en-GB"/>
        </w:rPr>
        <w:t xml:space="preserve">superior effectiveness compared to symptomatic treatment with </w:t>
      </w:r>
      <w:r w:rsidR="00BB0C8E">
        <w:rPr>
          <w:lang w:val="en-GB"/>
        </w:rPr>
        <w:t>disease modifying therapies</w:t>
      </w:r>
      <w:r w:rsidR="009100E7">
        <w:rPr>
          <w:lang w:val="en-GB"/>
        </w:rPr>
        <w:t xml:space="preserve"> </w:t>
      </w:r>
      <w:r w:rsidR="00BB0C8E" w:rsidRPr="00BB0C8E">
        <w:rPr>
          <w:lang w:val="en-GB"/>
        </w:rPr>
        <w:t>was</w:t>
      </w:r>
      <w:r w:rsidR="009100E7">
        <w:rPr>
          <w:lang w:val="en-GB"/>
        </w:rPr>
        <w:t xml:space="preserve"> based on crude comparisons</w:t>
      </w:r>
      <w:r w:rsidR="004114CC">
        <w:rPr>
          <w:lang w:val="en-GB"/>
        </w:rPr>
        <w:t xml:space="preserve"> of</w:t>
      </w:r>
      <w:r w:rsidR="009100E7">
        <w:rPr>
          <w:lang w:val="en-GB"/>
        </w:rPr>
        <w:t xml:space="preserve"> </w:t>
      </w:r>
      <w:r w:rsidR="00174370" w:rsidRPr="00174370">
        <w:rPr>
          <w:lang w:val="en-GB"/>
        </w:rPr>
        <w:t>developmental motor milestones</w:t>
      </w:r>
      <w:r w:rsidR="004114CC">
        <w:rPr>
          <w:lang w:val="en-GB"/>
        </w:rPr>
        <w:t xml:space="preserve"> achieved across the studies.</w:t>
      </w:r>
      <w:r w:rsidR="003A4AAC">
        <w:rPr>
          <w:lang w:val="en-GB"/>
        </w:rPr>
        <w:t xml:space="preserve"> The PBAC</w:t>
      </w:r>
      <w:r w:rsidR="00670DEC">
        <w:rPr>
          <w:lang w:val="en-GB"/>
        </w:rPr>
        <w:t xml:space="preserve"> </w:t>
      </w:r>
      <w:r w:rsidR="00231686">
        <w:rPr>
          <w:lang w:val="en-GB"/>
        </w:rPr>
        <w:t>not</w:t>
      </w:r>
      <w:r w:rsidR="002A39E4">
        <w:rPr>
          <w:lang w:val="en-GB"/>
        </w:rPr>
        <w:t>ed</w:t>
      </w:r>
      <w:r w:rsidR="00231686">
        <w:rPr>
          <w:lang w:val="en-GB"/>
        </w:rPr>
        <w:t xml:space="preserve"> that a higher proportion of patients </w:t>
      </w:r>
      <w:r w:rsidR="004A7025">
        <w:rPr>
          <w:lang w:val="en-GB"/>
        </w:rPr>
        <w:t xml:space="preserve">achieved the highest milestone of walking unsupported </w:t>
      </w:r>
      <w:r w:rsidR="00AE7759">
        <w:rPr>
          <w:lang w:val="en-GB"/>
        </w:rPr>
        <w:t xml:space="preserve">in </w:t>
      </w:r>
      <w:r w:rsidR="005F6909">
        <w:rPr>
          <w:lang w:val="en-GB"/>
        </w:rPr>
        <w:t xml:space="preserve">the </w:t>
      </w:r>
      <w:r w:rsidR="00AE7759">
        <w:rPr>
          <w:lang w:val="en-GB"/>
        </w:rPr>
        <w:t xml:space="preserve">SPR1NT </w:t>
      </w:r>
      <w:r w:rsidR="005F6909">
        <w:rPr>
          <w:lang w:val="en-GB"/>
        </w:rPr>
        <w:t xml:space="preserve">study </w:t>
      </w:r>
      <w:r w:rsidR="00AE7759">
        <w:rPr>
          <w:lang w:val="en-GB"/>
        </w:rPr>
        <w:t>(pre-symptomatic treatment with ONA) com</w:t>
      </w:r>
      <w:r w:rsidR="004A7025">
        <w:rPr>
          <w:lang w:val="en-GB"/>
        </w:rPr>
        <w:t>pared to</w:t>
      </w:r>
      <w:r w:rsidR="00AE7759">
        <w:rPr>
          <w:lang w:val="en-GB"/>
        </w:rPr>
        <w:t xml:space="preserve"> the</w:t>
      </w:r>
      <w:r w:rsidR="004A7025">
        <w:rPr>
          <w:lang w:val="en-GB"/>
        </w:rPr>
        <w:t xml:space="preserve"> </w:t>
      </w:r>
      <w:r w:rsidR="00AE7759">
        <w:rPr>
          <w:lang w:val="en-GB"/>
        </w:rPr>
        <w:t>studies where patients were</w:t>
      </w:r>
      <w:r w:rsidR="004A7025">
        <w:rPr>
          <w:lang w:val="en-GB"/>
        </w:rPr>
        <w:t xml:space="preserve"> treated with disease modifying therapies after </w:t>
      </w:r>
      <w:r w:rsidR="00F13DC4">
        <w:rPr>
          <w:lang w:val="en-GB"/>
        </w:rPr>
        <w:t xml:space="preserve">symptoms had developed. </w:t>
      </w:r>
      <w:r w:rsidR="00234633">
        <w:rPr>
          <w:lang w:val="en-GB"/>
        </w:rPr>
        <w:t>However, t</w:t>
      </w:r>
      <w:r w:rsidR="002A39E4">
        <w:rPr>
          <w:lang w:val="en-GB"/>
        </w:rPr>
        <w:t xml:space="preserve">he PBAC noted it was not possible to distinguish between the treatment effect from pre-symptomatic treatment with ONA and the prognosis of SMA patients with 3 </w:t>
      </w:r>
      <w:r w:rsidR="002A39E4" w:rsidRPr="004F7E08">
        <w:rPr>
          <w:i/>
          <w:iCs/>
          <w:lang w:val="en-GB"/>
        </w:rPr>
        <w:t>SMN</w:t>
      </w:r>
      <w:r w:rsidR="002A39E4">
        <w:rPr>
          <w:lang w:val="en-GB"/>
        </w:rPr>
        <w:t xml:space="preserve">2 copies from the available evidence. </w:t>
      </w:r>
      <w:r w:rsidR="00D20296">
        <w:rPr>
          <w:lang w:val="en-GB"/>
        </w:rPr>
        <w:t>The PBAC noted that in addition to</w:t>
      </w:r>
      <w:r w:rsidR="00D312A7">
        <w:rPr>
          <w:lang w:val="en-GB"/>
        </w:rPr>
        <w:t xml:space="preserve"> the </w:t>
      </w:r>
      <w:r w:rsidR="00266D7B">
        <w:rPr>
          <w:lang w:val="en-GB"/>
        </w:rPr>
        <w:t>small sample sizes and heterogeneity across the studies,</w:t>
      </w:r>
      <w:r w:rsidR="00E21046">
        <w:rPr>
          <w:lang w:val="en-GB"/>
        </w:rPr>
        <w:t xml:space="preserve"> the lack of </w:t>
      </w:r>
      <w:r w:rsidR="003D5A12">
        <w:rPr>
          <w:lang w:val="en-GB"/>
        </w:rPr>
        <w:t>data in</w:t>
      </w:r>
      <w:r w:rsidR="004379CB">
        <w:rPr>
          <w:lang w:val="en-GB"/>
        </w:rPr>
        <w:t xml:space="preserve"> </w:t>
      </w:r>
      <w:r w:rsidR="003D5A12">
        <w:rPr>
          <w:lang w:val="en-GB"/>
        </w:rPr>
        <w:t>symptomatic SMA patients</w:t>
      </w:r>
      <w:r w:rsidR="00D3548D">
        <w:rPr>
          <w:lang w:val="en-GB"/>
        </w:rPr>
        <w:t xml:space="preserve"> with 3 </w:t>
      </w:r>
      <w:r w:rsidR="00D3548D" w:rsidRPr="00D3548D">
        <w:rPr>
          <w:i/>
          <w:iCs/>
          <w:lang w:val="en-GB"/>
        </w:rPr>
        <w:t xml:space="preserve">SMN2 </w:t>
      </w:r>
      <w:r w:rsidR="00D3548D">
        <w:rPr>
          <w:lang w:val="en-GB"/>
        </w:rPr>
        <w:t>copies</w:t>
      </w:r>
      <w:r w:rsidR="003D5A12">
        <w:rPr>
          <w:lang w:val="en-GB"/>
        </w:rPr>
        <w:t xml:space="preserve"> treated with ONA</w:t>
      </w:r>
      <w:r w:rsidR="00AF2EF8">
        <w:rPr>
          <w:lang w:val="en-GB"/>
        </w:rPr>
        <w:t>,</w:t>
      </w:r>
      <w:r w:rsidR="003D5A12">
        <w:rPr>
          <w:lang w:val="en-GB"/>
        </w:rPr>
        <w:t xml:space="preserve"> and the </w:t>
      </w:r>
      <w:r w:rsidR="006B128D">
        <w:rPr>
          <w:lang w:val="en-GB"/>
        </w:rPr>
        <w:t>lack of disaggregated outcomes specific to</w:t>
      </w:r>
      <w:r w:rsidR="003D5A12" w:rsidRPr="003D5A12">
        <w:rPr>
          <w:lang w:val="en-GB"/>
        </w:rPr>
        <w:t xml:space="preserve"> symptomatic treatment of patients with</w:t>
      </w:r>
      <w:r w:rsidR="00264BC1">
        <w:rPr>
          <w:lang w:val="en-GB"/>
        </w:rPr>
        <w:t xml:space="preserve"> SMA </w:t>
      </w:r>
      <w:r w:rsidR="006E58F0">
        <w:rPr>
          <w:lang w:val="en-GB"/>
        </w:rPr>
        <w:t xml:space="preserve">3 </w:t>
      </w:r>
      <w:r w:rsidR="006E58F0" w:rsidRPr="006E58F0">
        <w:rPr>
          <w:i/>
          <w:iCs/>
          <w:lang w:val="en-GB"/>
        </w:rPr>
        <w:t>SMN2</w:t>
      </w:r>
      <w:r w:rsidR="006E58F0">
        <w:rPr>
          <w:lang w:val="en-GB"/>
        </w:rPr>
        <w:t xml:space="preserve"> copies</w:t>
      </w:r>
      <w:r w:rsidR="00264BC1">
        <w:rPr>
          <w:lang w:val="en-GB"/>
        </w:rPr>
        <w:t xml:space="preserve"> made </w:t>
      </w:r>
      <w:r w:rsidR="00885199">
        <w:rPr>
          <w:lang w:val="en-GB"/>
        </w:rPr>
        <w:t xml:space="preserve">it difficult to interpret the results. </w:t>
      </w:r>
      <w:r w:rsidR="008C3BFA">
        <w:rPr>
          <w:lang w:val="en-GB"/>
        </w:rPr>
        <w:t>The PBAC also</w:t>
      </w:r>
      <w:r w:rsidR="00AF2EF8">
        <w:rPr>
          <w:lang w:val="en-GB"/>
        </w:rPr>
        <w:t xml:space="preserve"> considered that </w:t>
      </w:r>
      <w:r w:rsidR="00114FCA">
        <w:rPr>
          <w:lang w:val="en-GB"/>
        </w:rPr>
        <w:t>SMA patients were now likely to be diagnosed more rapidly than before due to increased awareness of the condition and the availability of testing. As such, the studies in symptomatic SMA patients</w:t>
      </w:r>
      <w:r w:rsidR="00993AB9">
        <w:rPr>
          <w:lang w:val="en-GB"/>
        </w:rPr>
        <w:t xml:space="preserve"> used to represent the comparator</w:t>
      </w:r>
      <w:r w:rsidR="00114FCA">
        <w:rPr>
          <w:lang w:val="en-GB"/>
        </w:rPr>
        <w:t xml:space="preserve"> </w:t>
      </w:r>
      <w:r w:rsidR="00993AB9">
        <w:rPr>
          <w:lang w:val="en-GB"/>
        </w:rPr>
        <w:t xml:space="preserve">do </w:t>
      </w:r>
      <w:r w:rsidR="00114FCA">
        <w:rPr>
          <w:lang w:val="en-GB"/>
        </w:rPr>
        <w:t>not reflect current clinical practice</w:t>
      </w:r>
      <w:r w:rsidR="00993AB9">
        <w:rPr>
          <w:lang w:val="en-GB"/>
        </w:rPr>
        <w:t>, where patients would be expected to be treated much earlier</w:t>
      </w:r>
      <w:r w:rsidR="00114FCA">
        <w:rPr>
          <w:lang w:val="en-GB"/>
        </w:rPr>
        <w:t>.</w:t>
      </w:r>
      <w:r w:rsidR="002A39E4" w:rsidRPr="002A39E4">
        <w:rPr>
          <w:lang w:val="en-GB"/>
        </w:rPr>
        <w:t xml:space="preserve"> </w:t>
      </w:r>
      <w:r w:rsidR="002A39E4">
        <w:rPr>
          <w:lang w:val="en-GB"/>
        </w:rPr>
        <w:t>The PBAC considered, overall</w:t>
      </w:r>
      <w:r w:rsidR="00196C87">
        <w:rPr>
          <w:lang w:val="en-GB"/>
        </w:rPr>
        <w:t>,</w:t>
      </w:r>
      <w:r w:rsidR="002A39E4">
        <w:rPr>
          <w:lang w:val="en-GB"/>
        </w:rPr>
        <w:t xml:space="preserve"> although the clinical evidence was very limited</w:t>
      </w:r>
      <w:r w:rsidR="00196C87">
        <w:rPr>
          <w:lang w:val="en-GB"/>
        </w:rPr>
        <w:t>,</w:t>
      </w:r>
      <w:r w:rsidR="002A39E4">
        <w:rPr>
          <w:lang w:val="en-GB"/>
        </w:rPr>
        <w:t xml:space="preserve"> the claim of superior comparative effectiveness </w:t>
      </w:r>
      <w:r w:rsidR="00663D19">
        <w:rPr>
          <w:lang w:val="en-GB"/>
        </w:rPr>
        <w:t>may be</w:t>
      </w:r>
      <w:r w:rsidR="002A39E4">
        <w:rPr>
          <w:lang w:val="en-GB"/>
        </w:rPr>
        <w:t xml:space="preserve"> reasonable on the basis that pre-symptomatic treatment would be expected to prevent</w:t>
      </w:r>
      <w:r w:rsidR="00942B75">
        <w:rPr>
          <w:lang w:val="en-GB"/>
        </w:rPr>
        <w:t xml:space="preserve"> or reduce</w:t>
      </w:r>
      <w:r w:rsidR="002A39E4">
        <w:rPr>
          <w:lang w:val="en-GB"/>
        </w:rPr>
        <w:t xml:space="preserve"> the </w:t>
      </w:r>
      <w:r w:rsidR="00942B75">
        <w:rPr>
          <w:lang w:val="en-GB"/>
        </w:rPr>
        <w:t xml:space="preserve">irreversible </w:t>
      </w:r>
      <w:r w:rsidR="002A39E4">
        <w:rPr>
          <w:lang w:val="en-GB"/>
        </w:rPr>
        <w:t>loss of motor neurons and therefore result in superior outcomes for patients. However, the PBAC noted that the magnitude of benefit could not be determined with any certainty given the limitations of the available data.</w:t>
      </w:r>
      <w:r w:rsidR="00B51A56">
        <w:rPr>
          <w:lang w:val="en-GB"/>
        </w:rPr>
        <w:t xml:space="preserve"> The PBAC acknowledged that </w:t>
      </w:r>
      <w:r w:rsidR="00B51A56" w:rsidRPr="00917415" w:rsidDel="000108FE">
        <w:t xml:space="preserve">substantial new clinical data, </w:t>
      </w:r>
      <w:r w:rsidR="0024131C">
        <w:t>were</w:t>
      </w:r>
      <w:r w:rsidR="0024131C" w:rsidRPr="00917415" w:rsidDel="000108FE">
        <w:t xml:space="preserve"> </w:t>
      </w:r>
      <w:r w:rsidR="00B51A56" w:rsidRPr="00917415" w:rsidDel="000108FE">
        <w:t>unlikely to be forthcoming</w:t>
      </w:r>
      <w:r w:rsidR="00B51A56">
        <w:t xml:space="preserve"> given the rarity of the condition. </w:t>
      </w:r>
    </w:p>
    <w:p w14:paraId="5520752B" w14:textId="58804153" w:rsidR="00114FCA" w:rsidRDefault="007428FE" w:rsidP="00B6414F">
      <w:pPr>
        <w:pStyle w:val="3-BodyText"/>
        <w:rPr>
          <w:lang w:val="en-GB"/>
        </w:rPr>
      </w:pPr>
      <w:bookmarkStart w:id="88" w:name="_Ref120881516"/>
      <w:r>
        <w:rPr>
          <w:lang w:val="en-GB"/>
        </w:rPr>
        <w:t>The PBAC recalled the</w:t>
      </w:r>
      <w:r w:rsidRPr="00856EA8">
        <w:rPr>
          <w:lang w:val="en-GB"/>
        </w:rPr>
        <w:t xml:space="preserve"> advice from MSAC that while </w:t>
      </w:r>
      <w:r w:rsidRPr="00856EA8">
        <w:rPr>
          <w:i/>
          <w:iCs/>
          <w:lang w:val="en-GB"/>
        </w:rPr>
        <w:t>SMN2</w:t>
      </w:r>
      <w:r w:rsidRPr="00856EA8">
        <w:rPr>
          <w:lang w:val="en-GB"/>
        </w:rPr>
        <w:t xml:space="preserve"> copy number variation offers some prognostic value, it was more reliable for infants with </w:t>
      </w:r>
      <w:r>
        <w:rPr>
          <w:rFonts w:cstheme="minorHAnsi"/>
          <w:lang w:val="en-GB"/>
        </w:rPr>
        <w:t xml:space="preserve">≥2 </w:t>
      </w:r>
      <w:r w:rsidRPr="00856EA8">
        <w:rPr>
          <w:lang w:val="en-GB"/>
        </w:rPr>
        <w:t xml:space="preserve">copies of </w:t>
      </w:r>
      <w:r w:rsidRPr="00856EA8">
        <w:rPr>
          <w:i/>
          <w:iCs/>
          <w:lang w:val="en-GB"/>
        </w:rPr>
        <w:t>SMN2</w:t>
      </w:r>
      <w:r w:rsidRPr="00856EA8">
        <w:rPr>
          <w:lang w:val="en-GB"/>
        </w:rPr>
        <w:t xml:space="preserve"> compared to </w:t>
      </w:r>
      <w:r>
        <w:rPr>
          <w:rFonts w:cstheme="minorHAnsi"/>
          <w:lang w:val="en-GB"/>
        </w:rPr>
        <w:t xml:space="preserve">≥3 </w:t>
      </w:r>
      <w:r w:rsidRPr="00856EA8">
        <w:rPr>
          <w:lang w:val="en-GB"/>
        </w:rPr>
        <w:t xml:space="preserve">copies of </w:t>
      </w:r>
      <w:r w:rsidRPr="00C6060D">
        <w:rPr>
          <w:i/>
          <w:iCs/>
          <w:lang w:val="en-GB"/>
        </w:rPr>
        <w:t>SMN2</w:t>
      </w:r>
      <w:r>
        <w:rPr>
          <w:lang w:val="en-GB"/>
        </w:rPr>
        <w:t xml:space="preserve">. </w:t>
      </w:r>
      <w:r w:rsidR="00BC0456">
        <w:rPr>
          <w:lang w:val="en-GB"/>
        </w:rPr>
        <w:t xml:space="preserve">The PBAC noted that on average patients with 3 </w:t>
      </w:r>
      <w:r w:rsidR="00BC0456">
        <w:rPr>
          <w:lang w:val="en-GB"/>
        </w:rPr>
        <w:lastRenderedPageBreak/>
        <w:t>copies of SMN2 would have less severe disease than patients with 1-2 copies. Further, t</w:t>
      </w:r>
      <w:r>
        <w:rPr>
          <w:lang w:val="en-GB"/>
        </w:rPr>
        <w:t>he PBAC noted that based on natural history data, the majority of type IIIa and IIIb SMA patients</w:t>
      </w:r>
      <w:r w:rsidR="00BC0456">
        <w:rPr>
          <w:lang w:val="en-GB"/>
        </w:rPr>
        <w:t>, who are likely to have 3 or more copies of SMN2,</w:t>
      </w:r>
      <w:r>
        <w:rPr>
          <w:lang w:val="en-GB"/>
        </w:rPr>
        <w:t xml:space="preserve"> retained the ability to walk after 10 years</w:t>
      </w:r>
      <w:r w:rsidR="00BC0456">
        <w:rPr>
          <w:lang w:val="en-GB"/>
        </w:rPr>
        <w:t>.</w:t>
      </w:r>
      <w:r>
        <w:rPr>
          <w:lang w:val="en-GB"/>
        </w:rPr>
        <w:t xml:space="preserve"> </w:t>
      </w:r>
      <w:r w:rsidR="00BC0456">
        <w:rPr>
          <w:lang w:val="en-GB"/>
        </w:rPr>
        <w:t>T</w:t>
      </w:r>
      <w:r>
        <w:rPr>
          <w:lang w:val="en-GB"/>
        </w:rPr>
        <w:t>herefore</w:t>
      </w:r>
      <w:r w:rsidR="00BC0456">
        <w:rPr>
          <w:lang w:val="en-GB"/>
        </w:rPr>
        <w:t>,</w:t>
      </w:r>
      <w:r>
        <w:rPr>
          <w:lang w:val="en-GB"/>
        </w:rPr>
        <w:t xml:space="preserve"> a proportion of patients treated pre-symptomatically with ONA would have achieved the ability to walk without treatment. The PBAC considered that there was a small proportion of patients for whom the added benefit of pre</w:t>
      </w:r>
      <w:r>
        <w:rPr>
          <w:lang w:val="en-GB"/>
        </w:rPr>
        <w:noBreakHyphen/>
        <w:t xml:space="preserve">symptomatic treatment was highly uncertain and noted it would not be possible to identify these patients. </w:t>
      </w:r>
      <w:r w:rsidR="00D9456C">
        <w:rPr>
          <w:lang w:val="en-GB"/>
        </w:rPr>
        <w:t xml:space="preserve">Overall, the PBAC considered that the incremental benefit </w:t>
      </w:r>
      <w:r w:rsidR="001F07DC">
        <w:rPr>
          <w:lang w:val="en-GB"/>
        </w:rPr>
        <w:t>of pre</w:t>
      </w:r>
      <w:r w:rsidR="00993AB9">
        <w:rPr>
          <w:lang w:val="en-GB"/>
        </w:rPr>
        <w:noBreakHyphen/>
      </w:r>
      <w:r w:rsidR="001F07DC">
        <w:rPr>
          <w:lang w:val="en-GB"/>
        </w:rPr>
        <w:t>symptomatic treatment</w:t>
      </w:r>
      <w:r w:rsidR="0068184C">
        <w:rPr>
          <w:lang w:val="en-GB"/>
        </w:rPr>
        <w:t xml:space="preserve"> with ONA</w:t>
      </w:r>
      <w:r w:rsidR="001F07DC">
        <w:rPr>
          <w:lang w:val="en-GB"/>
        </w:rPr>
        <w:t xml:space="preserve"> compared to </w:t>
      </w:r>
      <w:r w:rsidR="0068184C">
        <w:rPr>
          <w:lang w:val="en-GB"/>
        </w:rPr>
        <w:t xml:space="preserve">symptomatic treatment with disease modifying therapies for patients with 3 </w:t>
      </w:r>
      <w:r w:rsidR="0068184C" w:rsidRPr="00F32E04">
        <w:rPr>
          <w:i/>
          <w:iCs/>
          <w:lang w:val="en-GB"/>
        </w:rPr>
        <w:t>SMN2</w:t>
      </w:r>
      <w:r w:rsidR="0068184C">
        <w:rPr>
          <w:lang w:val="en-GB"/>
        </w:rPr>
        <w:t xml:space="preserve"> copies would </w:t>
      </w:r>
      <w:r w:rsidR="00663D19">
        <w:rPr>
          <w:lang w:val="en-GB"/>
        </w:rPr>
        <w:t>be less</w:t>
      </w:r>
      <w:r w:rsidR="00F32E04">
        <w:rPr>
          <w:lang w:val="en-GB"/>
        </w:rPr>
        <w:t xml:space="preserve"> than that for patients with </w:t>
      </w:r>
      <w:r w:rsidR="00663D19">
        <w:rPr>
          <w:lang w:val="en-GB"/>
        </w:rPr>
        <w:t>1-</w:t>
      </w:r>
      <w:r w:rsidR="00F32E04">
        <w:rPr>
          <w:lang w:val="en-GB"/>
        </w:rPr>
        <w:t xml:space="preserve">2 </w:t>
      </w:r>
      <w:r w:rsidR="00F32E04" w:rsidRPr="00F32E04">
        <w:rPr>
          <w:i/>
          <w:iCs/>
          <w:lang w:val="en-GB"/>
        </w:rPr>
        <w:t>SMN2</w:t>
      </w:r>
      <w:r w:rsidR="00F32E04">
        <w:rPr>
          <w:lang w:val="en-GB"/>
        </w:rPr>
        <w:t xml:space="preserve"> copies.</w:t>
      </w:r>
      <w:bookmarkEnd w:id="88"/>
    </w:p>
    <w:p w14:paraId="25AAA238" w14:textId="297462CD" w:rsidR="00663D19" w:rsidRPr="00D11718" w:rsidRDefault="00663D19" w:rsidP="00663D19">
      <w:pPr>
        <w:widowControl w:val="0"/>
        <w:numPr>
          <w:ilvl w:val="1"/>
          <w:numId w:val="1"/>
        </w:numPr>
        <w:spacing w:after="120"/>
        <w:rPr>
          <w:rFonts w:asciiTheme="minorHAnsi" w:hAnsiTheme="minorHAnsi"/>
          <w:snapToGrid w:val="0"/>
          <w:szCs w:val="20"/>
        </w:rPr>
      </w:pPr>
      <w:r w:rsidRPr="00D11718">
        <w:rPr>
          <w:rFonts w:asciiTheme="minorHAnsi" w:hAnsiTheme="minorHAnsi"/>
          <w:snapToGrid w:val="0"/>
          <w:szCs w:val="20"/>
        </w:rPr>
        <w:t xml:space="preserve">The PBAC recalled it previously noted that </w:t>
      </w:r>
      <w:r>
        <w:t>safety data presented for ONA and nusinersen indicated that ONA had a similar or greater proportion of patients with any AE, serious AEs, and treatment related serious AEs</w:t>
      </w:r>
      <w:r w:rsidR="00852769">
        <w:t>,</w:t>
      </w:r>
      <w:r>
        <w:t xml:space="preserve"> and </w:t>
      </w:r>
      <w:r w:rsidR="00852769">
        <w:t>a</w:t>
      </w:r>
      <w:r>
        <w:t xml:space="preserve"> black box safety warning for the risk of acute serious liver injury (para 7.6 ONA PSD, November 2020 PBAC meeting). The PBAC considered that </w:t>
      </w:r>
      <w:r w:rsidRPr="00D11718">
        <w:rPr>
          <w:rFonts w:asciiTheme="minorHAnsi" w:hAnsiTheme="minorHAnsi"/>
          <w:snapToGrid w:val="0"/>
          <w:szCs w:val="20"/>
        </w:rPr>
        <w:t>the claim of non-inferior comparative safety for</w:t>
      </w:r>
      <w:r>
        <w:rPr>
          <w:rFonts w:asciiTheme="minorHAnsi" w:hAnsiTheme="minorHAnsi"/>
          <w:snapToGrid w:val="0"/>
          <w:szCs w:val="20"/>
        </w:rPr>
        <w:t xml:space="preserve"> pre-symptomatic treatment with</w:t>
      </w:r>
      <w:r w:rsidRPr="00D11718">
        <w:rPr>
          <w:rFonts w:asciiTheme="minorHAnsi" w:hAnsiTheme="minorHAnsi"/>
          <w:snapToGrid w:val="0"/>
          <w:szCs w:val="20"/>
        </w:rPr>
        <w:t xml:space="preserve"> ONA compared with </w:t>
      </w:r>
      <w:r>
        <w:rPr>
          <w:rFonts w:asciiTheme="minorHAnsi" w:hAnsiTheme="minorHAnsi"/>
          <w:snapToGrid w:val="0"/>
          <w:szCs w:val="20"/>
        </w:rPr>
        <w:t>watchful waiting was not reasonable, where some patients (albeit a small proportion) may not require symptomatic treatment with DMTs</w:t>
      </w:r>
      <w:r w:rsidRPr="00D11718">
        <w:rPr>
          <w:rFonts w:asciiTheme="minorHAnsi" w:hAnsiTheme="minorHAnsi"/>
          <w:snapToGrid w:val="0"/>
          <w:szCs w:val="20"/>
        </w:rPr>
        <w:t>.</w:t>
      </w:r>
      <w:r>
        <w:rPr>
          <w:rFonts w:asciiTheme="minorHAnsi" w:hAnsiTheme="minorHAnsi"/>
          <w:snapToGrid w:val="0"/>
          <w:szCs w:val="20"/>
        </w:rPr>
        <w:t xml:space="preserve"> </w:t>
      </w:r>
    </w:p>
    <w:p w14:paraId="68C77532" w14:textId="4B1B733C" w:rsidR="0067516C" w:rsidRPr="0067516C" w:rsidRDefault="008B40B5" w:rsidP="009E4A17">
      <w:pPr>
        <w:pStyle w:val="3-BodyText"/>
        <w:rPr>
          <w:rFonts w:ascii="Calibri" w:hAnsi="Calibri"/>
          <w:i/>
          <w:snapToGrid/>
        </w:rPr>
      </w:pPr>
      <w:r>
        <w:rPr>
          <w:lang w:val="en-GB"/>
        </w:rPr>
        <w:t xml:space="preserve">The PBAC considered the results of the modelled economic evaluation lacked face validity, noting the requested price for ONA was substantially higher than </w:t>
      </w:r>
      <w:r w:rsidR="007428FE">
        <w:rPr>
          <w:lang w:val="en-GB"/>
        </w:rPr>
        <w:t xml:space="preserve">that </w:t>
      </w:r>
      <w:r>
        <w:rPr>
          <w:lang w:val="en-GB"/>
        </w:rPr>
        <w:t xml:space="preserve">for patients with 1-2 </w:t>
      </w:r>
      <w:r w:rsidRPr="00F32E04">
        <w:rPr>
          <w:i/>
          <w:iCs/>
          <w:lang w:val="en-GB"/>
        </w:rPr>
        <w:t>SMN2</w:t>
      </w:r>
      <w:r>
        <w:rPr>
          <w:lang w:val="en-GB"/>
        </w:rPr>
        <w:t xml:space="preserve"> copies</w:t>
      </w:r>
      <w:r w:rsidR="0081571F">
        <w:rPr>
          <w:lang w:val="en-GB"/>
        </w:rPr>
        <w:t>,</w:t>
      </w:r>
      <w:r>
        <w:rPr>
          <w:lang w:val="en-GB"/>
        </w:rPr>
        <w:t xml:space="preserve"> yet the benefit </w:t>
      </w:r>
      <w:r w:rsidR="00BA571C">
        <w:rPr>
          <w:lang w:val="en-GB"/>
        </w:rPr>
        <w:t xml:space="preserve">would, </w:t>
      </w:r>
      <w:r>
        <w:rPr>
          <w:lang w:val="en-GB"/>
        </w:rPr>
        <w:t>on average</w:t>
      </w:r>
      <w:r w:rsidR="00BA571C">
        <w:rPr>
          <w:lang w:val="en-GB"/>
        </w:rPr>
        <w:t>,</w:t>
      </w:r>
      <w:r>
        <w:rPr>
          <w:lang w:val="en-GB"/>
        </w:rPr>
        <w:t xml:space="preserve"> be less than for patients with 1-2 </w:t>
      </w:r>
      <w:r w:rsidRPr="00F32E04">
        <w:rPr>
          <w:i/>
          <w:iCs/>
          <w:lang w:val="en-GB"/>
        </w:rPr>
        <w:t>SMN2</w:t>
      </w:r>
      <w:r>
        <w:rPr>
          <w:lang w:val="en-GB"/>
        </w:rPr>
        <w:t xml:space="preserve"> copies. </w:t>
      </w:r>
      <w:r w:rsidR="00D9456C">
        <w:rPr>
          <w:lang w:val="en-GB"/>
        </w:rPr>
        <w:t>The</w:t>
      </w:r>
      <w:r w:rsidR="009F42D2">
        <w:rPr>
          <w:lang w:val="en-GB"/>
        </w:rPr>
        <w:t xml:space="preserve"> PBAC </w:t>
      </w:r>
      <w:r w:rsidR="0052459E">
        <w:rPr>
          <w:lang w:val="en-GB"/>
        </w:rPr>
        <w:t xml:space="preserve">noted that </w:t>
      </w:r>
      <w:r w:rsidR="00DC2933">
        <w:rPr>
          <w:lang w:val="en-GB"/>
        </w:rPr>
        <w:t xml:space="preserve">the </w:t>
      </w:r>
      <w:r w:rsidR="00EF763A">
        <w:rPr>
          <w:lang w:val="en-GB"/>
        </w:rPr>
        <w:t>ICER</w:t>
      </w:r>
      <w:r w:rsidR="00D536FF">
        <w:rPr>
          <w:lang w:val="en-GB"/>
        </w:rPr>
        <w:t xml:space="preserve"> was </w:t>
      </w:r>
      <w:r>
        <w:rPr>
          <w:lang w:val="en-GB"/>
        </w:rPr>
        <w:t xml:space="preserve">claimed to be </w:t>
      </w:r>
      <w:r w:rsidR="00D536FF">
        <w:rPr>
          <w:lang w:val="en-GB"/>
        </w:rPr>
        <w:t xml:space="preserve">dominant </w:t>
      </w:r>
      <w:r w:rsidR="001F0C9C">
        <w:rPr>
          <w:lang w:val="en-GB"/>
        </w:rPr>
        <w:t>i.e.,</w:t>
      </w:r>
      <w:r w:rsidR="00EF763A">
        <w:rPr>
          <w:lang w:val="en-GB"/>
        </w:rPr>
        <w:t xml:space="preserve"> </w:t>
      </w:r>
      <w:r w:rsidR="00072CB2">
        <w:rPr>
          <w:lang w:val="en-GB"/>
        </w:rPr>
        <w:t xml:space="preserve">that </w:t>
      </w:r>
      <w:r w:rsidR="00211420">
        <w:rPr>
          <w:lang w:val="en-GB"/>
        </w:rPr>
        <w:t xml:space="preserve">pre-symptomatic treatment with ONA </w:t>
      </w:r>
      <w:r w:rsidR="00CE6EFD">
        <w:rPr>
          <w:lang w:val="en-GB"/>
        </w:rPr>
        <w:t xml:space="preserve">is less costly and more effective </w:t>
      </w:r>
      <w:r w:rsidR="00072CB2">
        <w:rPr>
          <w:lang w:val="en-GB"/>
        </w:rPr>
        <w:t>than treatment with disease modifying</w:t>
      </w:r>
      <w:r w:rsidR="001F0C9C">
        <w:rPr>
          <w:lang w:val="en-GB"/>
        </w:rPr>
        <w:t xml:space="preserve"> therapies after the onset of symptoms</w:t>
      </w:r>
      <w:r>
        <w:rPr>
          <w:lang w:val="en-GB"/>
        </w:rPr>
        <w:t>,</w:t>
      </w:r>
      <w:r w:rsidR="001F0C9C">
        <w:rPr>
          <w:lang w:val="en-GB"/>
        </w:rPr>
        <w:t xml:space="preserve"> </w:t>
      </w:r>
      <w:r w:rsidR="009D2A9C">
        <w:rPr>
          <w:lang w:val="en-GB"/>
        </w:rPr>
        <w:t xml:space="preserve">primarily </w:t>
      </w:r>
      <w:r w:rsidR="00942B75">
        <w:rPr>
          <w:lang w:val="en-GB"/>
        </w:rPr>
        <w:t xml:space="preserve">because </w:t>
      </w:r>
      <w:r w:rsidR="009D2A9C">
        <w:rPr>
          <w:lang w:val="en-GB"/>
        </w:rPr>
        <w:t>a</w:t>
      </w:r>
      <w:r w:rsidR="00942B75">
        <w:rPr>
          <w:lang w:val="en-GB"/>
        </w:rPr>
        <w:t xml:space="preserve"> </w:t>
      </w:r>
      <w:r w:rsidR="009D2A9C">
        <w:rPr>
          <w:lang w:val="en-GB"/>
        </w:rPr>
        <w:t xml:space="preserve">once-off, </w:t>
      </w:r>
      <w:r w:rsidR="00942B75">
        <w:rPr>
          <w:lang w:val="en-GB"/>
        </w:rPr>
        <w:t xml:space="preserve">upfront cost of ONA </w:t>
      </w:r>
      <w:r>
        <w:rPr>
          <w:lang w:val="en-GB"/>
        </w:rPr>
        <w:t xml:space="preserve">was compared </w:t>
      </w:r>
      <w:r w:rsidR="00942B75">
        <w:rPr>
          <w:lang w:val="en-GB"/>
        </w:rPr>
        <w:t xml:space="preserve">with </w:t>
      </w:r>
      <w:r w:rsidR="009D2A9C">
        <w:rPr>
          <w:lang w:val="en-GB"/>
        </w:rPr>
        <w:t xml:space="preserve">ongoing treatment with nusinersen over 30 years. </w:t>
      </w:r>
      <w:r w:rsidR="00FF7CE0">
        <w:rPr>
          <w:iCs/>
        </w:rPr>
        <w:t xml:space="preserve">The PBAC considered that </w:t>
      </w:r>
      <w:r w:rsidR="00F237A7">
        <w:rPr>
          <w:iCs/>
        </w:rPr>
        <w:t xml:space="preserve">there </w:t>
      </w:r>
      <w:r w:rsidR="0024131C">
        <w:rPr>
          <w:iCs/>
        </w:rPr>
        <w:t xml:space="preserve">are </w:t>
      </w:r>
      <w:r w:rsidR="00F237A7">
        <w:rPr>
          <w:iCs/>
        </w:rPr>
        <w:t xml:space="preserve">insufficient clinical data to support </w:t>
      </w:r>
      <w:r w:rsidR="00FF7CE0">
        <w:rPr>
          <w:iCs/>
        </w:rPr>
        <w:t>use of a 30-year time horizon</w:t>
      </w:r>
      <w:r w:rsidR="00F237A7">
        <w:rPr>
          <w:iCs/>
        </w:rPr>
        <w:t xml:space="preserve"> and noted </w:t>
      </w:r>
      <w:r w:rsidR="00BC0456">
        <w:rPr>
          <w:iCs/>
        </w:rPr>
        <w:t>that an</w:t>
      </w:r>
      <w:r w:rsidR="00F237A7">
        <w:rPr>
          <w:iCs/>
        </w:rPr>
        <w:t xml:space="preserve"> 11 year horizon </w:t>
      </w:r>
      <w:r w:rsidR="00BC0456">
        <w:rPr>
          <w:iCs/>
        </w:rPr>
        <w:t xml:space="preserve">was used </w:t>
      </w:r>
      <w:r w:rsidR="00F237A7">
        <w:rPr>
          <w:iCs/>
        </w:rPr>
        <w:t xml:space="preserve">for the economic evaluation for ONA for </w:t>
      </w:r>
      <w:r w:rsidR="00F237A7">
        <w:rPr>
          <w:lang w:val="en-GB"/>
        </w:rPr>
        <w:t xml:space="preserve">patients with 1-2 </w:t>
      </w:r>
      <w:r w:rsidR="00F237A7" w:rsidRPr="00F32E04">
        <w:rPr>
          <w:i/>
          <w:iCs/>
          <w:lang w:val="en-GB"/>
        </w:rPr>
        <w:t>SMN2</w:t>
      </w:r>
      <w:r w:rsidR="00F237A7">
        <w:rPr>
          <w:lang w:val="en-GB"/>
        </w:rPr>
        <w:t xml:space="preserve"> copies</w:t>
      </w:r>
      <w:r w:rsidR="00FF7CE0">
        <w:rPr>
          <w:iCs/>
        </w:rPr>
        <w:t>.</w:t>
      </w:r>
      <w:r w:rsidR="002F3F8D" w:rsidRPr="002F3F8D">
        <w:rPr>
          <w:iCs/>
        </w:rPr>
        <w:t xml:space="preserve"> </w:t>
      </w:r>
      <w:r w:rsidR="002F3F8D" w:rsidRPr="00054F33">
        <w:rPr>
          <w:iCs/>
        </w:rPr>
        <w:t xml:space="preserve">The </w:t>
      </w:r>
      <w:r w:rsidR="002F3F8D">
        <w:rPr>
          <w:iCs/>
        </w:rPr>
        <w:t>PBAC</w:t>
      </w:r>
      <w:r w:rsidR="002F3F8D" w:rsidRPr="00054F33">
        <w:rPr>
          <w:iCs/>
        </w:rPr>
        <w:t xml:space="preserve"> </w:t>
      </w:r>
      <w:r w:rsidR="002F3F8D">
        <w:rPr>
          <w:iCs/>
        </w:rPr>
        <w:t xml:space="preserve">also </w:t>
      </w:r>
      <w:r w:rsidR="002F3F8D" w:rsidRPr="00054F33">
        <w:rPr>
          <w:iCs/>
        </w:rPr>
        <w:t>considered that limiting symptomatic treatment in the status quo arm to NUSI was unlikely to adequately represent outcomes and costs in clinical practice.</w:t>
      </w:r>
    </w:p>
    <w:p w14:paraId="0C86E4FC" w14:textId="7D7D20F8" w:rsidR="00D9456C" w:rsidRDefault="00FF7CE0" w:rsidP="00054F3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Further, t</w:t>
      </w:r>
      <w:r w:rsidR="001F0C9C">
        <w:rPr>
          <w:rFonts w:asciiTheme="minorHAnsi" w:hAnsiTheme="minorHAnsi"/>
          <w:snapToGrid w:val="0"/>
          <w:lang w:val="en-GB"/>
        </w:rPr>
        <w:t xml:space="preserve">he PBAC </w:t>
      </w:r>
      <w:r w:rsidR="00BB5084">
        <w:rPr>
          <w:rFonts w:asciiTheme="minorHAnsi" w:hAnsiTheme="minorHAnsi"/>
          <w:snapToGrid w:val="0"/>
          <w:lang w:val="en-GB"/>
        </w:rPr>
        <w:t xml:space="preserve">considered </w:t>
      </w:r>
      <w:r w:rsidR="00BC0456">
        <w:rPr>
          <w:rFonts w:asciiTheme="minorHAnsi" w:hAnsiTheme="minorHAnsi"/>
          <w:snapToGrid w:val="0"/>
          <w:lang w:val="en-GB"/>
        </w:rPr>
        <w:t xml:space="preserve">that </w:t>
      </w:r>
      <w:r w:rsidR="0084553A">
        <w:rPr>
          <w:rFonts w:asciiTheme="minorHAnsi" w:hAnsiTheme="minorHAnsi"/>
          <w:snapToGrid w:val="0"/>
          <w:lang w:val="en-GB"/>
        </w:rPr>
        <w:t xml:space="preserve">due to the very limited clinical evidence for the comparison </w:t>
      </w:r>
      <w:r w:rsidR="00BB5084">
        <w:rPr>
          <w:rFonts w:asciiTheme="minorHAnsi" w:hAnsiTheme="minorHAnsi"/>
          <w:snapToGrid w:val="0"/>
          <w:lang w:val="en-GB"/>
        </w:rPr>
        <w:t xml:space="preserve">there was substantial uncertainty </w:t>
      </w:r>
      <w:r w:rsidR="00FD06F0">
        <w:rPr>
          <w:rFonts w:asciiTheme="minorHAnsi" w:hAnsiTheme="minorHAnsi"/>
          <w:snapToGrid w:val="0"/>
          <w:lang w:val="en-GB"/>
        </w:rPr>
        <w:t>with the inp</w:t>
      </w:r>
      <w:r w:rsidR="003F2EAD">
        <w:rPr>
          <w:rFonts w:asciiTheme="minorHAnsi" w:hAnsiTheme="minorHAnsi"/>
          <w:snapToGrid w:val="0"/>
          <w:lang w:val="en-GB"/>
        </w:rPr>
        <w:t>uts and assumptions applied in the</w:t>
      </w:r>
      <w:r w:rsidR="00AA47BF">
        <w:rPr>
          <w:rFonts w:asciiTheme="minorHAnsi" w:hAnsiTheme="minorHAnsi"/>
          <w:snapToGrid w:val="0"/>
          <w:lang w:val="en-GB"/>
        </w:rPr>
        <w:t xml:space="preserve"> model</w:t>
      </w:r>
      <w:r w:rsidR="003F2EAD">
        <w:rPr>
          <w:rFonts w:asciiTheme="minorHAnsi" w:hAnsiTheme="minorHAnsi"/>
          <w:snapToGrid w:val="0"/>
          <w:lang w:val="en-GB"/>
        </w:rPr>
        <w:t xml:space="preserve"> </w:t>
      </w:r>
      <w:r w:rsidR="003C6503">
        <w:rPr>
          <w:rFonts w:asciiTheme="minorHAnsi" w:hAnsiTheme="minorHAnsi"/>
          <w:snapToGrid w:val="0"/>
          <w:lang w:val="en-GB"/>
        </w:rPr>
        <w:t>with respect to</w:t>
      </w:r>
      <w:r w:rsidR="001C5ECA">
        <w:rPr>
          <w:rFonts w:asciiTheme="minorHAnsi" w:hAnsiTheme="minorHAnsi"/>
          <w:snapToGrid w:val="0"/>
          <w:lang w:val="en-GB"/>
        </w:rPr>
        <w:t xml:space="preserve"> utilisation of</w:t>
      </w:r>
      <w:r w:rsidR="003C6503">
        <w:rPr>
          <w:rFonts w:asciiTheme="minorHAnsi" w:hAnsiTheme="minorHAnsi"/>
          <w:snapToGrid w:val="0"/>
          <w:lang w:val="en-GB"/>
        </w:rPr>
        <w:t xml:space="preserve"> subsequent treatments,</w:t>
      </w:r>
      <w:r w:rsidR="006406B6">
        <w:rPr>
          <w:rFonts w:asciiTheme="minorHAnsi" w:hAnsiTheme="minorHAnsi"/>
          <w:snapToGrid w:val="0"/>
          <w:lang w:val="en-GB"/>
        </w:rPr>
        <w:t xml:space="preserve"> motor milestone regression,</w:t>
      </w:r>
      <w:r w:rsidR="003C6503">
        <w:rPr>
          <w:rFonts w:asciiTheme="minorHAnsi" w:hAnsiTheme="minorHAnsi"/>
          <w:snapToGrid w:val="0"/>
          <w:lang w:val="en-GB"/>
        </w:rPr>
        <w:t xml:space="preserve"> </w:t>
      </w:r>
      <w:r w:rsidR="001C5ECA">
        <w:rPr>
          <w:rFonts w:asciiTheme="minorHAnsi" w:hAnsiTheme="minorHAnsi"/>
          <w:snapToGrid w:val="0"/>
          <w:lang w:val="en-GB"/>
        </w:rPr>
        <w:t>utility values</w:t>
      </w:r>
      <w:r w:rsidR="00BB1450">
        <w:rPr>
          <w:rFonts w:asciiTheme="minorHAnsi" w:hAnsiTheme="minorHAnsi"/>
          <w:snapToGrid w:val="0"/>
          <w:lang w:val="en-GB"/>
        </w:rPr>
        <w:t xml:space="preserve">, and </w:t>
      </w:r>
      <w:r w:rsidR="003C6503">
        <w:rPr>
          <w:rFonts w:asciiTheme="minorHAnsi" w:hAnsiTheme="minorHAnsi"/>
          <w:snapToGrid w:val="0"/>
          <w:lang w:val="en-GB"/>
        </w:rPr>
        <w:t xml:space="preserve">the incremental benefit modelled in terms of motor milestones </w:t>
      </w:r>
      <w:r w:rsidR="001C5ECA">
        <w:rPr>
          <w:rFonts w:asciiTheme="minorHAnsi" w:hAnsiTheme="minorHAnsi"/>
          <w:snapToGrid w:val="0"/>
          <w:lang w:val="en-GB"/>
        </w:rPr>
        <w:t>obtained and survival</w:t>
      </w:r>
      <w:r w:rsidR="00BB1450">
        <w:rPr>
          <w:rFonts w:asciiTheme="minorHAnsi" w:hAnsiTheme="minorHAnsi"/>
          <w:snapToGrid w:val="0"/>
          <w:lang w:val="en-GB"/>
        </w:rPr>
        <w:t>.</w:t>
      </w:r>
      <w:r w:rsidR="00901F00">
        <w:rPr>
          <w:rFonts w:asciiTheme="minorHAnsi" w:hAnsiTheme="minorHAnsi"/>
          <w:snapToGrid w:val="0"/>
          <w:lang w:val="en-GB"/>
        </w:rPr>
        <w:t xml:space="preserve"> The PBAC noted that many of the assumptions </w:t>
      </w:r>
      <w:r w:rsidR="00813378">
        <w:rPr>
          <w:rFonts w:asciiTheme="minorHAnsi" w:hAnsiTheme="minorHAnsi"/>
          <w:snapToGrid w:val="0"/>
          <w:lang w:val="en-GB"/>
        </w:rPr>
        <w:t>and inputs to the model favoured pre-symptomatic treatment with ONA.</w:t>
      </w:r>
      <w:r w:rsidR="005C3628">
        <w:rPr>
          <w:rFonts w:asciiTheme="minorHAnsi" w:hAnsiTheme="minorHAnsi"/>
          <w:snapToGrid w:val="0"/>
          <w:lang w:val="en-GB"/>
        </w:rPr>
        <w:t xml:space="preserve"> </w:t>
      </w:r>
      <w:r w:rsidR="00402BD7">
        <w:rPr>
          <w:rFonts w:asciiTheme="minorHAnsi" w:hAnsiTheme="minorHAnsi"/>
          <w:snapToGrid w:val="0"/>
          <w:lang w:val="en-GB"/>
        </w:rPr>
        <w:t>Overall, the PBAC considered that the economic model</w:t>
      </w:r>
      <w:r w:rsidR="00402BD7" w:rsidRPr="00402BD7">
        <w:rPr>
          <w:rFonts w:asciiTheme="minorHAnsi" w:hAnsiTheme="minorHAnsi"/>
          <w:snapToGrid w:val="0"/>
          <w:lang w:val="en-GB"/>
        </w:rPr>
        <w:t xml:space="preserve"> presented in the submission was not suitable to support decision-making.</w:t>
      </w:r>
      <w:r w:rsidR="00402BD7">
        <w:rPr>
          <w:rFonts w:asciiTheme="minorHAnsi" w:hAnsiTheme="minorHAnsi"/>
          <w:snapToGrid w:val="0"/>
          <w:lang w:val="en-GB"/>
        </w:rPr>
        <w:t xml:space="preserve"> </w:t>
      </w:r>
    </w:p>
    <w:p w14:paraId="4C965EB0" w14:textId="6809384B" w:rsidR="00382DF8" w:rsidRPr="00091306" w:rsidRDefault="005A776B" w:rsidP="00864F23">
      <w:pPr>
        <w:pStyle w:val="3-BodyText"/>
        <w:rPr>
          <w:lang w:val="en-GB"/>
        </w:rPr>
      </w:pPr>
      <w:bookmarkStart w:id="89" w:name="_Ref120883249"/>
      <w:r>
        <w:lastRenderedPageBreak/>
        <w:t xml:space="preserve">The PBAC </w:t>
      </w:r>
      <w:r w:rsidR="001F37F1">
        <w:t xml:space="preserve">considered </w:t>
      </w:r>
      <w:r w:rsidR="009B2E7F">
        <w:t xml:space="preserve">that further adjustments </w:t>
      </w:r>
      <w:r w:rsidR="005E1C2D">
        <w:t xml:space="preserve">to the model </w:t>
      </w:r>
      <w:r w:rsidR="001F37F1">
        <w:t xml:space="preserve">would </w:t>
      </w:r>
      <w:r w:rsidR="0084553A">
        <w:t xml:space="preserve">be </w:t>
      </w:r>
      <w:r w:rsidR="009B2E7F">
        <w:t xml:space="preserve">unlikely </w:t>
      </w:r>
      <w:r w:rsidR="0084553A">
        <w:t xml:space="preserve">to </w:t>
      </w:r>
      <w:r w:rsidR="009B2E7F">
        <w:t xml:space="preserve">result in </w:t>
      </w:r>
      <w:r w:rsidR="005E1C2D">
        <w:t xml:space="preserve">more robust economic analyses given the limitations of the available evidence. </w:t>
      </w:r>
      <w:r w:rsidR="0067516C">
        <w:rPr>
          <w:iCs/>
        </w:rPr>
        <w:t xml:space="preserve">The PBAC considered that a comparison between the cost and clinical benefits for treating patients with 1-2 copies of </w:t>
      </w:r>
      <w:r w:rsidR="0067516C" w:rsidRPr="0084553A">
        <w:rPr>
          <w:i/>
        </w:rPr>
        <w:t>SMN2</w:t>
      </w:r>
      <w:r w:rsidR="0067516C">
        <w:rPr>
          <w:iCs/>
        </w:rPr>
        <w:t xml:space="preserve"> with ONA (as currently subsidised) and patients with 3 copies (proposed) would be more informative for establishing the cost</w:t>
      </w:r>
      <w:r w:rsidR="00763B0D">
        <w:rPr>
          <w:iCs/>
        </w:rPr>
        <w:noBreakHyphen/>
      </w:r>
      <w:r w:rsidR="0067516C">
        <w:rPr>
          <w:iCs/>
        </w:rPr>
        <w:t xml:space="preserve">effectiveness </w:t>
      </w:r>
      <w:r w:rsidR="00386739">
        <w:rPr>
          <w:iCs/>
        </w:rPr>
        <w:t>in</w:t>
      </w:r>
      <w:r w:rsidR="0067516C">
        <w:rPr>
          <w:iCs/>
        </w:rPr>
        <w:t xml:space="preserve"> the </w:t>
      </w:r>
      <w:r w:rsidR="00864F23">
        <w:rPr>
          <w:iCs/>
        </w:rPr>
        <w:t>expanded</w:t>
      </w:r>
      <w:r w:rsidR="00386739">
        <w:rPr>
          <w:iCs/>
        </w:rPr>
        <w:t xml:space="preserve"> population</w:t>
      </w:r>
      <w:r w:rsidR="0067516C">
        <w:rPr>
          <w:iCs/>
        </w:rPr>
        <w:t xml:space="preserve">. The PBAC noted that the </w:t>
      </w:r>
      <w:r w:rsidR="00864F23">
        <w:rPr>
          <w:iCs/>
        </w:rPr>
        <w:t xml:space="preserve">smaller </w:t>
      </w:r>
      <w:r w:rsidR="0067516C">
        <w:rPr>
          <w:iCs/>
        </w:rPr>
        <w:t xml:space="preserve">clinical benefit for patients with 3 </w:t>
      </w:r>
      <w:r w:rsidR="0067516C" w:rsidRPr="0084553A">
        <w:rPr>
          <w:i/>
        </w:rPr>
        <w:t>SNM2</w:t>
      </w:r>
      <w:r w:rsidR="0067516C">
        <w:rPr>
          <w:iCs/>
        </w:rPr>
        <w:t xml:space="preserve"> copies (as per </w:t>
      </w:r>
      <w:r w:rsidR="00763B0D">
        <w:rPr>
          <w:iCs/>
        </w:rPr>
        <w:t xml:space="preserve">para </w:t>
      </w:r>
      <w:r w:rsidR="0067516C">
        <w:rPr>
          <w:iCs/>
        </w:rPr>
        <w:fldChar w:fldCharType="begin"/>
      </w:r>
      <w:r w:rsidR="0067516C">
        <w:rPr>
          <w:iCs/>
        </w:rPr>
        <w:instrText xml:space="preserve"> REF _Ref120881516 \r \h </w:instrText>
      </w:r>
      <w:r w:rsidR="0067516C">
        <w:rPr>
          <w:iCs/>
        </w:rPr>
      </w:r>
      <w:r w:rsidR="0067516C">
        <w:rPr>
          <w:iCs/>
        </w:rPr>
        <w:fldChar w:fldCharType="separate"/>
      </w:r>
      <w:r w:rsidR="008E4E26">
        <w:rPr>
          <w:iCs/>
        </w:rPr>
        <w:t>7.6</w:t>
      </w:r>
      <w:r w:rsidR="0067516C">
        <w:rPr>
          <w:iCs/>
        </w:rPr>
        <w:fldChar w:fldCharType="end"/>
      </w:r>
      <w:r w:rsidR="0067516C">
        <w:rPr>
          <w:iCs/>
        </w:rPr>
        <w:t xml:space="preserve">) </w:t>
      </w:r>
      <w:bookmarkStart w:id="90" w:name="_Ref120883251"/>
      <w:bookmarkEnd w:id="89"/>
      <w:r w:rsidR="00864F23">
        <w:rPr>
          <w:iCs/>
        </w:rPr>
        <w:t>would require</w:t>
      </w:r>
      <w:r w:rsidR="005D62CC">
        <w:t xml:space="preserve"> </w:t>
      </w:r>
      <w:r w:rsidR="00BA571C">
        <w:t xml:space="preserve">the price of ONA to be </w:t>
      </w:r>
      <w:r w:rsidR="00864F23">
        <w:t xml:space="preserve">lower </w:t>
      </w:r>
      <w:r w:rsidR="00BA571C">
        <w:t>than for the current listing</w:t>
      </w:r>
      <w:r w:rsidR="00864F23">
        <w:t xml:space="preserve"> for it to be </w:t>
      </w:r>
      <w:r w:rsidR="00FD7569">
        <w:t>similarly cost-effective</w:t>
      </w:r>
      <w:r w:rsidR="00B55505">
        <w:t xml:space="preserve">. </w:t>
      </w:r>
      <w:r w:rsidR="00AD1430">
        <w:t xml:space="preserve">The PBAC noted that </w:t>
      </w:r>
      <w:r w:rsidR="00BA571C">
        <w:t>the price may need to be substantially l</w:t>
      </w:r>
      <w:r w:rsidR="00F62F3F">
        <w:t>ower</w:t>
      </w:r>
      <w:r w:rsidR="0084553A">
        <w:t>,</w:t>
      </w:r>
      <w:r w:rsidR="00BA571C">
        <w:t xml:space="preserve"> referring to the </w:t>
      </w:r>
      <w:r w:rsidR="00AD1430">
        <w:t xml:space="preserve">economic analysis it considered </w:t>
      </w:r>
      <w:r w:rsidR="00BA571C">
        <w:t>for</w:t>
      </w:r>
      <w:r w:rsidR="00AD1430">
        <w:t xml:space="preserve"> </w:t>
      </w:r>
      <w:r w:rsidR="0008065C" w:rsidRPr="0008065C">
        <w:t xml:space="preserve">pre-symptomatic </w:t>
      </w:r>
      <w:r w:rsidR="0008065C">
        <w:t xml:space="preserve">treatment with </w:t>
      </w:r>
      <w:r w:rsidR="0008065C" w:rsidRPr="0008065C">
        <w:t>nusinersen</w:t>
      </w:r>
      <w:r w:rsidR="00BA571C">
        <w:t xml:space="preserve"> where the addition of patients with 3 </w:t>
      </w:r>
      <w:r w:rsidR="00BA571C" w:rsidRPr="00954C9C">
        <w:rPr>
          <w:i/>
          <w:iCs/>
        </w:rPr>
        <w:t>SMN2</w:t>
      </w:r>
      <w:r w:rsidR="00BA571C">
        <w:t xml:space="preserve"> copies</w:t>
      </w:r>
      <w:r w:rsidR="0008065C" w:rsidRPr="0008065C">
        <w:t xml:space="preserve"> </w:t>
      </w:r>
      <w:r w:rsidR="00BA571C">
        <w:t xml:space="preserve">to the base case </w:t>
      </w:r>
      <w:r w:rsidR="006D5D01">
        <w:t>for</w:t>
      </w:r>
      <w:r w:rsidR="0084553A">
        <w:t xml:space="preserve"> </w:t>
      </w:r>
      <w:r w:rsidR="0008065C" w:rsidRPr="0008065C">
        <w:t xml:space="preserve">patients </w:t>
      </w:r>
      <w:r w:rsidR="00BA571C">
        <w:t>with</w:t>
      </w:r>
      <w:r w:rsidR="0008065C" w:rsidRPr="0008065C">
        <w:t xml:space="preserve"> </w:t>
      </w:r>
      <w:bookmarkStart w:id="91" w:name="_Hlk120733501"/>
      <w:r w:rsidR="00BA571C">
        <w:t>1-2</w:t>
      </w:r>
      <w:bookmarkEnd w:id="91"/>
      <w:r w:rsidR="0008065C">
        <w:t xml:space="preserve"> </w:t>
      </w:r>
      <w:r w:rsidR="0008065C" w:rsidRPr="0008065C">
        <w:rPr>
          <w:i/>
          <w:iCs/>
        </w:rPr>
        <w:t>SMN2</w:t>
      </w:r>
      <w:r w:rsidR="0008065C">
        <w:t xml:space="preserve"> copies </w:t>
      </w:r>
      <w:r w:rsidR="00BA571C">
        <w:t>increase</w:t>
      </w:r>
      <w:r w:rsidR="006D5D01">
        <w:t>d</w:t>
      </w:r>
      <w:r w:rsidR="00BA571C">
        <w:t xml:space="preserve"> </w:t>
      </w:r>
      <w:r w:rsidR="0008065C">
        <w:t>the ICER/QALY by 141</w:t>
      </w:r>
      <w:r w:rsidR="00BA571C">
        <w:t>%</w:t>
      </w:r>
      <w:r w:rsidR="00FF7CE0">
        <w:t xml:space="preserve"> (Table 14, nusinersen PSD, July 2020 PBAC meeting)</w:t>
      </w:r>
      <w:r w:rsidR="0008065C" w:rsidRPr="0008065C">
        <w:t>.</w:t>
      </w:r>
      <w:bookmarkEnd w:id="90"/>
    </w:p>
    <w:p w14:paraId="50E8AB3E" w14:textId="36497419" w:rsidR="008735FE" w:rsidRPr="00F62F3F" w:rsidRDefault="00192ABE" w:rsidP="009653DC">
      <w:pPr>
        <w:widowControl w:val="0"/>
        <w:numPr>
          <w:ilvl w:val="1"/>
          <w:numId w:val="1"/>
        </w:numPr>
        <w:spacing w:after="120"/>
        <w:rPr>
          <w:rFonts w:asciiTheme="minorHAnsi" w:hAnsiTheme="minorHAnsi"/>
          <w:snapToGrid w:val="0"/>
          <w:lang w:val="en-GB"/>
        </w:rPr>
      </w:pPr>
      <w:r w:rsidRPr="00F62F3F">
        <w:rPr>
          <w:color w:val="000000" w:themeColor="text1"/>
        </w:rPr>
        <w:t xml:space="preserve">The PBAC noted that the </w:t>
      </w:r>
      <w:r w:rsidRPr="00917415">
        <w:t xml:space="preserve">net cost to the PBS of listing ONA was estimated by the submission to be </w:t>
      </w:r>
      <w:r w:rsidR="00E640E7" w:rsidRPr="00E640E7">
        <w:t>$10 million to &lt; $20 million</w:t>
      </w:r>
      <w:r w:rsidR="00E640E7">
        <w:t xml:space="preserve"> </w:t>
      </w:r>
      <w:r w:rsidRPr="00917415">
        <w:t xml:space="preserve">in Year 6, and </w:t>
      </w:r>
      <w:r w:rsidR="00E640E7" w:rsidRPr="00E640E7">
        <w:t>$100 million to &lt; $200 million</w:t>
      </w:r>
      <w:r w:rsidR="00E640E7">
        <w:t xml:space="preserve"> </w:t>
      </w:r>
      <w:r w:rsidRPr="00917415">
        <w:t xml:space="preserve">in the first 6 years of listing. This included </w:t>
      </w:r>
      <w:r>
        <w:t xml:space="preserve">cost-offsets </w:t>
      </w:r>
      <w:r w:rsidR="00EF63DF" w:rsidRPr="00EF63DF">
        <w:t xml:space="preserve">for symptomatic treatment with nusinersen/risdiplam </w:t>
      </w:r>
      <w:r w:rsidR="00EF63DF">
        <w:t xml:space="preserve">totalling </w:t>
      </w:r>
      <w:r w:rsidR="00E640E7" w:rsidRPr="00E640E7">
        <w:t>$80 million to &lt; $90 million</w:t>
      </w:r>
      <w:r w:rsidR="00E640E7" w:rsidRPr="00E640E7" w:rsidDel="00E640E7">
        <w:t xml:space="preserve"> </w:t>
      </w:r>
      <w:r w:rsidR="005F7412">
        <w:t xml:space="preserve">over </w:t>
      </w:r>
      <w:r w:rsidR="00593A0A">
        <w:t>the</w:t>
      </w:r>
      <w:r w:rsidR="00EF63DF">
        <w:t xml:space="preserve"> first 6 years of listings. </w:t>
      </w:r>
      <w:r w:rsidR="007511AE">
        <w:t xml:space="preserve">The PBAC </w:t>
      </w:r>
      <w:r w:rsidR="004759ED">
        <w:t xml:space="preserve">considered it </w:t>
      </w:r>
      <w:r w:rsidR="007511AE">
        <w:t xml:space="preserve">was uncertain whether these cost savings would be realised </w:t>
      </w:r>
      <w:r w:rsidR="00240FE9">
        <w:t>as</w:t>
      </w:r>
      <w:r w:rsidR="00AC5A9E">
        <w:t xml:space="preserve"> the financial estimates assumed</w:t>
      </w:r>
      <w:r w:rsidR="00AC5A9E" w:rsidRPr="00AC5A9E">
        <w:t xml:space="preserve"> </w:t>
      </w:r>
      <w:r w:rsidR="00AC5A9E">
        <w:t>that patients</w:t>
      </w:r>
      <w:r w:rsidR="00222142">
        <w:t xml:space="preserve"> treated with ONA would have otherwise been treated with nusinersen or </w:t>
      </w:r>
      <w:r w:rsidR="004337E7">
        <w:t xml:space="preserve">risdiplam, </w:t>
      </w:r>
      <w:r w:rsidR="004759ED">
        <w:t xml:space="preserve">that </w:t>
      </w:r>
      <w:r w:rsidR="004337E7">
        <w:t>patients</w:t>
      </w:r>
      <w:r w:rsidR="00222142">
        <w:t xml:space="preserve"> treated </w:t>
      </w:r>
      <w:r w:rsidR="00AC5A9E">
        <w:t>with</w:t>
      </w:r>
      <w:r w:rsidR="00AC5A9E" w:rsidRPr="00AC5A9E">
        <w:t xml:space="preserve"> ONA would </w:t>
      </w:r>
      <w:r w:rsidR="00AC5A9E">
        <w:t xml:space="preserve">not require subsequent treatment </w:t>
      </w:r>
      <w:r w:rsidR="00222142">
        <w:t>and</w:t>
      </w:r>
      <w:r w:rsidR="00222142" w:rsidRPr="00222142">
        <w:t xml:space="preserve"> </w:t>
      </w:r>
      <w:r w:rsidR="004759ED">
        <w:t xml:space="preserve">that </w:t>
      </w:r>
      <w:r w:rsidR="00222142">
        <w:t xml:space="preserve">there would be no </w:t>
      </w:r>
      <w:r w:rsidR="00222142" w:rsidRPr="00222142">
        <w:t>discontinuation of treatment with either nusinersen or risdiplam</w:t>
      </w:r>
      <w:r w:rsidR="00222142">
        <w:t xml:space="preserve">. </w:t>
      </w:r>
      <w:r w:rsidR="00F62F3F" w:rsidRPr="00F62F3F">
        <w:rPr>
          <w:rFonts w:asciiTheme="minorHAnsi" w:hAnsiTheme="minorHAnsi"/>
          <w:snapToGrid w:val="0"/>
        </w:rPr>
        <w:t xml:space="preserve">The net cost for ONA (without offsets for nusinersen and risdiplam) was estimated to be </w:t>
      </w:r>
      <w:r w:rsidR="0064010B" w:rsidRPr="0064010B">
        <w:rPr>
          <w:rFonts w:asciiTheme="minorHAnsi" w:hAnsiTheme="minorHAnsi"/>
          <w:snapToGrid w:val="0"/>
        </w:rPr>
        <w:t>$30 million to &lt; $40 million</w:t>
      </w:r>
      <w:r w:rsidR="0064010B">
        <w:rPr>
          <w:rFonts w:asciiTheme="minorHAnsi" w:hAnsiTheme="minorHAnsi"/>
          <w:snapToGrid w:val="0"/>
        </w:rPr>
        <w:t xml:space="preserve"> </w:t>
      </w:r>
      <w:r w:rsidR="00F62F3F" w:rsidRPr="00F62F3F">
        <w:rPr>
          <w:rFonts w:asciiTheme="minorHAnsi" w:hAnsiTheme="minorHAnsi"/>
          <w:snapToGrid w:val="0"/>
        </w:rPr>
        <w:t>-</w:t>
      </w:r>
      <w:r w:rsidR="0064010B">
        <w:rPr>
          <w:rFonts w:asciiTheme="minorHAnsi" w:hAnsiTheme="minorHAnsi"/>
          <w:snapToGrid w:val="0"/>
        </w:rPr>
        <w:t xml:space="preserve"> </w:t>
      </w:r>
      <w:r w:rsidR="0064010B" w:rsidRPr="0064010B">
        <w:rPr>
          <w:rFonts w:asciiTheme="minorHAnsi" w:hAnsiTheme="minorHAnsi"/>
          <w:snapToGrid w:val="0"/>
        </w:rPr>
        <w:t>$40 million to &lt; $50 million</w:t>
      </w:r>
      <w:r w:rsidR="0064010B">
        <w:rPr>
          <w:rFonts w:asciiTheme="minorHAnsi" w:hAnsiTheme="minorHAnsi"/>
          <w:snapToGrid w:val="0"/>
        </w:rPr>
        <w:t xml:space="preserve"> </w:t>
      </w:r>
      <w:r w:rsidR="00F62F3F" w:rsidRPr="00F62F3F">
        <w:rPr>
          <w:rFonts w:asciiTheme="minorHAnsi" w:hAnsiTheme="minorHAnsi"/>
          <w:snapToGrid w:val="0"/>
        </w:rPr>
        <w:t xml:space="preserve">in each year, with a total cost of </w:t>
      </w:r>
      <w:r w:rsidR="0064010B" w:rsidRPr="0064010B">
        <w:rPr>
          <w:rFonts w:asciiTheme="minorHAnsi" w:hAnsiTheme="minorHAnsi"/>
          <w:snapToGrid w:val="0"/>
        </w:rPr>
        <w:t>$200 million to &lt; $300 million</w:t>
      </w:r>
      <w:r w:rsidR="0064010B">
        <w:rPr>
          <w:rFonts w:asciiTheme="minorHAnsi" w:hAnsiTheme="minorHAnsi"/>
          <w:snapToGrid w:val="0"/>
        </w:rPr>
        <w:t xml:space="preserve"> </w:t>
      </w:r>
      <w:r w:rsidR="00F62F3F" w:rsidRPr="00F62F3F">
        <w:rPr>
          <w:rFonts w:asciiTheme="minorHAnsi" w:hAnsiTheme="minorHAnsi"/>
          <w:snapToGrid w:val="0"/>
        </w:rPr>
        <w:t xml:space="preserve">over the first 6 years of listing. </w:t>
      </w:r>
      <w:r w:rsidR="00240FE9">
        <w:t xml:space="preserve">The PBAC considered that the number of patients with 3 </w:t>
      </w:r>
      <w:r w:rsidR="00240FE9" w:rsidRPr="00F62F3F">
        <w:rPr>
          <w:i/>
          <w:iCs/>
        </w:rPr>
        <w:t>SMN2</w:t>
      </w:r>
      <w:r w:rsidR="00240FE9">
        <w:t xml:space="preserve"> copies who would be treated pre-symptomatically </w:t>
      </w:r>
      <w:r w:rsidR="00406CEC">
        <w:t>with ONA was uncertain</w:t>
      </w:r>
      <w:r w:rsidR="0023309D">
        <w:t>,</w:t>
      </w:r>
      <w:r w:rsidR="00406CEC">
        <w:t xml:space="preserve"> noting</w:t>
      </w:r>
      <w:r w:rsidR="0023309D">
        <w:t xml:space="preserve"> this could increase with the expansion of </w:t>
      </w:r>
      <w:r w:rsidR="0023309D" w:rsidRPr="0023309D">
        <w:t>newborn bloodspot screening</w:t>
      </w:r>
      <w:r w:rsidR="0023309D">
        <w:t xml:space="preserve"> but may</w:t>
      </w:r>
      <w:r w:rsidR="00406CEC">
        <w:t xml:space="preserve"> </w:t>
      </w:r>
      <w:r w:rsidR="0023309D">
        <w:t>also be</w:t>
      </w:r>
      <w:r w:rsidR="00406CEC">
        <w:t xml:space="preserve"> </w:t>
      </w:r>
      <w:r w:rsidR="004759ED">
        <w:t>reduced in the long term due to</w:t>
      </w:r>
      <w:r w:rsidR="00406CEC">
        <w:t xml:space="preserve"> the introduction of reproductive genetic carrier screening. </w:t>
      </w:r>
    </w:p>
    <w:p w14:paraId="70DFA5CE" w14:textId="512D72D8" w:rsidR="00673C45" w:rsidRPr="00673C45" w:rsidRDefault="008735FE" w:rsidP="00F62F3F">
      <w:pPr>
        <w:widowControl w:val="0"/>
        <w:numPr>
          <w:ilvl w:val="1"/>
          <w:numId w:val="1"/>
        </w:numPr>
        <w:spacing w:after="120"/>
        <w:rPr>
          <w:lang w:val="en-GB"/>
        </w:rPr>
      </w:pPr>
      <w:r>
        <w:rPr>
          <w:color w:val="000000" w:themeColor="text1"/>
        </w:rPr>
        <w:t xml:space="preserve">The PBAC considered a resubmission for ONA should </w:t>
      </w:r>
      <w:r w:rsidR="00673C45">
        <w:rPr>
          <w:color w:val="000000" w:themeColor="text1"/>
        </w:rPr>
        <w:t xml:space="preserve">present a revised approach to demonstrating the cost effectiveness of pre-symptomatic treatment of patients with 3 copies SMN2 which </w:t>
      </w:r>
      <w:r w:rsidR="00E32A32" w:rsidRPr="00673C45">
        <w:rPr>
          <w:color w:val="000000" w:themeColor="text1"/>
        </w:rPr>
        <w:t>address</w:t>
      </w:r>
      <w:r w:rsidR="00E32A32">
        <w:rPr>
          <w:color w:val="000000" w:themeColor="text1"/>
        </w:rPr>
        <w:t>es</w:t>
      </w:r>
      <w:r w:rsidR="00E32A32" w:rsidRPr="00673C45">
        <w:rPr>
          <w:color w:val="000000" w:themeColor="text1"/>
        </w:rPr>
        <w:t xml:space="preserve"> the issues outlined in paragraph </w:t>
      </w:r>
      <w:r w:rsidR="00E32A32" w:rsidRPr="00673C45">
        <w:rPr>
          <w:color w:val="000000" w:themeColor="text1"/>
        </w:rPr>
        <w:fldChar w:fldCharType="begin"/>
      </w:r>
      <w:r w:rsidR="00E32A32" w:rsidRPr="00673C45">
        <w:rPr>
          <w:color w:val="000000" w:themeColor="text1"/>
        </w:rPr>
        <w:instrText xml:space="preserve"> REF _Ref120883249 \r \h </w:instrText>
      </w:r>
      <w:r w:rsidR="00E32A32">
        <w:rPr>
          <w:color w:val="000000" w:themeColor="text1"/>
        </w:rPr>
        <w:instrText xml:space="preserve"> \* MERGEFORMAT </w:instrText>
      </w:r>
      <w:r w:rsidR="00E32A32" w:rsidRPr="00673C45">
        <w:rPr>
          <w:color w:val="000000" w:themeColor="text1"/>
        </w:rPr>
      </w:r>
      <w:r w:rsidR="00E32A32" w:rsidRPr="00673C45">
        <w:rPr>
          <w:color w:val="000000" w:themeColor="text1"/>
        </w:rPr>
        <w:fldChar w:fldCharType="separate"/>
      </w:r>
      <w:r w:rsidR="008E4E26">
        <w:rPr>
          <w:color w:val="000000" w:themeColor="text1"/>
        </w:rPr>
        <w:t>7.10</w:t>
      </w:r>
      <w:r w:rsidR="00E32A32" w:rsidRPr="00673C45">
        <w:rPr>
          <w:color w:val="000000" w:themeColor="text1"/>
        </w:rPr>
        <w:fldChar w:fldCharType="end"/>
      </w:r>
      <w:r w:rsidR="00F62F3F">
        <w:rPr>
          <w:color w:val="000000" w:themeColor="text1"/>
        </w:rPr>
        <w:t>.</w:t>
      </w:r>
    </w:p>
    <w:p w14:paraId="2B391323" w14:textId="23F0DD81" w:rsidR="00973899" w:rsidRPr="008735FE" w:rsidRDefault="008735FE" w:rsidP="008735FE">
      <w:pPr>
        <w:widowControl w:val="0"/>
        <w:numPr>
          <w:ilvl w:val="1"/>
          <w:numId w:val="1"/>
        </w:numPr>
        <w:spacing w:after="120"/>
        <w:rPr>
          <w:rFonts w:asciiTheme="minorHAnsi" w:hAnsiTheme="minorHAnsi"/>
          <w:snapToGrid w:val="0"/>
          <w:lang w:val="en-GB"/>
        </w:rPr>
      </w:pPr>
      <w:r w:rsidRPr="00525B39">
        <w:rPr>
          <w:rFonts w:asciiTheme="minorHAnsi" w:hAnsiTheme="minorHAnsi"/>
          <w:bCs/>
          <w:snapToGrid w:val="0"/>
          <w:lang w:val="en-GB"/>
        </w:rPr>
        <w:t xml:space="preserve">The PBAC </w:t>
      </w:r>
      <w:r>
        <w:rPr>
          <w:rFonts w:asciiTheme="minorHAnsi" w:hAnsiTheme="minorHAnsi"/>
          <w:bCs/>
          <w:snapToGrid w:val="0"/>
          <w:lang w:val="en-GB"/>
        </w:rPr>
        <w:t>noted</w:t>
      </w:r>
      <w:r w:rsidRPr="00525B39">
        <w:rPr>
          <w:rFonts w:asciiTheme="minorHAnsi" w:hAnsiTheme="minorHAnsi"/>
          <w:bCs/>
          <w:snapToGrid w:val="0"/>
          <w:lang w:val="en-GB"/>
        </w:rPr>
        <w:t xml:space="preserve"> that this submission is eligible for an Independent Review</w:t>
      </w:r>
      <w:r>
        <w:rPr>
          <w:rFonts w:asciiTheme="minorHAnsi" w:hAnsiTheme="minorHAnsi"/>
          <w:bCs/>
          <w:snapToGrid w:val="0"/>
          <w:lang w:val="en-GB"/>
        </w:rPr>
        <w:t>.</w:t>
      </w:r>
    </w:p>
    <w:bookmarkEnd w:id="86"/>
    <w:p w14:paraId="669DD1BC" w14:textId="77777777" w:rsidR="00054F33" w:rsidRPr="00525B39" w:rsidRDefault="00054F33" w:rsidP="00054F3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F83FBAD" w14:textId="17881681" w:rsidR="00054F33" w:rsidRPr="00525B39" w:rsidRDefault="00054F33" w:rsidP="00054F33">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155B08A5" w14:textId="45692D05" w:rsidR="00054F33" w:rsidRDefault="00054F33" w:rsidP="00054F33">
      <w:pPr>
        <w:widowControl w:val="0"/>
        <w:rPr>
          <w:rFonts w:asciiTheme="minorHAnsi" w:hAnsiTheme="minorHAnsi"/>
          <w:b/>
          <w:bCs/>
          <w:snapToGrid w:val="0"/>
        </w:rPr>
      </w:pPr>
    </w:p>
    <w:p w14:paraId="6CD44DEE" w14:textId="3A1D0511" w:rsidR="001B49CC" w:rsidRPr="001B49CC" w:rsidRDefault="001B49CC" w:rsidP="001B49CC">
      <w:pPr>
        <w:pStyle w:val="2-SectionHeading"/>
      </w:pPr>
      <w:r w:rsidRPr="00C07617">
        <w:t>Context for Decision</w:t>
      </w:r>
    </w:p>
    <w:p w14:paraId="27BE93EE" w14:textId="77777777" w:rsidR="001B49CC" w:rsidRPr="007129F2" w:rsidRDefault="001B49CC" w:rsidP="00AF1A15">
      <w:pPr>
        <w:spacing w:after="120"/>
        <w:ind w:left="68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w:t>
      </w:r>
      <w:r w:rsidRPr="007129F2">
        <w:rPr>
          <w:rFonts w:asciiTheme="minorHAnsi" w:hAnsiTheme="minorHAnsi"/>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53DDDA9" w14:textId="372AE068" w:rsidR="001B49CC" w:rsidRPr="001B49CC" w:rsidRDefault="001B49CC" w:rsidP="001B49CC">
      <w:pPr>
        <w:pStyle w:val="2-SectionHeading"/>
      </w:pPr>
      <w:r>
        <w:t>Sponsor’s Comment</w:t>
      </w:r>
    </w:p>
    <w:p w14:paraId="0B07EE79" w14:textId="6109EA36" w:rsidR="001A293B" w:rsidRPr="0003706F" w:rsidRDefault="00BC28B4" w:rsidP="0003706F">
      <w:pPr>
        <w:spacing w:after="120"/>
        <w:ind w:left="680"/>
        <w:rPr>
          <w:rFonts w:asciiTheme="minorHAnsi" w:hAnsiTheme="minorHAnsi"/>
          <w:bCs/>
          <w:lang w:val="en-GB"/>
        </w:rPr>
      </w:pPr>
      <w:r w:rsidRPr="00BC28B4">
        <w:rPr>
          <w:rFonts w:asciiTheme="minorHAnsi" w:hAnsiTheme="minorHAnsi"/>
          <w:bCs/>
          <w:lang w:val="en-GB"/>
        </w:rPr>
        <w:t>Zolgensma® has demonstrated significant impact on the lives of SMA babies with 3 SMN2 copies and has the potential to fundamentally change the quality of life of these Australians, with a single dose treatment. Novartis appreciates that the PBAC has recognised this clinical benefit. With newborn screening becoming more available in Australia, Novartis will continue to work with PBAC in the hope that this treatment will be available to all diagnosed presymptomatic SMA babies</w:t>
      </w:r>
      <w:bookmarkEnd w:id="84"/>
      <w:bookmarkEnd w:id="85"/>
    </w:p>
    <w:sectPr w:rsidR="001A293B" w:rsidRPr="0003706F" w:rsidSect="00475B07">
      <w:headerReference w:type="default" r:id="rId24"/>
      <w:footerReference w:type="default" r:id="rId2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6C5AB" w14:textId="77777777" w:rsidR="009B0FFC" w:rsidRDefault="009B0FFC" w:rsidP="00124A51">
      <w:r>
        <w:separator/>
      </w:r>
    </w:p>
    <w:p w14:paraId="4B3A1B72" w14:textId="77777777" w:rsidR="009B0FFC" w:rsidRDefault="009B0FFC"/>
  </w:endnote>
  <w:endnote w:type="continuationSeparator" w:id="0">
    <w:p w14:paraId="008BC5F9" w14:textId="77777777" w:rsidR="009B0FFC" w:rsidRDefault="009B0FFC" w:rsidP="00124A51">
      <w:r>
        <w:continuationSeparator/>
      </w:r>
    </w:p>
    <w:p w14:paraId="0D368F04" w14:textId="77777777" w:rsidR="009B0FFC" w:rsidRDefault="009B0F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Sabon">
    <w:altName w:val="Cambr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7304" w14:textId="77777777" w:rsidR="0003706F" w:rsidRDefault="0003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410041" w:rsidRDefault="00410041" w:rsidP="00753B29">
    <w:pPr>
      <w:pStyle w:val="Footer"/>
      <w:jc w:val="center"/>
    </w:pPr>
  </w:p>
  <w:p w14:paraId="37484CD3" w14:textId="2AEB64A8" w:rsidR="00410041" w:rsidRPr="00054F33" w:rsidRDefault="008E4E26"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410041" w:rsidRPr="00054F33">
          <w:rPr>
            <w:b/>
            <w:bCs/>
          </w:rPr>
          <w:fldChar w:fldCharType="begin"/>
        </w:r>
        <w:r w:rsidR="00410041" w:rsidRPr="00054F33">
          <w:rPr>
            <w:b/>
            <w:bCs/>
          </w:rPr>
          <w:instrText xml:space="preserve"> PAGE   \* MERGEFORMAT </w:instrText>
        </w:r>
        <w:r w:rsidR="00410041" w:rsidRPr="00054F33">
          <w:rPr>
            <w:b/>
            <w:bCs/>
          </w:rPr>
          <w:fldChar w:fldCharType="separate"/>
        </w:r>
        <w:r w:rsidR="00410041" w:rsidRPr="00054F33">
          <w:rPr>
            <w:b/>
            <w:bCs/>
            <w:noProof/>
          </w:rPr>
          <w:t>42</w:t>
        </w:r>
        <w:r w:rsidR="00410041" w:rsidRPr="00054F33">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C09DA" w14:textId="77777777" w:rsidR="0003706F" w:rsidRDefault="000370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0B099" w14:textId="77777777" w:rsidR="0003706F" w:rsidRDefault="0003706F" w:rsidP="0003706F">
    <w:pPr>
      <w:pStyle w:val="Footer"/>
      <w:jc w:val="center"/>
      <w:rPr>
        <w:b/>
        <w:bCs/>
      </w:rPr>
    </w:pPr>
  </w:p>
  <w:p w14:paraId="25951985" w14:textId="7161EFFD" w:rsidR="00054F33" w:rsidRPr="0003706F" w:rsidRDefault="008E4E26" w:rsidP="0003706F">
    <w:pPr>
      <w:pStyle w:val="Footer"/>
      <w:jc w:val="center"/>
      <w:rPr>
        <w:b/>
        <w:bCs/>
      </w:rPr>
    </w:pPr>
    <w:sdt>
      <w:sdtPr>
        <w:rPr>
          <w:b/>
          <w:bCs/>
        </w:rPr>
        <w:id w:val="282310010"/>
        <w:docPartObj>
          <w:docPartGallery w:val="Page Numbers (Bottom of Page)"/>
          <w:docPartUnique/>
        </w:docPartObj>
      </w:sdtPr>
      <w:sdtEndPr>
        <w:rPr>
          <w:noProof/>
        </w:rPr>
      </w:sdtEndPr>
      <w:sdtContent>
        <w:r w:rsidR="00A42828" w:rsidRPr="00054F33">
          <w:rPr>
            <w:b/>
            <w:bCs/>
          </w:rPr>
          <w:fldChar w:fldCharType="begin"/>
        </w:r>
        <w:r w:rsidR="00A42828" w:rsidRPr="00054F33">
          <w:rPr>
            <w:b/>
            <w:bCs/>
          </w:rPr>
          <w:instrText xml:space="preserve"> PAGE   \* MERGEFORMAT </w:instrText>
        </w:r>
        <w:r w:rsidR="00A42828" w:rsidRPr="00054F33">
          <w:rPr>
            <w:b/>
            <w:bCs/>
          </w:rPr>
          <w:fldChar w:fldCharType="separate"/>
        </w:r>
        <w:r w:rsidR="00A42828">
          <w:rPr>
            <w:b/>
            <w:bCs/>
          </w:rPr>
          <w:t>39</w:t>
        </w:r>
        <w:r w:rsidR="00A42828" w:rsidRPr="00054F33">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477D0" w14:textId="77777777" w:rsidR="009B0FFC" w:rsidRDefault="009B0FFC" w:rsidP="00124A51">
      <w:r>
        <w:separator/>
      </w:r>
    </w:p>
    <w:p w14:paraId="2A1568CA" w14:textId="77777777" w:rsidR="009B0FFC" w:rsidRDefault="009B0FFC"/>
  </w:footnote>
  <w:footnote w:type="continuationSeparator" w:id="0">
    <w:p w14:paraId="4F2FDB8E" w14:textId="77777777" w:rsidR="009B0FFC" w:rsidRDefault="009B0FFC" w:rsidP="00124A51">
      <w:r>
        <w:continuationSeparator/>
      </w:r>
    </w:p>
    <w:p w14:paraId="7A06A6AE" w14:textId="77777777" w:rsidR="009B0FFC" w:rsidRDefault="009B0FFC"/>
  </w:footnote>
  <w:footnote w:id="1">
    <w:p w14:paraId="5FBB3415" w14:textId="77777777" w:rsidR="00410041" w:rsidRDefault="00410041" w:rsidP="00027CE2">
      <w:pPr>
        <w:pStyle w:val="FootnoteText"/>
      </w:pPr>
      <w:r>
        <w:rPr>
          <w:rStyle w:val="FootnoteReference"/>
        </w:rPr>
        <w:footnoteRef/>
      </w:r>
      <w:r w:rsidRPr="00080B7E">
        <w:rPr>
          <w:lang w:val="it-IT"/>
        </w:rPr>
        <w:t xml:space="preserve"> Mercuri E, Finkel RS, Muntoni F, et al. 2018. </w:t>
      </w:r>
      <w:r>
        <w:t xml:space="preserve">Diagnosis and management of spinal muscular atrophy: Part 1: Recommendations for diagnosis, rehabilitation, orthopedic and nutritional care. </w:t>
      </w:r>
      <w:r w:rsidRPr="00855181">
        <w:t>Neuromuscular Disorders 28</w:t>
      </w:r>
      <w:r>
        <w:t>:</w:t>
      </w:r>
      <w:r w:rsidRPr="00855181">
        <w:t>103–115</w:t>
      </w:r>
      <w:r>
        <w:t>.</w:t>
      </w:r>
    </w:p>
  </w:footnote>
  <w:footnote w:id="2">
    <w:p w14:paraId="2BCA026A" w14:textId="77777777" w:rsidR="00410041" w:rsidRDefault="00410041" w:rsidP="00027CE2">
      <w:pPr>
        <w:pStyle w:val="FootnoteText"/>
      </w:pPr>
      <w:r>
        <w:rPr>
          <w:rStyle w:val="FootnoteReference"/>
        </w:rPr>
        <w:footnoteRef/>
      </w:r>
      <w:r>
        <w:t xml:space="preserve"> Finkel RS, Mercuri E, Meyer OH, et al. 2018. Diagnosis and management of spinal muscular atrophy: Part 2: Pulmonary and acute care; medications, supplements and immunizations; other organ systems; and ethics. </w:t>
      </w:r>
      <w:r w:rsidRPr="00855181">
        <w:t>Neuromuscular Disorders 28</w:t>
      </w:r>
      <w:r>
        <w:t>:</w:t>
      </w:r>
      <w:r w:rsidRPr="00855181">
        <w:t>197–207</w:t>
      </w:r>
      <w:r>
        <w:t>.</w:t>
      </w:r>
    </w:p>
  </w:footnote>
  <w:footnote w:id="3">
    <w:p w14:paraId="7FCB6EDA" w14:textId="77777777" w:rsidR="00410041" w:rsidRDefault="00410041" w:rsidP="00027CE2">
      <w:pPr>
        <w:pStyle w:val="FootnoteText"/>
      </w:pPr>
      <w:r>
        <w:rPr>
          <w:rStyle w:val="FootnoteReference"/>
        </w:rPr>
        <w:footnoteRef/>
      </w:r>
      <w:r>
        <w:t xml:space="preserve"> Kirschner J, Butoianu N, Goemans N, et al. 2020. European ad-hoc consensus statement on gene replacement therapy for spinal muscular atrophy. </w:t>
      </w:r>
      <w:r w:rsidRPr="00D56162">
        <w:t>European Journal of Paediatric Neurology 28</w:t>
      </w:r>
      <w:r>
        <w:t>:</w:t>
      </w:r>
      <w:r w:rsidRPr="00D56162">
        <w:t>38</w:t>
      </w:r>
      <w:r>
        <w:t>-</w:t>
      </w:r>
      <w:r w:rsidRPr="00D56162">
        <w:t>43</w:t>
      </w:r>
      <w:r>
        <w:t>.</w:t>
      </w:r>
    </w:p>
  </w:footnote>
  <w:footnote w:id="4">
    <w:p w14:paraId="6CCD3D5C" w14:textId="77777777" w:rsidR="00410041" w:rsidRDefault="00410041" w:rsidP="00027CE2">
      <w:pPr>
        <w:pStyle w:val="FootnoteText"/>
      </w:pPr>
      <w:r>
        <w:rPr>
          <w:rStyle w:val="FootnoteReference"/>
        </w:rPr>
        <w:footnoteRef/>
      </w:r>
      <w:r>
        <w:t xml:space="preserve"> Wirth B, Karakaya M, Kye MJ, Mendoza-Ferreira N. 2020. Twenty-Five Years of Spinal Muscular Atrophy Research: From Phenotype to Genotype to Therapy, and What Comes Next.</w:t>
      </w:r>
      <w:r w:rsidRPr="00D56162">
        <w:t xml:space="preserve"> Annual Review of Genomics and Human Genetics</w:t>
      </w:r>
      <w:r>
        <w:t xml:space="preserve"> 21:231-261.</w:t>
      </w:r>
    </w:p>
  </w:footnote>
  <w:footnote w:id="5">
    <w:p w14:paraId="03D722B2" w14:textId="77777777" w:rsidR="00410041" w:rsidRDefault="00410041" w:rsidP="00AF423D">
      <w:pPr>
        <w:pStyle w:val="FootnoteText"/>
      </w:pPr>
      <w:r>
        <w:rPr>
          <w:rStyle w:val="FootnoteReference"/>
        </w:rPr>
        <w:footnoteRef/>
      </w:r>
      <w:r>
        <w:t xml:space="preserve"> </w:t>
      </w:r>
      <w:r w:rsidRPr="00AA4178">
        <w:t>Davidson JE, Farrar MA.</w:t>
      </w:r>
      <w:r>
        <w:t xml:space="preserve"> 2022.</w:t>
      </w:r>
      <w:r w:rsidRPr="00AA4178">
        <w:t xml:space="preserve"> The changing therapeutic landscape of spinal muscular atrophy. Aust</w:t>
      </w:r>
      <w:r>
        <w:t>ralian</w:t>
      </w:r>
      <w:r w:rsidRPr="00AA4178">
        <w:t xml:space="preserve"> J</w:t>
      </w:r>
      <w:r>
        <w:t>ournal of</w:t>
      </w:r>
      <w:r w:rsidRPr="00AA4178">
        <w:t xml:space="preserve"> Gen</w:t>
      </w:r>
      <w:r>
        <w:t>eral</w:t>
      </w:r>
      <w:r w:rsidRPr="00AA4178">
        <w:t xml:space="preserve"> Pract</w:t>
      </w:r>
      <w:r>
        <w:t>ice</w:t>
      </w:r>
      <w:r w:rsidRPr="00AA4178">
        <w:t>. 51(1-2):38-42.</w:t>
      </w:r>
    </w:p>
  </w:footnote>
  <w:footnote w:id="6">
    <w:p w14:paraId="1EE95692" w14:textId="77777777" w:rsidR="002D78FD" w:rsidRDefault="002D78FD" w:rsidP="002D78FD">
      <w:pPr>
        <w:pStyle w:val="FootnoteText"/>
      </w:pPr>
      <w:r>
        <w:rPr>
          <w:rStyle w:val="FootnoteReference"/>
        </w:rPr>
        <w:footnoteRef/>
      </w:r>
      <w:r>
        <w:t xml:space="preserve"> </w:t>
      </w:r>
      <w:r w:rsidRPr="00493913">
        <w:t>Acsadi G, Crawford TO, Müller-Felber W, et al. Safety and efficacy of nusinersen in spinal muscular atrophy: The EMBRACE study.</w:t>
      </w:r>
      <w:r>
        <w:t xml:space="preserve"> </w:t>
      </w:r>
      <w:r w:rsidRPr="00493913">
        <w:t>Muscle Nerve 2021; 63(5):668-677.</w:t>
      </w:r>
    </w:p>
  </w:footnote>
  <w:footnote w:id="7">
    <w:p w14:paraId="0AA80DD2" w14:textId="77777777" w:rsidR="00410041" w:rsidRDefault="00410041" w:rsidP="005A1A39">
      <w:pPr>
        <w:pStyle w:val="FootnoteText"/>
      </w:pPr>
      <w:r>
        <w:rPr>
          <w:rStyle w:val="FootnoteReference"/>
        </w:rPr>
        <w:footnoteRef/>
      </w:r>
      <w:r>
        <w:t xml:space="preserve"> Darras BT, De Vivo DC, Farrar MA, et al. </w:t>
      </w:r>
      <w:r w:rsidRPr="00DB131C">
        <w:t xml:space="preserve">Safety Profile of Nusinersen in Presymptomatic and Infantile-Onset Spinal Muscular Atrophy (SMA): Interim Results </w:t>
      </w:r>
      <w:r>
        <w:t>f</w:t>
      </w:r>
      <w:r w:rsidRPr="00DB131C">
        <w:t>rom the NURTURE and ENDEAR-SHINE Studies (1659)</w:t>
      </w:r>
      <w:r>
        <w:t>. Neurology 2020. 94(15 Supplement)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CC9C" w14:textId="77777777" w:rsidR="0003706F" w:rsidRDefault="0003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61BA5FA0" w:rsidR="00410041" w:rsidRPr="00195452" w:rsidRDefault="001B49CC" w:rsidP="00D822E2">
    <w:pPr>
      <w:pStyle w:val="Header"/>
      <w:rPr>
        <w:rFonts w:asciiTheme="minorHAnsi" w:hAnsiTheme="minorHAnsi"/>
        <w:i/>
        <w:color w:val="808080"/>
      </w:rPr>
    </w:pPr>
    <w:r w:rsidRPr="00895E96">
      <w:rPr>
        <w:rFonts w:asciiTheme="minorHAnsi" w:hAnsiTheme="minorHAnsi" w:cstheme="minorHAnsi"/>
        <w:i/>
        <w:color w:val="808080"/>
        <w:sz w:val="22"/>
      </w:rPr>
      <w:t xml:space="preserve">Public Summary Document </w:t>
    </w:r>
    <w:r w:rsidR="00054F33">
      <w:rPr>
        <w:rFonts w:asciiTheme="minorHAnsi" w:hAnsiTheme="minorHAnsi"/>
        <w:i/>
        <w:color w:val="808080"/>
      </w:rPr>
      <w:t xml:space="preserve">- </w:t>
    </w:r>
    <w:r w:rsidR="00410041">
      <w:rPr>
        <w:rFonts w:asciiTheme="minorHAnsi" w:hAnsiTheme="minorHAnsi"/>
        <w:i/>
        <w:color w:val="808080"/>
      </w:rPr>
      <w:t xml:space="preserve">November 2022 </w:t>
    </w:r>
    <w:r w:rsidR="00410041" w:rsidRPr="00195452">
      <w:rPr>
        <w:rFonts w:asciiTheme="minorHAnsi" w:hAnsiTheme="minorHAnsi"/>
        <w:i/>
        <w:color w:val="808080"/>
      </w:rPr>
      <w:t>PBAC Meeting</w:t>
    </w:r>
  </w:p>
  <w:p w14:paraId="03AF943B" w14:textId="77777777" w:rsidR="00410041" w:rsidRPr="008C7ECB" w:rsidRDefault="004100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7F3C" w14:textId="77777777" w:rsidR="0003706F" w:rsidRDefault="000370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76CD8" w14:textId="2E864918" w:rsidR="00A42828" w:rsidRPr="00195452" w:rsidRDefault="00875284" w:rsidP="00A42828">
    <w:pPr>
      <w:pStyle w:val="Header"/>
      <w:rPr>
        <w:rFonts w:asciiTheme="minorHAnsi" w:hAnsiTheme="minorHAnsi"/>
        <w:i/>
        <w:color w:val="808080"/>
      </w:rPr>
    </w:pPr>
    <w:r w:rsidRPr="00895E96">
      <w:rPr>
        <w:rFonts w:asciiTheme="minorHAnsi" w:hAnsiTheme="minorHAnsi" w:cstheme="minorHAnsi"/>
        <w:i/>
        <w:color w:val="808080"/>
        <w:sz w:val="22"/>
      </w:rPr>
      <w:t xml:space="preserve">Public Summary Document </w:t>
    </w:r>
    <w:r w:rsidR="00A42828">
      <w:rPr>
        <w:rFonts w:asciiTheme="minorHAnsi" w:hAnsiTheme="minorHAnsi"/>
        <w:i/>
        <w:color w:val="808080"/>
      </w:rPr>
      <w:t xml:space="preserve">- November 2022 </w:t>
    </w:r>
    <w:r w:rsidR="00A42828" w:rsidRPr="00195452">
      <w:rPr>
        <w:rFonts w:asciiTheme="minorHAnsi" w:hAnsiTheme="minorHAnsi"/>
        <w:i/>
        <w:color w:val="808080"/>
      </w:rPr>
      <w:t>PBAC Meeting</w:t>
    </w:r>
  </w:p>
  <w:p w14:paraId="16869ACE" w14:textId="77777777" w:rsidR="003B69A2" w:rsidRPr="00A549B2" w:rsidRDefault="003B69A2" w:rsidP="00A42828">
    <w:pPr>
      <w:tabs>
        <w:tab w:val="center" w:pos="4513"/>
        <w:tab w:val="right" w:pos="9026"/>
      </w:tabs>
      <w:spacing w:after="120"/>
      <w:contextualSpacing/>
      <w:jc w:val="center"/>
      <w:rPr>
        <w:rFonts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79388C"/>
    <w:multiLevelType w:val="hybridMultilevel"/>
    <w:tmpl w:val="616CC988"/>
    <w:lvl w:ilvl="0" w:tplc="6254C846">
      <w:numFmt w:val="bullet"/>
      <w:lvlText w:val="-"/>
      <w:lvlJc w:val="left"/>
      <w:pPr>
        <w:ind w:left="614" w:hanging="360"/>
      </w:pPr>
      <w:rPr>
        <w:rFonts w:ascii="Calibri" w:eastAsiaTheme="minorHAnsi" w:hAnsi="Calibri" w:cstheme="minorBidi" w:hint="default"/>
      </w:rPr>
    </w:lvl>
    <w:lvl w:ilvl="1" w:tplc="0C090003" w:tentative="1">
      <w:start w:val="1"/>
      <w:numFmt w:val="bullet"/>
      <w:lvlText w:val="o"/>
      <w:lvlJc w:val="left"/>
      <w:pPr>
        <w:ind w:left="1334" w:hanging="360"/>
      </w:pPr>
      <w:rPr>
        <w:rFonts w:ascii="Courier New" w:hAnsi="Courier New" w:cs="Courier New" w:hint="default"/>
      </w:rPr>
    </w:lvl>
    <w:lvl w:ilvl="2" w:tplc="0C090005" w:tentative="1">
      <w:start w:val="1"/>
      <w:numFmt w:val="bullet"/>
      <w:lvlText w:val=""/>
      <w:lvlJc w:val="left"/>
      <w:pPr>
        <w:ind w:left="2054" w:hanging="360"/>
      </w:pPr>
      <w:rPr>
        <w:rFonts w:ascii="Wingdings" w:hAnsi="Wingdings" w:hint="default"/>
      </w:rPr>
    </w:lvl>
    <w:lvl w:ilvl="3" w:tplc="0C090001" w:tentative="1">
      <w:start w:val="1"/>
      <w:numFmt w:val="bullet"/>
      <w:lvlText w:val=""/>
      <w:lvlJc w:val="left"/>
      <w:pPr>
        <w:ind w:left="2774" w:hanging="360"/>
      </w:pPr>
      <w:rPr>
        <w:rFonts w:ascii="Symbol" w:hAnsi="Symbol" w:hint="default"/>
      </w:rPr>
    </w:lvl>
    <w:lvl w:ilvl="4" w:tplc="0C090003" w:tentative="1">
      <w:start w:val="1"/>
      <w:numFmt w:val="bullet"/>
      <w:lvlText w:val="o"/>
      <w:lvlJc w:val="left"/>
      <w:pPr>
        <w:ind w:left="3494" w:hanging="360"/>
      </w:pPr>
      <w:rPr>
        <w:rFonts w:ascii="Courier New" w:hAnsi="Courier New" w:cs="Courier New" w:hint="default"/>
      </w:rPr>
    </w:lvl>
    <w:lvl w:ilvl="5" w:tplc="0C090005" w:tentative="1">
      <w:start w:val="1"/>
      <w:numFmt w:val="bullet"/>
      <w:lvlText w:val=""/>
      <w:lvlJc w:val="left"/>
      <w:pPr>
        <w:ind w:left="4214" w:hanging="360"/>
      </w:pPr>
      <w:rPr>
        <w:rFonts w:ascii="Wingdings" w:hAnsi="Wingdings" w:hint="default"/>
      </w:rPr>
    </w:lvl>
    <w:lvl w:ilvl="6" w:tplc="0C090001" w:tentative="1">
      <w:start w:val="1"/>
      <w:numFmt w:val="bullet"/>
      <w:lvlText w:val=""/>
      <w:lvlJc w:val="left"/>
      <w:pPr>
        <w:ind w:left="4934" w:hanging="360"/>
      </w:pPr>
      <w:rPr>
        <w:rFonts w:ascii="Symbol" w:hAnsi="Symbol" w:hint="default"/>
      </w:rPr>
    </w:lvl>
    <w:lvl w:ilvl="7" w:tplc="0C090003" w:tentative="1">
      <w:start w:val="1"/>
      <w:numFmt w:val="bullet"/>
      <w:lvlText w:val="o"/>
      <w:lvlJc w:val="left"/>
      <w:pPr>
        <w:ind w:left="5654" w:hanging="360"/>
      </w:pPr>
      <w:rPr>
        <w:rFonts w:ascii="Courier New" w:hAnsi="Courier New" w:cs="Courier New" w:hint="default"/>
      </w:rPr>
    </w:lvl>
    <w:lvl w:ilvl="8" w:tplc="0C090005" w:tentative="1">
      <w:start w:val="1"/>
      <w:numFmt w:val="bullet"/>
      <w:lvlText w:val=""/>
      <w:lvlJc w:val="left"/>
      <w:pPr>
        <w:ind w:left="6374" w:hanging="360"/>
      </w:pPr>
      <w:rPr>
        <w:rFonts w:ascii="Wingdings" w:hAnsi="Wingdings" w:hint="default"/>
      </w:rPr>
    </w:lvl>
  </w:abstractNum>
  <w:abstractNum w:abstractNumId="3" w15:restartNumberingAfterBreak="0">
    <w:nsid w:val="0E377A96"/>
    <w:multiLevelType w:val="hybridMultilevel"/>
    <w:tmpl w:val="461E7E12"/>
    <w:lvl w:ilvl="0" w:tplc="39CEE9D8">
      <w:start w:val="1"/>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247830"/>
    <w:multiLevelType w:val="hybridMultilevel"/>
    <w:tmpl w:val="48DECB52"/>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3E756E"/>
    <w:multiLevelType w:val="hybridMultilevel"/>
    <w:tmpl w:val="C31CBE92"/>
    <w:lvl w:ilvl="0" w:tplc="0C09001B">
      <w:start w:val="1"/>
      <w:numFmt w:val="lowerRoman"/>
      <w:lvlText w:val="%1."/>
      <w:lvlJc w:val="righ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5C615E"/>
    <w:multiLevelType w:val="hybridMultilevel"/>
    <w:tmpl w:val="257448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612C0E"/>
    <w:multiLevelType w:val="hybridMultilevel"/>
    <w:tmpl w:val="96941FDA"/>
    <w:lvl w:ilvl="0" w:tplc="B70E4618">
      <w:start w:val="3"/>
      <w:numFmt w:val="bullet"/>
      <w:lvlText w:val="-"/>
      <w:lvlJc w:val="left"/>
      <w:pPr>
        <w:ind w:left="360" w:hanging="360"/>
      </w:pPr>
      <w:rPr>
        <w:rFonts w:ascii="Arial Narrow" w:eastAsiaTheme="majorEastAsia" w:hAnsi="Arial Narrow" w:cstheme="maj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802CAE"/>
    <w:multiLevelType w:val="hybridMultilevel"/>
    <w:tmpl w:val="7520EB74"/>
    <w:lvl w:ilvl="0" w:tplc="D384E986">
      <w:start w:val="1"/>
      <w:numFmt w:val="decimal"/>
      <w:lvlText w:val="%1."/>
      <w:lvlJc w:val="left"/>
      <w:pPr>
        <w:ind w:left="1080" w:hanging="360"/>
      </w:pPr>
      <w:rPr>
        <w:rFonts w:ascii="Calibri" w:hAnsi="Calibri" w:hint="default"/>
        <w:color w:val="000000" w:themeColor="text1"/>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63567D"/>
    <w:multiLevelType w:val="hybridMultilevel"/>
    <w:tmpl w:val="5F000B4E"/>
    <w:lvl w:ilvl="0" w:tplc="046032E2">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DA73255"/>
    <w:multiLevelType w:val="hybridMultilevel"/>
    <w:tmpl w:val="47FAB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5"/>
  </w:num>
  <w:num w:numId="4">
    <w:abstractNumId w:val="3"/>
  </w:num>
  <w:num w:numId="5">
    <w:abstractNumId w:val="9"/>
  </w:num>
  <w:num w:numId="6">
    <w:abstractNumId w:val="11"/>
  </w:num>
  <w:num w:numId="7">
    <w:abstractNumId w:val="21"/>
  </w:num>
  <w:num w:numId="8">
    <w:abstractNumId w:val="4"/>
  </w:num>
  <w:num w:numId="9">
    <w:abstractNumId w:val="13"/>
  </w:num>
  <w:num w:numId="10">
    <w:abstractNumId w:val="2"/>
  </w:num>
  <w:num w:numId="11">
    <w:abstractNumId w:val="7"/>
  </w:num>
  <w:num w:numId="12">
    <w:abstractNumId w:val="20"/>
  </w:num>
  <w:num w:numId="13">
    <w:abstractNumId w:val="16"/>
  </w:num>
  <w:num w:numId="14">
    <w:abstractNumId w:val="12"/>
  </w:num>
  <w:num w:numId="15">
    <w:abstractNumId w:val="1"/>
  </w:num>
  <w:num w:numId="16">
    <w:abstractNumId w:val="0"/>
  </w:num>
  <w:num w:numId="17">
    <w:abstractNumId w:val="6"/>
  </w:num>
  <w:num w:numId="18">
    <w:abstractNumId w:val="8"/>
  </w:num>
  <w:num w:numId="19">
    <w:abstractNumId w:val="5"/>
  </w:num>
  <w:num w:numId="2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9"/>
  </w:num>
  <w:num w:numId="23">
    <w:abstractNumId w:val="17"/>
  </w:num>
  <w:num w:numId="24">
    <w:abstractNumId w:val="19"/>
  </w:num>
  <w:num w:numId="25">
    <w:abstractNumId w:val="19"/>
  </w:num>
  <w:num w:numId="26">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3499"/>
    <w:rsid w:val="00003930"/>
    <w:rsid w:val="00003936"/>
    <w:rsid w:val="000039B7"/>
    <w:rsid w:val="000053D5"/>
    <w:rsid w:val="000056B9"/>
    <w:rsid w:val="00005FD4"/>
    <w:rsid w:val="00006356"/>
    <w:rsid w:val="0000639A"/>
    <w:rsid w:val="00007FEB"/>
    <w:rsid w:val="00010544"/>
    <w:rsid w:val="00013247"/>
    <w:rsid w:val="000134F4"/>
    <w:rsid w:val="000153DD"/>
    <w:rsid w:val="000157F7"/>
    <w:rsid w:val="00015886"/>
    <w:rsid w:val="000162EF"/>
    <w:rsid w:val="000207C9"/>
    <w:rsid w:val="0002225F"/>
    <w:rsid w:val="00023763"/>
    <w:rsid w:val="00024511"/>
    <w:rsid w:val="00024EB5"/>
    <w:rsid w:val="00025C42"/>
    <w:rsid w:val="000274B8"/>
    <w:rsid w:val="00027CE2"/>
    <w:rsid w:val="00032250"/>
    <w:rsid w:val="00033863"/>
    <w:rsid w:val="00033FF3"/>
    <w:rsid w:val="0003525A"/>
    <w:rsid w:val="00035B4B"/>
    <w:rsid w:val="00035DC0"/>
    <w:rsid w:val="00036829"/>
    <w:rsid w:val="0003706F"/>
    <w:rsid w:val="0004064A"/>
    <w:rsid w:val="00040895"/>
    <w:rsid w:val="000410A0"/>
    <w:rsid w:val="00041BC5"/>
    <w:rsid w:val="0004314E"/>
    <w:rsid w:val="000435EE"/>
    <w:rsid w:val="00043C37"/>
    <w:rsid w:val="00045017"/>
    <w:rsid w:val="0004525D"/>
    <w:rsid w:val="00045A2B"/>
    <w:rsid w:val="000461EA"/>
    <w:rsid w:val="0004698F"/>
    <w:rsid w:val="00046D64"/>
    <w:rsid w:val="000508C2"/>
    <w:rsid w:val="00050E28"/>
    <w:rsid w:val="000539D0"/>
    <w:rsid w:val="00054621"/>
    <w:rsid w:val="000546D7"/>
    <w:rsid w:val="00054A8D"/>
    <w:rsid w:val="00054F33"/>
    <w:rsid w:val="00056ECF"/>
    <w:rsid w:val="000604DF"/>
    <w:rsid w:val="000613B9"/>
    <w:rsid w:val="00064496"/>
    <w:rsid w:val="00064BBE"/>
    <w:rsid w:val="00064D95"/>
    <w:rsid w:val="00064F22"/>
    <w:rsid w:val="000653B5"/>
    <w:rsid w:val="00066360"/>
    <w:rsid w:val="00066AF8"/>
    <w:rsid w:val="00067D07"/>
    <w:rsid w:val="00071248"/>
    <w:rsid w:val="000720B9"/>
    <w:rsid w:val="00072204"/>
    <w:rsid w:val="000725D9"/>
    <w:rsid w:val="00072CB2"/>
    <w:rsid w:val="000737F7"/>
    <w:rsid w:val="000747EB"/>
    <w:rsid w:val="0007672F"/>
    <w:rsid w:val="000767F6"/>
    <w:rsid w:val="00076B54"/>
    <w:rsid w:val="000774F0"/>
    <w:rsid w:val="0008065C"/>
    <w:rsid w:val="00080909"/>
    <w:rsid w:val="00080B7E"/>
    <w:rsid w:val="000812CA"/>
    <w:rsid w:val="00081378"/>
    <w:rsid w:val="00081E63"/>
    <w:rsid w:val="0008258D"/>
    <w:rsid w:val="00083E99"/>
    <w:rsid w:val="00084FA8"/>
    <w:rsid w:val="000856C5"/>
    <w:rsid w:val="00085C31"/>
    <w:rsid w:val="000902D9"/>
    <w:rsid w:val="000902EF"/>
    <w:rsid w:val="00090C7E"/>
    <w:rsid w:val="000910D1"/>
    <w:rsid w:val="000911AC"/>
    <w:rsid w:val="00091306"/>
    <w:rsid w:val="00091988"/>
    <w:rsid w:val="00092600"/>
    <w:rsid w:val="0009262B"/>
    <w:rsid w:val="00093310"/>
    <w:rsid w:val="00093E39"/>
    <w:rsid w:val="0009445C"/>
    <w:rsid w:val="000944F9"/>
    <w:rsid w:val="000945A3"/>
    <w:rsid w:val="00094D39"/>
    <w:rsid w:val="00095200"/>
    <w:rsid w:val="0009592D"/>
    <w:rsid w:val="00095FE5"/>
    <w:rsid w:val="00096284"/>
    <w:rsid w:val="00097398"/>
    <w:rsid w:val="000A0009"/>
    <w:rsid w:val="000A121A"/>
    <w:rsid w:val="000A1BC0"/>
    <w:rsid w:val="000A2F9E"/>
    <w:rsid w:val="000A3E47"/>
    <w:rsid w:val="000A4A48"/>
    <w:rsid w:val="000A4F03"/>
    <w:rsid w:val="000A5018"/>
    <w:rsid w:val="000A522B"/>
    <w:rsid w:val="000A6039"/>
    <w:rsid w:val="000A7453"/>
    <w:rsid w:val="000A7D08"/>
    <w:rsid w:val="000B0121"/>
    <w:rsid w:val="000B0670"/>
    <w:rsid w:val="000B0E75"/>
    <w:rsid w:val="000B2DCB"/>
    <w:rsid w:val="000B5CD3"/>
    <w:rsid w:val="000B5CE0"/>
    <w:rsid w:val="000B61AF"/>
    <w:rsid w:val="000B6A53"/>
    <w:rsid w:val="000B6CAC"/>
    <w:rsid w:val="000B6D58"/>
    <w:rsid w:val="000B6E0F"/>
    <w:rsid w:val="000B7612"/>
    <w:rsid w:val="000B78AE"/>
    <w:rsid w:val="000C3DF9"/>
    <w:rsid w:val="000C49F8"/>
    <w:rsid w:val="000C4CF2"/>
    <w:rsid w:val="000C6660"/>
    <w:rsid w:val="000C6713"/>
    <w:rsid w:val="000C7508"/>
    <w:rsid w:val="000D175B"/>
    <w:rsid w:val="000D184E"/>
    <w:rsid w:val="000D1BFC"/>
    <w:rsid w:val="000D1D5D"/>
    <w:rsid w:val="000D281A"/>
    <w:rsid w:val="000D2848"/>
    <w:rsid w:val="000D326A"/>
    <w:rsid w:val="000D3B49"/>
    <w:rsid w:val="000D4106"/>
    <w:rsid w:val="000D4F1E"/>
    <w:rsid w:val="000D51FB"/>
    <w:rsid w:val="000E0640"/>
    <w:rsid w:val="000E135D"/>
    <w:rsid w:val="000E1C5F"/>
    <w:rsid w:val="000F00BA"/>
    <w:rsid w:val="000F316A"/>
    <w:rsid w:val="000F3C74"/>
    <w:rsid w:val="000F4109"/>
    <w:rsid w:val="000F4BB8"/>
    <w:rsid w:val="000F4FA9"/>
    <w:rsid w:val="000F53FB"/>
    <w:rsid w:val="000F5683"/>
    <w:rsid w:val="000F7127"/>
    <w:rsid w:val="000F7B54"/>
    <w:rsid w:val="001000B3"/>
    <w:rsid w:val="00100F8A"/>
    <w:rsid w:val="0010198F"/>
    <w:rsid w:val="001022CB"/>
    <w:rsid w:val="001032A3"/>
    <w:rsid w:val="00103703"/>
    <w:rsid w:val="0010452E"/>
    <w:rsid w:val="00105AE2"/>
    <w:rsid w:val="001060C6"/>
    <w:rsid w:val="00106B80"/>
    <w:rsid w:val="0010763B"/>
    <w:rsid w:val="0011032E"/>
    <w:rsid w:val="0011348B"/>
    <w:rsid w:val="00113EE3"/>
    <w:rsid w:val="00114FCA"/>
    <w:rsid w:val="00115739"/>
    <w:rsid w:val="00115827"/>
    <w:rsid w:val="00115982"/>
    <w:rsid w:val="00116C53"/>
    <w:rsid w:val="00121799"/>
    <w:rsid w:val="001222FC"/>
    <w:rsid w:val="00123300"/>
    <w:rsid w:val="00123902"/>
    <w:rsid w:val="001243EE"/>
    <w:rsid w:val="0012459A"/>
    <w:rsid w:val="00124A51"/>
    <w:rsid w:val="001265B7"/>
    <w:rsid w:val="00126621"/>
    <w:rsid w:val="00126B1D"/>
    <w:rsid w:val="00127719"/>
    <w:rsid w:val="001301E9"/>
    <w:rsid w:val="00131CF4"/>
    <w:rsid w:val="00131D82"/>
    <w:rsid w:val="00132B22"/>
    <w:rsid w:val="00133D36"/>
    <w:rsid w:val="00134245"/>
    <w:rsid w:val="001375D9"/>
    <w:rsid w:val="00137645"/>
    <w:rsid w:val="0014015A"/>
    <w:rsid w:val="00140E99"/>
    <w:rsid w:val="00143F67"/>
    <w:rsid w:val="00143FD4"/>
    <w:rsid w:val="00145234"/>
    <w:rsid w:val="00145540"/>
    <w:rsid w:val="001456B0"/>
    <w:rsid w:val="00145D23"/>
    <w:rsid w:val="001467D9"/>
    <w:rsid w:val="001472B3"/>
    <w:rsid w:val="00150017"/>
    <w:rsid w:val="001519A7"/>
    <w:rsid w:val="00153C4A"/>
    <w:rsid w:val="00154466"/>
    <w:rsid w:val="001547AB"/>
    <w:rsid w:val="00155DD4"/>
    <w:rsid w:val="00156F8F"/>
    <w:rsid w:val="00157130"/>
    <w:rsid w:val="001572C0"/>
    <w:rsid w:val="001576B1"/>
    <w:rsid w:val="00157CF1"/>
    <w:rsid w:val="0016047B"/>
    <w:rsid w:val="00160A4C"/>
    <w:rsid w:val="00162913"/>
    <w:rsid w:val="00163EFF"/>
    <w:rsid w:val="00163F66"/>
    <w:rsid w:val="00164211"/>
    <w:rsid w:val="0016478E"/>
    <w:rsid w:val="00164F23"/>
    <w:rsid w:val="00165EC4"/>
    <w:rsid w:val="001661FB"/>
    <w:rsid w:val="001671A0"/>
    <w:rsid w:val="0016767F"/>
    <w:rsid w:val="0017121F"/>
    <w:rsid w:val="001712D3"/>
    <w:rsid w:val="001721A6"/>
    <w:rsid w:val="0017325A"/>
    <w:rsid w:val="0017342A"/>
    <w:rsid w:val="00173565"/>
    <w:rsid w:val="00173B07"/>
    <w:rsid w:val="00174370"/>
    <w:rsid w:val="00174AFB"/>
    <w:rsid w:val="00174FB6"/>
    <w:rsid w:val="001751FA"/>
    <w:rsid w:val="00175369"/>
    <w:rsid w:val="0018013D"/>
    <w:rsid w:val="00181C10"/>
    <w:rsid w:val="00181D9C"/>
    <w:rsid w:val="001825B6"/>
    <w:rsid w:val="00182D0E"/>
    <w:rsid w:val="001837FF"/>
    <w:rsid w:val="00183A2B"/>
    <w:rsid w:val="00184B0E"/>
    <w:rsid w:val="00184FFF"/>
    <w:rsid w:val="00185957"/>
    <w:rsid w:val="00186BE4"/>
    <w:rsid w:val="0018752F"/>
    <w:rsid w:val="00190F71"/>
    <w:rsid w:val="001923F8"/>
    <w:rsid w:val="00192ABE"/>
    <w:rsid w:val="00193838"/>
    <w:rsid w:val="00193B8A"/>
    <w:rsid w:val="00193D7A"/>
    <w:rsid w:val="00194800"/>
    <w:rsid w:val="00194AD8"/>
    <w:rsid w:val="00195222"/>
    <w:rsid w:val="00195452"/>
    <w:rsid w:val="00196C87"/>
    <w:rsid w:val="001975D8"/>
    <w:rsid w:val="001A178E"/>
    <w:rsid w:val="001A293B"/>
    <w:rsid w:val="001A43FA"/>
    <w:rsid w:val="001A47C5"/>
    <w:rsid w:val="001A59FB"/>
    <w:rsid w:val="001A5E9E"/>
    <w:rsid w:val="001A6354"/>
    <w:rsid w:val="001A6366"/>
    <w:rsid w:val="001A7AE8"/>
    <w:rsid w:val="001A7CFC"/>
    <w:rsid w:val="001B040D"/>
    <w:rsid w:val="001B1B33"/>
    <w:rsid w:val="001B1F82"/>
    <w:rsid w:val="001B204E"/>
    <w:rsid w:val="001B2372"/>
    <w:rsid w:val="001B3443"/>
    <w:rsid w:val="001B49CC"/>
    <w:rsid w:val="001B4D20"/>
    <w:rsid w:val="001B5ECB"/>
    <w:rsid w:val="001B5FE3"/>
    <w:rsid w:val="001B688C"/>
    <w:rsid w:val="001B7F84"/>
    <w:rsid w:val="001C1B23"/>
    <w:rsid w:val="001C2A9B"/>
    <w:rsid w:val="001C2FB7"/>
    <w:rsid w:val="001C3DD6"/>
    <w:rsid w:val="001C4299"/>
    <w:rsid w:val="001C4874"/>
    <w:rsid w:val="001C5ECA"/>
    <w:rsid w:val="001C5F94"/>
    <w:rsid w:val="001C6E66"/>
    <w:rsid w:val="001D1100"/>
    <w:rsid w:val="001D1391"/>
    <w:rsid w:val="001D25D7"/>
    <w:rsid w:val="001D50B2"/>
    <w:rsid w:val="001D71F4"/>
    <w:rsid w:val="001D7645"/>
    <w:rsid w:val="001E01A6"/>
    <w:rsid w:val="001E01A7"/>
    <w:rsid w:val="001E1E86"/>
    <w:rsid w:val="001E238E"/>
    <w:rsid w:val="001E2483"/>
    <w:rsid w:val="001E2B1E"/>
    <w:rsid w:val="001E2CFF"/>
    <w:rsid w:val="001E2F24"/>
    <w:rsid w:val="001E30D4"/>
    <w:rsid w:val="001E34DF"/>
    <w:rsid w:val="001E52EB"/>
    <w:rsid w:val="001E61D2"/>
    <w:rsid w:val="001E740C"/>
    <w:rsid w:val="001F07DC"/>
    <w:rsid w:val="001F0C9C"/>
    <w:rsid w:val="001F1235"/>
    <w:rsid w:val="001F1CB3"/>
    <w:rsid w:val="001F2B1D"/>
    <w:rsid w:val="001F37F1"/>
    <w:rsid w:val="001F38B5"/>
    <w:rsid w:val="001F4081"/>
    <w:rsid w:val="001F53F6"/>
    <w:rsid w:val="001F7361"/>
    <w:rsid w:val="002011B0"/>
    <w:rsid w:val="00203181"/>
    <w:rsid w:val="00203783"/>
    <w:rsid w:val="0020385F"/>
    <w:rsid w:val="0020480D"/>
    <w:rsid w:val="002068A0"/>
    <w:rsid w:val="00207021"/>
    <w:rsid w:val="0020732F"/>
    <w:rsid w:val="00207D00"/>
    <w:rsid w:val="002105C1"/>
    <w:rsid w:val="00211420"/>
    <w:rsid w:val="002116FD"/>
    <w:rsid w:val="002133A1"/>
    <w:rsid w:val="0021385A"/>
    <w:rsid w:val="00213EF5"/>
    <w:rsid w:val="002151CA"/>
    <w:rsid w:val="002161C7"/>
    <w:rsid w:val="00216BF5"/>
    <w:rsid w:val="0021753E"/>
    <w:rsid w:val="00217A26"/>
    <w:rsid w:val="002211A2"/>
    <w:rsid w:val="0022207A"/>
    <w:rsid w:val="00222142"/>
    <w:rsid w:val="002232D6"/>
    <w:rsid w:val="00223B49"/>
    <w:rsid w:val="00223D5A"/>
    <w:rsid w:val="00223D71"/>
    <w:rsid w:val="002244DD"/>
    <w:rsid w:val="00224A88"/>
    <w:rsid w:val="00224C5C"/>
    <w:rsid w:val="00224CF2"/>
    <w:rsid w:val="00224DD4"/>
    <w:rsid w:val="0022626D"/>
    <w:rsid w:val="002278A0"/>
    <w:rsid w:val="002308FA"/>
    <w:rsid w:val="002309CC"/>
    <w:rsid w:val="00231686"/>
    <w:rsid w:val="00231BA9"/>
    <w:rsid w:val="0023209F"/>
    <w:rsid w:val="0023309D"/>
    <w:rsid w:val="00233C01"/>
    <w:rsid w:val="0023404E"/>
    <w:rsid w:val="0023413C"/>
    <w:rsid w:val="00234633"/>
    <w:rsid w:val="002346F0"/>
    <w:rsid w:val="00234A6E"/>
    <w:rsid w:val="0023544A"/>
    <w:rsid w:val="0023629D"/>
    <w:rsid w:val="00236357"/>
    <w:rsid w:val="00237255"/>
    <w:rsid w:val="00240FE9"/>
    <w:rsid w:val="0024131C"/>
    <w:rsid w:val="002414B1"/>
    <w:rsid w:val="002416A2"/>
    <w:rsid w:val="002424AF"/>
    <w:rsid w:val="002431DA"/>
    <w:rsid w:val="0024323E"/>
    <w:rsid w:val="002439DC"/>
    <w:rsid w:val="002441D2"/>
    <w:rsid w:val="00244DC8"/>
    <w:rsid w:val="002458BA"/>
    <w:rsid w:val="00245CE9"/>
    <w:rsid w:val="0024636C"/>
    <w:rsid w:val="00247793"/>
    <w:rsid w:val="00247925"/>
    <w:rsid w:val="00247DDF"/>
    <w:rsid w:val="00251006"/>
    <w:rsid w:val="002524D5"/>
    <w:rsid w:val="00253B1D"/>
    <w:rsid w:val="00254A09"/>
    <w:rsid w:val="00254DCF"/>
    <w:rsid w:val="0025534B"/>
    <w:rsid w:val="00255BB7"/>
    <w:rsid w:val="00255C70"/>
    <w:rsid w:val="00256126"/>
    <w:rsid w:val="00257541"/>
    <w:rsid w:val="00257A39"/>
    <w:rsid w:val="00257AC4"/>
    <w:rsid w:val="00257BBE"/>
    <w:rsid w:val="002612AC"/>
    <w:rsid w:val="00261EEF"/>
    <w:rsid w:val="0026219D"/>
    <w:rsid w:val="00262A1A"/>
    <w:rsid w:val="00262A87"/>
    <w:rsid w:val="002630D3"/>
    <w:rsid w:val="002638C9"/>
    <w:rsid w:val="00264BC1"/>
    <w:rsid w:val="00264D26"/>
    <w:rsid w:val="00265B57"/>
    <w:rsid w:val="00265C03"/>
    <w:rsid w:val="00265ECA"/>
    <w:rsid w:val="00266211"/>
    <w:rsid w:val="00266D7B"/>
    <w:rsid w:val="00267642"/>
    <w:rsid w:val="00267AEA"/>
    <w:rsid w:val="002700E6"/>
    <w:rsid w:val="0027294B"/>
    <w:rsid w:val="00273EB4"/>
    <w:rsid w:val="00274682"/>
    <w:rsid w:val="00275158"/>
    <w:rsid w:val="00275C5A"/>
    <w:rsid w:val="00276501"/>
    <w:rsid w:val="00276F02"/>
    <w:rsid w:val="00277618"/>
    <w:rsid w:val="00280060"/>
    <w:rsid w:val="00281014"/>
    <w:rsid w:val="00282CCA"/>
    <w:rsid w:val="00283A39"/>
    <w:rsid w:val="00283A6D"/>
    <w:rsid w:val="00284044"/>
    <w:rsid w:val="002847C6"/>
    <w:rsid w:val="002848CF"/>
    <w:rsid w:val="00284C02"/>
    <w:rsid w:val="00285B45"/>
    <w:rsid w:val="00285BCE"/>
    <w:rsid w:val="0028665D"/>
    <w:rsid w:val="00292503"/>
    <w:rsid w:val="00294625"/>
    <w:rsid w:val="00294CC9"/>
    <w:rsid w:val="002A14AB"/>
    <w:rsid w:val="002A223F"/>
    <w:rsid w:val="002A2ADE"/>
    <w:rsid w:val="002A2F50"/>
    <w:rsid w:val="002A39E4"/>
    <w:rsid w:val="002A6FB8"/>
    <w:rsid w:val="002A7943"/>
    <w:rsid w:val="002B05A1"/>
    <w:rsid w:val="002B09A4"/>
    <w:rsid w:val="002B1C1F"/>
    <w:rsid w:val="002B23EE"/>
    <w:rsid w:val="002B2E80"/>
    <w:rsid w:val="002B432F"/>
    <w:rsid w:val="002B62B3"/>
    <w:rsid w:val="002B6460"/>
    <w:rsid w:val="002B6754"/>
    <w:rsid w:val="002B6CCE"/>
    <w:rsid w:val="002C01B1"/>
    <w:rsid w:val="002C2510"/>
    <w:rsid w:val="002C2775"/>
    <w:rsid w:val="002C27C1"/>
    <w:rsid w:val="002C36E3"/>
    <w:rsid w:val="002C4C30"/>
    <w:rsid w:val="002C5099"/>
    <w:rsid w:val="002C5399"/>
    <w:rsid w:val="002C5889"/>
    <w:rsid w:val="002C6829"/>
    <w:rsid w:val="002C71CE"/>
    <w:rsid w:val="002D08F8"/>
    <w:rsid w:val="002D3B2E"/>
    <w:rsid w:val="002D3BD5"/>
    <w:rsid w:val="002D577C"/>
    <w:rsid w:val="002D5B6E"/>
    <w:rsid w:val="002D7832"/>
    <w:rsid w:val="002D78FD"/>
    <w:rsid w:val="002E1071"/>
    <w:rsid w:val="002E15B9"/>
    <w:rsid w:val="002E2158"/>
    <w:rsid w:val="002E4F02"/>
    <w:rsid w:val="002E7722"/>
    <w:rsid w:val="002F07BA"/>
    <w:rsid w:val="002F0DA9"/>
    <w:rsid w:val="002F1014"/>
    <w:rsid w:val="002F1ABC"/>
    <w:rsid w:val="002F1E3B"/>
    <w:rsid w:val="002F2B10"/>
    <w:rsid w:val="002F3F8D"/>
    <w:rsid w:val="002F643C"/>
    <w:rsid w:val="002F71C0"/>
    <w:rsid w:val="002F74F1"/>
    <w:rsid w:val="00300927"/>
    <w:rsid w:val="00301017"/>
    <w:rsid w:val="003013EA"/>
    <w:rsid w:val="0030155F"/>
    <w:rsid w:val="003032BC"/>
    <w:rsid w:val="00304CB0"/>
    <w:rsid w:val="0030587B"/>
    <w:rsid w:val="00306D98"/>
    <w:rsid w:val="003075F4"/>
    <w:rsid w:val="0030786C"/>
    <w:rsid w:val="0031031A"/>
    <w:rsid w:val="00310981"/>
    <w:rsid w:val="00311D9B"/>
    <w:rsid w:val="003124D9"/>
    <w:rsid w:val="00312594"/>
    <w:rsid w:val="00312D0B"/>
    <w:rsid w:val="0031435F"/>
    <w:rsid w:val="00315498"/>
    <w:rsid w:val="00316474"/>
    <w:rsid w:val="00321522"/>
    <w:rsid w:val="00321AB0"/>
    <w:rsid w:val="00322107"/>
    <w:rsid w:val="00322355"/>
    <w:rsid w:val="0032265A"/>
    <w:rsid w:val="00322846"/>
    <w:rsid w:val="00323111"/>
    <w:rsid w:val="003250B8"/>
    <w:rsid w:val="00326B2E"/>
    <w:rsid w:val="00326DA7"/>
    <w:rsid w:val="003270E4"/>
    <w:rsid w:val="003303A5"/>
    <w:rsid w:val="00330DAA"/>
    <w:rsid w:val="00330F5C"/>
    <w:rsid w:val="00331F98"/>
    <w:rsid w:val="00332F05"/>
    <w:rsid w:val="003333C3"/>
    <w:rsid w:val="00333FB6"/>
    <w:rsid w:val="00334376"/>
    <w:rsid w:val="003366C9"/>
    <w:rsid w:val="00336753"/>
    <w:rsid w:val="003371B0"/>
    <w:rsid w:val="00340501"/>
    <w:rsid w:val="00340B4C"/>
    <w:rsid w:val="00340DF1"/>
    <w:rsid w:val="00342F6F"/>
    <w:rsid w:val="00343ADE"/>
    <w:rsid w:val="00343C03"/>
    <w:rsid w:val="003443E3"/>
    <w:rsid w:val="003451BF"/>
    <w:rsid w:val="00346F27"/>
    <w:rsid w:val="00347260"/>
    <w:rsid w:val="00347484"/>
    <w:rsid w:val="00350AA2"/>
    <w:rsid w:val="003517F9"/>
    <w:rsid w:val="00351BA9"/>
    <w:rsid w:val="00354639"/>
    <w:rsid w:val="00354F64"/>
    <w:rsid w:val="0035620E"/>
    <w:rsid w:val="003575BE"/>
    <w:rsid w:val="00360345"/>
    <w:rsid w:val="00361A05"/>
    <w:rsid w:val="003624C4"/>
    <w:rsid w:val="00363A36"/>
    <w:rsid w:val="00363B00"/>
    <w:rsid w:val="003654AC"/>
    <w:rsid w:val="00367B7F"/>
    <w:rsid w:val="003710CF"/>
    <w:rsid w:val="003718D6"/>
    <w:rsid w:val="0037358A"/>
    <w:rsid w:val="00373D14"/>
    <w:rsid w:val="003750F6"/>
    <w:rsid w:val="003760FC"/>
    <w:rsid w:val="0037623D"/>
    <w:rsid w:val="00382DF8"/>
    <w:rsid w:val="0038365C"/>
    <w:rsid w:val="0038369B"/>
    <w:rsid w:val="00383B78"/>
    <w:rsid w:val="00385A9D"/>
    <w:rsid w:val="00385BC2"/>
    <w:rsid w:val="00386739"/>
    <w:rsid w:val="00386B1F"/>
    <w:rsid w:val="00387121"/>
    <w:rsid w:val="003872A6"/>
    <w:rsid w:val="00387403"/>
    <w:rsid w:val="003902B1"/>
    <w:rsid w:val="0039179C"/>
    <w:rsid w:val="003933BB"/>
    <w:rsid w:val="00394F2F"/>
    <w:rsid w:val="00396896"/>
    <w:rsid w:val="00396FD0"/>
    <w:rsid w:val="003A103E"/>
    <w:rsid w:val="003A125C"/>
    <w:rsid w:val="003A181E"/>
    <w:rsid w:val="003A1A7A"/>
    <w:rsid w:val="003A2392"/>
    <w:rsid w:val="003A2831"/>
    <w:rsid w:val="003A3952"/>
    <w:rsid w:val="003A3CB6"/>
    <w:rsid w:val="003A3ED1"/>
    <w:rsid w:val="003A44DB"/>
    <w:rsid w:val="003A4AAC"/>
    <w:rsid w:val="003A4C14"/>
    <w:rsid w:val="003A4F46"/>
    <w:rsid w:val="003A68D4"/>
    <w:rsid w:val="003B299D"/>
    <w:rsid w:val="003B2E83"/>
    <w:rsid w:val="003B3971"/>
    <w:rsid w:val="003B4515"/>
    <w:rsid w:val="003B52F3"/>
    <w:rsid w:val="003B55D1"/>
    <w:rsid w:val="003B5B61"/>
    <w:rsid w:val="003B69A2"/>
    <w:rsid w:val="003B72F9"/>
    <w:rsid w:val="003C12DF"/>
    <w:rsid w:val="003C1654"/>
    <w:rsid w:val="003C27A4"/>
    <w:rsid w:val="003C33A3"/>
    <w:rsid w:val="003C5542"/>
    <w:rsid w:val="003C55C2"/>
    <w:rsid w:val="003C58F2"/>
    <w:rsid w:val="003C6503"/>
    <w:rsid w:val="003C7C15"/>
    <w:rsid w:val="003C7D19"/>
    <w:rsid w:val="003C7D2F"/>
    <w:rsid w:val="003D0446"/>
    <w:rsid w:val="003D0AFC"/>
    <w:rsid w:val="003D0C5A"/>
    <w:rsid w:val="003D121F"/>
    <w:rsid w:val="003D1828"/>
    <w:rsid w:val="003D1DE4"/>
    <w:rsid w:val="003D1E9A"/>
    <w:rsid w:val="003D2422"/>
    <w:rsid w:val="003D39A1"/>
    <w:rsid w:val="003D3FBF"/>
    <w:rsid w:val="003D4A30"/>
    <w:rsid w:val="003D5A12"/>
    <w:rsid w:val="003D7452"/>
    <w:rsid w:val="003D77D3"/>
    <w:rsid w:val="003D79BB"/>
    <w:rsid w:val="003D7C98"/>
    <w:rsid w:val="003D7D9D"/>
    <w:rsid w:val="003E0543"/>
    <w:rsid w:val="003E41B4"/>
    <w:rsid w:val="003E5603"/>
    <w:rsid w:val="003E5A65"/>
    <w:rsid w:val="003E676C"/>
    <w:rsid w:val="003E749E"/>
    <w:rsid w:val="003E7E2F"/>
    <w:rsid w:val="003F1E76"/>
    <w:rsid w:val="003F2EAD"/>
    <w:rsid w:val="003F4156"/>
    <w:rsid w:val="003F4CE6"/>
    <w:rsid w:val="003F5ADF"/>
    <w:rsid w:val="003F6CD1"/>
    <w:rsid w:val="003F7057"/>
    <w:rsid w:val="00400B29"/>
    <w:rsid w:val="00402812"/>
    <w:rsid w:val="004028ED"/>
    <w:rsid w:val="00402BD7"/>
    <w:rsid w:val="00402C9A"/>
    <w:rsid w:val="00403064"/>
    <w:rsid w:val="0040344A"/>
    <w:rsid w:val="004035B4"/>
    <w:rsid w:val="0040504B"/>
    <w:rsid w:val="004059F4"/>
    <w:rsid w:val="0040676B"/>
    <w:rsid w:val="00406CEC"/>
    <w:rsid w:val="004076EE"/>
    <w:rsid w:val="00407ADF"/>
    <w:rsid w:val="00407FE5"/>
    <w:rsid w:val="00410041"/>
    <w:rsid w:val="004101B0"/>
    <w:rsid w:val="00410326"/>
    <w:rsid w:val="00410708"/>
    <w:rsid w:val="0041086C"/>
    <w:rsid w:val="00410EC7"/>
    <w:rsid w:val="004114CC"/>
    <w:rsid w:val="004115CC"/>
    <w:rsid w:val="00411B39"/>
    <w:rsid w:val="004127A7"/>
    <w:rsid w:val="00413A1E"/>
    <w:rsid w:val="00414476"/>
    <w:rsid w:val="00414819"/>
    <w:rsid w:val="004149AC"/>
    <w:rsid w:val="00414C2E"/>
    <w:rsid w:val="004151CF"/>
    <w:rsid w:val="00416364"/>
    <w:rsid w:val="0042047F"/>
    <w:rsid w:val="00420900"/>
    <w:rsid w:val="00420AA6"/>
    <w:rsid w:val="00420ABA"/>
    <w:rsid w:val="00420B9F"/>
    <w:rsid w:val="00420EF8"/>
    <w:rsid w:val="0042192C"/>
    <w:rsid w:val="00422260"/>
    <w:rsid w:val="0042413F"/>
    <w:rsid w:val="004319F8"/>
    <w:rsid w:val="00431E55"/>
    <w:rsid w:val="004321F6"/>
    <w:rsid w:val="00432452"/>
    <w:rsid w:val="00433044"/>
    <w:rsid w:val="004337E7"/>
    <w:rsid w:val="00434088"/>
    <w:rsid w:val="004375B9"/>
    <w:rsid w:val="004379CB"/>
    <w:rsid w:val="004428D0"/>
    <w:rsid w:val="00444185"/>
    <w:rsid w:val="004443A7"/>
    <w:rsid w:val="0044442C"/>
    <w:rsid w:val="00445941"/>
    <w:rsid w:val="004464EB"/>
    <w:rsid w:val="00447891"/>
    <w:rsid w:val="00447D26"/>
    <w:rsid w:val="00447DFC"/>
    <w:rsid w:val="00452DCE"/>
    <w:rsid w:val="00453119"/>
    <w:rsid w:val="00453844"/>
    <w:rsid w:val="004538A6"/>
    <w:rsid w:val="00453BD0"/>
    <w:rsid w:val="00455D45"/>
    <w:rsid w:val="00457EFA"/>
    <w:rsid w:val="00462B39"/>
    <w:rsid w:val="00463A24"/>
    <w:rsid w:val="00464595"/>
    <w:rsid w:val="004658B5"/>
    <w:rsid w:val="00466366"/>
    <w:rsid w:val="0046731D"/>
    <w:rsid w:val="0046766E"/>
    <w:rsid w:val="0047084D"/>
    <w:rsid w:val="00470872"/>
    <w:rsid w:val="00471EA5"/>
    <w:rsid w:val="00472A79"/>
    <w:rsid w:val="00473F19"/>
    <w:rsid w:val="0047449F"/>
    <w:rsid w:val="004759ED"/>
    <w:rsid w:val="00475B07"/>
    <w:rsid w:val="00475E22"/>
    <w:rsid w:val="0048088E"/>
    <w:rsid w:val="00480A94"/>
    <w:rsid w:val="00480F2B"/>
    <w:rsid w:val="00481A54"/>
    <w:rsid w:val="00482720"/>
    <w:rsid w:val="004827DD"/>
    <w:rsid w:val="004835E7"/>
    <w:rsid w:val="004859E1"/>
    <w:rsid w:val="004867E2"/>
    <w:rsid w:val="00490B17"/>
    <w:rsid w:val="0049147B"/>
    <w:rsid w:val="0049159C"/>
    <w:rsid w:val="00491B3A"/>
    <w:rsid w:val="00492CFD"/>
    <w:rsid w:val="00494207"/>
    <w:rsid w:val="00494DD5"/>
    <w:rsid w:val="00496077"/>
    <w:rsid w:val="004962D2"/>
    <w:rsid w:val="004A0DA1"/>
    <w:rsid w:val="004A13D6"/>
    <w:rsid w:val="004A412C"/>
    <w:rsid w:val="004A4D8C"/>
    <w:rsid w:val="004A52E9"/>
    <w:rsid w:val="004A6040"/>
    <w:rsid w:val="004A6597"/>
    <w:rsid w:val="004A6FE4"/>
    <w:rsid w:val="004A7025"/>
    <w:rsid w:val="004A7097"/>
    <w:rsid w:val="004A70A5"/>
    <w:rsid w:val="004A7791"/>
    <w:rsid w:val="004A7848"/>
    <w:rsid w:val="004A793B"/>
    <w:rsid w:val="004B0FF4"/>
    <w:rsid w:val="004B17CC"/>
    <w:rsid w:val="004B1CB4"/>
    <w:rsid w:val="004B2C38"/>
    <w:rsid w:val="004B2F18"/>
    <w:rsid w:val="004B3275"/>
    <w:rsid w:val="004B3DDB"/>
    <w:rsid w:val="004B44FD"/>
    <w:rsid w:val="004B5CFC"/>
    <w:rsid w:val="004B603E"/>
    <w:rsid w:val="004B6C60"/>
    <w:rsid w:val="004B6F79"/>
    <w:rsid w:val="004B7105"/>
    <w:rsid w:val="004B774D"/>
    <w:rsid w:val="004C2AC2"/>
    <w:rsid w:val="004C4414"/>
    <w:rsid w:val="004C4AED"/>
    <w:rsid w:val="004C5A21"/>
    <w:rsid w:val="004C608D"/>
    <w:rsid w:val="004C7FC7"/>
    <w:rsid w:val="004D1E5A"/>
    <w:rsid w:val="004D2C2D"/>
    <w:rsid w:val="004D4C50"/>
    <w:rsid w:val="004D6675"/>
    <w:rsid w:val="004D69B5"/>
    <w:rsid w:val="004D7227"/>
    <w:rsid w:val="004D7B5E"/>
    <w:rsid w:val="004E000B"/>
    <w:rsid w:val="004E0E7F"/>
    <w:rsid w:val="004E0EB8"/>
    <w:rsid w:val="004E18E9"/>
    <w:rsid w:val="004E2AD7"/>
    <w:rsid w:val="004E2ADC"/>
    <w:rsid w:val="004E4040"/>
    <w:rsid w:val="004E40CE"/>
    <w:rsid w:val="004E43B2"/>
    <w:rsid w:val="004E5837"/>
    <w:rsid w:val="004F0700"/>
    <w:rsid w:val="004F1D02"/>
    <w:rsid w:val="004F2679"/>
    <w:rsid w:val="004F2F21"/>
    <w:rsid w:val="004F3DE5"/>
    <w:rsid w:val="004F6913"/>
    <w:rsid w:val="004F7865"/>
    <w:rsid w:val="004F7B01"/>
    <w:rsid w:val="004F7E08"/>
    <w:rsid w:val="00500608"/>
    <w:rsid w:val="0050174E"/>
    <w:rsid w:val="00501854"/>
    <w:rsid w:val="0050219B"/>
    <w:rsid w:val="0050327B"/>
    <w:rsid w:val="00503F17"/>
    <w:rsid w:val="00503F3A"/>
    <w:rsid w:val="00506928"/>
    <w:rsid w:val="005070B1"/>
    <w:rsid w:val="005077EF"/>
    <w:rsid w:val="00507B9E"/>
    <w:rsid w:val="005100E8"/>
    <w:rsid w:val="00510C04"/>
    <w:rsid w:val="00511AD5"/>
    <w:rsid w:val="00511DC7"/>
    <w:rsid w:val="005142C5"/>
    <w:rsid w:val="0051501B"/>
    <w:rsid w:val="005152B5"/>
    <w:rsid w:val="00515886"/>
    <w:rsid w:val="005158F7"/>
    <w:rsid w:val="005167A6"/>
    <w:rsid w:val="0052123C"/>
    <w:rsid w:val="00521319"/>
    <w:rsid w:val="00521789"/>
    <w:rsid w:val="00522BC8"/>
    <w:rsid w:val="0052398D"/>
    <w:rsid w:val="00523C28"/>
    <w:rsid w:val="0052459E"/>
    <w:rsid w:val="005259C6"/>
    <w:rsid w:val="00527786"/>
    <w:rsid w:val="0053176B"/>
    <w:rsid w:val="0053290B"/>
    <w:rsid w:val="005336F8"/>
    <w:rsid w:val="00533941"/>
    <w:rsid w:val="005341B3"/>
    <w:rsid w:val="005348C0"/>
    <w:rsid w:val="005357D6"/>
    <w:rsid w:val="00536F42"/>
    <w:rsid w:val="00537182"/>
    <w:rsid w:val="00540C0C"/>
    <w:rsid w:val="00541560"/>
    <w:rsid w:val="00541EDD"/>
    <w:rsid w:val="00542743"/>
    <w:rsid w:val="00542C2D"/>
    <w:rsid w:val="00544882"/>
    <w:rsid w:val="00545C5E"/>
    <w:rsid w:val="00545F3F"/>
    <w:rsid w:val="00546A50"/>
    <w:rsid w:val="005475F2"/>
    <w:rsid w:val="005478BD"/>
    <w:rsid w:val="005479E3"/>
    <w:rsid w:val="005508DF"/>
    <w:rsid w:val="00551985"/>
    <w:rsid w:val="00552673"/>
    <w:rsid w:val="00552BD3"/>
    <w:rsid w:val="00552F60"/>
    <w:rsid w:val="005532A0"/>
    <w:rsid w:val="00553B7B"/>
    <w:rsid w:val="00555109"/>
    <w:rsid w:val="00556B35"/>
    <w:rsid w:val="0055741A"/>
    <w:rsid w:val="00560EE9"/>
    <w:rsid w:val="005611B7"/>
    <w:rsid w:val="005618D4"/>
    <w:rsid w:val="00562BED"/>
    <w:rsid w:val="00563F98"/>
    <w:rsid w:val="00564867"/>
    <w:rsid w:val="00565492"/>
    <w:rsid w:val="00565C79"/>
    <w:rsid w:val="00565DF0"/>
    <w:rsid w:val="0056696F"/>
    <w:rsid w:val="00572269"/>
    <w:rsid w:val="00572366"/>
    <w:rsid w:val="0057244A"/>
    <w:rsid w:val="00572F26"/>
    <w:rsid w:val="005750C5"/>
    <w:rsid w:val="005752DE"/>
    <w:rsid w:val="00575D60"/>
    <w:rsid w:val="00575D8D"/>
    <w:rsid w:val="00576972"/>
    <w:rsid w:val="00577248"/>
    <w:rsid w:val="00577E88"/>
    <w:rsid w:val="005821FF"/>
    <w:rsid w:val="00583699"/>
    <w:rsid w:val="00585CDD"/>
    <w:rsid w:val="00586064"/>
    <w:rsid w:val="005864D4"/>
    <w:rsid w:val="00587058"/>
    <w:rsid w:val="00590402"/>
    <w:rsid w:val="005905EE"/>
    <w:rsid w:val="00591957"/>
    <w:rsid w:val="00591B18"/>
    <w:rsid w:val="00592C67"/>
    <w:rsid w:val="00593519"/>
    <w:rsid w:val="00593A0A"/>
    <w:rsid w:val="00595D36"/>
    <w:rsid w:val="00596243"/>
    <w:rsid w:val="00597127"/>
    <w:rsid w:val="00597240"/>
    <w:rsid w:val="0059728B"/>
    <w:rsid w:val="00597BF9"/>
    <w:rsid w:val="005A0C11"/>
    <w:rsid w:val="005A1A39"/>
    <w:rsid w:val="005A1B20"/>
    <w:rsid w:val="005A2A83"/>
    <w:rsid w:val="005A309A"/>
    <w:rsid w:val="005A3107"/>
    <w:rsid w:val="005A3413"/>
    <w:rsid w:val="005A3557"/>
    <w:rsid w:val="005A373D"/>
    <w:rsid w:val="005A4565"/>
    <w:rsid w:val="005A4EE4"/>
    <w:rsid w:val="005A695C"/>
    <w:rsid w:val="005A6D84"/>
    <w:rsid w:val="005A776B"/>
    <w:rsid w:val="005B0B58"/>
    <w:rsid w:val="005B0B62"/>
    <w:rsid w:val="005B2287"/>
    <w:rsid w:val="005B27D8"/>
    <w:rsid w:val="005B46E1"/>
    <w:rsid w:val="005B4E53"/>
    <w:rsid w:val="005B5857"/>
    <w:rsid w:val="005B5B51"/>
    <w:rsid w:val="005B6227"/>
    <w:rsid w:val="005C19C4"/>
    <w:rsid w:val="005C1B83"/>
    <w:rsid w:val="005C25FF"/>
    <w:rsid w:val="005C28A0"/>
    <w:rsid w:val="005C2D55"/>
    <w:rsid w:val="005C346B"/>
    <w:rsid w:val="005C3628"/>
    <w:rsid w:val="005C516F"/>
    <w:rsid w:val="005C5ABC"/>
    <w:rsid w:val="005C5D73"/>
    <w:rsid w:val="005C6A31"/>
    <w:rsid w:val="005C76ED"/>
    <w:rsid w:val="005D044D"/>
    <w:rsid w:val="005D07D7"/>
    <w:rsid w:val="005D0ABD"/>
    <w:rsid w:val="005D0BD4"/>
    <w:rsid w:val="005D0D8C"/>
    <w:rsid w:val="005D18AD"/>
    <w:rsid w:val="005D2315"/>
    <w:rsid w:val="005D26B4"/>
    <w:rsid w:val="005D335D"/>
    <w:rsid w:val="005D5CB1"/>
    <w:rsid w:val="005D62CC"/>
    <w:rsid w:val="005D7B89"/>
    <w:rsid w:val="005D7EB1"/>
    <w:rsid w:val="005E1995"/>
    <w:rsid w:val="005E1C2D"/>
    <w:rsid w:val="005E2AB0"/>
    <w:rsid w:val="005E5E9E"/>
    <w:rsid w:val="005E6244"/>
    <w:rsid w:val="005E6966"/>
    <w:rsid w:val="005E6CBC"/>
    <w:rsid w:val="005E72FF"/>
    <w:rsid w:val="005E7302"/>
    <w:rsid w:val="005E73C0"/>
    <w:rsid w:val="005E7859"/>
    <w:rsid w:val="005F07ED"/>
    <w:rsid w:val="005F09A3"/>
    <w:rsid w:val="005F1D9B"/>
    <w:rsid w:val="005F2706"/>
    <w:rsid w:val="005F31B1"/>
    <w:rsid w:val="005F4874"/>
    <w:rsid w:val="005F6909"/>
    <w:rsid w:val="005F6A8F"/>
    <w:rsid w:val="005F6BB7"/>
    <w:rsid w:val="005F6CBF"/>
    <w:rsid w:val="005F7412"/>
    <w:rsid w:val="005F7588"/>
    <w:rsid w:val="00603DB9"/>
    <w:rsid w:val="00604E4F"/>
    <w:rsid w:val="00606FBA"/>
    <w:rsid w:val="00607669"/>
    <w:rsid w:val="006076F4"/>
    <w:rsid w:val="0060790D"/>
    <w:rsid w:val="00607AFD"/>
    <w:rsid w:val="006103EB"/>
    <w:rsid w:val="00611B12"/>
    <w:rsid w:val="00612F97"/>
    <w:rsid w:val="0061345D"/>
    <w:rsid w:val="00615030"/>
    <w:rsid w:val="0061549B"/>
    <w:rsid w:val="00615A64"/>
    <w:rsid w:val="00616802"/>
    <w:rsid w:val="00617E12"/>
    <w:rsid w:val="00620C25"/>
    <w:rsid w:val="0062130C"/>
    <w:rsid w:val="00621477"/>
    <w:rsid w:val="00621ADA"/>
    <w:rsid w:val="0062217A"/>
    <w:rsid w:val="00623F7B"/>
    <w:rsid w:val="00624BD4"/>
    <w:rsid w:val="0062539A"/>
    <w:rsid w:val="00625BE3"/>
    <w:rsid w:val="0063158F"/>
    <w:rsid w:val="00631D6B"/>
    <w:rsid w:val="00632183"/>
    <w:rsid w:val="006330A1"/>
    <w:rsid w:val="0063394A"/>
    <w:rsid w:val="0063479F"/>
    <w:rsid w:val="006353F0"/>
    <w:rsid w:val="006357B5"/>
    <w:rsid w:val="006364A1"/>
    <w:rsid w:val="0063678E"/>
    <w:rsid w:val="00637017"/>
    <w:rsid w:val="00637514"/>
    <w:rsid w:val="00637BFD"/>
    <w:rsid w:val="00637C5C"/>
    <w:rsid w:val="0064010B"/>
    <w:rsid w:val="006406B6"/>
    <w:rsid w:val="00641756"/>
    <w:rsid w:val="00641C4E"/>
    <w:rsid w:val="00641FB3"/>
    <w:rsid w:val="0064434C"/>
    <w:rsid w:val="0064635A"/>
    <w:rsid w:val="006471CC"/>
    <w:rsid w:val="006472FE"/>
    <w:rsid w:val="00647A29"/>
    <w:rsid w:val="0065079F"/>
    <w:rsid w:val="00652A28"/>
    <w:rsid w:val="00653533"/>
    <w:rsid w:val="0065379F"/>
    <w:rsid w:val="00653B4C"/>
    <w:rsid w:val="00654E5C"/>
    <w:rsid w:val="00656188"/>
    <w:rsid w:val="00656235"/>
    <w:rsid w:val="0065715A"/>
    <w:rsid w:val="00657BE2"/>
    <w:rsid w:val="006610F1"/>
    <w:rsid w:val="00661C6B"/>
    <w:rsid w:val="00662C2B"/>
    <w:rsid w:val="00662D3E"/>
    <w:rsid w:val="00663D19"/>
    <w:rsid w:val="00666140"/>
    <w:rsid w:val="006671F1"/>
    <w:rsid w:val="00667BE3"/>
    <w:rsid w:val="006700D3"/>
    <w:rsid w:val="00670DEC"/>
    <w:rsid w:val="00671004"/>
    <w:rsid w:val="00671497"/>
    <w:rsid w:val="00672646"/>
    <w:rsid w:val="00673C45"/>
    <w:rsid w:val="00673C9E"/>
    <w:rsid w:val="00674E42"/>
    <w:rsid w:val="0067516C"/>
    <w:rsid w:val="006763D4"/>
    <w:rsid w:val="00676563"/>
    <w:rsid w:val="006770BA"/>
    <w:rsid w:val="006813F8"/>
    <w:rsid w:val="0068184C"/>
    <w:rsid w:val="00682112"/>
    <w:rsid w:val="00682BA6"/>
    <w:rsid w:val="00686957"/>
    <w:rsid w:val="006872BA"/>
    <w:rsid w:val="00690795"/>
    <w:rsid w:val="00691648"/>
    <w:rsid w:val="006917D7"/>
    <w:rsid w:val="006917DC"/>
    <w:rsid w:val="0069434C"/>
    <w:rsid w:val="006945F9"/>
    <w:rsid w:val="00694F44"/>
    <w:rsid w:val="00696EF9"/>
    <w:rsid w:val="00696F51"/>
    <w:rsid w:val="006970D6"/>
    <w:rsid w:val="006979A5"/>
    <w:rsid w:val="006A016F"/>
    <w:rsid w:val="006A0DF7"/>
    <w:rsid w:val="006A2399"/>
    <w:rsid w:val="006A4321"/>
    <w:rsid w:val="006A43D9"/>
    <w:rsid w:val="006A453B"/>
    <w:rsid w:val="006A52A7"/>
    <w:rsid w:val="006A6B99"/>
    <w:rsid w:val="006A7E5F"/>
    <w:rsid w:val="006B128D"/>
    <w:rsid w:val="006B261B"/>
    <w:rsid w:val="006B2C90"/>
    <w:rsid w:val="006B35E6"/>
    <w:rsid w:val="006B3CAF"/>
    <w:rsid w:val="006B465A"/>
    <w:rsid w:val="006B6DBE"/>
    <w:rsid w:val="006B6DD0"/>
    <w:rsid w:val="006B7F26"/>
    <w:rsid w:val="006C0399"/>
    <w:rsid w:val="006C0F5A"/>
    <w:rsid w:val="006C2A8E"/>
    <w:rsid w:val="006C3255"/>
    <w:rsid w:val="006C35CC"/>
    <w:rsid w:val="006C3F26"/>
    <w:rsid w:val="006C4207"/>
    <w:rsid w:val="006C4E4A"/>
    <w:rsid w:val="006C6CEE"/>
    <w:rsid w:val="006D0D17"/>
    <w:rsid w:val="006D3C7D"/>
    <w:rsid w:val="006D406B"/>
    <w:rsid w:val="006D4659"/>
    <w:rsid w:val="006D5D01"/>
    <w:rsid w:val="006D5D5F"/>
    <w:rsid w:val="006D68FB"/>
    <w:rsid w:val="006D6FED"/>
    <w:rsid w:val="006D7D98"/>
    <w:rsid w:val="006E0EAB"/>
    <w:rsid w:val="006E18B9"/>
    <w:rsid w:val="006E2868"/>
    <w:rsid w:val="006E385B"/>
    <w:rsid w:val="006E4166"/>
    <w:rsid w:val="006E46EB"/>
    <w:rsid w:val="006E58F0"/>
    <w:rsid w:val="006E74AE"/>
    <w:rsid w:val="006F025F"/>
    <w:rsid w:val="006F03B2"/>
    <w:rsid w:val="006F07DF"/>
    <w:rsid w:val="006F306C"/>
    <w:rsid w:val="006F3184"/>
    <w:rsid w:val="006F4E42"/>
    <w:rsid w:val="006F4EAD"/>
    <w:rsid w:val="006F63A5"/>
    <w:rsid w:val="0070142B"/>
    <w:rsid w:val="0070276E"/>
    <w:rsid w:val="00702F8F"/>
    <w:rsid w:val="007067B4"/>
    <w:rsid w:val="007079FC"/>
    <w:rsid w:val="00711A36"/>
    <w:rsid w:val="007125D3"/>
    <w:rsid w:val="00713A49"/>
    <w:rsid w:val="00714C26"/>
    <w:rsid w:val="0071529C"/>
    <w:rsid w:val="00716350"/>
    <w:rsid w:val="00716390"/>
    <w:rsid w:val="007170DA"/>
    <w:rsid w:val="007172AD"/>
    <w:rsid w:val="00717546"/>
    <w:rsid w:val="00720801"/>
    <w:rsid w:val="00722B1B"/>
    <w:rsid w:val="0072416F"/>
    <w:rsid w:val="007245CD"/>
    <w:rsid w:val="00727554"/>
    <w:rsid w:val="00727C94"/>
    <w:rsid w:val="00731389"/>
    <w:rsid w:val="00731608"/>
    <w:rsid w:val="00731B0A"/>
    <w:rsid w:val="00731EAE"/>
    <w:rsid w:val="00733073"/>
    <w:rsid w:val="00735033"/>
    <w:rsid w:val="00735128"/>
    <w:rsid w:val="00735328"/>
    <w:rsid w:val="0073685B"/>
    <w:rsid w:val="00737599"/>
    <w:rsid w:val="00741772"/>
    <w:rsid w:val="007428FE"/>
    <w:rsid w:val="007449BF"/>
    <w:rsid w:val="007463FE"/>
    <w:rsid w:val="00746BC0"/>
    <w:rsid w:val="007510B4"/>
    <w:rsid w:val="007511AE"/>
    <w:rsid w:val="00752142"/>
    <w:rsid w:val="007523F9"/>
    <w:rsid w:val="00752F26"/>
    <w:rsid w:val="0075357E"/>
    <w:rsid w:val="00753B29"/>
    <w:rsid w:val="00753BC3"/>
    <w:rsid w:val="0075460F"/>
    <w:rsid w:val="00755547"/>
    <w:rsid w:val="007573E8"/>
    <w:rsid w:val="00757B52"/>
    <w:rsid w:val="00760C4E"/>
    <w:rsid w:val="00760F9E"/>
    <w:rsid w:val="007613DA"/>
    <w:rsid w:val="007615FA"/>
    <w:rsid w:val="007616E6"/>
    <w:rsid w:val="00761884"/>
    <w:rsid w:val="007627BE"/>
    <w:rsid w:val="00763B0D"/>
    <w:rsid w:val="0076409E"/>
    <w:rsid w:val="007646DA"/>
    <w:rsid w:val="00764EE3"/>
    <w:rsid w:val="00764F03"/>
    <w:rsid w:val="00765037"/>
    <w:rsid w:val="00765B1A"/>
    <w:rsid w:val="00765CBA"/>
    <w:rsid w:val="00765DC1"/>
    <w:rsid w:val="00771653"/>
    <w:rsid w:val="007739CF"/>
    <w:rsid w:val="00774E6D"/>
    <w:rsid w:val="00777335"/>
    <w:rsid w:val="00777849"/>
    <w:rsid w:val="00780C19"/>
    <w:rsid w:val="00783910"/>
    <w:rsid w:val="007841C6"/>
    <w:rsid w:val="007843F2"/>
    <w:rsid w:val="007846FA"/>
    <w:rsid w:val="00785962"/>
    <w:rsid w:val="00785A9F"/>
    <w:rsid w:val="00786A60"/>
    <w:rsid w:val="00787B2D"/>
    <w:rsid w:val="0079178F"/>
    <w:rsid w:val="007925DF"/>
    <w:rsid w:val="00793B76"/>
    <w:rsid w:val="00794B91"/>
    <w:rsid w:val="0079578C"/>
    <w:rsid w:val="00795F94"/>
    <w:rsid w:val="00795F9F"/>
    <w:rsid w:val="0079685D"/>
    <w:rsid w:val="007A08AA"/>
    <w:rsid w:val="007A0A12"/>
    <w:rsid w:val="007A0B40"/>
    <w:rsid w:val="007A132D"/>
    <w:rsid w:val="007A1345"/>
    <w:rsid w:val="007A2DDB"/>
    <w:rsid w:val="007A3DE9"/>
    <w:rsid w:val="007A4324"/>
    <w:rsid w:val="007A4377"/>
    <w:rsid w:val="007A5637"/>
    <w:rsid w:val="007A5BDB"/>
    <w:rsid w:val="007A70BA"/>
    <w:rsid w:val="007A74E5"/>
    <w:rsid w:val="007B0523"/>
    <w:rsid w:val="007B0D68"/>
    <w:rsid w:val="007B251D"/>
    <w:rsid w:val="007B3533"/>
    <w:rsid w:val="007B3B85"/>
    <w:rsid w:val="007B3BD3"/>
    <w:rsid w:val="007B4F58"/>
    <w:rsid w:val="007B528D"/>
    <w:rsid w:val="007B63CA"/>
    <w:rsid w:val="007B6C88"/>
    <w:rsid w:val="007B77D1"/>
    <w:rsid w:val="007C07C7"/>
    <w:rsid w:val="007C1CD9"/>
    <w:rsid w:val="007C2547"/>
    <w:rsid w:val="007C32EF"/>
    <w:rsid w:val="007C361D"/>
    <w:rsid w:val="007C4B84"/>
    <w:rsid w:val="007C5A17"/>
    <w:rsid w:val="007C6A3F"/>
    <w:rsid w:val="007C70FF"/>
    <w:rsid w:val="007C7C25"/>
    <w:rsid w:val="007D004F"/>
    <w:rsid w:val="007D035F"/>
    <w:rsid w:val="007D06B2"/>
    <w:rsid w:val="007D0B38"/>
    <w:rsid w:val="007D1354"/>
    <w:rsid w:val="007D33D1"/>
    <w:rsid w:val="007D5440"/>
    <w:rsid w:val="007D5D27"/>
    <w:rsid w:val="007D69EB"/>
    <w:rsid w:val="007D6F23"/>
    <w:rsid w:val="007D78E4"/>
    <w:rsid w:val="007E128F"/>
    <w:rsid w:val="007E1D0E"/>
    <w:rsid w:val="007E4725"/>
    <w:rsid w:val="007E6BF8"/>
    <w:rsid w:val="007E71CB"/>
    <w:rsid w:val="007E7A49"/>
    <w:rsid w:val="007F0376"/>
    <w:rsid w:val="007F1017"/>
    <w:rsid w:val="007F25EB"/>
    <w:rsid w:val="007F4A3F"/>
    <w:rsid w:val="007F4A61"/>
    <w:rsid w:val="007F5255"/>
    <w:rsid w:val="007F56CC"/>
    <w:rsid w:val="007F61C2"/>
    <w:rsid w:val="007F6CAA"/>
    <w:rsid w:val="008006A6"/>
    <w:rsid w:val="00801961"/>
    <w:rsid w:val="00801DA0"/>
    <w:rsid w:val="00801F86"/>
    <w:rsid w:val="00804A1D"/>
    <w:rsid w:val="0080512D"/>
    <w:rsid w:val="00805142"/>
    <w:rsid w:val="008058F1"/>
    <w:rsid w:val="00805FCE"/>
    <w:rsid w:val="00806304"/>
    <w:rsid w:val="00807A8B"/>
    <w:rsid w:val="0081121A"/>
    <w:rsid w:val="00811383"/>
    <w:rsid w:val="00812149"/>
    <w:rsid w:val="00812CAC"/>
    <w:rsid w:val="00813378"/>
    <w:rsid w:val="008134CF"/>
    <w:rsid w:val="0081571F"/>
    <w:rsid w:val="00816361"/>
    <w:rsid w:val="008166EF"/>
    <w:rsid w:val="00816FEF"/>
    <w:rsid w:val="008172DA"/>
    <w:rsid w:val="00820A8C"/>
    <w:rsid w:val="008215FB"/>
    <w:rsid w:val="00822082"/>
    <w:rsid w:val="008220CC"/>
    <w:rsid w:val="00823174"/>
    <w:rsid w:val="00825751"/>
    <w:rsid w:val="00825FDC"/>
    <w:rsid w:val="008264EB"/>
    <w:rsid w:val="008265A8"/>
    <w:rsid w:val="008268CE"/>
    <w:rsid w:val="00827C23"/>
    <w:rsid w:val="00832A71"/>
    <w:rsid w:val="00833B05"/>
    <w:rsid w:val="008362B4"/>
    <w:rsid w:val="0083760C"/>
    <w:rsid w:val="008402C8"/>
    <w:rsid w:val="00840C8A"/>
    <w:rsid w:val="00840CA2"/>
    <w:rsid w:val="008421AD"/>
    <w:rsid w:val="0084374F"/>
    <w:rsid w:val="008445BC"/>
    <w:rsid w:val="00844A22"/>
    <w:rsid w:val="0084553A"/>
    <w:rsid w:val="0084708C"/>
    <w:rsid w:val="00847703"/>
    <w:rsid w:val="00847DF5"/>
    <w:rsid w:val="008510C3"/>
    <w:rsid w:val="00851F4F"/>
    <w:rsid w:val="00852769"/>
    <w:rsid w:val="0085309D"/>
    <w:rsid w:val="00856897"/>
    <w:rsid w:val="00856E9A"/>
    <w:rsid w:val="00856EA8"/>
    <w:rsid w:val="0086075D"/>
    <w:rsid w:val="00860BC5"/>
    <w:rsid w:val="00862502"/>
    <w:rsid w:val="00862CC1"/>
    <w:rsid w:val="008642A7"/>
    <w:rsid w:val="00864F23"/>
    <w:rsid w:val="008660D4"/>
    <w:rsid w:val="00866411"/>
    <w:rsid w:val="00870D40"/>
    <w:rsid w:val="00871FA9"/>
    <w:rsid w:val="008728E9"/>
    <w:rsid w:val="008735FE"/>
    <w:rsid w:val="00873CC0"/>
    <w:rsid w:val="00875284"/>
    <w:rsid w:val="00882271"/>
    <w:rsid w:val="00882874"/>
    <w:rsid w:val="00882E3C"/>
    <w:rsid w:val="0088308A"/>
    <w:rsid w:val="00883787"/>
    <w:rsid w:val="00883E89"/>
    <w:rsid w:val="00884325"/>
    <w:rsid w:val="00885199"/>
    <w:rsid w:val="008855E4"/>
    <w:rsid w:val="00886CD2"/>
    <w:rsid w:val="00886D43"/>
    <w:rsid w:val="008875E4"/>
    <w:rsid w:val="008908D0"/>
    <w:rsid w:val="00891809"/>
    <w:rsid w:val="00891E6F"/>
    <w:rsid w:val="0089275D"/>
    <w:rsid w:val="00892A36"/>
    <w:rsid w:val="00893239"/>
    <w:rsid w:val="00893271"/>
    <w:rsid w:val="00894489"/>
    <w:rsid w:val="00894CD6"/>
    <w:rsid w:val="008963A5"/>
    <w:rsid w:val="00896D5D"/>
    <w:rsid w:val="008A2D91"/>
    <w:rsid w:val="008A3158"/>
    <w:rsid w:val="008A3363"/>
    <w:rsid w:val="008A3371"/>
    <w:rsid w:val="008A3C3E"/>
    <w:rsid w:val="008A75BE"/>
    <w:rsid w:val="008A79DE"/>
    <w:rsid w:val="008B1757"/>
    <w:rsid w:val="008B1C33"/>
    <w:rsid w:val="008B40B5"/>
    <w:rsid w:val="008B4B6F"/>
    <w:rsid w:val="008B7992"/>
    <w:rsid w:val="008B7D7E"/>
    <w:rsid w:val="008C253B"/>
    <w:rsid w:val="008C3A2A"/>
    <w:rsid w:val="008C3A71"/>
    <w:rsid w:val="008C3BFA"/>
    <w:rsid w:val="008C3D01"/>
    <w:rsid w:val="008C5610"/>
    <w:rsid w:val="008C5739"/>
    <w:rsid w:val="008C66DB"/>
    <w:rsid w:val="008C7282"/>
    <w:rsid w:val="008C7ECB"/>
    <w:rsid w:val="008D1ACB"/>
    <w:rsid w:val="008D29E8"/>
    <w:rsid w:val="008D3662"/>
    <w:rsid w:val="008D3B86"/>
    <w:rsid w:val="008D4063"/>
    <w:rsid w:val="008D42D9"/>
    <w:rsid w:val="008D43FD"/>
    <w:rsid w:val="008D4755"/>
    <w:rsid w:val="008D4C3D"/>
    <w:rsid w:val="008D57A4"/>
    <w:rsid w:val="008D5E28"/>
    <w:rsid w:val="008D743C"/>
    <w:rsid w:val="008D74C9"/>
    <w:rsid w:val="008D7FCF"/>
    <w:rsid w:val="008E01D8"/>
    <w:rsid w:val="008E0D3C"/>
    <w:rsid w:val="008E0EEB"/>
    <w:rsid w:val="008E1B9E"/>
    <w:rsid w:val="008E215D"/>
    <w:rsid w:val="008E3237"/>
    <w:rsid w:val="008E4E26"/>
    <w:rsid w:val="008E55AB"/>
    <w:rsid w:val="008E68E1"/>
    <w:rsid w:val="008F120A"/>
    <w:rsid w:val="008F1B40"/>
    <w:rsid w:val="008F27E0"/>
    <w:rsid w:val="008F48EB"/>
    <w:rsid w:val="008F4F0B"/>
    <w:rsid w:val="008F7F80"/>
    <w:rsid w:val="009011FD"/>
    <w:rsid w:val="00901F00"/>
    <w:rsid w:val="009046C4"/>
    <w:rsid w:val="009048C5"/>
    <w:rsid w:val="00905BE7"/>
    <w:rsid w:val="009062A5"/>
    <w:rsid w:val="00907629"/>
    <w:rsid w:val="00907699"/>
    <w:rsid w:val="009100E7"/>
    <w:rsid w:val="00910FA7"/>
    <w:rsid w:val="00911272"/>
    <w:rsid w:val="00911339"/>
    <w:rsid w:val="00911B10"/>
    <w:rsid w:val="0091230F"/>
    <w:rsid w:val="009135D6"/>
    <w:rsid w:val="00914C77"/>
    <w:rsid w:val="00915FBC"/>
    <w:rsid w:val="009174B5"/>
    <w:rsid w:val="00917CEA"/>
    <w:rsid w:val="0092005A"/>
    <w:rsid w:val="00921ACB"/>
    <w:rsid w:val="0092369B"/>
    <w:rsid w:val="00923C06"/>
    <w:rsid w:val="009256C2"/>
    <w:rsid w:val="00934988"/>
    <w:rsid w:val="009357BD"/>
    <w:rsid w:val="00937089"/>
    <w:rsid w:val="00937EF9"/>
    <w:rsid w:val="0094229B"/>
    <w:rsid w:val="00942B75"/>
    <w:rsid w:val="00943373"/>
    <w:rsid w:val="00944F8A"/>
    <w:rsid w:val="0094526D"/>
    <w:rsid w:val="00946BC7"/>
    <w:rsid w:val="009510A2"/>
    <w:rsid w:val="00951193"/>
    <w:rsid w:val="00952738"/>
    <w:rsid w:val="00953257"/>
    <w:rsid w:val="0095474C"/>
    <w:rsid w:val="00954C9C"/>
    <w:rsid w:val="00957D92"/>
    <w:rsid w:val="00962BDD"/>
    <w:rsid w:val="00962BFD"/>
    <w:rsid w:val="00962CB9"/>
    <w:rsid w:val="00964312"/>
    <w:rsid w:val="00965939"/>
    <w:rsid w:val="00965B8A"/>
    <w:rsid w:val="00966333"/>
    <w:rsid w:val="0097071F"/>
    <w:rsid w:val="00970829"/>
    <w:rsid w:val="009717AC"/>
    <w:rsid w:val="00973899"/>
    <w:rsid w:val="009751C1"/>
    <w:rsid w:val="009757C4"/>
    <w:rsid w:val="009761B6"/>
    <w:rsid w:val="00977A3D"/>
    <w:rsid w:val="009811F1"/>
    <w:rsid w:val="009826CD"/>
    <w:rsid w:val="00983E57"/>
    <w:rsid w:val="00984B0B"/>
    <w:rsid w:val="00985DE2"/>
    <w:rsid w:val="0098675D"/>
    <w:rsid w:val="00987BA4"/>
    <w:rsid w:val="00990496"/>
    <w:rsid w:val="009926E0"/>
    <w:rsid w:val="00993AB9"/>
    <w:rsid w:val="0099451E"/>
    <w:rsid w:val="009956B0"/>
    <w:rsid w:val="00996B1A"/>
    <w:rsid w:val="009A146F"/>
    <w:rsid w:val="009A18F6"/>
    <w:rsid w:val="009A1BDD"/>
    <w:rsid w:val="009A1CA4"/>
    <w:rsid w:val="009A2DCC"/>
    <w:rsid w:val="009A41B8"/>
    <w:rsid w:val="009A4EC5"/>
    <w:rsid w:val="009A5ABC"/>
    <w:rsid w:val="009A65A9"/>
    <w:rsid w:val="009A74E9"/>
    <w:rsid w:val="009A7F10"/>
    <w:rsid w:val="009B0FFC"/>
    <w:rsid w:val="009B2E7F"/>
    <w:rsid w:val="009B33D2"/>
    <w:rsid w:val="009B39DD"/>
    <w:rsid w:val="009B3E26"/>
    <w:rsid w:val="009B49A3"/>
    <w:rsid w:val="009B4C73"/>
    <w:rsid w:val="009B604E"/>
    <w:rsid w:val="009C1271"/>
    <w:rsid w:val="009C1952"/>
    <w:rsid w:val="009C3706"/>
    <w:rsid w:val="009C3A3A"/>
    <w:rsid w:val="009C59B6"/>
    <w:rsid w:val="009C5A21"/>
    <w:rsid w:val="009C6841"/>
    <w:rsid w:val="009C68D5"/>
    <w:rsid w:val="009C6CEA"/>
    <w:rsid w:val="009C7B85"/>
    <w:rsid w:val="009D0254"/>
    <w:rsid w:val="009D176E"/>
    <w:rsid w:val="009D1A64"/>
    <w:rsid w:val="009D1C84"/>
    <w:rsid w:val="009D2388"/>
    <w:rsid w:val="009D2A9C"/>
    <w:rsid w:val="009D32E9"/>
    <w:rsid w:val="009D3C5B"/>
    <w:rsid w:val="009D5439"/>
    <w:rsid w:val="009D5B91"/>
    <w:rsid w:val="009D792E"/>
    <w:rsid w:val="009D7AF6"/>
    <w:rsid w:val="009E0DFE"/>
    <w:rsid w:val="009E1072"/>
    <w:rsid w:val="009E31F6"/>
    <w:rsid w:val="009E3B48"/>
    <w:rsid w:val="009E4A17"/>
    <w:rsid w:val="009E4C07"/>
    <w:rsid w:val="009E4CD7"/>
    <w:rsid w:val="009E629C"/>
    <w:rsid w:val="009E777F"/>
    <w:rsid w:val="009F0D72"/>
    <w:rsid w:val="009F1C75"/>
    <w:rsid w:val="009F42D2"/>
    <w:rsid w:val="009F562E"/>
    <w:rsid w:val="009F6120"/>
    <w:rsid w:val="009F6E78"/>
    <w:rsid w:val="009F7A6F"/>
    <w:rsid w:val="00A00D76"/>
    <w:rsid w:val="00A01184"/>
    <w:rsid w:val="00A01449"/>
    <w:rsid w:val="00A02A4E"/>
    <w:rsid w:val="00A037C2"/>
    <w:rsid w:val="00A03D43"/>
    <w:rsid w:val="00A04380"/>
    <w:rsid w:val="00A04786"/>
    <w:rsid w:val="00A05472"/>
    <w:rsid w:val="00A05799"/>
    <w:rsid w:val="00A05C32"/>
    <w:rsid w:val="00A0653F"/>
    <w:rsid w:val="00A0745E"/>
    <w:rsid w:val="00A11CD0"/>
    <w:rsid w:val="00A12445"/>
    <w:rsid w:val="00A13948"/>
    <w:rsid w:val="00A1555B"/>
    <w:rsid w:val="00A155C5"/>
    <w:rsid w:val="00A16AD8"/>
    <w:rsid w:val="00A17875"/>
    <w:rsid w:val="00A2021E"/>
    <w:rsid w:val="00A210D2"/>
    <w:rsid w:val="00A21BAD"/>
    <w:rsid w:val="00A21C95"/>
    <w:rsid w:val="00A21CF3"/>
    <w:rsid w:val="00A24813"/>
    <w:rsid w:val="00A24915"/>
    <w:rsid w:val="00A25514"/>
    <w:rsid w:val="00A26513"/>
    <w:rsid w:val="00A2726D"/>
    <w:rsid w:val="00A27AEC"/>
    <w:rsid w:val="00A320DB"/>
    <w:rsid w:val="00A322BB"/>
    <w:rsid w:val="00A3352F"/>
    <w:rsid w:val="00A33733"/>
    <w:rsid w:val="00A340D0"/>
    <w:rsid w:val="00A348E1"/>
    <w:rsid w:val="00A35D16"/>
    <w:rsid w:val="00A37BCD"/>
    <w:rsid w:val="00A41689"/>
    <w:rsid w:val="00A42592"/>
    <w:rsid w:val="00A42828"/>
    <w:rsid w:val="00A43C59"/>
    <w:rsid w:val="00A4432D"/>
    <w:rsid w:val="00A45D7A"/>
    <w:rsid w:val="00A4606A"/>
    <w:rsid w:val="00A46DC4"/>
    <w:rsid w:val="00A4729A"/>
    <w:rsid w:val="00A474F3"/>
    <w:rsid w:val="00A50ECD"/>
    <w:rsid w:val="00A518F3"/>
    <w:rsid w:val="00A52729"/>
    <w:rsid w:val="00A53675"/>
    <w:rsid w:val="00A5387E"/>
    <w:rsid w:val="00A54B4A"/>
    <w:rsid w:val="00A564D7"/>
    <w:rsid w:val="00A56B6A"/>
    <w:rsid w:val="00A578DC"/>
    <w:rsid w:val="00A60F66"/>
    <w:rsid w:val="00A640E2"/>
    <w:rsid w:val="00A64D65"/>
    <w:rsid w:val="00A66590"/>
    <w:rsid w:val="00A6725B"/>
    <w:rsid w:val="00A67BE3"/>
    <w:rsid w:val="00A70605"/>
    <w:rsid w:val="00A70C76"/>
    <w:rsid w:val="00A73134"/>
    <w:rsid w:val="00A73405"/>
    <w:rsid w:val="00A7365A"/>
    <w:rsid w:val="00A750D0"/>
    <w:rsid w:val="00A7537F"/>
    <w:rsid w:val="00A76001"/>
    <w:rsid w:val="00A777B2"/>
    <w:rsid w:val="00A80FDE"/>
    <w:rsid w:val="00A818CF"/>
    <w:rsid w:val="00A819BD"/>
    <w:rsid w:val="00A825D4"/>
    <w:rsid w:val="00A828F6"/>
    <w:rsid w:val="00A82B73"/>
    <w:rsid w:val="00A82C9D"/>
    <w:rsid w:val="00A83CA7"/>
    <w:rsid w:val="00A846AB"/>
    <w:rsid w:val="00A84B03"/>
    <w:rsid w:val="00A8560C"/>
    <w:rsid w:val="00A85F62"/>
    <w:rsid w:val="00A86423"/>
    <w:rsid w:val="00A86480"/>
    <w:rsid w:val="00A86E8B"/>
    <w:rsid w:val="00A87164"/>
    <w:rsid w:val="00A90BAE"/>
    <w:rsid w:val="00A9145A"/>
    <w:rsid w:val="00A93072"/>
    <w:rsid w:val="00A938BD"/>
    <w:rsid w:val="00A93953"/>
    <w:rsid w:val="00A94015"/>
    <w:rsid w:val="00A959D8"/>
    <w:rsid w:val="00A97D96"/>
    <w:rsid w:val="00AA113D"/>
    <w:rsid w:val="00AA3972"/>
    <w:rsid w:val="00AA3F21"/>
    <w:rsid w:val="00AA47BF"/>
    <w:rsid w:val="00AA517E"/>
    <w:rsid w:val="00AA59E4"/>
    <w:rsid w:val="00AA61EE"/>
    <w:rsid w:val="00AA6BD5"/>
    <w:rsid w:val="00AA6BD8"/>
    <w:rsid w:val="00AA6C7D"/>
    <w:rsid w:val="00AA71A6"/>
    <w:rsid w:val="00AA7FD6"/>
    <w:rsid w:val="00AB042A"/>
    <w:rsid w:val="00AB11AD"/>
    <w:rsid w:val="00AB19EF"/>
    <w:rsid w:val="00AB2495"/>
    <w:rsid w:val="00AB2D34"/>
    <w:rsid w:val="00AB3430"/>
    <w:rsid w:val="00AB37B9"/>
    <w:rsid w:val="00AB4144"/>
    <w:rsid w:val="00AB4AD1"/>
    <w:rsid w:val="00AB4E6B"/>
    <w:rsid w:val="00AB5E07"/>
    <w:rsid w:val="00AB669F"/>
    <w:rsid w:val="00AB7CFA"/>
    <w:rsid w:val="00AC151B"/>
    <w:rsid w:val="00AC2FBD"/>
    <w:rsid w:val="00AC32FC"/>
    <w:rsid w:val="00AC362F"/>
    <w:rsid w:val="00AC3873"/>
    <w:rsid w:val="00AC4210"/>
    <w:rsid w:val="00AC4F13"/>
    <w:rsid w:val="00AC5A9E"/>
    <w:rsid w:val="00AC5B42"/>
    <w:rsid w:val="00AC5B48"/>
    <w:rsid w:val="00AC5D64"/>
    <w:rsid w:val="00AC6649"/>
    <w:rsid w:val="00AD0C06"/>
    <w:rsid w:val="00AD0F3A"/>
    <w:rsid w:val="00AD1236"/>
    <w:rsid w:val="00AD1430"/>
    <w:rsid w:val="00AD1450"/>
    <w:rsid w:val="00AD15E8"/>
    <w:rsid w:val="00AD274C"/>
    <w:rsid w:val="00AD356D"/>
    <w:rsid w:val="00AD5CEF"/>
    <w:rsid w:val="00AD6502"/>
    <w:rsid w:val="00AE0695"/>
    <w:rsid w:val="00AE1E60"/>
    <w:rsid w:val="00AE2432"/>
    <w:rsid w:val="00AE3438"/>
    <w:rsid w:val="00AE3E13"/>
    <w:rsid w:val="00AE3E7E"/>
    <w:rsid w:val="00AE7754"/>
    <w:rsid w:val="00AE7759"/>
    <w:rsid w:val="00AE7E53"/>
    <w:rsid w:val="00AF1315"/>
    <w:rsid w:val="00AF19BF"/>
    <w:rsid w:val="00AF1A15"/>
    <w:rsid w:val="00AF2DC3"/>
    <w:rsid w:val="00AF2EF8"/>
    <w:rsid w:val="00AF423D"/>
    <w:rsid w:val="00AF4F54"/>
    <w:rsid w:val="00AF6B4D"/>
    <w:rsid w:val="00AF709E"/>
    <w:rsid w:val="00B033E5"/>
    <w:rsid w:val="00B03A63"/>
    <w:rsid w:val="00B04691"/>
    <w:rsid w:val="00B04CB3"/>
    <w:rsid w:val="00B129A4"/>
    <w:rsid w:val="00B12F93"/>
    <w:rsid w:val="00B200D2"/>
    <w:rsid w:val="00B201A4"/>
    <w:rsid w:val="00B201D1"/>
    <w:rsid w:val="00B20B8B"/>
    <w:rsid w:val="00B213A6"/>
    <w:rsid w:val="00B235B0"/>
    <w:rsid w:val="00B24432"/>
    <w:rsid w:val="00B245B1"/>
    <w:rsid w:val="00B24DF6"/>
    <w:rsid w:val="00B24F30"/>
    <w:rsid w:val="00B27A61"/>
    <w:rsid w:val="00B31647"/>
    <w:rsid w:val="00B34024"/>
    <w:rsid w:val="00B344B7"/>
    <w:rsid w:val="00B34FE2"/>
    <w:rsid w:val="00B35166"/>
    <w:rsid w:val="00B357D8"/>
    <w:rsid w:val="00B360F4"/>
    <w:rsid w:val="00B3688E"/>
    <w:rsid w:val="00B36A00"/>
    <w:rsid w:val="00B36D8A"/>
    <w:rsid w:val="00B3792B"/>
    <w:rsid w:val="00B37BFC"/>
    <w:rsid w:val="00B40222"/>
    <w:rsid w:val="00B40358"/>
    <w:rsid w:val="00B41614"/>
    <w:rsid w:val="00B42851"/>
    <w:rsid w:val="00B42F80"/>
    <w:rsid w:val="00B43490"/>
    <w:rsid w:val="00B435CB"/>
    <w:rsid w:val="00B450FF"/>
    <w:rsid w:val="00B465EC"/>
    <w:rsid w:val="00B46A20"/>
    <w:rsid w:val="00B46B95"/>
    <w:rsid w:val="00B505C8"/>
    <w:rsid w:val="00B50DB8"/>
    <w:rsid w:val="00B51352"/>
    <w:rsid w:val="00B51860"/>
    <w:rsid w:val="00B51A56"/>
    <w:rsid w:val="00B51D0A"/>
    <w:rsid w:val="00B53654"/>
    <w:rsid w:val="00B53905"/>
    <w:rsid w:val="00B546DB"/>
    <w:rsid w:val="00B54B5B"/>
    <w:rsid w:val="00B55505"/>
    <w:rsid w:val="00B5562E"/>
    <w:rsid w:val="00B55862"/>
    <w:rsid w:val="00B55D65"/>
    <w:rsid w:val="00B56305"/>
    <w:rsid w:val="00B57000"/>
    <w:rsid w:val="00B5771D"/>
    <w:rsid w:val="00B578CD"/>
    <w:rsid w:val="00B60939"/>
    <w:rsid w:val="00B60AF5"/>
    <w:rsid w:val="00B60AFD"/>
    <w:rsid w:val="00B60C21"/>
    <w:rsid w:val="00B60C80"/>
    <w:rsid w:val="00B61AFB"/>
    <w:rsid w:val="00B62715"/>
    <w:rsid w:val="00B63CE2"/>
    <w:rsid w:val="00B6414F"/>
    <w:rsid w:val="00B65611"/>
    <w:rsid w:val="00B66C99"/>
    <w:rsid w:val="00B66EB6"/>
    <w:rsid w:val="00B705EF"/>
    <w:rsid w:val="00B70E8E"/>
    <w:rsid w:val="00B73C05"/>
    <w:rsid w:val="00B742D3"/>
    <w:rsid w:val="00B75142"/>
    <w:rsid w:val="00B76C92"/>
    <w:rsid w:val="00B76EEF"/>
    <w:rsid w:val="00B80681"/>
    <w:rsid w:val="00B80EFD"/>
    <w:rsid w:val="00B818A4"/>
    <w:rsid w:val="00B82941"/>
    <w:rsid w:val="00B83739"/>
    <w:rsid w:val="00B84117"/>
    <w:rsid w:val="00B85129"/>
    <w:rsid w:val="00B858F0"/>
    <w:rsid w:val="00B85AA2"/>
    <w:rsid w:val="00B8649C"/>
    <w:rsid w:val="00B8695D"/>
    <w:rsid w:val="00B86CF6"/>
    <w:rsid w:val="00B87F0A"/>
    <w:rsid w:val="00B9260A"/>
    <w:rsid w:val="00B92AAD"/>
    <w:rsid w:val="00B92D0B"/>
    <w:rsid w:val="00B94945"/>
    <w:rsid w:val="00B94DD6"/>
    <w:rsid w:val="00B95188"/>
    <w:rsid w:val="00B96BF8"/>
    <w:rsid w:val="00B9761C"/>
    <w:rsid w:val="00BA1175"/>
    <w:rsid w:val="00BA322D"/>
    <w:rsid w:val="00BA5274"/>
    <w:rsid w:val="00BA571C"/>
    <w:rsid w:val="00BA63FA"/>
    <w:rsid w:val="00BA6D62"/>
    <w:rsid w:val="00BA6DEA"/>
    <w:rsid w:val="00BA766A"/>
    <w:rsid w:val="00BB00B3"/>
    <w:rsid w:val="00BB0BDD"/>
    <w:rsid w:val="00BB0C8E"/>
    <w:rsid w:val="00BB1450"/>
    <w:rsid w:val="00BB176C"/>
    <w:rsid w:val="00BB2A73"/>
    <w:rsid w:val="00BB3A45"/>
    <w:rsid w:val="00BB46AC"/>
    <w:rsid w:val="00BB499A"/>
    <w:rsid w:val="00BB4ACC"/>
    <w:rsid w:val="00BB5084"/>
    <w:rsid w:val="00BB57DC"/>
    <w:rsid w:val="00BB69C3"/>
    <w:rsid w:val="00BB6AC9"/>
    <w:rsid w:val="00BB703E"/>
    <w:rsid w:val="00BB732D"/>
    <w:rsid w:val="00BB7405"/>
    <w:rsid w:val="00BC0456"/>
    <w:rsid w:val="00BC28B4"/>
    <w:rsid w:val="00BC3631"/>
    <w:rsid w:val="00BC3D6F"/>
    <w:rsid w:val="00BC50B1"/>
    <w:rsid w:val="00BC591F"/>
    <w:rsid w:val="00BC64F5"/>
    <w:rsid w:val="00BC7D6D"/>
    <w:rsid w:val="00BD02D3"/>
    <w:rsid w:val="00BD2108"/>
    <w:rsid w:val="00BD23A4"/>
    <w:rsid w:val="00BD3485"/>
    <w:rsid w:val="00BD68A3"/>
    <w:rsid w:val="00BD6938"/>
    <w:rsid w:val="00BD6CF3"/>
    <w:rsid w:val="00BD7F72"/>
    <w:rsid w:val="00BE0ECA"/>
    <w:rsid w:val="00BE1204"/>
    <w:rsid w:val="00BE2180"/>
    <w:rsid w:val="00BE21F2"/>
    <w:rsid w:val="00BE29F1"/>
    <w:rsid w:val="00BE4275"/>
    <w:rsid w:val="00BF06AE"/>
    <w:rsid w:val="00BF0A5B"/>
    <w:rsid w:val="00BF0F95"/>
    <w:rsid w:val="00BF18AA"/>
    <w:rsid w:val="00BF2433"/>
    <w:rsid w:val="00BF281A"/>
    <w:rsid w:val="00BF2E6E"/>
    <w:rsid w:val="00BF61C9"/>
    <w:rsid w:val="00BF6C94"/>
    <w:rsid w:val="00BF75E4"/>
    <w:rsid w:val="00C00424"/>
    <w:rsid w:val="00C00BB0"/>
    <w:rsid w:val="00C018E1"/>
    <w:rsid w:val="00C061AA"/>
    <w:rsid w:val="00C1179F"/>
    <w:rsid w:val="00C11B73"/>
    <w:rsid w:val="00C11E75"/>
    <w:rsid w:val="00C121E9"/>
    <w:rsid w:val="00C127B9"/>
    <w:rsid w:val="00C128FA"/>
    <w:rsid w:val="00C12C14"/>
    <w:rsid w:val="00C1447A"/>
    <w:rsid w:val="00C15F04"/>
    <w:rsid w:val="00C179B3"/>
    <w:rsid w:val="00C17CFD"/>
    <w:rsid w:val="00C17E3F"/>
    <w:rsid w:val="00C200AA"/>
    <w:rsid w:val="00C23390"/>
    <w:rsid w:val="00C237ED"/>
    <w:rsid w:val="00C24632"/>
    <w:rsid w:val="00C25418"/>
    <w:rsid w:val="00C255E1"/>
    <w:rsid w:val="00C25D9C"/>
    <w:rsid w:val="00C2778B"/>
    <w:rsid w:val="00C30EC4"/>
    <w:rsid w:val="00C31433"/>
    <w:rsid w:val="00C31649"/>
    <w:rsid w:val="00C33501"/>
    <w:rsid w:val="00C33876"/>
    <w:rsid w:val="00C3434C"/>
    <w:rsid w:val="00C37E7B"/>
    <w:rsid w:val="00C40385"/>
    <w:rsid w:val="00C41768"/>
    <w:rsid w:val="00C43A86"/>
    <w:rsid w:val="00C43F2D"/>
    <w:rsid w:val="00C446F2"/>
    <w:rsid w:val="00C45329"/>
    <w:rsid w:val="00C45F0D"/>
    <w:rsid w:val="00C460C1"/>
    <w:rsid w:val="00C475AA"/>
    <w:rsid w:val="00C47BC1"/>
    <w:rsid w:val="00C50DE2"/>
    <w:rsid w:val="00C527C7"/>
    <w:rsid w:val="00C5373F"/>
    <w:rsid w:val="00C53C98"/>
    <w:rsid w:val="00C54364"/>
    <w:rsid w:val="00C547C0"/>
    <w:rsid w:val="00C56FCF"/>
    <w:rsid w:val="00C57B6C"/>
    <w:rsid w:val="00C57BD9"/>
    <w:rsid w:val="00C6060D"/>
    <w:rsid w:val="00C61A59"/>
    <w:rsid w:val="00C622C4"/>
    <w:rsid w:val="00C62700"/>
    <w:rsid w:val="00C628A6"/>
    <w:rsid w:val="00C64344"/>
    <w:rsid w:val="00C6469A"/>
    <w:rsid w:val="00C65108"/>
    <w:rsid w:val="00C65576"/>
    <w:rsid w:val="00C66165"/>
    <w:rsid w:val="00C664FD"/>
    <w:rsid w:val="00C67BD2"/>
    <w:rsid w:val="00C7060A"/>
    <w:rsid w:val="00C7151A"/>
    <w:rsid w:val="00C717E3"/>
    <w:rsid w:val="00C71F60"/>
    <w:rsid w:val="00C72241"/>
    <w:rsid w:val="00C72ED3"/>
    <w:rsid w:val="00C74DAD"/>
    <w:rsid w:val="00C750C8"/>
    <w:rsid w:val="00C753D9"/>
    <w:rsid w:val="00C7560F"/>
    <w:rsid w:val="00C761FA"/>
    <w:rsid w:val="00C76265"/>
    <w:rsid w:val="00C768E1"/>
    <w:rsid w:val="00C76F89"/>
    <w:rsid w:val="00C80893"/>
    <w:rsid w:val="00C80A0E"/>
    <w:rsid w:val="00C816BE"/>
    <w:rsid w:val="00C8213F"/>
    <w:rsid w:val="00C8303F"/>
    <w:rsid w:val="00C83A8D"/>
    <w:rsid w:val="00C84BD0"/>
    <w:rsid w:val="00C85154"/>
    <w:rsid w:val="00C85A70"/>
    <w:rsid w:val="00C8671F"/>
    <w:rsid w:val="00C868D7"/>
    <w:rsid w:val="00C8797A"/>
    <w:rsid w:val="00C900B8"/>
    <w:rsid w:val="00C90197"/>
    <w:rsid w:val="00C90C71"/>
    <w:rsid w:val="00C9142C"/>
    <w:rsid w:val="00C91FD1"/>
    <w:rsid w:val="00C931CF"/>
    <w:rsid w:val="00C938CF"/>
    <w:rsid w:val="00C94053"/>
    <w:rsid w:val="00C9624D"/>
    <w:rsid w:val="00C964FA"/>
    <w:rsid w:val="00C969DA"/>
    <w:rsid w:val="00CA275A"/>
    <w:rsid w:val="00CA2C77"/>
    <w:rsid w:val="00CA444F"/>
    <w:rsid w:val="00CA4FDD"/>
    <w:rsid w:val="00CA5245"/>
    <w:rsid w:val="00CA5AA6"/>
    <w:rsid w:val="00CA5DCB"/>
    <w:rsid w:val="00CA711B"/>
    <w:rsid w:val="00CA71F4"/>
    <w:rsid w:val="00CA7B09"/>
    <w:rsid w:val="00CB0051"/>
    <w:rsid w:val="00CB12A5"/>
    <w:rsid w:val="00CB1CAC"/>
    <w:rsid w:val="00CB1E0C"/>
    <w:rsid w:val="00CB2F2A"/>
    <w:rsid w:val="00CB5B1A"/>
    <w:rsid w:val="00CB6B22"/>
    <w:rsid w:val="00CB7F5F"/>
    <w:rsid w:val="00CC01F1"/>
    <w:rsid w:val="00CC04EC"/>
    <w:rsid w:val="00CC11ED"/>
    <w:rsid w:val="00CC1B39"/>
    <w:rsid w:val="00CC1BFA"/>
    <w:rsid w:val="00CC1EC5"/>
    <w:rsid w:val="00CC2E9F"/>
    <w:rsid w:val="00CC35EA"/>
    <w:rsid w:val="00CC3848"/>
    <w:rsid w:val="00CC3AA6"/>
    <w:rsid w:val="00CC5E52"/>
    <w:rsid w:val="00CC6D5E"/>
    <w:rsid w:val="00CD0200"/>
    <w:rsid w:val="00CD3F77"/>
    <w:rsid w:val="00CD6ADC"/>
    <w:rsid w:val="00CD7193"/>
    <w:rsid w:val="00CE02C3"/>
    <w:rsid w:val="00CE38C8"/>
    <w:rsid w:val="00CE524F"/>
    <w:rsid w:val="00CE58CC"/>
    <w:rsid w:val="00CE5A7A"/>
    <w:rsid w:val="00CE6274"/>
    <w:rsid w:val="00CE6EFD"/>
    <w:rsid w:val="00CE77B6"/>
    <w:rsid w:val="00CF0C12"/>
    <w:rsid w:val="00CF1F1F"/>
    <w:rsid w:val="00CF2B8D"/>
    <w:rsid w:val="00CF3A1B"/>
    <w:rsid w:val="00CF44B7"/>
    <w:rsid w:val="00CF456B"/>
    <w:rsid w:val="00CF48D2"/>
    <w:rsid w:val="00CF5A22"/>
    <w:rsid w:val="00D0262E"/>
    <w:rsid w:val="00D0321C"/>
    <w:rsid w:val="00D03679"/>
    <w:rsid w:val="00D05E3D"/>
    <w:rsid w:val="00D06139"/>
    <w:rsid w:val="00D110BD"/>
    <w:rsid w:val="00D11718"/>
    <w:rsid w:val="00D13392"/>
    <w:rsid w:val="00D13675"/>
    <w:rsid w:val="00D141E1"/>
    <w:rsid w:val="00D15314"/>
    <w:rsid w:val="00D15B48"/>
    <w:rsid w:val="00D17C8D"/>
    <w:rsid w:val="00D17D6C"/>
    <w:rsid w:val="00D20296"/>
    <w:rsid w:val="00D2066C"/>
    <w:rsid w:val="00D2155B"/>
    <w:rsid w:val="00D22BF5"/>
    <w:rsid w:val="00D23D11"/>
    <w:rsid w:val="00D244B6"/>
    <w:rsid w:val="00D25DAC"/>
    <w:rsid w:val="00D2754D"/>
    <w:rsid w:val="00D27B27"/>
    <w:rsid w:val="00D30D5B"/>
    <w:rsid w:val="00D311A6"/>
    <w:rsid w:val="00D312A7"/>
    <w:rsid w:val="00D322E5"/>
    <w:rsid w:val="00D33BE9"/>
    <w:rsid w:val="00D33F93"/>
    <w:rsid w:val="00D34A9D"/>
    <w:rsid w:val="00D3548D"/>
    <w:rsid w:val="00D356C3"/>
    <w:rsid w:val="00D357FF"/>
    <w:rsid w:val="00D36731"/>
    <w:rsid w:val="00D424C7"/>
    <w:rsid w:val="00D42801"/>
    <w:rsid w:val="00D43B2A"/>
    <w:rsid w:val="00D43CF1"/>
    <w:rsid w:val="00D43D83"/>
    <w:rsid w:val="00D46C80"/>
    <w:rsid w:val="00D47575"/>
    <w:rsid w:val="00D50F83"/>
    <w:rsid w:val="00D5243B"/>
    <w:rsid w:val="00D52FE2"/>
    <w:rsid w:val="00D533EC"/>
    <w:rsid w:val="00D536FF"/>
    <w:rsid w:val="00D54DE8"/>
    <w:rsid w:val="00D54E42"/>
    <w:rsid w:val="00D56A95"/>
    <w:rsid w:val="00D56F77"/>
    <w:rsid w:val="00D6076E"/>
    <w:rsid w:val="00D61D80"/>
    <w:rsid w:val="00D70F16"/>
    <w:rsid w:val="00D7151B"/>
    <w:rsid w:val="00D72617"/>
    <w:rsid w:val="00D72F57"/>
    <w:rsid w:val="00D72FE0"/>
    <w:rsid w:val="00D7324E"/>
    <w:rsid w:val="00D73EB6"/>
    <w:rsid w:val="00D76A44"/>
    <w:rsid w:val="00D77C6B"/>
    <w:rsid w:val="00D77E1A"/>
    <w:rsid w:val="00D80C81"/>
    <w:rsid w:val="00D81286"/>
    <w:rsid w:val="00D815EF"/>
    <w:rsid w:val="00D81949"/>
    <w:rsid w:val="00D81F26"/>
    <w:rsid w:val="00D822E2"/>
    <w:rsid w:val="00D843F2"/>
    <w:rsid w:val="00D849DE"/>
    <w:rsid w:val="00D8520A"/>
    <w:rsid w:val="00D86231"/>
    <w:rsid w:val="00D91085"/>
    <w:rsid w:val="00D912AB"/>
    <w:rsid w:val="00D91923"/>
    <w:rsid w:val="00D93753"/>
    <w:rsid w:val="00D9456C"/>
    <w:rsid w:val="00D96381"/>
    <w:rsid w:val="00D96F57"/>
    <w:rsid w:val="00D97D5D"/>
    <w:rsid w:val="00DA01BF"/>
    <w:rsid w:val="00DA02DF"/>
    <w:rsid w:val="00DA3167"/>
    <w:rsid w:val="00DA4DC3"/>
    <w:rsid w:val="00DA64B3"/>
    <w:rsid w:val="00DA6981"/>
    <w:rsid w:val="00DA77A5"/>
    <w:rsid w:val="00DB0E36"/>
    <w:rsid w:val="00DB219F"/>
    <w:rsid w:val="00DB3DBF"/>
    <w:rsid w:val="00DB484F"/>
    <w:rsid w:val="00DB63FA"/>
    <w:rsid w:val="00DB6F99"/>
    <w:rsid w:val="00DB73B9"/>
    <w:rsid w:val="00DB7A2D"/>
    <w:rsid w:val="00DC04F6"/>
    <w:rsid w:val="00DC0690"/>
    <w:rsid w:val="00DC1D65"/>
    <w:rsid w:val="00DC2933"/>
    <w:rsid w:val="00DC3BCC"/>
    <w:rsid w:val="00DC3C57"/>
    <w:rsid w:val="00DC4611"/>
    <w:rsid w:val="00DC5501"/>
    <w:rsid w:val="00DC5DE4"/>
    <w:rsid w:val="00DC6873"/>
    <w:rsid w:val="00DC7154"/>
    <w:rsid w:val="00DC7E8A"/>
    <w:rsid w:val="00DD0F78"/>
    <w:rsid w:val="00DD1272"/>
    <w:rsid w:val="00DD273C"/>
    <w:rsid w:val="00DD382D"/>
    <w:rsid w:val="00DD3F28"/>
    <w:rsid w:val="00DD4446"/>
    <w:rsid w:val="00DD4537"/>
    <w:rsid w:val="00DD4B68"/>
    <w:rsid w:val="00DD4E15"/>
    <w:rsid w:val="00DD7E4E"/>
    <w:rsid w:val="00DE03C2"/>
    <w:rsid w:val="00DE2304"/>
    <w:rsid w:val="00DE3138"/>
    <w:rsid w:val="00DE3663"/>
    <w:rsid w:val="00DE36E5"/>
    <w:rsid w:val="00DE37F8"/>
    <w:rsid w:val="00DE4273"/>
    <w:rsid w:val="00DE4FCB"/>
    <w:rsid w:val="00DE54E8"/>
    <w:rsid w:val="00DE5D07"/>
    <w:rsid w:val="00DE6E3B"/>
    <w:rsid w:val="00DE72A7"/>
    <w:rsid w:val="00DE7832"/>
    <w:rsid w:val="00DF06EE"/>
    <w:rsid w:val="00DF125E"/>
    <w:rsid w:val="00DF18FC"/>
    <w:rsid w:val="00DF255B"/>
    <w:rsid w:val="00DF267F"/>
    <w:rsid w:val="00DF5D2B"/>
    <w:rsid w:val="00DF6341"/>
    <w:rsid w:val="00DF7892"/>
    <w:rsid w:val="00E00E8E"/>
    <w:rsid w:val="00E042E8"/>
    <w:rsid w:val="00E05630"/>
    <w:rsid w:val="00E05B37"/>
    <w:rsid w:val="00E05EF7"/>
    <w:rsid w:val="00E06DBB"/>
    <w:rsid w:val="00E10149"/>
    <w:rsid w:val="00E11340"/>
    <w:rsid w:val="00E11DAA"/>
    <w:rsid w:val="00E122A1"/>
    <w:rsid w:val="00E16372"/>
    <w:rsid w:val="00E16A37"/>
    <w:rsid w:val="00E16AD8"/>
    <w:rsid w:val="00E17FFA"/>
    <w:rsid w:val="00E20E4D"/>
    <w:rsid w:val="00E20ED6"/>
    <w:rsid w:val="00E21046"/>
    <w:rsid w:val="00E21358"/>
    <w:rsid w:val="00E2249B"/>
    <w:rsid w:val="00E225BB"/>
    <w:rsid w:val="00E22A0D"/>
    <w:rsid w:val="00E22A9E"/>
    <w:rsid w:val="00E22C2B"/>
    <w:rsid w:val="00E244F6"/>
    <w:rsid w:val="00E252DA"/>
    <w:rsid w:val="00E258DB"/>
    <w:rsid w:val="00E2595B"/>
    <w:rsid w:val="00E26DEF"/>
    <w:rsid w:val="00E2771E"/>
    <w:rsid w:val="00E311EF"/>
    <w:rsid w:val="00E32180"/>
    <w:rsid w:val="00E32934"/>
    <w:rsid w:val="00E32A32"/>
    <w:rsid w:val="00E32CAA"/>
    <w:rsid w:val="00E34948"/>
    <w:rsid w:val="00E37569"/>
    <w:rsid w:val="00E401B2"/>
    <w:rsid w:val="00E41038"/>
    <w:rsid w:val="00E41E30"/>
    <w:rsid w:val="00E42F73"/>
    <w:rsid w:val="00E43048"/>
    <w:rsid w:val="00E4343B"/>
    <w:rsid w:val="00E43A71"/>
    <w:rsid w:val="00E43D70"/>
    <w:rsid w:val="00E46463"/>
    <w:rsid w:val="00E466F3"/>
    <w:rsid w:val="00E47B2C"/>
    <w:rsid w:val="00E51560"/>
    <w:rsid w:val="00E51821"/>
    <w:rsid w:val="00E53FC8"/>
    <w:rsid w:val="00E54347"/>
    <w:rsid w:val="00E55424"/>
    <w:rsid w:val="00E55915"/>
    <w:rsid w:val="00E55BB5"/>
    <w:rsid w:val="00E57876"/>
    <w:rsid w:val="00E611DF"/>
    <w:rsid w:val="00E61302"/>
    <w:rsid w:val="00E640E7"/>
    <w:rsid w:val="00E65629"/>
    <w:rsid w:val="00E65E79"/>
    <w:rsid w:val="00E66BA2"/>
    <w:rsid w:val="00E6738A"/>
    <w:rsid w:val="00E67416"/>
    <w:rsid w:val="00E718B6"/>
    <w:rsid w:val="00E71D46"/>
    <w:rsid w:val="00E723BA"/>
    <w:rsid w:val="00E7273D"/>
    <w:rsid w:val="00E73581"/>
    <w:rsid w:val="00E75087"/>
    <w:rsid w:val="00E806CE"/>
    <w:rsid w:val="00E817A5"/>
    <w:rsid w:val="00E82E5E"/>
    <w:rsid w:val="00E833F7"/>
    <w:rsid w:val="00E83BDF"/>
    <w:rsid w:val="00E86FCC"/>
    <w:rsid w:val="00E87A1D"/>
    <w:rsid w:val="00E90390"/>
    <w:rsid w:val="00E9094A"/>
    <w:rsid w:val="00E91858"/>
    <w:rsid w:val="00E91CC0"/>
    <w:rsid w:val="00E91D35"/>
    <w:rsid w:val="00E926A5"/>
    <w:rsid w:val="00E93BC4"/>
    <w:rsid w:val="00E962CC"/>
    <w:rsid w:val="00EA00CB"/>
    <w:rsid w:val="00EA17C3"/>
    <w:rsid w:val="00EA2CAA"/>
    <w:rsid w:val="00EA3864"/>
    <w:rsid w:val="00EA7F1C"/>
    <w:rsid w:val="00EB15B6"/>
    <w:rsid w:val="00EB208C"/>
    <w:rsid w:val="00EB3D06"/>
    <w:rsid w:val="00EB3F8B"/>
    <w:rsid w:val="00EB41B4"/>
    <w:rsid w:val="00EB4407"/>
    <w:rsid w:val="00EB4916"/>
    <w:rsid w:val="00EB5804"/>
    <w:rsid w:val="00EC00C9"/>
    <w:rsid w:val="00EC0DD9"/>
    <w:rsid w:val="00EC2379"/>
    <w:rsid w:val="00EC2649"/>
    <w:rsid w:val="00EC31ED"/>
    <w:rsid w:val="00EC51E1"/>
    <w:rsid w:val="00EC52A6"/>
    <w:rsid w:val="00EC5836"/>
    <w:rsid w:val="00EC688C"/>
    <w:rsid w:val="00EC699A"/>
    <w:rsid w:val="00EC7604"/>
    <w:rsid w:val="00ED07C2"/>
    <w:rsid w:val="00ED12E3"/>
    <w:rsid w:val="00ED4118"/>
    <w:rsid w:val="00ED4B04"/>
    <w:rsid w:val="00ED5569"/>
    <w:rsid w:val="00ED57EA"/>
    <w:rsid w:val="00ED5BD4"/>
    <w:rsid w:val="00ED7477"/>
    <w:rsid w:val="00EE07D3"/>
    <w:rsid w:val="00EE0858"/>
    <w:rsid w:val="00EE1996"/>
    <w:rsid w:val="00EE1C01"/>
    <w:rsid w:val="00EE1D04"/>
    <w:rsid w:val="00EE22AF"/>
    <w:rsid w:val="00EE50AE"/>
    <w:rsid w:val="00EE5184"/>
    <w:rsid w:val="00EE6473"/>
    <w:rsid w:val="00EF0171"/>
    <w:rsid w:val="00EF0334"/>
    <w:rsid w:val="00EF1B25"/>
    <w:rsid w:val="00EF1DA0"/>
    <w:rsid w:val="00EF2094"/>
    <w:rsid w:val="00EF3738"/>
    <w:rsid w:val="00EF3F91"/>
    <w:rsid w:val="00EF4747"/>
    <w:rsid w:val="00EF487F"/>
    <w:rsid w:val="00EF4BF8"/>
    <w:rsid w:val="00EF63DF"/>
    <w:rsid w:val="00EF668A"/>
    <w:rsid w:val="00EF6B11"/>
    <w:rsid w:val="00EF763A"/>
    <w:rsid w:val="00F02253"/>
    <w:rsid w:val="00F030C8"/>
    <w:rsid w:val="00F03C2E"/>
    <w:rsid w:val="00F03E09"/>
    <w:rsid w:val="00F04A66"/>
    <w:rsid w:val="00F04B4B"/>
    <w:rsid w:val="00F0516C"/>
    <w:rsid w:val="00F067A2"/>
    <w:rsid w:val="00F07B9E"/>
    <w:rsid w:val="00F1116F"/>
    <w:rsid w:val="00F1263A"/>
    <w:rsid w:val="00F12D7A"/>
    <w:rsid w:val="00F139C5"/>
    <w:rsid w:val="00F13DC4"/>
    <w:rsid w:val="00F15B77"/>
    <w:rsid w:val="00F17D93"/>
    <w:rsid w:val="00F21236"/>
    <w:rsid w:val="00F22F20"/>
    <w:rsid w:val="00F237A7"/>
    <w:rsid w:val="00F24837"/>
    <w:rsid w:val="00F2575F"/>
    <w:rsid w:val="00F27463"/>
    <w:rsid w:val="00F27565"/>
    <w:rsid w:val="00F3074F"/>
    <w:rsid w:val="00F310D4"/>
    <w:rsid w:val="00F31D5A"/>
    <w:rsid w:val="00F31F53"/>
    <w:rsid w:val="00F32E04"/>
    <w:rsid w:val="00F33975"/>
    <w:rsid w:val="00F33DE9"/>
    <w:rsid w:val="00F35BD0"/>
    <w:rsid w:val="00F35E6D"/>
    <w:rsid w:val="00F35EF4"/>
    <w:rsid w:val="00F3619A"/>
    <w:rsid w:val="00F374D2"/>
    <w:rsid w:val="00F37E47"/>
    <w:rsid w:val="00F40AAA"/>
    <w:rsid w:val="00F40BA7"/>
    <w:rsid w:val="00F40F9D"/>
    <w:rsid w:val="00F413AE"/>
    <w:rsid w:val="00F41ACD"/>
    <w:rsid w:val="00F42347"/>
    <w:rsid w:val="00F4358B"/>
    <w:rsid w:val="00F44B8B"/>
    <w:rsid w:val="00F46CB6"/>
    <w:rsid w:val="00F4756D"/>
    <w:rsid w:val="00F47DE8"/>
    <w:rsid w:val="00F512D8"/>
    <w:rsid w:val="00F542C1"/>
    <w:rsid w:val="00F550E3"/>
    <w:rsid w:val="00F55E73"/>
    <w:rsid w:val="00F55EDA"/>
    <w:rsid w:val="00F56C80"/>
    <w:rsid w:val="00F56CA4"/>
    <w:rsid w:val="00F5725F"/>
    <w:rsid w:val="00F5793E"/>
    <w:rsid w:val="00F57CD8"/>
    <w:rsid w:val="00F60092"/>
    <w:rsid w:val="00F61A09"/>
    <w:rsid w:val="00F61C18"/>
    <w:rsid w:val="00F61DCE"/>
    <w:rsid w:val="00F62F3F"/>
    <w:rsid w:val="00F63366"/>
    <w:rsid w:val="00F65F4B"/>
    <w:rsid w:val="00F66267"/>
    <w:rsid w:val="00F6671D"/>
    <w:rsid w:val="00F67A69"/>
    <w:rsid w:val="00F707CE"/>
    <w:rsid w:val="00F70BFF"/>
    <w:rsid w:val="00F70C9D"/>
    <w:rsid w:val="00F72EE1"/>
    <w:rsid w:val="00F72F4C"/>
    <w:rsid w:val="00F73261"/>
    <w:rsid w:val="00F73E08"/>
    <w:rsid w:val="00F7493A"/>
    <w:rsid w:val="00F74CD9"/>
    <w:rsid w:val="00F75D0D"/>
    <w:rsid w:val="00F7668E"/>
    <w:rsid w:val="00F80A7B"/>
    <w:rsid w:val="00F80E5D"/>
    <w:rsid w:val="00F81E78"/>
    <w:rsid w:val="00F83675"/>
    <w:rsid w:val="00F83916"/>
    <w:rsid w:val="00F842E8"/>
    <w:rsid w:val="00F851CE"/>
    <w:rsid w:val="00F87226"/>
    <w:rsid w:val="00F91219"/>
    <w:rsid w:val="00F91E6E"/>
    <w:rsid w:val="00F92444"/>
    <w:rsid w:val="00F92F67"/>
    <w:rsid w:val="00F9393E"/>
    <w:rsid w:val="00F93B0D"/>
    <w:rsid w:val="00F96FD0"/>
    <w:rsid w:val="00F97A78"/>
    <w:rsid w:val="00F97C57"/>
    <w:rsid w:val="00FA0B20"/>
    <w:rsid w:val="00FA0D15"/>
    <w:rsid w:val="00FA1C37"/>
    <w:rsid w:val="00FA24E7"/>
    <w:rsid w:val="00FA39BF"/>
    <w:rsid w:val="00FA5EE6"/>
    <w:rsid w:val="00FA7956"/>
    <w:rsid w:val="00FB001E"/>
    <w:rsid w:val="00FB023B"/>
    <w:rsid w:val="00FB0824"/>
    <w:rsid w:val="00FB0DED"/>
    <w:rsid w:val="00FB1C5B"/>
    <w:rsid w:val="00FB2FCB"/>
    <w:rsid w:val="00FB4C9C"/>
    <w:rsid w:val="00FB7C55"/>
    <w:rsid w:val="00FC1074"/>
    <w:rsid w:val="00FC1884"/>
    <w:rsid w:val="00FC371D"/>
    <w:rsid w:val="00FC3C25"/>
    <w:rsid w:val="00FC4F5A"/>
    <w:rsid w:val="00FC5F0B"/>
    <w:rsid w:val="00FD050D"/>
    <w:rsid w:val="00FD06F0"/>
    <w:rsid w:val="00FD2100"/>
    <w:rsid w:val="00FD2CFA"/>
    <w:rsid w:val="00FD436C"/>
    <w:rsid w:val="00FD446D"/>
    <w:rsid w:val="00FD49DC"/>
    <w:rsid w:val="00FD4F2C"/>
    <w:rsid w:val="00FD6394"/>
    <w:rsid w:val="00FD64E0"/>
    <w:rsid w:val="00FD7569"/>
    <w:rsid w:val="00FE0E6C"/>
    <w:rsid w:val="00FE0EB1"/>
    <w:rsid w:val="00FE1CDC"/>
    <w:rsid w:val="00FE3551"/>
    <w:rsid w:val="00FE48B4"/>
    <w:rsid w:val="00FE53F2"/>
    <w:rsid w:val="00FE70C3"/>
    <w:rsid w:val="00FF09BB"/>
    <w:rsid w:val="00FF10C6"/>
    <w:rsid w:val="00FF1A8B"/>
    <w:rsid w:val="00FF2A34"/>
    <w:rsid w:val="00FF2AD9"/>
    <w:rsid w:val="00FF359F"/>
    <w:rsid w:val="00FF3DCF"/>
    <w:rsid w:val="00FF492C"/>
    <w:rsid w:val="00FF4A21"/>
    <w:rsid w:val="00FF5AA3"/>
    <w:rsid w:val="00FF5AD8"/>
    <w:rsid w:val="00FF6695"/>
    <w:rsid w:val="00FF7C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4"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RTI AMCP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styleId="FootnoteText">
    <w:name w:val="footnote text"/>
    <w:basedOn w:val="Normal"/>
    <w:link w:val="FootnoteTextChar"/>
    <w:unhideWhenUsed/>
    <w:rsid w:val="0075460F"/>
    <w:rPr>
      <w:sz w:val="20"/>
      <w:szCs w:val="20"/>
    </w:rPr>
  </w:style>
  <w:style w:type="character" w:customStyle="1" w:styleId="FootnoteTextChar">
    <w:name w:val="Footnote Text Char"/>
    <w:basedOn w:val="DefaultParagraphFont"/>
    <w:link w:val="FootnoteText"/>
    <w:rsid w:val="0075460F"/>
    <w:rPr>
      <w:rFonts w:ascii="Calibri" w:hAnsi="Calibri" w:cs="Arial"/>
    </w:rPr>
  </w:style>
  <w:style w:type="character" w:styleId="FootnoteReference">
    <w:name w:val="footnote reference"/>
    <w:basedOn w:val="DefaultParagraphFont"/>
    <w:semiHidden/>
    <w:unhideWhenUsed/>
    <w:rsid w:val="0075460F"/>
    <w:rPr>
      <w:vertAlign w:val="superscript"/>
    </w:rPr>
  </w:style>
  <w:style w:type="character" w:customStyle="1" w:styleId="Heading4Char">
    <w:name w:val="Heading 4 Char"/>
    <w:basedOn w:val="DefaultParagraphFont"/>
    <w:link w:val="Heading4"/>
    <w:rsid w:val="00470872"/>
    <w:rPr>
      <w:rFonts w:ascii="Calibri" w:hAnsi="Calibri" w:cs="Arial"/>
      <w:b/>
      <w:bCs/>
      <w:i/>
      <w:sz w:val="26"/>
      <w:szCs w:val="28"/>
    </w:rPr>
  </w:style>
  <w:style w:type="character" w:customStyle="1" w:styleId="V50InstructionsChar">
    <w:name w:val="V5.0 Instructions Char"/>
    <w:basedOn w:val="DefaultParagraphFont"/>
    <w:link w:val="V50Instructions"/>
    <w:locked/>
    <w:rsid w:val="00470872"/>
    <w:rPr>
      <w:color w:val="4BACC6" w:themeColor="accent5"/>
      <w:sz w:val="24"/>
    </w:rPr>
  </w:style>
  <w:style w:type="paragraph" w:customStyle="1" w:styleId="V50Instructions">
    <w:name w:val="V5.0 Instructions"/>
    <w:basedOn w:val="Normal"/>
    <w:link w:val="V50InstructionsChar"/>
    <w:qFormat/>
    <w:rsid w:val="00470872"/>
    <w:pPr>
      <w:spacing w:before="120" w:after="160"/>
      <w:jc w:val="left"/>
    </w:pPr>
    <w:rPr>
      <w:rFonts w:ascii="Times New Roman" w:hAnsi="Times New Roman" w:cs="Times New Roman"/>
      <w:color w:val="4BACC6" w:themeColor="accent5"/>
      <w:szCs w:val="20"/>
    </w:rPr>
  </w:style>
  <w:style w:type="paragraph" w:customStyle="1" w:styleId="TableHeading0">
    <w:name w:val="Table Heading"/>
    <w:basedOn w:val="Normal"/>
    <w:link w:val="TableHeadingChar"/>
    <w:qFormat/>
    <w:rsid w:val="00470872"/>
    <w:pPr>
      <w:keepNext/>
      <w:spacing w:after="60"/>
      <w:jc w:val="left"/>
    </w:pPr>
    <w:rPr>
      <w:rFonts w:ascii="Arial Narrow" w:eastAsiaTheme="minorHAnsi" w:hAnsi="Arial Narrow" w:cstheme="minorBidi"/>
      <w:b/>
      <w:sz w:val="20"/>
      <w:szCs w:val="22"/>
      <w:lang w:eastAsia="en-US"/>
    </w:rPr>
  </w:style>
  <w:style w:type="table" w:customStyle="1" w:styleId="MSDAustralia">
    <w:name w:val="MSD Australia"/>
    <w:basedOn w:val="TableGrid"/>
    <w:uiPriority w:val="99"/>
    <w:rsid w:val="00470872"/>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ASDTable2">
    <w:name w:val="ASD Table2"/>
    <w:basedOn w:val="TableNormal"/>
    <w:next w:val="TableGrid"/>
    <w:uiPriority w:val="39"/>
    <w:rsid w:val="005158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ILILLYTABLE">
    <w:name w:val="ELI_LILLY TABLE"/>
    <w:basedOn w:val="TableNormal"/>
    <w:uiPriority w:val="99"/>
    <w:rsid w:val="001A293B"/>
    <w:pPr>
      <w:spacing w:before="20" w:after="20"/>
      <w:ind w:left="113" w:right="113"/>
    </w:pPr>
    <w:rPr>
      <w:rFonts w:ascii="Calibri" w:eastAsiaTheme="minorHAnsi" w:hAnsi="Calibr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hemeFill="background1" w:themeFillShade="F2"/>
      </w:tcPr>
    </w:tblStylePr>
  </w:style>
  <w:style w:type="character" w:customStyle="1" w:styleId="TableHeadingChar">
    <w:name w:val="Table Heading Char"/>
    <w:basedOn w:val="DefaultParagraphFont"/>
    <w:link w:val="TableHeading0"/>
    <w:locked/>
    <w:rsid w:val="004E000B"/>
    <w:rPr>
      <w:rFonts w:ascii="Arial Narrow" w:eastAsiaTheme="minorHAnsi" w:hAnsi="Arial Narrow" w:cstheme="minorBidi"/>
      <w:b/>
      <w:szCs w:val="22"/>
      <w:lang w:eastAsia="en-US"/>
    </w:rPr>
  </w:style>
  <w:style w:type="character" w:customStyle="1" w:styleId="UnresolvedMention1">
    <w:name w:val="Unresolved Mention1"/>
    <w:basedOn w:val="DefaultParagraphFont"/>
    <w:uiPriority w:val="99"/>
    <w:semiHidden/>
    <w:unhideWhenUsed/>
    <w:rsid w:val="00BA766A"/>
    <w:rPr>
      <w:color w:val="605E5C"/>
      <w:shd w:val="clear" w:color="auto" w:fill="E1DFDD"/>
    </w:rPr>
  </w:style>
  <w:style w:type="paragraph" w:customStyle="1" w:styleId="3-SubsectionHeading">
    <w:name w:val="3-Subsection Heading"/>
    <w:basedOn w:val="Heading2"/>
    <w:next w:val="Normal"/>
    <w:link w:val="3-SubsectionHeadingChar"/>
    <w:qFormat/>
    <w:rsid w:val="00054F3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54F33"/>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981243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7138814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2763198">
      <w:bodyDiv w:val="1"/>
      <w:marLeft w:val="0"/>
      <w:marRight w:val="0"/>
      <w:marTop w:val="0"/>
      <w:marBottom w:val="0"/>
      <w:divBdr>
        <w:top w:val="none" w:sz="0" w:space="0" w:color="auto"/>
        <w:left w:val="none" w:sz="0" w:space="0" w:color="auto"/>
        <w:bottom w:val="none" w:sz="0" w:space="0" w:color="auto"/>
        <w:right w:val="none" w:sz="0" w:space="0" w:color="auto"/>
      </w:divBdr>
      <w:divsChild>
        <w:div w:id="1503203991">
          <w:marLeft w:val="360"/>
          <w:marRight w:val="0"/>
          <w:marTop w:val="200"/>
          <w:marBottom w:val="0"/>
          <w:divBdr>
            <w:top w:val="none" w:sz="0" w:space="0" w:color="auto"/>
            <w:left w:val="none" w:sz="0" w:space="0" w:color="auto"/>
            <w:bottom w:val="none" w:sz="0" w:space="0" w:color="auto"/>
            <w:right w:val="none" w:sz="0" w:space="0" w:color="auto"/>
          </w:divBdr>
        </w:div>
      </w:divsChild>
    </w:div>
    <w:div w:id="150347390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166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07/relationships/hdphoto" Target="media/hdphoto1.wdp"/><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64D5A-9F91-4547-9751-119229467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22075</Words>
  <Characters>118959</Characters>
  <Application>Microsoft Office Word</Application>
  <DocSecurity>0</DocSecurity>
  <Lines>991</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2023-03-03T00:18:00Z</dcterms:created>
  <dcterms:modified xsi:type="dcterms:W3CDTF">2023-03-03T00:43:00Z</dcterms:modified>
</cp:coreProperties>
</file>