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83A11" w14:textId="6932CC5A" w:rsidR="00CC2233" w:rsidRPr="00C4404D" w:rsidRDefault="00CC2233" w:rsidP="00CC2233">
      <w:pPr>
        <w:pStyle w:val="1-MainHeading"/>
      </w:pPr>
      <w:bookmarkStart w:id="0" w:name="_Toc114048759"/>
      <w:bookmarkStart w:id="1" w:name="_Toc380746195"/>
      <w:bookmarkStart w:id="2" w:name="_Toc380746321"/>
      <w:bookmarkStart w:id="3" w:name="_Toc380746602"/>
      <w:r w:rsidRPr="00C4404D">
        <w:t>5.04</w:t>
      </w:r>
      <w:r w:rsidRPr="00C4404D">
        <w:tab/>
        <w:t>LENACAPAVIR,</w:t>
      </w:r>
      <w:r w:rsidRPr="00C4404D">
        <w:br/>
        <w:t>Tablet</w:t>
      </w:r>
      <w:r w:rsidR="00B27D3F">
        <w:t xml:space="preserve"> </w:t>
      </w:r>
      <w:r w:rsidRPr="00C4404D">
        <w:t>300mg,</w:t>
      </w:r>
      <w:r w:rsidRPr="00C4404D">
        <w:br/>
        <w:t>Pack containing 2 injection sets</w:t>
      </w:r>
      <w:r w:rsidR="00B27D3F">
        <w:t xml:space="preserve"> </w:t>
      </w:r>
      <w:r w:rsidRPr="00C4404D">
        <w:t>463.5mg in 1.5mL,</w:t>
      </w:r>
      <w:r w:rsidRPr="00C4404D">
        <w:br/>
        <w:t>Sunle</w:t>
      </w:r>
      <w:r w:rsidR="00E2392D" w:rsidRPr="00C4404D">
        <w:t>n</w:t>
      </w:r>
      <w:r w:rsidRPr="00C4404D">
        <w:t>ca</w:t>
      </w:r>
      <w:r w:rsidRPr="00C4404D">
        <w:rPr>
          <w:vertAlign w:val="superscript"/>
        </w:rPr>
        <w:t>®</w:t>
      </w:r>
      <w:r w:rsidRPr="00C4404D">
        <w:t>,</w:t>
      </w:r>
      <w:r w:rsidRPr="00C4404D">
        <w:br/>
        <w:t>Gilead Sciences Pty Limited.</w:t>
      </w:r>
      <w:bookmarkEnd w:id="0"/>
    </w:p>
    <w:p w14:paraId="246B1841" w14:textId="77777777" w:rsidR="00CC2233" w:rsidRPr="00C4404D" w:rsidRDefault="00CC2233" w:rsidP="004620C3">
      <w:pPr>
        <w:pStyle w:val="2-SectionHeading"/>
      </w:pPr>
      <w:bookmarkStart w:id="4" w:name="_Toc114048761"/>
      <w:r w:rsidRPr="00C4404D">
        <w:t>Purpose of submission</w:t>
      </w:r>
      <w:bookmarkEnd w:id="4"/>
    </w:p>
    <w:p w14:paraId="3B8E438A" w14:textId="62C2129E" w:rsidR="00CC2233" w:rsidRPr="00C4404D" w:rsidRDefault="00CC2233" w:rsidP="00E30033">
      <w:pPr>
        <w:pStyle w:val="3-BodyText"/>
        <w:numPr>
          <w:ilvl w:val="1"/>
          <w:numId w:val="40"/>
        </w:numPr>
      </w:pPr>
      <w:r w:rsidRPr="00C4404D">
        <w:t>The Category 1 submission requested Section 100 (Highly Specialised Drugs Program) and Section 100 (Highly Specialised Drugs Program – Community Access) Authority Required (STREAMLINED) listing for the treatment of patients with highly multi-drug resistant human immunodeficiency virus type 1</w:t>
      </w:r>
      <w:r w:rsidR="00D70E6C">
        <w:t xml:space="preserve"> (HIV-1)</w:t>
      </w:r>
      <w:r w:rsidRPr="00C4404D">
        <w:t xml:space="preserve"> infection.</w:t>
      </w:r>
      <w:r w:rsidR="00F67586">
        <w:t xml:space="preserve"> </w:t>
      </w:r>
    </w:p>
    <w:p w14:paraId="3709CE56" w14:textId="39BE5A0B" w:rsidR="00CC2233" w:rsidRPr="00C4404D" w:rsidRDefault="00CC2233" w:rsidP="00CC2233">
      <w:pPr>
        <w:pStyle w:val="3-BodyText"/>
      </w:pPr>
      <w:r w:rsidRPr="00C4404D">
        <w:t xml:space="preserve">Listing was requested on the basis of a cost-effectiveness analysis of lenacapavir in combination with </w:t>
      </w:r>
      <w:r w:rsidR="00F67586">
        <w:t xml:space="preserve">an </w:t>
      </w:r>
      <w:r w:rsidRPr="00C4404D">
        <w:t xml:space="preserve">optimised background </w:t>
      </w:r>
      <w:r w:rsidR="00E2392D" w:rsidRPr="00C4404D">
        <w:t xml:space="preserve">regimen </w:t>
      </w:r>
      <w:r w:rsidRPr="00C4404D">
        <w:t>(OBR) versus OBR</w:t>
      </w:r>
      <w:r w:rsidR="00AB360B">
        <w:t>.</w:t>
      </w:r>
      <w:r w:rsidRPr="00C4404D">
        <w:t xml:space="preserve"> </w:t>
      </w:r>
    </w:p>
    <w:p w14:paraId="0E3D98A1" w14:textId="7DCBA3D3" w:rsidR="00CC2233" w:rsidRPr="00C4404D" w:rsidRDefault="00CC2233" w:rsidP="00CC2233">
      <w:pPr>
        <w:pStyle w:val="TableFigureHeading"/>
        <w:rPr>
          <w:rStyle w:val="CommentReference"/>
          <w:b/>
          <w:szCs w:val="24"/>
        </w:rPr>
      </w:pPr>
      <w:bookmarkStart w:id="5" w:name="_Ref113277289"/>
      <w:r w:rsidRPr="00C4404D">
        <w:t xml:space="preserve">Table </w:t>
      </w:r>
      <w:fldSimple w:instr=" SEQ Table \* ARABIC ">
        <w:r w:rsidR="0050086F">
          <w:rPr>
            <w:noProof/>
          </w:rPr>
          <w:t>1</w:t>
        </w:r>
      </w:fldSimple>
      <w:bookmarkEnd w:id="5"/>
      <w:r w:rsidRPr="00C4404D">
        <w:t>:</w:t>
      </w:r>
      <w:r w:rsidRPr="00C4404D">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CC2233" w:rsidRPr="00C4404D" w14:paraId="62A7B217" w14:textId="77777777" w:rsidTr="00C07D9A">
        <w:tc>
          <w:tcPr>
            <w:tcW w:w="911" w:type="pct"/>
            <w:vAlign w:val="center"/>
          </w:tcPr>
          <w:p w14:paraId="6C1514BA" w14:textId="77777777" w:rsidR="00CC2233" w:rsidRPr="00C4404D" w:rsidRDefault="00CC2233" w:rsidP="00700BF0">
            <w:pPr>
              <w:pStyle w:val="In-tableHeading"/>
              <w:rPr>
                <w:lang w:val="en-AU"/>
              </w:rPr>
            </w:pPr>
            <w:r w:rsidRPr="00C4404D">
              <w:rPr>
                <w:lang w:val="en-AU"/>
              </w:rPr>
              <w:t>Component</w:t>
            </w:r>
          </w:p>
        </w:tc>
        <w:tc>
          <w:tcPr>
            <w:tcW w:w="4089" w:type="pct"/>
            <w:vAlign w:val="center"/>
          </w:tcPr>
          <w:p w14:paraId="7FC92545" w14:textId="77777777" w:rsidR="00CC2233" w:rsidRPr="00C4404D" w:rsidRDefault="00CC2233" w:rsidP="00700BF0">
            <w:pPr>
              <w:pStyle w:val="In-tableHeading"/>
              <w:rPr>
                <w:lang w:val="en-AU"/>
              </w:rPr>
            </w:pPr>
            <w:r w:rsidRPr="00C4404D">
              <w:rPr>
                <w:lang w:val="en-AU"/>
              </w:rPr>
              <w:t>Description</w:t>
            </w:r>
          </w:p>
        </w:tc>
      </w:tr>
      <w:tr w:rsidR="00CC2233" w:rsidRPr="00C4404D" w14:paraId="42D2BAD2" w14:textId="77777777" w:rsidTr="00C07D9A">
        <w:tc>
          <w:tcPr>
            <w:tcW w:w="911" w:type="pct"/>
            <w:vAlign w:val="center"/>
          </w:tcPr>
          <w:p w14:paraId="5667F718" w14:textId="77777777" w:rsidR="00CC2233" w:rsidRPr="00C4404D" w:rsidRDefault="00CC2233" w:rsidP="00700BF0">
            <w:pPr>
              <w:pStyle w:val="TableText0"/>
            </w:pPr>
            <w:r w:rsidRPr="00C4404D">
              <w:t>Population</w:t>
            </w:r>
          </w:p>
        </w:tc>
        <w:tc>
          <w:tcPr>
            <w:tcW w:w="4089" w:type="pct"/>
            <w:vAlign w:val="center"/>
          </w:tcPr>
          <w:p w14:paraId="6D7F2C48" w14:textId="1F2D79A2" w:rsidR="00CC2233" w:rsidRPr="00C4404D" w:rsidRDefault="00CC2233" w:rsidP="00700BF0">
            <w:pPr>
              <w:pStyle w:val="TableText0"/>
              <w:rPr>
                <w:vertAlign w:val="superscript"/>
              </w:rPr>
            </w:pPr>
            <w:r w:rsidRPr="00C4404D">
              <w:t xml:space="preserve">HIV-1 patients with highly multidrug resistant </w:t>
            </w:r>
            <w:r w:rsidR="00517860" w:rsidRPr="00C4404D">
              <w:t xml:space="preserve">(MDR) </w:t>
            </w:r>
            <w:r w:rsidRPr="00C4404D">
              <w:t>HIV who have no more than two fully active ARVs remaining from the four main classes that can be effectively combined to form a viable regimen</w:t>
            </w:r>
            <w:r w:rsidRPr="00C4404D">
              <w:rPr>
                <w:vertAlign w:val="superscript"/>
              </w:rPr>
              <w:t>a</w:t>
            </w:r>
          </w:p>
        </w:tc>
      </w:tr>
      <w:tr w:rsidR="00CC2233" w:rsidRPr="00C4404D" w14:paraId="0F752611" w14:textId="77777777" w:rsidTr="00C07D9A">
        <w:tc>
          <w:tcPr>
            <w:tcW w:w="911" w:type="pct"/>
            <w:vAlign w:val="center"/>
          </w:tcPr>
          <w:p w14:paraId="2955DD16" w14:textId="77777777" w:rsidR="00CC2233" w:rsidRPr="00C4404D" w:rsidRDefault="00CC2233" w:rsidP="00700BF0">
            <w:pPr>
              <w:pStyle w:val="TableText0"/>
            </w:pPr>
            <w:r w:rsidRPr="00C4404D">
              <w:t>Intervention</w:t>
            </w:r>
          </w:p>
        </w:tc>
        <w:tc>
          <w:tcPr>
            <w:tcW w:w="4089" w:type="pct"/>
            <w:vAlign w:val="center"/>
          </w:tcPr>
          <w:p w14:paraId="5E0F63D1" w14:textId="24169125" w:rsidR="00CC2233" w:rsidRPr="00C4404D" w:rsidRDefault="00CC2233" w:rsidP="00700BF0">
            <w:pPr>
              <w:pStyle w:val="TableText0"/>
            </w:pPr>
            <w:r w:rsidRPr="00C4404D">
              <w:t xml:space="preserve">Lenacapavir </w:t>
            </w:r>
            <w:r w:rsidR="009C69AD">
              <w:t xml:space="preserve">(600mg orally </w:t>
            </w:r>
            <w:r w:rsidR="00572D60">
              <w:t xml:space="preserve">plus 927mg injected subcutaneously </w:t>
            </w:r>
            <w:r w:rsidR="009C69AD">
              <w:t>on day 1</w:t>
            </w:r>
            <w:r w:rsidR="00572D60">
              <w:t>, 600mg orally day 2</w:t>
            </w:r>
            <w:r w:rsidR="00B37505">
              <w:t xml:space="preserve"> and then 927mg injected subcutaneously every 6 months thereafter</w:t>
            </w:r>
            <w:r w:rsidR="00572D60">
              <w:t>)</w:t>
            </w:r>
            <w:r w:rsidR="009C69AD">
              <w:t xml:space="preserve"> </w:t>
            </w:r>
            <w:r w:rsidRPr="00C4404D">
              <w:t>+ OBR</w:t>
            </w:r>
          </w:p>
        </w:tc>
      </w:tr>
      <w:tr w:rsidR="00CC2233" w:rsidRPr="00C4404D" w14:paraId="0F49D25A" w14:textId="77777777" w:rsidTr="00C07D9A">
        <w:tc>
          <w:tcPr>
            <w:tcW w:w="911" w:type="pct"/>
            <w:vAlign w:val="center"/>
          </w:tcPr>
          <w:p w14:paraId="1C420530" w14:textId="77777777" w:rsidR="00CC2233" w:rsidRPr="00C4404D" w:rsidRDefault="00CC2233" w:rsidP="00700BF0">
            <w:pPr>
              <w:pStyle w:val="TableText0"/>
            </w:pPr>
            <w:r w:rsidRPr="00C4404D">
              <w:t>Comparator</w:t>
            </w:r>
          </w:p>
        </w:tc>
        <w:tc>
          <w:tcPr>
            <w:tcW w:w="4089" w:type="pct"/>
            <w:vAlign w:val="center"/>
          </w:tcPr>
          <w:p w14:paraId="2BCDBFF5" w14:textId="77777777" w:rsidR="00CC2233" w:rsidRPr="00C4404D" w:rsidRDefault="00CC2233" w:rsidP="00700BF0">
            <w:pPr>
              <w:pStyle w:val="TableText0"/>
            </w:pPr>
            <w:r w:rsidRPr="00C4404D">
              <w:t xml:space="preserve">Placebo + OBR  </w:t>
            </w:r>
          </w:p>
        </w:tc>
      </w:tr>
      <w:tr w:rsidR="00CC2233" w:rsidRPr="00C4404D" w14:paraId="60E4C571" w14:textId="77777777" w:rsidTr="00C07D9A">
        <w:tc>
          <w:tcPr>
            <w:tcW w:w="911" w:type="pct"/>
            <w:vAlign w:val="center"/>
          </w:tcPr>
          <w:p w14:paraId="1E1790F4" w14:textId="77777777" w:rsidR="00CC2233" w:rsidRPr="00C4404D" w:rsidRDefault="00CC2233" w:rsidP="00700BF0">
            <w:pPr>
              <w:pStyle w:val="TableText0"/>
            </w:pPr>
            <w:r w:rsidRPr="00C4404D">
              <w:t>Outcomes</w:t>
            </w:r>
          </w:p>
        </w:tc>
        <w:tc>
          <w:tcPr>
            <w:tcW w:w="4089" w:type="pct"/>
            <w:vAlign w:val="center"/>
          </w:tcPr>
          <w:p w14:paraId="09209458" w14:textId="5ED7A76F" w:rsidR="00CC2233" w:rsidRPr="00C4404D" w:rsidRDefault="00CC2233" w:rsidP="00700BF0">
            <w:pPr>
              <w:pStyle w:val="TableText0"/>
            </w:pPr>
            <w:r w:rsidRPr="00C4404D">
              <w:rPr>
                <w:u w:val="single"/>
              </w:rPr>
              <w:t>Primary:</w:t>
            </w:r>
            <w:r w:rsidRPr="00C4404D">
              <w:t xml:space="preserve"> </w:t>
            </w:r>
            <w:r w:rsidR="00377203">
              <w:t>R</w:t>
            </w:r>
            <w:r w:rsidRPr="00C4404D">
              <w:t>eduction in HIV-1 RNA of ≥ 0.5 log10 copies/mL at 14 days</w:t>
            </w:r>
            <w:r w:rsidR="00377203">
              <w:t>.</w:t>
            </w:r>
          </w:p>
          <w:p w14:paraId="70F83C19" w14:textId="123F27D7" w:rsidR="00CC2233" w:rsidRPr="00C4404D" w:rsidRDefault="00CC2233" w:rsidP="00700BF0">
            <w:pPr>
              <w:pStyle w:val="TableText0"/>
            </w:pPr>
            <w:r w:rsidRPr="00C4404D">
              <w:rPr>
                <w:u w:val="single"/>
              </w:rPr>
              <w:t xml:space="preserve">Secondary: </w:t>
            </w:r>
            <w:r w:rsidRPr="00C4404D">
              <w:t>Virologic suppression</w:t>
            </w:r>
            <w:r w:rsidR="00543D27">
              <w:t>,</w:t>
            </w:r>
            <w:r w:rsidRPr="00C4404D">
              <w:t xml:space="preserve"> defined as HIV-1 RNA &lt; 50 copies/mL and &lt; 200 copies/mL through 52 weeks of treatment</w:t>
            </w:r>
          </w:p>
          <w:p w14:paraId="7E2680CA" w14:textId="1BE826C5" w:rsidR="00CC2233" w:rsidRPr="00C4404D" w:rsidRDefault="00CC2233" w:rsidP="00700BF0">
            <w:pPr>
              <w:pStyle w:val="TableText0"/>
            </w:pPr>
            <w:r w:rsidRPr="00C4404D">
              <w:t>Change from baseline in CD cells/mm</w:t>
            </w:r>
            <w:r w:rsidRPr="00C4404D">
              <w:rPr>
                <w:vertAlign w:val="superscript"/>
              </w:rPr>
              <w:t>3</w:t>
            </w:r>
          </w:p>
          <w:p w14:paraId="2627D360" w14:textId="0D4E3C91" w:rsidR="00CC2233" w:rsidRPr="00C4404D" w:rsidRDefault="00CC2233" w:rsidP="00700BF0">
            <w:pPr>
              <w:pStyle w:val="TableText0"/>
            </w:pPr>
            <w:r w:rsidRPr="00C4404D">
              <w:t>Adverse events</w:t>
            </w:r>
          </w:p>
        </w:tc>
      </w:tr>
      <w:tr w:rsidR="00CC2233" w:rsidRPr="00C4404D" w14:paraId="575CF706" w14:textId="77777777" w:rsidTr="00C07D9A">
        <w:tc>
          <w:tcPr>
            <w:tcW w:w="911" w:type="pct"/>
            <w:vAlign w:val="center"/>
          </w:tcPr>
          <w:p w14:paraId="43776966" w14:textId="77777777" w:rsidR="00CC2233" w:rsidRPr="00C4404D" w:rsidRDefault="00CC2233" w:rsidP="00700BF0">
            <w:pPr>
              <w:pStyle w:val="TableText0"/>
            </w:pPr>
            <w:r w:rsidRPr="00C4404D">
              <w:t>Clinical claim</w:t>
            </w:r>
          </w:p>
        </w:tc>
        <w:tc>
          <w:tcPr>
            <w:tcW w:w="4089" w:type="pct"/>
            <w:vAlign w:val="center"/>
          </w:tcPr>
          <w:p w14:paraId="571356BA" w14:textId="1CA19FDD" w:rsidR="00CC2233" w:rsidRPr="00C4404D" w:rsidRDefault="00CC2233" w:rsidP="00700BF0">
            <w:pPr>
              <w:pStyle w:val="TableText0"/>
            </w:pPr>
            <w:r w:rsidRPr="00C4404D">
              <w:t>Lenacapavir, in addition to OBR, demonstrates superior comparative effectiveness compared with OBR (placebo + OBR) in PLWH who are highly MDR.</w:t>
            </w:r>
          </w:p>
          <w:p w14:paraId="1BF31442" w14:textId="7F7E9DE6" w:rsidR="00CC2233" w:rsidRPr="00C4404D" w:rsidRDefault="00CC2233" w:rsidP="00700BF0">
            <w:pPr>
              <w:pStyle w:val="TableText0"/>
            </w:pPr>
            <w:r w:rsidRPr="00C4404D">
              <w:t>Lenacapavir in addition to OBR demonstrates a non-inferior safety profile with OBR (placebo + OBR) in PLWH who are highly MDR.</w:t>
            </w:r>
          </w:p>
        </w:tc>
      </w:tr>
    </w:tbl>
    <w:p w14:paraId="247D9339" w14:textId="77777777" w:rsidR="00CC2233" w:rsidRPr="00C4404D" w:rsidRDefault="00CC2233" w:rsidP="00CC2233">
      <w:pPr>
        <w:pStyle w:val="FooterTableFigure"/>
      </w:pPr>
      <w:r w:rsidRPr="00C4404D">
        <w:t>Source: Table 1-1, p3 of the submission.</w:t>
      </w:r>
    </w:p>
    <w:p w14:paraId="0085B6B8" w14:textId="2E9FFB04" w:rsidR="00CC2233" w:rsidRPr="00C4404D" w:rsidRDefault="00CC2233" w:rsidP="00CC2233">
      <w:pPr>
        <w:pStyle w:val="FooterTableFigure"/>
      </w:pPr>
      <w:r w:rsidRPr="00C4404D">
        <w:t>ARV</w:t>
      </w:r>
      <w:r w:rsidR="007A5FFB">
        <w:t xml:space="preserve"> =</w:t>
      </w:r>
      <w:r w:rsidRPr="00C4404D">
        <w:t xml:space="preserve"> Antiretrovirals; </w:t>
      </w:r>
      <w:r w:rsidR="00C043A9" w:rsidRPr="00C4404D">
        <w:t>HIV</w:t>
      </w:r>
      <w:r w:rsidR="007A5FFB">
        <w:t xml:space="preserve"> =</w:t>
      </w:r>
      <w:r w:rsidR="00C043A9" w:rsidRPr="00C4404D">
        <w:t xml:space="preserve"> Human Immunodeficiency Virus; </w:t>
      </w:r>
      <w:r w:rsidRPr="00C4404D">
        <w:t>HIV-1 RNA</w:t>
      </w:r>
      <w:r w:rsidR="007A5FFB">
        <w:t xml:space="preserve"> =</w:t>
      </w:r>
      <w:r w:rsidRPr="00C4404D">
        <w:t xml:space="preserve"> Human Immunodeficiency Virus 1 Ribonucleic Acid, MDR</w:t>
      </w:r>
      <w:r w:rsidR="007A5FFB">
        <w:t xml:space="preserve"> =</w:t>
      </w:r>
      <w:r w:rsidRPr="00C4404D">
        <w:t xml:space="preserve"> multidrug resistant, OBR</w:t>
      </w:r>
      <w:r w:rsidR="007A5FFB">
        <w:t xml:space="preserve"> =</w:t>
      </w:r>
      <w:r w:rsidRPr="00C4404D">
        <w:t xml:space="preserve"> Optimised Background Regimen, PLWH</w:t>
      </w:r>
      <w:r w:rsidR="007A5FFB">
        <w:t xml:space="preserve"> =</w:t>
      </w:r>
      <w:r w:rsidRPr="00C4404D">
        <w:t xml:space="preserve"> people living with HIV.</w:t>
      </w:r>
    </w:p>
    <w:p w14:paraId="5F24BC31" w14:textId="3E16C7A4" w:rsidR="00CC2233" w:rsidRPr="00C4404D" w:rsidRDefault="00CC2233" w:rsidP="008D419C">
      <w:pPr>
        <w:pStyle w:val="FooterTableFigure"/>
      </w:pPr>
      <w:r w:rsidRPr="00867FDD">
        <w:t>a</w:t>
      </w:r>
      <w:r w:rsidR="00941BD9">
        <w:rPr>
          <w:vertAlign w:val="superscript"/>
        </w:rPr>
        <w:t xml:space="preserve"> </w:t>
      </w:r>
      <w:r w:rsidRPr="00C4404D">
        <w:t>Main classes of ARV include Nucleoside and nucleotide reverse transcriptase inhibitors (NRTIs), non-nucleoside reverse transcriptase</w:t>
      </w:r>
      <w:r w:rsidR="008D419C">
        <w:t xml:space="preserve"> </w:t>
      </w:r>
      <w:r w:rsidRPr="00C4404D">
        <w:t>inhibitors (NNRTI</w:t>
      </w:r>
      <w:r w:rsidR="00AB360B">
        <w:t>s</w:t>
      </w:r>
      <w:r w:rsidRPr="00C4404D">
        <w:t>), integrase strand transfer inhibitors (INSTI</w:t>
      </w:r>
      <w:r w:rsidR="00AB360B">
        <w:t>s</w:t>
      </w:r>
      <w:r w:rsidRPr="00C4404D">
        <w:t>) and protease inhibitor (PI) resistant mutants</w:t>
      </w:r>
    </w:p>
    <w:p w14:paraId="1F548878" w14:textId="77777777" w:rsidR="00CC2233" w:rsidRPr="00C4404D" w:rsidRDefault="00CC2233" w:rsidP="00CC2233">
      <w:pPr>
        <w:pStyle w:val="2-SectionHeading"/>
      </w:pPr>
      <w:bookmarkStart w:id="6" w:name="_Toc114048762"/>
      <w:r w:rsidRPr="00C4404D">
        <w:t>Background</w:t>
      </w:r>
      <w:bookmarkEnd w:id="6"/>
    </w:p>
    <w:p w14:paraId="09042B87" w14:textId="77777777" w:rsidR="00CC2233" w:rsidRPr="00C4404D" w:rsidRDefault="00CC2233" w:rsidP="00CC2233">
      <w:pPr>
        <w:pStyle w:val="4-SubsectionHeading"/>
      </w:pPr>
      <w:bookmarkStart w:id="7" w:name="_Toc22897638"/>
      <w:bookmarkStart w:id="8" w:name="_Toc114048763"/>
      <w:r w:rsidRPr="00C4404D">
        <w:t>Registration status</w:t>
      </w:r>
      <w:bookmarkEnd w:id="7"/>
      <w:bookmarkEnd w:id="8"/>
    </w:p>
    <w:p w14:paraId="19100072" w14:textId="2F79F397" w:rsidR="00156EAD" w:rsidRPr="00543D27" w:rsidRDefault="00CC2233" w:rsidP="00E30033">
      <w:pPr>
        <w:pStyle w:val="3-BodyText"/>
        <w:numPr>
          <w:ilvl w:val="1"/>
          <w:numId w:val="41"/>
        </w:numPr>
      </w:pPr>
      <w:r w:rsidRPr="00543D27">
        <w:t xml:space="preserve">The submission was made under the TGA/PBAC Parallel Process. </w:t>
      </w:r>
      <w:r w:rsidR="00003CF2" w:rsidRPr="00543D27">
        <w:t xml:space="preserve">At the time of </w:t>
      </w:r>
      <w:r w:rsidR="0021006B" w:rsidRPr="00543D27">
        <w:t>PBAC consideration</w:t>
      </w:r>
      <w:r w:rsidR="00003CF2" w:rsidRPr="00543D27">
        <w:t>, the Clinical Evaluation Report was available.</w:t>
      </w:r>
      <w:r w:rsidR="007F3195" w:rsidRPr="00E30033">
        <w:rPr>
          <w:rFonts w:ascii="Calibri" w:eastAsia="Calibri" w:hAnsi="Calibri"/>
          <w:szCs w:val="22"/>
        </w:rPr>
        <w:t xml:space="preserve"> </w:t>
      </w:r>
      <w:r w:rsidR="0021006B" w:rsidRPr="00543D27">
        <w:t xml:space="preserve">The Sponsor advised prior to the PBAC meeting a </w:t>
      </w:r>
      <w:r w:rsidR="001328F0" w:rsidRPr="0050086F">
        <w:rPr>
          <w:color w:val="000000"/>
          <w:w w:val="15"/>
          <w:shd w:val="solid" w:color="000000" w:fill="000000"/>
          <w:fitText w:val="-20" w:id="-1290615808"/>
          <w14:textFill>
            <w14:solidFill>
              <w14:srgbClr w14:val="000000">
                <w14:alpha w14:val="100000"/>
              </w14:srgbClr>
            </w14:solidFill>
          </w14:textFill>
        </w:rPr>
        <w:t xml:space="preserve">|  </w:t>
      </w:r>
      <w:r w:rsidR="001328F0" w:rsidRPr="0050086F">
        <w:rPr>
          <w:color w:val="000000"/>
          <w:spacing w:val="-69"/>
          <w:w w:val="15"/>
          <w:shd w:val="solid" w:color="000000" w:fill="000000"/>
          <w:fitText w:val="-20" w:id="-1290615808"/>
          <w14:textFill>
            <w14:solidFill>
              <w14:srgbClr w14:val="000000">
                <w14:alpha w14:val="100000"/>
              </w14:srgbClr>
            </w14:solidFill>
          </w14:textFill>
        </w:rPr>
        <w:t>|</w:t>
      </w:r>
      <w:r w:rsidR="000E333A" w:rsidRPr="000E333A">
        <w:t xml:space="preserve"> </w:t>
      </w:r>
      <w:r w:rsidR="001328F0" w:rsidRPr="0050086F">
        <w:rPr>
          <w:color w:val="000000"/>
          <w:w w:val="15"/>
          <w:shd w:val="solid" w:color="000000" w:fill="000000"/>
          <w:fitText w:val="-20" w:id="-1290615807"/>
          <w14:textFill>
            <w14:solidFill>
              <w14:srgbClr w14:val="000000">
                <w14:alpha w14:val="100000"/>
              </w14:srgbClr>
            </w14:solidFill>
          </w14:textFill>
        </w:rPr>
        <w:t xml:space="preserve">|  </w:t>
      </w:r>
      <w:r w:rsidR="001328F0" w:rsidRPr="0050086F">
        <w:rPr>
          <w:color w:val="000000"/>
          <w:spacing w:val="-69"/>
          <w:w w:val="15"/>
          <w:shd w:val="solid" w:color="000000" w:fill="000000"/>
          <w:fitText w:val="-20" w:id="-1290615807"/>
          <w14:textFill>
            <w14:solidFill>
              <w14:srgbClr w14:val="000000">
                <w14:alpha w14:val="100000"/>
              </w14:srgbClr>
            </w14:solidFill>
          </w14:textFill>
        </w:rPr>
        <w:t>|</w:t>
      </w:r>
      <w:r w:rsidR="000E333A" w:rsidRPr="000E333A">
        <w:t xml:space="preserve"> </w:t>
      </w:r>
      <w:r w:rsidR="001328F0" w:rsidRPr="0050086F">
        <w:rPr>
          <w:color w:val="000000"/>
          <w:w w:val="15"/>
          <w:shd w:val="solid" w:color="000000" w:fill="000000"/>
          <w:fitText w:val="-20" w:id="-1290615806"/>
          <w14:textFill>
            <w14:solidFill>
              <w14:srgbClr w14:val="000000">
                <w14:alpha w14:val="100000"/>
              </w14:srgbClr>
            </w14:solidFill>
          </w14:textFill>
        </w:rPr>
        <w:t xml:space="preserve">|  </w:t>
      </w:r>
      <w:r w:rsidR="001328F0" w:rsidRPr="0050086F">
        <w:rPr>
          <w:color w:val="000000"/>
          <w:spacing w:val="-69"/>
          <w:w w:val="15"/>
          <w:shd w:val="solid" w:color="000000" w:fill="000000"/>
          <w:fitText w:val="-20" w:id="-1290615806"/>
          <w14:textFill>
            <w14:solidFill>
              <w14:srgbClr w14:val="000000">
                <w14:alpha w14:val="100000"/>
              </w14:srgbClr>
            </w14:solidFill>
          </w14:textFill>
        </w:rPr>
        <w:t>|</w:t>
      </w:r>
      <w:r w:rsidR="0021006B" w:rsidRPr="00543D27">
        <w:t xml:space="preserve"> had been applied and the TGA Delegate’s Overview would not be available prior to PBAC consideration</w:t>
      </w:r>
      <w:r w:rsidRPr="00543D27">
        <w:t xml:space="preserve">. Lenacapavir </w:t>
      </w:r>
      <w:r w:rsidR="00AB360B" w:rsidRPr="00543D27">
        <w:t>i</w:t>
      </w:r>
      <w:r w:rsidRPr="00543D27">
        <w:t>s being evaluated under priority review</w:t>
      </w:r>
      <w:r w:rsidR="00156EAD" w:rsidRPr="00543D27">
        <w:t xml:space="preserve"> for the following indication:</w:t>
      </w:r>
    </w:p>
    <w:p w14:paraId="60CA4745" w14:textId="1C5BF811" w:rsidR="00156EAD" w:rsidRPr="00C4404D" w:rsidRDefault="00156EAD" w:rsidP="00735FA4">
      <w:pPr>
        <w:pStyle w:val="ListParagraph"/>
        <w:numPr>
          <w:ilvl w:val="0"/>
          <w:numId w:val="7"/>
        </w:numPr>
        <w:ind w:left="993" w:hanging="284"/>
      </w:pPr>
      <w:r w:rsidRPr="00C4404D">
        <w:lastRenderedPageBreak/>
        <w:t>In combination with other antiretroviral(s), for the treatment of human immunodeficiency virus type 1 (HIV-1) infection in adults and paediatrics weighing at least 35 kg with multidrug-resistant HIV-1 infection failing their current antiretroviral regimen due to resistance, intolerance, or safety considerations</w:t>
      </w:r>
      <w:r w:rsidR="00AB360B">
        <w:t>.</w:t>
      </w:r>
    </w:p>
    <w:p w14:paraId="157F4650" w14:textId="046C7137" w:rsidR="00CC2233" w:rsidRPr="00C4404D" w:rsidRDefault="00CC2233" w:rsidP="00CC2233">
      <w:pPr>
        <w:pStyle w:val="3-BodyText"/>
      </w:pPr>
      <w:r w:rsidRPr="00C4404D">
        <w:t>The submission state</w:t>
      </w:r>
      <w:r w:rsidR="002B28A1">
        <w:t>d</w:t>
      </w:r>
      <w:r w:rsidRPr="00C4404D">
        <w:t xml:space="preserve"> that </w:t>
      </w:r>
      <w:r w:rsidR="003F1D58">
        <w:t>t</w:t>
      </w:r>
      <w:r w:rsidR="003F1D58" w:rsidRPr="00C4404D">
        <w:t xml:space="preserve">he </w:t>
      </w:r>
      <w:r w:rsidRPr="00C4404D">
        <w:t xml:space="preserve">Committee for Medicinal Products for Human Use (CHMP) approved the marketing authorisation for lenacapavir in the European Union (EU) at its 20-23 June 2022 meeting. </w:t>
      </w:r>
      <w:r w:rsidR="002B28A1">
        <w:t>L</w:t>
      </w:r>
      <w:r w:rsidRPr="00C4404D">
        <w:t>enacapavir is currently being reviewed for marketing authorisation in the United States, Canada and Switzerland</w:t>
      </w:r>
      <w:r w:rsidR="00F67586">
        <w:t>.</w:t>
      </w:r>
    </w:p>
    <w:p w14:paraId="4EB91BC9" w14:textId="254191AE" w:rsidR="00CC2233" w:rsidRDefault="00CC2233" w:rsidP="00CC2233">
      <w:pPr>
        <w:pStyle w:val="2-SectionHeading"/>
      </w:pPr>
      <w:bookmarkStart w:id="9" w:name="_Toc107902078"/>
      <w:bookmarkStart w:id="10" w:name="_Toc114048764"/>
      <w:bookmarkEnd w:id="9"/>
      <w:r w:rsidRPr="00C4404D">
        <w:t>Requested listing</w:t>
      </w:r>
      <w:bookmarkEnd w:id="10"/>
    </w:p>
    <w:p w14:paraId="1EBED902" w14:textId="4087E1A3" w:rsidR="00C761BE" w:rsidRPr="00C4404D" w:rsidRDefault="00C761BE" w:rsidP="00E30033">
      <w:pPr>
        <w:pStyle w:val="3-BodyText"/>
        <w:numPr>
          <w:ilvl w:val="1"/>
          <w:numId w:val="42"/>
        </w:numPr>
      </w:pPr>
      <w:r>
        <w:t xml:space="preserve">The requested listing is presented in the table below. </w:t>
      </w:r>
      <w:r w:rsidRPr="00E30033">
        <w:rPr>
          <w:rFonts w:cstheme="minorHAnsi"/>
          <w:iCs/>
        </w:rPr>
        <w:t xml:space="preserve">Suggestions and additions proposed by the Secretariat are added in </w:t>
      </w:r>
      <w:r w:rsidRPr="00E30033">
        <w:rPr>
          <w:rFonts w:cstheme="minorHAnsi"/>
          <w:i/>
        </w:rPr>
        <w:t>italics</w:t>
      </w:r>
      <w:r w:rsidRPr="00E30033">
        <w:rPr>
          <w:rFonts w:cstheme="minorHAnsi"/>
          <w:iCs/>
        </w:rPr>
        <w:t xml:space="preserve">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011"/>
        <w:gridCol w:w="1107"/>
        <w:gridCol w:w="970"/>
        <w:gridCol w:w="830"/>
        <w:gridCol w:w="1127"/>
      </w:tblGrid>
      <w:tr w:rsidR="00CC2233" w:rsidRPr="00C4404D" w14:paraId="7ADC4F2A" w14:textId="77777777" w:rsidTr="00C07D9A">
        <w:trPr>
          <w:cantSplit/>
          <w:trHeight w:val="20"/>
        </w:trPr>
        <w:tc>
          <w:tcPr>
            <w:tcW w:w="1648" w:type="pct"/>
            <w:vAlign w:val="center"/>
          </w:tcPr>
          <w:p w14:paraId="7713B5B9" w14:textId="77777777" w:rsidR="00CC2233" w:rsidRPr="00C4404D" w:rsidRDefault="00CC2233" w:rsidP="00700BF0">
            <w:pPr>
              <w:keepNext/>
              <w:keepLines/>
              <w:rPr>
                <w:rFonts w:ascii="Arial Narrow" w:hAnsi="Arial Narrow"/>
                <w:b/>
                <w:bCs/>
                <w:sz w:val="20"/>
                <w:szCs w:val="20"/>
              </w:rPr>
            </w:pPr>
            <w:r w:rsidRPr="00C4404D">
              <w:rPr>
                <w:rFonts w:ascii="Arial Narrow" w:hAnsi="Arial Narrow"/>
                <w:b/>
                <w:bCs/>
                <w:sz w:val="20"/>
                <w:szCs w:val="20"/>
              </w:rPr>
              <w:t>MEDICINAL PRODUCT</w:t>
            </w:r>
          </w:p>
          <w:p w14:paraId="4A2F68E0" w14:textId="77777777" w:rsidR="00CC2233" w:rsidRPr="00C4404D" w:rsidRDefault="00CC2233" w:rsidP="00700BF0">
            <w:pPr>
              <w:keepNext/>
              <w:keepLines/>
              <w:rPr>
                <w:rFonts w:ascii="Arial Narrow" w:hAnsi="Arial Narrow"/>
                <w:b/>
                <w:sz w:val="20"/>
                <w:szCs w:val="20"/>
              </w:rPr>
            </w:pPr>
            <w:r w:rsidRPr="00C4404D">
              <w:rPr>
                <w:rFonts w:ascii="Arial Narrow" w:hAnsi="Arial Narrow"/>
                <w:b/>
                <w:bCs/>
                <w:sz w:val="20"/>
                <w:szCs w:val="20"/>
              </w:rPr>
              <w:t>medicinal product pack</w:t>
            </w:r>
          </w:p>
        </w:tc>
        <w:tc>
          <w:tcPr>
            <w:tcW w:w="1115" w:type="pct"/>
            <w:vAlign w:val="center"/>
          </w:tcPr>
          <w:p w14:paraId="17D73E28" w14:textId="77777777" w:rsidR="00CC2233" w:rsidRPr="00C4404D" w:rsidRDefault="00CC2233" w:rsidP="00700BF0">
            <w:pPr>
              <w:pStyle w:val="TableText0"/>
              <w:keepLines/>
              <w:jc w:val="center"/>
              <w:rPr>
                <w:b/>
                <w:bCs w:val="0"/>
                <w:szCs w:val="20"/>
              </w:rPr>
            </w:pPr>
            <w:r w:rsidRPr="00C4404D">
              <w:rPr>
                <w:b/>
                <w:bCs w:val="0"/>
                <w:snapToGrid w:val="0"/>
              </w:rPr>
              <w:t>Dispensed Price for Max. Qty</w:t>
            </w:r>
          </w:p>
        </w:tc>
        <w:tc>
          <w:tcPr>
            <w:tcW w:w="614" w:type="pct"/>
            <w:vAlign w:val="center"/>
          </w:tcPr>
          <w:p w14:paraId="377843C6" w14:textId="77777777" w:rsidR="00CC2233" w:rsidRPr="00C4404D" w:rsidRDefault="00CC2233" w:rsidP="00700BF0">
            <w:pPr>
              <w:keepNext/>
              <w:keepLines/>
              <w:jc w:val="center"/>
              <w:rPr>
                <w:rFonts w:ascii="Arial Narrow" w:hAnsi="Arial Narrow"/>
                <w:b/>
                <w:sz w:val="20"/>
                <w:szCs w:val="20"/>
              </w:rPr>
            </w:pPr>
            <w:r w:rsidRPr="00C4404D">
              <w:rPr>
                <w:rFonts w:ascii="Arial Narrow" w:hAnsi="Arial Narrow"/>
                <w:b/>
                <w:sz w:val="20"/>
                <w:szCs w:val="20"/>
              </w:rPr>
              <w:t>Max. qty packs</w:t>
            </w:r>
          </w:p>
        </w:tc>
        <w:tc>
          <w:tcPr>
            <w:tcW w:w="538" w:type="pct"/>
            <w:vAlign w:val="center"/>
          </w:tcPr>
          <w:p w14:paraId="1BCCC219" w14:textId="77777777" w:rsidR="00CC2233" w:rsidRPr="00C4404D" w:rsidRDefault="00CC2233" w:rsidP="00700BF0">
            <w:pPr>
              <w:keepNext/>
              <w:keepLines/>
              <w:jc w:val="center"/>
              <w:rPr>
                <w:rFonts w:ascii="Arial Narrow" w:hAnsi="Arial Narrow"/>
                <w:b/>
                <w:sz w:val="20"/>
                <w:szCs w:val="20"/>
              </w:rPr>
            </w:pPr>
            <w:r w:rsidRPr="00C4404D">
              <w:rPr>
                <w:rFonts w:ascii="Arial Narrow" w:hAnsi="Arial Narrow"/>
                <w:b/>
                <w:sz w:val="20"/>
                <w:szCs w:val="20"/>
              </w:rPr>
              <w:t>Max. qty units</w:t>
            </w:r>
          </w:p>
        </w:tc>
        <w:tc>
          <w:tcPr>
            <w:tcW w:w="460" w:type="pct"/>
            <w:vAlign w:val="center"/>
          </w:tcPr>
          <w:p w14:paraId="193EF148" w14:textId="77777777" w:rsidR="00CC2233" w:rsidRPr="00C4404D" w:rsidRDefault="00CC2233" w:rsidP="00700BF0">
            <w:pPr>
              <w:keepNext/>
              <w:keepLines/>
              <w:jc w:val="center"/>
              <w:rPr>
                <w:rFonts w:ascii="Arial Narrow" w:hAnsi="Arial Narrow"/>
                <w:b/>
                <w:sz w:val="20"/>
                <w:szCs w:val="20"/>
              </w:rPr>
            </w:pPr>
            <w:r w:rsidRPr="00C4404D">
              <w:rPr>
                <w:rFonts w:ascii="Arial Narrow" w:hAnsi="Arial Narrow"/>
                <w:b/>
                <w:sz w:val="20"/>
                <w:szCs w:val="20"/>
              </w:rPr>
              <w:t>№.of</w:t>
            </w:r>
          </w:p>
          <w:p w14:paraId="1EBB137A" w14:textId="77777777" w:rsidR="00CC2233" w:rsidRPr="00C4404D" w:rsidRDefault="00CC2233" w:rsidP="00700BF0">
            <w:pPr>
              <w:keepNext/>
              <w:keepLines/>
              <w:jc w:val="center"/>
              <w:rPr>
                <w:rFonts w:ascii="Arial Narrow" w:hAnsi="Arial Narrow"/>
                <w:b/>
                <w:sz w:val="20"/>
                <w:szCs w:val="20"/>
              </w:rPr>
            </w:pPr>
            <w:r w:rsidRPr="00C4404D">
              <w:rPr>
                <w:rFonts w:ascii="Arial Narrow" w:hAnsi="Arial Narrow"/>
                <w:b/>
                <w:sz w:val="20"/>
                <w:szCs w:val="20"/>
              </w:rPr>
              <w:t>Rpts</w:t>
            </w:r>
          </w:p>
        </w:tc>
        <w:tc>
          <w:tcPr>
            <w:tcW w:w="625" w:type="pct"/>
            <w:vAlign w:val="center"/>
          </w:tcPr>
          <w:p w14:paraId="09E6EB44" w14:textId="77777777" w:rsidR="00CC2233" w:rsidRPr="00C4404D" w:rsidRDefault="00CC2233" w:rsidP="00700BF0">
            <w:pPr>
              <w:keepNext/>
              <w:keepLines/>
              <w:jc w:val="center"/>
              <w:rPr>
                <w:rFonts w:ascii="Arial Narrow" w:hAnsi="Arial Narrow"/>
                <w:b/>
                <w:sz w:val="20"/>
                <w:szCs w:val="20"/>
              </w:rPr>
            </w:pPr>
            <w:r w:rsidRPr="00C4404D">
              <w:rPr>
                <w:rFonts w:ascii="Arial Narrow" w:hAnsi="Arial Narrow"/>
                <w:b/>
                <w:sz w:val="20"/>
                <w:szCs w:val="20"/>
              </w:rPr>
              <w:t>Available brands</w:t>
            </w:r>
          </w:p>
        </w:tc>
      </w:tr>
      <w:tr w:rsidR="00CC2233" w:rsidRPr="00C4404D" w14:paraId="5BB270A5" w14:textId="77777777" w:rsidTr="00C07D9A">
        <w:trPr>
          <w:cantSplit/>
          <w:trHeight w:val="20"/>
        </w:trPr>
        <w:tc>
          <w:tcPr>
            <w:tcW w:w="5000" w:type="pct"/>
            <w:gridSpan w:val="6"/>
            <w:vAlign w:val="center"/>
          </w:tcPr>
          <w:p w14:paraId="70D5F8B0" w14:textId="77777777" w:rsidR="00CC2233" w:rsidRPr="00C4404D" w:rsidRDefault="00CC2233" w:rsidP="00700BF0">
            <w:pPr>
              <w:pStyle w:val="TableText0"/>
              <w:keepLines/>
              <w:rPr>
                <w:rFonts w:cs="Arial"/>
                <w:szCs w:val="20"/>
              </w:rPr>
            </w:pPr>
            <w:r w:rsidRPr="00C4404D">
              <w:t>Lenacapavir</w:t>
            </w:r>
            <w:r w:rsidRPr="00C4404D">
              <w:rPr>
                <w:rFonts w:cs="Arial"/>
                <w:color w:val="0066FF"/>
                <w:szCs w:val="20"/>
              </w:rPr>
              <w:t xml:space="preserve"> </w:t>
            </w:r>
          </w:p>
        </w:tc>
      </w:tr>
      <w:tr w:rsidR="00CC2233" w:rsidRPr="00C4404D" w14:paraId="5B04F7F1" w14:textId="77777777" w:rsidTr="00C07D9A">
        <w:trPr>
          <w:cantSplit/>
          <w:trHeight w:val="20"/>
        </w:trPr>
        <w:tc>
          <w:tcPr>
            <w:tcW w:w="5000" w:type="pct"/>
            <w:gridSpan w:val="6"/>
            <w:vAlign w:val="center"/>
          </w:tcPr>
          <w:p w14:paraId="67985BC1" w14:textId="77777777" w:rsidR="00CC2233" w:rsidRPr="00C4404D" w:rsidRDefault="00CC2233" w:rsidP="00700BF0">
            <w:pPr>
              <w:pStyle w:val="TableText0"/>
              <w:keepLines/>
            </w:pPr>
            <w:r w:rsidRPr="00C4404D">
              <w:t>Initiation</w:t>
            </w:r>
          </w:p>
        </w:tc>
      </w:tr>
      <w:tr w:rsidR="00CC2233" w:rsidRPr="00C4404D" w14:paraId="34570F3A" w14:textId="77777777" w:rsidTr="00C07D9A">
        <w:trPr>
          <w:cantSplit/>
          <w:trHeight w:val="20"/>
        </w:trPr>
        <w:tc>
          <w:tcPr>
            <w:tcW w:w="1648" w:type="pct"/>
            <w:vAlign w:val="center"/>
          </w:tcPr>
          <w:p w14:paraId="68A8C9EA" w14:textId="56D9EA6F" w:rsidR="00CC2233" w:rsidRPr="00C4404D" w:rsidRDefault="00CC2233" w:rsidP="00700BF0">
            <w:pPr>
              <w:keepNext/>
              <w:keepLines/>
              <w:rPr>
                <w:rFonts w:ascii="Arial Narrow" w:hAnsi="Arial Narrow"/>
                <w:sz w:val="20"/>
                <w:szCs w:val="20"/>
              </w:rPr>
            </w:pPr>
            <w:r w:rsidRPr="00C4404D">
              <w:rPr>
                <w:rFonts w:ascii="Arial Narrow" w:eastAsiaTheme="majorEastAsia" w:hAnsi="Arial Narrow" w:cstheme="majorBidi"/>
                <w:bCs/>
                <w:sz w:val="20"/>
              </w:rPr>
              <w:t>300</w:t>
            </w:r>
            <w:r w:rsidR="00DE6D0E">
              <w:rPr>
                <w:rFonts w:ascii="Arial Narrow" w:eastAsiaTheme="majorEastAsia" w:hAnsi="Arial Narrow" w:cstheme="majorBidi"/>
                <w:bCs/>
                <w:sz w:val="20"/>
              </w:rPr>
              <w:t xml:space="preserve"> </w:t>
            </w:r>
            <w:r w:rsidRPr="00C4404D">
              <w:rPr>
                <w:rFonts w:ascii="Arial Narrow" w:eastAsiaTheme="majorEastAsia" w:hAnsi="Arial Narrow" w:cstheme="majorBidi"/>
                <w:bCs/>
                <w:sz w:val="20"/>
              </w:rPr>
              <w:t>mg tablets, 4 tablets per pack</w:t>
            </w:r>
          </w:p>
        </w:tc>
        <w:tc>
          <w:tcPr>
            <w:tcW w:w="1115" w:type="pct"/>
            <w:vAlign w:val="center"/>
          </w:tcPr>
          <w:p w14:paraId="2E570F65" w14:textId="69E50A70" w:rsidR="00CC2233" w:rsidRPr="00C4404D" w:rsidRDefault="00CC2233" w:rsidP="005C4550">
            <w:pPr>
              <w:pStyle w:val="TableText0"/>
              <w:jc w:val="center"/>
              <w:rPr>
                <w:vertAlign w:val="superscript"/>
              </w:rPr>
            </w:pPr>
            <w:r w:rsidRPr="00C4404D">
              <w:t>$</w:t>
            </w:r>
            <w:r w:rsidR="001328F0" w:rsidRPr="0050086F">
              <w:rPr>
                <w:rFonts w:hint="eastAsia"/>
                <w:color w:val="000000"/>
                <w:w w:val="15"/>
                <w:shd w:val="solid" w:color="000000" w:fill="000000"/>
                <w:fitText w:val="10" w:id="-1290615805"/>
                <w14:textFill>
                  <w14:solidFill>
                    <w14:srgbClr w14:val="000000">
                      <w14:alpha w14:val="100000"/>
                    </w14:srgbClr>
                  </w14:solidFill>
                </w14:textFill>
              </w:rPr>
              <w:t xml:space="preserve">　</w:t>
            </w:r>
            <w:r w:rsidR="001328F0" w:rsidRPr="0050086F">
              <w:rPr>
                <w:color w:val="000000"/>
                <w:w w:val="15"/>
                <w:shd w:val="solid" w:color="000000" w:fill="000000"/>
                <w:fitText w:val="10" w:id="-1290615805"/>
                <w14:textFill>
                  <w14:solidFill>
                    <w14:srgbClr w14:val="000000">
                      <w14:alpha w14:val="100000"/>
                    </w14:srgbClr>
                  </w14:solidFill>
                </w14:textFill>
              </w:rPr>
              <w:t>|</w:t>
            </w:r>
            <w:r w:rsidR="001328F0" w:rsidRPr="0050086F">
              <w:rPr>
                <w:rFonts w:hint="eastAsia"/>
                <w:color w:val="000000"/>
                <w:spacing w:val="-55"/>
                <w:w w:val="15"/>
                <w:shd w:val="solid" w:color="000000" w:fill="000000"/>
                <w:fitText w:val="10" w:id="-1290615805"/>
                <w14:textFill>
                  <w14:solidFill>
                    <w14:srgbClr w14:val="000000">
                      <w14:alpha w14:val="100000"/>
                    </w14:srgbClr>
                  </w14:solidFill>
                </w14:textFill>
              </w:rPr>
              <w:t xml:space="preserve">　</w:t>
            </w:r>
            <w:r w:rsidR="000E333A" w:rsidRPr="000E333A">
              <w:t xml:space="preserve"> </w:t>
            </w:r>
            <w:r w:rsidRPr="001F7CF2">
              <w:t>Published</w:t>
            </w:r>
          </w:p>
          <w:p w14:paraId="5CF6530E" w14:textId="3F63BDF3" w:rsidR="00CC2233" w:rsidRPr="00C4404D" w:rsidRDefault="00CC2233" w:rsidP="00700BF0">
            <w:pPr>
              <w:pStyle w:val="TableText0"/>
              <w:keepLines/>
              <w:jc w:val="center"/>
              <w:rPr>
                <w:szCs w:val="20"/>
              </w:rPr>
            </w:pPr>
            <w:r w:rsidRPr="00C4404D">
              <w:rPr>
                <w:szCs w:val="20"/>
              </w:rPr>
              <w:t>$</w:t>
            </w:r>
            <w:r w:rsidR="001328F0" w:rsidRPr="001328F0">
              <w:rPr>
                <w:color w:val="000000"/>
                <w:szCs w:val="20"/>
                <w:shd w:val="solid" w:color="000000" w:fill="000000"/>
                <w14:textFill>
                  <w14:solidFill>
                    <w14:srgbClr w14:val="000000">
                      <w14:alpha w14:val="100000"/>
                    </w14:srgbClr>
                  </w14:solidFill>
                </w14:textFill>
              </w:rPr>
              <w:t>|</w:t>
            </w:r>
            <w:r w:rsidRPr="00C4404D">
              <w:rPr>
                <w:szCs w:val="20"/>
              </w:rPr>
              <w:t xml:space="preserve"> Effective</w:t>
            </w:r>
          </w:p>
        </w:tc>
        <w:tc>
          <w:tcPr>
            <w:tcW w:w="614" w:type="pct"/>
            <w:vAlign w:val="center"/>
          </w:tcPr>
          <w:p w14:paraId="70DD3738" w14:textId="77777777" w:rsidR="00CC2233" w:rsidRPr="00C4404D" w:rsidRDefault="00CC2233" w:rsidP="00700BF0">
            <w:pPr>
              <w:keepNext/>
              <w:keepLines/>
              <w:jc w:val="center"/>
              <w:rPr>
                <w:rFonts w:ascii="Arial Narrow" w:hAnsi="Arial Narrow"/>
                <w:sz w:val="20"/>
                <w:szCs w:val="20"/>
              </w:rPr>
            </w:pPr>
            <w:r w:rsidRPr="00C4404D">
              <w:rPr>
                <w:rFonts w:ascii="Arial Narrow" w:hAnsi="Arial Narrow"/>
                <w:sz w:val="20"/>
                <w:szCs w:val="20"/>
              </w:rPr>
              <w:t>1</w:t>
            </w:r>
          </w:p>
        </w:tc>
        <w:tc>
          <w:tcPr>
            <w:tcW w:w="538" w:type="pct"/>
            <w:vAlign w:val="center"/>
          </w:tcPr>
          <w:p w14:paraId="719C5833" w14:textId="77777777" w:rsidR="00CC2233" w:rsidRPr="00C4404D" w:rsidRDefault="00CC2233" w:rsidP="00700BF0">
            <w:pPr>
              <w:keepNext/>
              <w:keepLines/>
              <w:jc w:val="center"/>
              <w:rPr>
                <w:rFonts w:ascii="Arial Narrow" w:hAnsi="Arial Narrow"/>
                <w:sz w:val="20"/>
                <w:szCs w:val="20"/>
              </w:rPr>
            </w:pPr>
            <w:r w:rsidRPr="00C4404D">
              <w:rPr>
                <w:rFonts w:ascii="Arial Narrow" w:hAnsi="Arial Narrow"/>
                <w:sz w:val="20"/>
                <w:szCs w:val="20"/>
              </w:rPr>
              <w:t>4</w:t>
            </w:r>
          </w:p>
        </w:tc>
        <w:tc>
          <w:tcPr>
            <w:tcW w:w="460" w:type="pct"/>
            <w:vAlign w:val="center"/>
          </w:tcPr>
          <w:p w14:paraId="15F09C48" w14:textId="77777777" w:rsidR="00CC2233" w:rsidRPr="00C4404D" w:rsidRDefault="00CC2233" w:rsidP="00700BF0">
            <w:pPr>
              <w:keepNext/>
              <w:keepLines/>
              <w:jc w:val="center"/>
              <w:rPr>
                <w:rFonts w:ascii="Arial Narrow" w:hAnsi="Arial Narrow"/>
                <w:sz w:val="20"/>
                <w:szCs w:val="20"/>
              </w:rPr>
            </w:pPr>
            <w:r w:rsidRPr="00C4404D">
              <w:rPr>
                <w:rFonts w:ascii="Arial Narrow" w:hAnsi="Arial Narrow"/>
                <w:sz w:val="20"/>
                <w:szCs w:val="20"/>
              </w:rPr>
              <w:t>0</w:t>
            </w:r>
          </w:p>
        </w:tc>
        <w:tc>
          <w:tcPr>
            <w:tcW w:w="625" w:type="pct"/>
            <w:vAlign w:val="center"/>
          </w:tcPr>
          <w:p w14:paraId="4AA84475" w14:textId="4F3FFCE2" w:rsidR="00CC2233" w:rsidRPr="00C4404D" w:rsidRDefault="00CC2233" w:rsidP="00700BF0">
            <w:pPr>
              <w:keepNext/>
              <w:keepLines/>
              <w:rPr>
                <w:rFonts w:ascii="Arial Narrow" w:hAnsi="Arial Narrow"/>
                <w:sz w:val="20"/>
                <w:szCs w:val="20"/>
              </w:rPr>
            </w:pPr>
            <w:r w:rsidRPr="00C4404D">
              <w:rPr>
                <w:rFonts w:ascii="Arial Narrow" w:hAnsi="Arial Narrow"/>
                <w:sz w:val="20"/>
                <w:szCs w:val="20"/>
              </w:rPr>
              <w:t>Sunlenca</w:t>
            </w:r>
          </w:p>
        </w:tc>
      </w:tr>
    </w:tbl>
    <w:p w14:paraId="20152A4C" w14:textId="44B5663F" w:rsidR="00CC2233" w:rsidRPr="00C4404D" w:rsidRDefault="00CC2233" w:rsidP="00CC2233">
      <w:pPr>
        <w:pStyle w:val="TableFooter"/>
        <w:keepNext/>
        <w:keepLines/>
      </w:pPr>
      <w:r w:rsidRPr="00C4404D">
        <w:t>Source: Table 1-10, p30 of the submission</w:t>
      </w:r>
      <w:r w:rsidR="00B74027">
        <w:t xml:space="preserve"> and</w:t>
      </w:r>
      <w:r w:rsidR="00FD3218">
        <w:t xml:space="preserve"> the submission summary.</w:t>
      </w:r>
    </w:p>
    <w:p w14:paraId="2F7DF446" w14:textId="6209CA01" w:rsidR="00CC2233" w:rsidRDefault="00CC2233" w:rsidP="00CC2233">
      <w:bookmarkStart w:id="11" w:name="_Hlk1048090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65DB0" w:rsidRPr="00007C47" w14:paraId="2F89C232" w14:textId="77777777" w:rsidTr="00265DB0">
        <w:tc>
          <w:tcPr>
            <w:tcW w:w="5000" w:type="pct"/>
            <w:tcBorders>
              <w:top w:val="single" w:sz="4" w:space="0" w:color="auto"/>
              <w:left w:val="single" w:sz="4" w:space="0" w:color="auto"/>
              <w:bottom w:val="single" w:sz="4" w:space="0" w:color="auto"/>
              <w:right w:val="single" w:sz="4" w:space="0" w:color="auto"/>
            </w:tcBorders>
          </w:tcPr>
          <w:p w14:paraId="43C6752B" w14:textId="77777777" w:rsidR="00265DB0" w:rsidRPr="00007C47" w:rsidRDefault="00265DB0" w:rsidP="0041323B">
            <w:pPr>
              <w:rPr>
                <w:rFonts w:ascii="Arial Narrow" w:hAnsi="Arial Narrow"/>
                <w:sz w:val="20"/>
                <w:szCs w:val="20"/>
              </w:rPr>
            </w:pPr>
            <w:r w:rsidRPr="00007C47">
              <w:rPr>
                <w:rFonts w:ascii="Arial Narrow" w:hAnsi="Arial Narrow"/>
                <w:b/>
                <w:sz w:val="20"/>
                <w:szCs w:val="20"/>
              </w:rPr>
              <w:t xml:space="preserve">Category / Program: </w:t>
            </w:r>
            <w:r w:rsidRPr="00007C47">
              <w:rPr>
                <w:rFonts w:ascii="Arial Narrow" w:hAnsi="Arial Narrow"/>
                <w:sz w:val="20"/>
                <w:szCs w:val="20"/>
              </w:rPr>
              <w:t xml:space="preserve">Section 100 – Highly Specialised Drugs Program {Community Access} </w:t>
            </w:r>
          </w:p>
        </w:tc>
      </w:tr>
      <w:tr w:rsidR="00265DB0" w:rsidRPr="00007C47" w14:paraId="35057E20" w14:textId="77777777" w:rsidTr="00265DB0">
        <w:trPr>
          <w:trHeight w:val="86"/>
        </w:trPr>
        <w:tc>
          <w:tcPr>
            <w:tcW w:w="5000" w:type="pct"/>
            <w:tcBorders>
              <w:top w:val="single" w:sz="4" w:space="0" w:color="auto"/>
              <w:left w:val="single" w:sz="4" w:space="0" w:color="auto"/>
              <w:bottom w:val="single" w:sz="4" w:space="0" w:color="auto"/>
              <w:right w:val="single" w:sz="4" w:space="0" w:color="auto"/>
            </w:tcBorders>
          </w:tcPr>
          <w:p w14:paraId="3B548881" w14:textId="77777777" w:rsidR="00265DB0" w:rsidRPr="00007C47" w:rsidRDefault="00265DB0" w:rsidP="0041323B">
            <w:pPr>
              <w:rPr>
                <w:rFonts w:ascii="Arial Narrow" w:hAnsi="Arial Narrow"/>
                <w:sz w:val="20"/>
                <w:szCs w:val="20"/>
              </w:rPr>
            </w:pPr>
            <w:r w:rsidRPr="00007C47">
              <w:rPr>
                <w:rFonts w:ascii="Arial Narrow" w:hAnsi="Arial Narrow"/>
                <w:b/>
                <w:sz w:val="20"/>
                <w:szCs w:val="20"/>
              </w:rPr>
              <w:t xml:space="preserve">Prescriber type:  </w:t>
            </w:r>
            <w:r w:rsidRPr="00007C47">
              <w:rPr>
                <w:rFonts w:ascii="Arial Narrow" w:hAnsi="Arial Narrow"/>
                <w:sz w:val="20"/>
                <w:szCs w:val="20"/>
              </w:rPr>
              <w:fldChar w:fldCharType="begin">
                <w:ffData>
                  <w:name w:val=""/>
                  <w:enabled/>
                  <w:calcOnExit w:val="0"/>
                  <w:checkBox>
                    <w:sizeAuto/>
                    <w:default w:val="1"/>
                  </w:checkBox>
                </w:ffData>
              </w:fldChar>
            </w:r>
            <w:r w:rsidRPr="00007C47">
              <w:rPr>
                <w:rFonts w:ascii="Arial Narrow" w:hAnsi="Arial Narrow"/>
                <w:sz w:val="20"/>
                <w:szCs w:val="20"/>
              </w:rPr>
              <w:instrText xml:space="preserve"> FORMCHECKBOX </w:instrText>
            </w:r>
            <w:r w:rsidR="0050086F">
              <w:rPr>
                <w:rFonts w:ascii="Arial Narrow" w:hAnsi="Arial Narrow"/>
                <w:sz w:val="20"/>
                <w:szCs w:val="20"/>
              </w:rPr>
            </w:r>
            <w:r w:rsidR="0050086F">
              <w:rPr>
                <w:rFonts w:ascii="Arial Narrow" w:hAnsi="Arial Narrow"/>
                <w:sz w:val="20"/>
                <w:szCs w:val="20"/>
              </w:rPr>
              <w:fldChar w:fldCharType="separate"/>
            </w:r>
            <w:r w:rsidRPr="00007C47">
              <w:rPr>
                <w:rFonts w:ascii="Arial Narrow" w:hAnsi="Arial Narrow"/>
                <w:sz w:val="20"/>
                <w:szCs w:val="20"/>
              </w:rPr>
              <w:fldChar w:fldCharType="end"/>
            </w:r>
            <w:r w:rsidRPr="00007C47">
              <w:rPr>
                <w:rFonts w:ascii="Arial Narrow" w:hAnsi="Arial Narrow"/>
                <w:sz w:val="20"/>
                <w:szCs w:val="20"/>
              </w:rPr>
              <w:t xml:space="preserve">Medical Practitioners  </w:t>
            </w:r>
            <w:r w:rsidRPr="00007C47">
              <w:rPr>
                <w:rFonts w:ascii="Arial Narrow" w:hAnsi="Arial Narrow"/>
                <w:sz w:val="20"/>
                <w:szCs w:val="20"/>
              </w:rPr>
              <w:fldChar w:fldCharType="begin">
                <w:ffData>
                  <w:name w:val="Check3"/>
                  <w:enabled/>
                  <w:calcOnExit w:val="0"/>
                  <w:checkBox>
                    <w:sizeAuto/>
                    <w:default w:val="1"/>
                  </w:checkBox>
                </w:ffData>
              </w:fldChar>
            </w:r>
            <w:r w:rsidRPr="00007C47">
              <w:rPr>
                <w:rFonts w:ascii="Arial Narrow" w:hAnsi="Arial Narrow"/>
                <w:sz w:val="20"/>
                <w:szCs w:val="20"/>
              </w:rPr>
              <w:instrText xml:space="preserve"> FORMCHECKBOX </w:instrText>
            </w:r>
            <w:r w:rsidR="0050086F">
              <w:rPr>
                <w:rFonts w:ascii="Arial Narrow" w:hAnsi="Arial Narrow"/>
                <w:sz w:val="20"/>
                <w:szCs w:val="20"/>
              </w:rPr>
            </w:r>
            <w:r w:rsidR="0050086F">
              <w:rPr>
                <w:rFonts w:ascii="Arial Narrow" w:hAnsi="Arial Narrow"/>
                <w:sz w:val="20"/>
                <w:szCs w:val="20"/>
              </w:rPr>
              <w:fldChar w:fldCharType="separate"/>
            </w:r>
            <w:r w:rsidRPr="00007C47">
              <w:rPr>
                <w:rFonts w:ascii="Arial Narrow" w:hAnsi="Arial Narrow"/>
                <w:sz w:val="20"/>
                <w:szCs w:val="20"/>
              </w:rPr>
              <w:fldChar w:fldCharType="end"/>
            </w:r>
            <w:r w:rsidRPr="00007C47">
              <w:rPr>
                <w:rFonts w:ascii="Arial Narrow" w:hAnsi="Arial Narrow"/>
                <w:sz w:val="20"/>
                <w:szCs w:val="20"/>
              </w:rPr>
              <w:t xml:space="preserve">Nurse practitioners </w:t>
            </w:r>
          </w:p>
        </w:tc>
      </w:tr>
      <w:tr w:rsidR="00265DB0" w:rsidRPr="00007C47" w14:paraId="299B0A9C" w14:textId="77777777" w:rsidTr="00265DB0">
        <w:tc>
          <w:tcPr>
            <w:tcW w:w="5000" w:type="pct"/>
            <w:tcBorders>
              <w:top w:val="single" w:sz="4" w:space="0" w:color="auto"/>
              <w:left w:val="single" w:sz="4" w:space="0" w:color="auto"/>
              <w:bottom w:val="single" w:sz="4" w:space="0" w:color="auto"/>
              <w:right w:val="single" w:sz="4" w:space="0" w:color="auto"/>
            </w:tcBorders>
          </w:tcPr>
          <w:p w14:paraId="418F1811" w14:textId="4BF5D519" w:rsidR="00265DB0" w:rsidRPr="00007C47" w:rsidRDefault="00265DB0" w:rsidP="0041323B">
            <w:pPr>
              <w:rPr>
                <w:rFonts w:ascii="Arial Narrow" w:hAnsi="Arial Narrow"/>
                <w:sz w:val="20"/>
                <w:szCs w:val="20"/>
              </w:rPr>
            </w:pPr>
            <w:r w:rsidRPr="00007C47">
              <w:rPr>
                <w:rFonts w:ascii="Arial Narrow" w:hAnsi="Arial Narrow"/>
                <w:b/>
                <w:sz w:val="20"/>
                <w:szCs w:val="20"/>
              </w:rPr>
              <w:t>Restriction</w:t>
            </w:r>
            <w:r>
              <w:rPr>
                <w:rFonts w:ascii="Arial Narrow" w:hAnsi="Arial Narrow"/>
                <w:b/>
                <w:sz w:val="20"/>
                <w:szCs w:val="20"/>
              </w:rPr>
              <w:t xml:space="preserve"> type</w:t>
            </w:r>
            <w:r w:rsidRPr="00007C47">
              <w:rPr>
                <w:rFonts w:ascii="Arial Narrow" w:hAnsi="Arial Narrow"/>
                <w:b/>
                <w:sz w:val="20"/>
                <w:szCs w:val="20"/>
              </w:rPr>
              <w:t>:</w:t>
            </w:r>
            <w:r>
              <w:rPr>
                <w:rFonts w:ascii="Arial Narrow" w:hAnsi="Arial Narrow"/>
                <w:b/>
                <w:sz w:val="20"/>
                <w:szCs w:val="20"/>
              </w:rPr>
              <w:t xml:space="preserve"> </w:t>
            </w:r>
            <w:r w:rsidRPr="00007C47">
              <w:rPr>
                <w:rFonts w:ascii="Arial Narrow" w:hAnsi="Arial Narrow"/>
                <w:sz w:val="20"/>
                <w:szCs w:val="20"/>
              </w:rPr>
              <w:fldChar w:fldCharType="begin">
                <w:ffData>
                  <w:name w:val=""/>
                  <w:enabled/>
                  <w:calcOnExit w:val="0"/>
                  <w:checkBox>
                    <w:sizeAuto/>
                    <w:default w:val="1"/>
                  </w:checkBox>
                </w:ffData>
              </w:fldChar>
            </w:r>
            <w:r w:rsidRPr="00007C47">
              <w:rPr>
                <w:rFonts w:ascii="Arial Narrow" w:hAnsi="Arial Narrow"/>
                <w:sz w:val="20"/>
                <w:szCs w:val="20"/>
              </w:rPr>
              <w:instrText xml:space="preserve"> FORMCHECKBOX </w:instrText>
            </w:r>
            <w:r w:rsidR="0050086F">
              <w:rPr>
                <w:rFonts w:ascii="Arial Narrow" w:hAnsi="Arial Narrow"/>
                <w:sz w:val="20"/>
                <w:szCs w:val="20"/>
              </w:rPr>
            </w:r>
            <w:r w:rsidR="0050086F">
              <w:rPr>
                <w:rFonts w:ascii="Arial Narrow" w:hAnsi="Arial Narrow"/>
                <w:sz w:val="20"/>
                <w:szCs w:val="20"/>
              </w:rPr>
              <w:fldChar w:fldCharType="separate"/>
            </w:r>
            <w:r w:rsidRPr="00007C47">
              <w:rPr>
                <w:rFonts w:ascii="Arial Narrow" w:hAnsi="Arial Narrow"/>
                <w:sz w:val="20"/>
                <w:szCs w:val="20"/>
              </w:rPr>
              <w:fldChar w:fldCharType="end"/>
            </w:r>
            <w:r w:rsidRPr="00007C47">
              <w:rPr>
                <w:rFonts w:ascii="Arial Narrow" w:hAnsi="Arial Narrow"/>
                <w:sz w:val="20"/>
                <w:szCs w:val="20"/>
              </w:rPr>
              <w:t xml:space="preserve"> Authority Required (Streamlined) </w:t>
            </w:r>
            <w:r w:rsidRPr="00007C47">
              <w:rPr>
                <w:rFonts w:ascii="Arial Narrow" w:eastAsia="Calibri" w:hAnsi="Arial Narrow"/>
                <w:sz w:val="20"/>
                <w:szCs w:val="20"/>
              </w:rPr>
              <w:t>[code new 1A]</w:t>
            </w:r>
          </w:p>
        </w:tc>
      </w:tr>
      <w:tr w:rsidR="00265DB0" w:rsidRPr="00007C47" w14:paraId="7D60328C" w14:textId="77777777" w:rsidTr="00265DB0">
        <w:tc>
          <w:tcPr>
            <w:tcW w:w="5000" w:type="pct"/>
            <w:tcBorders>
              <w:top w:val="single" w:sz="4" w:space="0" w:color="auto"/>
              <w:left w:val="single" w:sz="4" w:space="0" w:color="auto"/>
              <w:bottom w:val="single" w:sz="4" w:space="0" w:color="auto"/>
              <w:right w:val="single" w:sz="4" w:space="0" w:color="auto"/>
            </w:tcBorders>
          </w:tcPr>
          <w:p w14:paraId="24F59BA1" w14:textId="77777777" w:rsidR="00265DB0" w:rsidRPr="00007C47" w:rsidRDefault="00265DB0" w:rsidP="0041323B">
            <w:pPr>
              <w:rPr>
                <w:rFonts w:ascii="Arial Narrow" w:hAnsi="Arial Narrow"/>
                <w:b/>
                <w:sz w:val="20"/>
                <w:szCs w:val="20"/>
              </w:rPr>
            </w:pPr>
          </w:p>
        </w:tc>
      </w:tr>
      <w:tr w:rsidR="00265DB0" w:rsidRPr="00007C47" w14:paraId="71FC4CA5" w14:textId="77777777" w:rsidTr="00265DB0">
        <w:tc>
          <w:tcPr>
            <w:tcW w:w="5000" w:type="pct"/>
            <w:vAlign w:val="center"/>
            <w:hideMark/>
          </w:tcPr>
          <w:p w14:paraId="27E0B13E"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Indication:</w:t>
            </w:r>
            <w:r w:rsidRPr="00007C47">
              <w:rPr>
                <w:rFonts w:ascii="Arial Narrow" w:hAnsi="Arial Narrow"/>
                <w:color w:val="333333"/>
                <w:sz w:val="20"/>
                <w:szCs w:val="20"/>
              </w:rPr>
              <w:t xml:space="preserve"> </w:t>
            </w:r>
            <w:r w:rsidRPr="00007C47">
              <w:rPr>
                <w:rFonts w:ascii="Arial Narrow" w:hAnsi="Arial Narrow"/>
                <w:i/>
                <w:iCs/>
                <w:color w:val="333333"/>
                <w:sz w:val="20"/>
                <w:szCs w:val="20"/>
              </w:rPr>
              <w:t>Human immunodeficiency virus (HIV) infection</w:t>
            </w:r>
          </w:p>
        </w:tc>
      </w:tr>
      <w:tr w:rsidR="00265DB0" w:rsidRPr="00007C47" w14:paraId="045B6EAE" w14:textId="77777777" w:rsidTr="00265DB0">
        <w:tc>
          <w:tcPr>
            <w:tcW w:w="5000" w:type="pct"/>
            <w:vAlign w:val="center"/>
          </w:tcPr>
          <w:p w14:paraId="5A72E22B" w14:textId="77777777" w:rsidR="00265DB0" w:rsidRPr="00007C47" w:rsidRDefault="00265DB0" w:rsidP="0041323B">
            <w:pPr>
              <w:rPr>
                <w:rFonts w:ascii="Arial Narrow" w:hAnsi="Arial Narrow"/>
                <w:b/>
                <w:bCs/>
                <w:color w:val="333333"/>
                <w:sz w:val="20"/>
                <w:szCs w:val="20"/>
              </w:rPr>
            </w:pPr>
          </w:p>
        </w:tc>
      </w:tr>
      <w:tr w:rsidR="00265DB0" w:rsidRPr="00007C47" w14:paraId="44419723" w14:textId="77777777" w:rsidTr="00265DB0">
        <w:tc>
          <w:tcPr>
            <w:tcW w:w="5000" w:type="pct"/>
            <w:vAlign w:val="center"/>
            <w:hideMark/>
          </w:tcPr>
          <w:p w14:paraId="07578979"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Treatment Phase:</w:t>
            </w:r>
            <w:r w:rsidRPr="00007C47">
              <w:rPr>
                <w:rFonts w:ascii="Arial Narrow" w:hAnsi="Arial Narrow"/>
                <w:color w:val="333333"/>
                <w:sz w:val="20"/>
                <w:szCs w:val="20"/>
              </w:rPr>
              <w:t xml:space="preserve">  </w:t>
            </w:r>
            <w:r w:rsidRPr="00007C47">
              <w:rPr>
                <w:rFonts w:ascii="Arial Narrow" w:hAnsi="Arial Narrow"/>
                <w:i/>
                <w:iCs/>
                <w:sz w:val="20"/>
                <w:szCs w:val="20"/>
              </w:rPr>
              <w:t>Dosing occurring on days 1 and 2 at treatment initiation only.</w:t>
            </w:r>
            <w:r w:rsidRPr="00007C47">
              <w:rPr>
                <w:rFonts w:ascii="Arial Narrow" w:hAnsi="Arial Narrow"/>
                <w:sz w:val="20"/>
                <w:szCs w:val="20"/>
              </w:rPr>
              <w:t xml:space="preserve">  </w:t>
            </w:r>
          </w:p>
        </w:tc>
      </w:tr>
      <w:tr w:rsidR="00265DB0" w:rsidRPr="00007C47" w14:paraId="39D1B0BD" w14:textId="77777777" w:rsidTr="00265DB0">
        <w:tc>
          <w:tcPr>
            <w:tcW w:w="5000" w:type="pct"/>
            <w:vAlign w:val="center"/>
          </w:tcPr>
          <w:p w14:paraId="1DCC186C" w14:textId="77777777" w:rsidR="00265DB0" w:rsidRPr="00007C47" w:rsidRDefault="00265DB0" w:rsidP="0041323B">
            <w:pPr>
              <w:rPr>
                <w:rFonts w:ascii="Arial Narrow" w:hAnsi="Arial Narrow"/>
                <w:b/>
                <w:bCs/>
                <w:color w:val="333333"/>
                <w:sz w:val="20"/>
                <w:szCs w:val="20"/>
              </w:rPr>
            </w:pPr>
          </w:p>
        </w:tc>
      </w:tr>
      <w:tr w:rsidR="00265DB0" w:rsidRPr="00007C47" w14:paraId="2BCF464A" w14:textId="77777777" w:rsidTr="00265DB0">
        <w:tc>
          <w:tcPr>
            <w:tcW w:w="5000" w:type="pct"/>
            <w:vAlign w:val="center"/>
            <w:hideMark/>
          </w:tcPr>
          <w:p w14:paraId="705FF1E1" w14:textId="77777777" w:rsidR="00265DB0" w:rsidRPr="00007C47" w:rsidRDefault="00265DB0" w:rsidP="0041323B">
            <w:pPr>
              <w:rPr>
                <w:rFonts w:ascii="Arial Narrow" w:hAnsi="Arial Narrow"/>
                <w:color w:val="333333"/>
                <w:sz w:val="20"/>
                <w:szCs w:val="20"/>
              </w:rPr>
            </w:pPr>
            <w:r w:rsidRPr="00007C47">
              <w:rPr>
                <w:rFonts w:ascii="Arial Narrow" w:hAnsi="Arial Narrow"/>
                <w:b/>
                <w:bCs/>
                <w:strike/>
                <w:color w:val="333333"/>
                <w:sz w:val="20"/>
                <w:szCs w:val="20"/>
              </w:rPr>
              <w:t>Clinical criteria:</w:t>
            </w:r>
          </w:p>
        </w:tc>
      </w:tr>
      <w:tr w:rsidR="00265DB0" w:rsidRPr="00007C47" w14:paraId="675CE9D8" w14:textId="77777777" w:rsidTr="00265DB0">
        <w:tc>
          <w:tcPr>
            <w:tcW w:w="5000" w:type="pct"/>
            <w:vAlign w:val="center"/>
            <w:hideMark/>
          </w:tcPr>
          <w:p w14:paraId="273CED00" w14:textId="77777777" w:rsidR="00265DB0" w:rsidRPr="00007C47" w:rsidRDefault="00265DB0" w:rsidP="0041323B">
            <w:pPr>
              <w:rPr>
                <w:rFonts w:ascii="Arial Narrow" w:hAnsi="Arial Narrow"/>
                <w:color w:val="333333"/>
                <w:sz w:val="20"/>
                <w:szCs w:val="20"/>
              </w:rPr>
            </w:pPr>
            <w:r w:rsidRPr="00007C47">
              <w:rPr>
                <w:rFonts w:ascii="Arial Narrow" w:hAnsi="Arial Narrow"/>
                <w:strike/>
                <w:color w:val="333333"/>
                <w:sz w:val="20"/>
                <w:szCs w:val="20"/>
              </w:rPr>
              <w:t>Patient must have multidrug resistant HIV-1 infection,</w:t>
            </w:r>
          </w:p>
        </w:tc>
      </w:tr>
      <w:tr w:rsidR="00265DB0" w:rsidRPr="00007C47" w14:paraId="2825598B" w14:textId="77777777" w:rsidTr="00265DB0">
        <w:tc>
          <w:tcPr>
            <w:tcW w:w="5000" w:type="pct"/>
            <w:vAlign w:val="center"/>
            <w:hideMark/>
          </w:tcPr>
          <w:p w14:paraId="4D7F4FCD"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 xml:space="preserve">Clinical criteria: </w:t>
            </w:r>
          </w:p>
        </w:tc>
      </w:tr>
      <w:tr w:rsidR="00265DB0" w:rsidRPr="00007C47" w14:paraId="187AACEA" w14:textId="77777777" w:rsidTr="00265DB0">
        <w:tc>
          <w:tcPr>
            <w:tcW w:w="5000" w:type="pct"/>
            <w:vAlign w:val="center"/>
            <w:hideMark/>
          </w:tcPr>
          <w:p w14:paraId="7437B72A" w14:textId="77777777" w:rsidR="00265DB0" w:rsidRPr="00007C47" w:rsidRDefault="00265DB0" w:rsidP="0041323B">
            <w:pPr>
              <w:rPr>
                <w:rFonts w:ascii="Arial Narrow" w:hAnsi="Arial Narrow"/>
                <w:color w:val="333333"/>
                <w:sz w:val="20"/>
                <w:szCs w:val="20"/>
              </w:rPr>
            </w:pPr>
            <w:r w:rsidRPr="00007C47">
              <w:rPr>
                <w:rFonts w:ascii="Arial Narrow" w:hAnsi="Arial Narrow" w:cs="Arial Narrow"/>
                <w:i/>
                <w:iCs/>
                <w:sz w:val="20"/>
                <w:szCs w:val="20"/>
              </w:rPr>
              <w:t>The condition must be resistant (this includes virological failure/clinical failure/genotypic resistance) to multiple drugs to the extent that there are no more than 2 fully active HIV-antivirals remaining from</w:t>
            </w:r>
            <w:r>
              <w:rPr>
                <w:rFonts w:ascii="Arial Narrow" w:hAnsi="Arial Narrow" w:cs="Arial Narrow"/>
                <w:i/>
                <w:iCs/>
                <w:sz w:val="20"/>
                <w:szCs w:val="20"/>
              </w:rPr>
              <w:t xml:space="preserve"> any of</w:t>
            </w:r>
            <w:r w:rsidRPr="00007C47">
              <w:rPr>
                <w:rFonts w:ascii="Arial Narrow" w:hAnsi="Arial Narrow" w:cs="Arial Narrow"/>
                <w:i/>
                <w:iCs/>
                <w:sz w:val="20"/>
                <w:szCs w:val="20"/>
              </w:rPr>
              <w:t xml:space="preserve"> the 4 main antiretroviral classes that could be effectively combined to form a viable treatment regimen. </w:t>
            </w:r>
          </w:p>
        </w:tc>
      </w:tr>
      <w:tr w:rsidR="00265DB0" w:rsidRPr="00007C47" w14:paraId="4EC74A8B" w14:textId="77777777" w:rsidTr="00265DB0">
        <w:tc>
          <w:tcPr>
            <w:tcW w:w="5000" w:type="pct"/>
            <w:vAlign w:val="center"/>
            <w:hideMark/>
          </w:tcPr>
          <w:p w14:paraId="2F04308D"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AND</w:t>
            </w:r>
          </w:p>
        </w:tc>
      </w:tr>
      <w:tr w:rsidR="00265DB0" w:rsidRPr="00007C47" w14:paraId="1286DAEA" w14:textId="77777777" w:rsidTr="00265DB0">
        <w:tc>
          <w:tcPr>
            <w:tcW w:w="5000" w:type="pct"/>
            <w:vAlign w:val="center"/>
            <w:hideMark/>
          </w:tcPr>
          <w:p w14:paraId="2802E7E4" w14:textId="77777777" w:rsidR="00265DB0" w:rsidRPr="00007C47" w:rsidRDefault="00265DB0" w:rsidP="0041323B">
            <w:pPr>
              <w:rPr>
                <w:rFonts w:ascii="Arial Narrow" w:hAnsi="Arial Narrow"/>
                <w:color w:val="333333"/>
                <w:sz w:val="20"/>
                <w:szCs w:val="20"/>
              </w:rPr>
            </w:pPr>
            <w:r w:rsidRPr="00007C47">
              <w:rPr>
                <w:rFonts w:ascii="Arial Narrow" w:hAnsi="Arial Narrow"/>
                <w:b/>
                <w:bCs/>
                <w:strike/>
                <w:color w:val="333333"/>
                <w:sz w:val="20"/>
                <w:szCs w:val="20"/>
              </w:rPr>
              <w:t>Clinical criteria:</w:t>
            </w:r>
          </w:p>
        </w:tc>
      </w:tr>
      <w:tr w:rsidR="00265DB0" w:rsidRPr="00007C47" w14:paraId="1A6BB9C7" w14:textId="77777777" w:rsidTr="00265DB0">
        <w:tc>
          <w:tcPr>
            <w:tcW w:w="5000" w:type="pct"/>
            <w:vAlign w:val="center"/>
            <w:hideMark/>
          </w:tcPr>
          <w:p w14:paraId="561C656C" w14:textId="77777777" w:rsidR="00265DB0" w:rsidRPr="00007C47" w:rsidRDefault="00265DB0" w:rsidP="0041323B">
            <w:pPr>
              <w:autoSpaceDE w:val="0"/>
              <w:autoSpaceDN w:val="0"/>
              <w:adjustRightInd w:val="0"/>
              <w:rPr>
                <w:rFonts w:ascii="Arial Narrow" w:hAnsi="Arial Narrow" w:cs="Arial Narrow"/>
                <w:sz w:val="20"/>
                <w:szCs w:val="20"/>
              </w:rPr>
            </w:pPr>
            <w:r w:rsidRPr="00007C47">
              <w:rPr>
                <w:rFonts w:ascii="Arial Narrow" w:hAnsi="Arial Narrow"/>
                <w:i/>
                <w:iCs/>
                <w:strike/>
                <w:color w:val="333333"/>
                <w:sz w:val="20"/>
                <w:szCs w:val="20"/>
              </w:rPr>
              <w:t>Patient must</w:t>
            </w:r>
            <w:r w:rsidRPr="00007C47">
              <w:rPr>
                <w:rFonts w:ascii="Arial Narrow" w:hAnsi="Arial Narrow"/>
                <w:strike/>
                <w:color w:val="333333"/>
                <w:sz w:val="20"/>
                <w:szCs w:val="20"/>
              </w:rPr>
              <w:t xml:space="preserve"> have no more than 2 fully active agents remaining from the 4 main antiretroviral classes that can be effectively combined to form a viable regimen,</w:t>
            </w:r>
          </w:p>
        </w:tc>
      </w:tr>
      <w:tr w:rsidR="00265DB0" w:rsidRPr="00007C47" w14:paraId="381E7529" w14:textId="77777777" w:rsidTr="00265DB0">
        <w:tc>
          <w:tcPr>
            <w:tcW w:w="5000" w:type="pct"/>
            <w:vAlign w:val="center"/>
            <w:hideMark/>
          </w:tcPr>
          <w:p w14:paraId="16DD053B" w14:textId="77777777" w:rsidR="00265DB0" w:rsidRPr="00007C47" w:rsidRDefault="00265DB0" w:rsidP="0041323B">
            <w:pPr>
              <w:rPr>
                <w:rFonts w:ascii="Arial Narrow" w:hAnsi="Arial Narrow"/>
                <w:i/>
                <w:iCs/>
                <w:color w:val="333333"/>
                <w:sz w:val="20"/>
                <w:szCs w:val="20"/>
              </w:rPr>
            </w:pPr>
            <w:r w:rsidRPr="00007C47">
              <w:rPr>
                <w:rFonts w:ascii="Arial Narrow" w:hAnsi="Arial Narrow"/>
                <w:b/>
                <w:bCs/>
                <w:color w:val="333333"/>
                <w:sz w:val="20"/>
                <w:szCs w:val="20"/>
              </w:rPr>
              <w:t>AND</w:t>
            </w:r>
          </w:p>
        </w:tc>
      </w:tr>
      <w:tr w:rsidR="00265DB0" w:rsidRPr="00007C47" w14:paraId="2B13A37C" w14:textId="77777777" w:rsidTr="00265DB0">
        <w:tc>
          <w:tcPr>
            <w:tcW w:w="5000" w:type="pct"/>
            <w:vAlign w:val="center"/>
            <w:hideMark/>
          </w:tcPr>
          <w:p w14:paraId="1A0E20F9" w14:textId="77777777" w:rsidR="00265DB0" w:rsidRPr="00007C47" w:rsidRDefault="00265DB0" w:rsidP="0041323B">
            <w:pPr>
              <w:rPr>
                <w:rFonts w:ascii="Arial Narrow" w:hAnsi="Arial Narrow"/>
                <w:i/>
                <w:iCs/>
                <w:color w:val="333333"/>
                <w:sz w:val="20"/>
                <w:szCs w:val="20"/>
              </w:rPr>
            </w:pPr>
            <w:r w:rsidRPr="00007C47">
              <w:rPr>
                <w:rFonts w:ascii="Arial Narrow" w:hAnsi="Arial Narrow"/>
                <w:b/>
                <w:bCs/>
                <w:color w:val="333333"/>
                <w:sz w:val="20"/>
                <w:szCs w:val="20"/>
              </w:rPr>
              <w:t>Clinical criteria:</w:t>
            </w:r>
          </w:p>
        </w:tc>
      </w:tr>
      <w:tr w:rsidR="00265DB0" w:rsidRPr="00007C47" w14:paraId="43D5460D" w14:textId="77777777" w:rsidTr="00265DB0">
        <w:tc>
          <w:tcPr>
            <w:tcW w:w="5000" w:type="pct"/>
            <w:vAlign w:val="center"/>
          </w:tcPr>
          <w:p w14:paraId="0CF23B30" w14:textId="77777777" w:rsidR="00265DB0" w:rsidRPr="00007C47" w:rsidRDefault="00265DB0" w:rsidP="0041323B">
            <w:pPr>
              <w:rPr>
                <w:rFonts w:ascii="Arial Narrow" w:hAnsi="Arial Narrow"/>
                <w:i/>
                <w:iCs/>
                <w:color w:val="333333"/>
                <w:sz w:val="20"/>
                <w:szCs w:val="20"/>
              </w:rPr>
            </w:pPr>
            <w:r w:rsidRPr="00007C47">
              <w:rPr>
                <w:rFonts w:ascii="Arial Narrow" w:hAnsi="Arial Narrow" w:cs="Arial Narrow"/>
                <w:sz w:val="20"/>
                <w:szCs w:val="20"/>
              </w:rPr>
              <w:t>The treatment must be in addition to optimised background therapy.</w:t>
            </w:r>
          </w:p>
        </w:tc>
      </w:tr>
      <w:tr w:rsidR="00265DB0" w:rsidRPr="00007C47" w14:paraId="129EB9A9" w14:textId="77777777" w:rsidTr="00265DB0">
        <w:tc>
          <w:tcPr>
            <w:tcW w:w="5000" w:type="pct"/>
            <w:vAlign w:val="center"/>
          </w:tcPr>
          <w:p w14:paraId="13FAABD5" w14:textId="77777777" w:rsidR="00265DB0" w:rsidRPr="00007C47" w:rsidRDefault="00265DB0" w:rsidP="0041323B">
            <w:pPr>
              <w:rPr>
                <w:rFonts w:ascii="Arial Narrow" w:hAnsi="Arial Narrow" w:cs="Arial Narrow"/>
                <w:sz w:val="20"/>
                <w:szCs w:val="20"/>
              </w:rPr>
            </w:pPr>
            <w:r w:rsidRPr="00007C47">
              <w:rPr>
                <w:rFonts w:ascii="Arial Narrow" w:hAnsi="Arial Narrow"/>
                <w:b/>
                <w:bCs/>
                <w:color w:val="333333"/>
                <w:sz w:val="20"/>
                <w:szCs w:val="20"/>
              </w:rPr>
              <w:t>AND</w:t>
            </w:r>
          </w:p>
        </w:tc>
      </w:tr>
      <w:tr w:rsidR="00265DB0" w:rsidRPr="00007C47" w14:paraId="3E697D99" w14:textId="77777777" w:rsidTr="00265DB0">
        <w:tc>
          <w:tcPr>
            <w:tcW w:w="5000" w:type="pct"/>
            <w:vAlign w:val="center"/>
          </w:tcPr>
          <w:p w14:paraId="74A022F1" w14:textId="77777777" w:rsidR="00265DB0" w:rsidRPr="00007C47" w:rsidRDefault="00265DB0" w:rsidP="0041323B">
            <w:pPr>
              <w:rPr>
                <w:rFonts w:ascii="Arial Narrow" w:hAnsi="Arial Narrow" w:cs="Arial Narrow"/>
                <w:sz w:val="20"/>
                <w:szCs w:val="20"/>
              </w:rPr>
            </w:pPr>
            <w:r w:rsidRPr="00007C47">
              <w:rPr>
                <w:rFonts w:ascii="Arial Narrow" w:hAnsi="Arial Narrow"/>
                <w:b/>
                <w:bCs/>
                <w:color w:val="333333"/>
                <w:sz w:val="20"/>
                <w:szCs w:val="20"/>
              </w:rPr>
              <w:t>Treatment criteria:</w:t>
            </w:r>
          </w:p>
        </w:tc>
      </w:tr>
      <w:tr w:rsidR="00265DB0" w:rsidRPr="00607FBA" w14:paraId="23653414" w14:textId="77777777" w:rsidTr="00265DB0">
        <w:tc>
          <w:tcPr>
            <w:tcW w:w="5000" w:type="pct"/>
            <w:vAlign w:val="center"/>
          </w:tcPr>
          <w:p w14:paraId="6B8333C0" w14:textId="77777777" w:rsidR="00265DB0" w:rsidRPr="00607FBA" w:rsidRDefault="00265DB0" w:rsidP="0041323B">
            <w:pPr>
              <w:autoSpaceDE w:val="0"/>
              <w:autoSpaceDN w:val="0"/>
              <w:adjustRightInd w:val="0"/>
              <w:rPr>
                <w:rFonts w:ascii="Arial Narrow" w:hAnsi="Arial Narrow" w:cs="Arial Narrow"/>
                <w:i/>
                <w:iCs/>
                <w:sz w:val="20"/>
                <w:szCs w:val="20"/>
              </w:rPr>
            </w:pPr>
            <w:r w:rsidRPr="00007C47">
              <w:rPr>
                <w:rFonts w:ascii="Arial Narrow" w:hAnsi="Arial Narrow" w:cs="Arial Narrow"/>
                <w:iCs/>
                <w:sz w:val="20"/>
                <w:szCs w:val="20"/>
              </w:rPr>
              <w:t>Patient must be undergoing concurrent treatment with this drug’s subcutaneously administered form.</w:t>
            </w:r>
          </w:p>
        </w:tc>
      </w:tr>
      <w:tr w:rsidR="00265DB0" w:rsidRPr="00007C47" w14:paraId="098730D0" w14:textId="77777777" w:rsidTr="00265DB0">
        <w:tc>
          <w:tcPr>
            <w:tcW w:w="5000" w:type="pct"/>
            <w:vAlign w:val="center"/>
          </w:tcPr>
          <w:p w14:paraId="341AF71F" w14:textId="77777777" w:rsidR="00265DB0" w:rsidRPr="00007C47" w:rsidRDefault="00265DB0" w:rsidP="0041323B">
            <w:pPr>
              <w:autoSpaceDE w:val="0"/>
              <w:autoSpaceDN w:val="0"/>
              <w:adjustRightInd w:val="0"/>
              <w:rPr>
                <w:rFonts w:ascii="Arial Narrow" w:hAnsi="Arial Narrow" w:cs="Arial Narrow"/>
                <w:b/>
                <w:bCs/>
                <w:sz w:val="20"/>
                <w:szCs w:val="20"/>
              </w:rPr>
            </w:pPr>
          </w:p>
        </w:tc>
      </w:tr>
      <w:tr w:rsidR="00265DB0" w:rsidRPr="00007C47" w14:paraId="2B390F57" w14:textId="77777777" w:rsidTr="00265DB0">
        <w:tc>
          <w:tcPr>
            <w:tcW w:w="5000" w:type="pct"/>
            <w:vAlign w:val="center"/>
          </w:tcPr>
          <w:p w14:paraId="14EBA8A0" w14:textId="77777777" w:rsidR="00265DB0" w:rsidRPr="00007C47" w:rsidRDefault="00265DB0" w:rsidP="0041323B">
            <w:pPr>
              <w:autoSpaceDE w:val="0"/>
              <w:autoSpaceDN w:val="0"/>
              <w:adjustRightInd w:val="0"/>
              <w:rPr>
                <w:rFonts w:ascii="Arial Narrow" w:hAnsi="Arial Narrow" w:cs="Arial Narrow"/>
                <w:b/>
                <w:bCs/>
                <w:sz w:val="20"/>
                <w:szCs w:val="20"/>
              </w:rPr>
            </w:pPr>
            <w:r w:rsidRPr="00007C47">
              <w:rPr>
                <w:rFonts w:ascii="Arial Narrow" w:hAnsi="Arial Narrow" w:cs="Arial Narrow"/>
                <w:b/>
                <w:bCs/>
                <w:sz w:val="20"/>
                <w:szCs w:val="20"/>
              </w:rPr>
              <w:lastRenderedPageBreak/>
              <w:t>Prescribing Instructions:</w:t>
            </w:r>
          </w:p>
          <w:p w14:paraId="2FB0C317" w14:textId="77777777" w:rsidR="00265DB0" w:rsidRPr="00007C47" w:rsidRDefault="00265DB0" w:rsidP="0041323B">
            <w:pPr>
              <w:rPr>
                <w:rFonts w:ascii="Arial Narrow" w:hAnsi="Arial Narrow"/>
                <w:b/>
                <w:bCs/>
                <w:color w:val="333333"/>
                <w:sz w:val="20"/>
                <w:szCs w:val="20"/>
              </w:rPr>
            </w:pPr>
            <w:r w:rsidRPr="00007C47">
              <w:rPr>
                <w:rFonts w:ascii="Arial Narrow" w:hAnsi="Arial Narrow" w:cs="Arial Narrow"/>
                <w:i/>
                <w:iCs/>
                <w:sz w:val="20"/>
                <w:szCs w:val="20"/>
              </w:rPr>
              <w:t>Virological failure is defined as a viral load greater than 400 copies per mL on two consecutive occasions, while clinical failure is linked to emerging signs and symptoms of progressing HIV infection or treatment-limiting toxicity.</w:t>
            </w:r>
          </w:p>
        </w:tc>
      </w:tr>
      <w:tr w:rsidR="00265DB0" w:rsidRPr="00007C47" w14:paraId="64334DD8" w14:textId="77777777" w:rsidTr="00265DB0">
        <w:tc>
          <w:tcPr>
            <w:tcW w:w="5000" w:type="pct"/>
            <w:vAlign w:val="center"/>
          </w:tcPr>
          <w:p w14:paraId="78D6D196" w14:textId="77777777" w:rsidR="00265DB0" w:rsidRPr="00007C47" w:rsidRDefault="00265DB0" w:rsidP="0041323B">
            <w:pPr>
              <w:rPr>
                <w:rFonts w:ascii="Arial Narrow" w:hAnsi="Arial Narrow"/>
                <w:b/>
                <w:bCs/>
                <w:color w:val="333333"/>
                <w:sz w:val="20"/>
                <w:szCs w:val="20"/>
              </w:rPr>
            </w:pPr>
          </w:p>
        </w:tc>
      </w:tr>
      <w:tr w:rsidR="00265DB0" w:rsidRPr="00007C47" w14:paraId="39E437BC" w14:textId="77777777" w:rsidTr="00265DB0">
        <w:tc>
          <w:tcPr>
            <w:tcW w:w="5000" w:type="pct"/>
            <w:vAlign w:val="center"/>
          </w:tcPr>
          <w:p w14:paraId="0A177C1C" w14:textId="77777777" w:rsidR="00265DB0" w:rsidRPr="00007C47" w:rsidRDefault="00265DB0" w:rsidP="0041323B">
            <w:pPr>
              <w:rPr>
                <w:rFonts w:ascii="Arial Narrow" w:hAnsi="Arial Narrow"/>
                <w:bCs/>
                <w:color w:val="333333"/>
                <w:sz w:val="20"/>
                <w:szCs w:val="20"/>
              </w:rPr>
            </w:pPr>
            <w:r w:rsidRPr="00007C47">
              <w:rPr>
                <w:rFonts w:ascii="Arial Narrow" w:hAnsi="Arial Narrow"/>
                <w:b/>
                <w:bCs/>
                <w:color w:val="333333"/>
                <w:sz w:val="20"/>
                <w:szCs w:val="20"/>
              </w:rPr>
              <w:t>Administrative Advice:</w:t>
            </w:r>
            <w:r w:rsidRPr="00007C47">
              <w:rPr>
                <w:rFonts w:ascii="Arial Narrow" w:hAnsi="Arial Narrow"/>
                <w:bCs/>
                <w:color w:val="333333"/>
                <w:sz w:val="20"/>
                <w:szCs w:val="20"/>
              </w:rPr>
              <w:t xml:space="preserve"> </w:t>
            </w:r>
          </w:p>
          <w:p w14:paraId="4200F5D8" w14:textId="77777777" w:rsidR="00265DB0" w:rsidRPr="00007C47" w:rsidRDefault="00265DB0" w:rsidP="0041323B">
            <w:pPr>
              <w:rPr>
                <w:rFonts w:ascii="Arial Narrow" w:hAnsi="Arial Narrow"/>
                <w:b/>
                <w:bCs/>
                <w:color w:val="333333"/>
                <w:sz w:val="20"/>
                <w:szCs w:val="20"/>
              </w:rPr>
            </w:pPr>
            <w:r w:rsidRPr="00007C47">
              <w:rPr>
                <w:rFonts w:ascii="Arial Narrow" w:hAnsi="Arial Narrow"/>
                <w:i/>
                <w:iCs/>
                <w:color w:val="333333"/>
                <w:sz w:val="20"/>
                <w:szCs w:val="20"/>
              </w:rPr>
              <w:t>Genotypic resistance to individual antiretroviral drugs should be determined by genotypic testing.</w:t>
            </w:r>
          </w:p>
        </w:tc>
      </w:tr>
      <w:tr w:rsidR="00265DB0" w:rsidRPr="00007C47" w14:paraId="64E44D70" w14:textId="77777777" w:rsidTr="00265DB0">
        <w:tc>
          <w:tcPr>
            <w:tcW w:w="5000" w:type="pct"/>
            <w:vAlign w:val="center"/>
          </w:tcPr>
          <w:p w14:paraId="097F2F33"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 xml:space="preserve">Administrative Advice: </w:t>
            </w:r>
          </w:p>
          <w:p w14:paraId="6F427DE3" w14:textId="77777777" w:rsidR="00265DB0" w:rsidRPr="00007C47" w:rsidRDefault="00265DB0" w:rsidP="0041323B">
            <w:pPr>
              <w:rPr>
                <w:rFonts w:ascii="Arial Narrow" w:hAnsi="Arial Narrow"/>
                <w:b/>
                <w:bCs/>
                <w:color w:val="333333"/>
                <w:sz w:val="20"/>
                <w:szCs w:val="20"/>
              </w:rPr>
            </w:pPr>
            <w:r w:rsidRPr="00007C47">
              <w:rPr>
                <w:rFonts w:ascii="Arial Narrow" w:hAnsi="Arial Narrow"/>
                <w:i/>
                <w:iCs/>
                <w:color w:val="333333"/>
                <w:sz w:val="20"/>
                <w:szCs w:val="20"/>
              </w:rPr>
              <w:t>For the purposes of this restriction, the four main antiretroviral classes include nucleotide/nucleoside reverse transcriptase inhibitors (NRTIs), non-nucleoside reverse transcriptase inhibitors (NNRTIs), integrase strand transfer inhibitors (INTSIs) and protease inhibitors (PIs).</w:t>
            </w:r>
          </w:p>
        </w:tc>
      </w:tr>
      <w:tr w:rsidR="00265DB0" w:rsidRPr="00007C47" w14:paraId="56A76216" w14:textId="77777777" w:rsidTr="00265DB0">
        <w:tc>
          <w:tcPr>
            <w:tcW w:w="5000" w:type="pct"/>
            <w:tcBorders>
              <w:top w:val="single" w:sz="4" w:space="0" w:color="auto"/>
              <w:left w:val="single" w:sz="4" w:space="0" w:color="auto"/>
              <w:bottom w:val="single" w:sz="4" w:space="0" w:color="auto"/>
              <w:right w:val="single" w:sz="4" w:space="0" w:color="auto"/>
            </w:tcBorders>
            <w:vAlign w:val="center"/>
          </w:tcPr>
          <w:p w14:paraId="1BE5B6ED" w14:textId="0F308630" w:rsidR="00265DB0" w:rsidRPr="00E457E3" w:rsidRDefault="00265DB0" w:rsidP="006148D6">
            <w:pPr>
              <w:rPr>
                <w:rFonts w:ascii="Arial Narrow" w:hAnsi="Arial Narrow"/>
                <w:b/>
                <w:bCs/>
                <w:color w:val="333333"/>
                <w:sz w:val="20"/>
                <w:szCs w:val="20"/>
              </w:rPr>
            </w:pPr>
            <w:r w:rsidRPr="00007C47">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E457E3">
              <w:rPr>
                <w:rFonts w:ascii="Arial Narrow" w:hAnsi="Arial Narrow"/>
                <w:color w:val="333333"/>
                <w:sz w:val="20"/>
                <w:szCs w:val="20"/>
              </w:rPr>
              <w:t>No increase in the maximum quantity or number of units may be authorised.</w:t>
            </w:r>
          </w:p>
        </w:tc>
      </w:tr>
      <w:tr w:rsidR="00265DB0" w:rsidRPr="00E457E3" w14:paraId="553E1155" w14:textId="77777777" w:rsidTr="00265DB0">
        <w:tc>
          <w:tcPr>
            <w:tcW w:w="5000" w:type="pct"/>
            <w:tcBorders>
              <w:top w:val="single" w:sz="4" w:space="0" w:color="auto"/>
              <w:left w:val="single" w:sz="4" w:space="0" w:color="auto"/>
              <w:bottom w:val="single" w:sz="4" w:space="0" w:color="auto"/>
              <w:right w:val="single" w:sz="4" w:space="0" w:color="auto"/>
            </w:tcBorders>
            <w:vAlign w:val="center"/>
          </w:tcPr>
          <w:p w14:paraId="11005809" w14:textId="64CC5D9F" w:rsidR="00265DB0" w:rsidRPr="00E457E3" w:rsidRDefault="00265DB0" w:rsidP="006148D6">
            <w:pPr>
              <w:rPr>
                <w:rFonts w:ascii="Arial Narrow" w:hAnsi="Arial Narrow"/>
                <w:b/>
                <w:bCs/>
                <w:color w:val="333333"/>
                <w:sz w:val="20"/>
                <w:szCs w:val="20"/>
              </w:rPr>
            </w:pPr>
            <w:r w:rsidRPr="00007C47">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E457E3">
              <w:rPr>
                <w:rFonts w:ascii="Arial Narrow" w:hAnsi="Arial Narrow"/>
                <w:color w:val="333333"/>
                <w:sz w:val="20"/>
                <w:szCs w:val="20"/>
              </w:rPr>
              <w:t>No increase in the maximum number of repeats may be authorised.</w:t>
            </w:r>
          </w:p>
        </w:tc>
      </w:tr>
      <w:tr w:rsidR="00265DB0" w:rsidRPr="00E457E3" w14:paraId="7B9A2D64" w14:textId="77777777" w:rsidTr="00265DB0">
        <w:tc>
          <w:tcPr>
            <w:tcW w:w="5000" w:type="pct"/>
            <w:tcBorders>
              <w:top w:val="single" w:sz="4" w:space="0" w:color="auto"/>
              <w:left w:val="single" w:sz="4" w:space="0" w:color="auto"/>
              <w:bottom w:val="single" w:sz="4" w:space="0" w:color="auto"/>
              <w:right w:val="single" w:sz="4" w:space="0" w:color="auto"/>
            </w:tcBorders>
            <w:vAlign w:val="center"/>
          </w:tcPr>
          <w:p w14:paraId="30BDC779" w14:textId="5398A8B7" w:rsidR="00265DB0" w:rsidRPr="00E457E3" w:rsidRDefault="00265DB0" w:rsidP="006148D6">
            <w:pPr>
              <w:rPr>
                <w:rFonts w:ascii="Arial Narrow" w:hAnsi="Arial Narrow"/>
                <w:b/>
                <w:bCs/>
                <w:color w:val="333333"/>
                <w:sz w:val="20"/>
                <w:szCs w:val="20"/>
              </w:rPr>
            </w:pPr>
            <w:r w:rsidRPr="00007C47">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E457E3">
              <w:rPr>
                <w:rFonts w:ascii="Arial Narrow" w:hAnsi="Arial Narrow"/>
                <w:color w:val="333333"/>
                <w:sz w:val="20"/>
                <w:szCs w:val="20"/>
              </w:rPr>
              <w:t>Special Pricing Arrangements apply.</w:t>
            </w:r>
          </w:p>
        </w:tc>
      </w:tr>
    </w:tbl>
    <w:p w14:paraId="70FBFC85" w14:textId="77777777" w:rsidR="00E457E3" w:rsidRDefault="00E457E3" w:rsidP="00CC22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2011"/>
        <w:gridCol w:w="1107"/>
        <w:gridCol w:w="970"/>
        <w:gridCol w:w="830"/>
        <w:gridCol w:w="1127"/>
      </w:tblGrid>
      <w:tr w:rsidR="00C761BE" w:rsidRPr="00C4404D" w14:paraId="1D0AE3E9" w14:textId="77777777" w:rsidTr="0041323B">
        <w:trPr>
          <w:cantSplit/>
          <w:trHeight w:val="20"/>
        </w:trPr>
        <w:tc>
          <w:tcPr>
            <w:tcW w:w="1648" w:type="pct"/>
            <w:vAlign w:val="center"/>
          </w:tcPr>
          <w:p w14:paraId="0B2730CD" w14:textId="77777777" w:rsidR="00C761BE" w:rsidRPr="00C4404D" w:rsidRDefault="00C761BE" w:rsidP="0041323B">
            <w:pPr>
              <w:keepNext/>
              <w:keepLines/>
              <w:rPr>
                <w:rFonts w:ascii="Arial Narrow" w:hAnsi="Arial Narrow"/>
                <w:b/>
                <w:bCs/>
                <w:sz w:val="20"/>
                <w:szCs w:val="20"/>
              </w:rPr>
            </w:pPr>
            <w:r w:rsidRPr="00C4404D">
              <w:rPr>
                <w:rFonts w:ascii="Arial Narrow" w:hAnsi="Arial Narrow"/>
                <w:b/>
                <w:bCs/>
                <w:sz w:val="20"/>
                <w:szCs w:val="20"/>
              </w:rPr>
              <w:t>MEDICINAL PRODUCT</w:t>
            </w:r>
          </w:p>
          <w:p w14:paraId="7987D235" w14:textId="77777777" w:rsidR="00C761BE" w:rsidRPr="00C4404D" w:rsidRDefault="00C761BE" w:rsidP="0041323B">
            <w:pPr>
              <w:keepNext/>
              <w:keepLines/>
              <w:rPr>
                <w:rFonts w:ascii="Arial Narrow" w:hAnsi="Arial Narrow"/>
                <w:b/>
                <w:sz w:val="20"/>
                <w:szCs w:val="20"/>
              </w:rPr>
            </w:pPr>
            <w:r w:rsidRPr="00C4404D">
              <w:rPr>
                <w:rFonts w:ascii="Arial Narrow" w:hAnsi="Arial Narrow"/>
                <w:b/>
                <w:bCs/>
                <w:sz w:val="20"/>
                <w:szCs w:val="20"/>
              </w:rPr>
              <w:t>medicinal product pack</w:t>
            </w:r>
          </w:p>
        </w:tc>
        <w:tc>
          <w:tcPr>
            <w:tcW w:w="1115" w:type="pct"/>
            <w:vAlign w:val="center"/>
          </w:tcPr>
          <w:p w14:paraId="6A982A23" w14:textId="77777777" w:rsidR="00C761BE" w:rsidRPr="00C4404D" w:rsidRDefault="00C761BE" w:rsidP="0041323B">
            <w:pPr>
              <w:pStyle w:val="TableText0"/>
              <w:keepLines/>
              <w:jc w:val="center"/>
              <w:rPr>
                <w:b/>
                <w:bCs w:val="0"/>
                <w:szCs w:val="20"/>
              </w:rPr>
            </w:pPr>
            <w:r w:rsidRPr="00C4404D">
              <w:rPr>
                <w:b/>
                <w:bCs w:val="0"/>
                <w:snapToGrid w:val="0"/>
              </w:rPr>
              <w:t>Dispensed Price for Max. Qty</w:t>
            </w:r>
          </w:p>
        </w:tc>
        <w:tc>
          <w:tcPr>
            <w:tcW w:w="614" w:type="pct"/>
            <w:vAlign w:val="center"/>
          </w:tcPr>
          <w:p w14:paraId="6A956B30" w14:textId="77777777" w:rsidR="00C761BE" w:rsidRPr="00C4404D" w:rsidRDefault="00C761BE" w:rsidP="0041323B">
            <w:pPr>
              <w:keepNext/>
              <w:keepLines/>
              <w:jc w:val="center"/>
              <w:rPr>
                <w:rFonts w:ascii="Arial Narrow" w:hAnsi="Arial Narrow"/>
                <w:b/>
                <w:sz w:val="20"/>
                <w:szCs w:val="20"/>
              </w:rPr>
            </w:pPr>
            <w:r w:rsidRPr="00C4404D">
              <w:rPr>
                <w:rFonts w:ascii="Arial Narrow" w:hAnsi="Arial Narrow"/>
                <w:b/>
                <w:sz w:val="20"/>
                <w:szCs w:val="20"/>
              </w:rPr>
              <w:t>Max. qty packs</w:t>
            </w:r>
          </w:p>
        </w:tc>
        <w:tc>
          <w:tcPr>
            <w:tcW w:w="538" w:type="pct"/>
            <w:vAlign w:val="center"/>
          </w:tcPr>
          <w:p w14:paraId="013DEE8D" w14:textId="77777777" w:rsidR="00C761BE" w:rsidRPr="00C4404D" w:rsidRDefault="00C761BE" w:rsidP="0041323B">
            <w:pPr>
              <w:keepNext/>
              <w:keepLines/>
              <w:jc w:val="center"/>
              <w:rPr>
                <w:rFonts w:ascii="Arial Narrow" w:hAnsi="Arial Narrow"/>
                <w:b/>
                <w:sz w:val="20"/>
                <w:szCs w:val="20"/>
              </w:rPr>
            </w:pPr>
            <w:r w:rsidRPr="00C4404D">
              <w:rPr>
                <w:rFonts w:ascii="Arial Narrow" w:hAnsi="Arial Narrow"/>
                <w:b/>
                <w:sz w:val="20"/>
                <w:szCs w:val="20"/>
              </w:rPr>
              <w:t>Max. qty units</w:t>
            </w:r>
          </w:p>
        </w:tc>
        <w:tc>
          <w:tcPr>
            <w:tcW w:w="460" w:type="pct"/>
            <w:vAlign w:val="center"/>
          </w:tcPr>
          <w:p w14:paraId="3FF55018" w14:textId="77777777" w:rsidR="00C761BE" w:rsidRPr="00C4404D" w:rsidRDefault="00C761BE" w:rsidP="0041323B">
            <w:pPr>
              <w:keepNext/>
              <w:keepLines/>
              <w:jc w:val="center"/>
              <w:rPr>
                <w:rFonts w:ascii="Arial Narrow" w:hAnsi="Arial Narrow"/>
                <w:b/>
                <w:sz w:val="20"/>
                <w:szCs w:val="20"/>
              </w:rPr>
            </w:pPr>
            <w:r w:rsidRPr="00C4404D">
              <w:rPr>
                <w:rFonts w:ascii="Arial Narrow" w:hAnsi="Arial Narrow"/>
                <w:b/>
                <w:sz w:val="20"/>
                <w:szCs w:val="20"/>
              </w:rPr>
              <w:t>№.of</w:t>
            </w:r>
          </w:p>
          <w:p w14:paraId="410E7D64" w14:textId="77777777" w:rsidR="00C761BE" w:rsidRPr="00C4404D" w:rsidRDefault="00C761BE" w:rsidP="0041323B">
            <w:pPr>
              <w:keepNext/>
              <w:keepLines/>
              <w:jc w:val="center"/>
              <w:rPr>
                <w:rFonts w:ascii="Arial Narrow" w:hAnsi="Arial Narrow"/>
                <w:b/>
                <w:sz w:val="20"/>
                <w:szCs w:val="20"/>
              </w:rPr>
            </w:pPr>
            <w:r w:rsidRPr="00C4404D">
              <w:rPr>
                <w:rFonts w:ascii="Arial Narrow" w:hAnsi="Arial Narrow"/>
                <w:b/>
                <w:sz w:val="20"/>
                <w:szCs w:val="20"/>
              </w:rPr>
              <w:t>Rpts</w:t>
            </w:r>
          </w:p>
        </w:tc>
        <w:tc>
          <w:tcPr>
            <w:tcW w:w="625" w:type="pct"/>
            <w:vAlign w:val="center"/>
          </w:tcPr>
          <w:p w14:paraId="63ED2E02" w14:textId="77777777" w:rsidR="00C761BE" w:rsidRPr="00C4404D" w:rsidRDefault="00C761BE" w:rsidP="0041323B">
            <w:pPr>
              <w:keepNext/>
              <w:keepLines/>
              <w:jc w:val="center"/>
              <w:rPr>
                <w:rFonts w:ascii="Arial Narrow" w:hAnsi="Arial Narrow"/>
                <w:b/>
                <w:sz w:val="20"/>
                <w:szCs w:val="20"/>
              </w:rPr>
            </w:pPr>
            <w:r w:rsidRPr="00C4404D">
              <w:rPr>
                <w:rFonts w:ascii="Arial Narrow" w:hAnsi="Arial Narrow"/>
                <w:b/>
                <w:sz w:val="20"/>
                <w:szCs w:val="20"/>
              </w:rPr>
              <w:t>Available brands</w:t>
            </w:r>
          </w:p>
        </w:tc>
      </w:tr>
      <w:tr w:rsidR="00C761BE" w:rsidRPr="00C4404D" w14:paraId="44565102" w14:textId="61F35AAB" w:rsidTr="0041323B">
        <w:trPr>
          <w:cantSplit/>
          <w:trHeight w:val="20"/>
        </w:trPr>
        <w:tc>
          <w:tcPr>
            <w:tcW w:w="5000" w:type="pct"/>
            <w:gridSpan w:val="6"/>
            <w:vAlign w:val="center"/>
          </w:tcPr>
          <w:p w14:paraId="45D62BAC" w14:textId="16D0C3C7" w:rsidR="00C761BE" w:rsidRPr="00C4404D" w:rsidRDefault="00C761BE" w:rsidP="0041323B">
            <w:pPr>
              <w:pStyle w:val="TableText0"/>
              <w:keepLines/>
              <w:rPr>
                <w:rFonts w:cs="Arial"/>
                <w:szCs w:val="20"/>
              </w:rPr>
            </w:pPr>
            <w:r w:rsidRPr="00C4404D">
              <w:t>Lenacapavir</w:t>
            </w:r>
            <w:r w:rsidRPr="00C4404D">
              <w:rPr>
                <w:rFonts w:cs="Arial"/>
                <w:color w:val="0066FF"/>
                <w:szCs w:val="20"/>
              </w:rPr>
              <w:t xml:space="preserve"> </w:t>
            </w:r>
          </w:p>
        </w:tc>
      </w:tr>
      <w:tr w:rsidR="00C761BE" w:rsidRPr="00C4404D" w14:paraId="31232A3D" w14:textId="0DE9E11E" w:rsidTr="0041323B">
        <w:trPr>
          <w:cantSplit/>
          <w:trHeight w:val="20"/>
        </w:trPr>
        <w:tc>
          <w:tcPr>
            <w:tcW w:w="5000" w:type="pct"/>
            <w:gridSpan w:val="6"/>
            <w:vAlign w:val="center"/>
          </w:tcPr>
          <w:p w14:paraId="3E6E864E" w14:textId="4FEA46DC" w:rsidR="00C761BE" w:rsidRPr="00C4404D" w:rsidRDefault="00C761BE" w:rsidP="0041323B">
            <w:pPr>
              <w:pStyle w:val="TableText0"/>
              <w:keepLines/>
            </w:pPr>
            <w:r w:rsidRPr="00C4404D">
              <w:t>Initiation</w:t>
            </w:r>
          </w:p>
        </w:tc>
      </w:tr>
      <w:tr w:rsidR="00C761BE" w:rsidRPr="00C4404D" w14:paraId="5903E775" w14:textId="0F3648BD" w:rsidTr="00CA7B56">
        <w:trPr>
          <w:cantSplit/>
          <w:trHeight w:val="20"/>
        </w:trPr>
        <w:tc>
          <w:tcPr>
            <w:tcW w:w="1648" w:type="pct"/>
            <w:vAlign w:val="center"/>
          </w:tcPr>
          <w:p w14:paraId="18A7EA3A" w14:textId="2C29EAAB" w:rsidR="00C761BE" w:rsidRPr="00C4404D" w:rsidRDefault="00C761BE" w:rsidP="0041323B">
            <w:pPr>
              <w:keepNext/>
              <w:keepLines/>
              <w:rPr>
                <w:rFonts w:ascii="Arial Narrow" w:hAnsi="Arial Narrow"/>
                <w:sz w:val="20"/>
                <w:szCs w:val="20"/>
              </w:rPr>
            </w:pPr>
            <w:r w:rsidRPr="00C4404D">
              <w:rPr>
                <w:rFonts w:ascii="Arial Narrow" w:hAnsi="Arial Narrow"/>
                <w:sz w:val="20"/>
                <w:szCs w:val="20"/>
              </w:rPr>
              <w:t>463.5 mg/1.5 mL [309 mg/mL] for SC injection, 2 vials per pack</w:t>
            </w:r>
          </w:p>
        </w:tc>
        <w:tc>
          <w:tcPr>
            <w:tcW w:w="1115" w:type="pct"/>
          </w:tcPr>
          <w:p w14:paraId="7CD17827" w14:textId="0860E3B6" w:rsidR="00C761BE" w:rsidRPr="00C4404D" w:rsidRDefault="00C761BE" w:rsidP="00CA7B56">
            <w:pPr>
              <w:pStyle w:val="TableText0"/>
              <w:jc w:val="center"/>
              <w:rPr>
                <w:vertAlign w:val="superscript"/>
              </w:rPr>
            </w:pPr>
            <w:r w:rsidRPr="001F7CF2">
              <w:t>$</w:t>
            </w:r>
            <w:r w:rsidR="001328F0" w:rsidRPr="001328F0">
              <w:rPr>
                <w:color w:val="000000"/>
                <w:spacing w:val="194"/>
                <w:shd w:val="solid" w:color="000000" w:fill="000000"/>
                <w:fitText w:val="280" w:id="-1290615804"/>
                <w14:textFill>
                  <w14:solidFill>
                    <w14:srgbClr w14:val="000000">
                      <w14:alpha w14:val="100000"/>
                    </w14:srgbClr>
                  </w14:solidFill>
                </w14:textFill>
              </w:rPr>
              <w:t>|</w:t>
            </w:r>
            <w:r w:rsidR="001328F0" w:rsidRPr="001328F0">
              <w:rPr>
                <w:color w:val="000000"/>
                <w:spacing w:val="1"/>
                <w:shd w:val="solid" w:color="000000" w:fill="000000"/>
                <w:fitText w:val="280" w:id="-1290615804"/>
                <w14:textFill>
                  <w14:solidFill>
                    <w14:srgbClr w14:val="000000">
                      <w14:alpha w14:val="100000"/>
                    </w14:srgbClr>
                  </w14:solidFill>
                </w14:textFill>
              </w:rPr>
              <w:t>|</w:t>
            </w:r>
            <w:r w:rsidR="000E333A" w:rsidRPr="000E333A">
              <w:t xml:space="preserve"> </w:t>
            </w:r>
            <w:r w:rsidRPr="001F7CF2">
              <w:t>Published</w:t>
            </w:r>
          </w:p>
          <w:p w14:paraId="0AFB5C25" w14:textId="45CFF5C5" w:rsidR="00C761BE" w:rsidRPr="00C4404D" w:rsidRDefault="00C761BE" w:rsidP="00CA7B56">
            <w:pPr>
              <w:pStyle w:val="TableText0"/>
              <w:keepLines/>
              <w:jc w:val="center"/>
              <w:rPr>
                <w:szCs w:val="20"/>
              </w:rPr>
            </w:pPr>
            <w:r w:rsidRPr="00C4404D">
              <w:rPr>
                <w:szCs w:val="20"/>
              </w:rPr>
              <w:t>$</w:t>
            </w:r>
            <w:r w:rsidR="001328F0"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Pr="00C4404D">
              <w:rPr>
                <w:szCs w:val="20"/>
              </w:rPr>
              <w:t>Effective</w:t>
            </w:r>
          </w:p>
        </w:tc>
        <w:tc>
          <w:tcPr>
            <w:tcW w:w="614" w:type="pct"/>
            <w:vAlign w:val="center"/>
          </w:tcPr>
          <w:p w14:paraId="680AA12D" w14:textId="6B803200"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1</w:t>
            </w:r>
          </w:p>
        </w:tc>
        <w:tc>
          <w:tcPr>
            <w:tcW w:w="538" w:type="pct"/>
            <w:vAlign w:val="center"/>
          </w:tcPr>
          <w:p w14:paraId="7AD61BDA" w14:textId="3BDEC033"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2</w:t>
            </w:r>
          </w:p>
        </w:tc>
        <w:tc>
          <w:tcPr>
            <w:tcW w:w="460" w:type="pct"/>
            <w:vAlign w:val="center"/>
          </w:tcPr>
          <w:p w14:paraId="02F7789A" w14:textId="366E2DC5"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0</w:t>
            </w:r>
          </w:p>
        </w:tc>
        <w:tc>
          <w:tcPr>
            <w:tcW w:w="625" w:type="pct"/>
            <w:vAlign w:val="center"/>
          </w:tcPr>
          <w:p w14:paraId="6ADA6FE7" w14:textId="30FCF188" w:rsidR="00C761BE" w:rsidRPr="00C4404D" w:rsidRDefault="00C761BE" w:rsidP="0041323B">
            <w:pPr>
              <w:keepNext/>
              <w:keepLines/>
              <w:rPr>
                <w:rFonts w:ascii="Arial Narrow" w:hAnsi="Arial Narrow"/>
                <w:sz w:val="20"/>
                <w:szCs w:val="20"/>
              </w:rPr>
            </w:pPr>
            <w:r w:rsidRPr="00C4404D">
              <w:rPr>
                <w:rFonts w:ascii="Arial Narrow" w:hAnsi="Arial Narrow"/>
                <w:sz w:val="20"/>
                <w:szCs w:val="20"/>
              </w:rPr>
              <w:t>Sunlenca</w:t>
            </w:r>
          </w:p>
        </w:tc>
      </w:tr>
      <w:tr w:rsidR="00C761BE" w:rsidRPr="00C4404D" w14:paraId="160BBD7D" w14:textId="77777777" w:rsidTr="0041323B">
        <w:trPr>
          <w:cantSplit/>
          <w:trHeight w:val="20"/>
        </w:trPr>
        <w:tc>
          <w:tcPr>
            <w:tcW w:w="5000" w:type="pct"/>
            <w:gridSpan w:val="6"/>
            <w:vAlign w:val="center"/>
          </w:tcPr>
          <w:p w14:paraId="05D34BB3" w14:textId="77777777" w:rsidR="00C761BE" w:rsidRPr="00C4404D" w:rsidRDefault="00C761BE" w:rsidP="0041323B">
            <w:pPr>
              <w:keepNext/>
              <w:keepLines/>
              <w:rPr>
                <w:rFonts w:ascii="Arial Narrow" w:hAnsi="Arial Narrow"/>
                <w:sz w:val="20"/>
                <w:szCs w:val="20"/>
              </w:rPr>
            </w:pPr>
            <w:r w:rsidRPr="00C4404D">
              <w:rPr>
                <w:rFonts w:ascii="Arial Narrow" w:hAnsi="Arial Narrow"/>
                <w:sz w:val="20"/>
                <w:szCs w:val="20"/>
              </w:rPr>
              <w:t>Maintenance</w:t>
            </w:r>
          </w:p>
        </w:tc>
      </w:tr>
      <w:tr w:rsidR="00C761BE" w:rsidRPr="00C4404D" w14:paraId="541BC62F" w14:textId="77777777" w:rsidTr="0041323B">
        <w:trPr>
          <w:cantSplit/>
          <w:trHeight w:val="20"/>
        </w:trPr>
        <w:tc>
          <w:tcPr>
            <w:tcW w:w="1648" w:type="pct"/>
            <w:vAlign w:val="center"/>
          </w:tcPr>
          <w:p w14:paraId="5B71255F" w14:textId="77777777" w:rsidR="00C761BE" w:rsidRPr="00C4404D" w:rsidRDefault="00C761BE" w:rsidP="0041323B">
            <w:pPr>
              <w:keepNext/>
              <w:keepLines/>
              <w:tabs>
                <w:tab w:val="left" w:pos="1077"/>
              </w:tabs>
              <w:rPr>
                <w:rFonts w:ascii="Arial Narrow" w:hAnsi="Arial Narrow"/>
                <w:sz w:val="20"/>
                <w:szCs w:val="20"/>
              </w:rPr>
            </w:pPr>
            <w:r w:rsidRPr="00C4404D">
              <w:rPr>
                <w:rFonts w:ascii="Arial Narrow" w:hAnsi="Arial Narrow"/>
                <w:sz w:val="20"/>
                <w:szCs w:val="20"/>
              </w:rPr>
              <w:t>463.5 mg/1.5 mL [309 mg/mL] for SC injection, 2 vials per pack</w:t>
            </w:r>
          </w:p>
        </w:tc>
        <w:tc>
          <w:tcPr>
            <w:tcW w:w="1115" w:type="pct"/>
            <w:vAlign w:val="center"/>
          </w:tcPr>
          <w:p w14:paraId="1EB399DC" w14:textId="187BF28E" w:rsidR="00C761BE" w:rsidRPr="00C4404D" w:rsidRDefault="00C761BE" w:rsidP="0041323B">
            <w:pPr>
              <w:keepNext/>
              <w:keepLines/>
              <w:jc w:val="center"/>
              <w:rPr>
                <w:rFonts w:ascii="Arial Narrow" w:hAnsi="Arial Narrow"/>
                <w:sz w:val="20"/>
                <w:szCs w:val="20"/>
                <w:vertAlign w:val="superscript"/>
              </w:rPr>
            </w:pPr>
            <w:r w:rsidRPr="001F7CF2">
              <w:rPr>
                <w:rFonts w:ascii="Arial Narrow" w:hAnsi="Arial Narrow"/>
                <w:sz w:val="20"/>
                <w:szCs w:val="20"/>
              </w:rPr>
              <w:t>$</w:t>
            </w:r>
            <w:r w:rsidR="001328F0" w:rsidRPr="0050086F">
              <w:rPr>
                <w:rFonts w:ascii="Arial Narrow" w:hAnsi="Arial Narrow" w:hint="eastAsia"/>
                <w:color w:val="000000"/>
                <w:w w:val="15"/>
                <w:sz w:val="20"/>
                <w:szCs w:val="20"/>
                <w:shd w:val="solid" w:color="000000" w:fill="000000"/>
                <w:fitText w:val="10" w:id="-1290615803"/>
                <w14:textFill>
                  <w14:solidFill>
                    <w14:srgbClr w14:val="000000">
                      <w14:alpha w14:val="100000"/>
                    </w14:srgbClr>
                  </w14:solidFill>
                </w14:textFill>
              </w:rPr>
              <w:t xml:space="preserve">　</w:t>
            </w:r>
            <w:r w:rsidR="001328F0" w:rsidRPr="0050086F">
              <w:rPr>
                <w:rFonts w:ascii="Arial Narrow" w:hAnsi="Arial Narrow"/>
                <w:color w:val="000000"/>
                <w:w w:val="15"/>
                <w:sz w:val="20"/>
                <w:szCs w:val="20"/>
                <w:shd w:val="solid" w:color="000000" w:fill="000000"/>
                <w:fitText w:val="10" w:id="-1290615803"/>
                <w14:textFill>
                  <w14:solidFill>
                    <w14:srgbClr w14:val="000000">
                      <w14:alpha w14:val="100000"/>
                    </w14:srgbClr>
                  </w14:solidFill>
                </w14:textFill>
              </w:rPr>
              <w:t>|</w:t>
            </w:r>
            <w:r w:rsidR="001328F0" w:rsidRPr="0050086F">
              <w:rPr>
                <w:rFonts w:ascii="Arial Narrow" w:hAnsi="Arial Narrow" w:hint="eastAsia"/>
                <w:color w:val="000000"/>
                <w:spacing w:val="-55"/>
                <w:w w:val="15"/>
                <w:sz w:val="20"/>
                <w:szCs w:val="20"/>
                <w:shd w:val="solid" w:color="000000" w:fill="000000"/>
                <w:fitText w:val="10" w:id="-1290615803"/>
                <w14:textFill>
                  <w14:solidFill>
                    <w14:srgbClr w14:val="000000">
                      <w14:alpha w14:val="100000"/>
                    </w14:srgbClr>
                  </w14:solidFill>
                </w14:textFill>
              </w:rPr>
              <w:t xml:space="preserve">　</w:t>
            </w:r>
            <w:r w:rsidR="000E333A" w:rsidRPr="000E333A">
              <w:rPr>
                <w:rFonts w:ascii="Arial Narrow" w:hAnsi="Arial Narrow"/>
                <w:sz w:val="20"/>
                <w:szCs w:val="20"/>
              </w:rPr>
              <w:t xml:space="preserve"> </w:t>
            </w:r>
            <w:r w:rsidRPr="001F7CF2">
              <w:rPr>
                <w:rFonts w:ascii="Arial Narrow" w:hAnsi="Arial Narrow"/>
                <w:sz w:val="20"/>
                <w:szCs w:val="20"/>
              </w:rPr>
              <w:t>Published</w:t>
            </w:r>
          </w:p>
          <w:p w14:paraId="6B22596C" w14:textId="08911AFF"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w:t>
            </w:r>
            <w:r w:rsidR="001328F0" w:rsidRPr="001328F0">
              <w:rPr>
                <w:rFonts w:ascii="Arial Narrow" w:hAnsi="Arial Narrow"/>
                <w:color w:val="000000"/>
                <w:sz w:val="20"/>
                <w:szCs w:val="20"/>
                <w:shd w:val="solid" w:color="000000" w:fill="000000"/>
                <w14:textFill>
                  <w14:solidFill>
                    <w14:srgbClr w14:val="000000">
                      <w14:alpha w14:val="100000"/>
                    </w14:srgbClr>
                  </w14:solidFill>
                </w14:textFill>
              </w:rPr>
              <w:t>|</w:t>
            </w:r>
            <w:r w:rsidR="000E333A" w:rsidRPr="000E333A">
              <w:rPr>
                <w:rFonts w:ascii="Arial Narrow" w:hAnsi="Arial Narrow"/>
                <w:sz w:val="20"/>
                <w:szCs w:val="20"/>
              </w:rPr>
              <w:t xml:space="preserve"> </w:t>
            </w:r>
            <w:r w:rsidRPr="00C4404D">
              <w:rPr>
                <w:rFonts w:ascii="Arial Narrow" w:hAnsi="Arial Narrow"/>
                <w:sz w:val="20"/>
                <w:szCs w:val="20"/>
              </w:rPr>
              <w:t>Effective</w:t>
            </w:r>
          </w:p>
        </w:tc>
        <w:tc>
          <w:tcPr>
            <w:tcW w:w="614" w:type="pct"/>
            <w:vAlign w:val="center"/>
          </w:tcPr>
          <w:p w14:paraId="1FCD6F89" w14:textId="77777777"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1</w:t>
            </w:r>
          </w:p>
        </w:tc>
        <w:tc>
          <w:tcPr>
            <w:tcW w:w="538" w:type="pct"/>
            <w:vAlign w:val="center"/>
          </w:tcPr>
          <w:p w14:paraId="273C9271" w14:textId="77777777"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2</w:t>
            </w:r>
          </w:p>
        </w:tc>
        <w:tc>
          <w:tcPr>
            <w:tcW w:w="460" w:type="pct"/>
            <w:vAlign w:val="center"/>
          </w:tcPr>
          <w:p w14:paraId="59CAD151" w14:textId="77777777" w:rsidR="00C761BE" w:rsidRPr="00C4404D" w:rsidRDefault="00C761BE" w:rsidP="0041323B">
            <w:pPr>
              <w:keepNext/>
              <w:keepLines/>
              <w:jc w:val="center"/>
              <w:rPr>
                <w:rFonts w:ascii="Arial Narrow" w:hAnsi="Arial Narrow"/>
                <w:sz w:val="20"/>
                <w:szCs w:val="20"/>
              </w:rPr>
            </w:pPr>
            <w:r w:rsidRPr="00C4404D">
              <w:rPr>
                <w:rFonts w:ascii="Arial Narrow" w:hAnsi="Arial Narrow"/>
                <w:sz w:val="20"/>
                <w:szCs w:val="20"/>
              </w:rPr>
              <w:t>0</w:t>
            </w:r>
          </w:p>
        </w:tc>
        <w:tc>
          <w:tcPr>
            <w:tcW w:w="625" w:type="pct"/>
            <w:vAlign w:val="center"/>
          </w:tcPr>
          <w:p w14:paraId="54CCE937" w14:textId="72CAB2E3" w:rsidR="00C761BE" w:rsidRPr="00C4404D" w:rsidRDefault="00C761BE" w:rsidP="0041323B">
            <w:pPr>
              <w:keepNext/>
              <w:keepLines/>
              <w:jc w:val="left"/>
              <w:rPr>
                <w:rFonts w:ascii="Arial Narrow" w:hAnsi="Arial Narrow"/>
                <w:sz w:val="20"/>
                <w:szCs w:val="20"/>
              </w:rPr>
            </w:pPr>
            <w:r w:rsidRPr="00C4404D">
              <w:rPr>
                <w:rFonts w:ascii="Arial Narrow" w:hAnsi="Arial Narrow"/>
                <w:sz w:val="20"/>
                <w:szCs w:val="20"/>
              </w:rPr>
              <w:t>Sunlenca</w:t>
            </w:r>
          </w:p>
        </w:tc>
      </w:tr>
    </w:tbl>
    <w:p w14:paraId="4AC64FEA" w14:textId="11A4747C" w:rsidR="00247DE8" w:rsidRPr="00C4404D" w:rsidRDefault="00247DE8" w:rsidP="00247DE8">
      <w:pPr>
        <w:pStyle w:val="TableFooter"/>
        <w:keepNext/>
        <w:keepLines/>
      </w:pPr>
      <w:r w:rsidRPr="00C4404D">
        <w:t>Source: Table 1-10, p30 of the submission</w:t>
      </w:r>
      <w:r w:rsidR="005530C2">
        <w:t xml:space="preserve"> and</w:t>
      </w:r>
      <w:r w:rsidR="00FD3218">
        <w:t xml:space="preserve"> the submission summary.</w:t>
      </w:r>
    </w:p>
    <w:p w14:paraId="684C1B75" w14:textId="77777777" w:rsidR="00247DE8" w:rsidRDefault="00247DE8" w:rsidP="00CC22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265DB0" w:rsidRPr="00007C47" w14:paraId="5FBD8810" w14:textId="77777777" w:rsidTr="00265DB0">
        <w:tc>
          <w:tcPr>
            <w:tcW w:w="5000" w:type="pct"/>
            <w:tcBorders>
              <w:top w:val="single" w:sz="4" w:space="0" w:color="auto"/>
              <w:left w:val="single" w:sz="4" w:space="0" w:color="auto"/>
              <w:bottom w:val="single" w:sz="4" w:space="0" w:color="auto"/>
              <w:right w:val="single" w:sz="4" w:space="0" w:color="auto"/>
            </w:tcBorders>
          </w:tcPr>
          <w:p w14:paraId="20650D57" w14:textId="77777777" w:rsidR="00265DB0" w:rsidRPr="00007C47" w:rsidRDefault="00265DB0" w:rsidP="0041323B">
            <w:pPr>
              <w:rPr>
                <w:rFonts w:ascii="Arial Narrow" w:hAnsi="Arial Narrow"/>
                <w:sz w:val="20"/>
                <w:szCs w:val="20"/>
              </w:rPr>
            </w:pPr>
            <w:r w:rsidRPr="00007C47">
              <w:rPr>
                <w:rFonts w:ascii="Arial Narrow" w:hAnsi="Arial Narrow"/>
                <w:b/>
                <w:sz w:val="20"/>
                <w:szCs w:val="20"/>
              </w:rPr>
              <w:t xml:space="preserve">Category / Program: </w:t>
            </w:r>
            <w:r w:rsidRPr="00007C47">
              <w:rPr>
                <w:rFonts w:ascii="Arial Narrow" w:hAnsi="Arial Narrow"/>
                <w:sz w:val="20"/>
                <w:szCs w:val="20"/>
              </w:rPr>
              <w:t xml:space="preserve">Section 100 – Highly Specialised Drugs Program {Community Access} </w:t>
            </w:r>
          </w:p>
        </w:tc>
      </w:tr>
      <w:tr w:rsidR="00265DB0" w:rsidRPr="00007C47" w14:paraId="1FFB22AD" w14:textId="77777777" w:rsidTr="00265DB0">
        <w:trPr>
          <w:trHeight w:val="88"/>
        </w:trPr>
        <w:tc>
          <w:tcPr>
            <w:tcW w:w="5000" w:type="pct"/>
            <w:tcBorders>
              <w:top w:val="single" w:sz="4" w:space="0" w:color="auto"/>
              <w:left w:val="single" w:sz="4" w:space="0" w:color="auto"/>
              <w:bottom w:val="single" w:sz="4" w:space="0" w:color="auto"/>
              <w:right w:val="single" w:sz="4" w:space="0" w:color="auto"/>
            </w:tcBorders>
          </w:tcPr>
          <w:p w14:paraId="46720A1F" w14:textId="77777777" w:rsidR="00265DB0" w:rsidRPr="00007C47" w:rsidRDefault="00265DB0" w:rsidP="0041323B">
            <w:pPr>
              <w:rPr>
                <w:rFonts w:ascii="Arial Narrow" w:hAnsi="Arial Narrow"/>
                <w:sz w:val="20"/>
                <w:szCs w:val="20"/>
              </w:rPr>
            </w:pPr>
            <w:r w:rsidRPr="00007C47">
              <w:rPr>
                <w:rFonts w:ascii="Arial Narrow" w:hAnsi="Arial Narrow"/>
                <w:b/>
                <w:sz w:val="20"/>
                <w:szCs w:val="20"/>
              </w:rPr>
              <w:t xml:space="preserve">Prescriber type:  </w:t>
            </w:r>
            <w:r w:rsidRPr="00007C47">
              <w:rPr>
                <w:rFonts w:ascii="Arial Narrow" w:hAnsi="Arial Narrow"/>
                <w:sz w:val="20"/>
                <w:szCs w:val="20"/>
              </w:rPr>
              <w:fldChar w:fldCharType="begin">
                <w:ffData>
                  <w:name w:val=""/>
                  <w:enabled/>
                  <w:calcOnExit w:val="0"/>
                  <w:checkBox>
                    <w:sizeAuto/>
                    <w:default w:val="1"/>
                  </w:checkBox>
                </w:ffData>
              </w:fldChar>
            </w:r>
            <w:r w:rsidRPr="00007C47">
              <w:rPr>
                <w:rFonts w:ascii="Arial Narrow" w:hAnsi="Arial Narrow"/>
                <w:sz w:val="20"/>
                <w:szCs w:val="20"/>
              </w:rPr>
              <w:instrText xml:space="preserve"> FORMCHECKBOX </w:instrText>
            </w:r>
            <w:r w:rsidR="0050086F">
              <w:rPr>
                <w:rFonts w:ascii="Arial Narrow" w:hAnsi="Arial Narrow"/>
                <w:sz w:val="20"/>
                <w:szCs w:val="20"/>
              </w:rPr>
            </w:r>
            <w:r w:rsidR="0050086F">
              <w:rPr>
                <w:rFonts w:ascii="Arial Narrow" w:hAnsi="Arial Narrow"/>
                <w:sz w:val="20"/>
                <w:szCs w:val="20"/>
              </w:rPr>
              <w:fldChar w:fldCharType="separate"/>
            </w:r>
            <w:r w:rsidRPr="00007C47">
              <w:rPr>
                <w:rFonts w:ascii="Arial Narrow" w:hAnsi="Arial Narrow"/>
                <w:sz w:val="20"/>
                <w:szCs w:val="20"/>
              </w:rPr>
              <w:fldChar w:fldCharType="end"/>
            </w:r>
            <w:r w:rsidRPr="00007C47">
              <w:rPr>
                <w:rFonts w:ascii="Arial Narrow" w:hAnsi="Arial Narrow"/>
                <w:sz w:val="20"/>
                <w:szCs w:val="20"/>
              </w:rPr>
              <w:t xml:space="preserve">Medical Practitioners  </w:t>
            </w:r>
            <w:r w:rsidRPr="00007C47">
              <w:rPr>
                <w:rFonts w:ascii="Arial Narrow" w:hAnsi="Arial Narrow"/>
                <w:sz w:val="20"/>
                <w:szCs w:val="20"/>
              </w:rPr>
              <w:fldChar w:fldCharType="begin">
                <w:ffData>
                  <w:name w:val="Check3"/>
                  <w:enabled/>
                  <w:calcOnExit w:val="0"/>
                  <w:checkBox>
                    <w:sizeAuto/>
                    <w:default w:val="1"/>
                  </w:checkBox>
                </w:ffData>
              </w:fldChar>
            </w:r>
            <w:r w:rsidRPr="00007C47">
              <w:rPr>
                <w:rFonts w:ascii="Arial Narrow" w:hAnsi="Arial Narrow"/>
                <w:sz w:val="20"/>
                <w:szCs w:val="20"/>
              </w:rPr>
              <w:instrText xml:space="preserve"> FORMCHECKBOX </w:instrText>
            </w:r>
            <w:r w:rsidR="0050086F">
              <w:rPr>
                <w:rFonts w:ascii="Arial Narrow" w:hAnsi="Arial Narrow"/>
                <w:sz w:val="20"/>
                <w:szCs w:val="20"/>
              </w:rPr>
            </w:r>
            <w:r w:rsidR="0050086F">
              <w:rPr>
                <w:rFonts w:ascii="Arial Narrow" w:hAnsi="Arial Narrow"/>
                <w:sz w:val="20"/>
                <w:szCs w:val="20"/>
              </w:rPr>
              <w:fldChar w:fldCharType="separate"/>
            </w:r>
            <w:r w:rsidRPr="00007C47">
              <w:rPr>
                <w:rFonts w:ascii="Arial Narrow" w:hAnsi="Arial Narrow"/>
                <w:sz w:val="20"/>
                <w:szCs w:val="20"/>
              </w:rPr>
              <w:fldChar w:fldCharType="end"/>
            </w:r>
            <w:r w:rsidRPr="00007C47">
              <w:rPr>
                <w:rFonts w:ascii="Arial Narrow" w:hAnsi="Arial Narrow"/>
                <w:sz w:val="20"/>
                <w:szCs w:val="20"/>
              </w:rPr>
              <w:t xml:space="preserve">Nurse practitioners </w:t>
            </w:r>
          </w:p>
        </w:tc>
      </w:tr>
      <w:tr w:rsidR="00265DB0" w:rsidRPr="00007C47" w14:paraId="6DA1C55D" w14:textId="77777777" w:rsidTr="00265DB0">
        <w:tc>
          <w:tcPr>
            <w:tcW w:w="5000" w:type="pct"/>
            <w:tcBorders>
              <w:top w:val="single" w:sz="4" w:space="0" w:color="auto"/>
              <w:left w:val="single" w:sz="4" w:space="0" w:color="auto"/>
              <w:bottom w:val="single" w:sz="4" w:space="0" w:color="auto"/>
              <w:right w:val="single" w:sz="4" w:space="0" w:color="auto"/>
            </w:tcBorders>
          </w:tcPr>
          <w:p w14:paraId="199E6BFF" w14:textId="653DAF6A" w:rsidR="00265DB0" w:rsidRPr="00007C47" w:rsidRDefault="00265DB0" w:rsidP="0041323B">
            <w:pPr>
              <w:rPr>
                <w:rFonts w:ascii="Arial Narrow" w:hAnsi="Arial Narrow"/>
                <w:sz w:val="20"/>
                <w:szCs w:val="20"/>
              </w:rPr>
            </w:pPr>
            <w:r w:rsidRPr="00007C47">
              <w:rPr>
                <w:rFonts w:ascii="Arial Narrow" w:hAnsi="Arial Narrow"/>
                <w:b/>
                <w:sz w:val="20"/>
                <w:szCs w:val="20"/>
              </w:rPr>
              <w:t xml:space="preserve">Restriction </w:t>
            </w:r>
            <w:r>
              <w:rPr>
                <w:rFonts w:ascii="Arial Narrow" w:hAnsi="Arial Narrow"/>
                <w:b/>
                <w:sz w:val="20"/>
                <w:szCs w:val="20"/>
              </w:rPr>
              <w:t>type</w:t>
            </w:r>
            <w:r w:rsidRPr="00007C47">
              <w:rPr>
                <w:rFonts w:ascii="Arial Narrow" w:hAnsi="Arial Narrow"/>
                <w:b/>
                <w:sz w:val="20"/>
                <w:szCs w:val="20"/>
              </w:rPr>
              <w:t>:</w:t>
            </w:r>
            <w:r>
              <w:rPr>
                <w:rFonts w:ascii="Arial Narrow" w:hAnsi="Arial Narrow"/>
                <w:b/>
                <w:sz w:val="20"/>
                <w:szCs w:val="20"/>
              </w:rPr>
              <w:t xml:space="preserve"> </w:t>
            </w:r>
            <w:r w:rsidRPr="00007C47">
              <w:rPr>
                <w:rFonts w:ascii="Arial Narrow" w:hAnsi="Arial Narrow"/>
                <w:sz w:val="20"/>
                <w:szCs w:val="20"/>
              </w:rPr>
              <w:fldChar w:fldCharType="begin">
                <w:ffData>
                  <w:name w:val=""/>
                  <w:enabled/>
                  <w:calcOnExit w:val="0"/>
                  <w:checkBox>
                    <w:sizeAuto/>
                    <w:default w:val="1"/>
                  </w:checkBox>
                </w:ffData>
              </w:fldChar>
            </w:r>
            <w:r w:rsidRPr="00007C47">
              <w:rPr>
                <w:rFonts w:ascii="Arial Narrow" w:hAnsi="Arial Narrow"/>
                <w:sz w:val="20"/>
                <w:szCs w:val="20"/>
              </w:rPr>
              <w:instrText xml:space="preserve"> FORMCHECKBOX </w:instrText>
            </w:r>
            <w:r w:rsidR="0050086F">
              <w:rPr>
                <w:rFonts w:ascii="Arial Narrow" w:hAnsi="Arial Narrow"/>
                <w:sz w:val="20"/>
                <w:szCs w:val="20"/>
              </w:rPr>
            </w:r>
            <w:r w:rsidR="0050086F">
              <w:rPr>
                <w:rFonts w:ascii="Arial Narrow" w:hAnsi="Arial Narrow"/>
                <w:sz w:val="20"/>
                <w:szCs w:val="20"/>
              </w:rPr>
              <w:fldChar w:fldCharType="separate"/>
            </w:r>
            <w:r w:rsidRPr="00007C47">
              <w:rPr>
                <w:rFonts w:ascii="Arial Narrow" w:hAnsi="Arial Narrow"/>
                <w:sz w:val="20"/>
                <w:szCs w:val="20"/>
              </w:rPr>
              <w:fldChar w:fldCharType="end"/>
            </w:r>
            <w:r w:rsidRPr="00007C47">
              <w:rPr>
                <w:rFonts w:ascii="Arial Narrow" w:hAnsi="Arial Narrow"/>
                <w:sz w:val="20"/>
                <w:szCs w:val="20"/>
              </w:rPr>
              <w:t>Authority Required (Streamlined) [code new 2B]</w:t>
            </w:r>
          </w:p>
        </w:tc>
      </w:tr>
      <w:tr w:rsidR="00265DB0" w:rsidRPr="00007C47" w14:paraId="173D25A7" w14:textId="77777777" w:rsidTr="00265DB0">
        <w:tc>
          <w:tcPr>
            <w:tcW w:w="5000" w:type="pct"/>
            <w:vAlign w:val="center"/>
          </w:tcPr>
          <w:p w14:paraId="2FD4F163" w14:textId="4924BA6C" w:rsidR="00265DB0" w:rsidRPr="00007C47" w:rsidRDefault="00265DB0" w:rsidP="0041323B">
            <w:pPr>
              <w:rPr>
                <w:rFonts w:ascii="Arial Narrow" w:hAnsi="Arial Narrow"/>
                <w:b/>
                <w:bCs/>
                <w:i/>
                <w:iCs/>
                <w:color w:val="333333"/>
                <w:sz w:val="20"/>
                <w:szCs w:val="20"/>
              </w:rPr>
            </w:pPr>
          </w:p>
        </w:tc>
      </w:tr>
      <w:tr w:rsidR="00265DB0" w:rsidRPr="00007C47" w14:paraId="6C8D8CF7" w14:textId="77777777" w:rsidTr="00265DB0">
        <w:tc>
          <w:tcPr>
            <w:tcW w:w="5000" w:type="pct"/>
            <w:vAlign w:val="center"/>
            <w:hideMark/>
          </w:tcPr>
          <w:p w14:paraId="13819067"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Indication:</w:t>
            </w:r>
            <w:r w:rsidRPr="00007C47">
              <w:rPr>
                <w:rFonts w:ascii="Arial Narrow" w:hAnsi="Arial Narrow"/>
                <w:color w:val="333333"/>
                <w:sz w:val="20"/>
                <w:szCs w:val="20"/>
              </w:rPr>
              <w:t xml:space="preserve"> </w:t>
            </w:r>
            <w:r w:rsidRPr="00007C47">
              <w:rPr>
                <w:rFonts w:ascii="Arial Narrow" w:hAnsi="Arial Narrow"/>
                <w:i/>
                <w:iCs/>
                <w:color w:val="333333"/>
                <w:sz w:val="20"/>
                <w:szCs w:val="20"/>
              </w:rPr>
              <w:t>Human immunodeficiency virus (HIV) infection</w:t>
            </w:r>
          </w:p>
        </w:tc>
      </w:tr>
      <w:tr w:rsidR="00265DB0" w:rsidRPr="00007C47" w14:paraId="240A28EA" w14:textId="77777777" w:rsidTr="00265DB0">
        <w:tc>
          <w:tcPr>
            <w:tcW w:w="5000" w:type="pct"/>
            <w:vAlign w:val="center"/>
          </w:tcPr>
          <w:p w14:paraId="0572E6BA" w14:textId="77777777" w:rsidR="00265DB0" w:rsidRPr="00007C47" w:rsidRDefault="00265DB0" w:rsidP="0041323B">
            <w:pPr>
              <w:rPr>
                <w:rFonts w:ascii="Arial Narrow" w:hAnsi="Arial Narrow"/>
                <w:b/>
                <w:bCs/>
                <w:color w:val="333333"/>
                <w:sz w:val="20"/>
                <w:szCs w:val="20"/>
              </w:rPr>
            </w:pPr>
          </w:p>
        </w:tc>
      </w:tr>
      <w:tr w:rsidR="00265DB0" w:rsidRPr="00007C47" w14:paraId="61352860" w14:textId="77777777" w:rsidTr="00265DB0">
        <w:tc>
          <w:tcPr>
            <w:tcW w:w="5000" w:type="pct"/>
            <w:vAlign w:val="center"/>
            <w:hideMark/>
          </w:tcPr>
          <w:p w14:paraId="1849C5C7" w14:textId="03FAAFB2"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Treatment Phase:</w:t>
            </w:r>
            <w:r w:rsidRPr="00007C47">
              <w:rPr>
                <w:rFonts w:ascii="Arial Narrow" w:hAnsi="Arial Narrow"/>
                <w:color w:val="333333"/>
                <w:sz w:val="20"/>
                <w:szCs w:val="20"/>
              </w:rPr>
              <w:t xml:space="preserve"> </w:t>
            </w:r>
            <w:r>
              <w:rPr>
                <w:rFonts w:ascii="Arial Narrow" w:hAnsi="Arial Narrow"/>
                <w:color w:val="333333"/>
                <w:sz w:val="20"/>
                <w:szCs w:val="20"/>
              </w:rPr>
              <w:t>[blank]</w:t>
            </w:r>
          </w:p>
        </w:tc>
      </w:tr>
      <w:tr w:rsidR="00265DB0" w:rsidRPr="00007C47" w14:paraId="5F1ACE4A" w14:textId="77777777" w:rsidTr="00265DB0">
        <w:tc>
          <w:tcPr>
            <w:tcW w:w="5000" w:type="pct"/>
            <w:vAlign w:val="center"/>
          </w:tcPr>
          <w:p w14:paraId="1F5D733E" w14:textId="77777777" w:rsidR="00265DB0" w:rsidRPr="00007C47" w:rsidRDefault="00265DB0" w:rsidP="0041323B">
            <w:pPr>
              <w:rPr>
                <w:rFonts w:ascii="Arial Narrow" w:hAnsi="Arial Narrow"/>
                <w:b/>
                <w:bCs/>
                <w:color w:val="333333"/>
                <w:sz w:val="20"/>
                <w:szCs w:val="20"/>
              </w:rPr>
            </w:pPr>
          </w:p>
        </w:tc>
      </w:tr>
      <w:tr w:rsidR="00265DB0" w:rsidRPr="00007C47" w14:paraId="3D6D3519" w14:textId="77777777" w:rsidTr="00265DB0">
        <w:tc>
          <w:tcPr>
            <w:tcW w:w="5000" w:type="pct"/>
            <w:vAlign w:val="center"/>
            <w:hideMark/>
          </w:tcPr>
          <w:p w14:paraId="6AF112DA" w14:textId="77777777" w:rsidR="00265DB0" w:rsidRPr="00007C47" w:rsidRDefault="00265DB0" w:rsidP="0041323B">
            <w:pPr>
              <w:rPr>
                <w:rFonts w:ascii="Arial Narrow" w:hAnsi="Arial Narrow"/>
                <w:strike/>
                <w:color w:val="333333"/>
                <w:sz w:val="20"/>
                <w:szCs w:val="20"/>
              </w:rPr>
            </w:pPr>
            <w:r w:rsidRPr="00007C47">
              <w:rPr>
                <w:rFonts w:ascii="Arial Narrow" w:hAnsi="Arial Narrow"/>
                <w:b/>
                <w:bCs/>
                <w:strike/>
                <w:color w:val="333333"/>
                <w:sz w:val="20"/>
                <w:szCs w:val="20"/>
              </w:rPr>
              <w:t>Clinical criteria:</w:t>
            </w:r>
          </w:p>
        </w:tc>
      </w:tr>
      <w:tr w:rsidR="00265DB0" w:rsidRPr="00007C47" w14:paraId="072E1FAD" w14:textId="77777777" w:rsidTr="00265DB0">
        <w:tc>
          <w:tcPr>
            <w:tcW w:w="5000" w:type="pct"/>
            <w:vAlign w:val="center"/>
            <w:hideMark/>
          </w:tcPr>
          <w:p w14:paraId="4D030044" w14:textId="77777777" w:rsidR="00265DB0" w:rsidRPr="00007C47" w:rsidRDefault="00265DB0" w:rsidP="0041323B">
            <w:pPr>
              <w:rPr>
                <w:rFonts w:ascii="Arial Narrow" w:hAnsi="Arial Narrow"/>
                <w:strike/>
                <w:color w:val="333333"/>
                <w:sz w:val="20"/>
                <w:szCs w:val="20"/>
              </w:rPr>
            </w:pPr>
            <w:r w:rsidRPr="00007C47">
              <w:rPr>
                <w:rFonts w:ascii="Arial Narrow" w:hAnsi="Arial Narrow"/>
                <w:strike/>
                <w:color w:val="333333"/>
                <w:sz w:val="20"/>
                <w:szCs w:val="20"/>
              </w:rPr>
              <w:t>Patient must have multidrug resistant HIV-1 infection,</w:t>
            </w:r>
          </w:p>
        </w:tc>
      </w:tr>
      <w:tr w:rsidR="00265DB0" w:rsidRPr="00007C47" w14:paraId="48F1617F" w14:textId="77777777" w:rsidTr="00265DB0">
        <w:tc>
          <w:tcPr>
            <w:tcW w:w="5000" w:type="pct"/>
            <w:vAlign w:val="center"/>
          </w:tcPr>
          <w:p w14:paraId="0509182E"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 xml:space="preserve">Clinical criteria: </w:t>
            </w:r>
          </w:p>
        </w:tc>
      </w:tr>
      <w:tr w:rsidR="00265DB0" w:rsidRPr="00007C47" w14:paraId="1AF5AB61" w14:textId="77777777" w:rsidTr="00265DB0">
        <w:tc>
          <w:tcPr>
            <w:tcW w:w="5000" w:type="pct"/>
            <w:vAlign w:val="center"/>
          </w:tcPr>
          <w:p w14:paraId="08D97F4F" w14:textId="77777777" w:rsidR="00265DB0" w:rsidRPr="00007C47" w:rsidRDefault="00265DB0" w:rsidP="0041323B">
            <w:pPr>
              <w:rPr>
                <w:rFonts w:ascii="Arial Narrow" w:hAnsi="Arial Narrow"/>
                <w:i/>
                <w:iCs/>
                <w:color w:val="333333"/>
                <w:sz w:val="20"/>
                <w:szCs w:val="20"/>
              </w:rPr>
            </w:pPr>
            <w:r w:rsidRPr="00007C47">
              <w:rPr>
                <w:rFonts w:ascii="Arial Narrow" w:hAnsi="Arial Narrow" w:cs="Arial Narrow"/>
                <w:i/>
                <w:iCs/>
                <w:sz w:val="20"/>
                <w:szCs w:val="20"/>
              </w:rPr>
              <w:t xml:space="preserve">The condition must be resistant (this includes virological failure/clinical failure/genotypic resistance) to multiple drugs to the extent that there are no more than 2 fully active HIV-antivirals remaining from the 4 main antiretroviral classes that could be effectively combined to form a viable treatment regimen. </w:t>
            </w:r>
          </w:p>
        </w:tc>
      </w:tr>
      <w:tr w:rsidR="00265DB0" w:rsidRPr="00007C47" w14:paraId="5534409D" w14:textId="77777777" w:rsidTr="00265DB0">
        <w:tc>
          <w:tcPr>
            <w:tcW w:w="5000" w:type="pct"/>
            <w:vAlign w:val="center"/>
            <w:hideMark/>
          </w:tcPr>
          <w:p w14:paraId="208CD0D5"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AND</w:t>
            </w:r>
          </w:p>
        </w:tc>
      </w:tr>
      <w:tr w:rsidR="00265DB0" w:rsidRPr="00007C47" w14:paraId="34F47DEF" w14:textId="77777777" w:rsidTr="00265DB0">
        <w:tc>
          <w:tcPr>
            <w:tcW w:w="5000" w:type="pct"/>
            <w:vAlign w:val="center"/>
            <w:hideMark/>
          </w:tcPr>
          <w:p w14:paraId="15FA0DEA" w14:textId="77777777" w:rsidR="00265DB0" w:rsidRPr="00007C47" w:rsidRDefault="00265DB0" w:rsidP="0041323B">
            <w:pPr>
              <w:rPr>
                <w:rFonts w:ascii="Arial Narrow" w:hAnsi="Arial Narrow"/>
                <w:strike/>
                <w:color w:val="333333"/>
                <w:sz w:val="20"/>
                <w:szCs w:val="20"/>
              </w:rPr>
            </w:pPr>
            <w:r w:rsidRPr="00007C47">
              <w:rPr>
                <w:rFonts w:ascii="Arial Narrow" w:hAnsi="Arial Narrow"/>
                <w:b/>
                <w:bCs/>
                <w:strike/>
                <w:color w:val="333333"/>
                <w:sz w:val="20"/>
                <w:szCs w:val="20"/>
              </w:rPr>
              <w:t>Clinical criteria:</w:t>
            </w:r>
          </w:p>
        </w:tc>
      </w:tr>
      <w:tr w:rsidR="00265DB0" w:rsidRPr="00007C47" w14:paraId="31FA703D" w14:textId="77777777" w:rsidTr="00265DB0">
        <w:tc>
          <w:tcPr>
            <w:tcW w:w="5000" w:type="pct"/>
            <w:vAlign w:val="center"/>
            <w:hideMark/>
          </w:tcPr>
          <w:p w14:paraId="0B9A1A95" w14:textId="77777777" w:rsidR="00265DB0" w:rsidRPr="00007C47" w:rsidRDefault="00265DB0" w:rsidP="0041323B">
            <w:pPr>
              <w:rPr>
                <w:rFonts w:ascii="Arial Narrow" w:hAnsi="Arial Narrow"/>
                <w:strike/>
                <w:color w:val="333333"/>
                <w:sz w:val="20"/>
                <w:szCs w:val="20"/>
              </w:rPr>
            </w:pPr>
            <w:r w:rsidRPr="00007C47">
              <w:rPr>
                <w:rFonts w:ascii="Arial Narrow" w:hAnsi="Arial Narrow"/>
                <w:i/>
                <w:iCs/>
                <w:strike/>
                <w:color w:val="333333"/>
                <w:sz w:val="20"/>
                <w:szCs w:val="20"/>
              </w:rPr>
              <w:t>Patient must</w:t>
            </w:r>
            <w:r w:rsidRPr="00007C47">
              <w:rPr>
                <w:rFonts w:ascii="Arial Narrow" w:hAnsi="Arial Narrow"/>
                <w:strike/>
                <w:color w:val="333333"/>
                <w:sz w:val="20"/>
                <w:szCs w:val="20"/>
              </w:rPr>
              <w:t xml:space="preserve"> have no more than 2 fully active agents remaining from the 4 main antiretroviral classes that can be effectively combined to form a viable regimen,</w:t>
            </w:r>
          </w:p>
        </w:tc>
      </w:tr>
      <w:tr w:rsidR="00265DB0" w:rsidRPr="00007C47" w14:paraId="61908A48" w14:textId="77777777" w:rsidTr="00265DB0">
        <w:tc>
          <w:tcPr>
            <w:tcW w:w="5000" w:type="pct"/>
            <w:vAlign w:val="center"/>
            <w:hideMark/>
          </w:tcPr>
          <w:p w14:paraId="6888C23D"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AND</w:t>
            </w:r>
          </w:p>
        </w:tc>
      </w:tr>
      <w:tr w:rsidR="00265DB0" w:rsidRPr="00007C47" w14:paraId="287C0514" w14:textId="77777777" w:rsidTr="00265DB0">
        <w:tc>
          <w:tcPr>
            <w:tcW w:w="5000" w:type="pct"/>
            <w:vAlign w:val="center"/>
            <w:hideMark/>
          </w:tcPr>
          <w:p w14:paraId="3BF7B232"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Clinical criteria:</w:t>
            </w:r>
          </w:p>
        </w:tc>
      </w:tr>
      <w:tr w:rsidR="00265DB0" w:rsidRPr="00007C47" w14:paraId="244B2F35" w14:textId="77777777" w:rsidTr="00265DB0">
        <w:tc>
          <w:tcPr>
            <w:tcW w:w="5000" w:type="pct"/>
            <w:vAlign w:val="center"/>
            <w:hideMark/>
          </w:tcPr>
          <w:p w14:paraId="5B6A9E63" w14:textId="77777777" w:rsidR="00265DB0" w:rsidRPr="00007C47" w:rsidRDefault="00265DB0" w:rsidP="0041323B">
            <w:pPr>
              <w:autoSpaceDE w:val="0"/>
              <w:autoSpaceDN w:val="0"/>
              <w:adjustRightInd w:val="0"/>
              <w:rPr>
                <w:rFonts w:ascii="Arial Narrow" w:hAnsi="Arial Narrow" w:cs="Arial Narrow"/>
                <w:sz w:val="20"/>
                <w:szCs w:val="20"/>
              </w:rPr>
            </w:pPr>
            <w:r w:rsidRPr="00007C47">
              <w:rPr>
                <w:rFonts w:ascii="Arial Narrow" w:hAnsi="Arial Narrow" w:cs="Arial Narrow"/>
                <w:sz w:val="20"/>
                <w:szCs w:val="20"/>
              </w:rPr>
              <w:t>The treatment must be in addition to optimised background therapy.</w:t>
            </w:r>
          </w:p>
        </w:tc>
      </w:tr>
      <w:tr w:rsidR="00265DB0" w:rsidRPr="00007C47" w14:paraId="03491A77" w14:textId="77777777" w:rsidTr="00265DB0">
        <w:tc>
          <w:tcPr>
            <w:tcW w:w="5000" w:type="pct"/>
            <w:vAlign w:val="center"/>
          </w:tcPr>
          <w:p w14:paraId="1B7C1BF4" w14:textId="77777777" w:rsidR="00265DB0" w:rsidRPr="00007C47" w:rsidRDefault="00265DB0" w:rsidP="0041323B">
            <w:pPr>
              <w:autoSpaceDE w:val="0"/>
              <w:autoSpaceDN w:val="0"/>
              <w:adjustRightInd w:val="0"/>
              <w:rPr>
                <w:rFonts w:ascii="Arial Narrow" w:hAnsi="Arial Narrow" w:cs="Arial Narrow"/>
                <w:sz w:val="20"/>
                <w:szCs w:val="20"/>
              </w:rPr>
            </w:pPr>
          </w:p>
        </w:tc>
      </w:tr>
      <w:tr w:rsidR="00265DB0" w:rsidRPr="00007C47" w14:paraId="2F242FF8" w14:textId="77777777" w:rsidTr="00265DB0">
        <w:tc>
          <w:tcPr>
            <w:tcW w:w="5000" w:type="pct"/>
            <w:vAlign w:val="center"/>
          </w:tcPr>
          <w:p w14:paraId="15D1FA8E" w14:textId="77777777" w:rsidR="00265DB0" w:rsidRPr="00007C47" w:rsidRDefault="00265DB0" w:rsidP="0041323B">
            <w:pPr>
              <w:autoSpaceDE w:val="0"/>
              <w:autoSpaceDN w:val="0"/>
              <w:adjustRightInd w:val="0"/>
              <w:rPr>
                <w:rFonts w:ascii="Arial Narrow" w:hAnsi="Arial Narrow" w:cs="Arial Narrow"/>
                <w:b/>
                <w:bCs/>
                <w:sz w:val="20"/>
                <w:szCs w:val="20"/>
              </w:rPr>
            </w:pPr>
            <w:r w:rsidRPr="00007C47">
              <w:rPr>
                <w:rFonts w:ascii="Arial Narrow" w:hAnsi="Arial Narrow" w:cs="Arial Narrow"/>
                <w:b/>
                <w:bCs/>
                <w:sz w:val="20"/>
                <w:szCs w:val="20"/>
              </w:rPr>
              <w:t>Prescribing Instructions:</w:t>
            </w:r>
          </w:p>
          <w:p w14:paraId="3385CD5D" w14:textId="77777777" w:rsidR="00265DB0" w:rsidRPr="00007C47" w:rsidRDefault="00265DB0" w:rsidP="0041323B">
            <w:pPr>
              <w:autoSpaceDE w:val="0"/>
              <w:autoSpaceDN w:val="0"/>
              <w:adjustRightInd w:val="0"/>
              <w:rPr>
                <w:rFonts w:ascii="Arial Narrow" w:hAnsi="Arial Narrow" w:cs="Arial Narrow"/>
                <w:i/>
                <w:iCs/>
                <w:sz w:val="20"/>
                <w:szCs w:val="20"/>
              </w:rPr>
            </w:pPr>
            <w:r w:rsidRPr="00007C47">
              <w:rPr>
                <w:rFonts w:ascii="Arial Narrow" w:hAnsi="Arial Narrow" w:cs="Arial Narrow"/>
                <w:i/>
                <w:iCs/>
                <w:sz w:val="20"/>
                <w:szCs w:val="20"/>
              </w:rPr>
              <w:t>Virological failure is defined as a viral load greater than 400 copies per mL on two consecutive occasions, while clinical failure is linked to emerging signs and symptoms of progressing HIV infection or treatment-limiting toxicity.</w:t>
            </w:r>
          </w:p>
        </w:tc>
      </w:tr>
      <w:tr w:rsidR="00265DB0" w:rsidRPr="00007C47" w14:paraId="445EDEA0" w14:textId="77777777" w:rsidTr="00265DB0">
        <w:tc>
          <w:tcPr>
            <w:tcW w:w="5000" w:type="pct"/>
            <w:vAlign w:val="center"/>
          </w:tcPr>
          <w:p w14:paraId="4B45807B" w14:textId="77777777" w:rsidR="00265DB0" w:rsidRPr="00007C47" w:rsidRDefault="00265DB0" w:rsidP="0041323B">
            <w:pPr>
              <w:autoSpaceDE w:val="0"/>
              <w:autoSpaceDN w:val="0"/>
              <w:adjustRightInd w:val="0"/>
              <w:rPr>
                <w:rFonts w:ascii="Arial Narrow" w:hAnsi="Arial Narrow" w:cs="Arial Narrow"/>
                <w:b/>
                <w:bCs/>
                <w:sz w:val="20"/>
                <w:szCs w:val="20"/>
              </w:rPr>
            </w:pPr>
          </w:p>
        </w:tc>
      </w:tr>
      <w:tr w:rsidR="00265DB0" w:rsidRPr="00007C47" w14:paraId="654B9871" w14:textId="77777777" w:rsidTr="00265DB0">
        <w:tc>
          <w:tcPr>
            <w:tcW w:w="5000" w:type="pct"/>
            <w:vAlign w:val="center"/>
            <w:hideMark/>
          </w:tcPr>
          <w:p w14:paraId="315FFDBA" w14:textId="77777777" w:rsidR="00265DB0" w:rsidRPr="00007C47" w:rsidRDefault="00265DB0" w:rsidP="0041323B">
            <w:pPr>
              <w:rPr>
                <w:rFonts w:ascii="Arial Narrow" w:hAnsi="Arial Narrow"/>
                <w:bCs/>
                <w:color w:val="333333"/>
                <w:sz w:val="20"/>
                <w:szCs w:val="20"/>
              </w:rPr>
            </w:pPr>
            <w:r w:rsidRPr="00007C47">
              <w:rPr>
                <w:rFonts w:ascii="Arial Narrow" w:hAnsi="Arial Narrow"/>
                <w:b/>
                <w:bCs/>
                <w:color w:val="333333"/>
                <w:sz w:val="20"/>
                <w:szCs w:val="20"/>
              </w:rPr>
              <w:t>Administrative Advice:</w:t>
            </w:r>
            <w:r w:rsidRPr="00007C47">
              <w:rPr>
                <w:rFonts w:ascii="Arial Narrow" w:hAnsi="Arial Narrow"/>
                <w:bCs/>
                <w:color w:val="333333"/>
                <w:sz w:val="20"/>
                <w:szCs w:val="20"/>
              </w:rPr>
              <w:t xml:space="preserve"> </w:t>
            </w:r>
          </w:p>
          <w:p w14:paraId="4A95863C" w14:textId="77777777" w:rsidR="00265DB0" w:rsidRPr="00007C47" w:rsidRDefault="00265DB0" w:rsidP="0041323B">
            <w:pPr>
              <w:rPr>
                <w:rFonts w:ascii="Arial Narrow" w:hAnsi="Arial Narrow"/>
                <w:i/>
                <w:iCs/>
                <w:color w:val="333333"/>
                <w:sz w:val="20"/>
                <w:szCs w:val="20"/>
              </w:rPr>
            </w:pPr>
            <w:r w:rsidRPr="00007C47">
              <w:rPr>
                <w:rFonts w:ascii="Arial Narrow" w:hAnsi="Arial Narrow"/>
                <w:i/>
                <w:iCs/>
                <w:color w:val="333333"/>
                <w:sz w:val="20"/>
                <w:szCs w:val="20"/>
              </w:rPr>
              <w:t>Genotypic resistance to individual anti-retroviral drugs should be determined by genotypic testing.</w:t>
            </w:r>
          </w:p>
        </w:tc>
      </w:tr>
      <w:tr w:rsidR="00265DB0" w:rsidRPr="00007C47" w14:paraId="03542765" w14:textId="77777777" w:rsidTr="00265DB0">
        <w:tc>
          <w:tcPr>
            <w:tcW w:w="5000" w:type="pct"/>
            <w:vAlign w:val="center"/>
            <w:hideMark/>
          </w:tcPr>
          <w:p w14:paraId="2270A36A" w14:textId="77777777" w:rsidR="00265DB0" w:rsidRPr="00007C47" w:rsidRDefault="00265DB0" w:rsidP="0041323B">
            <w:pPr>
              <w:rPr>
                <w:rFonts w:ascii="Arial Narrow" w:hAnsi="Arial Narrow"/>
                <w:color w:val="333333"/>
                <w:sz w:val="20"/>
                <w:szCs w:val="20"/>
              </w:rPr>
            </w:pPr>
            <w:r w:rsidRPr="00007C47">
              <w:rPr>
                <w:rFonts w:ascii="Arial Narrow" w:hAnsi="Arial Narrow"/>
                <w:b/>
                <w:bCs/>
                <w:color w:val="333333"/>
                <w:sz w:val="20"/>
                <w:szCs w:val="20"/>
              </w:rPr>
              <w:t xml:space="preserve">Administrative Advice: </w:t>
            </w:r>
          </w:p>
          <w:p w14:paraId="5639D2AD" w14:textId="77777777" w:rsidR="00265DB0" w:rsidRPr="00007C47" w:rsidRDefault="00265DB0" w:rsidP="0041323B">
            <w:pPr>
              <w:rPr>
                <w:rFonts w:ascii="Arial Narrow" w:hAnsi="Arial Narrow"/>
                <w:i/>
                <w:iCs/>
                <w:color w:val="333333"/>
                <w:sz w:val="20"/>
                <w:szCs w:val="20"/>
              </w:rPr>
            </w:pPr>
            <w:r w:rsidRPr="00007C47">
              <w:rPr>
                <w:rFonts w:ascii="Arial Narrow" w:hAnsi="Arial Narrow"/>
                <w:i/>
                <w:iCs/>
                <w:color w:val="333333"/>
                <w:sz w:val="20"/>
                <w:szCs w:val="20"/>
              </w:rPr>
              <w:t>For the purposes of this restriction, the four main antiretroviral classes include nucleotide/nucleoside reverse transcriptase inhibitors (NRTIs), non-nucleoside reverse transcriptase inhibitors (NNRTIs), integrase strand transfer inhibitors (INTSIs) and protease inhibitors (PIs).</w:t>
            </w:r>
          </w:p>
        </w:tc>
      </w:tr>
      <w:tr w:rsidR="00265DB0" w:rsidRPr="00007C47" w14:paraId="747E1FA3" w14:textId="77777777" w:rsidTr="00265DB0">
        <w:tc>
          <w:tcPr>
            <w:tcW w:w="5000" w:type="pct"/>
            <w:vAlign w:val="center"/>
          </w:tcPr>
          <w:p w14:paraId="6BCEEBEF" w14:textId="77777777" w:rsidR="00265DB0" w:rsidRPr="00007C47" w:rsidRDefault="00265DB0" w:rsidP="0041323B">
            <w:pPr>
              <w:rPr>
                <w:rFonts w:ascii="Arial Narrow" w:hAnsi="Arial Narrow"/>
                <w:bCs/>
                <w:color w:val="333333"/>
                <w:sz w:val="20"/>
                <w:szCs w:val="20"/>
              </w:rPr>
            </w:pPr>
            <w:r w:rsidRPr="00007C47">
              <w:rPr>
                <w:rFonts w:ascii="Arial Narrow" w:hAnsi="Arial Narrow"/>
                <w:b/>
                <w:bCs/>
                <w:color w:val="333333"/>
                <w:sz w:val="20"/>
                <w:szCs w:val="20"/>
              </w:rPr>
              <w:t>Administrative Advice:</w:t>
            </w:r>
            <w:r w:rsidRPr="00007C47">
              <w:rPr>
                <w:rFonts w:ascii="Arial Narrow" w:hAnsi="Arial Narrow"/>
                <w:bCs/>
                <w:color w:val="333333"/>
                <w:sz w:val="20"/>
                <w:szCs w:val="20"/>
              </w:rPr>
              <w:t xml:space="preserve"> </w:t>
            </w:r>
          </w:p>
          <w:p w14:paraId="7C3E137A" w14:textId="77777777" w:rsidR="00265DB0" w:rsidRPr="00007C47" w:rsidRDefault="00265DB0" w:rsidP="0041323B">
            <w:pPr>
              <w:rPr>
                <w:rFonts w:ascii="Arial Narrow" w:hAnsi="Arial Narrow"/>
                <w:i/>
                <w:iCs/>
                <w:color w:val="333333"/>
                <w:sz w:val="20"/>
                <w:szCs w:val="20"/>
              </w:rPr>
            </w:pPr>
            <w:r w:rsidRPr="00007C47">
              <w:rPr>
                <w:rFonts w:ascii="Arial Narrow" w:hAnsi="Arial Narrow"/>
                <w:i/>
                <w:iCs/>
                <w:color w:val="333333"/>
                <w:sz w:val="20"/>
                <w:szCs w:val="20"/>
              </w:rPr>
              <w:t>Initiating treatment with lenacapavir injection should include oral dosing on days 1 and 2 of treatment.</w:t>
            </w:r>
          </w:p>
        </w:tc>
      </w:tr>
      <w:tr w:rsidR="00265DB0" w:rsidRPr="00007C47" w14:paraId="2FF9B29A" w14:textId="77777777" w:rsidTr="00265DB0">
        <w:tc>
          <w:tcPr>
            <w:tcW w:w="5000" w:type="pct"/>
            <w:tcBorders>
              <w:top w:val="single" w:sz="4" w:space="0" w:color="auto"/>
              <w:left w:val="single" w:sz="4" w:space="0" w:color="auto"/>
              <w:bottom w:val="single" w:sz="4" w:space="0" w:color="auto"/>
              <w:right w:val="single" w:sz="4" w:space="0" w:color="auto"/>
            </w:tcBorders>
            <w:vAlign w:val="center"/>
          </w:tcPr>
          <w:p w14:paraId="43DA7CFC" w14:textId="5748AACD" w:rsidR="00265DB0" w:rsidRPr="00E457E3" w:rsidRDefault="00265DB0" w:rsidP="006148D6">
            <w:pPr>
              <w:rPr>
                <w:rFonts w:ascii="Arial Narrow" w:hAnsi="Arial Narrow"/>
                <w:b/>
                <w:bCs/>
                <w:color w:val="333333"/>
                <w:sz w:val="20"/>
                <w:szCs w:val="20"/>
              </w:rPr>
            </w:pPr>
            <w:r w:rsidRPr="00007C47">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E457E3">
              <w:rPr>
                <w:rFonts w:ascii="Arial Narrow" w:hAnsi="Arial Narrow"/>
                <w:color w:val="333333"/>
                <w:sz w:val="20"/>
                <w:szCs w:val="20"/>
              </w:rPr>
              <w:t>No increase in the maximum quantity or number of units may be authorised.</w:t>
            </w:r>
          </w:p>
        </w:tc>
      </w:tr>
      <w:tr w:rsidR="00265DB0" w:rsidRPr="00007C47" w14:paraId="1375E7E9" w14:textId="77777777" w:rsidTr="00265DB0">
        <w:tc>
          <w:tcPr>
            <w:tcW w:w="5000" w:type="pct"/>
            <w:tcBorders>
              <w:top w:val="single" w:sz="4" w:space="0" w:color="auto"/>
              <w:left w:val="single" w:sz="4" w:space="0" w:color="auto"/>
              <w:bottom w:val="single" w:sz="4" w:space="0" w:color="auto"/>
              <w:right w:val="single" w:sz="4" w:space="0" w:color="auto"/>
            </w:tcBorders>
            <w:vAlign w:val="center"/>
          </w:tcPr>
          <w:p w14:paraId="28A66B7A" w14:textId="0ED0F57E" w:rsidR="00265DB0" w:rsidRPr="00E457E3" w:rsidRDefault="00265DB0" w:rsidP="006148D6">
            <w:pPr>
              <w:rPr>
                <w:rFonts w:ascii="Arial Narrow" w:hAnsi="Arial Narrow"/>
                <w:b/>
                <w:bCs/>
                <w:color w:val="333333"/>
                <w:sz w:val="20"/>
                <w:szCs w:val="20"/>
              </w:rPr>
            </w:pPr>
            <w:r w:rsidRPr="00007C47">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E457E3">
              <w:rPr>
                <w:rFonts w:ascii="Arial Narrow" w:hAnsi="Arial Narrow"/>
                <w:color w:val="333333"/>
                <w:sz w:val="20"/>
                <w:szCs w:val="20"/>
              </w:rPr>
              <w:t>No increase in the maximum number of repeats may be authorised.</w:t>
            </w:r>
          </w:p>
        </w:tc>
      </w:tr>
      <w:tr w:rsidR="00265DB0" w:rsidRPr="00007C47" w14:paraId="56073CD1" w14:textId="77777777" w:rsidTr="00265DB0">
        <w:tc>
          <w:tcPr>
            <w:tcW w:w="5000" w:type="pct"/>
            <w:tcBorders>
              <w:top w:val="single" w:sz="4" w:space="0" w:color="auto"/>
              <w:left w:val="single" w:sz="4" w:space="0" w:color="auto"/>
              <w:bottom w:val="single" w:sz="4" w:space="0" w:color="auto"/>
              <w:right w:val="single" w:sz="4" w:space="0" w:color="auto"/>
            </w:tcBorders>
            <w:vAlign w:val="center"/>
          </w:tcPr>
          <w:p w14:paraId="71B8B511" w14:textId="334C40F1" w:rsidR="00265DB0" w:rsidRPr="00E457E3" w:rsidRDefault="00265DB0" w:rsidP="006148D6">
            <w:pPr>
              <w:rPr>
                <w:rFonts w:ascii="Arial Narrow" w:hAnsi="Arial Narrow"/>
                <w:b/>
                <w:bCs/>
                <w:color w:val="333333"/>
                <w:sz w:val="20"/>
                <w:szCs w:val="20"/>
              </w:rPr>
            </w:pPr>
            <w:r w:rsidRPr="00007C47">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E457E3">
              <w:rPr>
                <w:rFonts w:ascii="Arial Narrow" w:hAnsi="Arial Narrow"/>
                <w:color w:val="333333"/>
                <w:sz w:val="20"/>
                <w:szCs w:val="20"/>
              </w:rPr>
              <w:t>Special Pricing Arrangements apply.</w:t>
            </w:r>
          </w:p>
        </w:tc>
      </w:tr>
    </w:tbl>
    <w:bookmarkEnd w:id="11"/>
    <w:p w14:paraId="07CA90E1" w14:textId="509ADBCA" w:rsidR="00CC2233" w:rsidRPr="00E52AC5" w:rsidRDefault="00CC2233" w:rsidP="005B1CE7">
      <w:pPr>
        <w:pStyle w:val="ExecSumBodyText"/>
        <w:numPr>
          <w:ilvl w:val="1"/>
          <w:numId w:val="1"/>
        </w:numPr>
        <w:spacing w:before="120"/>
      </w:pPr>
      <w:r w:rsidRPr="00E52AC5">
        <w:t xml:space="preserve">The requested restriction was narrower than the </w:t>
      </w:r>
      <w:r w:rsidR="00F67586" w:rsidRPr="00E52AC5">
        <w:t xml:space="preserve">proposed </w:t>
      </w:r>
      <w:r w:rsidRPr="00E52AC5">
        <w:t xml:space="preserve">TGA indication in that it specified that no more than two </w:t>
      </w:r>
      <w:r w:rsidR="004F3A79" w:rsidRPr="00C4404D">
        <w:t>antiretroviral</w:t>
      </w:r>
      <w:r w:rsidR="004F3A79">
        <w:t>s</w:t>
      </w:r>
      <w:r w:rsidR="004F3A79" w:rsidRPr="00E52AC5">
        <w:t xml:space="preserve"> </w:t>
      </w:r>
      <w:r w:rsidR="004F3A79">
        <w:t>(</w:t>
      </w:r>
      <w:r w:rsidRPr="00E52AC5">
        <w:t>ARV</w:t>
      </w:r>
      <w:r w:rsidR="00B45B17" w:rsidRPr="00E52AC5">
        <w:t>s</w:t>
      </w:r>
      <w:r w:rsidR="004F3A79">
        <w:t>)</w:t>
      </w:r>
      <w:r w:rsidRPr="00E52AC5">
        <w:t xml:space="preserve"> must remain active in the clinical criteria whereas the requested TGA indication did not specify the number of active ARV </w:t>
      </w:r>
      <w:r w:rsidR="00C55097" w:rsidRPr="00E52AC5">
        <w:t xml:space="preserve">agents </w:t>
      </w:r>
      <w:r w:rsidRPr="00E52AC5">
        <w:t>required for a definition of multidrug-resistant HIV-1 infection.</w:t>
      </w:r>
      <w:r w:rsidR="001A4E66" w:rsidRPr="00E52AC5">
        <w:t xml:space="preserve"> </w:t>
      </w:r>
    </w:p>
    <w:p w14:paraId="0124AB2F" w14:textId="1DB2F09C" w:rsidR="00CC2233" w:rsidRPr="00E52AC5" w:rsidRDefault="00CC2233" w:rsidP="007F5371">
      <w:pPr>
        <w:pStyle w:val="ExecSumBodyText"/>
        <w:numPr>
          <w:ilvl w:val="1"/>
          <w:numId w:val="1"/>
        </w:numPr>
      </w:pPr>
      <w:r w:rsidRPr="00E52AC5">
        <w:t xml:space="preserve">There was some ambiguity in the wording of the clinical criteria in the requested restriction. The clinical criteria in the requested restriction states that a patient must </w:t>
      </w:r>
      <w:r w:rsidR="004F3A79">
        <w:t>‘</w:t>
      </w:r>
      <w:r w:rsidRPr="00E52AC5">
        <w:t>have no more than 2 fully active agents remaining from the 4 main antiretroviral classes that can be effectively combined to form a viable regimen</w:t>
      </w:r>
      <w:r w:rsidR="004F3A79">
        <w:t>’</w:t>
      </w:r>
      <w:r w:rsidRPr="00E52AC5">
        <w:t>. Th</w:t>
      </w:r>
      <w:r w:rsidR="004961F4" w:rsidRPr="00E52AC5">
        <w:t>e Pre-Sub-Committee Response (PSCR) clarified the intent of the restriction should</w:t>
      </w:r>
      <w:r w:rsidRPr="00E52AC5">
        <w:t xml:space="preserve"> be interpreted as:</w:t>
      </w:r>
    </w:p>
    <w:p w14:paraId="76C7DA53" w14:textId="5FEEC5F9" w:rsidR="00CC2233" w:rsidRPr="00E52AC5" w:rsidRDefault="00CC2233" w:rsidP="006E25BD">
      <w:pPr>
        <w:pStyle w:val="ListParagraph"/>
        <w:ind w:left="1134"/>
      </w:pPr>
      <w:r w:rsidRPr="00E52AC5">
        <w:t xml:space="preserve">Patients would only be eligible for lenacapavir if they have no more than two fully active agents remaining from </w:t>
      </w:r>
      <w:r w:rsidR="00AC36AA" w:rsidRPr="00E52AC5">
        <w:t xml:space="preserve">any </w:t>
      </w:r>
      <w:r w:rsidRPr="00E52AC5">
        <w:t xml:space="preserve">of the 4 main </w:t>
      </w:r>
      <w:r w:rsidR="001F7A2A" w:rsidRPr="00E52AC5">
        <w:t xml:space="preserve">ARV </w:t>
      </w:r>
      <w:r w:rsidRPr="00E52AC5">
        <w:t xml:space="preserve">classes that can be effectively combined to form a viable regimen. That is, among all ARVs which belong to the </w:t>
      </w:r>
      <w:r w:rsidR="00E666AC" w:rsidRPr="00E52AC5">
        <w:t xml:space="preserve">nucleoside and nucleotide reverse transcriptase inhibitors (NRTIs), non-nucleoside reverse transcriptase inhibitors (NNRTI), integrase strand transfer inhibitors (INSTI) and protease inhibitor (PI) classes </w:t>
      </w:r>
      <w:r w:rsidRPr="00E52AC5">
        <w:t>(of which there are 20 based on ASHM guidelines</w:t>
      </w:r>
      <w:r w:rsidRPr="00E52AC5">
        <w:rPr>
          <w:vertAlign w:val="superscript"/>
        </w:rPr>
        <w:footnoteReference w:id="2"/>
      </w:r>
      <w:r w:rsidRPr="00E52AC5">
        <w:t xml:space="preserve">), the patient must have at least partial resistance to </w:t>
      </w:r>
      <w:r w:rsidRPr="00E52AC5">
        <w:rPr>
          <w:rFonts w:cstheme="minorHAnsi"/>
        </w:rPr>
        <w:t>≥</w:t>
      </w:r>
      <w:r w:rsidR="004F3A79">
        <w:rPr>
          <w:rFonts w:cstheme="minorHAnsi"/>
        </w:rPr>
        <w:t xml:space="preserve"> </w:t>
      </w:r>
      <w:r w:rsidRPr="00E52AC5">
        <w:t xml:space="preserve">18 ARVs, and have </w:t>
      </w:r>
      <w:r w:rsidR="00452721" w:rsidRPr="00E52AC5">
        <w:rPr>
          <w:rFonts w:cstheme="minorHAnsi"/>
        </w:rPr>
        <w:t>≤</w:t>
      </w:r>
      <w:r w:rsidR="004F3A79">
        <w:rPr>
          <w:rFonts w:cstheme="minorHAnsi"/>
        </w:rPr>
        <w:t xml:space="preserve"> </w:t>
      </w:r>
      <w:r w:rsidR="00452721" w:rsidRPr="00E52AC5">
        <w:t xml:space="preserve">2 </w:t>
      </w:r>
      <w:r w:rsidRPr="00E52AC5">
        <w:t xml:space="preserve">fully active ARVs </w:t>
      </w:r>
      <w:r w:rsidR="00452721" w:rsidRPr="00E52AC5">
        <w:t xml:space="preserve">across all </w:t>
      </w:r>
      <w:r w:rsidRPr="00E52AC5">
        <w:t>classes to form a viable regimen</w:t>
      </w:r>
      <w:r w:rsidR="004961F4" w:rsidRPr="00E52AC5">
        <w:t>.</w:t>
      </w:r>
    </w:p>
    <w:p w14:paraId="58B76E26" w14:textId="58D4ADDC" w:rsidR="00C761BE" w:rsidRDefault="00C761BE" w:rsidP="00C761BE">
      <w:pPr>
        <w:pStyle w:val="3-BodyText"/>
      </w:pPr>
      <w:bookmarkStart w:id="12" w:name="_Ref120717886"/>
      <w:r>
        <w:t xml:space="preserve">The Secretariat proposed changes to more explicitly define highly </w:t>
      </w:r>
      <w:r w:rsidR="004F3A79">
        <w:t>multidrug resistant (</w:t>
      </w:r>
      <w:r>
        <w:t>MDR</w:t>
      </w:r>
      <w:r w:rsidR="004F3A79">
        <w:t>)</w:t>
      </w:r>
      <w:r>
        <w:t xml:space="preserve"> HIV infection and virologic </w:t>
      </w:r>
      <w:r w:rsidR="00053BEA">
        <w:t>failure</w:t>
      </w:r>
      <w:r>
        <w:t xml:space="preserve"> with ARVs in the restriction.</w:t>
      </w:r>
      <w:bookmarkEnd w:id="12"/>
      <w:r w:rsidR="00E457E3">
        <w:t xml:space="preserve"> </w:t>
      </w:r>
      <w:r w:rsidR="0003293D">
        <w:t>The PBAC considered that a simpler restriction, similar to maraviroc’s restriction, would be more practical as it frames the number of past treatments in an affirmative manner</w:t>
      </w:r>
      <w:r w:rsidR="00265DB0">
        <w:t>,</w:t>
      </w:r>
      <w:r w:rsidR="0003293D">
        <w:t xml:space="preserve"> whereas the proposed restriction requires a complex exercise of deduction</w:t>
      </w:r>
      <w:r w:rsidR="00743307">
        <w:t xml:space="preserve"> involving a large number of permutations</w:t>
      </w:r>
      <w:r w:rsidR="0003293D">
        <w:t>.</w:t>
      </w:r>
    </w:p>
    <w:p w14:paraId="6009F985" w14:textId="77777777" w:rsidR="00735FA4" w:rsidRDefault="00735FA4" w:rsidP="00735FA4">
      <w:pPr>
        <w:ind w:firstLine="709"/>
        <w:rPr>
          <w:rFonts w:asciiTheme="minorHAnsi" w:hAnsiTheme="minorHAnsi" w:cs="Times New Roman"/>
          <w:i/>
        </w:rPr>
      </w:pPr>
      <w:bookmarkStart w:id="13" w:name="_Hlk76375324"/>
      <w:r>
        <w:rPr>
          <w:rFonts w:asciiTheme="minorHAnsi" w:hAnsiTheme="minorHAnsi"/>
          <w:i/>
        </w:rPr>
        <w:t>For more detail on PBAC’s view, see section 7 PBAC outcome.</w:t>
      </w:r>
      <w:bookmarkEnd w:id="13"/>
    </w:p>
    <w:p w14:paraId="423B58E2" w14:textId="77777777" w:rsidR="00CC2233" w:rsidRPr="00C4404D" w:rsidDel="00195452" w:rsidRDefault="00CC2233" w:rsidP="00CC2233">
      <w:pPr>
        <w:pStyle w:val="2-SectionHeading"/>
      </w:pPr>
      <w:bookmarkStart w:id="14" w:name="_Toc114048765"/>
      <w:r w:rsidRPr="00C4404D" w:rsidDel="00195452">
        <w:lastRenderedPageBreak/>
        <w:t>Population and disease</w:t>
      </w:r>
      <w:bookmarkEnd w:id="14"/>
    </w:p>
    <w:p w14:paraId="79CDAAC4" w14:textId="46044F98" w:rsidR="00CC2233" w:rsidRPr="00C4404D" w:rsidRDefault="00CC2233" w:rsidP="00E30033">
      <w:pPr>
        <w:pStyle w:val="3-BodyText"/>
        <w:numPr>
          <w:ilvl w:val="1"/>
          <w:numId w:val="43"/>
        </w:numPr>
      </w:pPr>
      <w:r w:rsidRPr="00E30033">
        <w:rPr>
          <w:color w:val="000000" w:themeColor="text1"/>
        </w:rPr>
        <w:t xml:space="preserve">HIV is a retrovirus that infects host cells via reverse transcription of its viral ribonucleic acid (RNA) and integration of the resulting viral deoxyribonucleic acid (DNA) into the host’s genome (Deeks 2015). </w:t>
      </w:r>
      <w:r w:rsidR="00520C7E" w:rsidRPr="00E30033">
        <w:rPr>
          <w:color w:val="000000" w:themeColor="text1"/>
        </w:rPr>
        <w:t>I</w:t>
      </w:r>
      <w:r w:rsidRPr="00C4404D">
        <w:t>nadequate treatment of HIV infection leads to the depletion of CD4 T cells, the development of AIDS-defining events and, ultimately, death (Deeks 2015).</w:t>
      </w:r>
      <w:r w:rsidRPr="00E30033">
        <w:rPr>
          <w:color w:val="000000" w:themeColor="text1"/>
        </w:rPr>
        <w:t xml:space="preserve"> Among patients unable to maintain virologic suppression for long periods of time, there is a subset of </w:t>
      </w:r>
      <w:r w:rsidR="00520C7E" w:rsidRPr="00E30033">
        <w:rPr>
          <w:color w:val="000000" w:themeColor="text1"/>
        </w:rPr>
        <w:t>people living with HIV (</w:t>
      </w:r>
      <w:r w:rsidRPr="00E30033">
        <w:rPr>
          <w:color w:val="000000" w:themeColor="text1"/>
        </w:rPr>
        <w:t>PLWH</w:t>
      </w:r>
      <w:r w:rsidR="00520C7E" w:rsidRPr="00E30033">
        <w:rPr>
          <w:color w:val="000000" w:themeColor="text1"/>
        </w:rPr>
        <w:t>)</w:t>
      </w:r>
      <w:r w:rsidRPr="00E30033">
        <w:rPr>
          <w:color w:val="000000" w:themeColor="text1"/>
        </w:rPr>
        <w:t xml:space="preserve"> who are highly </w:t>
      </w:r>
      <w:r w:rsidR="00520C7E" w:rsidRPr="00E30033">
        <w:rPr>
          <w:color w:val="000000" w:themeColor="text1"/>
        </w:rPr>
        <w:t>multidrug resistant (</w:t>
      </w:r>
      <w:r w:rsidR="008F7A35" w:rsidRPr="00E30033">
        <w:rPr>
          <w:color w:val="000000" w:themeColor="text1"/>
        </w:rPr>
        <w:t>h</w:t>
      </w:r>
      <w:r w:rsidRPr="00E30033">
        <w:rPr>
          <w:color w:val="000000" w:themeColor="text1"/>
        </w:rPr>
        <w:t>MDR</w:t>
      </w:r>
      <w:r w:rsidR="00520C7E" w:rsidRPr="00E30033">
        <w:rPr>
          <w:color w:val="000000" w:themeColor="text1"/>
        </w:rPr>
        <w:t>)</w:t>
      </w:r>
      <w:r w:rsidRPr="00E30033">
        <w:rPr>
          <w:color w:val="000000" w:themeColor="text1"/>
        </w:rPr>
        <w:t xml:space="preserve"> and they </w:t>
      </w:r>
      <w:r w:rsidR="009D17C6" w:rsidRPr="00E30033">
        <w:rPr>
          <w:color w:val="000000" w:themeColor="text1"/>
        </w:rPr>
        <w:t xml:space="preserve">usually have </w:t>
      </w:r>
      <w:r w:rsidRPr="00E30033">
        <w:rPr>
          <w:color w:val="000000" w:themeColor="text1"/>
        </w:rPr>
        <w:t>a history of virologic failure on multiple lines of treatment, due to the development of resistance mutations to multiple drug classes</w:t>
      </w:r>
      <w:r w:rsidR="009D17C6" w:rsidRPr="00E30033">
        <w:rPr>
          <w:color w:val="000000" w:themeColor="text1"/>
        </w:rPr>
        <w:t>.</w:t>
      </w:r>
      <w:r w:rsidRPr="00E30033">
        <w:rPr>
          <w:color w:val="000000" w:themeColor="text1"/>
        </w:rPr>
        <w:t xml:space="preserve"> Evidence indicates that there is a higher </w:t>
      </w:r>
      <w:r w:rsidRPr="00C4404D">
        <w:t xml:space="preserve">rate of mortality in PLWH who are highly MDR </w:t>
      </w:r>
      <w:r w:rsidR="004F49B9" w:rsidRPr="00C4404D">
        <w:t xml:space="preserve">compared to PLWH who are not highly MDR </w:t>
      </w:r>
      <w:r w:rsidRPr="00C4404D">
        <w:t>(Gagliardini 2020</w:t>
      </w:r>
      <w:r w:rsidR="00CE7CE3">
        <w:t>;</w:t>
      </w:r>
      <w:r w:rsidRPr="00C4404D">
        <w:t xml:space="preserve"> Galli 2020</w:t>
      </w:r>
      <w:r w:rsidR="00CE7CE3">
        <w:t>;</w:t>
      </w:r>
      <w:r w:rsidRPr="00C4404D">
        <w:t xml:space="preserve"> Mauro 2007</w:t>
      </w:r>
      <w:r w:rsidR="00CE7CE3">
        <w:t>;</w:t>
      </w:r>
      <w:r w:rsidRPr="00C4404D">
        <w:t xml:space="preserve"> Pelchen-Matthews 2021).</w:t>
      </w:r>
    </w:p>
    <w:p w14:paraId="621D2B25" w14:textId="5902843E" w:rsidR="00CC2233" w:rsidRPr="00C4404D" w:rsidRDefault="00CC2233" w:rsidP="00CC2233">
      <w:pPr>
        <w:pStyle w:val="3-BodyText"/>
      </w:pPr>
      <w:r w:rsidRPr="00C4404D">
        <w:t xml:space="preserve">Lenacapavir is proposed, in combination with </w:t>
      </w:r>
      <w:r w:rsidR="006218AD" w:rsidRPr="00C4404D">
        <w:t>OBR</w:t>
      </w:r>
      <w:r w:rsidRPr="00C4404D">
        <w:t xml:space="preserve">, for the treatment of patients who are highly MDR after development of resistance to multiple regimens, and who have no more than </w:t>
      </w:r>
      <w:r w:rsidR="006218AD" w:rsidRPr="00C4404D">
        <w:t>two</w:t>
      </w:r>
      <w:r w:rsidRPr="00C4404D">
        <w:t xml:space="preserve"> fully active agents remaining from the </w:t>
      </w:r>
      <w:r w:rsidR="006218AD" w:rsidRPr="00C4404D">
        <w:t>four</w:t>
      </w:r>
      <w:r w:rsidRPr="00C4404D">
        <w:t xml:space="preserve"> main </w:t>
      </w:r>
      <w:r w:rsidR="001F7A2A" w:rsidRPr="00C4404D">
        <w:t xml:space="preserve">ARV </w:t>
      </w:r>
      <w:r w:rsidRPr="00C4404D">
        <w:t xml:space="preserve">classes </w:t>
      </w:r>
      <w:r w:rsidR="006218AD" w:rsidRPr="00C4404D">
        <w:t xml:space="preserve">(NRTI, NNRTI, INSTI and PI) </w:t>
      </w:r>
      <w:r w:rsidRPr="00C4404D">
        <w:t>that can be effectively combined to form a viable regimen.</w:t>
      </w:r>
    </w:p>
    <w:p w14:paraId="78C70B3D" w14:textId="76DF7CAA" w:rsidR="00735FA4" w:rsidRPr="00735FA4" w:rsidRDefault="00CC2233" w:rsidP="00735FA4">
      <w:pPr>
        <w:pStyle w:val="3-BodyText"/>
        <w:rPr>
          <w:color w:val="000000" w:themeColor="text1"/>
        </w:rPr>
      </w:pPr>
      <w:r w:rsidRPr="00C4404D">
        <w:t>Lenacapavir is a</w:t>
      </w:r>
      <w:r w:rsidR="00A42568">
        <w:t xml:space="preserve"> novel</w:t>
      </w:r>
      <w:r w:rsidRPr="00C4404D">
        <w:t xml:space="preserve"> HIV-1 capsid inhibitor. The capsid surrounds HIV’s </w:t>
      </w:r>
      <w:r w:rsidRPr="00C4404D">
        <w:rPr>
          <w:color w:val="000000" w:themeColor="text1"/>
        </w:rPr>
        <w:t>genetic material. By binding directly between the capsid protein subunits, lenacapavir inhibits three steps of the viral lifecycle: capsid-mediated nuclear uptake of HIV proviral DNA, virus assembly and release, and capsid core formation.</w:t>
      </w:r>
    </w:p>
    <w:p w14:paraId="3E49037F" w14:textId="77777777" w:rsidR="00735FA4" w:rsidRDefault="00735FA4" w:rsidP="00735FA4">
      <w:pPr>
        <w:ind w:firstLine="709"/>
        <w:rPr>
          <w:rFonts w:asciiTheme="minorHAnsi" w:hAnsiTheme="minorHAnsi" w:cs="Times New Roman"/>
          <w:i/>
        </w:rPr>
      </w:pPr>
      <w:r>
        <w:rPr>
          <w:rFonts w:asciiTheme="minorHAnsi" w:hAnsiTheme="minorHAnsi"/>
          <w:i/>
        </w:rPr>
        <w:t>For more detail on PBAC’s view, see section 7 PBAC outcome.</w:t>
      </w:r>
    </w:p>
    <w:p w14:paraId="54BA3530" w14:textId="77777777" w:rsidR="00CC2233" w:rsidRPr="00C4404D" w:rsidRDefault="00CC2233" w:rsidP="00CC2233">
      <w:pPr>
        <w:pStyle w:val="2-SectionHeading"/>
      </w:pPr>
      <w:bookmarkStart w:id="15" w:name="_Toc114048766"/>
      <w:r w:rsidRPr="00C4404D">
        <w:t>Comparator</w:t>
      </w:r>
      <w:bookmarkEnd w:id="15"/>
    </w:p>
    <w:p w14:paraId="069746E3" w14:textId="22BA9306" w:rsidR="00CC2233" w:rsidRPr="00E30033" w:rsidRDefault="00CC2233" w:rsidP="00E30033">
      <w:pPr>
        <w:pStyle w:val="3-BodyText"/>
        <w:numPr>
          <w:ilvl w:val="1"/>
          <w:numId w:val="44"/>
        </w:numPr>
        <w:rPr>
          <w:snapToGrid/>
        </w:rPr>
      </w:pPr>
      <w:r w:rsidRPr="00E30033">
        <w:rPr>
          <w:snapToGrid/>
        </w:rPr>
        <w:t xml:space="preserve">The submission nominated placebo + OBR as the main comparator. As placebo is not used in the clinical setting, the more </w:t>
      </w:r>
      <w:r w:rsidR="006218AD" w:rsidRPr="00E30033">
        <w:rPr>
          <w:snapToGrid/>
        </w:rPr>
        <w:t>accurate</w:t>
      </w:r>
      <w:r w:rsidRPr="00E30033">
        <w:rPr>
          <w:snapToGrid/>
        </w:rPr>
        <w:t xml:space="preserve"> comparator </w:t>
      </w:r>
      <w:r w:rsidR="006218AD" w:rsidRPr="00E30033">
        <w:rPr>
          <w:snapToGrid/>
        </w:rPr>
        <w:t xml:space="preserve">description </w:t>
      </w:r>
      <w:r w:rsidR="00B41896" w:rsidRPr="00E30033">
        <w:rPr>
          <w:snapToGrid/>
        </w:rPr>
        <w:t>is</w:t>
      </w:r>
      <w:r w:rsidR="00E95781" w:rsidRPr="00E30033">
        <w:rPr>
          <w:snapToGrid/>
        </w:rPr>
        <w:t xml:space="preserve"> </w:t>
      </w:r>
      <w:r w:rsidRPr="00E30033">
        <w:rPr>
          <w:snapToGrid/>
        </w:rPr>
        <w:t>OBR</w:t>
      </w:r>
      <w:r w:rsidR="008D419C" w:rsidRPr="00E30033">
        <w:rPr>
          <w:snapToGrid/>
        </w:rPr>
        <w:t>.</w:t>
      </w:r>
    </w:p>
    <w:p w14:paraId="74871AC6" w14:textId="56C7A9E1" w:rsidR="00CC2233" w:rsidRPr="007F3195" w:rsidRDefault="00CC2233" w:rsidP="00CC2233">
      <w:pPr>
        <w:pStyle w:val="3-BodyText"/>
        <w:rPr>
          <w:snapToGrid/>
        </w:rPr>
      </w:pPr>
      <w:r w:rsidRPr="007F3195">
        <w:t>OBR refers to ARVs that are given to PLWH</w:t>
      </w:r>
      <w:r w:rsidR="00B7330B" w:rsidRPr="007F3195">
        <w:t xml:space="preserve"> </w:t>
      </w:r>
      <w:r w:rsidRPr="007F3195">
        <w:t>who are highly MDR. The submission considered that OBR represent</w:t>
      </w:r>
      <w:r w:rsidR="009F746C" w:rsidRPr="007F3195">
        <w:t>ed</w:t>
      </w:r>
      <w:r w:rsidRPr="007F3195">
        <w:t xml:space="preserve"> combinations of ARV agents that form multiple regimens that are unique to each patient and </w:t>
      </w:r>
      <w:r w:rsidR="00C14F06">
        <w:t xml:space="preserve">are </w:t>
      </w:r>
      <w:r w:rsidRPr="007F3195">
        <w:t xml:space="preserve">based on the patients’ resistance and tolerability profile. </w:t>
      </w:r>
      <w:r w:rsidR="007438D5" w:rsidRPr="007F3195">
        <w:t xml:space="preserve">An </w:t>
      </w:r>
      <w:r w:rsidRPr="007F3195">
        <w:t>OBR may include any currently PBS listed medicine for HIV treatment including those for PLWH who are highly MDR (as well as investigational agents) which usually consists of two or more ARV agents used concomitantly.</w:t>
      </w:r>
    </w:p>
    <w:p w14:paraId="5D3E690A" w14:textId="5231C376" w:rsidR="007B1ABE" w:rsidRPr="007F3195" w:rsidRDefault="000C41DA" w:rsidP="007B1ABE">
      <w:pPr>
        <w:pStyle w:val="3-BodyText"/>
        <w:rPr>
          <w:snapToGrid/>
        </w:rPr>
      </w:pPr>
      <w:r>
        <w:rPr>
          <w:snapToGrid/>
        </w:rPr>
        <w:t>T</w:t>
      </w:r>
      <w:r w:rsidR="007B1ABE" w:rsidRPr="007F3195">
        <w:rPr>
          <w:snapToGrid/>
        </w:rPr>
        <w:t xml:space="preserve">he </w:t>
      </w:r>
      <w:r w:rsidR="00C90686">
        <w:rPr>
          <w:snapToGrid/>
        </w:rPr>
        <w:t xml:space="preserve">evaluation considered that the </w:t>
      </w:r>
      <w:r w:rsidR="007B1ABE" w:rsidRPr="007F3195">
        <w:rPr>
          <w:snapToGrid/>
        </w:rPr>
        <w:t xml:space="preserve">inclusion of </w:t>
      </w:r>
      <w:r w:rsidR="004801F0" w:rsidRPr="007F3195">
        <w:rPr>
          <w:snapToGrid/>
        </w:rPr>
        <w:t xml:space="preserve">investigational </w:t>
      </w:r>
      <w:r w:rsidR="007B1ABE" w:rsidRPr="007F3195">
        <w:rPr>
          <w:snapToGrid/>
        </w:rPr>
        <w:t xml:space="preserve">agents as part of OBR </w:t>
      </w:r>
      <w:r w:rsidRPr="0021006B">
        <w:rPr>
          <w:snapToGrid/>
        </w:rPr>
        <w:t>may not be</w:t>
      </w:r>
      <w:r w:rsidR="007B1ABE" w:rsidRPr="0021006B">
        <w:rPr>
          <w:snapToGrid/>
        </w:rPr>
        <w:t xml:space="preserve"> appropriate</w:t>
      </w:r>
      <w:r w:rsidR="007B1ABE" w:rsidRPr="007F3195">
        <w:rPr>
          <w:snapToGrid/>
        </w:rPr>
        <w:t>. The PBAC guidelines v5.0 (p</w:t>
      </w:r>
      <w:r w:rsidR="004A1D19">
        <w:rPr>
          <w:snapToGrid/>
        </w:rPr>
        <w:t xml:space="preserve">. </w:t>
      </w:r>
      <w:r w:rsidR="007B1ABE" w:rsidRPr="007F3195">
        <w:rPr>
          <w:snapToGrid/>
        </w:rPr>
        <w:t xml:space="preserve">13) indicate that comparators are usually a PBS listed medicine or standard medical management. The submission however has not provided any supporting evidence to suggest that experimental agents constitute standard medical management in the Australian setting. </w:t>
      </w:r>
    </w:p>
    <w:p w14:paraId="7E1B137D" w14:textId="552B3E12" w:rsidR="00CC2233" w:rsidRPr="00E52AC5" w:rsidRDefault="00CC2233" w:rsidP="00CC2233">
      <w:pPr>
        <w:pStyle w:val="3-BodyText"/>
        <w:rPr>
          <w:snapToGrid/>
        </w:rPr>
      </w:pPr>
      <w:r w:rsidRPr="007F3195">
        <w:t xml:space="preserve">The submission noted that within each ARV class, there is at least one agent that has been determined by the PBAC to be non-inferior to an agent in another ARV class or fixed dose combinations that are non-inferior to other fixed dose combinations. The </w:t>
      </w:r>
      <w:r w:rsidRPr="007F3195">
        <w:lastRenderedPageBreak/>
        <w:t xml:space="preserve">submission claimed that the accepted equivalence across many medications across different ARV classes highlights that OBR </w:t>
      </w:r>
      <w:r w:rsidR="00A84CB2" w:rsidRPr="007F3195">
        <w:t>is</w:t>
      </w:r>
      <w:r w:rsidRPr="007F3195">
        <w:t xml:space="preserve"> tailored to individuals</w:t>
      </w:r>
      <w:r w:rsidR="00A84CB2" w:rsidRPr="007F3195">
        <w:t xml:space="preserve"> and</w:t>
      </w:r>
      <w:r w:rsidRPr="007F3195">
        <w:t xml:space="preserve"> the exact combination of OBR is of lesser importance. The submission considered that there are standard combinations of ARV medications used worldwide and even though the individual ARVs utilised in the OBR may differ between the clinical study CAPELLA and </w:t>
      </w:r>
      <w:r w:rsidRPr="00E52AC5">
        <w:t>Australian clinical practice, this is unlikely to be meaningful or impactful.</w:t>
      </w:r>
    </w:p>
    <w:p w14:paraId="6FC7A276" w14:textId="33FE34F9" w:rsidR="00CC2233" w:rsidRPr="00E52AC5" w:rsidRDefault="000C41DA" w:rsidP="00CC2233">
      <w:pPr>
        <w:pStyle w:val="3-BodyText"/>
        <w:rPr>
          <w:snapToGrid/>
        </w:rPr>
      </w:pPr>
      <w:r w:rsidRPr="00E52AC5">
        <w:t>The ESC considered the</w:t>
      </w:r>
      <w:r w:rsidR="00CC2233" w:rsidRPr="00E52AC5">
        <w:t xml:space="preserve"> submission’s description of the relative effectiveness </w:t>
      </w:r>
      <w:r w:rsidRPr="00E52AC5">
        <w:t xml:space="preserve">of </w:t>
      </w:r>
      <w:r w:rsidR="00CC2233" w:rsidRPr="00E52AC5">
        <w:t xml:space="preserve">the specific regimens </w:t>
      </w:r>
      <w:r w:rsidR="00D31743" w:rsidRPr="00E52AC5">
        <w:t>may not be appropriate as:</w:t>
      </w:r>
    </w:p>
    <w:p w14:paraId="58B0730A" w14:textId="267CA14B" w:rsidR="00CC2233" w:rsidRPr="00E52AC5" w:rsidRDefault="00CC2233" w:rsidP="00735FA4">
      <w:pPr>
        <w:pStyle w:val="ListParagraph"/>
        <w:numPr>
          <w:ilvl w:val="0"/>
          <w:numId w:val="7"/>
        </w:numPr>
        <w:ind w:left="993" w:hanging="284"/>
      </w:pPr>
      <w:r w:rsidRPr="00E52AC5">
        <w:t xml:space="preserve">The assessments of </w:t>
      </w:r>
      <w:r w:rsidR="00DD2634" w:rsidRPr="00E52AC5">
        <w:t xml:space="preserve">non-inferiority </w:t>
      </w:r>
      <w:r w:rsidRPr="00E52AC5">
        <w:t>by the PBAC were based on different (generally broader</w:t>
      </w:r>
      <w:r w:rsidR="00D5669C" w:rsidRPr="00E52AC5">
        <w:t xml:space="preserve"> and non</w:t>
      </w:r>
      <w:r w:rsidR="00A84CB2" w:rsidRPr="00E52AC5">
        <w:t>-</w:t>
      </w:r>
      <w:r w:rsidR="00D5669C" w:rsidRPr="00E52AC5">
        <w:t>MDR)</w:t>
      </w:r>
      <w:r w:rsidRPr="00E52AC5">
        <w:t xml:space="preserve"> HIV populations, and an assessment of </w:t>
      </w:r>
      <w:r w:rsidR="00DD2634" w:rsidRPr="00E52AC5">
        <w:t xml:space="preserve">non-inferiority </w:t>
      </w:r>
      <w:r w:rsidRPr="00E52AC5">
        <w:t xml:space="preserve">in those populations does not necessarily constitute </w:t>
      </w:r>
      <w:r w:rsidR="00DD2634" w:rsidRPr="00E52AC5">
        <w:t xml:space="preserve">non-inferiority </w:t>
      </w:r>
      <w:r w:rsidRPr="00E52AC5">
        <w:t>in the specific highly MDR population</w:t>
      </w:r>
      <w:r w:rsidR="00D5669C" w:rsidRPr="00E52AC5">
        <w:t>;</w:t>
      </w:r>
      <w:r w:rsidR="00900235" w:rsidRPr="00E52AC5">
        <w:t xml:space="preserve"> and</w:t>
      </w:r>
    </w:p>
    <w:p w14:paraId="40F64DDB" w14:textId="12F477FF" w:rsidR="00682A80" w:rsidRPr="00E52AC5" w:rsidRDefault="00CC2233" w:rsidP="00735FA4">
      <w:pPr>
        <w:pStyle w:val="ListParagraph"/>
        <w:numPr>
          <w:ilvl w:val="0"/>
          <w:numId w:val="7"/>
        </w:numPr>
        <w:ind w:left="993" w:hanging="284"/>
      </w:pPr>
      <w:r w:rsidRPr="00E52AC5">
        <w:t>Comparison of OBR arms in highly MDR population trials indicated substantial differences in vir</w:t>
      </w:r>
      <w:r w:rsidR="002D6DDD" w:rsidRPr="00E52AC5">
        <w:t>ologic</w:t>
      </w:r>
      <w:r w:rsidRPr="00E52AC5">
        <w:t xml:space="preserve"> suppression</w:t>
      </w:r>
      <w:r w:rsidR="00201761" w:rsidRPr="00E52AC5">
        <w:t xml:space="preserve"> (see </w:t>
      </w:r>
      <w:r w:rsidR="00201761" w:rsidRPr="00E52AC5">
        <w:fldChar w:fldCharType="begin"/>
      </w:r>
      <w:r w:rsidR="00201761" w:rsidRPr="00E52AC5">
        <w:instrText xml:space="preserve"> REF _Ref112943899 \h  \* MERGEFORMAT </w:instrText>
      </w:r>
      <w:r w:rsidR="00201761" w:rsidRPr="00E52AC5">
        <w:fldChar w:fldCharType="separate"/>
      </w:r>
      <w:r w:rsidR="0050086F" w:rsidRPr="0050086F">
        <w:t>Table 6</w:t>
      </w:r>
      <w:r w:rsidR="00201761" w:rsidRPr="00E52AC5">
        <w:fldChar w:fldCharType="end"/>
      </w:r>
      <w:r w:rsidR="00201761" w:rsidRPr="00E52AC5">
        <w:t>)</w:t>
      </w:r>
      <w:r w:rsidRPr="00E52AC5">
        <w:t>, suggesting that while poorly understood, there may be differences across these treatments</w:t>
      </w:r>
      <w:r w:rsidR="00D5669C" w:rsidRPr="00E52AC5">
        <w:t xml:space="preserve"> when used in highly MDR populations</w:t>
      </w:r>
      <w:r w:rsidR="007B1ABE" w:rsidRPr="00E52AC5">
        <w:t xml:space="preserve">. </w:t>
      </w:r>
    </w:p>
    <w:p w14:paraId="732E473A" w14:textId="33CD878D" w:rsidR="00CC2233" w:rsidRPr="00E52AC5" w:rsidRDefault="00CC2233" w:rsidP="00CC2233">
      <w:pPr>
        <w:pStyle w:val="3-BodyText"/>
        <w:rPr>
          <w:snapToGrid/>
        </w:rPr>
      </w:pPr>
      <w:r w:rsidRPr="00E52AC5">
        <w:t>Overall,</w:t>
      </w:r>
      <w:r w:rsidR="006002E6" w:rsidRPr="00E52AC5">
        <w:t xml:space="preserve"> </w:t>
      </w:r>
      <w:r w:rsidR="000C41DA" w:rsidRPr="00E52AC5">
        <w:t xml:space="preserve">the </w:t>
      </w:r>
      <w:r w:rsidR="006002E6" w:rsidRPr="00E52AC5">
        <w:t>ESC considered</w:t>
      </w:r>
      <w:r w:rsidRPr="00E52AC5">
        <w:t xml:space="preserve"> OBR was the appropriate comparator</w:t>
      </w:r>
      <w:r w:rsidR="000C41DA" w:rsidRPr="00E52AC5">
        <w:t>.</w:t>
      </w:r>
      <w:r w:rsidRPr="00E52AC5">
        <w:t xml:space="preserve"> </w:t>
      </w:r>
      <w:r w:rsidR="000C41DA" w:rsidRPr="00E52AC5">
        <w:t xml:space="preserve">However, given </w:t>
      </w:r>
      <w:r w:rsidR="008F7A35">
        <w:t xml:space="preserve">the </w:t>
      </w:r>
      <w:r w:rsidR="000C41DA" w:rsidRPr="00E52AC5">
        <w:t xml:space="preserve">variety of available regimens </w:t>
      </w:r>
      <w:r w:rsidRPr="00E52AC5">
        <w:t>there remains a degree of uncertainty regarding the efficacy and costs of different combinations of therapies used in OBR</w:t>
      </w:r>
      <w:r w:rsidR="00FD3218">
        <w:t>s</w:t>
      </w:r>
      <w:r w:rsidRPr="00E52AC5">
        <w:t xml:space="preserve"> in the Australian population </w:t>
      </w:r>
      <w:r w:rsidR="006002E6" w:rsidRPr="00E52AC5">
        <w:t xml:space="preserve">(discussed further in paragraph </w:t>
      </w:r>
      <w:r w:rsidR="006002E6" w:rsidRPr="00E52AC5">
        <w:fldChar w:fldCharType="begin"/>
      </w:r>
      <w:r w:rsidR="006002E6" w:rsidRPr="00E52AC5">
        <w:instrText xml:space="preserve"> REF _Ref116284503 \r \h </w:instrText>
      </w:r>
      <w:r w:rsidR="004C0566" w:rsidRPr="00E52AC5">
        <w:instrText xml:space="preserve"> \* MERGEFORMAT </w:instrText>
      </w:r>
      <w:r w:rsidR="006002E6" w:rsidRPr="00E52AC5">
        <w:fldChar w:fldCharType="separate"/>
      </w:r>
      <w:r w:rsidR="0050086F">
        <w:t>5.8</w:t>
      </w:r>
      <w:r w:rsidR="006002E6" w:rsidRPr="00E52AC5">
        <w:fldChar w:fldCharType="end"/>
      </w:r>
      <w:r w:rsidR="006002E6" w:rsidRPr="00E52AC5">
        <w:t xml:space="preserve"> below)</w:t>
      </w:r>
      <w:r w:rsidRPr="00E52AC5">
        <w:t xml:space="preserve">. </w:t>
      </w:r>
    </w:p>
    <w:p w14:paraId="23E0BE2D" w14:textId="3F22F830" w:rsidR="00816498" w:rsidRPr="007F3195" w:rsidRDefault="00CC2233" w:rsidP="00CC2233">
      <w:pPr>
        <w:pStyle w:val="3-BodyText"/>
        <w:rPr>
          <w:snapToGrid/>
        </w:rPr>
      </w:pPr>
      <w:bookmarkStart w:id="16" w:name="_Ref113283286"/>
      <w:r w:rsidRPr="007F3195">
        <w:rPr>
          <w:snapToGrid/>
        </w:rPr>
        <w:t xml:space="preserve">The </w:t>
      </w:r>
      <w:r w:rsidR="003E37EC" w:rsidRPr="007F3195">
        <w:rPr>
          <w:snapToGrid/>
        </w:rPr>
        <w:t xml:space="preserve">ARVs </w:t>
      </w:r>
      <w:r w:rsidR="00D230D2" w:rsidRPr="007F3195">
        <w:rPr>
          <w:snapToGrid/>
        </w:rPr>
        <w:t xml:space="preserve">which made up </w:t>
      </w:r>
      <w:r w:rsidR="003E37EC" w:rsidRPr="007F3195">
        <w:rPr>
          <w:snapToGrid/>
        </w:rPr>
        <w:t xml:space="preserve">OBR </w:t>
      </w:r>
      <w:r w:rsidRPr="007F3195">
        <w:rPr>
          <w:snapToGrid/>
        </w:rPr>
        <w:t>we</w:t>
      </w:r>
      <w:r w:rsidR="00816498" w:rsidRPr="007F3195">
        <w:rPr>
          <w:snapToGrid/>
        </w:rPr>
        <w:t>re</w:t>
      </w:r>
      <w:r w:rsidRPr="007F3195">
        <w:rPr>
          <w:snapToGrid/>
        </w:rPr>
        <w:t xml:space="preserve"> inconsistent</w:t>
      </w:r>
      <w:r w:rsidR="00816498" w:rsidRPr="007F3195">
        <w:rPr>
          <w:snapToGrid/>
        </w:rPr>
        <w:t xml:space="preserve"> </w:t>
      </w:r>
      <w:r w:rsidRPr="007F3195">
        <w:rPr>
          <w:snapToGrid/>
        </w:rPr>
        <w:t>across sections of the submission</w:t>
      </w:r>
      <w:r w:rsidR="00945B91" w:rsidRPr="007F3195">
        <w:rPr>
          <w:snapToGrid/>
        </w:rPr>
        <w:t>, which</w:t>
      </w:r>
      <w:r w:rsidR="00900235" w:rsidRPr="007F3195">
        <w:rPr>
          <w:snapToGrid/>
        </w:rPr>
        <w:t xml:space="preserve"> may have</w:t>
      </w:r>
      <w:r w:rsidR="00945B91" w:rsidRPr="007F3195">
        <w:rPr>
          <w:snapToGrid/>
        </w:rPr>
        <w:t xml:space="preserve"> </w:t>
      </w:r>
      <w:r w:rsidR="006A6AC7" w:rsidRPr="007F3195">
        <w:rPr>
          <w:snapToGrid/>
        </w:rPr>
        <w:t>increased the uncertainty associated with the conclusions presented by the submission</w:t>
      </w:r>
      <w:r w:rsidR="00816498" w:rsidRPr="007F3195">
        <w:rPr>
          <w:snapToGrid/>
        </w:rPr>
        <w:t>:</w:t>
      </w:r>
      <w:bookmarkEnd w:id="16"/>
    </w:p>
    <w:p w14:paraId="6B443099" w14:textId="60B94899" w:rsidR="00816498" w:rsidRPr="007F3195" w:rsidRDefault="000C41DA" w:rsidP="00735FA4">
      <w:pPr>
        <w:pStyle w:val="3-BodyText"/>
        <w:numPr>
          <w:ilvl w:val="0"/>
          <w:numId w:val="11"/>
        </w:numPr>
        <w:ind w:left="993" w:hanging="284"/>
        <w:rPr>
          <w:snapToGrid/>
        </w:rPr>
      </w:pPr>
      <w:r>
        <w:t>OBR</w:t>
      </w:r>
      <w:r w:rsidR="00327625">
        <w:rPr>
          <w:snapToGrid/>
        </w:rPr>
        <w:t xml:space="preserve"> </w:t>
      </w:r>
      <w:r w:rsidR="003E37EC" w:rsidRPr="007F3195">
        <w:rPr>
          <w:snapToGrid/>
        </w:rPr>
        <w:t xml:space="preserve">in </w:t>
      </w:r>
      <w:r w:rsidR="003E37EC" w:rsidRPr="00E52AC5">
        <w:rPr>
          <w:snapToGrid/>
        </w:rPr>
        <w:t xml:space="preserve">CAPELLA </w:t>
      </w:r>
      <w:r w:rsidRPr="00E52AC5">
        <w:rPr>
          <w:snapToGrid/>
        </w:rPr>
        <w:t xml:space="preserve">was an existing failing regimen and </w:t>
      </w:r>
      <w:r w:rsidR="00CC2233" w:rsidRPr="00E52AC5">
        <w:rPr>
          <w:snapToGrid/>
        </w:rPr>
        <w:t>included</w:t>
      </w:r>
      <w:r w:rsidR="00CC2233" w:rsidRPr="007F3195">
        <w:rPr>
          <w:snapToGrid/>
        </w:rPr>
        <w:t xml:space="preserve"> </w:t>
      </w:r>
      <w:r w:rsidR="00F506CF" w:rsidRPr="007F3195">
        <w:rPr>
          <w:snapToGrid/>
        </w:rPr>
        <w:t xml:space="preserve">ARVs </w:t>
      </w:r>
      <w:r w:rsidR="003E37EC" w:rsidRPr="007F3195">
        <w:rPr>
          <w:snapToGrid/>
        </w:rPr>
        <w:t xml:space="preserve">which are not routinely available </w:t>
      </w:r>
      <w:r w:rsidR="00711F95" w:rsidRPr="007F3195">
        <w:rPr>
          <w:snapToGrid/>
        </w:rPr>
        <w:t>to</w:t>
      </w:r>
      <w:r w:rsidR="003E37EC" w:rsidRPr="007F3195">
        <w:rPr>
          <w:snapToGrid/>
        </w:rPr>
        <w:t xml:space="preserve"> Australia</w:t>
      </w:r>
      <w:r w:rsidR="00711F95" w:rsidRPr="007F3195">
        <w:rPr>
          <w:snapToGrid/>
        </w:rPr>
        <w:t>n patients</w:t>
      </w:r>
      <w:r w:rsidR="003E37EC" w:rsidRPr="007F3195">
        <w:rPr>
          <w:snapToGrid/>
        </w:rPr>
        <w:t xml:space="preserve"> </w:t>
      </w:r>
      <w:r w:rsidR="00CC2233" w:rsidRPr="007F3195">
        <w:rPr>
          <w:snapToGrid/>
        </w:rPr>
        <w:t>(</w:t>
      </w:r>
      <w:r w:rsidR="003E37EC" w:rsidRPr="007F3195">
        <w:rPr>
          <w:snapToGrid/>
        </w:rPr>
        <w:t xml:space="preserve">e.g. </w:t>
      </w:r>
      <w:r w:rsidR="00CC2233" w:rsidRPr="007F3195">
        <w:rPr>
          <w:snapToGrid/>
        </w:rPr>
        <w:t>fostemsavir</w:t>
      </w:r>
      <w:r w:rsidR="003E37EC" w:rsidRPr="007F3195">
        <w:rPr>
          <w:snapToGrid/>
        </w:rPr>
        <w:t xml:space="preserve"> and</w:t>
      </w:r>
      <w:r w:rsidR="00CC2233" w:rsidRPr="007F3195">
        <w:rPr>
          <w:snapToGrid/>
        </w:rPr>
        <w:t xml:space="preserve"> ibalizumab)</w:t>
      </w:r>
      <w:r w:rsidR="00F506CF" w:rsidRPr="007F3195">
        <w:rPr>
          <w:snapToGrid/>
        </w:rPr>
        <w:t xml:space="preserve"> as well as </w:t>
      </w:r>
      <w:r w:rsidR="00CC2233" w:rsidRPr="007F3195">
        <w:rPr>
          <w:snapToGrid/>
        </w:rPr>
        <w:t xml:space="preserve">newer PBS-listed </w:t>
      </w:r>
      <w:r w:rsidR="00A7270F" w:rsidRPr="007F3195">
        <w:rPr>
          <w:snapToGrid/>
        </w:rPr>
        <w:t>ARVs</w:t>
      </w:r>
      <w:r w:rsidR="00CC2233" w:rsidRPr="007F3195">
        <w:rPr>
          <w:snapToGrid/>
        </w:rPr>
        <w:t xml:space="preserve"> (e</w:t>
      </w:r>
      <w:r w:rsidR="003E37EC" w:rsidRPr="007F3195">
        <w:rPr>
          <w:snapToGrid/>
        </w:rPr>
        <w:t>.</w:t>
      </w:r>
      <w:r w:rsidR="00CC2233" w:rsidRPr="007F3195">
        <w:rPr>
          <w:snapToGrid/>
        </w:rPr>
        <w:t xml:space="preserve">g. </w:t>
      </w:r>
      <w:r w:rsidR="00945B91" w:rsidRPr="007F3195">
        <w:rPr>
          <w:snapToGrid/>
        </w:rPr>
        <w:t>INSTI</w:t>
      </w:r>
      <w:r w:rsidR="00612483" w:rsidRPr="007F3195">
        <w:rPr>
          <w:snapToGrid/>
        </w:rPr>
        <w:t>s</w:t>
      </w:r>
      <w:r w:rsidR="00945B91" w:rsidRPr="007F3195">
        <w:rPr>
          <w:snapToGrid/>
        </w:rPr>
        <w:t xml:space="preserve"> </w:t>
      </w:r>
      <w:r w:rsidR="003E37EC" w:rsidRPr="007F3195">
        <w:rPr>
          <w:snapToGrid/>
        </w:rPr>
        <w:t>and</w:t>
      </w:r>
      <w:r w:rsidR="00CC2233" w:rsidRPr="007F3195">
        <w:rPr>
          <w:snapToGrid/>
        </w:rPr>
        <w:t xml:space="preserve"> maraviroc)</w:t>
      </w:r>
      <w:r w:rsidR="004C37B5">
        <w:rPr>
          <w:snapToGrid/>
        </w:rPr>
        <w:t>.</w:t>
      </w:r>
      <w:r w:rsidR="004C37B5" w:rsidRPr="004C37B5">
        <w:rPr>
          <w:i/>
          <w:iCs/>
        </w:rPr>
        <w:t xml:space="preserve"> </w:t>
      </w:r>
    </w:p>
    <w:p w14:paraId="18385377" w14:textId="5A667963" w:rsidR="009F2A24" w:rsidRPr="007F3195" w:rsidRDefault="009F2A24" w:rsidP="00735FA4">
      <w:pPr>
        <w:pStyle w:val="3-BodyText"/>
        <w:numPr>
          <w:ilvl w:val="0"/>
          <w:numId w:val="11"/>
        </w:numPr>
        <w:ind w:left="993" w:hanging="284"/>
        <w:rPr>
          <w:snapToGrid/>
        </w:rPr>
      </w:pPr>
      <w:r w:rsidRPr="007F3195">
        <w:rPr>
          <w:snapToGrid/>
        </w:rPr>
        <w:t xml:space="preserve">OBR in the placebo + OBR arms in the included study used in the </w:t>
      </w:r>
      <w:r w:rsidR="00E703DF" w:rsidRPr="007F3195">
        <w:rPr>
          <w:snapToGrid/>
        </w:rPr>
        <w:t xml:space="preserve">unanchored </w:t>
      </w:r>
      <w:r w:rsidRPr="007F3195">
        <w:rPr>
          <w:snapToGrid/>
        </w:rPr>
        <w:t xml:space="preserve">indirect comparison </w:t>
      </w:r>
      <w:r w:rsidR="006B2D04" w:rsidRPr="007F3195">
        <w:rPr>
          <w:snapToGrid/>
        </w:rPr>
        <w:t>did not include INSTI or maraviroc at randomi</w:t>
      </w:r>
      <w:r w:rsidR="00C4404D" w:rsidRPr="007F3195">
        <w:rPr>
          <w:snapToGrid/>
        </w:rPr>
        <w:t>s</w:t>
      </w:r>
      <w:r w:rsidR="006B2D04" w:rsidRPr="007F3195">
        <w:rPr>
          <w:snapToGrid/>
        </w:rPr>
        <w:t xml:space="preserve">ation (though there was some cross over at later time points). Raltegravir + OBR and maraviroc + OBR arms of comparator studies were </w:t>
      </w:r>
      <w:r w:rsidR="00A159C2" w:rsidRPr="007F3195">
        <w:rPr>
          <w:snapToGrid/>
        </w:rPr>
        <w:t xml:space="preserve">inappropriately </w:t>
      </w:r>
      <w:r w:rsidR="006B2D04" w:rsidRPr="007F3195">
        <w:rPr>
          <w:snapToGrid/>
        </w:rPr>
        <w:t xml:space="preserve">excluded by the submission from the estimate of </w:t>
      </w:r>
      <w:r w:rsidR="00A159C2" w:rsidRPr="007F3195">
        <w:rPr>
          <w:snapToGrid/>
        </w:rPr>
        <w:t>the efficacy of the comparator</w:t>
      </w:r>
      <w:r w:rsidR="006B2D04" w:rsidRPr="007F3195">
        <w:rPr>
          <w:snapToGrid/>
        </w:rPr>
        <w:t xml:space="preserve">; </w:t>
      </w:r>
      <w:r w:rsidR="001733A1" w:rsidRPr="007F3195">
        <w:rPr>
          <w:snapToGrid/>
        </w:rPr>
        <w:t>and</w:t>
      </w:r>
    </w:p>
    <w:p w14:paraId="1F2F3B13" w14:textId="01EB25C1" w:rsidR="001733A1" w:rsidRDefault="00EB74B8" w:rsidP="00735FA4">
      <w:pPr>
        <w:pStyle w:val="3-BodyText"/>
        <w:numPr>
          <w:ilvl w:val="0"/>
          <w:numId w:val="11"/>
        </w:numPr>
        <w:ind w:left="993" w:hanging="284"/>
        <w:rPr>
          <w:snapToGrid/>
        </w:rPr>
      </w:pPr>
      <w:r w:rsidRPr="007F3195">
        <w:rPr>
          <w:snapToGrid/>
        </w:rPr>
        <w:t>In the economic model, c</w:t>
      </w:r>
      <w:r w:rsidR="00CC2233" w:rsidRPr="007F3195">
        <w:rPr>
          <w:snapToGrid/>
        </w:rPr>
        <w:t>osts of OBR w</w:t>
      </w:r>
      <w:r w:rsidR="006A6AC7" w:rsidRPr="007F3195">
        <w:rPr>
          <w:snapToGrid/>
        </w:rPr>
        <w:t>ere</w:t>
      </w:r>
      <w:r w:rsidR="00CC2233" w:rsidRPr="007F3195">
        <w:rPr>
          <w:snapToGrid/>
        </w:rPr>
        <w:t xml:space="preserve"> calculated from CAPELLA proportional OBR use and adjusted to remove </w:t>
      </w:r>
      <w:r w:rsidR="00054D89" w:rsidRPr="007F3195">
        <w:rPr>
          <w:snapToGrid/>
        </w:rPr>
        <w:t>u</w:t>
      </w:r>
      <w:r w:rsidR="00CC2233" w:rsidRPr="007F3195">
        <w:rPr>
          <w:snapToGrid/>
        </w:rPr>
        <w:t>se of non-PBS listed drugs</w:t>
      </w:r>
      <w:r w:rsidR="00054D89" w:rsidRPr="007F3195">
        <w:rPr>
          <w:snapToGrid/>
        </w:rPr>
        <w:t>,</w:t>
      </w:r>
      <w:r w:rsidRPr="007F3195">
        <w:rPr>
          <w:snapToGrid/>
        </w:rPr>
        <w:t xml:space="preserve"> such that the basket of OBR in the economic model was</w:t>
      </w:r>
      <w:r w:rsidR="00B30868" w:rsidRPr="007F3195">
        <w:rPr>
          <w:snapToGrid/>
        </w:rPr>
        <w:t>, inappropriately,</w:t>
      </w:r>
      <w:r w:rsidRPr="007F3195">
        <w:rPr>
          <w:snapToGrid/>
        </w:rPr>
        <w:t xml:space="preserve"> </w:t>
      </w:r>
      <w:r w:rsidR="00831F8F" w:rsidRPr="007F3195">
        <w:rPr>
          <w:snapToGrid/>
        </w:rPr>
        <w:t>not consistent with either</w:t>
      </w:r>
      <w:r w:rsidRPr="007F3195">
        <w:rPr>
          <w:snapToGrid/>
        </w:rPr>
        <w:t xml:space="preserve"> CAPELLA or the </w:t>
      </w:r>
      <w:r w:rsidR="001733A1" w:rsidRPr="007F3195">
        <w:rPr>
          <w:snapToGrid/>
        </w:rPr>
        <w:t>included trials used to inform the comparator.</w:t>
      </w:r>
    </w:p>
    <w:p w14:paraId="5E6A35A5" w14:textId="7A1FDD58" w:rsidR="004C37B5" w:rsidRPr="00E52AC5" w:rsidRDefault="004961F4" w:rsidP="007B5986">
      <w:pPr>
        <w:pStyle w:val="3-BodyText"/>
      </w:pPr>
      <w:bookmarkStart w:id="17" w:name="_Ref116284503"/>
      <w:r w:rsidRPr="00E52AC5">
        <w:t>The ESC considered there was likely to be some variability in the effectiveness of OBR</w:t>
      </w:r>
      <w:r w:rsidR="002E0FBD" w:rsidRPr="00E52AC5">
        <w:t>s</w:t>
      </w:r>
      <w:r w:rsidRPr="00E52AC5">
        <w:t xml:space="preserve">, </w:t>
      </w:r>
      <w:r w:rsidR="00327625" w:rsidRPr="00E52AC5">
        <w:t>noting the ICER was sensitive to the comparator selection. H</w:t>
      </w:r>
      <w:r w:rsidRPr="00E52AC5">
        <w:t>owever</w:t>
      </w:r>
      <w:r w:rsidR="008F7A35">
        <w:t>,</w:t>
      </w:r>
      <w:r w:rsidRPr="00E52AC5">
        <w:t xml:space="preserve"> </w:t>
      </w:r>
      <w:r w:rsidR="00327625" w:rsidRPr="00E52AC5">
        <w:t xml:space="preserve">the ESC </w:t>
      </w:r>
      <w:r w:rsidRPr="00E52AC5">
        <w:t xml:space="preserve">acknowledged that in the hMDR treatment setting, regimens were likely to be highly </w:t>
      </w:r>
      <w:r w:rsidRPr="00E52AC5">
        <w:lastRenderedPageBreak/>
        <w:t>individualised (with several hundred potential unique combinations of ARVs) and an approach using variable OBR effectiveness would be highly uncertain and complex.</w:t>
      </w:r>
      <w:r w:rsidR="004C37B5" w:rsidRPr="00E52AC5">
        <w:t xml:space="preserve"> </w:t>
      </w:r>
    </w:p>
    <w:p w14:paraId="1A09002C" w14:textId="61ED500E" w:rsidR="00723A0B" w:rsidRPr="00E52AC5" w:rsidRDefault="008E2870" w:rsidP="007B5986">
      <w:pPr>
        <w:pStyle w:val="3-BodyText"/>
      </w:pPr>
      <w:r w:rsidRPr="00E52AC5">
        <w:t>The ESC</w:t>
      </w:r>
      <w:r w:rsidR="004C37B5" w:rsidRPr="00E52AC5">
        <w:t xml:space="preserve"> recognised that some hMDR patients may have stable virologic control with individualised regimens even though they have not achieved virological suppression and it may not be reasonable to ascribe an existing failing regimen as the same as OBR in all cases.</w:t>
      </w:r>
      <w:r w:rsidR="00995FD2">
        <w:t xml:space="preserve"> </w:t>
      </w:r>
    </w:p>
    <w:p w14:paraId="06E3B795" w14:textId="4CB193C4" w:rsidR="00735FA4" w:rsidRDefault="00723A0B" w:rsidP="00735FA4">
      <w:pPr>
        <w:pStyle w:val="3-BodyText"/>
      </w:pPr>
      <w:r w:rsidRPr="00E52AC5">
        <w:t>T</w:t>
      </w:r>
      <w:r w:rsidR="004961F4" w:rsidRPr="00E52AC5">
        <w:t>he ESC considered it was important that the OBR comparator</w:t>
      </w:r>
      <w:r w:rsidR="00CF492F" w:rsidRPr="00E52AC5">
        <w:t xml:space="preserve"> (and estimates of effectiveness)</w:t>
      </w:r>
      <w:r w:rsidR="004961F4" w:rsidRPr="00E52AC5">
        <w:t xml:space="preserve"> was reflective of</w:t>
      </w:r>
      <w:r w:rsidR="009619F8" w:rsidRPr="00E52AC5">
        <w:rPr>
          <w:color w:val="000000" w:themeColor="text1"/>
        </w:rPr>
        <w:t xml:space="preserve"> a basket of OBR options </w:t>
      </w:r>
      <w:r w:rsidR="004961F4" w:rsidRPr="00E52AC5">
        <w:t>that are currently used in clinical practice in Australia</w:t>
      </w:r>
      <w:r w:rsidR="000C41DA" w:rsidRPr="00E52AC5">
        <w:t>.</w:t>
      </w:r>
      <w:r w:rsidR="004961F4" w:rsidRPr="00E52AC5">
        <w:t xml:space="preserve"> </w:t>
      </w:r>
      <w:r w:rsidR="000C41DA" w:rsidRPr="00E52AC5">
        <w:t>The ESC</w:t>
      </w:r>
      <w:r w:rsidR="004961F4" w:rsidRPr="00E52AC5">
        <w:t xml:space="preserve"> noted the clinical evidence for OBR in the submission </w:t>
      </w:r>
      <w:r w:rsidR="008423F4" w:rsidRPr="00E52AC5">
        <w:t>did not include</w:t>
      </w:r>
      <w:r w:rsidR="004961F4" w:rsidRPr="00E52AC5">
        <w:t xml:space="preserve"> some agents and classes that are frequently used in current practice</w:t>
      </w:r>
      <w:r w:rsidR="00A00652" w:rsidRPr="00E52AC5">
        <w:t>, such as raltegravir (and the INSTI class more broadly) and maraviroc</w:t>
      </w:r>
      <w:r w:rsidR="004961F4" w:rsidRPr="00E52AC5">
        <w:t xml:space="preserve">, </w:t>
      </w:r>
      <w:r w:rsidR="000C41DA" w:rsidRPr="00E52AC5">
        <w:t>but</w:t>
      </w:r>
      <w:r w:rsidR="004961F4" w:rsidRPr="00E52AC5">
        <w:t xml:space="preserve"> included others that are not currently available </w:t>
      </w:r>
      <w:r w:rsidR="00A00652" w:rsidRPr="00E52AC5">
        <w:t>on the PBS, such as fostemsavir (a first-in-class HIV entry inhibitor)</w:t>
      </w:r>
      <w:r w:rsidR="004961F4" w:rsidRPr="00E52AC5">
        <w:t>.</w:t>
      </w:r>
      <w:bookmarkEnd w:id="17"/>
      <w:r w:rsidR="003F70F4" w:rsidRPr="00E52AC5">
        <w:t xml:space="preserve"> </w:t>
      </w:r>
      <w:r w:rsidR="00327625" w:rsidRPr="00E52AC5">
        <w:t>The ESC considered ARV data from the Australian HIV Observational Database (AHOD) Annual Report 2020</w:t>
      </w:r>
      <w:r w:rsidRPr="00E52AC5">
        <w:t xml:space="preserve"> </w:t>
      </w:r>
      <w:r w:rsidR="00327625" w:rsidRPr="00E52AC5">
        <w:t xml:space="preserve">may be useful for informing </w:t>
      </w:r>
      <w:r w:rsidRPr="00E52AC5">
        <w:t>current trends</w:t>
      </w:r>
      <w:r w:rsidR="00327625" w:rsidRPr="00E52AC5">
        <w:t xml:space="preserve"> </w:t>
      </w:r>
      <w:r w:rsidRPr="00E52AC5">
        <w:t>across certain cohorts in</w:t>
      </w:r>
      <w:r w:rsidR="00327625" w:rsidRPr="00E52AC5">
        <w:t xml:space="preserve"> Australian clinical practice.</w:t>
      </w:r>
    </w:p>
    <w:p w14:paraId="5FD7F9F6" w14:textId="1B969017" w:rsidR="0029279E" w:rsidRDefault="0029279E" w:rsidP="00296DCF">
      <w:pPr>
        <w:pStyle w:val="3-BodyText"/>
      </w:pPr>
      <w:bookmarkStart w:id="18" w:name="_Ref119590233"/>
      <w:r>
        <w:t xml:space="preserve">The Pre-PBAC Response </w:t>
      </w:r>
      <w:r w:rsidR="00A3090B">
        <w:t>acknowledged</w:t>
      </w:r>
      <w:r>
        <w:t xml:space="preserve"> that defining the composition of OBR </w:t>
      </w:r>
      <w:r w:rsidR="00AE7AC7">
        <w:t>is</w:t>
      </w:r>
      <w:r>
        <w:t xml:space="preserve"> complex, given the </w:t>
      </w:r>
      <w:r w:rsidR="00A3090B">
        <w:t>highly</w:t>
      </w:r>
      <w:r>
        <w:t xml:space="preserve"> individualised regimens in the hMDR population </w:t>
      </w:r>
      <w:r w:rsidR="00A3090B">
        <w:t xml:space="preserve">but suggested that </w:t>
      </w:r>
      <w:r w:rsidR="00A3090B" w:rsidRPr="00A3090B">
        <w:t xml:space="preserve">despite the variability in what OBR comprises, the outcome is consistent regardless of ARV composition where </w:t>
      </w:r>
      <w:r w:rsidR="0042519D">
        <w:t>the ARVs</w:t>
      </w:r>
      <w:r w:rsidR="00A3090B" w:rsidRPr="00A3090B">
        <w:t xml:space="preserve"> ha</w:t>
      </w:r>
      <w:r w:rsidR="0042519D">
        <w:t>ve</w:t>
      </w:r>
      <w:r w:rsidR="00A3090B" w:rsidRPr="00A3090B">
        <w:t xml:space="preserve"> limited efficacy and are either ineffective in achieving viral suppression or only able to do so for a short period of time.</w:t>
      </w:r>
      <w:bookmarkEnd w:id="18"/>
    </w:p>
    <w:p w14:paraId="747B923F" w14:textId="4A4D84B9" w:rsidR="00A3090B" w:rsidRPr="00A3090B" w:rsidRDefault="0029279E" w:rsidP="00FF6F5A">
      <w:pPr>
        <w:pStyle w:val="3-BodyText"/>
      </w:pPr>
      <w:r>
        <w:t>The PBAC acknowledged that many hMDR patients are on regimens that may be ineffective for achieving viral suppression, however considered that in this setting, other outcomes were also clinically meaningful (even if sub-optimal), such as hMDR patients who can achieve stable viral load and/or CD4 cell counts on current treatments.</w:t>
      </w:r>
      <w:r w:rsidR="00A3090B">
        <w:t xml:space="preserve"> The PBAC advised that </w:t>
      </w:r>
      <w:r w:rsidR="00A3090B" w:rsidRPr="00A3090B">
        <w:t>the regimens that are currently available on PBS</w:t>
      </w:r>
      <w:r w:rsidR="00B55F9A">
        <w:t>,</w:t>
      </w:r>
      <w:r w:rsidR="00A3090B" w:rsidRPr="00A3090B">
        <w:t xml:space="preserve"> and also potential</w:t>
      </w:r>
      <w:r w:rsidR="00A3090B">
        <w:t>ly at</w:t>
      </w:r>
      <w:r w:rsidR="00A3090B" w:rsidRPr="00A3090B">
        <w:t xml:space="preserve"> increased dosages</w:t>
      </w:r>
      <w:r w:rsidR="00B55F9A">
        <w:t>,</w:t>
      </w:r>
      <w:r w:rsidR="00A3090B" w:rsidRPr="00A3090B">
        <w:t xml:space="preserve"> </w:t>
      </w:r>
      <w:r w:rsidR="00A3090B">
        <w:t>should be considered. Given the m</w:t>
      </w:r>
      <w:r w:rsidR="00A3090B" w:rsidRPr="00A3090B">
        <w:t xml:space="preserve">odel </w:t>
      </w:r>
      <w:r w:rsidR="00B55F9A">
        <w:t>is</w:t>
      </w:r>
      <w:r w:rsidR="00A3090B">
        <w:t xml:space="preserve"> sensitive to </w:t>
      </w:r>
      <w:r w:rsidR="00A3090B" w:rsidRPr="00A3090B">
        <w:t>comparator</w:t>
      </w:r>
      <w:r w:rsidR="00A3090B">
        <w:t xml:space="preserve"> composition</w:t>
      </w:r>
      <w:r w:rsidR="00A3090B" w:rsidRPr="00A3090B">
        <w:t xml:space="preserve"> </w:t>
      </w:r>
      <w:r w:rsidR="00A3090B">
        <w:t xml:space="preserve">it </w:t>
      </w:r>
      <w:r w:rsidR="00B55F9A">
        <w:t>is</w:t>
      </w:r>
      <w:r w:rsidR="00A3090B" w:rsidRPr="00A3090B">
        <w:t xml:space="preserve"> important </w:t>
      </w:r>
      <w:r w:rsidR="00A3090B">
        <w:t xml:space="preserve">it </w:t>
      </w:r>
      <w:r w:rsidR="00B55F9A">
        <w:t>is</w:t>
      </w:r>
      <w:r w:rsidR="00A3090B" w:rsidRPr="00A3090B">
        <w:t xml:space="preserve"> applicable to </w:t>
      </w:r>
      <w:r w:rsidR="00A3090B">
        <w:t xml:space="preserve">the </w:t>
      </w:r>
      <w:r w:rsidR="00A3090B" w:rsidRPr="00A3090B">
        <w:t xml:space="preserve">Australian PBS population, and in context of ARV utilisation more </w:t>
      </w:r>
      <w:r w:rsidR="00A3090B">
        <w:t>commonly used</w:t>
      </w:r>
      <w:r w:rsidR="00A3090B" w:rsidRPr="00A3090B">
        <w:t xml:space="preserve"> </w:t>
      </w:r>
      <w:r w:rsidR="00A3090B">
        <w:t xml:space="preserve">in </w:t>
      </w:r>
      <w:r w:rsidR="00B55F9A">
        <w:t xml:space="preserve">the </w:t>
      </w:r>
      <w:r w:rsidR="00A3090B">
        <w:t>present day; c</w:t>
      </w:r>
      <w:r w:rsidR="00A3090B" w:rsidRPr="00A3090B">
        <w:t>urrent ARV trend</w:t>
      </w:r>
      <w:r w:rsidR="00A3090B">
        <w:t>s</w:t>
      </w:r>
      <w:r w:rsidR="00A3090B" w:rsidRPr="00A3090B">
        <w:t xml:space="preserve"> </w:t>
      </w:r>
      <w:r w:rsidR="002610AC">
        <w:t>show</w:t>
      </w:r>
      <w:r w:rsidR="00A3090B" w:rsidRPr="00A3090B">
        <w:t xml:space="preserve"> </w:t>
      </w:r>
      <w:r w:rsidR="00FB090A">
        <w:t xml:space="preserve">approximately </w:t>
      </w:r>
      <w:r w:rsidR="00A3090B" w:rsidRPr="00A3090B">
        <w:t xml:space="preserve">80% </w:t>
      </w:r>
      <w:r w:rsidR="002610AC">
        <w:t xml:space="preserve">of patients </w:t>
      </w:r>
      <w:r w:rsidR="00A3090B" w:rsidRPr="00A3090B">
        <w:t>using NRTIs and ISTIs (AHOD 2020)</w:t>
      </w:r>
      <w:r w:rsidR="002610AC">
        <w:t>.</w:t>
      </w:r>
      <w:r w:rsidR="00A3090B" w:rsidRPr="00A3090B">
        <w:t xml:space="preserve"> </w:t>
      </w:r>
    </w:p>
    <w:p w14:paraId="507185B2" w14:textId="77777777" w:rsidR="00735FA4" w:rsidRDefault="00735FA4" w:rsidP="00735FA4">
      <w:pPr>
        <w:ind w:firstLine="709"/>
        <w:rPr>
          <w:rFonts w:asciiTheme="minorHAnsi" w:hAnsiTheme="minorHAnsi" w:cs="Times New Roman"/>
          <w:i/>
        </w:rPr>
      </w:pPr>
      <w:r>
        <w:rPr>
          <w:rFonts w:asciiTheme="minorHAnsi" w:hAnsiTheme="minorHAnsi"/>
          <w:i/>
        </w:rPr>
        <w:t>For more detail on PBAC’s view, see section 7 PBAC outcome.</w:t>
      </w:r>
    </w:p>
    <w:p w14:paraId="4160603E" w14:textId="77777777" w:rsidR="00CC2233" w:rsidRPr="00C4404D" w:rsidRDefault="00CC2233" w:rsidP="00CC2233">
      <w:pPr>
        <w:pStyle w:val="2-SectionHeading"/>
      </w:pPr>
      <w:bookmarkStart w:id="19" w:name="_Toc114048767"/>
      <w:bookmarkStart w:id="20" w:name="_Toc22897640"/>
      <w:r w:rsidRPr="00C4404D">
        <w:t>Consideration of the evidence</w:t>
      </w:r>
      <w:bookmarkEnd w:id="19"/>
    </w:p>
    <w:p w14:paraId="58FF45AA" w14:textId="77777777" w:rsidR="00735FA4" w:rsidRDefault="00735FA4" w:rsidP="00735FA4">
      <w:pPr>
        <w:pStyle w:val="4-SubsectionHeading"/>
      </w:pPr>
      <w:bookmarkStart w:id="21" w:name="_Hlk76375935"/>
      <w:bookmarkStart w:id="22" w:name="_Toc114048768"/>
      <w:r>
        <w:t>Sponsor hearing</w:t>
      </w:r>
    </w:p>
    <w:p w14:paraId="7DA2A681" w14:textId="038EF830" w:rsidR="00735FA4" w:rsidRPr="00297C66" w:rsidRDefault="00735FA4" w:rsidP="00297C66">
      <w:pPr>
        <w:pStyle w:val="3-BodyText"/>
        <w:numPr>
          <w:ilvl w:val="1"/>
          <w:numId w:val="37"/>
        </w:numPr>
      </w:pPr>
      <w:r w:rsidRPr="00297C66">
        <w:t>There was no hearing for this item.</w:t>
      </w:r>
    </w:p>
    <w:p w14:paraId="54A620D2" w14:textId="77777777" w:rsidR="00735FA4" w:rsidRDefault="00735FA4" w:rsidP="00735FA4">
      <w:pPr>
        <w:pStyle w:val="4-SubsectionHeading"/>
      </w:pPr>
      <w:r>
        <w:t>Consumer comments</w:t>
      </w:r>
    </w:p>
    <w:p w14:paraId="0445F428" w14:textId="61F90A96" w:rsidR="00735FA4" w:rsidRPr="00297C66" w:rsidRDefault="00735FA4" w:rsidP="00297C66">
      <w:pPr>
        <w:pStyle w:val="3-BodyText"/>
        <w:numPr>
          <w:ilvl w:val="1"/>
          <w:numId w:val="37"/>
        </w:numPr>
        <w:rPr>
          <w:bCs/>
          <w:lang w:eastAsia="en-US"/>
        </w:rPr>
      </w:pPr>
      <w:bookmarkStart w:id="23" w:name="_Hlk76382618"/>
      <w:r w:rsidRPr="00297C66">
        <w:rPr>
          <w:bCs/>
        </w:rPr>
        <w:t>The PBAC noted and welcomed the input from individuals (</w:t>
      </w:r>
      <w:r w:rsidR="00017DF7" w:rsidRPr="00297C66">
        <w:rPr>
          <w:bCs/>
        </w:rPr>
        <w:t>1</w:t>
      </w:r>
      <w:r w:rsidRPr="00297C66">
        <w:rPr>
          <w:bCs/>
        </w:rPr>
        <w:t xml:space="preserve">) via the Consumer Comments facility on the PBS website. The comments </w:t>
      </w:r>
      <w:r w:rsidR="00017DF7" w:rsidRPr="00297C66">
        <w:rPr>
          <w:bCs/>
        </w:rPr>
        <w:t xml:space="preserve">highlighted the few treatment </w:t>
      </w:r>
      <w:r w:rsidR="00017DF7" w:rsidRPr="00297C66">
        <w:rPr>
          <w:bCs/>
        </w:rPr>
        <w:lastRenderedPageBreak/>
        <w:t xml:space="preserve">options patients with highly multi-drug resistant HIV infection have and described how new treatment options such as lenacapavir could bring hope to people who are facing no more options. </w:t>
      </w:r>
    </w:p>
    <w:bookmarkEnd w:id="21"/>
    <w:bookmarkEnd w:id="23"/>
    <w:p w14:paraId="2958F66D" w14:textId="77777777" w:rsidR="00CC2233" w:rsidRPr="00C4404D" w:rsidRDefault="00CC2233" w:rsidP="00CC2233">
      <w:pPr>
        <w:pStyle w:val="4-SubsectionHeading"/>
      </w:pPr>
      <w:r w:rsidRPr="00C4404D">
        <w:t xml:space="preserve">Clinical </w:t>
      </w:r>
      <w:bookmarkEnd w:id="20"/>
      <w:r w:rsidRPr="00C4404D">
        <w:t>trials</w:t>
      </w:r>
      <w:bookmarkEnd w:id="22"/>
      <w:r w:rsidRPr="00C4404D">
        <w:rPr>
          <w:color w:val="0066FF"/>
        </w:rPr>
        <w:t xml:space="preserve"> </w:t>
      </w:r>
    </w:p>
    <w:p w14:paraId="782BB33A" w14:textId="33993B28" w:rsidR="00CC2233" w:rsidRPr="00FB00FC" w:rsidRDefault="00CC2233" w:rsidP="00CC2233">
      <w:pPr>
        <w:pStyle w:val="3-BodyText"/>
      </w:pPr>
      <w:r w:rsidRPr="00C4404D">
        <w:t>The submission was based on a</w:t>
      </w:r>
      <w:r w:rsidR="00E703DF">
        <w:t>n</w:t>
      </w:r>
      <w:r w:rsidRPr="00C4404D">
        <w:t xml:space="preserve"> </w:t>
      </w:r>
      <w:r w:rsidR="00E703DF">
        <w:t>unanchored</w:t>
      </w:r>
      <w:r w:rsidR="00E703DF" w:rsidRPr="00C4404D">
        <w:t xml:space="preserve"> </w:t>
      </w:r>
      <w:r w:rsidRPr="00C4404D">
        <w:t xml:space="preserve">indirect comparison between lenacapavir + OBR (informed by CAPELLA [N= </w:t>
      </w:r>
      <w:r w:rsidR="001E62DD">
        <w:t>72</w:t>
      </w:r>
      <w:r w:rsidRPr="00C4404D">
        <w:t xml:space="preserve">]) and placebo + OBR (informed by a meta-analysis of placebo + OBR arms of five separate trials). These trials were BENCHMRK 1 &amp; 2 (n= 352 and n=353, respectively), MOTIVATE 1 &amp; 2 (n=601 and n=474, respectively) and VICTOR-E (n= 114). </w:t>
      </w:r>
      <w:r w:rsidRPr="00FB00FC">
        <w:t>Efficacy of the control arms of these trials were then meta-analysed to inform a</w:t>
      </w:r>
      <w:r w:rsidR="00E703DF">
        <w:t xml:space="preserve">n unanchored </w:t>
      </w:r>
      <w:r w:rsidRPr="00FB00FC">
        <w:t>comparison to the lenacapavir + OBR arm of the CAPELLA trial.</w:t>
      </w:r>
    </w:p>
    <w:p w14:paraId="3F87B3B4" w14:textId="1DF4CC34" w:rsidR="00CC2233" w:rsidRPr="00C4404D" w:rsidRDefault="00CC2233" w:rsidP="00CC2233">
      <w:pPr>
        <w:pStyle w:val="3-BodyText"/>
      </w:pPr>
      <w:r w:rsidRPr="00C4404D">
        <w:rPr>
          <w:snapToGrid/>
        </w:rPr>
        <w:t xml:space="preserve">Details of the </w:t>
      </w:r>
      <w:r w:rsidR="00FB00FC">
        <w:rPr>
          <w:snapToGrid/>
        </w:rPr>
        <w:t xml:space="preserve">included </w:t>
      </w:r>
      <w:r w:rsidRPr="00C4404D">
        <w:rPr>
          <w:snapToGrid/>
        </w:rPr>
        <w:t>trials</w:t>
      </w:r>
      <w:r w:rsidR="00FB00FC">
        <w:rPr>
          <w:snapToGrid/>
        </w:rPr>
        <w:t xml:space="preserve"> and </w:t>
      </w:r>
      <w:r w:rsidRPr="00C4404D">
        <w:rPr>
          <w:snapToGrid/>
        </w:rPr>
        <w:t xml:space="preserve">studies presented in the submission are provided in </w:t>
      </w:r>
      <w:r w:rsidRPr="00C4404D">
        <w:rPr>
          <w:snapToGrid/>
        </w:rPr>
        <w:fldChar w:fldCharType="begin"/>
      </w:r>
      <w:r w:rsidRPr="00C4404D">
        <w:rPr>
          <w:snapToGrid/>
        </w:rPr>
        <w:instrText xml:space="preserve"> REF _Ref104803956 \h </w:instrText>
      </w:r>
      <w:r w:rsidRPr="00C4404D">
        <w:rPr>
          <w:snapToGrid/>
        </w:rPr>
      </w:r>
      <w:r w:rsidRPr="00C4404D">
        <w:rPr>
          <w:snapToGrid/>
        </w:rPr>
        <w:fldChar w:fldCharType="separate"/>
      </w:r>
      <w:r w:rsidR="0050086F" w:rsidRPr="00C4404D">
        <w:t xml:space="preserve">Table </w:t>
      </w:r>
      <w:r w:rsidR="0050086F">
        <w:rPr>
          <w:noProof/>
        </w:rPr>
        <w:t>2</w:t>
      </w:r>
      <w:r w:rsidRPr="00C4404D">
        <w:rPr>
          <w:snapToGrid/>
        </w:rPr>
        <w:fldChar w:fldCharType="end"/>
      </w:r>
      <w:r w:rsidRPr="00C4404D">
        <w:rPr>
          <w:snapToGrid/>
        </w:rPr>
        <w:t xml:space="preserve">. </w:t>
      </w:r>
    </w:p>
    <w:p w14:paraId="5405CF24" w14:textId="366956A2" w:rsidR="00CC2233" w:rsidRPr="00C4404D" w:rsidRDefault="00CC2233" w:rsidP="00CC2233">
      <w:pPr>
        <w:pStyle w:val="TableFigureHeading"/>
        <w:rPr>
          <w:rStyle w:val="CommentReference"/>
          <w:b/>
          <w:szCs w:val="24"/>
        </w:rPr>
      </w:pPr>
      <w:bookmarkStart w:id="24" w:name="_Ref104803956"/>
      <w:r w:rsidRPr="00C4404D">
        <w:t xml:space="preserve">Table </w:t>
      </w:r>
      <w:fldSimple w:instr=" SEQ Table \* ARABIC ">
        <w:r w:rsidR="0050086F">
          <w:rPr>
            <w:noProof/>
          </w:rPr>
          <w:t>2</w:t>
        </w:r>
      </w:fldSimple>
      <w:bookmarkEnd w:id="24"/>
      <w:r w:rsidRPr="00C4404D">
        <w:t>:</w:t>
      </w:r>
      <w:r w:rsidRPr="00C4404D">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CC2233" w:rsidRPr="00C4404D" w14:paraId="2BCF9320" w14:textId="77777777" w:rsidTr="00700BF0">
        <w:trPr>
          <w:tblHeader/>
        </w:trPr>
        <w:tc>
          <w:tcPr>
            <w:tcW w:w="796" w:type="pct"/>
            <w:vAlign w:val="center"/>
          </w:tcPr>
          <w:p w14:paraId="7DE86E3E" w14:textId="77777777" w:rsidR="00CC2233" w:rsidRPr="00C4404D" w:rsidRDefault="00CC2233" w:rsidP="00700BF0">
            <w:pPr>
              <w:pStyle w:val="In-tableHeading"/>
              <w:keepNext w:val="0"/>
              <w:widowControl w:val="0"/>
              <w:rPr>
                <w:lang w:val="en-AU"/>
              </w:rPr>
            </w:pPr>
            <w:r w:rsidRPr="00C4404D">
              <w:rPr>
                <w:lang w:val="en-AU"/>
              </w:rPr>
              <w:t>Trial ID</w:t>
            </w:r>
          </w:p>
        </w:tc>
        <w:tc>
          <w:tcPr>
            <w:tcW w:w="3027" w:type="pct"/>
            <w:vAlign w:val="center"/>
          </w:tcPr>
          <w:p w14:paraId="58DA3C61" w14:textId="77777777" w:rsidR="00CC2233" w:rsidRPr="00C4404D" w:rsidRDefault="00CC2233" w:rsidP="00700BF0">
            <w:pPr>
              <w:pStyle w:val="In-tableHeading"/>
              <w:keepNext w:val="0"/>
              <w:widowControl w:val="0"/>
              <w:rPr>
                <w:lang w:val="en-AU"/>
              </w:rPr>
            </w:pPr>
            <w:r w:rsidRPr="00C4404D">
              <w:rPr>
                <w:lang w:val="en-AU"/>
              </w:rPr>
              <w:t>Protocol title/ Publication title</w:t>
            </w:r>
          </w:p>
        </w:tc>
        <w:tc>
          <w:tcPr>
            <w:tcW w:w="1177" w:type="pct"/>
            <w:vAlign w:val="center"/>
          </w:tcPr>
          <w:p w14:paraId="474B38D1" w14:textId="77777777" w:rsidR="00CC2233" w:rsidRPr="00C4404D" w:rsidRDefault="00CC2233" w:rsidP="00700BF0">
            <w:pPr>
              <w:pStyle w:val="In-tableHeading"/>
              <w:keepNext w:val="0"/>
              <w:widowControl w:val="0"/>
              <w:rPr>
                <w:lang w:val="en-AU"/>
              </w:rPr>
            </w:pPr>
            <w:r w:rsidRPr="00C4404D">
              <w:rPr>
                <w:lang w:val="en-AU"/>
              </w:rPr>
              <w:t>Publication citation</w:t>
            </w:r>
          </w:p>
        </w:tc>
      </w:tr>
      <w:tr w:rsidR="006E2F28" w:rsidRPr="00C4404D" w14:paraId="6C0F345B" w14:textId="77777777" w:rsidTr="00877D7F">
        <w:tc>
          <w:tcPr>
            <w:tcW w:w="796" w:type="pct"/>
            <w:vMerge w:val="restart"/>
            <w:vAlign w:val="center"/>
          </w:tcPr>
          <w:p w14:paraId="52816EE7" w14:textId="77777777" w:rsidR="006E2F28" w:rsidRPr="00C4404D" w:rsidRDefault="006E2F28" w:rsidP="00F3670E">
            <w:pPr>
              <w:pStyle w:val="TableText0"/>
              <w:keepNext w:val="0"/>
              <w:widowControl w:val="0"/>
            </w:pPr>
            <w:r w:rsidRPr="00C4404D">
              <w:t>CAPELLA</w:t>
            </w:r>
          </w:p>
          <w:p w14:paraId="554C0D5D" w14:textId="4A886896" w:rsidR="006E2F28" w:rsidRPr="00C4404D" w:rsidRDefault="006E2F28" w:rsidP="00F3670E">
            <w:pPr>
              <w:pStyle w:val="TableText0"/>
              <w:widowControl w:val="0"/>
            </w:pPr>
            <w:r w:rsidRPr="00C4404D">
              <w:t>NCT04150068</w:t>
            </w:r>
          </w:p>
        </w:tc>
        <w:tc>
          <w:tcPr>
            <w:tcW w:w="3027" w:type="pct"/>
            <w:tcBorders>
              <w:bottom w:val="nil"/>
            </w:tcBorders>
            <w:vAlign w:val="center"/>
          </w:tcPr>
          <w:p w14:paraId="61A98159" w14:textId="77777777" w:rsidR="006E2F28" w:rsidRPr="00C4404D" w:rsidRDefault="006E2F28" w:rsidP="00700BF0">
            <w:pPr>
              <w:pStyle w:val="TableText0"/>
              <w:keepNext w:val="0"/>
              <w:widowControl w:val="0"/>
              <w:rPr>
                <w:szCs w:val="18"/>
              </w:rPr>
            </w:pPr>
            <w:r w:rsidRPr="00C4404D">
              <w:rPr>
                <w:szCs w:val="18"/>
              </w:rPr>
              <w:t>GS-US-200-4625: A Phase 2/3 Study to Evaluate the Safety and Efficacy of Long Acting Capsid Inhibitor GS-6207 in Combination with an Optimized Background Regimen in Heavily Treatment Experienced People Living With HIV-1 Infection With Multidrug Resistance (26 week data). Clinical Study Report, Gilead Sciences Inc</w:t>
            </w:r>
          </w:p>
        </w:tc>
        <w:tc>
          <w:tcPr>
            <w:tcW w:w="1177" w:type="pct"/>
            <w:tcBorders>
              <w:bottom w:val="nil"/>
            </w:tcBorders>
            <w:vAlign w:val="center"/>
          </w:tcPr>
          <w:p w14:paraId="3ED427FF" w14:textId="77777777" w:rsidR="006E2F28" w:rsidRPr="00C4404D" w:rsidRDefault="006E2F28" w:rsidP="00700BF0">
            <w:pPr>
              <w:pStyle w:val="TableText0"/>
              <w:keepNext w:val="0"/>
              <w:widowControl w:val="0"/>
            </w:pPr>
            <w:r w:rsidRPr="00C4404D">
              <w:t>2019</w:t>
            </w:r>
          </w:p>
        </w:tc>
      </w:tr>
      <w:tr w:rsidR="006E2F28" w:rsidRPr="00C4404D" w14:paraId="0E887124" w14:textId="77777777" w:rsidTr="00877D7F">
        <w:tc>
          <w:tcPr>
            <w:tcW w:w="796" w:type="pct"/>
            <w:vMerge/>
            <w:vAlign w:val="center"/>
          </w:tcPr>
          <w:p w14:paraId="1E587548" w14:textId="68DF1DA7" w:rsidR="006E2F28" w:rsidRPr="00C4404D" w:rsidRDefault="006E2F28" w:rsidP="00F3670E">
            <w:pPr>
              <w:pStyle w:val="TableText0"/>
              <w:keepNext w:val="0"/>
              <w:widowControl w:val="0"/>
            </w:pPr>
          </w:p>
        </w:tc>
        <w:tc>
          <w:tcPr>
            <w:tcW w:w="3027" w:type="pct"/>
            <w:tcBorders>
              <w:top w:val="nil"/>
              <w:bottom w:val="nil"/>
            </w:tcBorders>
            <w:vAlign w:val="center"/>
          </w:tcPr>
          <w:p w14:paraId="42980620" w14:textId="77777777" w:rsidR="006E2F28" w:rsidRPr="00C4404D" w:rsidRDefault="006E2F28" w:rsidP="00700BF0">
            <w:pPr>
              <w:pStyle w:val="TableText0"/>
              <w:keepNext w:val="0"/>
              <w:widowControl w:val="0"/>
              <w:rPr>
                <w:szCs w:val="18"/>
              </w:rPr>
            </w:pPr>
            <w:r w:rsidRPr="00C4404D">
              <w:rPr>
                <w:szCs w:val="18"/>
              </w:rPr>
              <w:t>GS-US-200-4625: A Phase 2/3 Study to Evaluate the Safety and Efficacy of Long Acting Capsid Inhibitor GS-6207 in Combination with an Optimized Background Regimen in Heavily Treatment Experienced People Living With HIV-1 Infection With Multidrug Resistance: Interim Clinical Study Report Addendum (week 52 data). Clinical Study Report, Gilead Sciences Inc.,</w:t>
            </w:r>
          </w:p>
        </w:tc>
        <w:tc>
          <w:tcPr>
            <w:tcW w:w="1177" w:type="pct"/>
            <w:tcBorders>
              <w:top w:val="nil"/>
              <w:bottom w:val="nil"/>
            </w:tcBorders>
            <w:vAlign w:val="center"/>
          </w:tcPr>
          <w:p w14:paraId="5D2FD197" w14:textId="77777777" w:rsidR="006E2F28" w:rsidRPr="00C4404D" w:rsidRDefault="006E2F28" w:rsidP="00700BF0">
            <w:pPr>
              <w:pStyle w:val="TableText0"/>
              <w:keepNext w:val="0"/>
              <w:widowControl w:val="0"/>
              <w:rPr>
                <w:iCs/>
                <w:szCs w:val="18"/>
              </w:rPr>
            </w:pPr>
            <w:r w:rsidRPr="00C4404D">
              <w:rPr>
                <w:iCs/>
                <w:szCs w:val="18"/>
              </w:rPr>
              <w:t>2021</w:t>
            </w:r>
          </w:p>
        </w:tc>
      </w:tr>
      <w:tr w:rsidR="006E2F28" w:rsidRPr="00C4404D" w14:paraId="37165C17" w14:textId="77777777" w:rsidTr="00877D7F">
        <w:tc>
          <w:tcPr>
            <w:tcW w:w="796" w:type="pct"/>
            <w:vMerge/>
            <w:vAlign w:val="center"/>
          </w:tcPr>
          <w:p w14:paraId="11F27FDC" w14:textId="74DA84A4" w:rsidR="006E2F28" w:rsidRPr="00C4404D" w:rsidRDefault="006E2F28" w:rsidP="00700BF0">
            <w:pPr>
              <w:pStyle w:val="TableText0"/>
              <w:keepNext w:val="0"/>
              <w:widowControl w:val="0"/>
            </w:pPr>
          </w:p>
        </w:tc>
        <w:tc>
          <w:tcPr>
            <w:tcW w:w="3027" w:type="pct"/>
            <w:tcBorders>
              <w:top w:val="nil"/>
              <w:bottom w:val="nil"/>
            </w:tcBorders>
          </w:tcPr>
          <w:p w14:paraId="1F1FCBA1" w14:textId="77777777" w:rsidR="006E2F28" w:rsidRPr="00C4404D" w:rsidRDefault="006E2F28" w:rsidP="00700BF0">
            <w:pPr>
              <w:pStyle w:val="TableText0"/>
            </w:pPr>
            <w:r w:rsidRPr="00C4404D">
              <w:t>Key Publication</w:t>
            </w:r>
          </w:p>
          <w:p w14:paraId="21D39584" w14:textId="77777777" w:rsidR="006E2F28" w:rsidRPr="00C4404D" w:rsidRDefault="006E2F28" w:rsidP="00700BF0">
            <w:pPr>
              <w:pStyle w:val="TableText0"/>
              <w:keepNext w:val="0"/>
              <w:widowControl w:val="0"/>
              <w:rPr>
                <w:szCs w:val="18"/>
              </w:rPr>
            </w:pPr>
            <w:r w:rsidRPr="00C4404D">
              <w:rPr>
                <w:rFonts w:eastAsia="Batang"/>
              </w:rPr>
              <w:t xml:space="preserve">Segal-Maurer, S, DeJesus, E, et al. Capsid Inhibition with Lenacapavir in Multidrug-Resistant HIV-1 Infection. </w:t>
            </w:r>
          </w:p>
        </w:tc>
        <w:tc>
          <w:tcPr>
            <w:tcW w:w="1177" w:type="pct"/>
            <w:tcBorders>
              <w:top w:val="nil"/>
              <w:bottom w:val="nil"/>
            </w:tcBorders>
            <w:vAlign w:val="center"/>
          </w:tcPr>
          <w:p w14:paraId="4D1B9B01" w14:textId="77777777" w:rsidR="006E2F28" w:rsidRPr="00C4404D" w:rsidRDefault="006E2F28" w:rsidP="00700BF0">
            <w:pPr>
              <w:pStyle w:val="TableText0"/>
              <w:keepNext w:val="0"/>
              <w:widowControl w:val="0"/>
              <w:rPr>
                <w:szCs w:val="18"/>
              </w:rPr>
            </w:pPr>
            <w:r w:rsidRPr="00C4404D">
              <w:rPr>
                <w:i/>
                <w:szCs w:val="18"/>
              </w:rPr>
              <w:t>NEJM</w:t>
            </w:r>
            <w:r w:rsidRPr="00C4404D">
              <w:rPr>
                <w:szCs w:val="18"/>
              </w:rPr>
              <w:t xml:space="preserve"> 2022; </w:t>
            </w:r>
            <w:r w:rsidRPr="00C4404D">
              <w:rPr>
                <w:rFonts w:eastAsia="Batang"/>
              </w:rPr>
              <w:t>386(19): 1793-1803.</w:t>
            </w:r>
          </w:p>
        </w:tc>
      </w:tr>
      <w:tr w:rsidR="006E2F28" w:rsidRPr="00C4404D" w14:paraId="67FC777D" w14:textId="77777777" w:rsidTr="00877D7F">
        <w:tc>
          <w:tcPr>
            <w:tcW w:w="796" w:type="pct"/>
            <w:vMerge/>
            <w:tcBorders>
              <w:bottom w:val="nil"/>
            </w:tcBorders>
            <w:vAlign w:val="center"/>
          </w:tcPr>
          <w:p w14:paraId="6FD7B951" w14:textId="77777777" w:rsidR="006E2F28" w:rsidRPr="00C4404D" w:rsidRDefault="006E2F28" w:rsidP="00700BF0">
            <w:pPr>
              <w:pStyle w:val="TableText0"/>
              <w:keepNext w:val="0"/>
              <w:widowControl w:val="0"/>
            </w:pPr>
          </w:p>
        </w:tc>
        <w:tc>
          <w:tcPr>
            <w:tcW w:w="3027" w:type="pct"/>
            <w:tcBorders>
              <w:top w:val="nil"/>
              <w:bottom w:val="nil"/>
            </w:tcBorders>
          </w:tcPr>
          <w:p w14:paraId="41ED45E5" w14:textId="77777777" w:rsidR="006E2F28" w:rsidRPr="00C4404D" w:rsidRDefault="006E2F28" w:rsidP="00700BF0">
            <w:pPr>
              <w:pStyle w:val="TableText0"/>
              <w:keepNext w:val="0"/>
              <w:widowControl w:val="0"/>
              <w:rPr>
                <w:szCs w:val="18"/>
              </w:rPr>
            </w:pPr>
            <w:r w:rsidRPr="00C4404D">
              <w:rPr>
                <w:rFonts w:eastAsia="Batang"/>
                <w:lang w:eastAsia="en-US"/>
              </w:rPr>
              <w:t>Margot, N, Vanderveen, L, et al. Phenotypic resistance to lenacapavir and monotherapy efficacy in a proof-of-concept clinical study</w:t>
            </w:r>
            <w:r w:rsidRPr="00C4404D">
              <w:t xml:space="preserve"> </w:t>
            </w:r>
          </w:p>
        </w:tc>
        <w:tc>
          <w:tcPr>
            <w:tcW w:w="1177" w:type="pct"/>
            <w:tcBorders>
              <w:top w:val="nil"/>
              <w:bottom w:val="nil"/>
            </w:tcBorders>
            <w:vAlign w:val="center"/>
          </w:tcPr>
          <w:p w14:paraId="469F4A91" w14:textId="77777777" w:rsidR="006E2F28" w:rsidRPr="00C4404D" w:rsidRDefault="006E2F28" w:rsidP="00700BF0">
            <w:pPr>
              <w:pStyle w:val="TableText0"/>
              <w:keepNext w:val="0"/>
              <w:widowControl w:val="0"/>
              <w:rPr>
                <w:i/>
                <w:szCs w:val="18"/>
              </w:rPr>
            </w:pPr>
            <w:r w:rsidRPr="00C4404D">
              <w:rPr>
                <w:rFonts w:eastAsia="Batang"/>
                <w:i/>
                <w:iCs/>
                <w:lang w:eastAsia="en-US"/>
              </w:rPr>
              <w:t>The Journal of antimicrobial chemotherapy</w:t>
            </w:r>
            <w:r w:rsidRPr="00C4404D">
              <w:rPr>
                <w:rFonts w:eastAsia="Batang"/>
                <w:lang w:eastAsia="en-US"/>
              </w:rPr>
              <w:t xml:space="preserve"> 2022</w:t>
            </w:r>
            <w:r w:rsidRPr="00C4404D">
              <w:rPr>
                <w:rFonts w:eastAsia="Batang"/>
                <w:u w:val="single"/>
                <w:lang w:eastAsia="en-US"/>
              </w:rPr>
              <w:t>;</w:t>
            </w:r>
            <w:r w:rsidRPr="00C4404D">
              <w:rPr>
                <w:rFonts w:eastAsia="Batang"/>
                <w:lang w:eastAsia="en-US"/>
              </w:rPr>
              <w:t xml:space="preserve"> </w:t>
            </w:r>
            <w:r w:rsidRPr="00C4404D">
              <w:rPr>
                <w:rFonts w:eastAsia="Batang"/>
                <w:bCs w:val="0"/>
                <w:lang w:eastAsia="en-US"/>
              </w:rPr>
              <w:t>77</w:t>
            </w:r>
            <w:r w:rsidRPr="00C4404D">
              <w:rPr>
                <w:rFonts w:eastAsia="Batang"/>
                <w:lang w:eastAsia="en-US"/>
              </w:rPr>
              <w:t xml:space="preserve">(4): 989-995. </w:t>
            </w:r>
            <w:r w:rsidRPr="00C4404D">
              <w:t xml:space="preserve"> </w:t>
            </w:r>
          </w:p>
        </w:tc>
      </w:tr>
      <w:tr w:rsidR="00CC2233" w:rsidRPr="00C4404D" w14:paraId="32EA63DE" w14:textId="77777777" w:rsidTr="00700BF0">
        <w:tc>
          <w:tcPr>
            <w:tcW w:w="796" w:type="pct"/>
            <w:tcBorders>
              <w:top w:val="single" w:sz="4" w:space="0" w:color="auto"/>
              <w:bottom w:val="single" w:sz="4" w:space="0" w:color="auto"/>
            </w:tcBorders>
            <w:vAlign w:val="center"/>
          </w:tcPr>
          <w:p w14:paraId="49EAAA08" w14:textId="77777777" w:rsidR="00CC2233" w:rsidRPr="00C4404D" w:rsidRDefault="00CC2233" w:rsidP="00700BF0">
            <w:pPr>
              <w:pStyle w:val="TableText0"/>
              <w:keepNext w:val="0"/>
              <w:widowControl w:val="0"/>
              <w:rPr>
                <w:b/>
                <w:bCs w:val="0"/>
              </w:rPr>
            </w:pPr>
            <w:r w:rsidRPr="00C4404D">
              <w:rPr>
                <w:b/>
                <w:bCs w:val="0"/>
              </w:rPr>
              <w:t>Comparator trials</w:t>
            </w:r>
          </w:p>
        </w:tc>
        <w:tc>
          <w:tcPr>
            <w:tcW w:w="3027" w:type="pct"/>
            <w:tcBorders>
              <w:top w:val="single" w:sz="4" w:space="0" w:color="auto"/>
              <w:bottom w:val="single" w:sz="4" w:space="0" w:color="auto"/>
            </w:tcBorders>
            <w:vAlign w:val="center"/>
          </w:tcPr>
          <w:p w14:paraId="4A89C681" w14:textId="77777777" w:rsidR="00CC2233" w:rsidRPr="00C4404D" w:rsidRDefault="00CC2233" w:rsidP="00700BF0">
            <w:pPr>
              <w:pStyle w:val="TableText0"/>
              <w:keepNext w:val="0"/>
              <w:widowControl w:val="0"/>
              <w:rPr>
                <w:szCs w:val="18"/>
              </w:rPr>
            </w:pPr>
          </w:p>
        </w:tc>
        <w:tc>
          <w:tcPr>
            <w:tcW w:w="1177" w:type="pct"/>
            <w:tcBorders>
              <w:top w:val="single" w:sz="4" w:space="0" w:color="auto"/>
              <w:bottom w:val="single" w:sz="4" w:space="0" w:color="auto"/>
            </w:tcBorders>
            <w:vAlign w:val="center"/>
          </w:tcPr>
          <w:p w14:paraId="22911549" w14:textId="77777777" w:rsidR="00CC2233" w:rsidRPr="00C4404D" w:rsidRDefault="00CC2233" w:rsidP="00700BF0">
            <w:pPr>
              <w:pStyle w:val="TableText0"/>
              <w:keepNext w:val="0"/>
              <w:widowControl w:val="0"/>
              <w:rPr>
                <w:szCs w:val="18"/>
              </w:rPr>
            </w:pPr>
          </w:p>
        </w:tc>
      </w:tr>
      <w:tr w:rsidR="006E2F28" w:rsidRPr="00C4404D" w14:paraId="2593D7E9" w14:textId="77777777" w:rsidTr="00C4668F">
        <w:tc>
          <w:tcPr>
            <w:tcW w:w="796" w:type="pct"/>
            <w:vMerge w:val="restart"/>
            <w:tcBorders>
              <w:top w:val="single" w:sz="4" w:space="0" w:color="auto"/>
            </w:tcBorders>
            <w:vAlign w:val="center"/>
          </w:tcPr>
          <w:p w14:paraId="2B5898D3" w14:textId="77777777" w:rsidR="004F768E" w:rsidRDefault="006E2F28" w:rsidP="00700BF0">
            <w:pPr>
              <w:pStyle w:val="TableText0"/>
              <w:widowControl w:val="0"/>
            </w:pPr>
            <w:r w:rsidRPr="00C4404D">
              <w:t xml:space="preserve">BENCHMRK </w:t>
            </w:r>
          </w:p>
          <w:p w14:paraId="65060706" w14:textId="49DC8149" w:rsidR="006E2F28" w:rsidRPr="00C4404D" w:rsidRDefault="006E2F28" w:rsidP="00700BF0">
            <w:pPr>
              <w:pStyle w:val="TableText0"/>
              <w:widowControl w:val="0"/>
            </w:pPr>
            <w:r w:rsidRPr="00C4404D">
              <w:t xml:space="preserve">(1 and 2) </w:t>
            </w:r>
            <w:r w:rsidRPr="00C4404D">
              <w:rPr>
                <w:szCs w:val="18"/>
              </w:rPr>
              <w:t>NCT00293267</w:t>
            </w:r>
          </w:p>
        </w:tc>
        <w:tc>
          <w:tcPr>
            <w:tcW w:w="3027" w:type="pct"/>
            <w:tcBorders>
              <w:top w:val="single" w:sz="4" w:space="0" w:color="auto"/>
              <w:bottom w:val="nil"/>
            </w:tcBorders>
            <w:vAlign w:val="center"/>
          </w:tcPr>
          <w:p w14:paraId="3348670B" w14:textId="77777777" w:rsidR="006E2F28" w:rsidRPr="00C4404D" w:rsidRDefault="006E2F28" w:rsidP="00700BF0">
            <w:pPr>
              <w:pStyle w:val="TableText0"/>
              <w:keepNext w:val="0"/>
              <w:widowControl w:val="0"/>
            </w:pPr>
            <w:r w:rsidRPr="00C4404D">
              <w:t>Steigbigel, RT, Cooper, DA, et al. Raltegravir with optimized background therapy for resistant HIV-1 infection.</w:t>
            </w:r>
          </w:p>
        </w:tc>
        <w:tc>
          <w:tcPr>
            <w:tcW w:w="1177" w:type="pct"/>
            <w:tcBorders>
              <w:top w:val="single" w:sz="4" w:space="0" w:color="auto"/>
              <w:bottom w:val="nil"/>
            </w:tcBorders>
            <w:vAlign w:val="center"/>
          </w:tcPr>
          <w:p w14:paraId="7BA5E01E" w14:textId="77777777" w:rsidR="006E2F28" w:rsidRPr="00C4404D" w:rsidRDefault="006E2F28" w:rsidP="00700BF0">
            <w:pPr>
              <w:pStyle w:val="TableText0"/>
              <w:keepNext w:val="0"/>
              <w:widowControl w:val="0"/>
            </w:pPr>
            <w:r w:rsidRPr="00C4404D">
              <w:rPr>
                <w:i/>
                <w:iCs/>
              </w:rPr>
              <w:t>NJEM</w:t>
            </w:r>
            <w:r w:rsidRPr="00C4404D">
              <w:t xml:space="preserve"> 2008; 359(4): 339-354.</w:t>
            </w:r>
          </w:p>
        </w:tc>
      </w:tr>
      <w:tr w:rsidR="006E2F28" w:rsidRPr="00C4404D" w14:paraId="340C75B4" w14:textId="77777777" w:rsidTr="00C4668F">
        <w:tc>
          <w:tcPr>
            <w:tcW w:w="796" w:type="pct"/>
            <w:vMerge/>
            <w:vAlign w:val="center"/>
          </w:tcPr>
          <w:p w14:paraId="33CEC69C" w14:textId="73AAAB5E" w:rsidR="006E2F28" w:rsidRPr="00C4404D" w:rsidRDefault="006E2F28" w:rsidP="00700BF0">
            <w:pPr>
              <w:pStyle w:val="TableText0"/>
              <w:widowControl w:val="0"/>
            </w:pPr>
          </w:p>
        </w:tc>
        <w:tc>
          <w:tcPr>
            <w:tcW w:w="3027" w:type="pct"/>
            <w:tcBorders>
              <w:top w:val="nil"/>
              <w:bottom w:val="nil"/>
            </w:tcBorders>
            <w:vAlign w:val="center"/>
          </w:tcPr>
          <w:p w14:paraId="1EA614A8" w14:textId="77777777" w:rsidR="006E2F28" w:rsidRPr="00C4404D" w:rsidRDefault="006E2F28" w:rsidP="00700BF0">
            <w:pPr>
              <w:pStyle w:val="TableText0"/>
              <w:keepNext w:val="0"/>
              <w:widowControl w:val="0"/>
              <w:rPr>
                <w:szCs w:val="18"/>
              </w:rPr>
            </w:pPr>
            <w:r w:rsidRPr="00C4404D">
              <w:rPr>
                <w:szCs w:val="18"/>
              </w:rPr>
              <w:t xml:space="preserve">Merck Sharp &amp; Dohme LLC NCT00293267: A Study to Evaluate the Safety and Efficacy of Raltegravir (MK0518) in HIV-Infected Patients Failing Current Antiretroviral Therapies (MK0518-018 EXT2). </w:t>
            </w:r>
          </w:p>
        </w:tc>
        <w:tc>
          <w:tcPr>
            <w:tcW w:w="1177" w:type="pct"/>
            <w:tcBorders>
              <w:top w:val="nil"/>
              <w:bottom w:val="nil"/>
            </w:tcBorders>
            <w:vAlign w:val="center"/>
          </w:tcPr>
          <w:p w14:paraId="64733D88" w14:textId="77777777" w:rsidR="006E2F28" w:rsidRPr="00C4404D" w:rsidRDefault="006E2F28" w:rsidP="00700BF0">
            <w:pPr>
              <w:pStyle w:val="TableText0"/>
              <w:keepNext w:val="0"/>
              <w:widowControl w:val="0"/>
              <w:rPr>
                <w:i/>
              </w:rPr>
            </w:pPr>
          </w:p>
        </w:tc>
      </w:tr>
      <w:tr w:rsidR="006E2F28" w:rsidRPr="00C4404D" w14:paraId="328B841C" w14:textId="77777777" w:rsidTr="00C4668F">
        <w:tc>
          <w:tcPr>
            <w:tcW w:w="796" w:type="pct"/>
            <w:vMerge/>
            <w:vAlign w:val="center"/>
          </w:tcPr>
          <w:p w14:paraId="5D0C586D" w14:textId="48C670A0" w:rsidR="006E2F28" w:rsidRPr="00C4404D" w:rsidRDefault="006E2F28" w:rsidP="00700BF0">
            <w:pPr>
              <w:pStyle w:val="TableText0"/>
              <w:keepNext w:val="0"/>
              <w:widowControl w:val="0"/>
            </w:pPr>
          </w:p>
        </w:tc>
        <w:tc>
          <w:tcPr>
            <w:tcW w:w="3027" w:type="pct"/>
            <w:tcBorders>
              <w:top w:val="nil"/>
              <w:bottom w:val="nil"/>
            </w:tcBorders>
            <w:vAlign w:val="center"/>
          </w:tcPr>
          <w:p w14:paraId="3DA925DD" w14:textId="77777777" w:rsidR="006E2F28" w:rsidRPr="00C4404D" w:rsidRDefault="006E2F28" w:rsidP="00700BF0">
            <w:pPr>
              <w:pStyle w:val="TableText0"/>
              <w:keepNext w:val="0"/>
              <w:widowControl w:val="0"/>
              <w:rPr>
                <w:szCs w:val="18"/>
              </w:rPr>
            </w:pPr>
            <w:r w:rsidRPr="00C4404D">
              <w:rPr>
                <w:rFonts w:eastAsia="Batang"/>
                <w:lang w:eastAsia="en-US"/>
              </w:rPr>
              <w:t>Merck Sharp &amp; Dohme LLC NCT00293254: A Study to Evaluate the Safety and Efficacy of Raltegravir (MK0518) in HIV-Infected Patients Failing Current Antiretroviral Therapies (0518-019</w:t>
            </w:r>
          </w:p>
        </w:tc>
        <w:tc>
          <w:tcPr>
            <w:tcW w:w="1177" w:type="pct"/>
            <w:tcBorders>
              <w:top w:val="nil"/>
              <w:bottom w:val="nil"/>
            </w:tcBorders>
            <w:vAlign w:val="center"/>
          </w:tcPr>
          <w:p w14:paraId="1D1E6814" w14:textId="77777777" w:rsidR="006E2F28" w:rsidRPr="00C4404D" w:rsidRDefault="006E2F28" w:rsidP="00700BF0">
            <w:pPr>
              <w:pStyle w:val="TableText0"/>
              <w:keepNext w:val="0"/>
              <w:widowControl w:val="0"/>
            </w:pPr>
          </w:p>
        </w:tc>
      </w:tr>
      <w:tr w:rsidR="006E2F28" w:rsidRPr="00C4404D" w14:paraId="45DF1EF0" w14:textId="77777777" w:rsidTr="00C4668F">
        <w:tc>
          <w:tcPr>
            <w:tcW w:w="796" w:type="pct"/>
            <w:vMerge/>
            <w:vAlign w:val="center"/>
          </w:tcPr>
          <w:p w14:paraId="2D57EC88"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2119E663" w14:textId="77777777" w:rsidR="006E2F28" w:rsidRPr="00C4404D" w:rsidRDefault="006E2F28" w:rsidP="00700BF0">
            <w:pPr>
              <w:pStyle w:val="TableText0"/>
              <w:keepNext w:val="0"/>
              <w:widowControl w:val="0"/>
              <w:rPr>
                <w:szCs w:val="18"/>
              </w:rPr>
            </w:pPr>
            <w:r w:rsidRPr="00C4404D">
              <w:rPr>
                <w:rFonts w:eastAsia="Batang"/>
              </w:rPr>
              <w:t>Cooper, DA, Steigbigel, RT, et al. Subgroup and resistance analyses of raltegravir for resistant HIV-1 infection.</w:t>
            </w:r>
          </w:p>
        </w:tc>
        <w:tc>
          <w:tcPr>
            <w:tcW w:w="1177" w:type="pct"/>
            <w:tcBorders>
              <w:top w:val="nil"/>
              <w:bottom w:val="nil"/>
            </w:tcBorders>
            <w:vAlign w:val="center"/>
          </w:tcPr>
          <w:p w14:paraId="79A83AA7" w14:textId="77777777" w:rsidR="006E2F28" w:rsidRPr="00C4404D" w:rsidRDefault="006E2F28" w:rsidP="00700BF0">
            <w:pPr>
              <w:pStyle w:val="TableText0"/>
              <w:keepNext w:val="0"/>
              <w:widowControl w:val="0"/>
              <w:rPr>
                <w:i/>
                <w:szCs w:val="18"/>
              </w:rPr>
            </w:pPr>
            <w:r w:rsidRPr="00C4404D">
              <w:rPr>
                <w:rFonts w:eastAsia="Batang"/>
                <w:i/>
                <w:iCs/>
              </w:rPr>
              <w:t xml:space="preserve">NJEM </w:t>
            </w:r>
            <w:r w:rsidRPr="00C4404D">
              <w:rPr>
                <w:rFonts w:eastAsia="Batang"/>
              </w:rPr>
              <w:t>2008; 359(4): 355-365</w:t>
            </w:r>
          </w:p>
        </w:tc>
      </w:tr>
      <w:tr w:rsidR="006E2F28" w:rsidRPr="00C4404D" w14:paraId="7ABD7AA4" w14:textId="77777777" w:rsidTr="00C4668F">
        <w:tc>
          <w:tcPr>
            <w:tcW w:w="796" w:type="pct"/>
            <w:vMerge/>
            <w:vAlign w:val="center"/>
          </w:tcPr>
          <w:p w14:paraId="1BB2CA36"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3504381C" w14:textId="732A9948" w:rsidR="006E2F28" w:rsidRPr="00C4404D" w:rsidRDefault="006E2F28" w:rsidP="00700BF0">
            <w:pPr>
              <w:pStyle w:val="TableText0"/>
              <w:keepNext w:val="0"/>
              <w:widowControl w:val="0"/>
              <w:rPr>
                <w:szCs w:val="18"/>
              </w:rPr>
            </w:pPr>
            <w:r w:rsidRPr="00C4404D">
              <w:rPr>
                <w:rFonts w:eastAsia="Batang"/>
              </w:rPr>
              <w:t>Steigbigel, RT, Cooper, DA, et al. Long-term efficacy and safety of Raltegravir combined with optimized background therapy in treatment-experienced patients with drug-resistant HIV infection: week 96 results of the BENCHMRK 1 and 2 Phase III trials.</w:t>
            </w:r>
          </w:p>
        </w:tc>
        <w:tc>
          <w:tcPr>
            <w:tcW w:w="1177" w:type="pct"/>
            <w:tcBorders>
              <w:top w:val="nil"/>
              <w:bottom w:val="nil"/>
            </w:tcBorders>
            <w:vAlign w:val="center"/>
          </w:tcPr>
          <w:p w14:paraId="7DE95060" w14:textId="77777777" w:rsidR="006E2F28" w:rsidRPr="00C4404D" w:rsidRDefault="006E2F28" w:rsidP="00700BF0">
            <w:pPr>
              <w:pStyle w:val="TableText0"/>
              <w:keepNext w:val="0"/>
              <w:widowControl w:val="0"/>
              <w:rPr>
                <w:i/>
                <w:szCs w:val="18"/>
              </w:rPr>
            </w:pPr>
            <w:r w:rsidRPr="009052D6">
              <w:rPr>
                <w:rFonts w:eastAsia="Batang"/>
                <w:i/>
                <w:iCs/>
              </w:rPr>
              <w:t>Clinical infectious diseases</w:t>
            </w:r>
            <w:r w:rsidRPr="00C4404D">
              <w:rPr>
                <w:rFonts w:eastAsia="Batang"/>
              </w:rPr>
              <w:t xml:space="preserve"> 2010;  50(4): 605-612.</w:t>
            </w:r>
          </w:p>
        </w:tc>
      </w:tr>
      <w:tr w:rsidR="006E2F28" w:rsidRPr="00C4404D" w14:paraId="6687B02F" w14:textId="77777777" w:rsidTr="00C4668F">
        <w:tc>
          <w:tcPr>
            <w:tcW w:w="796" w:type="pct"/>
            <w:vMerge/>
            <w:vAlign w:val="center"/>
          </w:tcPr>
          <w:p w14:paraId="5216EAE0"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543D729C" w14:textId="77777777" w:rsidR="006E2F28" w:rsidRPr="00C4404D" w:rsidRDefault="006E2F28" w:rsidP="00700BF0">
            <w:pPr>
              <w:pStyle w:val="TableText0"/>
              <w:keepNext w:val="0"/>
              <w:widowControl w:val="0"/>
              <w:rPr>
                <w:szCs w:val="18"/>
              </w:rPr>
            </w:pPr>
            <w:r w:rsidRPr="00C4404D">
              <w:rPr>
                <w:szCs w:val="18"/>
              </w:rPr>
              <w:t xml:space="preserve">Eron, JJ, Cooper, DA, et al. Efficacy and safety of raltegravir for treatment of HIV for 5 years in the BENCHMRK studies: final results of two </w:t>
            </w:r>
            <w:r w:rsidRPr="00C4404D">
              <w:rPr>
                <w:szCs w:val="18"/>
              </w:rPr>
              <w:lastRenderedPageBreak/>
              <w:t xml:space="preserve">randomised, placebo-controlled trials. </w:t>
            </w:r>
          </w:p>
        </w:tc>
        <w:tc>
          <w:tcPr>
            <w:tcW w:w="1177" w:type="pct"/>
            <w:tcBorders>
              <w:top w:val="nil"/>
              <w:bottom w:val="nil"/>
            </w:tcBorders>
            <w:vAlign w:val="center"/>
          </w:tcPr>
          <w:p w14:paraId="54629F57" w14:textId="77777777" w:rsidR="006E2F28" w:rsidRPr="00C4404D" w:rsidRDefault="006E2F28" w:rsidP="00700BF0">
            <w:pPr>
              <w:pStyle w:val="TableText0"/>
              <w:keepNext w:val="0"/>
              <w:widowControl w:val="0"/>
              <w:rPr>
                <w:i/>
                <w:szCs w:val="18"/>
              </w:rPr>
            </w:pPr>
            <w:r w:rsidRPr="00C4404D">
              <w:rPr>
                <w:i/>
                <w:iCs/>
                <w:szCs w:val="18"/>
              </w:rPr>
              <w:lastRenderedPageBreak/>
              <w:t>The Lancet</w:t>
            </w:r>
            <w:r w:rsidRPr="00C4404D">
              <w:rPr>
                <w:szCs w:val="18"/>
              </w:rPr>
              <w:t xml:space="preserve">. </w:t>
            </w:r>
            <w:r w:rsidRPr="00C4404D">
              <w:rPr>
                <w:i/>
                <w:iCs/>
                <w:szCs w:val="18"/>
              </w:rPr>
              <w:t>Infectious diseases</w:t>
            </w:r>
            <w:r w:rsidRPr="00C4404D">
              <w:rPr>
                <w:szCs w:val="18"/>
              </w:rPr>
              <w:t xml:space="preserve"> 2013; 13(7): 587-</w:t>
            </w:r>
            <w:r w:rsidRPr="00C4404D">
              <w:rPr>
                <w:szCs w:val="18"/>
              </w:rPr>
              <w:lastRenderedPageBreak/>
              <w:t>596.</w:t>
            </w:r>
          </w:p>
        </w:tc>
      </w:tr>
      <w:tr w:rsidR="006E2F28" w:rsidRPr="00C4404D" w14:paraId="7DFB4D9B" w14:textId="77777777" w:rsidTr="00C4668F">
        <w:tc>
          <w:tcPr>
            <w:tcW w:w="796" w:type="pct"/>
            <w:vMerge/>
            <w:vAlign w:val="center"/>
          </w:tcPr>
          <w:p w14:paraId="7E7EE445" w14:textId="77777777" w:rsidR="006E2F28" w:rsidRPr="00C4404D" w:rsidRDefault="006E2F28" w:rsidP="00700BF0">
            <w:pPr>
              <w:pStyle w:val="TableText0"/>
              <w:keepNext w:val="0"/>
              <w:widowControl w:val="0"/>
            </w:pPr>
          </w:p>
        </w:tc>
        <w:tc>
          <w:tcPr>
            <w:tcW w:w="3027" w:type="pct"/>
            <w:tcBorders>
              <w:bottom w:val="nil"/>
            </w:tcBorders>
            <w:vAlign w:val="center"/>
          </w:tcPr>
          <w:p w14:paraId="65082C2A" w14:textId="77777777" w:rsidR="006E2F28" w:rsidRPr="00C4404D" w:rsidRDefault="006E2F28" w:rsidP="00700BF0">
            <w:pPr>
              <w:pStyle w:val="TableText0"/>
              <w:keepNext w:val="0"/>
              <w:widowControl w:val="0"/>
            </w:pPr>
            <w:r w:rsidRPr="00C4404D">
              <w:rPr>
                <w:rFonts w:eastAsia="Batang"/>
              </w:rPr>
              <w:t xml:space="preserve">Gulick, RM, Lalezari, J, et al.  Maraviroc for previously treated patients with R5 HIV-1 infection.  </w:t>
            </w:r>
          </w:p>
        </w:tc>
        <w:tc>
          <w:tcPr>
            <w:tcW w:w="1177" w:type="pct"/>
            <w:tcBorders>
              <w:bottom w:val="nil"/>
            </w:tcBorders>
            <w:vAlign w:val="center"/>
          </w:tcPr>
          <w:p w14:paraId="05934644" w14:textId="77777777" w:rsidR="006E2F28" w:rsidRPr="00C4404D" w:rsidRDefault="006E2F28" w:rsidP="00700BF0">
            <w:pPr>
              <w:pStyle w:val="TableText0"/>
              <w:keepNext w:val="0"/>
              <w:widowControl w:val="0"/>
            </w:pPr>
            <w:r w:rsidRPr="00C4404D">
              <w:rPr>
                <w:rFonts w:eastAsia="Batang"/>
                <w:i/>
                <w:iCs/>
              </w:rPr>
              <w:t>NEJM</w:t>
            </w:r>
            <w:r w:rsidRPr="00C4404D">
              <w:rPr>
                <w:rFonts w:eastAsia="Batang"/>
              </w:rPr>
              <w:t xml:space="preserve"> 2008; 359(14): 1429-1441.</w:t>
            </w:r>
          </w:p>
        </w:tc>
      </w:tr>
      <w:tr w:rsidR="006E2F28" w:rsidRPr="00C4404D" w14:paraId="5B933080" w14:textId="77777777" w:rsidTr="00C4668F">
        <w:tc>
          <w:tcPr>
            <w:tcW w:w="796" w:type="pct"/>
            <w:vMerge/>
            <w:vAlign w:val="center"/>
          </w:tcPr>
          <w:p w14:paraId="3B5ECDBC" w14:textId="298F2F91" w:rsidR="006E2F28" w:rsidRPr="00C4404D" w:rsidRDefault="006E2F28" w:rsidP="00700BF0">
            <w:pPr>
              <w:pStyle w:val="TableText0"/>
              <w:keepNext w:val="0"/>
              <w:widowControl w:val="0"/>
            </w:pPr>
          </w:p>
        </w:tc>
        <w:tc>
          <w:tcPr>
            <w:tcW w:w="3027" w:type="pct"/>
            <w:tcBorders>
              <w:top w:val="nil"/>
              <w:bottom w:val="nil"/>
            </w:tcBorders>
            <w:vAlign w:val="center"/>
          </w:tcPr>
          <w:p w14:paraId="3F078A00" w14:textId="77777777" w:rsidR="006E2F28" w:rsidRPr="00C4404D" w:rsidRDefault="006E2F28" w:rsidP="00700BF0">
            <w:pPr>
              <w:pStyle w:val="TableText0"/>
              <w:keepNext w:val="0"/>
              <w:widowControl w:val="0"/>
              <w:rPr>
                <w:szCs w:val="18"/>
              </w:rPr>
            </w:pPr>
            <w:r w:rsidRPr="00C4404D">
              <w:rPr>
                <w:rFonts w:eastAsia="Batang"/>
              </w:rPr>
              <w:t>ViiV Healthcare NCT00098722: Trial of Maraviroc (UK-427,857) in Combination With Optimized Background Therapy Versus Optimized Background Therapy Alone for the Treatment of HIV-1 Infected Subjects (MOTIVATE 2).</w:t>
            </w:r>
          </w:p>
        </w:tc>
        <w:tc>
          <w:tcPr>
            <w:tcW w:w="1177" w:type="pct"/>
            <w:tcBorders>
              <w:top w:val="nil"/>
              <w:bottom w:val="nil"/>
            </w:tcBorders>
            <w:vAlign w:val="center"/>
          </w:tcPr>
          <w:p w14:paraId="1F4600A3" w14:textId="77777777" w:rsidR="006E2F28" w:rsidRPr="00C4404D" w:rsidRDefault="006E2F28" w:rsidP="00700BF0">
            <w:pPr>
              <w:pStyle w:val="TableText0"/>
              <w:keepNext w:val="0"/>
              <w:widowControl w:val="0"/>
            </w:pPr>
          </w:p>
        </w:tc>
      </w:tr>
      <w:tr w:rsidR="006E2F28" w:rsidRPr="00C4404D" w14:paraId="12CAB910" w14:textId="77777777" w:rsidTr="00C4668F">
        <w:tc>
          <w:tcPr>
            <w:tcW w:w="796" w:type="pct"/>
            <w:vMerge/>
            <w:tcBorders>
              <w:bottom w:val="nil"/>
            </w:tcBorders>
            <w:vAlign w:val="center"/>
          </w:tcPr>
          <w:p w14:paraId="38B87CB0"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18942BC7" w14:textId="77777777" w:rsidR="006E2F28" w:rsidRPr="00C4404D" w:rsidRDefault="006E2F28" w:rsidP="00700BF0">
            <w:pPr>
              <w:pStyle w:val="TableText0"/>
              <w:keepNext w:val="0"/>
              <w:widowControl w:val="0"/>
              <w:rPr>
                <w:szCs w:val="18"/>
              </w:rPr>
            </w:pPr>
            <w:r w:rsidRPr="00C4404D">
              <w:rPr>
                <w:rFonts w:eastAsia="Batang"/>
              </w:rPr>
              <w:t>ViiV Healthcare and Pfizer NCT00098306: Trial of Maraviroc (UK-427,857) in Combination With Optimized Background Therapy Versus Optimized Background Therapy Alone for the Treatment of HIV-1 Infected Subjects (MOTIVATE 1)</w:t>
            </w:r>
          </w:p>
        </w:tc>
        <w:tc>
          <w:tcPr>
            <w:tcW w:w="1177" w:type="pct"/>
            <w:tcBorders>
              <w:top w:val="nil"/>
              <w:bottom w:val="nil"/>
            </w:tcBorders>
            <w:vAlign w:val="center"/>
          </w:tcPr>
          <w:p w14:paraId="076041D8" w14:textId="77777777" w:rsidR="006E2F28" w:rsidRPr="00C4404D" w:rsidRDefault="006E2F28" w:rsidP="00700BF0">
            <w:pPr>
              <w:pStyle w:val="TableText0"/>
              <w:keepNext w:val="0"/>
              <w:widowControl w:val="0"/>
              <w:rPr>
                <w:i/>
                <w:szCs w:val="18"/>
              </w:rPr>
            </w:pPr>
          </w:p>
        </w:tc>
      </w:tr>
      <w:tr w:rsidR="006E2F28" w:rsidRPr="00C4404D" w14:paraId="0A421316" w14:textId="77777777" w:rsidTr="007A5FFB">
        <w:tc>
          <w:tcPr>
            <w:tcW w:w="796" w:type="pct"/>
            <w:vMerge w:val="restart"/>
            <w:tcBorders>
              <w:top w:val="nil"/>
            </w:tcBorders>
            <w:vAlign w:val="center"/>
          </w:tcPr>
          <w:p w14:paraId="048DAAC2" w14:textId="77777777" w:rsidR="004F768E" w:rsidRDefault="006E2F28" w:rsidP="00F3670E">
            <w:pPr>
              <w:pStyle w:val="TableText0"/>
              <w:keepNext w:val="0"/>
              <w:widowControl w:val="0"/>
            </w:pPr>
            <w:r w:rsidRPr="00C4404D">
              <w:t xml:space="preserve">MOTIVATE </w:t>
            </w:r>
          </w:p>
          <w:p w14:paraId="285F015D" w14:textId="6792C49D" w:rsidR="006E2F28" w:rsidRPr="00C4404D" w:rsidRDefault="006E2F28" w:rsidP="00F3670E">
            <w:pPr>
              <w:pStyle w:val="TableText0"/>
              <w:keepNext w:val="0"/>
              <w:widowControl w:val="0"/>
            </w:pPr>
            <w:r w:rsidRPr="00C4404D">
              <w:t>(1 and 2)</w:t>
            </w:r>
          </w:p>
          <w:p w14:paraId="062A5A21" w14:textId="5FC42220" w:rsidR="006E2F28" w:rsidRPr="00C4404D" w:rsidRDefault="006E2F28" w:rsidP="00F3670E">
            <w:pPr>
              <w:pStyle w:val="TableText0"/>
              <w:keepNext w:val="0"/>
              <w:widowControl w:val="0"/>
            </w:pPr>
            <w:r w:rsidRPr="00C4404D">
              <w:t xml:space="preserve"> </w:t>
            </w:r>
            <w:r w:rsidRPr="00C4404D">
              <w:rPr>
                <w:rFonts w:eastAsia="Batang"/>
              </w:rPr>
              <w:t>NCT00098722</w:t>
            </w:r>
          </w:p>
        </w:tc>
        <w:tc>
          <w:tcPr>
            <w:tcW w:w="3027" w:type="pct"/>
            <w:tcBorders>
              <w:top w:val="nil"/>
              <w:bottom w:val="nil"/>
            </w:tcBorders>
          </w:tcPr>
          <w:p w14:paraId="21D06A20" w14:textId="77777777" w:rsidR="006E2F28" w:rsidRPr="00C4404D" w:rsidRDefault="006E2F28" w:rsidP="007A5FFB">
            <w:pPr>
              <w:pStyle w:val="TableText0"/>
              <w:keepNext w:val="0"/>
              <w:widowControl w:val="0"/>
              <w:rPr>
                <w:szCs w:val="18"/>
              </w:rPr>
            </w:pPr>
            <w:r w:rsidRPr="00C4404D">
              <w:rPr>
                <w:rFonts w:eastAsia="Batang"/>
                <w:lang w:eastAsia="en-US"/>
              </w:rPr>
              <w:t>Asmuth, DM, Goodrich, J</w:t>
            </w:r>
            <w:r w:rsidRPr="00C4404D">
              <w:rPr>
                <w:rFonts w:eastAsia="Batang"/>
                <w:i/>
                <w:iCs/>
                <w:lang w:eastAsia="en-US"/>
              </w:rPr>
              <w:t>, et al.</w:t>
            </w:r>
            <w:r w:rsidRPr="00C4404D">
              <w:rPr>
                <w:rFonts w:eastAsia="Batang"/>
                <w:lang w:eastAsia="en-US"/>
              </w:rPr>
              <w:t xml:space="preserve"> CD4+ T-cell restoration after 48 weeks in the maraviroc treatment-experienced trials MOTIVATE 1 and 2.</w:t>
            </w:r>
          </w:p>
        </w:tc>
        <w:tc>
          <w:tcPr>
            <w:tcW w:w="1177" w:type="pct"/>
            <w:tcBorders>
              <w:top w:val="nil"/>
              <w:bottom w:val="nil"/>
            </w:tcBorders>
            <w:vAlign w:val="center"/>
          </w:tcPr>
          <w:p w14:paraId="538401B3" w14:textId="444764C1" w:rsidR="006E2F28" w:rsidRPr="00C4404D" w:rsidRDefault="006E2F28" w:rsidP="00700BF0">
            <w:pPr>
              <w:pStyle w:val="TableText0"/>
              <w:keepNext w:val="0"/>
              <w:widowControl w:val="0"/>
              <w:rPr>
                <w:i/>
                <w:szCs w:val="18"/>
              </w:rPr>
            </w:pPr>
            <w:r w:rsidRPr="00C4404D">
              <w:rPr>
                <w:rFonts w:eastAsia="Batang"/>
                <w:i/>
                <w:iCs/>
                <w:lang w:eastAsia="en-US"/>
              </w:rPr>
              <w:t xml:space="preserve">Journal of acquired immune deficiency syndromes 2010; </w:t>
            </w:r>
            <w:r w:rsidRPr="00C4404D">
              <w:rPr>
                <w:rFonts w:eastAsia="Batang"/>
                <w:lang w:eastAsia="en-US"/>
              </w:rPr>
              <w:t>54(4): 394-397.</w:t>
            </w:r>
          </w:p>
        </w:tc>
      </w:tr>
      <w:tr w:rsidR="006E2F28" w:rsidRPr="00C4404D" w14:paraId="3C3E2954" w14:textId="77777777" w:rsidTr="00E44981">
        <w:tc>
          <w:tcPr>
            <w:tcW w:w="796" w:type="pct"/>
            <w:vMerge/>
            <w:vAlign w:val="center"/>
          </w:tcPr>
          <w:p w14:paraId="23E2EB6A"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536E12BB" w14:textId="77777777" w:rsidR="006E2F28" w:rsidRPr="00C4404D" w:rsidRDefault="006E2F28" w:rsidP="00700BF0">
            <w:pPr>
              <w:pStyle w:val="TableText0"/>
              <w:keepNext w:val="0"/>
              <w:widowControl w:val="0"/>
              <w:rPr>
                <w:szCs w:val="18"/>
              </w:rPr>
            </w:pPr>
            <w:r w:rsidRPr="00C4404D">
              <w:rPr>
                <w:szCs w:val="18"/>
              </w:rPr>
              <w:t>Fatkenheuer, G, Nelson, M, et al. Subgroup analyses of maraviroc in previously treated R5 HIV-1 infection.</w:t>
            </w:r>
          </w:p>
        </w:tc>
        <w:tc>
          <w:tcPr>
            <w:tcW w:w="1177" w:type="pct"/>
            <w:tcBorders>
              <w:top w:val="nil"/>
              <w:bottom w:val="nil"/>
            </w:tcBorders>
            <w:vAlign w:val="center"/>
          </w:tcPr>
          <w:p w14:paraId="40D165E0" w14:textId="77777777" w:rsidR="006E2F28" w:rsidRPr="00C4404D" w:rsidRDefault="006E2F28" w:rsidP="00700BF0">
            <w:pPr>
              <w:pStyle w:val="TableText0"/>
              <w:keepNext w:val="0"/>
              <w:widowControl w:val="0"/>
              <w:rPr>
                <w:i/>
                <w:szCs w:val="18"/>
              </w:rPr>
            </w:pPr>
            <w:r w:rsidRPr="00C4404D">
              <w:rPr>
                <w:i/>
                <w:iCs/>
                <w:szCs w:val="18"/>
              </w:rPr>
              <w:t>NEJM</w:t>
            </w:r>
            <w:r w:rsidRPr="00C4404D">
              <w:rPr>
                <w:szCs w:val="18"/>
              </w:rPr>
              <w:t xml:space="preserve"> 2008; 359(14): 1442-1455</w:t>
            </w:r>
          </w:p>
        </w:tc>
      </w:tr>
      <w:tr w:rsidR="006E2F28" w:rsidRPr="00C4404D" w14:paraId="1EB6B240" w14:textId="77777777" w:rsidTr="00E44981">
        <w:tc>
          <w:tcPr>
            <w:tcW w:w="796" w:type="pct"/>
            <w:vMerge/>
            <w:vAlign w:val="center"/>
          </w:tcPr>
          <w:p w14:paraId="37C44505"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7F98B1EB" w14:textId="77777777" w:rsidR="006E2F28" w:rsidRPr="00C4404D" w:rsidRDefault="006E2F28" w:rsidP="00700BF0">
            <w:pPr>
              <w:pStyle w:val="TableText0"/>
              <w:keepNext w:val="0"/>
              <w:widowControl w:val="0"/>
              <w:rPr>
                <w:szCs w:val="18"/>
              </w:rPr>
            </w:pPr>
            <w:r w:rsidRPr="00C4404D">
              <w:rPr>
                <w:rFonts w:eastAsia="Batang"/>
              </w:rPr>
              <w:t xml:space="preserve">Gulick, RM, Fatkenheuer, G, et al. Five-year safety evaluation of maraviroc in HIV-1-infected treatment-experienced patients. </w:t>
            </w:r>
          </w:p>
        </w:tc>
        <w:tc>
          <w:tcPr>
            <w:tcW w:w="1177" w:type="pct"/>
            <w:tcBorders>
              <w:top w:val="nil"/>
              <w:bottom w:val="nil"/>
            </w:tcBorders>
            <w:vAlign w:val="center"/>
          </w:tcPr>
          <w:p w14:paraId="1FEE9429" w14:textId="77777777" w:rsidR="006E2F28" w:rsidRPr="00C4404D" w:rsidRDefault="006E2F28" w:rsidP="00700BF0">
            <w:pPr>
              <w:pStyle w:val="TableText0"/>
              <w:keepNext w:val="0"/>
              <w:widowControl w:val="0"/>
              <w:rPr>
                <w:i/>
                <w:szCs w:val="18"/>
              </w:rPr>
            </w:pPr>
            <w:r w:rsidRPr="00C4404D">
              <w:rPr>
                <w:rFonts w:eastAsia="Batang"/>
                <w:i/>
                <w:iCs/>
              </w:rPr>
              <w:t xml:space="preserve">Journal of acquired immune deficiency syndromes </w:t>
            </w:r>
            <w:r w:rsidRPr="00C4404D">
              <w:rPr>
                <w:rFonts w:eastAsia="Batang"/>
              </w:rPr>
              <w:t>2014; 65(1): 78-81.</w:t>
            </w:r>
          </w:p>
        </w:tc>
      </w:tr>
      <w:tr w:rsidR="006E2F28" w:rsidRPr="00C4404D" w14:paraId="5F29D900" w14:textId="77777777" w:rsidTr="00E44981">
        <w:tc>
          <w:tcPr>
            <w:tcW w:w="796" w:type="pct"/>
            <w:vMerge/>
            <w:vAlign w:val="center"/>
          </w:tcPr>
          <w:p w14:paraId="61E1146B"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12D93E8A" w14:textId="77777777" w:rsidR="006E2F28" w:rsidRPr="00C4404D" w:rsidRDefault="006E2F28" w:rsidP="00700BF0">
            <w:pPr>
              <w:pStyle w:val="TableText0"/>
              <w:keepNext w:val="0"/>
              <w:widowControl w:val="0"/>
              <w:rPr>
                <w:szCs w:val="18"/>
              </w:rPr>
            </w:pPr>
            <w:r w:rsidRPr="00C4404D">
              <w:rPr>
                <w:szCs w:val="18"/>
              </w:rPr>
              <w:t xml:space="preserve">Hardy, WD, Gulick, RM, et al. Two-year safety and virologic efficacy of maraviroc in treatment-experienced patients with CCR5-tropic HIV-1 infection: 96-week combined analysis of MOTIVATE 1 and 2. </w:t>
            </w:r>
          </w:p>
        </w:tc>
        <w:tc>
          <w:tcPr>
            <w:tcW w:w="1177" w:type="pct"/>
            <w:tcBorders>
              <w:top w:val="nil"/>
              <w:bottom w:val="nil"/>
            </w:tcBorders>
            <w:vAlign w:val="center"/>
          </w:tcPr>
          <w:p w14:paraId="3340FCAA" w14:textId="77777777" w:rsidR="006E2F28" w:rsidRPr="00C4404D" w:rsidRDefault="006E2F28" w:rsidP="00700BF0">
            <w:pPr>
              <w:pStyle w:val="TableText0"/>
              <w:keepNext w:val="0"/>
              <w:widowControl w:val="0"/>
              <w:rPr>
                <w:i/>
                <w:szCs w:val="18"/>
              </w:rPr>
            </w:pPr>
            <w:r w:rsidRPr="00C4404D">
              <w:rPr>
                <w:i/>
                <w:iCs/>
                <w:szCs w:val="18"/>
              </w:rPr>
              <w:t>Journal of acquired immune deficiency syndromes</w:t>
            </w:r>
            <w:r w:rsidRPr="00C4404D">
              <w:rPr>
                <w:szCs w:val="18"/>
              </w:rPr>
              <w:t xml:space="preserve"> 2010;  55(5): 558-564.</w:t>
            </w:r>
          </w:p>
        </w:tc>
      </w:tr>
      <w:tr w:rsidR="006E2F28" w:rsidRPr="00C4404D" w14:paraId="7AD06122" w14:textId="77777777" w:rsidTr="00E44981">
        <w:tc>
          <w:tcPr>
            <w:tcW w:w="796" w:type="pct"/>
            <w:vMerge/>
            <w:vAlign w:val="center"/>
          </w:tcPr>
          <w:p w14:paraId="6376CDA2" w14:textId="77777777" w:rsidR="006E2F28" w:rsidRPr="00C4404D" w:rsidRDefault="006E2F28" w:rsidP="00700BF0">
            <w:pPr>
              <w:pStyle w:val="TableText0"/>
              <w:keepNext w:val="0"/>
              <w:widowControl w:val="0"/>
            </w:pPr>
          </w:p>
        </w:tc>
        <w:tc>
          <w:tcPr>
            <w:tcW w:w="3027" w:type="pct"/>
            <w:tcBorders>
              <w:top w:val="nil"/>
              <w:bottom w:val="nil"/>
            </w:tcBorders>
            <w:vAlign w:val="center"/>
          </w:tcPr>
          <w:p w14:paraId="5FBBAA9F" w14:textId="77777777" w:rsidR="006E2F28" w:rsidRPr="00C4404D" w:rsidRDefault="006E2F28" w:rsidP="00700BF0">
            <w:pPr>
              <w:pStyle w:val="TableText0"/>
              <w:keepNext w:val="0"/>
              <w:widowControl w:val="0"/>
              <w:rPr>
                <w:szCs w:val="18"/>
              </w:rPr>
            </w:pPr>
            <w:r w:rsidRPr="00C4404D">
              <w:rPr>
                <w:szCs w:val="18"/>
              </w:rPr>
              <w:t>Nelson, M, Fisher, M, et al. Impact of baseline antiretroviral resistance status on efficacy outcomes among patients receiving maraviroc plus optimized background therapy in the MOTIVATE 1 and 2 trials.</w:t>
            </w:r>
          </w:p>
        </w:tc>
        <w:tc>
          <w:tcPr>
            <w:tcW w:w="1177" w:type="pct"/>
            <w:tcBorders>
              <w:top w:val="nil"/>
              <w:bottom w:val="nil"/>
            </w:tcBorders>
            <w:vAlign w:val="center"/>
          </w:tcPr>
          <w:p w14:paraId="3D8D8FBF" w14:textId="77777777" w:rsidR="006E2F28" w:rsidRPr="00C4404D" w:rsidRDefault="006E2F28" w:rsidP="00700BF0">
            <w:pPr>
              <w:pStyle w:val="TableText0"/>
              <w:keepNext w:val="0"/>
              <w:widowControl w:val="0"/>
              <w:rPr>
                <w:i/>
                <w:szCs w:val="18"/>
              </w:rPr>
            </w:pPr>
            <w:r w:rsidRPr="00C4404D">
              <w:rPr>
                <w:i/>
                <w:iCs/>
                <w:szCs w:val="18"/>
              </w:rPr>
              <w:t xml:space="preserve">HIV clinical trials </w:t>
            </w:r>
            <w:r w:rsidRPr="00C4404D">
              <w:rPr>
                <w:szCs w:val="18"/>
              </w:rPr>
              <w:t>2010; 11(3): 145-155.</w:t>
            </w:r>
          </w:p>
        </w:tc>
      </w:tr>
      <w:tr w:rsidR="006E2F28" w:rsidRPr="00C4404D" w14:paraId="5BD85138" w14:textId="77777777" w:rsidTr="007A5FFB">
        <w:tc>
          <w:tcPr>
            <w:tcW w:w="796" w:type="pct"/>
            <w:vMerge/>
            <w:tcBorders>
              <w:bottom w:val="single" w:sz="4" w:space="0" w:color="auto"/>
            </w:tcBorders>
            <w:vAlign w:val="center"/>
          </w:tcPr>
          <w:p w14:paraId="272B51E2" w14:textId="77777777" w:rsidR="006E2F28" w:rsidRPr="00C4404D" w:rsidRDefault="006E2F28" w:rsidP="00700BF0">
            <w:pPr>
              <w:pStyle w:val="TableText0"/>
              <w:keepNext w:val="0"/>
              <w:widowControl w:val="0"/>
            </w:pPr>
          </w:p>
        </w:tc>
        <w:tc>
          <w:tcPr>
            <w:tcW w:w="3027" w:type="pct"/>
            <w:tcBorders>
              <w:top w:val="nil"/>
              <w:bottom w:val="single" w:sz="4" w:space="0" w:color="auto"/>
            </w:tcBorders>
          </w:tcPr>
          <w:p w14:paraId="43F120BF" w14:textId="77777777" w:rsidR="006E2F28" w:rsidRPr="00C4404D" w:rsidRDefault="006E2F28" w:rsidP="007A5FFB">
            <w:pPr>
              <w:pStyle w:val="TableText0"/>
              <w:keepNext w:val="0"/>
              <w:widowControl w:val="0"/>
              <w:rPr>
                <w:szCs w:val="18"/>
              </w:rPr>
            </w:pPr>
            <w:r w:rsidRPr="00C4404D">
              <w:rPr>
                <w:szCs w:val="18"/>
              </w:rPr>
              <w:t>van Lelyveld, SFL, Wensing, AMJ, et al. The MOTIVATE trials: maraviroc therapy in antiretroviral treatment-experienced HIV-1-infected patients.</w:t>
            </w:r>
          </w:p>
        </w:tc>
        <w:tc>
          <w:tcPr>
            <w:tcW w:w="1177" w:type="pct"/>
            <w:tcBorders>
              <w:top w:val="nil"/>
              <w:bottom w:val="single" w:sz="4" w:space="0" w:color="auto"/>
            </w:tcBorders>
            <w:vAlign w:val="center"/>
          </w:tcPr>
          <w:p w14:paraId="14820A78" w14:textId="77777777" w:rsidR="006E2F28" w:rsidRPr="00C4404D" w:rsidRDefault="006E2F28" w:rsidP="00700BF0">
            <w:pPr>
              <w:pStyle w:val="TableText0"/>
              <w:keepNext w:val="0"/>
              <w:widowControl w:val="0"/>
              <w:rPr>
                <w:i/>
                <w:szCs w:val="18"/>
              </w:rPr>
            </w:pPr>
            <w:r w:rsidRPr="00C4404D">
              <w:rPr>
                <w:i/>
                <w:iCs/>
                <w:szCs w:val="18"/>
              </w:rPr>
              <w:t>Expert review of anti-infective therapy</w:t>
            </w:r>
            <w:r w:rsidRPr="00C4404D">
              <w:rPr>
                <w:szCs w:val="18"/>
              </w:rPr>
              <w:t xml:space="preserve"> 2012; 10(11): 1241-1247</w:t>
            </w:r>
          </w:p>
        </w:tc>
      </w:tr>
      <w:tr w:rsidR="006E2F28" w:rsidRPr="00C4404D" w14:paraId="7D30C07A" w14:textId="77777777" w:rsidTr="00B84872">
        <w:tc>
          <w:tcPr>
            <w:tcW w:w="796" w:type="pct"/>
            <w:vMerge w:val="restart"/>
            <w:tcBorders>
              <w:top w:val="single" w:sz="4" w:space="0" w:color="auto"/>
            </w:tcBorders>
            <w:vAlign w:val="center"/>
          </w:tcPr>
          <w:p w14:paraId="14B0B0F5" w14:textId="77777777" w:rsidR="006E2F28" w:rsidRPr="00C4404D" w:rsidRDefault="006E2F28" w:rsidP="00700BF0">
            <w:pPr>
              <w:pStyle w:val="TableText0"/>
              <w:keepNext w:val="0"/>
              <w:widowControl w:val="0"/>
            </w:pPr>
            <w:r w:rsidRPr="00C4404D">
              <w:t>VICTOR-E</w:t>
            </w:r>
          </w:p>
          <w:p w14:paraId="598151C9" w14:textId="77777777" w:rsidR="006E2F28" w:rsidRPr="00C4404D" w:rsidRDefault="006E2F28" w:rsidP="00700BF0">
            <w:pPr>
              <w:pStyle w:val="TableText0"/>
              <w:keepNext w:val="0"/>
              <w:widowControl w:val="0"/>
            </w:pPr>
            <w:r w:rsidRPr="00C4404D">
              <w:rPr>
                <w:rFonts w:eastAsia="Batang"/>
              </w:rPr>
              <w:t>NCT00243230</w:t>
            </w:r>
          </w:p>
        </w:tc>
        <w:tc>
          <w:tcPr>
            <w:tcW w:w="3027" w:type="pct"/>
            <w:tcBorders>
              <w:top w:val="single" w:sz="4" w:space="0" w:color="auto"/>
              <w:bottom w:val="nil"/>
            </w:tcBorders>
            <w:vAlign w:val="center"/>
          </w:tcPr>
          <w:p w14:paraId="512B815B" w14:textId="77777777" w:rsidR="006E2F28" w:rsidRPr="00C4404D" w:rsidRDefault="006E2F28" w:rsidP="00700BF0">
            <w:pPr>
              <w:pStyle w:val="TableText0"/>
              <w:keepNext w:val="0"/>
              <w:widowControl w:val="0"/>
              <w:rPr>
                <w:szCs w:val="18"/>
              </w:rPr>
            </w:pPr>
            <w:r w:rsidRPr="00C4404D">
              <w:rPr>
                <w:szCs w:val="18"/>
              </w:rPr>
              <w:t>Suleiman, J, Zingman, BS, et al. Vicriviroc in combination therapy with an optimized regimen for treatment-experienced subjects: 48-week results of the VICTOR-E1 phase 2 trial.</w:t>
            </w:r>
          </w:p>
        </w:tc>
        <w:tc>
          <w:tcPr>
            <w:tcW w:w="1177" w:type="pct"/>
            <w:tcBorders>
              <w:top w:val="single" w:sz="4" w:space="0" w:color="auto"/>
              <w:bottom w:val="nil"/>
            </w:tcBorders>
            <w:vAlign w:val="center"/>
          </w:tcPr>
          <w:p w14:paraId="0D0E6B22" w14:textId="77777777" w:rsidR="006E2F28" w:rsidRPr="00C4404D" w:rsidRDefault="006E2F28" w:rsidP="00700BF0">
            <w:pPr>
              <w:pStyle w:val="TableText0"/>
              <w:keepNext w:val="0"/>
              <w:widowControl w:val="0"/>
              <w:rPr>
                <w:i/>
                <w:szCs w:val="18"/>
              </w:rPr>
            </w:pPr>
            <w:r w:rsidRPr="00C4404D">
              <w:rPr>
                <w:i/>
                <w:iCs/>
                <w:szCs w:val="18"/>
              </w:rPr>
              <w:t>The Journal of infectious diseases</w:t>
            </w:r>
            <w:r w:rsidRPr="00C4404D">
              <w:rPr>
                <w:szCs w:val="18"/>
              </w:rPr>
              <w:t xml:space="preserve"> 2010; 201(4): 590-599.</w:t>
            </w:r>
          </w:p>
        </w:tc>
      </w:tr>
      <w:tr w:rsidR="006E2F28" w:rsidRPr="00C4404D" w14:paraId="78249D4E" w14:textId="77777777" w:rsidTr="00B84872">
        <w:tc>
          <w:tcPr>
            <w:tcW w:w="796" w:type="pct"/>
            <w:vMerge/>
            <w:tcBorders>
              <w:bottom w:val="single" w:sz="4" w:space="0" w:color="auto"/>
            </w:tcBorders>
            <w:vAlign w:val="center"/>
          </w:tcPr>
          <w:p w14:paraId="52551350" w14:textId="77777777" w:rsidR="006E2F28" w:rsidRPr="00C4404D" w:rsidRDefault="006E2F28" w:rsidP="00700BF0">
            <w:pPr>
              <w:pStyle w:val="TableText0"/>
              <w:keepNext w:val="0"/>
              <w:widowControl w:val="0"/>
            </w:pPr>
          </w:p>
        </w:tc>
        <w:tc>
          <w:tcPr>
            <w:tcW w:w="3027" w:type="pct"/>
            <w:tcBorders>
              <w:top w:val="nil"/>
              <w:bottom w:val="single" w:sz="4" w:space="0" w:color="auto"/>
            </w:tcBorders>
            <w:vAlign w:val="center"/>
          </w:tcPr>
          <w:p w14:paraId="24D2BBCE" w14:textId="77777777" w:rsidR="006E2F28" w:rsidRPr="00C4404D" w:rsidRDefault="006E2F28" w:rsidP="00700BF0">
            <w:pPr>
              <w:pStyle w:val="TableText0"/>
              <w:keepNext w:val="0"/>
              <w:widowControl w:val="0"/>
              <w:rPr>
                <w:szCs w:val="18"/>
              </w:rPr>
            </w:pPr>
            <w:r w:rsidRPr="00C4404D">
              <w:rPr>
                <w:rFonts w:eastAsia="Batang"/>
              </w:rPr>
              <w:t>Merck Sharp &amp; Dohme LLC NCT00243230: Vicriviroc (SCH 417690) in Combination Treatment With Optimized ARV Regimen in Experienced Participants (VICTOR-E1) (MK-7690-020/P03672) (VICTOR-E1).</w:t>
            </w:r>
          </w:p>
        </w:tc>
        <w:tc>
          <w:tcPr>
            <w:tcW w:w="1177" w:type="pct"/>
            <w:tcBorders>
              <w:top w:val="nil"/>
              <w:bottom w:val="single" w:sz="4" w:space="0" w:color="auto"/>
            </w:tcBorders>
            <w:vAlign w:val="center"/>
          </w:tcPr>
          <w:p w14:paraId="437B9C36" w14:textId="77777777" w:rsidR="006E2F28" w:rsidRPr="00C4404D" w:rsidRDefault="006E2F28" w:rsidP="00700BF0">
            <w:pPr>
              <w:pStyle w:val="TableText0"/>
              <w:keepNext w:val="0"/>
              <w:widowControl w:val="0"/>
              <w:rPr>
                <w:i/>
                <w:szCs w:val="18"/>
              </w:rPr>
            </w:pPr>
          </w:p>
        </w:tc>
      </w:tr>
    </w:tbl>
    <w:p w14:paraId="2FB3A370" w14:textId="01F114DC" w:rsidR="00CC2233" w:rsidRPr="00C4404D" w:rsidRDefault="00CC2233" w:rsidP="00CC2233">
      <w:pPr>
        <w:pStyle w:val="FooterTableFigure"/>
        <w:rPr>
          <w:sz w:val="20"/>
        </w:rPr>
      </w:pPr>
      <w:r w:rsidRPr="00C4404D">
        <w:t>Source: Table 2-5, p39-41 of the submission.</w:t>
      </w:r>
    </w:p>
    <w:p w14:paraId="45713F7B" w14:textId="5DF264CD" w:rsidR="00CC2233" w:rsidRPr="00F3670E" w:rsidRDefault="00CC2233" w:rsidP="00CC2233">
      <w:pPr>
        <w:pStyle w:val="3-BodyText"/>
      </w:pPr>
      <w:r w:rsidRPr="00C4404D">
        <w:t xml:space="preserve">The key features of the randomised trials are </w:t>
      </w:r>
      <w:r w:rsidRPr="00F3670E">
        <w:t xml:space="preserve">summarised in </w:t>
      </w:r>
      <w:r w:rsidRPr="00F3670E">
        <w:fldChar w:fldCharType="begin"/>
      </w:r>
      <w:r w:rsidRPr="00F3670E">
        <w:instrText xml:space="preserve"> REF _Ref104804098 \h  \* MERGEFORMAT </w:instrText>
      </w:r>
      <w:r w:rsidRPr="00F3670E">
        <w:fldChar w:fldCharType="separate"/>
      </w:r>
      <w:r w:rsidR="0050086F" w:rsidRPr="0050086F">
        <w:t>Table 3</w:t>
      </w:r>
      <w:r w:rsidRPr="00F3670E">
        <w:fldChar w:fldCharType="end"/>
      </w:r>
      <w:r w:rsidRPr="00F3670E">
        <w:t xml:space="preserve">. </w:t>
      </w:r>
    </w:p>
    <w:p w14:paraId="249D2083" w14:textId="7C4CC07C" w:rsidR="00CC2233" w:rsidRPr="00F3670E" w:rsidRDefault="00CC2233" w:rsidP="00CC2233">
      <w:pPr>
        <w:pStyle w:val="Caption"/>
        <w:rPr>
          <w:rStyle w:val="CommentReference"/>
          <w:b/>
          <w:szCs w:val="18"/>
        </w:rPr>
      </w:pPr>
      <w:bookmarkStart w:id="25" w:name="_Ref104804098"/>
      <w:r w:rsidRPr="00F3670E">
        <w:rPr>
          <w:rStyle w:val="CommentReference"/>
          <w:rFonts w:eastAsiaTheme="majorEastAsia" w:cstheme="majorBidi"/>
          <w:b/>
          <w:szCs w:val="24"/>
        </w:rPr>
        <w:lastRenderedPageBreak/>
        <w:t xml:space="preserve">Table </w:t>
      </w:r>
      <w:r w:rsidRPr="00F3670E">
        <w:rPr>
          <w:rStyle w:val="CommentReference"/>
          <w:rFonts w:eastAsiaTheme="majorEastAsia" w:cstheme="majorBidi"/>
          <w:b/>
          <w:szCs w:val="24"/>
        </w:rPr>
        <w:fldChar w:fldCharType="begin"/>
      </w:r>
      <w:r w:rsidRPr="00F3670E">
        <w:rPr>
          <w:rStyle w:val="CommentReference"/>
          <w:rFonts w:eastAsiaTheme="majorEastAsia" w:cstheme="majorBidi"/>
          <w:b/>
          <w:szCs w:val="24"/>
        </w:rPr>
        <w:instrText xml:space="preserve"> SEQ Table \* ARABIC </w:instrText>
      </w:r>
      <w:r w:rsidRPr="00F3670E">
        <w:rPr>
          <w:rStyle w:val="CommentReference"/>
          <w:rFonts w:eastAsiaTheme="majorEastAsia" w:cstheme="majorBidi"/>
          <w:b/>
          <w:szCs w:val="24"/>
        </w:rPr>
        <w:fldChar w:fldCharType="separate"/>
      </w:r>
      <w:r w:rsidR="0050086F">
        <w:rPr>
          <w:rStyle w:val="CommentReference"/>
          <w:rFonts w:eastAsiaTheme="majorEastAsia" w:cstheme="majorBidi"/>
          <w:b/>
          <w:noProof/>
          <w:szCs w:val="24"/>
        </w:rPr>
        <w:t>3</w:t>
      </w:r>
      <w:r w:rsidRPr="00F3670E">
        <w:rPr>
          <w:rStyle w:val="CommentReference"/>
          <w:rFonts w:eastAsiaTheme="majorEastAsia" w:cstheme="majorBidi"/>
          <w:b/>
          <w:szCs w:val="24"/>
        </w:rPr>
        <w:fldChar w:fldCharType="end"/>
      </w:r>
      <w:bookmarkEnd w:id="25"/>
      <w:r w:rsidRPr="00F3670E">
        <w:rPr>
          <w:rStyle w:val="CommentReference"/>
          <w:rFonts w:eastAsiaTheme="majorEastAsia" w:cstheme="majorBidi"/>
          <w:b/>
          <w:szCs w:val="24"/>
        </w:rPr>
        <w:t xml:space="preserve">: </w:t>
      </w:r>
      <w:r w:rsidRPr="00F3670E">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33"/>
        <w:gridCol w:w="1531"/>
        <w:gridCol w:w="729"/>
        <w:gridCol w:w="2510"/>
        <w:gridCol w:w="1531"/>
        <w:gridCol w:w="1012"/>
      </w:tblGrid>
      <w:tr w:rsidR="00F3670E" w:rsidRPr="00FF6FFB" w14:paraId="6FDA3F6A" w14:textId="77777777" w:rsidTr="00FF6FFB">
        <w:trPr>
          <w:trHeight w:val="296"/>
          <w:tblHeader/>
        </w:trPr>
        <w:tc>
          <w:tcPr>
            <w:tcW w:w="705" w:type="pct"/>
            <w:shd w:val="clear" w:color="auto" w:fill="auto"/>
            <w:vAlign w:val="center"/>
          </w:tcPr>
          <w:p w14:paraId="3AF4F85D" w14:textId="77777777" w:rsidR="00CC2233" w:rsidRPr="00FF6FFB" w:rsidRDefault="00CC2233" w:rsidP="00700BF0">
            <w:pPr>
              <w:pStyle w:val="In-tableHeading"/>
              <w:rPr>
                <w:szCs w:val="20"/>
                <w:lang w:val="en-AU"/>
              </w:rPr>
            </w:pPr>
            <w:r w:rsidRPr="00FF6FFB">
              <w:rPr>
                <w:szCs w:val="20"/>
                <w:lang w:val="en-AU"/>
              </w:rPr>
              <w:t>Trial/ cohort</w:t>
            </w:r>
          </w:p>
        </w:tc>
        <w:tc>
          <w:tcPr>
            <w:tcW w:w="240" w:type="pct"/>
            <w:shd w:val="clear" w:color="auto" w:fill="auto"/>
            <w:vAlign w:val="center"/>
          </w:tcPr>
          <w:p w14:paraId="62E8D928" w14:textId="77777777" w:rsidR="00CC2233" w:rsidRPr="00FF6FFB" w:rsidRDefault="00CC2233" w:rsidP="00700BF0">
            <w:pPr>
              <w:pStyle w:val="In-tableHeading"/>
              <w:jc w:val="center"/>
              <w:rPr>
                <w:szCs w:val="20"/>
                <w:lang w:val="en-AU"/>
              </w:rPr>
            </w:pPr>
            <w:r w:rsidRPr="00FF6FFB">
              <w:rPr>
                <w:szCs w:val="20"/>
                <w:lang w:val="en-AU"/>
              </w:rPr>
              <w:t>N</w:t>
            </w:r>
          </w:p>
        </w:tc>
        <w:tc>
          <w:tcPr>
            <w:tcW w:w="849" w:type="pct"/>
            <w:shd w:val="clear" w:color="auto" w:fill="auto"/>
            <w:vAlign w:val="center"/>
          </w:tcPr>
          <w:p w14:paraId="19DFB76A" w14:textId="77777777" w:rsidR="00CC2233" w:rsidRPr="00FF6FFB" w:rsidRDefault="00CC2233" w:rsidP="00700BF0">
            <w:pPr>
              <w:pStyle w:val="In-tableHeading"/>
              <w:jc w:val="center"/>
              <w:rPr>
                <w:szCs w:val="20"/>
                <w:lang w:val="en-AU"/>
              </w:rPr>
            </w:pPr>
            <w:r w:rsidRPr="00FF6FFB">
              <w:rPr>
                <w:szCs w:val="20"/>
                <w:lang w:val="en-AU"/>
              </w:rPr>
              <w:t>Design/ duration</w:t>
            </w:r>
          </w:p>
        </w:tc>
        <w:tc>
          <w:tcPr>
            <w:tcW w:w="404" w:type="pct"/>
            <w:shd w:val="clear" w:color="auto" w:fill="auto"/>
            <w:vAlign w:val="center"/>
          </w:tcPr>
          <w:p w14:paraId="368C15DB" w14:textId="77777777" w:rsidR="00CC2233" w:rsidRPr="00FF6FFB" w:rsidRDefault="00CC2233" w:rsidP="00700BF0">
            <w:pPr>
              <w:pStyle w:val="In-tableHeading"/>
              <w:jc w:val="center"/>
              <w:rPr>
                <w:szCs w:val="20"/>
                <w:lang w:val="en-AU"/>
              </w:rPr>
            </w:pPr>
            <w:r w:rsidRPr="00FF6FFB">
              <w:rPr>
                <w:szCs w:val="20"/>
                <w:lang w:val="en-AU"/>
              </w:rPr>
              <w:t>Risk of bias</w:t>
            </w:r>
          </w:p>
        </w:tc>
        <w:tc>
          <w:tcPr>
            <w:tcW w:w="1392" w:type="pct"/>
            <w:shd w:val="clear" w:color="auto" w:fill="auto"/>
            <w:vAlign w:val="center"/>
          </w:tcPr>
          <w:p w14:paraId="372F3CD0" w14:textId="77777777" w:rsidR="00CC2233" w:rsidRPr="00FF6FFB" w:rsidRDefault="00CC2233" w:rsidP="00700BF0">
            <w:pPr>
              <w:pStyle w:val="In-tableHeading"/>
              <w:jc w:val="center"/>
              <w:rPr>
                <w:szCs w:val="20"/>
                <w:lang w:val="en-AU"/>
              </w:rPr>
            </w:pPr>
            <w:r w:rsidRPr="00FF6FFB">
              <w:rPr>
                <w:szCs w:val="20"/>
                <w:lang w:val="en-AU"/>
              </w:rPr>
              <w:t>Patient population</w:t>
            </w:r>
          </w:p>
        </w:tc>
        <w:tc>
          <w:tcPr>
            <w:tcW w:w="849" w:type="pct"/>
            <w:shd w:val="clear" w:color="auto" w:fill="auto"/>
            <w:vAlign w:val="center"/>
          </w:tcPr>
          <w:p w14:paraId="2A3CD1A1" w14:textId="77777777" w:rsidR="00CC2233" w:rsidRPr="00FF6FFB" w:rsidRDefault="00CC2233" w:rsidP="00700BF0">
            <w:pPr>
              <w:pStyle w:val="In-tableHeading"/>
              <w:jc w:val="center"/>
              <w:rPr>
                <w:szCs w:val="20"/>
                <w:lang w:val="en-AU"/>
              </w:rPr>
            </w:pPr>
            <w:r w:rsidRPr="00FF6FFB">
              <w:rPr>
                <w:szCs w:val="20"/>
                <w:lang w:val="en-AU"/>
              </w:rPr>
              <w:t>Outcome(s)</w:t>
            </w:r>
          </w:p>
        </w:tc>
        <w:tc>
          <w:tcPr>
            <w:tcW w:w="561" w:type="pct"/>
            <w:shd w:val="clear" w:color="auto" w:fill="auto"/>
            <w:vAlign w:val="center"/>
          </w:tcPr>
          <w:p w14:paraId="7A42CDB3" w14:textId="77777777" w:rsidR="00CC2233" w:rsidRPr="00FF6FFB" w:rsidRDefault="00CC2233" w:rsidP="00700BF0">
            <w:pPr>
              <w:pStyle w:val="In-tableHeading"/>
              <w:jc w:val="center"/>
              <w:rPr>
                <w:szCs w:val="20"/>
                <w:lang w:val="en-AU"/>
              </w:rPr>
            </w:pPr>
            <w:r w:rsidRPr="00FF6FFB">
              <w:rPr>
                <w:szCs w:val="20"/>
                <w:lang w:val="en-AU"/>
              </w:rPr>
              <w:t>Use in modelled evaluation</w:t>
            </w:r>
          </w:p>
        </w:tc>
      </w:tr>
      <w:tr w:rsidR="00CC2233" w:rsidRPr="00FF6FFB" w14:paraId="307E3AF9" w14:textId="77777777" w:rsidTr="00700BF0">
        <w:tc>
          <w:tcPr>
            <w:tcW w:w="5000" w:type="pct"/>
            <w:gridSpan w:val="7"/>
            <w:shd w:val="clear" w:color="auto" w:fill="auto"/>
            <w:vAlign w:val="center"/>
          </w:tcPr>
          <w:p w14:paraId="22BFBB39" w14:textId="5EBFD0AB" w:rsidR="00CC2233" w:rsidRPr="00FF6FFB" w:rsidRDefault="00CC2233" w:rsidP="00700BF0">
            <w:pPr>
              <w:pStyle w:val="In-tableHeading"/>
              <w:rPr>
                <w:szCs w:val="20"/>
                <w:lang w:val="en-AU"/>
              </w:rPr>
            </w:pPr>
            <w:r w:rsidRPr="00FF6FFB">
              <w:rPr>
                <w:szCs w:val="20"/>
                <w:lang w:val="en-AU"/>
              </w:rPr>
              <w:t>Lenacapavir  + OBR versus Placebo + OBR</w:t>
            </w:r>
            <w:r w:rsidR="00A931A9">
              <w:rPr>
                <w:szCs w:val="20"/>
                <w:lang w:val="en-AU"/>
              </w:rPr>
              <w:t>,</w:t>
            </w:r>
            <w:r w:rsidRPr="00FF6FFB">
              <w:rPr>
                <w:szCs w:val="20"/>
                <w:lang w:val="en-AU"/>
              </w:rPr>
              <w:t xml:space="preserve"> CAPELLA trial</w:t>
            </w:r>
          </w:p>
        </w:tc>
      </w:tr>
      <w:tr w:rsidR="00CC2233" w:rsidRPr="00FF6FFB" w14:paraId="653BD652" w14:textId="77777777" w:rsidTr="00FF6FFB">
        <w:tc>
          <w:tcPr>
            <w:tcW w:w="705" w:type="pct"/>
            <w:shd w:val="clear" w:color="auto" w:fill="auto"/>
            <w:vAlign w:val="center"/>
          </w:tcPr>
          <w:p w14:paraId="75A91DF2" w14:textId="77777777" w:rsidR="00CC2233" w:rsidRPr="00FF6FFB" w:rsidRDefault="00CC2233" w:rsidP="00700BF0">
            <w:pPr>
              <w:pStyle w:val="TableText0"/>
              <w:rPr>
                <w:szCs w:val="20"/>
              </w:rPr>
            </w:pPr>
            <w:r w:rsidRPr="00FF6FFB">
              <w:rPr>
                <w:szCs w:val="20"/>
              </w:rPr>
              <w:t>LEN + OBR (cohort 1A)</w:t>
            </w:r>
          </w:p>
        </w:tc>
        <w:tc>
          <w:tcPr>
            <w:tcW w:w="240" w:type="pct"/>
            <w:shd w:val="clear" w:color="auto" w:fill="auto"/>
            <w:vAlign w:val="center"/>
          </w:tcPr>
          <w:p w14:paraId="73EED5A8" w14:textId="77777777" w:rsidR="00CC2233" w:rsidRPr="00FF6FFB" w:rsidRDefault="00CC2233" w:rsidP="00700BF0">
            <w:pPr>
              <w:pStyle w:val="TableText0"/>
              <w:jc w:val="center"/>
              <w:rPr>
                <w:szCs w:val="20"/>
              </w:rPr>
            </w:pPr>
            <w:r w:rsidRPr="00FF6FFB">
              <w:rPr>
                <w:szCs w:val="20"/>
              </w:rPr>
              <w:t>24</w:t>
            </w:r>
          </w:p>
        </w:tc>
        <w:tc>
          <w:tcPr>
            <w:tcW w:w="849" w:type="pct"/>
            <w:vMerge w:val="restart"/>
            <w:shd w:val="clear" w:color="auto" w:fill="auto"/>
            <w:vAlign w:val="center"/>
          </w:tcPr>
          <w:p w14:paraId="2C877AE7" w14:textId="77777777" w:rsidR="00CC2233" w:rsidRPr="00FF6FFB" w:rsidRDefault="00CC2233" w:rsidP="00700BF0">
            <w:pPr>
              <w:pStyle w:val="TableText0"/>
              <w:jc w:val="center"/>
              <w:rPr>
                <w:szCs w:val="20"/>
              </w:rPr>
            </w:pPr>
            <w:r w:rsidRPr="00FF6FFB">
              <w:rPr>
                <w:szCs w:val="20"/>
              </w:rPr>
              <w:t xml:space="preserve"> R, DB/OL</w:t>
            </w:r>
          </w:p>
          <w:p w14:paraId="6482C6E8" w14:textId="32A2F0E4" w:rsidR="00CC2233" w:rsidRPr="00FF6FFB" w:rsidRDefault="00CC2233" w:rsidP="00700BF0">
            <w:pPr>
              <w:pStyle w:val="TableText0"/>
              <w:jc w:val="center"/>
              <w:rPr>
                <w:szCs w:val="20"/>
              </w:rPr>
            </w:pPr>
            <w:r w:rsidRPr="00FF6FFB">
              <w:rPr>
                <w:szCs w:val="20"/>
              </w:rPr>
              <w:t>14 days/ 52 weeks</w:t>
            </w:r>
            <w:r w:rsidRPr="00FF6FFB">
              <w:rPr>
                <w:szCs w:val="20"/>
                <w:vertAlign w:val="superscript"/>
              </w:rPr>
              <w:t>a</w:t>
            </w:r>
          </w:p>
        </w:tc>
        <w:tc>
          <w:tcPr>
            <w:tcW w:w="404" w:type="pct"/>
            <w:vMerge w:val="restart"/>
            <w:shd w:val="clear" w:color="auto" w:fill="auto"/>
            <w:vAlign w:val="center"/>
          </w:tcPr>
          <w:p w14:paraId="0815AE11" w14:textId="30002695" w:rsidR="00CC2233" w:rsidRPr="00FF6FFB" w:rsidRDefault="00CC2233" w:rsidP="00700BF0">
            <w:pPr>
              <w:pStyle w:val="TableText0"/>
              <w:jc w:val="center"/>
              <w:rPr>
                <w:szCs w:val="20"/>
                <w:vertAlign w:val="superscript"/>
              </w:rPr>
            </w:pPr>
            <w:r w:rsidRPr="00FF6FFB">
              <w:rPr>
                <w:szCs w:val="20"/>
              </w:rPr>
              <w:t>Unclear</w:t>
            </w:r>
            <w:r w:rsidRPr="00FF6FFB">
              <w:rPr>
                <w:szCs w:val="20"/>
                <w:vertAlign w:val="superscript"/>
              </w:rPr>
              <w:t>b</w:t>
            </w:r>
          </w:p>
        </w:tc>
        <w:tc>
          <w:tcPr>
            <w:tcW w:w="1392" w:type="pct"/>
            <w:vMerge w:val="restart"/>
            <w:shd w:val="clear" w:color="auto" w:fill="auto"/>
            <w:vAlign w:val="center"/>
          </w:tcPr>
          <w:p w14:paraId="42C37859" w14:textId="6A6122A0" w:rsidR="00CC2233" w:rsidRPr="00FF6FFB" w:rsidRDefault="00CC2233" w:rsidP="00700BF0">
            <w:pPr>
              <w:pStyle w:val="TableText0"/>
              <w:jc w:val="center"/>
              <w:rPr>
                <w:szCs w:val="20"/>
              </w:rPr>
            </w:pPr>
            <w:r w:rsidRPr="00FF6FFB">
              <w:rPr>
                <w:szCs w:val="20"/>
              </w:rPr>
              <w:t>HIV patients - Resistance to ≥</w:t>
            </w:r>
            <w:r w:rsidR="007A5FFB">
              <w:rPr>
                <w:szCs w:val="20"/>
              </w:rPr>
              <w:t xml:space="preserve"> </w:t>
            </w:r>
            <w:r w:rsidRPr="00FF6FFB">
              <w:rPr>
                <w:szCs w:val="20"/>
              </w:rPr>
              <w:t>2 ARV medications from each of ≥ 3 of the 4 main classes of ARV medications (NRTI, NNRTI, PI, INSTI).</w:t>
            </w:r>
          </w:p>
        </w:tc>
        <w:tc>
          <w:tcPr>
            <w:tcW w:w="849" w:type="pct"/>
            <w:vMerge w:val="restart"/>
            <w:shd w:val="clear" w:color="auto" w:fill="auto"/>
            <w:vAlign w:val="center"/>
          </w:tcPr>
          <w:p w14:paraId="5FECD4AF" w14:textId="77777777" w:rsidR="00CC2233" w:rsidRPr="00FF6FFB" w:rsidRDefault="00CC2233" w:rsidP="00700BF0">
            <w:pPr>
              <w:pStyle w:val="TableText0"/>
              <w:jc w:val="center"/>
              <w:rPr>
                <w:szCs w:val="20"/>
              </w:rPr>
            </w:pPr>
            <w:r w:rsidRPr="00FF6FFB">
              <w:rPr>
                <w:szCs w:val="20"/>
              </w:rPr>
              <w:t>HIV-1 RNA &lt; 50 copies/mL and &lt; 200 copies/mL at 52.</w:t>
            </w:r>
          </w:p>
          <w:p w14:paraId="1BA81C10" w14:textId="5F8B7BDF" w:rsidR="00CC2233" w:rsidRPr="00FF6FFB" w:rsidRDefault="00CC2233" w:rsidP="00700BF0">
            <w:pPr>
              <w:pStyle w:val="TableText0"/>
              <w:jc w:val="center"/>
              <w:rPr>
                <w:szCs w:val="20"/>
              </w:rPr>
            </w:pPr>
            <w:r w:rsidRPr="00FF6FFB">
              <w:rPr>
                <w:szCs w:val="20"/>
              </w:rPr>
              <w:t>Change from baseline in CD</w:t>
            </w:r>
            <w:r w:rsidR="001504FC">
              <w:rPr>
                <w:szCs w:val="20"/>
              </w:rPr>
              <w:t>4</w:t>
            </w:r>
            <w:r w:rsidRPr="00FF6FFB">
              <w:rPr>
                <w:szCs w:val="20"/>
              </w:rPr>
              <w:t xml:space="preserve"> cells/mm</w:t>
            </w:r>
            <w:r w:rsidRPr="00FF6FFB">
              <w:rPr>
                <w:szCs w:val="20"/>
                <w:vertAlign w:val="superscript"/>
              </w:rPr>
              <w:t>3</w:t>
            </w:r>
          </w:p>
        </w:tc>
        <w:tc>
          <w:tcPr>
            <w:tcW w:w="561" w:type="pct"/>
            <w:vMerge w:val="restart"/>
            <w:shd w:val="clear" w:color="auto" w:fill="auto"/>
            <w:vAlign w:val="center"/>
          </w:tcPr>
          <w:p w14:paraId="1B49472A" w14:textId="77777777" w:rsidR="00CC2233" w:rsidRPr="00FF6FFB" w:rsidRDefault="00CC2233" w:rsidP="00700BF0">
            <w:pPr>
              <w:pStyle w:val="TableText0"/>
              <w:jc w:val="center"/>
              <w:rPr>
                <w:szCs w:val="20"/>
              </w:rPr>
            </w:pPr>
            <w:r w:rsidRPr="00FF6FFB">
              <w:rPr>
                <w:szCs w:val="20"/>
              </w:rPr>
              <w:t>Yes</w:t>
            </w:r>
          </w:p>
        </w:tc>
      </w:tr>
      <w:tr w:rsidR="00CC2233" w:rsidRPr="00FF6FFB" w14:paraId="62B23FF1" w14:textId="77777777" w:rsidTr="00FF6FFB">
        <w:tc>
          <w:tcPr>
            <w:tcW w:w="705" w:type="pct"/>
            <w:shd w:val="clear" w:color="auto" w:fill="auto"/>
            <w:vAlign w:val="center"/>
          </w:tcPr>
          <w:p w14:paraId="4399ED3E" w14:textId="77777777" w:rsidR="00CC2233" w:rsidRPr="00FF6FFB" w:rsidRDefault="00CC2233" w:rsidP="00700BF0">
            <w:pPr>
              <w:pStyle w:val="TableText0"/>
              <w:rPr>
                <w:szCs w:val="20"/>
              </w:rPr>
            </w:pPr>
            <w:r w:rsidRPr="00FF6FFB">
              <w:rPr>
                <w:szCs w:val="20"/>
              </w:rPr>
              <w:t>PBO + OBR (Cohort 1B)</w:t>
            </w:r>
          </w:p>
        </w:tc>
        <w:tc>
          <w:tcPr>
            <w:tcW w:w="240" w:type="pct"/>
            <w:shd w:val="clear" w:color="auto" w:fill="auto"/>
            <w:vAlign w:val="center"/>
          </w:tcPr>
          <w:p w14:paraId="032F3B1E" w14:textId="77777777" w:rsidR="00CC2233" w:rsidRPr="00FF6FFB" w:rsidRDefault="00CC2233" w:rsidP="00700BF0">
            <w:pPr>
              <w:pStyle w:val="TableText0"/>
              <w:jc w:val="center"/>
              <w:rPr>
                <w:szCs w:val="20"/>
              </w:rPr>
            </w:pPr>
            <w:r w:rsidRPr="00FF6FFB">
              <w:rPr>
                <w:szCs w:val="20"/>
              </w:rPr>
              <w:t>12</w:t>
            </w:r>
          </w:p>
        </w:tc>
        <w:tc>
          <w:tcPr>
            <w:tcW w:w="849" w:type="pct"/>
            <w:vMerge/>
            <w:shd w:val="clear" w:color="auto" w:fill="auto"/>
            <w:vAlign w:val="center"/>
          </w:tcPr>
          <w:p w14:paraId="45FBAE56" w14:textId="77777777" w:rsidR="00CC2233" w:rsidRPr="00FF6FFB" w:rsidRDefault="00CC2233" w:rsidP="00700BF0">
            <w:pPr>
              <w:pStyle w:val="TableText0"/>
              <w:jc w:val="center"/>
              <w:rPr>
                <w:szCs w:val="20"/>
              </w:rPr>
            </w:pPr>
          </w:p>
        </w:tc>
        <w:tc>
          <w:tcPr>
            <w:tcW w:w="404" w:type="pct"/>
            <w:vMerge/>
            <w:shd w:val="clear" w:color="auto" w:fill="auto"/>
            <w:vAlign w:val="center"/>
          </w:tcPr>
          <w:p w14:paraId="635BFB2D" w14:textId="77777777" w:rsidR="00CC2233" w:rsidRPr="00FF6FFB" w:rsidRDefault="00CC2233" w:rsidP="00700BF0">
            <w:pPr>
              <w:pStyle w:val="TableText0"/>
              <w:jc w:val="center"/>
              <w:rPr>
                <w:szCs w:val="20"/>
              </w:rPr>
            </w:pPr>
          </w:p>
        </w:tc>
        <w:tc>
          <w:tcPr>
            <w:tcW w:w="1392" w:type="pct"/>
            <w:vMerge/>
            <w:shd w:val="clear" w:color="auto" w:fill="auto"/>
            <w:vAlign w:val="center"/>
          </w:tcPr>
          <w:p w14:paraId="5ABFC756" w14:textId="77777777" w:rsidR="00CC2233" w:rsidRPr="00FF6FFB" w:rsidRDefault="00CC2233" w:rsidP="00700BF0">
            <w:pPr>
              <w:pStyle w:val="TableText0"/>
              <w:jc w:val="center"/>
              <w:rPr>
                <w:szCs w:val="20"/>
              </w:rPr>
            </w:pPr>
          </w:p>
        </w:tc>
        <w:tc>
          <w:tcPr>
            <w:tcW w:w="849" w:type="pct"/>
            <w:vMerge/>
            <w:shd w:val="clear" w:color="auto" w:fill="auto"/>
            <w:vAlign w:val="center"/>
          </w:tcPr>
          <w:p w14:paraId="0A4F0DDB" w14:textId="77777777" w:rsidR="00CC2233" w:rsidRPr="00FF6FFB" w:rsidRDefault="00CC2233" w:rsidP="00700BF0">
            <w:pPr>
              <w:pStyle w:val="TableText0"/>
              <w:jc w:val="center"/>
              <w:rPr>
                <w:szCs w:val="20"/>
              </w:rPr>
            </w:pPr>
          </w:p>
        </w:tc>
        <w:tc>
          <w:tcPr>
            <w:tcW w:w="561" w:type="pct"/>
            <w:vMerge/>
            <w:shd w:val="clear" w:color="auto" w:fill="auto"/>
            <w:vAlign w:val="center"/>
          </w:tcPr>
          <w:p w14:paraId="15D33558" w14:textId="77777777" w:rsidR="00CC2233" w:rsidRPr="00FF6FFB" w:rsidRDefault="00CC2233" w:rsidP="00700BF0">
            <w:pPr>
              <w:pStyle w:val="TableText0"/>
              <w:jc w:val="center"/>
              <w:rPr>
                <w:szCs w:val="20"/>
              </w:rPr>
            </w:pPr>
          </w:p>
        </w:tc>
      </w:tr>
      <w:tr w:rsidR="00CC2233" w:rsidRPr="00FF6FFB" w14:paraId="553DF2D1" w14:textId="77777777" w:rsidTr="00FF6FFB">
        <w:tc>
          <w:tcPr>
            <w:tcW w:w="705" w:type="pct"/>
            <w:shd w:val="clear" w:color="auto" w:fill="auto"/>
            <w:vAlign w:val="center"/>
          </w:tcPr>
          <w:p w14:paraId="6B4BEB9F" w14:textId="77777777" w:rsidR="00CC2233" w:rsidRPr="00FF6FFB" w:rsidRDefault="00CC2233" w:rsidP="00700BF0">
            <w:pPr>
              <w:pStyle w:val="TableText0"/>
              <w:rPr>
                <w:szCs w:val="20"/>
              </w:rPr>
            </w:pPr>
            <w:r w:rsidRPr="00FF6FFB">
              <w:rPr>
                <w:szCs w:val="20"/>
              </w:rPr>
              <w:t>LEN + OBR + cohort 2</w:t>
            </w:r>
          </w:p>
        </w:tc>
        <w:tc>
          <w:tcPr>
            <w:tcW w:w="240" w:type="pct"/>
            <w:shd w:val="clear" w:color="auto" w:fill="auto"/>
            <w:vAlign w:val="center"/>
          </w:tcPr>
          <w:p w14:paraId="5A9B2241" w14:textId="16F2D10F" w:rsidR="00CC2233" w:rsidRPr="00FF6FFB" w:rsidRDefault="00E17199" w:rsidP="00700BF0">
            <w:pPr>
              <w:pStyle w:val="TableText0"/>
              <w:jc w:val="center"/>
              <w:rPr>
                <w:szCs w:val="20"/>
              </w:rPr>
            </w:pPr>
            <w:r>
              <w:rPr>
                <w:szCs w:val="20"/>
              </w:rPr>
              <w:t>36</w:t>
            </w:r>
          </w:p>
        </w:tc>
        <w:tc>
          <w:tcPr>
            <w:tcW w:w="849" w:type="pct"/>
            <w:shd w:val="clear" w:color="auto" w:fill="auto"/>
            <w:vAlign w:val="center"/>
          </w:tcPr>
          <w:p w14:paraId="0C7DFC3F" w14:textId="77777777" w:rsidR="00CC2233" w:rsidRPr="00FF6FFB" w:rsidRDefault="00CC2233" w:rsidP="00700BF0">
            <w:pPr>
              <w:pStyle w:val="TableText0"/>
              <w:jc w:val="center"/>
              <w:rPr>
                <w:szCs w:val="20"/>
              </w:rPr>
            </w:pPr>
            <w:r w:rsidRPr="00FF6FFB">
              <w:rPr>
                <w:szCs w:val="20"/>
              </w:rPr>
              <w:t>OL</w:t>
            </w:r>
          </w:p>
          <w:p w14:paraId="5842AE30" w14:textId="1F39AEBE" w:rsidR="00CC2233" w:rsidRPr="00EE748E" w:rsidRDefault="00EE748E" w:rsidP="00700BF0">
            <w:pPr>
              <w:pStyle w:val="TableText0"/>
              <w:jc w:val="center"/>
              <w:rPr>
                <w:szCs w:val="20"/>
                <w:vertAlign w:val="superscript"/>
              </w:rPr>
            </w:pPr>
            <w:r>
              <w:rPr>
                <w:szCs w:val="20"/>
              </w:rPr>
              <w:t>52 weeks</w:t>
            </w:r>
          </w:p>
        </w:tc>
        <w:tc>
          <w:tcPr>
            <w:tcW w:w="404" w:type="pct"/>
            <w:vMerge/>
            <w:shd w:val="clear" w:color="auto" w:fill="auto"/>
            <w:vAlign w:val="center"/>
          </w:tcPr>
          <w:p w14:paraId="11215536" w14:textId="77777777" w:rsidR="00CC2233" w:rsidRPr="00FF6FFB" w:rsidRDefault="00CC2233" w:rsidP="00700BF0">
            <w:pPr>
              <w:pStyle w:val="TableText0"/>
              <w:jc w:val="center"/>
              <w:rPr>
                <w:szCs w:val="20"/>
              </w:rPr>
            </w:pPr>
          </w:p>
        </w:tc>
        <w:tc>
          <w:tcPr>
            <w:tcW w:w="1392" w:type="pct"/>
            <w:vMerge/>
            <w:shd w:val="clear" w:color="auto" w:fill="auto"/>
            <w:vAlign w:val="center"/>
          </w:tcPr>
          <w:p w14:paraId="46CEB010" w14:textId="77777777" w:rsidR="00CC2233" w:rsidRPr="00FF6FFB" w:rsidRDefault="00CC2233" w:rsidP="00700BF0">
            <w:pPr>
              <w:pStyle w:val="TableText0"/>
              <w:jc w:val="center"/>
              <w:rPr>
                <w:szCs w:val="20"/>
              </w:rPr>
            </w:pPr>
          </w:p>
        </w:tc>
        <w:tc>
          <w:tcPr>
            <w:tcW w:w="849" w:type="pct"/>
            <w:vMerge/>
            <w:shd w:val="clear" w:color="auto" w:fill="auto"/>
            <w:vAlign w:val="center"/>
          </w:tcPr>
          <w:p w14:paraId="02453F8A" w14:textId="77777777" w:rsidR="00CC2233" w:rsidRPr="00FF6FFB" w:rsidRDefault="00CC2233" w:rsidP="00700BF0">
            <w:pPr>
              <w:pStyle w:val="TableText0"/>
              <w:jc w:val="center"/>
              <w:rPr>
                <w:szCs w:val="20"/>
              </w:rPr>
            </w:pPr>
          </w:p>
        </w:tc>
        <w:tc>
          <w:tcPr>
            <w:tcW w:w="561" w:type="pct"/>
            <w:vMerge/>
            <w:shd w:val="clear" w:color="auto" w:fill="auto"/>
            <w:vAlign w:val="center"/>
          </w:tcPr>
          <w:p w14:paraId="35A34FEC" w14:textId="77777777" w:rsidR="00CC2233" w:rsidRPr="00FF6FFB" w:rsidRDefault="00CC2233" w:rsidP="00700BF0">
            <w:pPr>
              <w:pStyle w:val="TableText0"/>
              <w:jc w:val="center"/>
              <w:rPr>
                <w:szCs w:val="20"/>
              </w:rPr>
            </w:pPr>
          </w:p>
        </w:tc>
      </w:tr>
      <w:tr w:rsidR="00CC2233" w:rsidRPr="00FF6FFB" w14:paraId="42013990" w14:textId="77777777" w:rsidTr="00700BF0">
        <w:tc>
          <w:tcPr>
            <w:tcW w:w="5000" w:type="pct"/>
            <w:gridSpan w:val="7"/>
            <w:shd w:val="clear" w:color="auto" w:fill="auto"/>
            <w:vAlign w:val="center"/>
          </w:tcPr>
          <w:p w14:paraId="449923DA" w14:textId="0FDF1116" w:rsidR="00CC2233" w:rsidRPr="00FF6FFB" w:rsidRDefault="00CC2233" w:rsidP="00700BF0">
            <w:pPr>
              <w:pStyle w:val="In-tableHeading"/>
              <w:rPr>
                <w:szCs w:val="20"/>
                <w:lang w:val="en-AU"/>
              </w:rPr>
            </w:pPr>
            <w:r w:rsidRPr="00FF6FFB">
              <w:rPr>
                <w:szCs w:val="20"/>
                <w:lang w:val="en-AU"/>
              </w:rPr>
              <w:t>Trials for indirect comparison (OBR arms)</w:t>
            </w:r>
          </w:p>
        </w:tc>
      </w:tr>
      <w:tr w:rsidR="00CC2233" w:rsidRPr="00FF6FFB" w14:paraId="212BA189" w14:textId="77777777" w:rsidTr="00FF6FFB">
        <w:trPr>
          <w:trHeight w:val="349"/>
        </w:trPr>
        <w:tc>
          <w:tcPr>
            <w:tcW w:w="705" w:type="pct"/>
            <w:shd w:val="clear" w:color="auto" w:fill="auto"/>
            <w:vAlign w:val="center"/>
          </w:tcPr>
          <w:p w14:paraId="440A1B36" w14:textId="77777777" w:rsidR="00CC2233" w:rsidRPr="00FF6FFB" w:rsidRDefault="00CC2233" w:rsidP="00700BF0">
            <w:pPr>
              <w:pStyle w:val="TableText0"/>
              <w:rPr>
                <w:szCs w:val="20"/>
              </w:rPr>
            </w:pPr>
            <w:r w:rsidRPr="00FF6FFB">
              <w:rPr>
                <w:szCs w:val="20"/>
              </w:rPr>
              <w:t>BENCHMRK 1</w:t>
            </w:r>
          </w:p>
        </w:tc>
        <w:tc>
          <w:tcPr>
            <w:tcW w:w="240" w:type="pct"/>
            <w:shd w:val="clear" w:color="auto" w:fill="auto"/>
            <w:vAlign w:val="center"/>
          </w:tcPr>
          <w:p w14:paraId="52C2AE8C" w14:textId="77777777" w:rsidR="00CC2233" w:rsidRPr="00FF6FFB" w:rsidRDefault="00CC2233" w:rsidP="00982A05">
            <w:pPr>
              <w:pStyle w:val="TableText0"/>
              <w:jc w:val="center"/>
              <w:rPr>
                <w:szCs w:val="20"/>
              </w:rPr>
            </w:pPr>
            <w:r w:rsidRPr="00FF6FFB">
              <w:rPr>
                <w:szCs w:val="20"/>
              </w:rPr>
              <w:t>352</w:t>
            </w:r>
          </w:p>
        </w:tc>
        <w:tc>
          <w:tcPr>
            <w:tcW w:w="849" w:type="pct"/>
            <w:vMerge w:val="restart"/>
            <w:shd w:val="clear" w:color="auto" w:fill="auto"/>
            <w:vAlign w:val="center"/>
          </w:tcPr>
          <w:p w14:paraId="11AF1916" w14:textId="77777777" w:rsidR="00CC2233" w:rsidRPr="00FF6FFB" w:rsidRDefault="00CC2233" w:rsidP="00982A05">
            <w:pPr>
              <w:pStyle w:val="TableText0"/>
              <w:jc w:val="center"/>
              <w:rPr>
                <w:szCs w:val="20"/>
              </w:rPr>
            </w:pPr>
            <w:r w:rsidRPr="00FF6FFB">
              <w:rPr>
                <w:szCs w:val="20"/>
              </w:rPr>
              <w:t>R, DB, Phase 3</w:t>
            </w:r>
          </w:p>
        </w:tc>
        <w:tc>
          <w:tcPr>
            <w:tcW w:w="404" w:type="pct"/>
            <w:vMerge w:val="restart"/>
            <w:shd w:val="clear" w:color="auto" w:fill="auto"/>
            <w:vAlign w:val="center"/>
          </w:tcPr>
          <w:p w14:paraId="05622DDF" w14:textId="77777777" w:rsidR="00CC2233" w:rsidRPr="00FF6FFB" w:rsidRDefault="00CC2233" w:rsidP="00982A05">
            <w:pPr>
              <w:pStyle w:val="TableText0"/>
              <w:jc w:val="center"/>
              <w:rPr>
                <w:szCs w:val="20"/>
              </w:rPr>
            </w:pPr>
            <w:r w:rsidRPr="00FF6FFB">
              <w:rPr>
                <w:szCs w:val="20"/>
              </w:rPr>
              <w:t>Low</w:t>
            </w:r>
          </w:p>
        </w:tc>
        <w:tc>
          <w:tcPr>
            <w:tcW w:w="1392" w:type="pct"/>
            <w:vMerge w:val="restart"/>
            <w:shd w:val="clear" w:color="auto" w:fill="auto"/>
            <w:vAlign w:val="center"/>
          </w:tcPr>
          <w:p w14:paraId="2286856D" w14:textId="77777777" w:rsidR="00CC2233" w:rsidRPr="00FF6FFB" w:rsidRDefault="00CC2233" w:rsidP="00982A05">
            <w:pPr>
              <w:pStyle w:val="TableText0"/>
              <w:jc w:val="center"/>
              <w:rPr>
                <w:szCs w:val="20"/>
              </w:rPr>
            </w:pPr>
            <w:r w:rsidRPr="00FF6FFB">
              <w:rPr>
                <w:szCs w:val="20"/>
              </w:rPr>
              <w:t>HIV patients -Resistance to at least 1 drug in each of 3 classes of oral ARVs (NRTI, NNRTI, PI)</w:t>
            </w:r>
          </w:p>
        </w:tc>
        <w:tc>
          <w:tcPr>
            <w:tcW w:w="849" w:type="pct"/>
            <w:vMerge w:val="restart"/>
            <w:shd w:val="clear" w:color="auto" w:fill="auto"/>
            <w:vAlign w:val="center"/>
          </w:tcPr>
          <w:p w14:paraId="1DB97008" w14:textId="32A79910" w:rsidR="00CC2233" w:rsidRPr="00FF6FFB" w:rsidRDefault="00CC2233" w:rsidP="00700BF0">
            <w:pPr>
              <w:pStyle w:val="TableText0"/>
              <w:rPr>
                <w:szCs w:val="20"/>
              </w:rPr>
            </w:pPr>
            <w:r w:rsidRPr="00FF6FFB">
              <w:rPr>
                <w:szCs w:val="20"/>
              </w:rPr>
              <w:t>Patients with a viral load &lt;</w:t>
            </w:r>
            <w:r w:rsidR="004F768E">
              <w:rPr>
                <w:szCs w:val="20"/>
              </w:rPr>
              <w:t xml:space="preserve"> </w:t>
            </w:r>
            <w:r w:rsidRPr="00FF6FFB">
              <w:rPr>
                <w:szCs w:val="20"/>
              </w:rPr>
              <w:t>50 copies per mL’ at week 4</w:t>
            </w:r>
          </w:p>
          <w:p w14:paraId="6E0B96AE" w14:textId="62A7CAAF" w:rsidR="00CC2233" w:rsidRPr="00FF6FFB" w:rsidRDefault="00CC2233" w:rsidP="00700BF0">
            <w:pPr>
              <w:pStyle w:val="TableText0"/>
              <w:rPr>
                <w:szCs w:val="20"/>
              </w:rPr>
            </w:pPr>
            <w:r w:rsidRPr="00FF6FFB">
              <w:rPr>
                <w:szCs w:val="20"/>
              </w:rPr>
              <w:t>patients with a viral load &lt;</w:t>
            </w:r>
            <w:r w:rsidR="004F768E">
              <w:rPr>
                <w:szCs w:val="20"/>
              </w:rPr>
              <w:t xml:space="preserve"> </w:t>
            </w:r>
            <w:r w:rsidRPr="00FF6FFB">
              <w:rPr>
                <w:szCs w:val="20"/>
              </w:rPr>
              <w:t>400 copies per mL’ at week 48</w:t>
            </w:r>
          </w:p>
        </w:tc>
        <w:tc>
          <w:tcPr>
            <w:tcW w:w="561" w:type="pct"/>
            <w:vMerge w:val="restart"/>
            <w:shd w:val="clear" w:color="auto" w:fill="auto"/>
            <w:vAlign w:val="center"/>
          </w:tcPr>
          <w:p w14:paraId="4DA07EC1" w14:textId="6775FAC1" w:rsidR="00CC2233" w:rsidRPr="00FF6FFB" w:rsidRDefault="00CC2233" w:rsidP="00700BF0">
            <w:pPr>
              <w:pStyle w:val="TableText0"/>
              <w:rPr>
                <w:szCs w:val="20"/>
              </w:rPr>
            </w:pPr>
            <w:r w:rsidRPr="00FF6FFB">
              <w:rPr>
                <w:szCs w:val="20"/>
              </w:rPr>
              <w:t>RR of meta-analysed vir</w:t>
            </w:r>
            <w:r w:rsidR="002D6DDD">
              <w:rPr>
                <w:szCs w:val="20"/>
              </w:rPr>
              <w:t>ologic</w:t>
            </w:r>
            <w:r w:rsidRPr="00FF6FFB">
              <w:rPr>
                <w:szCs w:val="20"/>
              </w:rPr>
              <w:t xml:space="preserve"> suppression results applied to the model</w:t>
            </w:r>
          </w:p>
        </w:tc>
      </w:tr>
      <w:tr w:rsidR="00CC2233" w:rsidRPr="00FF6FFB" w14:paraId="4412ACD5" w14:textId="77777777" w:rsidTr="00FF6FFB">
        <w:tc>
          <w:tcPr>
            <w:tcW w:w="705" w:type="pct"/>
            <w:shd w:val="clear" w:color="auto" w:fill="auto"/>
            <w:vAlign w:val="center"/>
          </w:tcPr>
          <w:p w14:paraId="21E0BC12" w14:textId="77777777" w:rsidR="00CC2233" w:rsidRPr="00FF6FFB" w:rsidRDefault="00CC2233" w:rsidP="00700BF0">
            <w:pPr>
              <w:pStyle w:val="TableText0"/>
              <w:rPr>
                <w:szCs w:val="20"/>
              </w:rPr>
            </w:pPr>
            <w:r w:rsidRPr="00FF6FFB">
              <w:rPr>
                <w:szCs w:val="20"/>
              </w:rPr>
              <w:t>BENCHMRK 2</w:t>
            </w:r>
          </w:p>
        </w:tc>
        <w:tc>
          <w:tcPr>
            <w:tcW w:w="240" w:type="pct"/>
            <w:shd w:val="clear" w:color="auto" w:fill="auto"/>
            <w:vAlign w:val="center"/>
          </w:tcPr>
          <w:p w14:paraId="459BB3F7" w14:textId="77777777" w:rsidR="00CC2233" w:rsidRPr="00FF6FFB" w:rsidRDefault="00CC2233" w:rsidP="00982A05">
            <w:pPr>
              <w:pStyle w:val="TableText0"/>
              <w:jc w:val="center"/>
              <w:rPr>
                <w:szCs w:val="20"/>
              </w:rPr>
            </w:pPr>
            <w:r w:rsidRPr="00FF6FFB">
              <w:rPr>
                <w:szCs w:val="20"/>
              </w:rPr>
              <w:t>353</w:t>
            </w:r>
          </w:p>
        </w:tc>
        <w:tc>
          <w:tcPr>
            <w:tcW w:w="849" w:type="pct"/>
            <w:vMerge/>
            <w:shd w:val="clear" w:color="auto" w:fill="auto"/>
            <w:vAlign w:val="center"/>
          </w:tcPr>
          <w:p w14:paraId="0153D1C4" w14:textId="77777777" w:rsidR="00CC2233" w:rsidRPr="00FF6FFB" w:rsidRDefault="00CC2233" w:rsidP="00982A05">
            <w:pPr>
              <w:pStyle w:val="TableText0"/>
              <w:jc w:val="center"/>
              <w:rPr>
                <w:szCs w:val="20"/>
              </w:rPr>
            </w:pPr>
          </w:p>
        </w:tc>
        <w:tc>
          <w:tcPr>
            <w:tcW w:w="404" w:type="pct"/>
            <w:vMerge/>
            <w:shd w:val="clear" w:color="auto" w:fill="auto"/>
            <w:vAlign w:val="center"/>
          </w:tcPr>
          <w:p w14:paraId="07A3072D" w14:textId="77777777" w:rsidR="00CC2233" w:rsidRPr="00FF6FFB" w:rsidRDefault="00CC2233" w:rsidP="00982A05">
            <w:pPr>
              <w:pStyle w:val="TableText0"/>
              <w:jc w:val="center"/>
              <w:rPr>
                <w:szCs w:val="20"/>
              </w:rPr>
            </w:pPr>
          </w:p>
        </w:tc>
        <w:tc>
          <w:tcPr>
            <w:tcW w:w="1392" w:type="pct"/>
            <w:vMerge/>
            <w:shd w:val="clear" w:color="auto" w:fill="auto"/>
            <w:vAlign w:val="center"/>
          </w:tcPr>
          <w:p w14:paraId="1456FAF4" w14:textId="77777777" w:rsidR="00CC2233" w:rsidRPr="00FF6FFB" w:rsidRDefault="00CC2233" w:rsidP="00982A05">
            <w:pPr>
              <w:pStyle w:val="TableText0"/>
              <w:jc w:val="center"/>
              <w:rPr>
                <w:szCs w:val="20"/>
              </w:rPr>
            </w:pPr>
          </w:p>
        </w:tc>
        <w:tc>
          <w:tcPr>
            <w:tcW w:w="849" w:type="pct"/>
            <w:vMerge/>
            <w:shd w:val="clear" w:color="auto" w:fill="auto"/>
            <w:vAlign w:val="center"/>
          </w:tcPr>
          <w:p w14:paraId="67E62B0F" w14:textId="77777777" w:rsidR="00CC2233" w:rsidRPr="00FF6FFB" w:rsidRDefault="00CC2233" w:rsidP="00700BF0">
            <w:pPr>
              <w:pStyle w:val="TableText0"/>
              <w:rPr>
                <w:szCs w:val="20"/>
              </w:rPr>
            </w:pPr>
          </w:p>
        </w:tc>
        <w:tc>
          <w:tcPr>
            <w:tcW w:w="561" w:type="pct"/>
            <w:vMerge/>
            <w:shd w:val="clear" w:color="auto" w:fill="auto"/>
            <w:vAlign w:val="center"/>
          </w:tcPr>
          <w:p w14:paraId="040EBA6D" w14:textId="77777777" w:rsidR="00CC2233" w:rsidRPr="00FF6FFB" w:rsidRDefault="00CC2233" w:rsidP="00700BF0">
            <w:pPr>
              <w:pStyle w:val="TableText0"/>
              <w:rPr>
                <w:szCs w:val="20"/>
              </w:rPr>
            </w:pPr>
          </w:p>
        </w:tc>
      </w:tr>
      <w:tr w:rsidR="00CC2233" w:rsidRPr="00FF6FFB" w14:paraId="35321176" w14:textId="77777777" w:rsidTr="00FF6FFB">
        <w:trPr>
          <w:trHeight w:val="784"/>
        </w:trPr>
        <w:tc>
          <w:tcPr>
            <w:tcW w:w="705" w:type="pct"/>
            <w:shd w:val="clear" w:color="auto" w:fill="auto"/>
            <w:vAlign w:val="center"/>
          </w:tcPr>
          <w:p w14:paraId="1B7D3AED" w14:textId="77777777" w:rsidR="00CC2233" w:rsidRPr="00FF6FFB" w:rsidRDefault="00CC2233" w:rsidP="00700BF0">
            <w:pPr>
              <w:pStyle w:val="TableText0"/>
              <w:rPr>
                <w:szCs w:val="20"/>
              </w:rPr>
            </w:pPr>
            <w:r w:rsidRPr="00FF6FFB">
              <w:rPr>
                <w:szCs w:val="20"/>
              </w:rPr>
              <w:t>MOTIVATE 1</w:t>
            </w:r>
          </w:p>
        </w:tc>
        <w:tc>
          <w:tcPr>
            <w:tcW w:w="240" w:type="pct"/>
            <w:shd w:val="clear" w:color="auto" w:fill="auto"/>
            <w:vAlign w:val="center"/>
          </w:tcPr>
          <w:p w14:paraId="2E4A5DE1" w14:textId="77777777" w:rsidR="00CC2233" w:rsidRPr="00FF6FFB" w:rsidRDefault="00CC2233" w:rsidP="00982A05">
            <w:pPr>
              <w:pStyle w:val="TableText0"/>
              <w:jc w:val="center"/>
              <w:rPr>
                <w:szCs w:val="20"/>
              </w:rPr>
            </w:pPr>
            <w:r w:rsidRPr="00FF6FFB">
              <w:rPr>
                <w:szCs w:val="20"/>
              </w:rPr>
              <w:t>601</w:t>
            </w:r>
          </w:p>
        </w:tc>
        <w:tc>
          <w:tcPr>
            <w:tcW w:w="849" w:type="pct"/>
            <w:vMerge w:val="restart"/>
            <w:shd w:val="clear" w:color="auto" w:fill="auto"/>
            <w:vAlign w:val="center"/>
          </w:tcPr>
          <w:p w14:paraId="76005B06" w14:textId="77777777" w:rsidR="00CC2233" w:rsidRPr="00FF6FFB" w:rsidRDefault="00CC2233" w:rsidP="00982A05">
            <w:pPr>
              <w:pStyle w:val="TableText0"/>
              <w:jc w:val="center"/>
              <w:rPr>
                <w:szCs w:val="20"/>
              </w:rPr>
            </w:pPr>
            <w:r w:rsidRPr="00FF6FFB">
              <w:rPr>
                <w:szCs w:val="20"/>
              </w:rPr>
              <w:t>R, DB, Phase 2/3</w:t>
            </w:r>
          </w:p>
        </w:tc>
        <w:tc>
          <w:tcPr>
            <w:tcW w:w="404" w:type="pct"/>
            <w:vMerge w:val="restart"/>
            <w:shd w:val="clear" w:color="auto" w:fill="auto"/>
            <w:vAlign w:val="center"/>
          </w:tcPr>
          <w:p w14:paraId="06B0F0AA" w14:textId="77777777" w:rsidR="00CC2233" w:rsidRPr="00FF6FFB" w:rsidRDefault="00CC2233" w:rsidP="00982A05">
            <w:pPr>
              <w:pStyle w:val="TableText0"/>
              <w:jc w:val="center"/>
              <w:rPr>
                <w:szCs w:val="20"/>
              </w:rPr>
            </w:pPr>
            <w:r w:rsidRPr="00FF6FFB">
              <w:rPr>
                <w:szCs w:val="20"/>
              </w:rPr>
              <w:t>Low</w:t>
            </w:r>
          </w:p>
        </w:tc>
        <w:tc>
          <w:tcPr>
            <w:tcW w:w="1392" w:type="pct"/>
            <w:vMerge w:val="restart"/>
            <w:shd w:val="clear" w:color="auto" w:fill="auto"/>
            <w:vAlign w:val="center"/>
          </w:tcPr>
          <w:p w14:paraId="4D0D6A6C" w14:textId="6A46A151" w:rsidR="00CC2233" w:rsidRPr="00FF6FFB" w:rsidRDefault="00CC2233" w:rsidP="00982A05">
            <w:pPr>
              <w:pStyle w:val="TableText0"/>
              <w:jc w:val="center"/>
              <w:rPr>
                <w:szCs w:val="20"/>
              </w:rPr>
            </w:pPr>
            <w:r w:rsidRPr="00FF6FFB">
              <w:rPr>
                <w:szCs w:val="20"/>
              </w:rPr>
              <w:t>Had taken ≥</w:t>
            </w:r>
            <w:r w:rsidR="004F768E">
              <w:rPr>
                <w:szCs w:val="20"/>
              </w:rPr>
              <w:t xml:space="preserve"> </w:t>
            </w:r>
            <w:r w:rsidRPr="00FF6FFB">
              <w:rPr>
                <w:szCs w:val="20"/>
              </w:rPr>
              <w:t>1 ARVS from 3 ARV classes (NRTI, NNRTI, at least 2 PIs or fusion inhibitors) for ≥</w:t>
            </w:r>
            <w:r w:rsidR="004F768E">
              <w:rPr>
                <w:szCs w:val="20"/>
              </w:rPr>
              <w:t xml:space="preserve"> </w:t>
            </w:r>
            <w:r w:rsidRPr="00FF6FFB">
              <w:rPr>
                <w:szCs w:val="20"/>
              </w:rPr>
              <w:t>6 months or had documented phenotypic or genotypic resistance to drugs from at least 3 of these classes</w:t>
            </w:r>
          </w:p>
        </w:tc>
        <w:tc>
          <w:tcPr>
            <w:tcW w:w="849" w:type="pct"/>
            <w:vMerge/>
            <w:shd w:val="clear" w:color="auto" w:fill="auto"/>
            <w:vAlign w:val="center"/>
          </w:tcPr>
          <w:p w14:paraId="16B881B6" w14:textId="77777777" w:rsidR="00CC2233" w:rsidRPr="00FF6FFB" w:rsidRDefault="00CC2233" w:rsidP="00700BF0">
            <w:pPr>
              <w:pStyle w:val="TableText0"/>
              <w:rPr>
                <w:szCs w:val="20"/>
              </w:rPr>
            </w:pPr>
          </w:p>
        </w:tc>
        <w:tc>
          <w:tcPr>
            <w:tcW w:w="561" w:type="pct"/>
            <w:vMerge/>
            <w:shd w:val="clear" w:color="auto" w:fill="auto"/>
            <w:vAlign w:val="center"/>
          </w:tcPr>
          <w:p w14:paraId="3F54D9BE" w14:textId="77777777" w:rsidR="00CC2233" w:rsidRPr="00FF6FFB" w:rsidRDefault="00CC2233" w:rsidP="00700BF0">
            <w:pPr>
              <w:pStyle w:val="TableText0"/>
              <w:rPr>
                <w:szCs w:val="20"/>
              </w:rPr>
            </w:pPr>
          </w:p>
        </w:tc>
      </w:tr>
      <w:tr w:rsidR="00CC2233" w:rsidRPr="00FF6FFB" w14:paraId="5E8CE8DC" w14:textId="77777777" w:rsidTr="00FF6FFB">
        <w:tc>
          <w:tcPr>
            <w:tcW w:w="705" w:type="pct"/>
            <w:shd w:val="clear" w:color="auto" w:fill="auto"/>
            <w:vAlign w:val="center"/>
          </w:tcPr>
          <w:p w14:paraId="5CD4A1A0" w14:textId="77777777" w:rsidR="00CC2233" w:rsidRPr="00FF6FFB" w:rsidRDefault="00CC2233" w:rsidP="00700BF0">
            <w:pPr>
              <w:pStyle w:val="TableText0"/>
              <w:rPr>
                <w:szCs w:val="20"/>
              </w:rPr>
            </w:pPr>
            <w:r w:rsidRPr="00FF6FFB">
              <w:rPr>
                <w:szCs w:val="20"/>
              </w:rPr>
              <w:t>MOTIVATE 2</w:t>
            </w:r>
          </w:p>
        </w:tc>
        <w:tc>
          <w:tcPr>
            <w:tcW w:w="240" w:type="pct"/>
            <w:shd w:val="clear" w:color="auto" w:fill="auto"/>
            <w:vAlign w:val="center"/>
          </w:tcPr>
          <w:p w14:paraId="64495515" w14:textId="77777777" w:rsidR="00CC2233" w:rsidRPr="00FF6FFB" w:rsidRDefault="00CC2233" w:rsidP="00982A05">
            <w:pPr>
              <w:pStyle w:val="TableText0"/>
              <w:jc w:val="center"/>
              <w:rPr>
                <w:szCs w:val="20"/>
              </w:rPr>
            </w:pPr>
            <w:r w:rsidRPr="00FF6FFB">
              <w:rPr>
                <w:szCs w:val="20"/>
              </w:rPr>
              <w:t>474</w:t>
            </w:r>
          </w:p>
        </w:tc>
        <w:tc>
          <w:tcPr>
            <w:tcW w:w="849" w:type="pct"/>
            <w:vMerge/>
            <w:shd w:val="clear" w:color="auto" w:fill="auto"/>
            <w:vAlign w:val="center"/>
          </w:tcPr>
          <w:p w14:paraId="6C51FE49" w14:textId="77777777" w:rsidR="00CC2233" w:rsidRPr="00FF6FFB" w:rsidRDefault="00CC2233" w:rsidP="00982A05">
            <w:pPr>
              <w:pStyle w:val="TableText0"/>
              <w:jc w:val="center"/>
              <w:rPr>
                <w:szCs w:val="20"/>
              </w:rPr>
            </w:pPr>
          </w:p>
        </w:tc>
        <w:tc>
          <w:tcPr>
            <w:tcW w:w="404" w:type="pct"/>
            <w:vMerge/>
            <w:shd w:val="clear" w:color="auto" w:fill="auto"/>
            <w:vAlign w:val="center"/>
          </w:tcPr>
          <w:p w14:paraId="209539CC" w14:textId="77777777" w:rsidR="00CC2233" w:rsidRPr="00FF6FFB" w:rsidRDefault="00CC2233" w:rsidP="00982A05">
            <w:pPr>
              <w:pStyle w:val="TableText0"/>
              <w:jc w:val="center"/>
              <w:rPr>
                <w:szCs w:val="20"/>
              </w:rPr>
            </w:pPr>
          </w:p>
        </w:tc>
        <w:tc>
          <w:tcPr>
            <w:tcW w:w="1392" w:type="pct"/>
            <w:vMerge/>
            <w:shd w:val="clear" w:color="auto" w:fill="auto"/>
            <w:vAlign w:val="center"/>
          </w:tcPr>
          <w:p w14:paraId="17D70394" w14:textId="77777777" w:rsidR="00CC2233" w:rsidRPr="00FF6FFB" w:rsidRDefault="00CC2233" w:rsidP="00982A05">
            <w:pPr>
              <w:pStyle w:val="TableText0"/>
              <w:jc w:val="center"/>
              <w:rPr>
                <w:szCs w:val="20"/>
              </w:rPr>
            </w:pPr>
          </w:p>
        </w:tc>
        <w:tc>
          <w:tcPr>
            <w:tcW w:w="849" w:type="pct"/>
            <w:vMerge/>
            <w:shd w:val="clear" w:color="auto" w:fill="auto"/>
            <w:vAlign w:val="center"/>
          </w:tcPr>
          <w:p w14:paraId="2EB10EA5" w14:textId="77777777" w:rsidR="00CC2233" w:rsidRPr="00FF6FFB" w:rsidRDefault="00CC2233" w:rsidP="00700BF0">
            <w:pPr>
              <w:pStyle w:val="TableText0"/>
              <w:rPr>
                <w:szCs w:val="20"/>
              </w:rPr>
            </w:pPr>
          </w:p>
        </w:tc>
        <w:tc>
          <w:tcPr>
            <w:tcW w:w="561" w:type="pct"/>
            <w:vMerge/>
            <w:shd w:val="clear" w:color="auto" w:fill="auto"/>
            <w:vAlign w:val="center"/>
          </w:tcPr>
          <w:p w14:paraId="598BAD87" w14:textId="77777777" w:rsidR="00CC2233" w:rsidRPr="00FF6FFB" w:rsidRDefault="00CC2233" w:rsidP="00700BF0">
            <w:pPr>
              <w:pStyle w:val="TableText0"/>
              <w:rPr>
                <w:szCs w:val="20"/>
              </w:rPr>
            </w:pPr>
          </w:p>
        </w:tc>
      </w:tr>
      <w:tr w:rsidR="00CC2233" w:rsidRPr="00FF6FFB" w14:paraId="7EA4EB19" w14:textId="77777777" w:rsidTr="00FF6FFB">
        <w:tc>
          <w:tcPr>
            <w:tcW w:w="705" w:type="pct"/>
            <w:shd w:val="clear" w:color="auto" w:fill="auto"/>
            <w:vAlign w:val="center"/>
          </w:tcPr>
          <w:p w14:paraId="5ECE3170" w14:textId="3461C2C4" w:rsidR="00CC2233" w:rsidRPr="00FF6FFB" w:rsidRDefault="00CC2233" w:rsidP="00700BF0">
            <w:pPr>
              <w:pStyle w:val="TableText0"/>
              <w:rPr>
                <w:szCs w:val="20"/>
              </w:rPr>
            </w:pPr>
            <w:r w:rsidRPr="00FF6FFB">
              <w:rPr>
                <w:szCs w:val="20"/>
              </w:rPr>
              <w:t>VICTOR-E</w:t>
            </w:r>
          </w:p>
        </w:tc>
        <w:tc>
          <w:tcPr>
            <w:tcW w:w="240" w:type="pct"/>
            <w:shd w:val="clear" w:color="auto" w:fill="auto"/>
            <w:vAlign w:val="center"/>
          </w:tcPr>
          <w:p w14:paraId="274B76A6" w14:textId="77777777" w:rsidR="00CC2233" w:rsidRPr="00FF6FFB" w:rsidRDefault="00CC2233" w:rsidP="00982A05">
            <w:pPr>
              <w:pStyle w:val="TableText0"/>
              <w:jc w:val="center"/>
              <w:rPr>
                <w:szCs w:val="20"/>
              </w:rPr>
            </w:pPr>
            <w:r w:rsidRPr="00FF6FFB">
              <w:rPr>
                <w:szCs w:val="20"/>
              </w:rPr>
              <w:t>114</w:t>
            </w:r>
          </w:p>
        </w:tc>
        <w:tc>
          <w:tcPr>
            <w:tcW w:w="849" w:type="pct"/>
            <w:shd w:val="clear" w:color="auto" w:fill="auto"/>
            <w:vAlign w:val="center"/>
          </w:tcPr>
          <w:p w14:paraId="1513736F" w14:textId="77777777" w:rsidR="00CC2233" w:rsidRPr="00FF6FFB" w:rsidRDefault="00CC2233" w:rsidP="00982A05">
            <w:pPr>
              <w:pStyle w:val="TableText0"/>
              <w:jc w:val="center"/>
              <w:rPr>
                <w:szCs w:val="20"/>
              </w:rPr>
            </w:pPr>
            <w:r w:rsidRPr="00FF6FFB">
              <w:rPr>
                <w:szCs w:val="20"/>
              </w:rPr>
              <w:t>R, DB</w:t>
            </w:r>
          </w:p>
        </w:tc>
        <w:tc>
          <w:tcPr>
            <w:tcW w:w="404" w:type="pct"/>
            <w:shd w:val="clear" w:color="auto" w:fill="auto"/>
            <w:vAlign w:val="center"/>
          </w:tcPr>
          <w:p w14:paraId="2640147C" w14:textId="77777777" w:rsidR="00CC2233" w:rsidRPr="00FF6FFB" w:rsidRDefault="00CC2233" w:rsidP="00982A05">
            <w:pPr>
              <w:pStyle w:val="TableText0"/>
              <w:jc w:val="center"/>
              <w:rPr>
                <w:szCs w:val="20"/>
              </w:rPr>
            </w:pPr>
            <w:r w:rsidRPr="00FF6FFB">
              <w:rPr>
                <w:szCs w:val="20"/>
              </w:rPr>
              <w:t>Low</w:t>
            </w:r>
          </w:p>
        </w:tc>
        <w:tc>
          <w:tcPr>
            <w:tcW w:w="1392" w:type="pct"/>
            <w:shd w:val="clear" w:color="auto" w:fill="auto"/>
            <w:vAlign w:val="center"/>
          </w:tcPr>
          <w:p w14:paraId="035EA481" w14:textId="5A178D8A" w:rsidR="00CC2233" w:rsidRPr="00FF6FFB" w:rsidRDefault="00CC2233" w:rsidP="00982A05">
            <w:pPr>
              <w:pStyle w:val="TableText0"/>
              <w:jc w:val="center"/>
              <w:rPr>
                <w:szCs w:val="20"/>
              </w:rPr>
            </w:pPr>
            <w:r w:rsidRPr="00FF6FFB">
              <w:rPr>
                <w:szCs w:val="20"/>
              </w:rPr>
              <w:t>Resistance mutation to the NRTI class and ≥</w:t>
            </w:r>
            <w:r w:rsidR="004F768E">
              <w:rPr>
                <w:szCs w:val="20"/>
              </w:rPr>
              <w:t xml:space="preserve"> </w:t>
            </w:r>
            <w:r w:rsidRPr="00FF6FFB">
              <w:rPr>
                <w:szCs w:val="20"/>
              </w:rPr>
              <w:t>1 primary resistance mutation to the PI class</w:t>
            </w:r>
          </w:p>
        </w:tc>
        <w:tc>
          <w:tcPr>
            <w:tcW w:w="849" w:type="pct"/>
            <w:vMerge/>
            <w:shd w:val="clear" w:color="auto" w:fill="auto"/>
            <w:vAlign w:val="center"/>
          </w:tcPr>
          <w:p w14:paraId="60D998F7" w14:textId="77777777" w:rsidR="00CC2233" w:rsidRPr="00FF6FFB" w:rsidRDefault="00CC2233" w:rsidP="00700BF0">
            <w:pPr>
              <w:pStyle w:val="TableText0"/>
              <w:rPr>
                <w:szCs w:val="20"/>
              </w:rPr>
            </w:pPr>
          </w:p>
        </w:tc>
        <w:tc>
          <w:tcPr>
            <w:tcW w:w="561" w:type="pct"/>
            <w:vMerge/>
            <w:shd w:val="clear" w:color="auto" w:fill="auto"/>
            <w:vAlign w:val="center"/>
          </w:tcPr>
          <w:p w14:paraId="16CE2D1A" w14:textId="77777777" w:rsidR="00CC2233" w:rsidRPr="00FF6FFB" w:rsidRDefault="00CC2233" w:rsidP="00700BF0">
            <w:pPr>
              <w:pStyle w:val="TableText0"/>
              <w:rPr>
                <w:szCs w:val="20"/>
              </w:rPr>
            </w:pPr>
          </w:p>
        </w:tc>
      </w:tr>
      <w:tr w:rsidR="00CC2233" w:rsidRPr="00FF6FFB" w14:paraId="70EAA541" w14:textId="77777777" w:rsidTr="00700BF0">
        <w:trPr>
          <w:trHeight w:val="360"/>
        </w:trPr>
        <w:tc>
          <w:tcPr>
            <w:tcW w:w="705" w:type="pct"/>
            <w:vMerge w:val="restart"/>
            <w:shd w:val="clear" w:color="auto" w:fill="auto"/>
            <w:vAlign w:val="center"/>
          </w:tcPr>
          <w:p w14:paraId="17DC282D" w14:textId="77777777" w:rsidR="00CC2233" w:rsidRPr="00FF6FFB" w:rsidRDefault="00CC2233" w:rsidP="00700BF0">
            <w:pPr>
              <w:pStyle w:val="TableText0"/>
              <w:rPr>
                <w:szCs w:val="20"/>
              </w:rPr>
            </w:pPr>
            <w:r w:rsidRPr="00FF6FFB">
              <w:rPr>
                <w:szCs w:val="20"/>
              </w:rPr>
              <w:t>Meta-analysis</w:t>
            </w:r>
          </w:p>
        </w:tc>
        <w:tc>
          <w:tcPr>
            <w:tcW w:w="240" w:type="pct"/>
            <w:shd w:val="clear" w:color="auto" w:fill="auto"/>
            <w:vAlign w:val="center"/>
          </w:tcPr>
          <w:p w14:paraId="73FE1731" w14:textId="77777777" w:rsidR="00CC2233" w:rsidRPr="00FF6FFB" w:rsidRDefault="00CC2233" w:rsidP="00982A05">
            <w:pPr>
              <w:pStyle w:val="TableText0"/>
              <w:jc w:val="center"/>
              <w:rPr>
                <w:szCs w:val="20"/>
              </w:rPr>
            </w:pPr>
            <w:r w:rsidRPr="00FF6FFB">
              <w:rPr>
                <w:szCs w:val="20"/>
              </w:rPr>
              <w:t>481</w:t>
            </w:r>
          </w:p>
        </w:tc>
        <w:tc>
          <w:tcPr>
            <w:tcW w:w="2645" w:type="pct"/>
            <w:gridSpan w:val="3"/>
            <w:shd w:val="clear" w:color="auto" w:fill="auto"/>
            <w:vAlign w:val="center"/>
          </w:tcPr>
          <w:p w14:paraId="75CCB2A0" w14:textId="77777777" w:rsidR="00CC2233" w:rsidRPr="00FF6FFB" w:rsidRDefault="00CC2233" w:rsidP="00700BF0">
            <w:pPr>
              <w:pStyle w:val="TableText0"/>
              <w:rPr>
                <w:szCs w:val="20"/>
              </w:rPr>
            </w:pPr>
            <w:r w:rsidRPr="00FF6FFB">
              <w:rPr>
                <w:szCs w:val="20"/>
              </w:rPr>
              <w:t>Submission meta-analysis included placebo + OBR arms of BENCHMRK 1/2, MOTIVATE 1/2, and VICTOR-E.</w:t>
            </w:r>
          </w:p>
        </w:tc>
        <w:tc>
          <w:tcPr>
            <w:tcW w:w="849" w:type="pct"/>
            <w:vMerge/>
            <w:shd w:val="clear" w:color="auto" w:fill="auto"/>
            <w:vAlign w:val="center"/>
          </w:tcPr>
          <w:p w14:paraId="48ED9FD5" w14:textId="77777777" w:rsidR="00CC2233" w:rsidRPr="00FF6FFB" w:rsidRDefault="00CC2233" w:rsidP="00700BF0">
            <w:pPr>
              <w:pStyle w:val="TableText0"/>
              <w:rPr>
                <w:szCs w:val="20"/>
              </w:rPr>
            </w:pPr>
          </w:p>
        </w:tc>
        <w:tc>
          <w:tcPr>
            <w:tcW w:w="561" w:type="pct"/>
            <w:vMerge/>
            <w:shd w:val="clear" w:color="auto" w:fill="auto"/>
            <w:vAlign w:val="center"/>
          </w:tcPr>
          <w:p w14:paraId="5F198405" w14:textId="77777777" w:rsidR="00CC2233" w:rsidRPr="00FF6FFB" w:rsidRDefault="00CC2233" w:rsidP="00700BF0">
            <w:pPr>
              <w:pStyle w:val="TableText0"/>
              <w:rPr>
                <w:szCs w:val="20"/>
              </w:rPr>
            </w:pPr>
          </w:p>
        </w:tc>
      </w:tr>
      <w:tr w:rsidR="00CC2233" w:rsidRPr="00FF6FFB" w14:paraId="3A90F5E1" w14:textId="77777777" w:rsidTr="00700BF0">
        <w:trPr>
          <w:trHeight w:val="360"/>
        </w:trPr>
        <w:tc>
          <w:tcPr>
            <w:tcW w:w="705" w:type="pct"/>
            <w:vMerge/>
            <w:shd w:val="clear" w:color="auto" w:fill="auto"/>
            <w:vAlign w:val="center"/>
          </w:tcPr>
          <w:p w14:paraId="74D2AEF6" w14:textId="77777777" w:rsidR="00CC2233" w:rsidRPr="00FF6FFB" w:rsidRDefault="00CC2233" w:rsidP="00700BF0">
            <w:pPr>
              <w:pStyle w:val="TableText0"/>
              <w:rPr>
                <w:szCs w:val="20"/>
              </w:rPr>
            </w:pPr>
          </w:p>
        </w:tc>
        <w:tc>
          <w:tcPr>
            <w:tcW w:w="240" w:type="pct"/>
            <w:shd w:val="clear" w:color="auto" w:fill="auto"/>
            <w:vAlign w:val="center"/>
          </w:tcPr>
          <w:p w14:paraId="518F196A" w14:textId="77777777" w:rsidR="00CC2233" w:rsidRPr="00FF6FFB" w:rsidRDefault="00CC2233" w:rsidP="00982A05">
            <w:pPr>
              <w:pStyle w:val="TableText0"/>
              <w:jc w:val="center"/>
              <w:rPr>
                <w:szCs w:val="20"/>
              </w:rPr>
            </w:pPr>
            <w:r w:rsidRPr="00FF6FFB">
              <w:rPr>
                <w:szCs w:val="20"/>
              </w:rPr>
              <w:t>885</w:t>
            </w:r>
          </w:p>
        </w:tc>
        <w:tc>
          <w:tcPr>
            <w:tcW w:w="2645" w:type="pct"/>
            <w:gridSpan w:val="3"/>
            <w:shd w:val="clear" w:color="auto" w:fill="auto"/>
            <w:vAlign w:val="center"/>
          </w:tcPr>
          <w:p w14:paraId="79CECFB2" w14:textId="77777777" w:rsidR="00CC2233" w:rsidRPr="007F3195" w:rsidRDefault="00CC2233" w:rsidP="00700BF0">
            <w:pPr>
              <w:pStyle w:val="TableText0"/>
              <w:rPr>
                <w:szCs w:val="20"/>
              </w:rPr>
            </w:pPr>
            <w:r w:rsidRPr="007F3195">
              <w:rPr>
                <w:szCs w:val="20"/>
              </w:rPr>
              <w:t>Evaluation meta-analysis included intervention arms of BENCHMRK 1/2 and MOTIVATE 1/2.</w:t>
            </w:r>
          </w:p>
        </w:tc>
        <w:tc>
          <w:tcPr>
            <w:tcW w:w="849" w:type="pct"/>
            <w:vMerge/>
            <w:shd w:val="clear" w:color="auto" w:fill="auto"/>
            <w:vAlign w:val="center"/>
          </w:tcPr>
          <w:p w14:paraId="0E02D7DA" w14:textId="77777777" w:rsidR="00CC2233" w:rsidRPr="00FF6FFB" w:rsidRDefault="00CC2233" w:rsidP="00700BF0">
            <w:pPr>
              <w:pStyle w:val="TableText0"/>
              <w:rPr>
                <w:szCs w:val="20"/>
              </w:rPr>
            </w:pPr>
          </w:p>
        </w:tc>
        <w:tc>
          <w:tcPr>
            <w:tcW w:w="561" w:type="pct"/>
            <w:vMerge/>
            <w:shd w:val="clear" w:color="auto" w:fill="auto"/>
            <w:vAlign w:val="center"/>
          </w:tcPr>
          <w:p w14:paraId="1E1F8729" w14:textId="77777777" w:rsidR="00CC2233" w:rsidRPr="00FF6FFB" w:rsidRDefault="00CC2233" w:rsidP="00700BF0">
            <w:pPr>
              <w:pStyle w:val="TableText0"/>
              <w:rPr>
                <w:szCs w:val="20"/>
              </w:rPr>
            </w:pPr>
          </w:p>
        </w:tc>
      </w:tr>
    </w:tbl>
    <w:p w14:paraId="6635853D" w14:textId="53BF62B1" w:rsidR="00CC2233" w:rsidRPr="00C4404D" w:rsidRDefault="00CC2233" w:rsidP="00CC2233">
      <w:pPr>
        <w:pStyle w:val="FooterTableFigure"/>
      </w:pPr>
      <w:r w:rsidRPr="00C4404D">
        <w:t xml:space="preserve">Source: p37-132 of the submission. </w:t>
      </w:r>
    </w:p>
    <w:p w14:paraId="2E456075" w14:textId="7039F4D1" w:rsidR="00CC2233" w:rsidRPr="00C4404D" w:rsidRDefault="001504FC" w:rsidP="00CC2233">
      <w:pPr>
        <w:pStyle w:val="FooterTableFigure"/>
      </w:pPr>
      <w:r>
        <w:t xml:space="preserve">ARV = antiretroviral; </w:t>
      </w:r>
      <w:r w:rsidR="00CC2233" w:rsidRPr="00C4404D">
        <w:t>DB = double blind;</w:t>
      </w:r>
      <w:r>
        <w:t xml:space="preserve"> HIV = human immunodeficiency virus; INSTI = integrase strand transfer inhibitor;</w:t>
      </w:r>
      <w:r w:rsidR="00CC2233" w:rsidRPr="00C4404D">
        <w:t xml:space="preserve"> MC = multi-centre; </w:t>
      </w:r>
      <w:r>
        <w:t>NNRTI = non-nuc</w:t>
      </w:r>
      <w:r w:rsidR="004F3876">
        <w:t>l</w:t>
      </w:r>
      <w:r>
        <w:t xml:space="preserve">eoside reverse transcriptase inhibitor; NRTI = nucleoside reverse transcriptase inhibitor; OBR = optimised background regimen; </w:t>
      </w:r>
      <w:r w:rsidR="00CC2233" w:rsidRPr="00C4404D">
        <w:t>OL = open label; OS = overall survival; PFS = progression-free survival;</w:t>
      </w:r>
      <w:r>
        <w:t xml:space="preserve"> PI = protease inhibitor;</w:t>
      </w:r>
      <w:r w:rsidR="00CC2233" w:rsidRPr="00C4404D">
        <w:t xml:space="preserve"> R = randomised</w:t>
      </w:r>
      <w:r>
        <w:t>; RNA = ribonucleic acid; RR = relative risk.</w:t>
      </w:r>
    </w:p>
    <w:p w14:paraId="3692468A" w14:textId="2312796F" w:rsidR="00CC2233" w:rsidRPr="00C4404D" w:rsidRDefault="00CC2233" w:rsidP="00E06906">
      <w:pPr>
        <w:pStyle w:val="FooterTableFigure"/>
      </w:pPr>
      <w:r w:rsidRPr="004F768E">
        <w:t>a</w:t>
      </w:r>
      <w:r w:rsidR="001504FC">
        <w:t xml:space="preserve"> </w:t>
      </w:r>
      <w:r w:rsidRPr="00C4404D">
        <w:t>As per FDA guidance, the trial consisted of a 14</w:t>
      </w:r>
      <w:r w:rsidR="00CC395C">
        <w:t>-</w:t>
      </w:r>
      <w:r w:rsidRPr="00C4404D">
        <w:t xml:space="preserve">day randomised double blind phase followed by </w:t>
      </w:r>
      <w:r w:rsidR="00CC395C" w:rsidRPr="00C4404D">
        <w:t>52-week</w:t>
      </w:r>
      <w:r w:rsidRPr="00C4404D">
        <w:t xml:space="preserve"> OL phase where all patients switched to LEN + OBR. </w:t>
      </w:r>
    </w:p>
    <w:p w14:paraId="24A8F466" w14:textId="16C95AD6" w:rsidR="00CC2233" w:rsidRPr="00C4404D" w:rsidRDefault="00CC2233" w:rsidP="00E06906">
      <w:pPr>
        <w:pStyle w:val="FooterTableFigure"/>
        <w:rPr>
          <w:szCs w:val="18"/>
        </w:rPr>
      </w:pPr>
      <w:r w:rsidRPr="004F768E">
        <w:t>b</w:t>
      </w:r>
      <w:r w:rsidR="001504FC">
        <w:t xml:space="preserve"> </w:t>
      </w:r>
      <w:r w:rsidRPr="00C4404D">
        <w:t xml:space="preserve">The randomised </w:t>
      </w:r>
      <w:r w:rsidR="00CC395C" w:rsidRPr="00C4404D">
        <w:t>14-day</w:t>
      </w:r>
      <w:r w:rsidRPr="00C4404D">
        <w:t xml:space="preserve"> comparison in Cohort 1 generally had a low risk of bias, but the clinical claim is primarily based on long term non-comparative open-label data. It is unclear overall what the risk of bias is for the trial as a whole. </w:t>
      </w:r>
    </w:p>
    <w:p w14:paraId="3216D2AD" w14:textId="145C4B37" w:rsidR="00CC2233" w:rsidRPr="007F3195" w:rsidRDefault="00CC2233" w:rsidP="00CC2233">
      <w:pPr>
        <w:pStyle w:val="3-BodyText"/>
      </w:pPr>
      <w:r w:rsidRPr="007F3195">
        <w:t>CAPELLA was a trial comparing lenacapavir + existing failing regimen</w:t>
      </w:r>
      <w:r w:rsidR="00982A05" w:rsidRPr="007F3195">
        <w:t xml:space="preserve"> </w:t>
      </w:r>
      <w:r w:rsidR="009954E7" w:rsidRPr="007F3195">
        <w:t>(i.e. not OBR)</w:t>
      </w:r>
      <w:r w:rsidRPr="007F3195">
        <w:t xml:space="preserve"> versus placebo + existing failing regimen</w:t>
      </w:r>
      <w:r w:rsidR="009954E7" w:rsidRPr="007F3195">
        <w:t xml:space="preserve"> </w:t>
      </w:r>
      <w:r w:rsidRPr="007F3195">
        <w:t>over a 14</w:t>
      </w:r>
      <w:r w:rsidR="00C06A9B" w:rsidRPr="007F3195">
        <w:t>-</w:t>
      </w:r>
      <w:r w:rsidRPr="007F3195">
        <w:t xml:space="preserve">day ‘functional monotherapy period’ (n=36). </w:t>
      </w:r>
      <w:r w:rsidR="009B7DA8" w:rsidRPr="007F3195">
        <w:t xml:space="preserve">It was unclear if the incremental benefit observed using a </w:t>
      </w:r>
      <w:r w:rsidR="001D5D68" w:rsidRPr="007F3195">
        <w:t xml:space="preserve">concomitant </w:t>
      </w:r>
      <w:r w:rsidR="009B7DA8" w:rsidRPr="007F3195">
        <w:t xml:space="preserve">failing background regimen would be </w:t>
      </w:r>
      <w:r w:rsidR="001D5D68" w:rsidRPr="007F3195">
        <w:t xml:space="preserve">applicable to OBR used concomitantly. </w:t>
      </w:r>
      <w:r w:rsidRPr="007F3195">
        <w:t xml:space="preserve">After the functional monotherapy period, all patients from this first cohort (Cohort 1) and additional patients from a second cohort (Cohort 2, </w:t>
      </w:r>
      <w:r w:rsidR="00C06A9B" w:rsidRPr="007F3195">
        <w:t>n</w:t>
      </w:r>
      <w:r w:rsidRPr="007F3195">
        <w:t>=</w:t>
      </w:r>
      <w:r w:rsidR="00C06A9B" w:rsidRPr="007F3195">
        <w:t>64 planned, n=36 enrolled</w:t>
      </w:r>
      <w:r w:rsidRPr="007F3195">
        <w:t>) were treated with lenacapavir + OBR</w:t>
      </w:r>
      <w:r w:rsidR="00C06A9B" w:rsidRPr="007F3195">
        <w:t xml:space="preserve"> for up to 52 weeks (with a few patients followed up for up to 104 weeks)</w:t>
      </w:r>
      <w:r w:rsidRPr="007F3195">
        <w:t xml:space="preserve">. </w:t>
      </w:r>
      <w:r w:rsidRPr="007F3195">
        <w:fldChar w:fldCharType="begin"/>
      </w:r>
      <w:r w:rsidRPr="007F3195">
        <w:instrText xml:space="preserve"> REF _Ref112937496 \h  \* MERGEFORMAT </w:instrText>
      </w:r>
      <w:r w:rsidRPr="007F3195">
        <w:fldChar w:fldCharType="separate"/>
      </w:r>
      <w:r w:rsidR="0050086F" w:rsidRPr="0050086F">
        <w:t>Figure 1</w:t>
      </w:r>
      <w:r w:rsidRPr="007F3195">
        <w:fldChar w:fldCharType="end"/>
      </w:r>
      <w:r w:rsidRPr="007F3195">
        <w:t xml:space="preserve"> illustrates the CAPELLA trial design. </w:t>
      </w:r>
    </w:p>
    <w:p w14:paraId="24FEC0E3" w14:textId="49AB43F6" w:rsidR="00C06A9B" w:rsidRPr="009954E7" w:rsidRDefault="00C06A9B" w:rsidP="002814B4">
      <w:pPr>
        <w:keepNext/>
        <w:jc w:val="left"/>
        <w:rPr>
          <w:rFonts w:ascii="Arial Narrow" w:hAnsi="Arial Narrow"/>
          <w:b/>
          <w:bCs/>
          <w:sz w:val="20"/>
          <w:szCs w:val="20"/>
        </w:rPr>
      </w:pPr>
      <w:bookmarkStart w:id="26" w:name="_Ref112937496"/>
      <w:bookmarkStart w:id="27" w:name="_Ref113530979"/>
      <w:r w:rsidRPr="009954E7">
        <w:rPr>
          <w:rFonts w:ascii="Arial Narrow" w:hAnsi="Arial Narrow"/>
          <w:b/>
          <w:bCs/>
          <w:sz w:val="20"/>
          <w:szCs w:val="20"/>
        </w:rPr>
        <w:lastRenderedPageBreak/>
        <w:t xml:space="preserve">Figure </w:t>
      </w:r>
      <w:r w:rsidRPr="009954E7">
        <w:rPr>
          <w:rFonts w:ascii="Arial Narrow" w:hAnsi="Arial Narrow"/>
          <w:b/>
          <w:bCs/>
          <w:sz w:val="20"/>
          <w:szCs w:val="20"/>
        </w:rPr>
        <w:fldChar w:fldCharType="begin"/>
      </w:r>
      <w:r w:rsidRPr="009954E7">
        <w:rPr>
          <w:rFonts w:ascii="Arial Narrow" w:hAnsi="Arial Narrow"/>
          <w:b/>
          <w:bCs/>
          <w:sz w:val="20"/>
          <w:szCs w:val="20"/>
        </w:rPr>
        <w:instrText xml:space="preserve"> SEQ Figure \* MERGEFORMAT </w:instrText>
      </w:r>
      <w:r w:rsidRPr="009954E7">
        <w:rPr>
          <w:rFonts w:ascii="Arial Narrow" w:hAnsi="Arial Narrow"/>
          <w:b/>
          <w:bCs/>
          <w:sz w:val="20"/>
          <w:szCs w:val="20"/>
        </w:rPr>
        <w:fldChar w:fldCharType="separate"/>
      </w:r>
      <w:r w:rsidR="0050086F">
        <w:rPr>
          <w:rFonts w:ascii="Arial Narrow" w:hAnsi="Arial Narrow"/>
          <w:b/>
          <w:bCs/>
          <w:noProof/>
          <w:sz w:val="20"/>
          <w:szCs w:val="20"/>
        </w:rPr>
        <w:t>1</w:t>
      </w:r>
      <w:r w:rsidRPr="009954E7">
        <w:rPr>
          <w:rFonts w:ascii="Arial Narrow" w:hAnsi="Arial Narrow"/>
          <w:b/>
          <w:bCs/>
          <w:sz w:val="20"/>
          <w:szCs w:val="20"/>
        </w:rPr>
        <w:fldChar w:fldCharType="end"/>
      </w:r>
      <w:bookmarkEnd w:id="26"/>
      <w:bookmarkEnd w:id="27"/>
      <w:r w:rsidRPr="009954E7">
        <w:rPr>
          <w:rFonts w:ascii="Arial Narrow" w:hAnsi="Arial Narrow"/>
          <w:b/>
          <w:bCs/>
          <w:sz w:val="20"/>
          <w:szCs w:val="20"/>
        </w:rPr>
        <w:t xml:space="preserve">: CAPELLA </w:t>
      </w:r>
      <w:r w:rsidR="00982A05">
        <w:rPr>
          <w:rFonts w:ascii="Arial Narrow" w:hAnsi="Arial Narrow"/>
          <w:b/>
          <w:bCs/>
          <w:sz w:val="20"/>
          <w:szCs w:val="20"/>
        </w:rPr>
        <w:t xml:space="preserve">trial </w:t>
      </w:r>
      <w:r w:rsidRPr="009954E7">
        <w:rPr>
          <w:rFonts w:ascii="Arial Narrow" w:hAnsi="Arial Narrow"/>
          <w:b/>
          <w:bCs/>
          <w:sz w:val="20"/>
          <w:szCs w:val="20"/>
        </w:rPr>
        <w:t>design</w:t>
      </w:r>
    </w:p>
    <w:p w14:paraId="5BFE47A3" w14:textId="77777777" w:rsidR="00CC2233" w:rsidRPr="00C4404D" w:rsidRDefault="00CC2233" w:rsidP="00C06A9B">
      <w:pPr>
        <w:jc w:val="left"/>
      </w:pPr>
      <w:r w:rsidRPr="00C4404D">
        <w:rPr>
          <w:noProof/>
        </w:rPr>
        <w:drawing>
          <wp:inline distT="0" distB="0" distL="0" distR="0" wp14:anchorId="2CEEC47E" wp14:editId="0F84399F">
            <wp:extent cx="5731510" cy="2616200"/>
            <wp:effectExtent l="0" t="0" r="2540" b="0"/>
            <wp:docPr id="17" name="Picture 17" descr="Figure 1: CAPELLA tri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1: CAPELLA trial design"/>
                    <pic:cNvPicPr/>
                  </pic:nvPicPr>
                  <pic:blipFill>
                    <a:blip r:embed="rId8"/>
                    <a:stretch>
                      <a:fillRect/>
                    </a:stretch>
                  </pic:blipFill>
                  <pic:spPr>
                    <a:xfrm>
                      <a:off x="0" y="0"/>
                      <a:ext cx="5731510" cy="2616200"/>
                    </a:xfrm>
                    <a:prstGeom prst="rect">
                      <a:avLst/>
                    </a:prstGeom>
                  </pic:spPr>
                </pic:pic>
              </a:graphicData>
            </a:graphic>
          </wp:inline>
        </w:drawing>
      </w:r>
    </w:p>
    <w:p w14:paraId="1DF41BF7" w14:textId="77777777" w:rsidR="00612C18" w:rsidRDefault="00CC2233" w:rsidP="00C06A9B">
      <w:pPr>
        <w:jc w:val="left"/>
        <w:rPr>
          <w:rFonts w:ascii="Arial Narrow" w:hAnsi="Arial Narrow"/>
          <w:sz w:val="18"/>
          <w:szCs w:val="18"/>
        </w:rPr>
      </w:pPr>
      <w:r w:rsidRPr="00C4404D">
        <w:rPr>
          <w:rFonts w:ascii="Arial Narrow" w:hAnsi="Arial Narrow"/>
          <w:sz w:val="18"/>
          <w:szCs w:val="18"/>
        </w:rPr>
        <w:t>Source: Figure 2.2, p50 of the submission.</w:t>
      </w:r>
    </w:p>
    <w:p w14:paraId="6F2D1988" w14:textId="7697C175" w:rsidR="00CC2233" w:rsidRDefault="00D07145" w:rsidP="00C06A9B">
      <w:pPr>
        <w:jc w:val="left"/>
        <w:rPr>
          <w:rFonts w:ascii="Arial Narrow" w:hAnsi="Arial Narrow"/>
          <w:sz w:val="18"/>
          <w:szCs w:val="18"/>
        </w:rPr>
      </w:pPr>
      <w:r>
        <w:rPr>
          <w:rFonts w:ascii="Arial Narrow" w:hAnsi="Arial Narrow"/>
          <w:sz w:val="18"/>
          <w:szCs w:val="18"/>
        </w:rPr>
        <w:t xml:space="preserve">HIV = human immunodeficiency virus; </w:t>
      </w:r>
      <w:r w:rsidRPr="00D07145">
        <w:rPr>
          <w:rFonts w:ascii="Arial Narrow" w:hAnsi="Arial Narrow"/>
          <w:sz w:val="18"/>
          <w:szCs w:val="18"/>
        </w:rPr>
        <w:t>mL = millilitre</w:t>
      </w:r>
      <w:r w:rsidR="009052D6">
        <w:rPr>
          <w:rFonts w:ascii="Arial Narrow" w:hAnsi="Arial Narrow"/>
          <w:sz w:val="18"/>
          <w:szCs w:val="18"/>
        </w:rPr>
        <w:t>;</w:t>
      </w:r>
      <w:r w:rsidRPr="00D07145">
        <w:rPr>
          <w:rFonts w:ascii="Arial Narrow" w:hAnsi="Arial Narrow"/>
          <w:sz w:val="18"/>
          <w:szCs w:val="18"/>
        </w:rPr>
        <w:t xml:space="preserve"> </w:t>
      </w:r>
      <w:r>
        <w:rPr>
          <w:rFonts w:ascii="Arial Narrow" w:hAnsi="Arial Narrow"/>
          <w:sz w:val="18"/>
          <w:szCs w:val="18"/>
        </w:rPr>
        <w:t>OBR = optimised background regimen; RNA = ribonucleic acid</w:t>
      </w:r>
    </w:p>
    <w:p w14:paraId="3046EC00" w14:textId="1DB9768E" w:rsidR="00C06A9B" w:rsidRPr="00C4404D" w:rsidRDefault="00C06A9B" w:rsidP="00C06A9B">
      <w:pPr>
        <w:spacing w:after="120"/>
        <w:jc w:val="left"/>
        <w:rPr>
          <w:rFonts w:ascii="Arial Narrow" w:hAnsi="Arial Narrow"/>
          <w:sz w:val="18"/>
          <w:szCs w:val="18"/>
        </w:rPr>
      </w:pPr>
      <w:r>
        <w:rPr>
          <w:rFonts w:ascii="Arial Narrow" w:hAnsi="Arial Narrow"/>
          <w:sz w:val="18"/>
          <w:szCs w:val="18"/>
        </w:rPr>
        <w:t xml:space="preserve">Note: while 64 patients were planned for Cohort 2, only 36 </w:t>
      </w:r>
      <w:r w:rsidR="009052D6">
        <w:rPr>
          <w:rFonts w:ascii="Arial Narrow" w:hAnsi="Arial Narrow"/>
          <w:sz w:val="18"/>
          <w:szCs w:val="18"/>
        </w:rPr>
        <w:t xml:space="preserve">were </w:t>
      </w:r>
      <w:r>
        <w:rPr>
          <w:rFonts w:ascii="Arial Narrow" w:hAnsi="Arial Narrow"/>
          <w:sz w:val="18"/>
          <w:szCs w:val="18"/>
        </w:rPr>
        <w:t>enrolled</w:t>
      </w:r>
    </w:p>
    <w:p w14:paraId="265B2B51" w14:textId="1FE5631F" w:rsidR="00CC2233" w:rsidRPr="007F3195" w:rsidRDefault="00CC2233" w:rsidP="00CC2233">
      <w:pPr>
        <w:pStyle w:val="3-BodyText"/>
        <w:rPr>
          <w:color w:val="000000" w:themeColor="text1"/>
        </w:rPr>
      </w:pPr>
      <w:r w:rsidRPr="007F3195">
        <w:rPr>
          <w:color w:val="000000" w:themeColor="text1"/>
        </w:rPr>
        <w:t>For the initial 14</w:t>
      </w:r>
      <w:r w:rsidR="009954E7" w:rsidRPr="007F3195">
        <w:rPr>
          <w:color w:val="000000" w:themeColor="text1"/>
        </w:rPr>
        <w:t>-</w:t>
      </w:r>
      <w:r w:rsidRPr="007F3195">
        <w:rPr>
          <w:color w:val="000000" w:themeColor="text1"/>
        </w:rPr>
        <w:t xml:space="preserve">day functional monotherapy period, the trial </w:t>
      </w:r>
      <w:r w:rsidR="00831F8F" w:rsidRPr="007F3195">
        <w:rPr>
          <w:color w:val="000000" w:themeColor="text1"/>
        </w:rPr>
        <w:t xml:space="preserve">overall </w:t>
      </w:r>
      <w:r w:rsidRPr="007F3195">
        <w:rPr>
          <w:color w:val="000000" w:themeColor="text1"/>
        </w:rPr>
        <w:t>had a low risk of bias. However, a major part of the clinical claim is based on data after the initial 14-day period, where results were open label and had no control group, which, based on the Cochrane risk of bias tool, is high risk of bias, suggesting an unclear risk of bias overall.</w:t>
      </w:r>
      <w:r w:rsidR="00AD558B">
        <w:rPr>
          <w:color w:val="000000" w:themeColor="text1"/>
        </w:rPr>
        <w:t xml:space="preserve"> </w:t>
      </w:r>
      <w:r w:rsidR="00AD558B">
        <w:rPr>
          <w:lang w:val="en-GB"/>
        </w:rPr>
        <w:t>The PBAC noted the additional risk of bias in the CAPELLA trial beyond 14 days due to its open label nature, however considered this risk was mitigated somewhat by the primary outcomes of viral load and CD4 counts being serologically measured.</w:t>
      </w:r>
    </w:p>
    <w:p w14:paraId="2B5A256A" w14:textId="3F5C1D8F" w:rsidR="002712AD" w:rsidRPr="007F3195" w:rsidRDefault="002712AD" w:rsidP="002712AD">
      <w:pPr>
        <w:pStyle w:val="3-BodyText"/>
        <w:rPr>
          <w:color w:val="000000" w:themeColor="text1"/>
        </w:rPr>
      </w:pPr>
      <w:bookmarkStart w:id="28" w:name="_Ref113292781"/>
      <w:r w:rsidRPr="007F3195">
        <w:rPr>
          <w:color w:val="000000" w:themeColor="text1"/>
        </w:rPr>
        <w:t xml:space="preserve">The proposed dosing of lenacapavir (see </w:t>
      </w:r>
      <w:r w:rsidR="00962474" w:rsidRPr="007F3195">
        <w:rPr>
          <w:color w:val="000000" w:themeColor="text1"/>
        </w:rPr>
        <w:fldChar w:fldCharType="begin"/>
      </w:r>
      <w:r w:rsidR="00962474" w:rsidRPr="007F3195">
        <w:rPr>
          <w:color w:val="000000" w:themeColor="text1"/>
        </w:rPr>
        <w:instrText xml:space="preserve"> REF _Ref113277289 \h  \* MERGEFORMAT </w:instrText>
      </w:r>
      <w:r w:rsidR="00962474" w:rsidRPr="007F3195">
        <w:rPr>
          <w:color w:val="000000" w:themeColor="text1"/>
        </w:rPr>
      </w:r>
      <w:r w:rsidR="00962474" w:rsidRPr="007F3195">
        <w:rPr>
          <w:color w:val="000000" w:themeColor="text1"/>
        </w:rPr>
        <w:fldChar w:fldCharType="separate"/>
      </w:r>
      <w:r w:rsidR="0050086F" w:rsidRPr="00C4404D">
        <w:t xml:space="preserve">Table </w:t>
      </w:r>
      <w:r w:rsidR="0050086F">
        <w:rPr>
          <w:noProof/>
        </w:rPr>
        <w:t>1</w:t>
      </w:r>
      <w:r w:rsidR="00962474" w:rsidRPr="007F3195">
        <w:rPr>
          <w:color w:val="000000" w:themeColor="text1"/>
        </w:rPr>
        <w:fldChar w:fldCharType="end"/>
      </w:r>
      <w:r w:rsidRPr="007F3195">
        <w:rPr>
          <w:color w:val="000000" w:themeColor="text1"/>
        </w:rPr>
        <w:t>) differed to the dosing used in the CAPELLA trial</w:t>
      </w:r>
      <w:r w:rsidR="0056514A" w:rsidRPr="007F3195">
        <w:rPr>
          <w:color w:val="000000" w:themeColor="text1"/>
        </w:rPr>
        <w:t>, which included a 14</w:t>
      </w:r>
      <w:r w:rsidR="00B30868" w:rsidRPr="007F3195">
        <w:rPr>
          <w:color w:val="000000" w:themeColor="text1"/>
        </w:rPr>
        <w:t>-</w:t>
      </w:r>
      <w:r w:rsidR="0056514A" w:rsidRPr="007F3195">
        <w:rPr>
          <w:color w:val="000000" w:themeColor="text1"/>
        </w:rPr>
        <w:t>day oral lead in (</w:t>
      </w:r>
      <w:r w:rsidR="00026BC4" w:rsidRPr="007F3195">
        <w:rPr>
          <w:color w:val="000000" w:themeColor="text1"/>
        </w:rPr>
        <w:t>600mg lenacapavir orally on days 1 and 2, then 300mg on day 8</w:t>
      </w:r>
      <w:r w:rsidR="00F7512B" w:rsidRPr="007F3195">
        <w:rPr>
          <w:color w:val="000000" w:themeColor="text1"/>
        </w:rPr>
        <w:t>)</w:t>
      </w:r>
      <w:r w:rsidR="00026BC4" w:rsidRPr="007F3195">
        <w:rPr>
          <w:color w:val="000000" w:themeColor="text1"/>
        </w:rPr>
        <w:t xml:space="preserve">, then 927mg injected subcutaneously on day 15, </w:t>
      </w:r>
      <w:r w:rsidR="00D10F61" w:rsidRPr="007F3195">
        <w:rPr>
          <w:color w:val="000000" w:themeColor="text1"/>
        </w:rPr>
        <w:t xml:space="preserve">at </w:t>
      </w:r>
      <w:r w:rsidR="00026BC4" w:rsidRPr="007F3195">
        <w:rPr>
          <w:color w:val="000000" w:themeColor="text1"/>
        </w:rPr>
        <w:t>week 26</w:t>
      </w:r>
      <w:r w:rsidR="00D10F61" w:rsidRPr="007F3195">
        <w:rPr>
          <w:color w:val="000000" w:themeColor="text1"/>
        </w:rPr>
        <w:t>,</w:t>
      </w:r>
      <w:r w:rsidR="00026BC4" w:rsidRPr="007F3195">
        <w:rPr>
          <w:color w:val="000000" w:themeColor="text1"/>
        </w:rPr>
        <w:t xml:space="preserve"> then every 26 weeks</w:t>
      </w:r>
      <w:r w:rsidR="00F7512B" w:rsidRPr="007F3195">
        <w:rPr>
          <w:color w:val="000000" w:themeColor="text1"/>
        </w:rPr>
        <w:t>/6 months</w:t>
      </w:r>
      <w:r w:rsidR="00026BC4" w:rsidRPr="007F3195">
        <w:rPr>
          <w:color w:val="000000" w:themeColor="text1"/>
        </w:rPr>
        <w:t xml:space="preserve"> thereafter</w:t>
      </w:r>
      <w:r w:rsidRPr="007F3195">
        <w:rPr>
          <w:color w:val="000000" w:themeColor="text1"/>
        </w:rPr>
        <w:t xml:space="preserve">. </w:t>
      </w:r>
      <w:r w:rsidR="00F7512B" w:rsidRPr="007F3195">
        <w:rPr>
          <w:color w:val="000000" w:themeColor="text1"/>
        </w:rPr>
        <w:t xml:space="preserve">The submission presented pharmacokinetic data </w:t>
      </w:r>
      <w:r w:rsidR="003E4DF8" w:rsidRPr="007F3195">
        <w:rPr>
          <w:color w:val="000000" w:themeColor="text1"/>
        </w:rPr>
        <w:t>associated with each dosing regimen</w:t>
      </w:r>
      <w:r w:rsidR="00414B57" w:rsidRPr="007F3195">
        <w:rPr>
          <w:color w:val="000000" w:themeColor="text1"/>
        </w:rPr>
        <w:t xml:space="preserve">. The recommended dosing regimen in the draft </w:t>
      </w:r>
      <w:r w:rsidR="00D8139C" w:rsidRPr="007F3195">
        <w:rPr>
          <w:color w:val="000000" w:themeColor="text1"/>
        </w:rPr>
        <w:t>product information</w:t>
      </w:r>
      <w:r w:rsidR="00414B57" w:rsidRPr="007F3195">
        <w:rPr>
          <w:color w:val="000000" w:themeColor="text1"/>
        </w:rPr>
        <w:t xml:space="preserve"> (which has one fewer oral dose of lenacapavir at day 8) led to lower </w:t>
      </w:r>
      <w:r w:rsidR="0053006C" w:rsidRPr="007F3195">
        <w:rPr>
          <w:color w:val="000000" w:themeColor="text1"/>
        </w:rPr>
        <w:t>area under the curve (</w:t>
      </w:r>
      <w:r w:rsidR="00414B57" w:rsidRPr="007F3195">
        <w:rPr>
          <w:color w:val="000000" w:themeColor="text1"/>
        </w:rPr>
        <w:t>AUC</w:t>
      </w:r>
      <w:r w:rsidR="0053006C" w:rsidRPr="007F3195">
        <w:rPr>
          <w:color w:val="000000" w:themeColor="text1"/>
        </w:rPr>
        <w:t>)</w:t>
      </w:r>
      <w:r w:rsidR="00414B57" w:rsidRPr="007F3195">
        <w:rPr>
          <w:color w:val="000000" w:themeColor="text1"/>
        </w:rPr>
        <w:t xml:space="preserve"> (234,294) and trough concentrations </w:t>
      </w:r>
      <w:r w:rsidR="00A86EC3" w:rsidRPr="007F3195">
        <w:rPr>
          <w:color w:val="000000" w:themeColor="text1"/>
        </w:rPr>
        <w:t xml:space="preserve">(29.2 ng/mL) </w:t>
      </w:r>
      <w:r w:rsidR="00414B57" w:rsidRPr="007F3195">
        <w:rPr>
          <w:color w:val="000000" w:themeColor="text1"/>
        </w:rPr>
        <w:t>compared to the dosing regimen in CAPELLA</w:t>
      </w:r>
      <w:r w:rsidR="00A86EC3" w:rsidRPr="007F3195">
        <w:rPr>
          <w:color w:val="000000" w:themeColor="text1"/>
        </w:rPr>
        <w:t xml:space="preserve"> (AUC = 251,907.2</w:t>
      </w:r>
      <w:r w:rsidR="00414B57" w:rsidRPr="007F3195">
        <w:rPr>
          <w:color w:val="000000" w:themeColor="text1"/>
        </w:rPr>
        <w:t>,</w:t>
      </w:r>
      <w:r w:rsidR="00A86EC3" w:rsidRPr="007F3195">
        <w:rPr>
          <w:color w:val="000000" w:themeColor="text1"/>
        </w:rPr>
        <w:t xml:space="preserve"> trough concentration = </w:t>
      </w:r>
      <w:r w:rsidR="00AD4F1C" w:rsidRPr="007F3195">
        <w:rPr>
          <w:color w:val="000000" w:themeColor="text1"/>
        </w:rPr>
        <w:t>35.1 ng/L)</w:t>
      </w:r>
      <w:r w:rsidR="00414B57" w:rsidRPr="007F3195">
        <w:rPr>
          <w:color w:val="000000" w:themeColor="text1"/>
        </w:rPr>
        <w:t xml:space="preserve"> though it unexpectedly also resulted in a higher maximum concentration at the end of month 6</w:t>
      </w:r>
      <w:r w:rsidR="004F6BCA" w:rsidRPr="007F3195">
        <w:rPr>
          <w:color w:val="000000" w:themeColor="text1"/>
        </w:rPr>
        <w:t xml:space="preserve"> (97.1 ng/mL compared to 87.3 ng/mL)</w:t>
      </w:r>
      <w:r w:rsidR="00414B57" w:rsidRPr="007F3195">
        <w:rPr>
          <w:color w:val="000000" w:themeColor="text1"/>
        </w:rPr>
        <w:t>.</w:t>
      </w:r>
      <w:r w:rsidR="00AD4F1C" w:rsidRPr="007F3195">
        <w:rPr>
          <w:color w:val="000000" w:themeColor="text1"/>
        </w:rPr>
        <w:t xml:space="preserve"> Whether these differences would have led to differe</w:t>
      </w:r>
      <w:r w:rsidR="004F6BCA" w:rsidRPr="007F3195">
        <w:rPr>
          <w:color w:val="000000" w:themeColor="text1"/>
        </w:rPr>
        <w:t>nces in efficacy or safety was unknown.</w:t>
      </w:r>
      <w:bookmarkEnd w:id="28"/>
    </w:p>
    <w:p w14:paraId="12998D95" w14:textId="0AD2FF29" w:rsidR="00CC2233" w:rsidRPr="007F3195" w:rsidRDefault="00CC2233" w:rsidP="00CC2233">
      <w:pPr>
        <w:pStyle w:val="3-BodyText"/>
        <w:rPr>
          <w:color w:val="000000" w:themeColor="text1"/>
        </w:rPr>
      </w:pPr>
      <w:r w:rsidRPr="007F3195">
        <w:t>The CAPELLA trial also had a small sample size (</w:t>
      </w:r>
      <w:r w:rsidR="009954E7" w:rsidRPr="007F3195">
        <w:t>n</w:t>
      </w:r>
      <w:r w:rsidRPr="007F3195">
        <w:t xml:space="preserve">=36 in the randomised, </w:t>
      </w:r>
      <w:r w:rsidR="00CC395C" w:rsidRPr="007F3195">
        <w:t>double-blind</w:t>
      </w:r>
      <w:r w:rsidRPr="007F3195">
        <w:t xml:space="preserve"> cohort)</w:t>
      </w:r>
      <w:r w:rsidR="002C0FC2" w:rsidRPr="007F3195">
        <w:t xml:space="preserve"> and had imbalances in baseline viral load and CD4 cell count which favoured lenacapavir</w:t>
      </w:r>
      <w:r w:rsidRPr="007F3195">
        <w:t>.</w:t>
      </w:r>
      <w:r w:rsidR="002C0FC2" w:rsidRPr="007F3195">
        <w:t xml:space="preserve"> While the submission attempted to adjust for these</w:t>
      </w:r>
      <w:r w:rsidR="00EC0AB1" w:rsidRPr="007F3195">
        <w:t xml:space="preserve"> post hoc, due to the small sample size the value of the post hoc analysis was limited and may not be informative.</w:t>
      </w:r>
    </w:p>
    <w:p w14:paraId="27D947BA" w14:textId="117221D5" w:rsidR="00CC2233" w:rsidRPr="007F3195" w:rsidRDefault="00CC2233" w:rsidP="00CC2233">
      <w:pPr>
        <w:pStyle w:val="3-BodyText"/>
        <w:rPr>
          <w:color w:val="000000" w:themeColor="text1"/>
        </w:rPr>
      </w:pPr>
      <w:r w:rsidRPr="007F3195">
        <w:rPr>
          <w:color w:val="000000" w:themeColor="text1"/>
        </w:rPr>
        <w:lastRenderedPageBreak/>
        <w:t xml:space="preserve">The submission </w:t>
      </w:r>
      <w:r w:rsidR="00A931A9" w:rsidRPr="007F3195">
        <w:rPr>
          <w:color w:val="000000" w:themeColor="text1"/>
        </w:rPr>
        <w:t xml:space="preserve">emphasised </w:t>
      </w:r>
      <w:r w:rsidRPr="007F3195">
        <w:rPr>
          <w:color w:val="000000" w:themeColor="text1"/>
        </w:rPr>
        <w:t>that the CAPELLA</w:t>
      </w:r>
      <w:r w:rsidR="00A931A9" w:rsidRPr="007F3195">
        <w:rPr>
          <w:color w:val="000000" w:themeColor="text1"/>
        </w:rPr>
        <w:t xml:space="preserve"> trial</w:t>
      </w:r>
      <w:r w:rsidRPr="007F3195">
        <w:rPr>
          <w:color w:val="000000" w:themeColor="text1"/>
        </w:rPr>
        <w:t xml:space="preserve"> was designed consistent with FDA (FDA 2015)</w:t>
      </w:r>
      <w:r w:rsidRPr="007F3195">
        <w:rPr>
          <w:rStyle w:val="FootnoteReference"/>
          <w:color w:val="000000" w:themeColor="text1"/>
        </w:rPr>
        <w:footnoteReference w:id="3"/>
      </w:r>
      <w:r w:rsidRPr="007F3195">
        <w:rPr>
          <w:color w:val="000000" w:themeColor="text1"/>
        </w:rPr>
        <w:t xml:space="preserve"> and EMA (EMA 2017)</w:t>
      </w:r>
      <w:r w:rsidRPr="007F3195">
        <w:rPr>
          <w:rStyle w:val="FootnoteReference"/>
          <w:color w:val="000000" w:themeColor="text1"/>
        </w:rPr>
        <w:footnoteReference w:id="4"/>
      </w:r>
      <w:r w:rsidRPr="007F3195">
        <w:rPr>
          <w:color w:val="000000" w:themeColor="text1"/>
        </w:rPr>
        <w:t xml:space="preserve"> guidance. The FDA document </w:t>
      </w:r>
      <w:r w:rsidR="00352EC5" w:rsidRPr="007F3195">
        <w:rPr>
          <w:color w:val="000000" w:themeColor="text1"/>
        </w:rPr>
        <w:t>stated,</w:t>
      </w:r>
      <w:r w:rsidRPr="007F3195">
        <w:rPr>
          <w:color w:val="000000" w:themeColor="text1"/>
        </w:rPr>
        <w:t xml:space="preserve"> </w:t>
      </w:r>
      <w:r w:rsidR="009052D6">
        <w:rPr>
          <w:color w:val="000000" w:themeColor="text1"/>
        </w:rPr>
        <w:t>‘</w:t>
      </w:r>
      <w:r w:rsidRPr="007F3195">
        <w:t>the unmet medical need in this population and the potential to decrease further development of resistance to the background regimen in the trial patients outweigh the modest loss of certainty in the interpretation of results from this type of trial design</w:t>
      </w:r>
      <w:r w:rsidR="009052D6">
        <w:t>’</w:t>
      </w:r>
      <w:r w:rsidRPr="007F3195">
        <w:t xml:space="preserve"> (p</w:t>
      </w:r>
      <w:r w:rsidR="00B74647">
        <w:t xml:space="preserve">. </w:t>
      </w:r>
      <w:r w:rsidRPr="007F3195">
        <w:t>53 of submission).</w:t>
      </w:r>
    </w:p>
    <w:p w14:paraId="55A15FB2" w14:textId="628898EE" w:rsidR="00CC2233" w:rsidRPr="007F3195" w:rsidRDefault="00CC2233" w:rsidP="00CC2233">
      <w:pPr>
        <w:pStyle w:val="3-BodyText"/>
        <w:rPr>
          <w:color w:val="000000" w:themeColor="text1"/>
        </w:rPr>
      </w:pPr>
      <w:r w:rsidRPr="007F3195">
        <w:t>While informative, the FDA considerations did not necessarily address concerns regarding quantifying magnitude of benefit, and applicability to the Australian reimbursement scenario. Based on the Cochrane risk of bias tool outlined in the PBAC Guidelines</w:t>
      </w:r>
      <w:r w:rsidR="002814B4" w:rsidRPr="007F3195">
        <w:t xml:space="preserve"> v5.0</w:t>
      </w:r>
      <w:r w:rsidRPr="007F3195">
        <w:t xml:space="preserve">, the CAPELLA trial had a low risk of bias for results up to 14 days but a high risk of bias thereafter. However, the 14-day functional monotherapy period did not compare the intervention being proposed (lenacapavir + OBR) with the nominated comparator (OBR), as it compared lenacapavir with the failing ARV regimen and as such may have limited applicability to the submission. </w:t>
      </w:r>
    </w:p>
    <w:p w14:paraId="2AE10130" w14:textId="201533E7" w:rsidR="00CC2233" w:rsidRPr="007F3195" w:rsidRDefault="00CC2233" w:rsidP="00CC2233">
      <w:pPr>
        <w:pStyle w:val="3-BodyText"/>
        <w:rPr>
          <w:color w:val="000000" w:themeColor="text1"/>
        </w:rPr>
      </w:pPr>
      <w:r w:rsidRPr="007F3195">
        <w:t>All of the comparator trials (BENCHMRK 1 &amp; 2, MOTIVATE 1 &amp;</w:t>
      </w:r>
      <w:r w:rsidR="005C51A0" w:rsidRPr="007F3195">
        <w:t xml:space="preserve"> </w:t>
      </w:r>
      <w:r w:rsidRPr="007F3195">
        <w:t xml:space="preserve">2, VICTOR-E) were adequately randomised and double blind, with low risk of reporting and attrition bias, and overall had low risks of bias within each trial. However, as the submission included only the single treatment arms of interest in the clinical evaluation by the resubmission, the risk of bias from using data from only the comparators in these trials should be considered high as the benefits of randomisation for the respective trials were not retained. </w:t>
      </w:r>
    </w:p>
    <w:p w14:paraId="14F759E5" w14:textId="357C26F8" w:rsidR="00CC2233" w:rsidRPr="007F3195" w:rsidRDefault="00CC2233" w:rsidP="00CC2233">
      <w:pPr>
        <w:pStyle w:val="3-BodyText"/>
        <w:rPr>
          <w:color w:val="000000" w:themeColor="text1"/>
        </w:rPr>
      </w:pPr>
      <w:bookmarkStart w:id="29" w:name="_Ref119491508"/>
      <w:r w:rsidRPr="007F3195">
        <w:rPr>
          <w:color w:val="000000" w:themeColor="text1"/>
        </w:rPr>
        <w:t xml:space="preserve">There were important differences in prior treatment and current OBR between CAPELLA and the comparator trials. </w:t>
      </w:r>
      <w:r w:rsidRPr="007F3195">
        <w:t xml:space="preserve">The submission considered that the number of prior ARVs, where reported, was similar with median 9 and 11 in CAPELLA Cohort 1A lenacapavir and Cohort 1 and 2 combined, respectively, and 12 in the BENCHMRK-1 &amp; 2 trials. However, this may be inconsistent with the submissions’ claim that patients enrolled in CAPELLA were </w:t>
      </w:r>
      <w:r w:rsidR="005C51A0" w:rsidRPr="007F3195">
        <w:t xml:space="preserve">a </w:t>
      </w:r>
      <w:r w:rsidRPr="007F3195">
        <w:t>harder to treat highly MDR population compared to the placebo + OBR patients from the included trials, as it appears that BENCHMRK 1 &amp; 2 patients ha</w:t>
      </w:r>
      <w:r w:rsidR="005C51A0" w:rsidRPr="007F3195">
        <w:t>d</w:t>
      </w:r>
      <w:r w:rsidRPr="007F3195">
        <w:t xml:space="preserve"> been more extensively treated than</w:t>
      </w:r>
      <w:r w:rsidR="005C51A0" w:rsidRPr="007F3195">
        <w:t xml:space="preserve"> patients</w:t>
      </w:r>
      <w:r w:rsidRPr="007F3195">
        <w:t xml:space="preserve"> in CAPELLA. The number of agents in the OBR was also similar </w:t>
      </w:r>
      <w:r w:rsidR="00631980">
        <w:t xml:space="preserve">with a </w:t>
      </w:r>
      <w:r w:rsidRPr="007F3195">
        <w:t xml:space="preserve">median </w:t>
      </w:r>
      <w:r w:rsidR="009052D6">
        <w:t>=</w:t>
      </w:r>
      <w:r w:rsidR="00631980">
        <w:t xml:space="preserve"> </w:t>
      </w:r>
      <w:r w:rsidRPr="007F3195">
        <w:t>4 in both reported CAPELLA cohorts and 4 in BENCHMRK</w:t>
      </w:r>
      <w:r w:rsidR="00B17D83">
        <w:t xml:space="preserve"> </w:t>
      </w:r>
      <w:r w:rsidRPr="007F3195">
        <w:t>1 &amp; 2. MOTIVATE 1 &amp; 2 allowed use of 3-6 agents in OBR, while VICTOR-E allowed ≥</w:t>
      </w:r>
      <w:r w:rsidR="00631980">
        <w:t xml:space="preserve"> </w:t>
      </w:r>
      <w:r w:rsidRPr="007F3195">
        <w:t>3.</w:t>
      </w:r>
      <w:bookmarkEnd w:id="29"/>
      <w:r w:rsidRPr="007F3195">
        <w:t xml:space="preserve"> </w:t>
      </w:r>
    </w:p>
    <w:p w14:paraId="2C43F9EE" w14:textId="7085CB52" w:rsidR="009451C9" w:rsidRPr="007F3195" w:rsidRDefault="007D6B0A" w:rsidP="00CC2233">
      <w:pPr>
        <w:pStyle w:val="3-BodyText"/>
        <w:rPr>
          <w:color w:val="000000" w:themeColor="text1"/>
        </w:rPr>
      </w:pPr>
      <w:r w:rsidRPr="007F3195">
        <w:t>As discussed in</w:t>
      </w:r>
      <w:r w:rsidR="008D7D31" w:rsidRPr="007F3195">
        <w:t xml:space="preserve"> paragraph </w:t>
      </w:r>
      <w:r w:rsidR="008D7D31" w:rsidRPr="007F3195">
        <w:fldChar w:fldCharType="begin"/>
      </w:r>
      <w:r w:rsidR="008D7D31" w:rsidRPr="007F3195">
        <w:instrText xml:space="preserve"> REF _Ref113283286 \r \h </w:instrText>
      </w:r>
      <w:r w:rsidR="007F3195" w:rsidRPr="007F3195">
        <w:instrText xml:space="preserve"> \* MERGEFORMAT </w:instrText>
      </w:r>
      <w:r w:rsidR="008D7D31" w:rsidRPr="007F3195">
        <w:fldChar w:fldCharType="separate"/>
      </w:r>
      <w:r w:rsidR="0050086F">
        <w:t>5.7</w:t>
      </w:r>
      <w:r w:rsidR="008D7D31" w:rsidRPr="007F3195">
        <w:fldChar w:fldCharType="end"/>
      </w:r>
      <w:r w:rsidR="008D7D31" w:rsidRPr="007F3195">
        <w:t>,</w:t>
      </w:r>
      <w:r w:rsidRPr="007F3195">
        <w:t xml:space="preserve"> </w:t>
      </w:r>
      <w:r w:rsidR="009451C9" w:rsidRPr="007F3195">
        <w:t xml:space="preserve">OBR in CAPELLA included newer ARVs which were not used in the placebo + OBR arms of the </w:t>
      </w:r>
      <w:r w:rsidR="009451C9" w:rsidRPr="007F3195">
        <w:lastRenderedPageBreak/>
        <w:t>comparator trials.</w:t>
      </w:r>
      <w:r w:rsidR="003C7B0A" w:rsidRPr="007F3195">
        <w:t xml:space="preserve"> </w:t>
      </w:r>
      <w:r w:rsidR="00710045" w:rsidRPr="007F3195">
        <w:t>For example, fostemsavir (TGA listed but not PBS subsidised) and ibalizumab (not TGA listed nor PBS subsidised) were used by 11.1% and 23.6% of patients as part of the OBR in CAPELLA, respectively. To the extent that these investigational agents are effective in the MDR population, this will bias the results in favour of lenacapavir.</w:t>
      </w:r>
    </w:p>
    <w:p w14:paraId="7040564B" w14:textId="76EFDA19" w:rsidR="00CC2233" w:rsidRPr="007F3195" w:rsidRDefault="00CC2233" w:rsidP="00CC2233">
      <w:pPr>
        <w:pStyle w:val="3-BodyText"/>
        <w:rPr>
          <w:color w:val="000000" w:themeColor="text1"/>
        </w:rPr>
      </w:pPr>
      <w:bookmarkStart w:id="30" w:name="_Ref113298205"/>
      <w:r w:rsidRPr="007F3195">
        <w:t>INSTI (raltegravir) use was allowed in BENCHMRK</w:t>
      </w:r>
      <w:r w:rsidR="00B17D83">
        <w:t xml:space="preserve"> </w:t>
      </w:r>
      <w:r w:rsidRPr="007F3195">
        <w:t>1 &amp; 2 after week 16 if patients experienced post-virologic failure, with 50.8% and 47.9% in the studies, respectively using raltegravir. In CAPELLA Cohort 1A lenacapavir, 41.7% used an INSTI and 51.4% in Cohort 1 and 2 combined. The submission considered that, therefore, the types of OBR used in CAPELLA and BENCHMRK-1 &amp; 2 were generally similar and consistent with current OBR</w:t>
      </w:r>
      <w:r w:rsidR="002E0FBD">
        <w:t>s</w:t>
      </w:r>
      <w:r w:rsidRPr="007F3195">
        <w:t xml:space="preserve">, with INSTIs now widely used in clinical practice. Given that patients in the BENCHMRK trials switched to the intervention (raltegravir) plus OBR after 16 weeks, and INSTI’s were allowed from baseline in CAPELLA, it was unclear why the raltegravir plus OBR arm of the BENCHMRK trials </w:t>
      </w:r>
      <w:r w:rsidR="00AE7707" w:rsidRPr="007F3195">
        <w:t xml:space="preserve">(or </w:t>
      </w:r>
      <w:r w:rsidRPr="007F3195">
        <w:t>the intervention arm (maraviroc + OBR) of MOTIVATE 1 &amp; 2</w:t>
      </w:r>
      <w:r w:rsidR="00AE7707" w:rsidRPr="007F3195">
        <w:t>)</w:t>
      </w:r>
      <w:r w:rsidRPr="007F3195">
        <w:t xml:space="preserve"> could not be included in the comparison as th</w:t>
      </w:r>
      <w:r w:rsidR="00AE7707" w:rsidRPr="007F3195">
        <w:t>ese ARVs</w:t>
      </w:r>
      <w:r w:rsidRPr="007F3195">
        <w:t xml:space="preserve"> </w:t>
      </w:r>
      <w:r w:rsidR="00AE7707" w:rsidRPr="007F3195">
        <w:t xml:space="preserve">were </w:t>
      </w:r>
      <w:r w:rsidRPr="007F3195">
        <w:t xml:space="preserve">included </w:t>
      </w:r>
      <w:r w:rsidR="00AE7707" w:rsidRPr="007F3195">
        <w:t xml:space="preserve">in some </w:t>
      </w:r>
      <w:r w:rsidRPr="007F3195">
        <w:t>OBR</w:t>
      </w:r>
      <w:r w:rsidR="002E0FBD">
        <w:t xml:space="preserve">s </w:t>
      </w:r>
      <w:r w:rsidRPr="007F3195">
        <w:t>in CAPELLA.</w:t>
      </w:r>
      <w:bookmarkEnd w:id="30"/>
      <w:r w:rsidRPr="007F3195">
        <w:t xml:space="preserve"> </w:t>
      </w:r>
    </w:p>
    <w:p w14:paraId="1E923D57" w14:textId="6A8EE166" w:rsidR="00AD2B1F" w:rsidRPr="007F3195" w:rsidRDefault="00AD2B1F" w:rsidP="00CC2233">
      <w:pPr>
        <w:pStyle w:val="3-BodyText"/>
        <w:rPr>
          <w:color w:val="000000" w:themeColor="text1"/>
        </w:rPr>
      </w:pPr>
      <w:r w:rsidRPr="007F3195">
        <w:rPr>
          <w:color w:val="000000" w:themeColor="text1"/>
        </w:rPr>
        <w:t>The submission also provided comparisons of overall susceptibility scores as well as phenotypic and genotypic sensitivity scores of OBR across treatment arms where reported. Overall susceptibility scores indicate the number of active ARVs in the OBR based on both phenotypic and genotypic resistance, with each ARV assigned a score of between 0 to 1 with a higher score indicating that the virus is more sensitive to the ARV (and therefore more likely to achieve virologic suppression). The overall score is the summation of the score of each of the ARVs used in the OBR such that for a patient with four ARVs in OBR, the range of overall susceptibility score is 0 to 4. Phenotypic and genotypic sensitivity scores are scored similarly to the overall susceptibility score though considers only one aspect of virus sensitivity. In summary, a higher score in any of these measures indicate that the OBR was more likely to be effective at achieving virologic suppression.</w:t>
      </w:r>
      <w:r w:rsidR="00A5249C" w:rsidRPr="007F3195">
        <w:rPr>
          <w:rStyle w:val="FootnoteReference"/>
        </w:rPr>
        <w:footnoteReference w:id="5"/>
      </w:r>
      <w:r w:rsidRPr="007F3195">
        <w:rPr>
          <w:color w:val="000000" w:themeColor="text1"/>
        </w:rPr>
        <w:t xml:space="preserve"> </w:t>
      </w:r>
    </w:p>
    <w:p w14:paraId="6C7DECAE" w14:textId="11DCEC81" w:rsidR="004C0566" w:rsidRPr="00E52AC5" w:rsidRDefault="007D6B0A" w:rsidP="00AC45C8">
      <w:pPr>
        <w:pStyle w:val="3-BodyText"/>
        <w:rPr>
          <w:color w:val="000000" w:themeColor="text1"/>
        </w:rPr>
      </w:pPr>
      <w:r w:rsidRPr="008E2870">
        <w:rPr>
          <w:color w:val="000000" w:themeColor="text1"/>
        </w:rPr>
        <w:t>A comparison of the overall susceptibility score in CAPELLA with the placebo + OBR arm in MOTIVATE 1 &amp; 2 indicated that the susceptibility of OBR was similar between the patient populations. However, a comparison of phenotypic sensitivity score</w:t>
      </w:r>
      <w:r w:rsidR="00B70DC9">
        <w:rPr>
          <w:color w:val="000000" w:themeColor="text1"/>
        </w:rPr>
        <w:t>s</w:t>
      </w:r>
      <w:r w:rsidRPr="008E2870">
        <w:rPr>
          <w:color w:val="000000" w:themeColor="text1"/>
        </w:rPr>
        <w:t xml:space="preserve"> in CAPELLA with the placebo + OBR arm in BENCHMRK 1 &amp; 2 (overall susceptibility was not reported for BENCHMRK 1 &amp; 2 patients) indicated that a higher proportion of patients in CAPELLA had phenotypic susceptibility score</w:t>
      </w:r>
      <w:r w:rsidR="00B70DC9">
        <w:rPr>
          <w:color w:val="000000" w:themeColor="text1"/>
        </w:rPr>
        <w:t>s</w:t>
      </w:r>
      <w:r w:rsidRPr="008E2870">
        <w:rPr>
          <w:color w:val="000000" w:themeColor="text1"/>
        </w:rPr>
        <w:t xml:space="preserve"> of ≥</w:t>
      </w:r>
      <w:r w:rsidR="009257E3" w:rsidRPr="008E2870">
        <w:rPr>
          <w:color w:val="000000" w:themeColor="text1"/>
        </w:rPr>
        <w:t xml:space="preserve"> </w:t>
      </w:r>
      <w:r w:rsidRPr="008E2870">
        <w:rPr>
          <w:color w:val="000000" w:themeColor="text1"/>
        </w:rPr>
        <w:t>3 (14/54, 25.9%) than placebo + OBR patients in BENCHMRK 1 &amp; 2 (48/237, 20.2%). Similarly, a higher proportion of patients in CAPELLA had genotypic susceptibility score</w:t>
      </w:r>
      <w:r w:rsidR="00B70DC9">
        <w:rPr>
          <w:color w:val="000000" w:themeColor="text1"/>
        </w:rPr>
        <w:t>s</w:t>
      </w:r>
      <w:r w:rsidRPr="008E2870">
        <w:rPr>
          <w:color w:val="000000" w:themeColor="text1"/>
        </w:rPr>
        <w:t xml:space="preserve"> of ≥</w:t>
      </w:r>
      <w:r w:rsidR="009257E3" w:rsidRPr="008E2870">
        <w:rPr>
          <w:color w:val="000000" w:themeColor="text1"/>
        </w:rPr>
        <w:t xml:space="preserve"> </w:t>
      </w:r>
      <w:r w:rsidRPr="008E2870">
        <w:rPr>
          <w:color w:val="000000" w:themeColor="text1"/>
        </w:rPr>
        <w:t xml:space="preserve">3 (13/54, 18.1%) than placebo + OBR patients in BENCHMRK 1 &amp; 2 (23/237, 9.7%). This suggests </w:t>
      </w:r>
      <w:r w:rsidRPr="008E2870">
        <w:rPr>
          <w:color w:val="000000" w:themeColor="text1"/>
        </w:rPr>
        <w:lastRenderedPageBreak/>
        <w:t>that the OBR in CAPELLA may have been more likely to have led to vir</w:t>
      </w:r>
      <w:r w:rsidR="002D6DDD" w:rsidRPr="008E2870">
        <w:rPr>
          <w:color w:val="000000" w:themeColor="text1"/>
        </w:rPr>
        <w:t>o</w:t>
      </w:r>
      <w:r w:rsidRPr="008E2870">
        <w:rPr>
          <w:color w:val="000000" w:themeColor="text1"/>
        </w:rPr>
        <w:t>l</w:t>
      </w:r>
      <w:r w:rsidR="002D6DDD" w:rsidRPr="008E2870">
        <w:rPr>
          <w:color w:val="000000" w:themeColor="text1"/>
        </w:rPr>
        <w:t>ogic</w:t>
      </w:r>
      <w:r w:rsidRPr="008E2870">
        <w:rPr>
          <w:color w:val="000000" w:themeColor="text1"/>
        </w:rPr>
        <w:t xml:space="preserve"> suppression than the OBR in BENCHMRK 1 &amp; 2</w:t>
      </w:r>
      <w:r w:rsidR="00B70DC9">
        <w:rPr>
          <w:color w:val="000000" w:themeColor="text1"/>
        </w:rPr>
        <w:t>,</w:t>
      </w:r>
      <w:r w:rsidRPr="008E2870">
        <w:rPr>
          <w:color w:val="000000" w:themeColor="text1"/>
        </w:rPr>
        <w:t xml:space="preserve"> which favours lenacapavir in the </w:t>
      </w:r>
      <w:r w:rsidRPr="00E52AC5">
        <w:rPr>
          <w:color w:val="000000" w:themeColor="text1"/>
        </w:rPr>
        <w:t>indirect comparison.</w:t>
      </w:r>
      <w:r w:rsidR="00FE7F90" w:rsidRPr="00E52AC5">
        <w:rPr>
          <w:color w:val="000000" w:themeColor="text1"/>
        </w:rPr>
        <w:t xml:space="preserve"> </w:t>
      </w:r>
    </w:p>
    <w:p w14:paraId="17586EFA" w14:textId="24B8F9B7" w:rsidR="007D6B0A" w:rsidRPr="00E52AC5" w:rsidRDefault="00675339" w:rsidP="00AC45C8">
      <w:pPr>
        <w:pStyle w:val="3-BodyText"/>
        <w:rPr>
          <w:color w:val="000000" w:themeColor="text1"/>
        </w:rPr>
      </w:pPr>
      <w:r w:rsidRPr="00E52AC5">
        <w:rPr>
          <w:color w:val="000000" w:themeColor="text1"/>
        </w:rPr>
        <w:t>T</w:t>
      </w:r>
      <w:r w:rsidR="00FE7F90" w:rsidRPr="00E52AC5">
        <w:rPr>
          <w:color w:val="000000" w:themeColor="text1"/>
        </w:rPr>
        <w:t>he PSCR noted since the patients in BENCHMRK</w:t>
      </w:r>
      <w:r w:rsidR="00B17D83">
        <w:rPr>
          <w:color w:val="000000" w:themeColor="text1"/>
        </w:rPr>
        <w:t xml:space="preserve"> </w:t>
      </w:r>
      <w:r w:rsidR="00FE7F90" w:rsidRPr="00E52AC5">
        <w:rPr>
          <w:color w:val="000000" w:themeColor="text1"/>
        </w:rPr>
        <w:t xml:space="preserve">1 &amp; 2 did not receive </w:t>
      </w:r>
      <w:r w:rsidR="004C0566" w:rsidRPr="00E52AC5">
        <w:rPr>
          <w:color w:val="000000" w:themeColor="text1"/>
        </w:rPr>
        <w:t>raltegravir</w:t>
      </w:r>
      <w:r w:rsidR="00FE7F90" w:rsidRPr="00E52AC5">
        <w:rPr>
          <w:color w:val="000000" w:themeColor="text1"/>
        </w:rPr>
        <w:t xml:space="preserve"> as part of their baseline OBR, susceptibility to this agent was not included in the calculation of baseline genotypic</w:t>
      </w:r>
      <w:r w:rsidR="00376B9A" w:rsidRPr="00E52AC5">
        <w:rPr>
          <w:color w:val="000000" w:themeColor="text1"/>
        </w:rPr>
        <w:t xml:space="preserve"> or phenotypic</w:t>
      </w:r>
      <w:r w:rsidR="00FE7F90" w:rsidRPr="00E52AC5">
        <w:rPr>
          <w:color w:val="000000" w:themeColor="text1"/>
        </w:rPr>
        <w:t xml:space="preserve"> sensitivity score</w:t>
      </w:r>
      <w:r w:rsidRPr="00E52AC5">
        <w:rPr>
          <w:color w:val="000000" w:themeColor="text1"/>
        </w:rPr>
        <w:t>.</w:t>
      </w:r>
      <w:r w:rsidR="00376B9A" w:rsidRPr="00E52AC5">
        <w:rPr>
          <w:color w:val="000000" w:themeColor="text1"/>
        </w:rPr>
        <w:t xml:space="preserve"> </w:t>
      </w:r>
      <w:r w:rsidRPr="00E52AC5">
        <w:rPr>
          <w:color w:val="000000" w:themeColor="text1"/>
        </w:rPr>
        <w:t>G</w:t>
      </w:r>
      <w:r w:rsidR="00FE7F90" w:rsidRPr="00E52AC5">
        <w:rPr>
          <w:color w:val="000000" w:themeColor="text1"/>
        </w:rPr>
        <w:t>iven around half the BENCHMRK</w:t>
      </w:r>
      <w:r w:rsidR="00B17D83">
        <w:rPr>
          <w:color w:val="000000" w:themeColor="text1"/>
        </w:rPr>
        <w:t xml:space="preserve"> </w:t>
      </w:r>
      <w:r w:rsidR="00FE7F90" w:rsidRPr="00E52AC5">
        <w:rPr>
          <w:color w:val="000000" w:themeColor="text1"/>
        </w:rPr>
        <w:t xml:space="preserve">1 &amp; 2 patients went on to open-label </w:t>
      </w:r>
      <w:r w:rsidR="004C0566" w:rsidRPr="00E52AC5">
        <w:rPr>
          <w:color w:val="000000" w:themeColor="text1"/>
        </w:rPr>
        <w:t>raltegravir</w:t>
      </w:r>
      <w:r w:rsidR="00FE7F90" w:rsidRPr="00E52AC5">
        <w:rPr>
          <w:color w:val="000000" w:themeColor="text1"/>
        </w:rPr>
        <w:t xml:space="preserve"> at W</w:t>
      </w:r>
      <w:r w:rsidR="009E280A" w:rsidRPr="00E52AC5">
        <w:rPr>
          <w:color w:val="000000" w:themeColor="text1"/>
        </w:rPr>
        <w:t>ee</w:t>
      </w:r>
      <w:r w:rsidR="00FE7F90" w:rsidRPr="00E52AC5">
        <w:rPr>
          <w:color w:val="000000" w:themeColor="text1"/>
        </w:rPr>
        <w:t xml:space="preserve">k 16, </w:t>
      </w:r>
      <w:r w:rsidRPr="00E52AC5">
        <w:rPr>
          <w:color w:val="000000" w:themeColor="text1"/>
        </w:rPr>
        <w:t xml:space="preserve">the PSCR goes on to argue the </w:t>
      </w:r>
      <w:r w:rsidR="00FE7F90" w:rsidRPr="00E52AC5">
        <w:rPr>
          <w:color w:val="000000" w:themeColor="text1"/>
        </w:rPr>
        <w:t xml:space="preserve">addition of +1 to 50% of the patient’s </w:t>
      </w:r>
      <w:r w:rsidR="00376B9A" w:rsidRPr="00E52AC5">
        <w:rPr>
          <w:color w:val="000000" w:themeColor="text1"/>
        </w:rPr>
        <w:t>susceptibility scores</w:t>
      </w:r>
      <w:r w:rsidR="00FE7F90" w:rsidRPr="00E52AC5">
        <w:rPr>
          <w:color w:val="000000" w:themeColor="text1"/>
        </w:rPr>
        <w:t xml:space="preserve"> would likely have resulted in a similar proportion of patients in BENCHMRK</w:t>
      </w:r>
      <w:r w:rsidR="00B17D83">
        <w:rPr>
          <w:color w:val="000000" w:themeColor="text1"/>
        </w:rPr>
        <w:t xml:space="preserve"> </w:t>
      </w:r>
      <w:r w:rsidR="00FE7F90" w:rsidRPr="00E52AC5">
        <w:rPr>
          <w:color w:val="000000" w:themeColor="text1"/>
        </w:rPr>
        <w:t>1 &amp; 2 and CAPELLA reporting sensitivity scores ≥</w:t>
      </w:r>
      <w:r w:rsidR="00B17D83">
        <w:rPr>
          <w:color w:val="000000" w:themeColor="text1"/>
        </w:rPr>
        <w:t xml:space="preserve"> </w:t>
      </w:r>
      <w:r w:rsidR="00FE7F90" w:rsidRPr="00E52AC5">
        <w:rPr>
          <w:color w:val="000000" w:themeColor="text1"/>
        </w:rPr>
        <w:t>3.</w:t>
      </w:r>
    </w:p>
    <w:p w14:paraId="6F3B6C9C" w14:textId="096DF6F8" w:rsidR="00CC2233" w:rsidRPr="007F3195" w:rsidRDefault="00CB690C" w:rsidP="00CC2233">
      <w:pPr>
        <w:pStyle w:val="3-BodyText"/>
        <w:rPr>
          <w:color w:val="000000" w:themeColor="text1"/>
        </w:rPr>
      </w:pPr>
      <w:r w:rsidRPr="007F3195">
        <w:t>Overall,</w:t>
      </w:r>
      <w:r w:rsidR="000B0208">
        <w:t xml:space="preserve"> the evaluation considered</w:t>
      </w:r>
      <w:r w:rsidRPr="007F3195">
        <w:t xml:space="preserve"> a</w:t>
      </w:r>
      <w:r w:rsidR="00CC2233" w:rsidRPr="007F3195">
        <w:t xml:space="preserve">ll of the inconsistencies </w:t>
      </w:r>
      <w:r w:rsidRPr="007F3195">
        <w:t>and transitivity issues</w:t>
      </w:r>
      <w:r w:rsidR="00B17D83">
        <w:t xml:space="preserve"> d</w:t>
      </w:r>
      <w:r w:rsidR="00FD3218">
        <w:t>escribed</w:t>
      </w:r>
      <w:r w:rsidR="00B17D83">
        <w:t xml:space="preserve"> above</w:t>
      </w:r>
      <w:r w:rsidRPr="007F3195">
        <w:t xml:space="preserve"> likely </w:t>
      </w:r>
      <w:r w:rsidR="00CC2233" w:rsidRPr="007F3195">
        <w:t xml:space="preserve">biased </w:t>
      </w:r>
      <w:r w:rsidRPr="007F3195">
        <w:t xml:space="preserve">the </w:t>
      </w:r>
      <w:r w:rsidR="00CC2233" w:rsidRPr="007F3195">
        <w:t>comparison in favour of lenacapavir + OBR.</w:t>
      </w:r>
    </w:p>
    <w:p w14:paraId="55C29621" w14:textId="77777777" w:rsidR="00CC2233" w:rsidRPr="00C4404D" w:rsidRDefault="00CC2233" w:rsidP="00CC2233">
      <w:pPr>
        <w:pStyle w:val="4-SubsectionHeading"/>
      </w:pPr>
      <w:bookmarkStart w:id="31" w:name="_Toc22897641"/>
      <w:bookmarkStart w:id="32" w:name="_Toc114048769"/>
      <w:r w:rsidRPr="00C4404D">
        <w:t>Comparative effectiveness</w:t>
      </w:r>
      <w:bookmarkEnd w:id="31"/>
      <w:bookmarkEnd w:id="32"/>
    </w:p>
    <w:p w14:paraId="7FD4BE75" w14:textId="5F4C8541" w:rsidR="00CC2233" w:rsidRDefault="00CC2233" w:rsidP="00CC2233">
      <w:pPr>
        <w:pStyle w:val="3-BodyText"/>
        <w:rPr>
          <w:color w:val="000000" w:themeColor="text1"/>
        </w:rPr>
      </w:pPr>
      <w:r w:rsidRPr="007F3195">
        <w:fldChar w:fldCharType="begin"/>
      </w:r>
      <w:r w:rsidRPr="007F3195">
        <w:instrText xml:space="preserve"> REF _Ref112941880 \h  \* MERGEFORMAT </w:instrText>
      </w:r>
      <w:r w:rsidRPr="007F3195">
        <w:fldChar w:fldCharType="separate"/>
      </w:r>
      <w:r w:rsidR="0050086F" w:rsidRPr="0050086F">
        <w:rPr>
          <w:rFonts w:eastAsiaTheme="majorEastAsia"/>
        </w:rPr>
        <w:t>Table 4</w:t>
      </w:r>
      <w:r w:rsidRPr="007F3195">
        <w:fldChar w:fldCharType="end"/>
      </w:r>
      <w:r w:rsidRPr="007F3195">
        <w:rPr>
          <w:color w:val="000000" w:themeColor="text1"/>
        </w:rPr>
        <w:t xml:space="preserve"> presents the results of patients achieving ≥ 0.5 log10 copies/mL reduction from baseline in HIV-1 RNA in the CAPELLA trial.</w:t>
      </w:r>
    </w:p>
    <w:p w14:paraId="25F4CBC9" w14:textId="77D95156" w:rsidR="00620D9C" w:rsidRPr="00620D9C" w:rsidRDefault="00620D9C" w:rsidP="00620D9C">
      <w:pPr>
        <w:pStyle w:val="3-BodyText"/>
      </w:pPr>
      <w:r w:rsidRPr="007F3195">
        <w:rPr>
          <w:color w:val="000000" w:themeColor="text1"/>
        </w:rPr>
        <w:t>The submission noted that a significantly higher proportion of patients treated with lenacapavir achieved ≥ 0.5 log10 copies/mL reduction from baseline in HIV-1 RNA compared with placebo during the functional monotherapy period when patients continued to receive their failed ARV (70.8%</w:t>
      </w:r>
      <w:r>
        <w:rPr>
          <w:color w:val="000000" w:themeColor="text1"/>
        </w:rPr>
        <w:t xml:space="preserve">; </w:t>
      </w:r>
      <w:r w:rsidRPr="00C4404D">
        <w:rPr>
          <w:color w:val="000000" w:themeColor="text1"/>
        </w:rPr>
        <w:t>95% CI</w:t>
      </w:r>
      <w:r w:rsidRPr="007F3195">
        <w:rPr>
          <w:color w:val="000000" w:themeColor="text1"/>
        </w:rPr>
        <w:t xml:space="preserve"> 34.9%, 90.0%</w:t>
      </w:r>
      <w:r>
        <w:rPr>
          <w:color w:val="000000" w:themeColor="text1"/>
        </w:rPr>
        <w:t>;</w:t>
      </w:r>
      <w:r w:rsidRPr="007F3195">
        <w:rPr>
          <w:color w:val="000000" w:themeColor="text1"/>
        </w:rPr>
        <w:t xml:space="preserve"> p</w:t>
      </w:r>
      <w:r>
        <w:rPr>
          <w:color w:val="000000" w:themeColor="text1"/>
        </w:rPr>
        <w:t xml:space="preserve"> </w:t>
      </w:r>
      <w:r w:rsidRPr="007F3195">
        <w:rPr>
          <w:color w:val="000000" w:themeColor="text1"/>
        </w:rPr>
        <w:t>&lt;</w:t>
      </w:r>
      <w:r>
        <w:rPr>
          <w:color w:val="000000" w:themeColor="text1"/>
        </w:rPr>
        <w:t xml:space="preserve"> </w:t>
      </w:r>
      <w:r w:rsidRPr="007F3195">
        <w:rPr>
          <w:color w:val="000000" w:themeColor="text1"/>
        </w:rPr>
        <w:t>0.0001).</w:t>
      </w:r>
      <w:r>
        <w:rPr>
          <w:color w:val="000000" w:themeColor="text1"/>
        </w:rPr>
        <w:t xml:space="preserve"> </w:t>
      </w:r>
      <w:r>
        <w:t>However, t</w:t>
      </w:r>
      <w:r w:rsidRPr="007F3195">
        <w:t>his incremental treatment effect was assessed against existing failing regimen</w:t>
      </w:r>
      <w:r>
        <w:t>s</w:t>
      </w:r>
      <w:r w:rsidRPr="007F3195">
        <w:t xml:space="preserve"> rather than the comparator of interest (OBR) and was only of short duration. </w:t>
      </w:r>
    </w:p>
    <w:p w14:paraId="1F9B839E" w14:textId="017CF81B" w:rsidR="00CC2233" w:rsidRPr="007F3195" w:rsidRDefault="00CC2233" w:rsidP="00CC2233">
      <w:pPr>
        <w:pStyle w:val="TableFigureHeading"/>
        <w:rPr>
          <w:rFonts w:eastAsia="Batang"/>
        </w:rPr>
      </w:pPr>
      <w:bookmarkStart w:id="33" w:name="_Ref112941880"/>
      <w:r w:rsidRPr="007F3195">
        <w:rPr>
          <w:rStyle w:val="CommentReference"/>
          <w:b/>
          <w:szCs w:val="24"/>
        </w:rPr>
        <w:t xml:space="preserve">Table </w:t>
      </w:r>
      <w:r w:rsidRPr="007F3195">
        <w:rPr>
          <w:rStyle w:val="CommentReference"/>
          <w:b/>
          <w:szCs w:val="24"/>
        </w:rPr>
        <w:fldChar w:fldCharType="begin"/>
      </w:r>
      <w:r w:rsidRPr="007F3195">
        <w:rPr>
          <w:rStyle w:val="CommentReference"/>
          <w:b/>
          <w:szCs w:val="24"/>
        </w:rPr>
        <w:instrText xml:space="preserve"> SEQ Table \* ARABIC </w:instrText>
      </w:r>
      <w:r w:rsidRPr="007F3195">
        <w:rPr>
          <w:rStyle w:val="CommentReference"/>
          <w:b/>
          <w:szCs w:val="24"/>
        </w:rPr>
        <w:fldChar w:fldCharType="separate"/>
      </w:r>
      <w:r w:rsidR="0050086F">
        <w:rPr>
          <w:rStyle w:val="CommentReference"/>
          <w:b/>
          <w:noProof/>
          <w:szCs w:val="24"/>
        </w:rPr>
        <w:t>4</w:t>
      </w:r>
      <w:r w:rsidRPr="007F3195">
        <w:rPr>
          <w:rStyle w:val="CommentReference"/>
          <w:b/>
          <w:szCs w:val="24"/>
        </w:rPr>
        <w:fldChar w:fldCharType="end"/>
      </w:r>
      <w:bookmarkEnd w:id="33"/>
      <w:r w:rsidRPr="007F3195">
        <w:rPr>
          <w:rStyle w:val="CommentReference"/>
          <w:b/>
          <w:szCs w:val="24"/>
        </w:rPr>
        <w:t xml:space="preserve">: </w:t>
      </w:r>
      <w:r w:rsidRPr="007F3195">
        <w:t>Primary outcome CAPELLA results Functional monotherapy period (FAS)</w:t>
      </w:r>
    </w:p>
    <w:tbl>
      <w:tblPr>
        <w:tblStyle w:val="TableGrid"/>
        <w:tblW w:w="5000" w:type="pct"/>
        <w:tblCellMar>
          <w:left w:w="29" w:type="dxa"/>
          <w:right w:w="29" w:type="dxa"/>
        </w:tblCellMar>
        <w:tblLook w:val="04A0" w:firstRow="1" w:lastRow="0" w:firstColumn="1" w:lastColumn="0" w:noHBand="0" w:noVBand="1"/>
      </w:tblPr>
      <w:tblGrid>
        <w:gridCol w:w="3398"/>
        <w:gridCol w:w="1417"/>
        <w:gridCol w:w="1275"/>
        <w:gridCol w:w="992"/>
        <w:gridCol w:w="1935"/>
      </w:tblGrid>
      <w:tr w:rsidR="00CC2233" w:rsidRPr="007F3195" w14:paraId="5C2E710F" w14:textId="77777777" w:rsidTr="00700BF0">
        <w:tc>
          <w:tcPr>
            <w:tcW w:w="1884" w:type="pct"/>
            <w:vMerge w:val="restart"/>
            <w:vAlign w:val="center"/>
          </w:tcPr>
          <w:p w14:paraId="2C151AA4" w14:textId="77777777" w:rsidR="00CC2233" w:rsidRPr="007F3195" w:rsidRDefault="00CC2233" w:rsidP="00700BF0">
            <w:pPr>
              <w:pStyle w:val="TableText0"/>
              <w:rPr>
                <w:b/>
                <w:bCs w:val="0"/>
              </w:rPr>
            </w:pPr>
            <w:r w:rsidRPr="007F3195">
              <w:rPr>
                <w:b/>
                <w:bCs w:val="0"/>
              </w:rPr>
              <w:t>Primary outcome</w:t>
            </w:r>
          </w:p>
        </w:tc>
        <w:tc>
          <w:tcPr>
            <w:tcW w:w="1493" w:type="pct"/>
            <w:gridSpan w:val="2"/>
            <w:vAlign w:val="center"/>
          </w:tcPr>
          <w:p w14:paraId="40ABE20A" w14:textId="77777777" w:rsidR="00CC2233" w:rsidRPr="007F3195" w:rsidRDefault="00CC2233" w:rsidP="00700BF0">
            <w:pPr>
              <w:pStyle w:val="TableText0"/>
              <w:jc w:val="center"/>
              <w:rPr>
                <w:b/>
                <w:bCs w:val="0"/>
              </w:rPr>
            </w:pPr>
            <w:r w:rsidRPr="007F3195">
              <w:rPr>
                <w:b/>
                <w:bCs w:val="0"/>
              </w:rPr>
              <w:t>Cohort 1</w:t>
            </w:r>
          </w:p>
        </w:tc>
        <w:tc>
          <w:tcPr>
            <w:tcW w:w="1623" w:type="pct"/>
            <w:gridSpan w:val="2"/>
            <w:vAlign w:val="center"/>
          </w:tcPr>
          <w:p w14:paraId="1D0B7905" w14:textId="77777777" w:rsidR="00CC2233" w:rsidRPr="007F3195" w:rsidRDefault="00CC2233" w:rsidP="00700BF0">
            <w:pPr>
              <w:pStyle w:val="TableText0"/>
              <w:jc w:val="center"/>
              <w:rPr>
                <w:b/>
                <w:bCs w:val="0"/>
              </w:rPr>
            </w:pPr>
            <w:r w:rsidRPr="007F3195">
              <w:rPr>
                <w:b/>
                <w:bCs w:val="0"/>
              </w:rPr>
              <w:t>LEN vs Placebo</w:t>
            </w:r>
          </w:p>
        </w:tc>
      </w:tr>
      <w:tr w:rsidR="00CC2233" w:rsidRPr="007F3195" w14:paraId="3FD9974D" w14:textId="77777777" w:rsidTr="00700BF0">
        <w:tc>
          <w:tcPr>
            <w:tcW w:w="1884" w:type="pct"/>
            <w:vMerge/>
            <w:vAlign w:val="center"/>
          </w:tcPr>
          <w:p w14:paraId="7CB427C9" w14:textId="77777777" w:rsidR="00CC2233" w:rsidRPr="007F3195" w:rsidRDefault="00CC2233" w:rsidP="00700BF0">
            <w:pPr>
              <w:pStyle w:val="TableText0"/>
            </w:pPr>
          </w:p>
        </w:tc>
        <w:tc>
          <w:tcPr>
            <w:tcW w:w="786" w:type="pct"/>
            <w:vAlign w:val="center"/>
          </w:tcPr>
          <w:p w14:paraId="266733F8" w14:textId="77777777" w:rsidR="00CC2233" w:rsidRPr="007F3195" w:rsidRDefault="00CC2233" w:rsidP="00700BF0">
            <w:pPr>
              <w:pStyle w:val="TableText0"/>
              <w:jc w:val="center"/>
              <w:rPr>
                <w:b/>
                <w:bCs w:val="0"/>
              </w:rPr>
            </w:pPr>
            <w:r w:rsidRPr="007F3195">
              <w:rPr>
                <w:b/>
                <w:bCs w:val="0"/>
              </w:rPr>
              <w:t>LEN (N=24)</w:t>
            </w:r>
          </w:p>
        </w:tc>
        <w:tc>
          <w:tcPr>
            <w:tcW w:w="707" w:type="pct"/>
            <w:vAlign w:val="center"/>
          </w:tcPr>
          <w:p w14:paraId="604184F0" w14:textId="77777777" w:rsidR="00CC2233" w:rsidRPr="007F3195" w:rsidRDefault="00CC2233" w:rsidP="00700BF0">
            <w:pPr>
              <w:pStyle w:val="TableText0"/>
              <w:jc w:val="center"/>
              <w:rPr>
                <w:b/>
                <w:bCs w:val="0"/>
              </w:rPr>
            </w:pPr>
            <w:r w:rsidRPr="007F3195">
              <w:rPr>
                <w:b/>
                <w:bCs w:val="0"/>
              </w:rPr>
              <w:t>Placebo (N=12)</w:t>
            </w:r>
          </w:p>
        </w:tc>
        <w:tc>
          <w:tcPr>
            <w:tcW w:w="550" w:type="pct"/>
            <w:vAlign w:val="center"/>
          </w:tcPr>
          <w:p w14:paraId="4C95CED7" w14:textId="77777777" w:rsidR="00CC2233" w:rsidRPr="007F3195" w:rsidRDefault="00CC2233" w:rsidP="00700BF0">
            <w:pPr>
              <w:pStyle w:val="TableText0"/>
              <w:jc w:val="center"/>
              <w:rPr>
                <w:b/>
                <w:bCs w:val="0"/>
              </w:rPr>
            </w:pPr>
            <w:r w:rsidRPr="007F3195">
              <w:rPr>
                <w:b/>
                <w:bCs w:val="0"/>
              </w:rPr>
              <w:t>P Value</w:t>
            </w:r>
          </w:p>
        </w:tc>
        <w:tc>
          <w:tcPr>
            <w:tcW w:w="1073" w:type="pct"/>
            <w:vAlign w:val="center"/>
          </w:tcPr>
          <w:p w14:paraId="2A2CFE46" w14:textId="77777777" w:rsidR="00CC2233" w:rsidRPr="007F3195" w:rsidRDefault="00CC2233" w:rsidP="00700BF0">
            <w:pPr>
              <w:pStyle w:val="TableText0"/>
              <w:jc w:val="center"/>
              <w:rPr>
                <w:b/>
                <w:bCs w:val="0"/>
              </w:rPr>
            </w:pPr>
            <w:r w:rsidRPr="007F3195">
              <w:rPr>
                <w:b/>
                <w:bCs w:val="0"/>
              </w:rPr>
              <w:t>Proportional Difference</w:t>
            </w:r>
          </w:p>
          <w:p w14:paraId="1B239A0D" w14:textId="77777777" w:rsidR="00CC2233" w:rsidRPr="007F3195" w:rsidRDefault="00CC2233" w:rsidP="00700BF0">
            <w:pPr>
              <w:pStyle w:val="TableText0"/>
              <w:jc w:val="center"/>
              <w:rPr>
                <w:b/>
                <w:bCs w:val="0"/>
              </w:rPr>
            </w:pPr>
            <w:r w:rsidRPr="007F3195">
              <w:rPr>
                <w:b/>
                <w:bCs w:val="0"/>
              </w:rPr>
              <w:t>(95% CI)</w:t>
            </w:r>
          </w:p>
        </w:tc>
      </w:tr>
      <w:tr w:rsidR="00CC2233" w:rsidRPr="007F3195" w14:paraId="20AEBEED" w14:textId="77777777" w:rsidTr="00700BF0">
        <w:tc>
          <w:tcPr>
            <w:tcW w:w="1884" w:type="pct"/>
            <w:vAlign w:val="center"/>
          </w:tcPr>
          <w:p w14:paraId="198E2FC1" w14:textId="77777777" w:rsidR="00CC2233" w:rsidRPr="007F3195" w:rsidRDefault="00CC2233" w:rsidP="00700BF0">
            <w:pPr>
              <w:pStyle w:val="TableText0"/>
            </w:pPr>
            <w:r w:rsidRPr="007F3195">
              <w:t>Patients achieving ≥ 0.5 log</w:t>
            </w:r>
            <w:r w:rsidRPr="007F3195">
              <w:rPr>
                <w:vertAlign w:val="subscript"/>
              </w:rPr>
              <w:t>10</w:t>
            </w:r>
            <w:r w:rsidRPr="007F3195">
              <w:t xml:space="preserve"> copies/mL reduction from baseline in HIV-1 RNA, n (%)</w:t>
            </w:r>
          </w:p>
        </w:tc>
        <w:tc>
          <w:tcPr>
            <w:tcW w:w="786" w:type="pct"/>
            <w:vAlign w:val="center"/>
          </w:tcPr>
          <w:p w14:paraId="42CA4A2A" w14:textId="77777777" w:rsidR="00CC2233" w:rsidRPr="007F3195" w:rsidRDefault="00CC2233" w:rsidP="00700BF0">
            <w:pPr>
              <w:pStyle w:val="TableText0"/>
              <w:jc w:val="center"/>
            </w:pPr>
            <w:r w:rsidRPr="007F3195">
              <w:t>21 (87.5)</w:t>
            </w:r>
          </w:p>
        </w:tc>
        <w:tc>
          <w:tcPr>
            <w:tcW w:w="707" w:type="pct"/>
            <w:vAlign w:val="center"/>
          </w:tcPr>
          <w:p w14:paraId="46722D58" w14:textId="77777777" w:rsidR="00CC2233" w:rsidRPr="007F3195" w:rsidRDefault="00CC2233" w:rsidP="00700BF0">
            <w:pPr>
              <w:pStyle w:val="TableText0"/>
              <w:jc w:val="center"/>
            </w:pPr>
            <w:r w:rsidRPr="007F3195">
              <w:t>2 (16.7)</w:t>
            </w:r>
          </w:p>
        </w:tc>
        <w:tc>
          <w:tcPr>
            <w:tcW w:w="550" w:type="pct"/>
            <w:vAlign w:val="center"/>
          </w:tcPr>
          <w:p w14:paraId="25425360" w14:textId="6038C22F" w:rsidR="00CC2233" w:rsidRPr="007F3195" w:rsidRDefault="00CC2233" w:rsidP="00700BF0">
            <w:pPr>
              <w:pStyle w:val="TableText0"/>
              <w:jc w:val="center"/>
              <w:rPr>
                <w:b/>
              </w:rPr>
            </w:pPr>
            <w:r w:rsidRPr="007F3195">
              <w:rPr>
                <w:b/>
              </w:rPr>
              <w:t>&lt;</w:t>
            </w:r>
            <w:r w:rsidR="00DF0DA6">
              <w:rPr>
                <w:b/>
              </w:rPr>
              <w:t xml:space="preserve"> </w:t>
            </w:r>
            <w:r w:rsidRPr="007F3195">
              <w:rPr>
                <w:b/>
              </w:rPr>
              <w:t>0.0001</w:t>
            </w:r>
          </w:p>
        </w:tc>
        <w:tc>
          <w:tcPr>
            <w:tcW w:w="1073" w:type="pct"/>
            <w:vAlign w:val="center"/>
          </w:tcPr>
          <w:p w14:paraId="7C854B82" w14:textId="77777777" w:rsidR="00CC2233" w:rsidRPr="007F3195" w:rsidRDefault="00CC2233" w:rsidP="00700BF0">
            <w:pPr>
              <w:pStyle w:val="TableText0"/>
              <w:jc w:val="center"/>
            </w:pPr>
            <w:r w:rsidRPr="007F3195">
              <w:t>70.8 (34.9, 90.0)</w:t>
            </w:r>
          </w:p>
        </w:tc>
      </w:tr>
    </w:tbl>
    <w:p w14:paraId="182762F8" w14:textId="77777777" w:rsidR="00CE00BD" w:rsidRPr="007F3195" w:rsidRDefault="00CC2233" w:rsidP="00CC2233">
      <w:pPr>
        <w:pStyle w:val="FooterTableFigure"/>
      </w:pPr>
      <w:r w:rsidRPr="007F3195">
        <w:t>Source: Table 2-26, p107 of the submission.</w:t>
      </w:r>
    </w:p>
    <w:p w14:paraId="6ADF57F2" w14:textId="75089BC2" w:rsidR="00CC2233" w:rsidRPr="007F3195" w:rsidRDefault="00CC2233" w:rsidP="00CC2233">
      <w:pPr>
        <w:pStyle w:val="FooterTableFigure"/>
        <w:rPr>
          <w:snapToGrid/>
          <w:color w:val="000000" w:themeColor="text1"/>
        </w:rPr>
      </w:pPr>
      <w:r w:rsidRPr="007F3195">
        <w:t xml:space="preserve">CI = confidence interval; </w:t>
      </w:r>
      <w:r w:rsidR="00620D9C">
        <w:t xml:space="preserve">FAS = full analysis set; </w:t>
      </w:r>
      <w:r w:rsidRPr="007F3195">
        <w:t>HIV = Human immun</w:t>
      </w:r>
      <w:r w:rsidR="00CB690C" w:rsidRPr="007F3195">
        <w:t>o</w:t>
      </w:r>
      <w:r w:rsidRPr="007F3195">
        <w:t>deficiency virus; LEN = lenacapavir; mL = millilitre; NR, not reported; RNA = ribonucleic acid.</w:t>
      </w:r>
    </w:p>
    <w:p w14:paraId="001005F6" w14:textId="3B200D5A" w:rsidR="00CC2233" w:rsidRPr="007F3195" w:rsidRDefault="00CC2233" w:rsidP="000E5C23">
      <w:pPr>
        <w:pStyle w:val="3-BodyText"/>
      </w:pPr>
      <w:r w:rsidRPr="007F3195">
        <w:t>The submission reported key secondary outcomes at Week 26 and Week 52 for each of the cohorts</w:t>
      </w:r>
      <w:r w:rsidR="00A135D5">
        <w:t>,</w:t>
      </w:r>
      <w:r w:rsidRPr="007F3195">
        <w:t xml:space="preserve"> including patients with viral load of &lt;</w:t>
      </w:r>
      <w:r w:rsidR="00A135D5">
        <w:t xml:space="preserve"> </w:t>
      </w:r>
      <w:r w:rsidRPr="007F3195">
        <w:t>50 copies/mL and &lt;</w:t>
      </w:r>
      <w:r w:rsidR="00A135D5">
        <w:t xml:space="preserve"> </w:t>
      </w:r>
      <w:r w:rsidRPr="007F3195">
        <w:t>200 copies/mL (FDA snapshot and missing</w:t>
      </w:r>
      <w:r w:rsidR="00A135D5">
        <w:t xml:space="preserve"> </w:t>
      </w:r>
      <w:r w:rsidRPr="007F3195">
        <w:t>=</w:t>
      </w:r>
      <w:r w:rsidR="00A135D5">
        <w:t xml:space="preserve"> </w:t>
      </w:r>
      <w:r w:rsidRPr="007F3195">
        <w:t>failure methodology) and CD4 mean change from baseline</w:t>
      </w:r>
      <w:r w:rsidR="002A7169">
        <w:t xml:space="preserve"> (</w:t>
      </w:r>
      <w:r w:rsidR="002A7169" w:rsidRPr="007F3195">
        <w:fldChar w:fldCharType="begin"/>
      </w:r>
      <w:r w:rsidR="002A7169" w:rsidRPr="007F3195">
        <w:instrText xml:space="preserve"> REF _Ref112942223 \h  \* MERGEFORMAT </w:instrText>
      </w:r>
      <w:r w:rsidR="002A7169" w:rsidRPr="007F3195">
        <w:fldChar w:fldCharType="separate"/>
      </w:r>
      <w:r w:rsidR="0050086F" w:rsidRPr="0050086F">
        <w:rPr>
          <w:rFonts w:eastAsiaTheme="majorEastAsia"/>
        </w:rPr>
        <w:t>Table 5</w:t>
      </w:r>
      <w:r w:rsidR="002A7169" w:rsidRPr="007F3195">
        <w:fldChar w:fldCharType="end"/>
      </w:r>
      <w:r w:rsidR="002A7169">
        <w:t>)</w:t>
      </w:r>
      <w:r w:rsidRPr="007F3195">
        <w:t xml:space="preserve">. The submission </w:t>
      </w:r>
      <w:r w:rsidR="00A135D5">
        <w:t>highlighted that</w:t>
      </w:r>
      <w:r w:rsidRPr="007F3195">
        <w:t xml:space="preserve"> across </w:t>
      </w:r>
      <w:r w:rsidR="00A135D5">
        <w:t>the</w:t>
      </w:r>
      <w:r w:rsidRPr="007F3195">
        <w:t xml:space="preserve"> secondary outcomes high response rates were maintained from Week 26 to Week 52 for both viral load suppression and improvements in CD4 </w:t>
      </w:r>
      <w:r w:rsidR="00A135D5">
        <w:t xml:space="preserve">cell </w:t>
      </w:r>
      <w:r w:rsidRPr="007F3195">
        <w:t>counts across all the study cohorts.</w:t>
      </w:r>
    </w:p>
    <w:p w14:paraId="01C14E97" w14:textId="0D44CAB7" w:rsidR="00CC2233" w:rsidRPr="007F3195" w:rsidRDefault="00CC2233" w:rsidP="00CC2233">
      <w:pPr>
        <w:pStyle w:val="3-BodyText"/>
      </w:pPr>
      <w:r w:rsidRPr="007F3195">
        <w:t>The submission considered that the majority of patients (78-88%) receiving lenacapavir + OBR maintained virologic suppression (&lt;</w:t>
      </w:r>
      <w:r w:rsidR="00DE155F" w:rsidRPr="007F3195">
        <w:t xml:space="preserve"> </w:t>
      </w:r>
      <w:r w:rsidRPr="007F3195">
        <w:t>50 copies/mL) through 52 weeks of treatment:</w:t>
      </w:r>
    </w:p>
    <w:p w14:paraId="6FF0AE60" w14:textId="5F79FC2A" w:rsidR="00CC2233" w:rsidRPr="007F3195" w:rsidRDefault="00CC2233" w:rsidP="00735FA4">
      <w:pPr>
        <w:pStyle w:val="ListParagraph"/>
        <w:numPr>
          <w:ilvl w:val="0"/>
          <w:numId w:val="8"/>
        </w:numPr>
        <w:ind w:left="1134" w:hanging="425"/>
      </w:pPr>
      <w:r w:rsidRPr="007F3195">
        <w:lastRenderedPageBreak/>
        <w:t xml:space="preserve">In </w:t>
      </w:r>
      <w:r w:rsidR="00C26E5B">
        <w:t xml:space="preserve">the </w:t>
      </w:r>
      <w:r w:rsidRPr="007F3195">
        <w:t>Cohort 1A population (patients initially randomised to lena</w:t>
      </w:r>
      <w:r w:rsidR="004D04E5" w:rsidRPr="007F3195">
        <w:t>c</w:t>
      </w:r>
      <w:r w:rsidRPr="007F3195">
        <w:t>ap</w:t>
      </w:r>
      <w:r w:rsidR="004D04E5" w:rsidRPr="007F3195">
        <w:t>a</w:t>
      </w:r>
      <w:r w:rsidRPr="007F3195">
        <w:t xml:space="preserve">vir in Cohort 1): </w:t>
      </w:r>
      <w:r w:rsidR="00531ECD" w:rsidRPr="007F3195">
        <w:t xml:space="preserve">21/24, or </w:t>
      </w:r>
      <w:r w:rsidRPr="007F3195">
        <w:t>87.5% (95% CI 67.6%</w:t>
      </w:r>
      <w:r w:rsidR="00DF0DA6">
        <w:t>,</w:t>
      </w:r>
      <w:r w:rsidRPr="007F3195">
        <w:t xml:space="preserve"> 97.3%).</w:t>
      </w:r>
    </w:p>
    <w:p w14:paraId="7F5E9738" w14:textId="65CBBCA2" w:rsidR="00CC2233" w:rsidRPr="007F3195" w:rsidRDefault="00CC2233" w:rsidP="00735FA4">
      <w:pPr>
        <w:pStyle w:val="ListParagraph"/>
        <w:numPr>
          <w:ilvl w:val="0"/>
          <w:numId w:val="8"/>
        </w:numPr>
        <w:ind w:left="1134" w:hanging="425"/>
      </w:pPr>
      <w:r w:rsidRPr="007F3195">
        <w:t xml:space="preserve">In Cohort 1 &amp; 2 combined: </w:t>
      </w:r>
      <w:r w:rsidR="00531ECD" w:rsidRPr="007F3195">
        <w:t xml:space="preserve">56/72, or </w:t>
      </w:r>
      <w:r w:rsidRPr="007F3195">
        <w:t>77.8% (95% CI 66.4%</w:t>
      </w:r>
      <w:r w:rsidR="00DF0DA6">
        <w:t>,</w:t>
      </w:r>
      <w:r w:rsidRPr="007F3195">
        <w:t xml:space="preserve"> 86.7%).</w:t>
      </w:r>
    </w:p>
    <w:p w14:paraId="7730C755" w14:textId="19BFAED4" w:rsidR="00CC2233" w:rsidRPr="00C4404D" w:rsidRDefault="00CC2233" w:rsidP="00CC2233">
      <w:pPr>
        <w:pStyle w:val="TableFigureHeading"/>
        <w:rPr>
          <w:rFonts w:eastAsia="Batang"/>
        </w:rPr>
      </w:pPr>
      <w:bookmarkStart w:id="34" w:name="_Ref112942223"/>
      <w:r w:rsidRPr="00C4404D">
        <w:rPr>
          <w:rStyle w:val="CommentReference"/>
          <w:b/>
          <w:szCs w:val="24"/>
        </w:rPr>
        <w:t xml:space="preserve">Table </w:t>
      </w:r>
      <w:r w:rsidRPr="00C4404D">
        <w:rPr>
          <w:rStyle w:val="CommentReference"/>
          <w:b/>
          <w:szCs w:val="24"/>
        </w:rPr>
        <w:fldChar w:fldCharType="begin"/>
      </w:r>
      <w:r w:rsidRPr="00C4404D">
        <w:rPr>
          <w:rStyle w:val="CommentReference"/>
          <w:b/>
          <w:szCs w:val="24"/>
        </w:rPr>
        <w:instrText xml:space="preserve"> SEQ Table \* ARABIC </w:instrText>
      </w:r>
      <w:r w:rsidRPr="00C4404D">
        <w:rPr>
          <w:rStyle w:val="CommentReference"/>
          <w:b/>
          <w:szCs w:val="24"/>
        </w:rPr>
        <w:fldChar w:fldCharType="separate"/>
      </w:r>
      <w:r w:rsidR="0050086F">
        <w:rPr>
          <w:rStyle w:val="CommentReference"/>
          <w:b/>
          <w:noProof/>
          <w:szCs w:val="24"/>
        </w:rPr>
        <w:t>5</w:t>
      </w:r>
      <w:r w:rsidRPr="00C4404D">
        <w:rPr>
          <w:rStyle w:val="CommentReference"/>
          <w:b/>
          <w:szCs w:val="24"/>
        </w:rPr>
        <w:fldChar w:fldCharType="end"/>
      </w:r>
      <w:bookmarkEnd w:id="34"/>
      <w:r w:rsidRPr="00C4404D">
        <w:rPr>
          <w:rStyle w:val="CommentReference"/>
          <w:b/>
          <w:szCs w:val="24"/>
        </w:rPr>
        <w:t xml:space="preserve">: </w:t>
      </w:r>
      <w:r w:rsidRPr="00C4404D">
        <w:t>Key secondary efficacy outcomes (Week 26, Week 52; FAS)</w:t>
      </w:r>
    </w:p>
    <w:tbl>
      <w:tblPr>
        <w:tblStyle w:val="TableGrid"/>
        <w:tblW w:w="4938" w:type="pct"/>
        <w:tblCellMar>
          <w:left w:w="29" w:type="dxa"/>
          <w:right w:w="29" w:type="dxa"/>
        </w:tblCellMar>
        <w:tblLook w:val="0620" w:firstRow="1" w:lastRow="0" w:firstColumn="0" w:lastColumn="0" w:noHBand="1" w:noVBand="1"/>
      </w:tblPr>
      <w:tblGrid>
        <w:gridCol w:w="2601"/>
        <w:gridCol w:w="842"/>
        <w:gridCol w:w="1075"/>
        <w:gridCol w:w="1164"/>
        <w:gridCol w:w="1073"/>
        <w:gridCol w:w="1044"/>
        <w:gridCol w:w="1106"/>
      </w:tblGrid>
      <w:tr w:rsidR="00CC2233" w:rsidRPr="00C4404D" w14:paraId="0276624A" w14:textId="77777777" w:rsidTr="00E30033">
        <w:trPr>
          <w:trHeight w:val="20"/>
        </w:trPr>
        <w:tc>
          <w:tcPr>
            <w:tcW w:w="1464" w:type="pct"/>
            <w:vAlign w:val="center"/>
            <w:hideMark/>
          </w:tcPr>
          <w:p w14:paraId="255C078F" w14:textId="77777777" w:rsidR="00CC2233" w:rsidRPr="00C4404D" w:rsidRDefault="00CC2233" w:rsidP="00700BF0">
            <w:pPr>
              <w:pStyle w:val="In-tableHeading"/>
              <w:rPr>
                <w:lang w:val="en-AU"/>
              </w:rPr>
            </w:pPr>
            <w:r w:rsidRPr="00C4404D">
              <w:rPr>
                <w:lang w:val="en-AU"/>
              </w:rPr>
              <w:t>Outcome</w:t>
            </w:r>
          </w:p>
        </w:tc>
        <w:tc>
          <w:tcPr>
            <w:tcW w:w="453" w:type="pct"/>
          </w:tcPr>
          <w:p w14:paraId="569AC034" w14:textId="77777777" w:rsidR="00CC2233" w:rsidRPr="00C4404D" w:rsidRDefault="00CC2233" w:rsidP="00700BF0">
            <w:pPr>
              <w:pStyle w:val="In-tableHeading"/>
              <w:jc w:val="center"/>
              <w:rPr>
                <w:lang w:val="en-AU"/>
              </w:rPr>
            </w:pPr>
            <w:r w:rsidRPr="00C4404D">
              <w:rPr>
                <w:lang w:val="en-AU"/>
              </w:rPr>
              <w:t>Timepoint</w:t>
            </w:r>
          </w:p>
        </w:tc>
        <w:tc>
          <w:tcPr>
            <w:tcW w:w="607" w:type="pct"/>
            <w:hideMark/>
          </w:tcPr>
          <w:p w14:paraId="09CC8122" w14:textId="77777777" w:rsidR="00CC2233" w:rsidRPr="00C4404D" w:rsidRDefault="00CC2233" w:rsidP="00700BF0">
            <w:pPr>
              <w:pStyle w:val="In-tableHeading"/>
              <w:jc w:val="center"/>
              <w:rPr>
                <w:lang w:val="en-AU"/>
              </w:rPr>
            </w:pPr>
            <w:r w:rsidRPr="00C4404D">
              <w:rPr>
                <w:lang w:val="en-AU"/>
              </w:rPr>
              <w:t>Cohort 1A</w:t>
            </w:r>
          </w:p>
          <w:p w14:paraId="05829A98" w14:textId="77777777" w:rsidR="00CC2233" w:rsidRPr="00C4404D" w:rsidRDefault="00CC2233" w:rsidP="00700BF0">
            <w:pPr>
              <w:pStyle w:val="In-tableHeading"/>
              <w:jc w:val="center"/>
              <w:rPr>
                <w:lang w:val="en-AU"/>
              </w:rPr>
            </w:pPr>
            <w:r w:rsidRPr="00C4404D">
              <w:rPr>
                <w:lang w:val="en-AU"/>
              </w:rPr>
              <w:t>LEN + OBR</w:t>
            </w:r>
          </w:p>
          <w:p w14:paraId="7E717742" w14:textId="77777777" w:rsidR="00CC2233" w:rsidRPr="00C4404D" w:rsidRDefault="00CC2233" w:rsidP="00700BF0">
            <w:pPr>
              <w:pStyle w:val="In-tableHeading"/>
              <w:jc w:val="center"/>
              <w:rPr>
                <w:lang w:val="en-AU"/>
              </w:rPr>
            </w:pPr>
            <w:r w:rsidRPr="00C4404D">
              <w:rPr>
                <w:lang w:val="en-AU"/>
              </w:rPr>
              <w:t>(N=24)</w:t>
            </w:r>
          </w:p>
        </w:tc>
        <w:tc>
          <w:tcPr>
            <w:tcW w:w="657" w:type="pct"/>
          </w:tcPr>
          <w:p w14:paraId="61F90819" w14:textId="77777777" w:rsidR="00CC2233" w:rsidRPr="00C4404D" w:rsidRDefault="00CC2233" w:rsidP="00700BF0">
            <w:pPr>
              <w:pStyle w:val="In-tableHeading"/>
              <w:jc w:val="center"/>
              <w:rPr>
                <w:rFonts w:eastAsia="MS PGothic"/>
                <w:lang w:val="en-AU"/>
              </w:rPr>
            </w:pPr>
            <w:r w:rsidRPr="00C4404D">
              <w:rPr>
                <w:rFonts w:eastAsia="MS PGothic"/>
                <w:lang w:val="en-AU"/>
              </w:rPr>
              <w:t>Cohort 1B</w:t>
            </w:r>
          </w:p>
          <w:p w14:paraId="29B8A14B" w14:textId="77777777" w:rsidR="00CC2233" w:rsidRPr="00C4404D" w:rsidRDefault="00CC2233" w:rsidP="00700BF0">
            <w:pPr>
              <w:pStyle w:val="In-tableHeading"/>
              <w:jc w:val="center"/>
              <w:rPr>
                <w:rFonts w:eastAsia="MS PGothic"/>
                <w:lang w:val="en-AU"/>
              </w:rPr>
            </w:pPr>
            <w:r w:rsidRPr="00C4404D">
              <w:rPr>
                <w:rFonts w:eastAsia="MS PGothic"/>
                <w:lang w:val="en-AU"/>
              </w:rPr>
              <w:t xml:space="preserve">Placebo </w:t>
            </w:r>
            <w:r w:rsidRPr="00C4404D">
              <w:rPr>
                <w:rFonts w:eastAsia="MS PGothic"/>
                <w:lang w:val="en-AU"/>
              </w:rPr>
              <w:sym w:font="Symbol" w:char="F0AE"/>
            </w:r>
            <w:r w:rsidRPr="00C4404D">
              <w:rPr>
                <w:rFonts w:eastAsia="MS PGothic"/>
                <w:lang w:val="en-AU"/>
              </w:rPr>
              <w:t xml:space="preserve"> LEN + OBR</w:t>
            </w:r>
          </w:p>
          <w:p w14:paraId="2B10778A" w14:textId="77777777" w:rsidR="00CC2233" w:rsidRPr="00C4404D" w:rsidRDefault="00CC2233" w:rsidP="00700BF0">
            <w:pPr>
              <w:pStyle w:val="In-tableHeading"/>
              <w:jc w:val="center"/>
              <w:rPr>
                <w:rFonts w:eastAsia="MS PGothic"/>
                <w:lang w:val="en-AU"/>
              </w:rPr>
            </w:pPr>
            <w:r w:rsidRPr="00C4404D">
              <w:rPr>
                <w:rFonts w:eastAsia="MS PGothic"/>
                <w:lang w:val="en-AU"/>
              </w:rPr>
              <w:t>(N=12)</w:t>
            </w:r>
          </w:p>
        </w:tc>
        <w:tc>
          <w:tcPr>
            <w:tcW w:w="606" w:type="pct"/>
          </w:tcPr>
          <w:p w14:paraId="31C6B2F0" w14:textId="77777777" w:rsidR="00CC2233" w:rsidRPr="00C4404D" w:rsidRDefault="00CC2233" w:rsidP="00700BF0">
            <w:pPr>
              <w:pStyle w:val="In-tableHeading"/>
              <w:jc w:val="center"/>
              <w:rPr>
                <w:lang w:val="en-AU"/>
              </w:rPr>
            </w:pPr>
            <w:r w:rsidRPr="00C4404D">
              <w:rPr>
                <w:lang w:val="en-AU"/>
              </w:rPr>
              <w:t>Cohort 1 (1A &amp; 1B)</w:t>
            </w:r>
          </w:p>
          <w:p w14:paraId="2ECB77CE" w14:textId="77777777" w:rsidR="00CC2233" w:rsidRPr="00C4404D" w:rsidRDefault="00CC2233" w:rsidP="00700BF0">
            <w:pPr>
              <w:pStyle w:val="In-tableHeading"/>
              <w:jc w:val="center"/>
              <w:rPr>
                <w:lang w:val="en-AU"/>
              </w:rPr>
            </w:pPr>
            <w:r w:rsidRPr="00C4404D">
              <w:rPr>
                <w:lang w:val="en-AU"/>
              </w:rPr>
              <w:t>All LEN + OBR (N=36)</w:t>
            </w:r>
          </w:p>
        </w:tc>
        <w:tc>
          <w:tcPr>
            <w:tcW w:w="589" w:type="pct"/>
            <w:hideMark/>
          </w:tcPr>
          <w:p w14:paraId="4EBFF2C6" w14:textId="77777777" w:rsidR="00CC2233" w:rsidRPr="00C4404D" w:rsidRDefault="00CC2233" w:rsidP="00700BF0">
            <w:pPr>
              <w:pStyle w:val="In-tableHeading"/>
              <w:jc w:val="center"/>
              <w:rPr>
                <w:rFonts w:eastAsia="MS PGothic"/>
                <w:lang w:val="en-AU"/>
              </w:rPr>
            </w:pPr>
            <w:r w:rsidRPr="00C4404D">
              <w:rPr>
                <w:rFonts w:eastAsia="MS PGothic"/>
                <w:lang w:val="en-AU"/>
              </w:rPr>
              <w:t>Cohort 2</w:t>
            </w:r>
          </w:p>
          <w:p w14:paraId="34D18713" w14:textId="77777777" w:rsidR="00CC2233" w:rsidRPr="00C4404D" w:rsidRDefault="00CC2233" w:rsidP="00700BF0">
            <w:pPr>
              <w:pStyle w:val="In-tableHeading"/>
              <w:jc w:val="center"/>
              <w:rPr>
                <w:rFonts w:eastAsia="MS PGothic"/>
                <w:lang w:val="en-AU"/>
              </w:rPr>
            </w:pPr>
            <w:r w:rsidRPr="00C4404D">
              <w:rPr>
                <w:rFonts w:eastAsia="MS PGothic"/>
                <w:lang w:val="en-AU"/>
              </w:rPr>
              <w:t>LEN + OBR</w:t>
            </w:r>
          </w:p>
          <w:p w14:paraId="6537A204" w14:textId="77777777" w:rsidR="00CC2233" w:rsidRPr="00C4404D" w:rsidRDefault="00CC2233" w:rsidP="00700BF0">
            <w:pPr>
              <w:pStyle w:val="In-tableHeading"/>
              <w:jc w:val="center"/>
              <w:rPr>
                <w:lang w:val="en-AU"/>
              </w:rPr>
            </w:pPr>
            <w:r w:rsidRPr="00C4404D">
              <w:rPr>
                <w:rFonts w:eastAsia="MS PGothic"/>
                <w:lang w:val="en-AU"/>
              </w:rPr>
              <w:t>(N=36)</w:t>
            </w:r>
          </w:p>
        </w:tc>
        <w:tc>
          <w:tcPr>
            <w:tcW w:w="624" w:type="pct"/>
            <w:hideMark/>
          </w:tcPr>
          <w:p w14:paraId="224F638C" w14:textId="77777777" w:rsidR="00CC2233" w:rsidRPr="00C4404D" w:rsidRDefault="00CC2233" w:rsidP="00700BF0">
            <w:pPr>
              <w:pStyle w:val="In-tableHeading"/>
              <w:jc w:val="center"/>
              <w:rPr>
                <w:rFonts w:eastAsia="MS PGothic"/>
                <w:lang w:val="en-AU"/>
              </w:rPr>
            </w:pPr>
            <w:r w:rsidRPr="00C4404D">
              <w:rPr>
                <w:rFonts w:eastAsia="MS PGothic"/>
                <w:lang w:val="en-AU"/>
              </w:rPr>
              <w:t>Cohort 1 &amp; 2 combined</w:t>
            </w:r>
          </w:p>
          <w:p w14:paraId="5AAAC182" w14:textId="77777777" w:rsidR="00CC2233" w:rsidRPr="00C4404D" w:rsidRDefault="00CC2233" w:rsidP="00700BF0">
            <w:pPr>
              <w:pStyle w:val="In-tableHeading"/>
              <w:jc w:val="center"/>
              <w:rPr>
                <w:rFonts w:eastAsia="MS PGothic"/>
                <w:lang w:val="en-AU"/>
              </w:rPr>
            </w:pPr>
            <w:r w:rsidRPr="00C4404D">
              <w:rPr>
                <w:rFonts w:eastAsia="MS PGothic"/>
                <w:lang w:val="en-AU"/>
              </w:rPr>
              <w:t>LEN + OBR</w:t>
            </w:r>
          </w:p>
          <w:p w14:paraId="63CE7549" w14:textId="77777777" w:rsidR="00CC2233" w:rsidRPr="00C4404D" w:rsidRDefault="00CC2233" w:rsidP="00700BF0">
            <w:pPr>
              <w:pStyle w:val="In-tableHeading"/>
              <w:jc w:val="center"/>
              <w:rPr>
                <w:lang w:val="en-AU"/>
              </w:rPr>
            </w:pPr>
            <w:r w:rsidRPr="00C4404D">
              <w:rPr>
                <w:rFonts w:eastAsia="MS PGothic"/>
                <w:lang w:val="en-AU"/>
              </w:rPr>
              <w:t>(N=72)</w:t>
            </w:r>
          </w:p>
        </w:tc>
      </w:tr>
      <w:tr w:rsidR="00CC2233" w:rsidRPr="00C4404D" w14:paraId="194F8B38" w14:textId="77777777" w:rsidTr="00E30033">
        <w:trPr>
          <w:trHeight w:val="20"/>
        </w:trPr>
        <w:tc>
          <w:tcPr>
            <w:tcW w:w="1464" w:type="pct"/>
            <w:vAlign w:val="center"/>
          </w:tcPr>
          <w:p w14:paraId="12A57286" w14:textId="77777777" w:rsidR="00CC2233" w:rsidRPr="00C4404D" w:rsidRDefault="00CC2233" w:rsidP="00700BF0">
            <w:pPr>
              <w:pStyle w:val="TableText0"/>
              <w:rPr>
                <w:b/>
                <w:bCs w:val="0"/>
              </w:rPr>
            </w:pPr>
            <w:r w:rsidRPr="00C4404D">
              <w:rPr>
                <w:b/>
                <w:bCs w:val="0"/>
              </w:rPr>
              <w:t>Viral load</w:t>
            </w:r>
          </w:p>
        </w:tc>
        <w:tc>
          <w:tcPr>
            <w:tcW w:w="453" w:type="pct"/>
          </w:tcPr>
          <w:p w14:paraId="702736A7" w14:textId="77777777" w:rsidR="00CC2233" w:rsidRPr="00C4404D" w:rsidRDefault="00CC2233" w:rsidP="00700BF0">
            <w:pPr>
              <w:pStyle w:val="TableText0"/>
              <w:rPr>
                <w:rFonts w:eastAsia="MS PGothic"/>
                <w:b/>
                <w:bCs w:val="0"/>
              </w:rPr>
            </w:pPr>
          </w:p>
        </w:tc>
        <w:tc>
          <w:tcPr>
            <w:tcW w:w="607" w:type="pct"/>
          </w:tcPr>
          <w:p w14:paraId="2B688973" w14:textId="77777777" w:rsidR="00CC2233" w:rsidRPr="00C4404D" w:rsidRDefault="00CC2233" w:rsidP="00700BF0">
            <w:pPr>
              <w:pStyle w:val="TableText0"/>
              <w:rPr>
                <w:rFonts w:eastAsia="MS PGothic"/>
                <w:b/>
                <w:bCs w:val="0"/>
              </w:rPr>
            </w:pPr>
          </w:p>
        </w:tc>
        <w:tc>
          <w:tcPr>
            <w:tcW w:w="657" w:type="pct"/>
          </w:tcPr>
          <w:p w14:paraId="646DC017" w14:textId="77777777" w:rsidR="00CC2233" w:rsidRPr="00C4404D" w:rsidRDefault="00CC2233" w:rsidP="00700BF0">
            <w:pPr>
              <w:pStyle w:val="TableText0"/>
              <w:rPr>
                <w:rFonts w:eastAsia="MS PGothic"/>
                <w:b/>
                <w:bCs w:val="0"/>
              </w:rPr>
            </w:pPr>
          </w:p>
        </w:tc>
        <w:tc>
          <w:tcPr>
            <w:tcW w:w="606" w:type="pct"/>
          </w:tcPr>
          <w:p w14:paraId="616F1EDA" w14:textId="77777777" w:rsidR="00CC2233" w:rsidRPr="00C4404D" w:rsidRDefault="00CC2233" w:rsidP="00700BF0">
            <w:pPr>
              <w:pStyle w:val="TableText0"/>
              <w:rPr>
                <w:b/>
                <w:bCs w:val="0"/>
              </w:rPr>
            </w:pPr>
          </w:p>
        </w:tc>
        <w:tc>
          <w:tcPr>
            <w:tcW w:w="589" w:type="pct"/>
          </w:tcPr>
          <w:p w14:paraId="7EFF6BA1" w14:textId="77777777" w:rsidR="00CC2233" w:rsidRPr="00C4404D" w:rsidRDefault="00CC2233" w:rsidP="00700BF0">
            <w:pPr>
              <w:pStyle w:val="TableText0"/>
              <w:rPr>
                <w:rFonts w:eastAsia="MS PGothic"/>
                <w:b/>
                <w:bCs w:val="0"/>
              </w:rPr>
            </w:pPr>
          </w:p>
        </w:tc>
        <w:tc>
          <w:tcPr>
            <w:tcW w:w="624" w:type="pct"/>
          </w:tcPr>
          <w:p w14:paraId="27D108E9" w14:textId="77777777" w:rsidR="00CC2233" w:rsidRPr="00C4404D" w:rsidRDefault="00CC2233" w:rsidP="00700BF0">
            <w:pPr>
              <w:pStyle w:val="TableText0"/>
              <w:rPr>
                <w:rFonts w:eastAsia="MS PGothic"/>
                <w:b/>
                <w:bCs w:val="0"/>
              </w:rPr>
            </w:pPr>
          </w:p>
        </w:tc>
      </w:tr>
      <w:tr w:rsidR="00CC2233" w:rsidRPr="00C4404D" w14:paraId="178806BA" w14:textId="77777777" w:rsidTr="00E30033">
        <w:trPr>
          <w:trHeight w:val="20"/>
        </w:trPr>
        <w:tc>
          <w:tcPr>
            <w:tcW w:w="1464" w:type="pct"/>
            <w:vMerge w:val="restart"/>
            <w:vAlign w:val="center"/>
          </w:tcPr>
          <w:p w14:paraId="1B9C9C24" w14:textId="1451843E" w:rsidR="00CC2233" w:rsidRPr="00C4404D" w:rsidRDefault="00CC2233" w:rsidP="00700BF0">
            <w:pPr>
              <w:pStyle w:val="TableText0"/>
            </w:pPr>
            <w:r w:rsidRPr="00C4404D">
              <w:t>Patients with viral load &lt;</w:t>
            </w:r>
            <w:r w:rsidR="00FE5E4F">
              <w:t xml:space="preserve"> </w:t>
            </w:r>
            <w:r w:rsidRPr="00C4404D">
              <w:t>50 copies/mL: US FDA-defined snapshot method, n (%) (95% CI)</w:t>
            </w:r>
          </w:p>
        </w:tc>
        <w:tc>
          <w:tcPr>
            <w:tcW w:w="453" w:type="pct"/>
            <w:vAlign w:val="center"/>
          </w:tcPr>
          <w:p w14:paraId="621EDEC7" w14:textId="77777777" w:rsidR="00CC2233" w:rsidRPr="00C4404D" w:rsidRDefault="00CC2233" w:rsidP="00700BF0">
            <w:pPr>
              <w:pStyle w:val="TableText0"/>
              <w:rPr>
                <w:rFonts w:eastAsia="MS PGothic"/>
              </w:rPr>
            </w:pPr>
            <w:r w:rsidRPr="00C4404D">
              <w:rPr>
                <w:rFonts w:eastAsia="MS PGothic"/>
              </w:rPr>
              <w:t>Week 26</w:t>
            </w:r>
          </w:p>
        </w:tc>
        <w:tc>
          <w:tcPr>
            <w:tcW w:w="607" w:type="pct"/>
            <w:vAlign w:val="center"/>
          </w:tcPr>
          <w:p w14:paraId="55555FFE" w14:textId="77777777" w:rsidR="00CC2233" w:rsidRPr="00C4404D" w:rsidRDefault="00CC2233" w:rsidP="00700BF0">
            <w:pPr>
              <w:pStyle w:val="TableText0"/>
              <w:jc w:val="center"/>
              <w:rPr>
                <w:rFonts w:eastAsia="MS PGothic"/>
              </w:rPr>
            </w:pPr>
            <w:r w:rsidRPr="00C4404D">
              <w:rPr>
                <w:rFonts w:eastAsia="MS PGothic"/>
              </w:rPr>
              <w:t>21 (87.5)</w:t>
            </w:r>
          </w:p>
          <w:p w14:paraId="47507C19" w14:textId="164AF932" w:rsidR="00CC2233" w:rsidRPr="00C4404D" w:rsidRDefault="00CC2233" w:rsidP="00700BF0">
            <w:pPr>
              <w:pStyle w:val="TableText0"/>
              <w:jc w:val="center"/>
              <w:rPr>
                <w:rFonts w:eastAsia="MS PGothic"/>
              </w:rPr>
            </w:pPr>
            <w:r w:rsidRPr="00C4404D">
              <w:rPr>
                <w:rFonts w:eastAsia="MS PGothic"/>
              </w:rPr>
              <w:t>(67.6</w:t>
            </w:r>
            <w:r w:rsidR="00FE5E4F">
              <w:rPr>
                <w:rFonts w:eastAsia="MS PGothic"/>
              </w:rPr>
              <w:t>,</w:t>
            </w:r>
            <w:r w:rsidRPr="00C4404D">
              <w:rPr>
                <w:rFonts w:eastAsia="MS PGothic"/>
              </w:rPr>
              <w:t xml:space="preserve"> 97.3)</w:t>
            </w:r>
          </w:p>
        </w:tc>
        <w:tc>
          <w:tcPr>
            <w:tcW w:w="657" w:type="pct"/>
            <w:vAlign w:val="center"/>
          </w:tcPr>
          <w:p w14:paraId="75B5A957" w14:textId="77777777" w:rsidR="00CC2233" w:rsidRPr="00C4404D" w:rsidRDefault="00CC2233" w:rsidP="00700BF0">
            <w:pPr>
              <w:pStyle w:val="TableText0"/>
              <w:jc w:val="center"/>
              <w:rPr>
                <w:rFonts w:eastAsia="MS PGothic"/>
              </w:rPr>
            </w:pPr>
            <w:r w:rsidRPr="00C4404D">
              <w:rPr>
                <w:rFonts w:eastAsia="MS PGothic"/>
              </w:rPr>
              <w:t>8 (66.7)</w:t>
            </w:r>
          </w:p>
          <w:p w14:paraId="552E5BC6" w14:textId="5546AF41" w:rsidR="00CC2233" w:rsidRPr="00C4404D" w:rsidRDefault="00CC2233" w:rsidP="00700BF0">
            <w:pPr>
              <w:pStyle w:val="TableText0"/>
              <w:jc w:val="center"/>
              <w:rPr>
                <w:rFonts w:eastAsia="MS PGothic"/>
              </w:rPr>
            </w:pPr>
            <w:r w:rsidRPr="00C4404D">
              <w:rPr>
                <w:rFonts w:eastAsia="MS PGothic"/>
              </w:rPr>
              <w:t>(34.9</w:t>
            </w:r>
            <w:r w:rsidR="00FE5E4F">
              <w:rPr>
                <w:rFonts w:eastAsia="MS PGothic"/>
              </w:rPr>
              <w:t>,</w:t>
            </w:r>
            <w:r w:rsidRPr="00C4404D">
              <w:rPr>
                <w:rFonts w:eastAsia="MS PGothic"/>
              </w:rPr>
              <w:t xml:space="preserve"> 90.1)</w:t>
            </w:r>
          </w:p>
        </w:tc>
        <w:tc>
          <w:tcPr>
            <w:tcW w:w="606" w:type="pct"/>
            <w:vAlign w:val="center"/>
          </w:tcPr>
          <w:p w14:paraId="6E83ADCB" w14:textId="77777777" w:rsidR="00CC2233" w:rsidRPr="00C4404D" w:rsidRDefault="00CC2233" w:rsidP="00700BF0">
            <w:pPr>
              <w:pStyle w:val="TableText0"/>
              <w:jc w:val="center"/>
            </w:pPr>
            <w:r w:rsidRPr="00C4404D">
              <w:t>29 (80.6)</w:t>
            </w:r>
          </w:p>
          <w:p w14:paraId="4CAF300B" w14:textId="13BE4461" w:rsidR="00CC2233" w:rsidRPr="00C4404D" w:rsidRDefault="00CC2233" w:rsidP="00700BF0">
            <w:pPr>
              <w:pStyle w:val="TableText0"/>
              <w:jc w:val="center"/>
            </w:pPr>
            <w:r w:rsidRPr="00C4404D">
              <w:t>(64.0</w:t>
            </w:r>
            <w:r w:rsidR="00FE5E4F">
              <w:t>,</w:t>
            </w:r>
            <w:r w:rsidRPr="00C4404D">
              <w:t xml:space="preserve"> 91.8)</w:t>
            </w:r>
          </w:p>
        </w:tc>
        <w:tc>
          <w:tcPr>
            <w:tcW w:w="589" w:type="pct"/>
            <w:vAlign w:val="center"/>
          </w:tcPr>
          <w:p w14:paraId="77D2F407" w14:textId="77777777" w:rsidR="00CC2233" w:rsidRPr="00C4404D" w:rsidRDefault="00CC2233" w:rsidP="00700BF0">
            <w:pPr>
              <w:pStyle w:val="TableText0"/>
              <w:jc w:val="center"/>
              <w:rPr>
                <w:rFonts w:eastAsia="MS PGothic"/>
              </w:rPr>
            </w:pPr>
            <w:r w:rsidRPr="00C4404D">
              <w:rPr>
                <w:rFonts w:eastAsia="MS PGothic"/>
              </w:rPr>
              <w:t>30 (83)</w:t>
            </w:r>
          </w:p>
          <w:p w14:paraId="72E8AF2B" w14:textId="05520912" w:rsidR="00CC2233" w:rsidRPr="00C4404D" w:rsidRDefault="00CC2233" w:rsidP="00700BF0">
            <w:pPr>
              <w:pStyle w:val="TableText0"/>
              <w:jc w:val="center"/>
              <w:rPr>
                <w:rFonts w:eastAsia="MS PGothic"/>
              </w:rPr>
            </w:pPr>
            <w:r w:rsidRPr="00C4404D">
              <w:rPr>
                <w:rFonts w:eastAsia="MS PGothic"/>
              </w:rPr>
              <w:t>(67</w:t>
            </w:r>
            <w:r w:rsidR="00FE5E4F">
              <w:rPr>
                <w:rFonts w:eastAsia="MS PGothic"/>
              </w:rPr>
              <w:t>,</w:t>
            </w:r>
            <w:r w:rsidRPr="00C4404D">
              <w:rPr>
                <w:rFonts w:eastAsia="MS PGothic"/>
              </w:rPr>
              <w:t xml:space="preserve"> 94)</w:t>
            </w:r>
          </w:p>
        </w:tc>
        <w:tc>
          <w:tcPr>
            <w:tcW w:w="624" w:type="pct"/>
            <w:vAlign w:val="center"/>
          </w:tcPr>
          <w:p w14:paraId="639503EC" w14:textId="77777777" w:rsidR="00CC2233" w:rsidRPr="00C4404D" w:rsidRDefault="00CC2233" w:rsidP="00700BF0">
            <w:pPr>
              <w:pStyle w:val="TableText0"/>
              <w:jc w:val="center"/>
              <w:rPr>
                <w:rFonts w:eastAsia="MS PGothic"/>
              </w:rPr>
            </w:pPr>
            <w:r w:rsidRPr="00C4404D">
              <w:rPr>
                <w:rFonts w:eastAsia="MS PGothic"/>
              </w:rPr>
              <w:t>59 (82)</w:t>
            </w:r>
          </w:p>
          <w:p w14:paraId="66C465F3" w14:textId="3732A41F" w:rsidR="00CC2233" w:rsidRPr="00C4404D" w:rsidRDefault="00CC2233" w:rsidP="00700BF0">
            <w:pPr>
              <w:pStyle w:val="TableText0"/>
              <w:jc w:val="center"/>
              <w:rPr>
                <w:rFonts w:eastAsia="MS PGothic"/>
              </w:rPr>
            </w:pPr>
            <w:r w:rsidRPr="00C4404D">
              <w:rPr>
                <w:rFonts w:eastAsia="MS PGothic"/>
              </w:rPr>
              <w:t>(71</w:t>
            </w:r>
            <w:r w:rsidR="00FE5E4F">
              <w:rPr>
                <w:rFonts w:eastAsia="MS PGothic"/>
              </w:rPr>
              <w:t>,</w:t>
            </w:r>
            <w:r w:rsidRPr="00C4404D">
              <w:rPr>
                <w:rFonts w:eastAsia="MS PGothic"/>
              </w:rPr>
              <w:t xml:space="preserve"> 90)</w:t>
            </w:r>
          </w:p>
        </w:tc>
      </w:tr>
      <w:tr w:rsidR="00CC2233" w:rsidRPr="00C4404D" w14:paraId="3FEC96C3" w14:textId="77777777" w:rsidTr="00E30033">
        <w:trPr>
          <w:trHeight w:val="20"/>
        </w:trPr>
        <w:tc>
          <w:tcPr>
            <w:tcW w:w="1464" w:type="pct"/>
            <w:vMerge/>
            <w:vAlign w:val="center"/>
          </w:tcPr>
          <w:p w14:paraId="5876D32D" w14:textId="77777777" w:rsidR="00CC2233" w:rsidRPr="00C4404D" w:rsidRDefault="00CC2233" w:rsidP="00700BF0">
            <w:pPr>
              <w:pStyle w:val="TableText0"/>
            </w:pPr>
          </w:p>
        </w:tc>
        <w:tc>
          <w:tcPr>
            <w:tcW w:w="453" w:type="pct"/>
            <w:vAlign w:val="center"/>
          </w:tcPr>
          <w:p w14:paraId="61905BBC" w14:textId="77777777" w:rsidR="00CC2233" w:rsidRPr="00C4404D" w:rsidRDefault="00CC2233" w:rsidP="00700BF0">
            <w:pPr>
              <w:pStyle w:val="TableText0"/>
              <w:rPr>
                <w:rFonts w:eastAsia="MS PGothic"/>
              </w:rPr>
            </w:pPr>
            <w:r w:rsidRPr="00C4404D">
              <w:rPr>
                <w:rFonts w:eastAsia="MS PGothic"/>
              </w:rPr>
              <w:t>Week 52</w:t>
            </w:r>
          </w:p>
        </w:tc>
        <w:tc>
          <w:tcPr>
            <w:tcW w:w="607" w:type="pct"/>
            <w:vAlign w:val="center"/>
          </w:tcPr>
          <w:p w14:paraId="7A1C14D5" w14:textId="77777777" w:rsidR="00CC2233" w:rsidRPr="00C4404D" w:rsidRDefault="00CC2233" w:rsidP="00700BF0">
            <w:pPr>
              <w:pStyle w:val="TableText0"/>
              <w:jc w:val="center"/>
              <w:rPr>
                <w:rFonts w:eastAsia="MS PGothic"/>
              </w:rPr>
            </w:pPr>
            <w:r w:rsidRPr="00C4404D">
              <w:rPr>
                <w:rFonts w:eastAsia="MS PGothic"/>
              </w:rPr>
              <w:t>21 (87.5)</w:t>
            </w:r>
          </w:p>
          <w:p w14:paraId="225831E8" w14:textId="2CCF1606" w:rsidR="00CC2233" w:rsidRPr="00C4404D" w:rsidRDefault="00CC2233" w:rsidP="00700BF0">
            <w:pPr>
              <w:pStyle w:val="TableText0"/>
              <w:jc w:val="center"/>
              <w:rPr>
                <w:rFonts w:eastAsia="MS PGothic"/>
              </w:rPr>
            </w:pPr>
            <w:r w:rsidRPr="00C4404D">
              <w:rPr>
                <w:rFonts w:eastAsia="MS PGothic"/>
              </w:rPr>
              <w:t>(67.6</w:t>
            </w:r>
            <w:r w:rsidR="00FE5E4F">
              <w:rPr>
                <w:rFonts w:eastAsia="MS PGothic"/>
              </w:rPr>
              <w:t>,</w:t>
            </w:r>
            <w:r w:rsidRPr="00C4404D">
              <w:rPr>
                <w:rFonts w:eastAsia="MS PGothic"/>
              </w:rPr>
              <w:t xml:space="preserve"> 97.3)</w:t>
            </w:r>
          </w:p>
        </w:tc>
        <w:tc>
          <w:tcPr>
            <w:tcW w:w="657" w:type="pct"/>
            <w:vAlign w:val="center"/>
          </w:tcPr>
          <w:p w14:paraId="2C7F54F1" w14:textId="77777777" w:rsidR="00CC2233" w:rsidRPr="00C4404D" w:rsidRDefault="00CC2233" w:rsidP="00700BF0">
            <w:pPr>
              <w:pStyle w:val="TableText0"/>
              <w:jc w:val="center"/>
              <w:rPr>
                <w:rFonts w:eastAsia="MS PGothic"/>
              </w:rPr>
            </w:pPr>
            <w:r w:rsidRPr="00C4404D">
              <w:rPr>
                <w:rFonts w:eastAsia="MS PGothic"/>
              </w:rPr>
              <w:t>9 (75.0)</w:t>
            </w:r>
          </w:p>
          <w:p w14:paraId="2BEA7C37" w14:textId="1F8CB913" w:rsidR="00CC2233" w:rsidRPr="00C4404D" w:rsidRDefault="00CC2233" w:rsidP="00700BF0">
            <w:pPr>
              <w:pStyle w:val="TableText0"/>
              <w:jc w:val="center"/>
              <w:rPr>
                <w:rFonts w:eastAsia="MS PGothic"/>
              </w:rPr>
            </w:pPr>
            <w:r w:rsidRPr="00C4404D">
              <w:rPr>
                <w:rFonts w:eastAsia="MS PGothic"/>
              </w:rPr>
              <w:t>(42.8</w:t>
            </w:r>
            <w:r w:rsidR="00FE5E4F">
              <w:rPr>
                <w:rFonts w:eastAsia="MS PGothic"/>
              </w:rPr>
              <w:t>,</w:t>
            </w:r>
            <w:r w:rsidRPr="00C4404D">
              <w:rPr>
                <w:rFonts w:eastAsia="MS PGothic"/>
              </w:rPr>
              <w:t xml:space="preserve"> 94.5)</w:t>
            </w:r>
          </w:p>
        </w:tc>
        <w:tc>
          <w:tcPr>
            <w:tcW w:w="606" w:type="pct"/>
            <w:vAlign w:val="center"/>
          </w:tcPr>
          <w:p w14:paraId="5DAC1B93" w14:textId="77777777" w:rsidR="00CC2233" w:rsidRPr="00C4404D" w:rsidRDefault="00CC2233" w:rsidP="00700BF0">
            <w:pPr>
              <w:pStyle w:val="TableText0"/>
              <w:jc w:val="center"/>
            </w:pPr>
            <w:r w:rsidRPr="00C4404D">
              <w:t>30 (83.3)</w:t>
            </w:r>
          </w:p>
          <w:p w14:paraId="2EAACF30" w14:textId="74A4E005" w:rsidR="00CC2233" w:rsidRPr="00C4404D" w:rsidRDefault="00CC2233" w:rsidP="00700BF0">
            <w:pPr>
              <w:pStyle w:val="TableText0"/>
              <w:jc w:val="center"/>
            </w:pPr>
            <w:r w:rsidRPr="00C4404D">
              <w:t>(67.2</w:t>
            </w:r>
            <w:r w:rsidR="00FE5E4F">
              <w:t>,</w:t>
            </w:r>
            <w:r w:rsidRPr="00C4404D">
              <w:t xml:space="preserve"> 93.6)</w:t>
            </w:r>
          </w:p>
        </w:tc>
        <w:tc>
          <w:tcPr>
            <w:tcW w:w="589" w:type="pct"/>
            <w:vAlign w:val="center"/>
          </w:tcPr>
          <w:p w14:paraId="69DB36C8" w14:textId="77777777" w:rsidR="00CC2233" w:rsidRPr="00C4404D" w:rsidRDefault="00CC2233" w:rsidP="00700BF0">
            <w:pPr>
              <w:pStyle w:val="TableText0"/>
              <w:jc w:val="center"/>
              <w:rPr>
                <w:rFonts w:eastAsia="MS PGothic"/>
              </w:rPr>
            </w:pPr>
            <w:r w:rsidRPr="00C4404D">
              <w:rPr>
                <w:rFonts w:eastAsia="MS PGothic"/>
              </w:rPr>
              <w:t>26 (72.2)</w:t>
            </w:r>
          </w:p>
          <w:p w14:paraId="19D18866" w14:textId="74332303" w:rsidR="00CC2233" w:rsidRPr="00C4404D" w:rsidRDefault="00CC2233" w:rsidP="00700BF0">
            <w:pPr>
              <w:pStyle w:val="TableText0"/>
              <w:jc w:val="center"/>
              <w:rPr>
                <w:rFonts w:eastAsia="MS PGothic"/>
              </w:rPr>
            </w:pPr>
            <w:r w:rsidRPr="00C4404D">
              <w:rPr>
                <w:rFonts w:eastAsia="MS PGothic"/>
              </w:rPr>
              <w:t>(54.8</w:t>
            </w:r>
            <w:r w:rsidR="00FE5E4F">
              <w:rPr>
                <w:rFonts w:eastAsia="MS PGothic"/>
              </w:rPr>
              <w:t>,</w:t>
            </w:r>
            <w:r w:rsidRPr="00C4404D">
              <w:rPr>
                <w:rFonts w:eastAsia="MS PGothic"/>
              </w:rPr>
              <w:t xml:space="preserve"> 85.8)</w:t>
            </w:r>
          </w:p>
        </w:tc>
        <w:tc>
          <w:tcPr>
            <w:tcW w:w="624" w:type="pct"/>
            <w:vAlign w:val="center"/>
          </w:tcPr>
          <w:p w14:paraId="166A808E" w14:textId="77777777" w:rsidR="00CC2233" w:rsidRPr="00C4404D" w:rsidRDefault="00CC2233" w:rsidP="00700BF0">
            <w:pPr>
              <w:pStyle w:val="TableText0"/>
              <w:jc w:val="center"/>
              <w:rPr>
                <w:rFonts w:eastAsia="MS PGothic"/>
              </w:rPr>
            </w:pPr>
            <w:r w:rsidRPr="00C4404D">
              <w:rPr>
                <w:rFonts w:eastAsia="MS PGothic"/>
              </w:rPr>
              <w:t>56 (77.8)</w:t>
            </w:r>
          </w:p>
          <w:p w14:paraId="0ED296B7" w14:textId="68D32C63" w:rsidR="00CC2233" w:rsidRPr="00C4404D" w:rsidRDefault="00CC2233" w:rsidP="00700BF0">
            <w:pPr>
              <w:pStyle w:val="TableText0"/>
              <w:jc w:val="center"/>
              <w:rPr>
                <w:rFonts w:eastAsia="MS PGothic"/>
              </w:rPr>
            </w:pPr>
            <w:r w:rsidRPr="00C4404D">
              <w:rPr>
                <w:rFonts w:eastAsia="MS PGothic"/>
              </w:rPr>
              <w:t>(66.4</w:t>
            </w:r>
            <w:r w:rsidR="00FE5E4F">
              <w:rPr>
                <w:rFonts w:eastAsia="MS PGothic"/>
              </w:rPr>
              <w:t>,</w:t>
            </w:r>
            <w:r w:rsidRPr="00C4404D">
              <w:rPr>
                <w:rFonts w:eastAsia="MS PGothic"/>
              </w:rPr>
              <w:t xml:space="preserve"> 86.7)</w:t>
            </w:r>
          </w:p>
        </w:tc>
      </w:tr>
      <w:tr w:rsidR="00CC2233" w:rsidRPr="00C4404D" w14:paraId="087EC132" w14:textId="77777777" w:rsidTr="00E30033">
        <w:trPr>
          <w:trHeight w:val="339"/>
        </w:trPr>
        <w:tc>
          <w:tcPr>
            <w:tcW w:w="1464" w:type="pct"/>
            <w:vMerge w:val="restart"/>
            <w:vAlign w:val="center"/>
          </w:tcPr>
          <w:p w14:paraId="72609E17" w14:textId="683F1B29" w:rsidR="00CC2233" w:rsidRPr="00C4404D" w:rsidRDefault="00CC2233" w:rsidP="00700BF0">
            <w:pPr>
              <w:pStyle w:val="TableText0"/>
            </w:pPr>
            <w:r w:rsidRPr="00C4404D">
              <w:t>Patients with viral load &lt;</w:t>
            </w:r>
            <w:r w:rsidR="00FE5E4F">
              <w:t xml:space="preserve"> </w:t>
            </w:r>
            <w:r w:rsidRPr="00C4404D">
              <w:t>50 copies/mL: Missing=failure, n (%); 95% CI not reported.</w:t>
            </w:r>
          </w:p>
        </w:tc>
        <w:tc>
          <w:tcPr>
            <w:tcW w:w="453" w:type="pct"/>
            <w:vAlign w:val="center"/>
          </w:tcPr>
          <w:p w14:paraId="7F9DBDBB" w14:textId="77777777" w:rsidR="00CC2233" w:rsidRPr="00C4404D" w:rsidRDefault="00CC2233" w:rsidP="00700BF0">
            <w:pPr>
              <w:pStyle w:val="TableText0"/>
              <w:rPr>
                <w:rFonts w:eastAsia="MS PGothic"/>
              </w:rPr>
            </w:pPr>
            <w:r w:rsidRPr="00C4404D">
              <w:rPr>
                <w:rFonts w:eastAsia="MS PGothic"/>
              </w:rPr>
              <w:t>Week 26</w:t>
            </w:r>
          </w:p>
        </w:tc>
        <w:tc>
          <w:tcPr>
            <w:tcW w:w="607" w:type="pct"/>
            <w:vAlign w:val="center"/>
          </w:tcPr>
          <w:p w14:paraId="6184A5FE" w14:textId="77777777" w:rsidR="00CC2233" w:rsidRPr="00C4404D" w:rsidRDefault="00CC2233" w:rsidP="00700BF0">
            <w:pPr>
              <w:pStyle w:val="TableText0"/>
              <w:jc w:val="center"/>
              <w:rPr>
                <w:rFonts w:eastAsia="MS PGothic"/>
              </w:rPr>
            </w:pPr>
            <w:r w:rsidRPr="00C4404D">
              <w:rPr>
                <w:rFonts w:eastAsia="MS PGothic"/>
              </w:rPr>
              <w:t>21 (87.5)</w:t>
            </w:r>
          </w:p>
        </w:tc>
        <w:tc>
          <w:tcPr>
            <w:tcW w:w="657" w:type="pct"/>
            <w:vAlign w:val="center"/>
          </w:tcPr>
          <w:p w14:paraId="38E0F33D" w14:textId="77777777" w:rsidR="00CC2233" w:rsidRPr="00C4404D" w:rsidRDefault="00CC2233" w:rsidP="00700BF0">
            <w:pPr>
              <w:pStyle w:val="TableText0"/>
              <w:jc w:val="center"/>
              <w:rPr>
                <w:rFonts w:eastAsia="MS PGothic"/>
              </w:rPr>
            </w:pPr>
            <w:r w:rsidRPr="00C4404D">
              <w:rPr>
                <w:rFonts w:eastAsia="MS PGothic"/>
              </w:rPr>
              <w:t>8 (66.7)</w:t>
            </w:r>
          </w:p>
        </w:tc>
        <w:tc>
          <w:tcPr>
            <w:tcW w:w="606" w:type="pct"/>
            <w:vAlign w:val="center"/>
          </w:tcPr>
          <w:p w14:paraId="28E04F91" w14:textId="77777777" w:rsidR="00CC2233" w:rsidRPr="00C4404D" w:rsidRDefault="00CC2233" w:rsidP="00700BF0">
            <w:pPr>
              <w:pStyle w:val="TableText0"/>
              <w:jc w:val="center"/>
            </w:pPr>
            <w:r w:rsidRPr="00C4404D">
              <w:t>29 (80.6)</w:t>
            </w:r>
          </w:p>
        </w:tc>
        <w:tc>
          <w:tcPr>
            <w:tcW w:w="589" w:type="pct"/>
            <w:vAlign w:val="center"/>
          </w:tcPr>
          <w:p w14:paraId="40593070" w14:textId="77777777" w:rsidR="00CC2233" w:rsidRPr="00C4404D" w:rsidRDefault="00CC2233" w:rsidP="00700BF0">
            <w:pPr>
              <w:pStyle w:val="TableText0"/>
              <w:jc w:val="center"/>
              <w:rPr>
                <w:rFonts w:eastAsia="MS PGothic"/>
              </w:rPr>
            </w:pPr>
            <w:r w:rsidRPr="00C4404D">
              <w:rPr>
                <w:rFonts w:eastAsia="MS PGothic"/>
              </w:rPr>
              <w:t>29 (80.6)</w:t>
            </w:r>
          </w:p>
        </w:tc>
        <w:tc>
          <w:tcPr>
            <w:tcW w:w="624" w:type="pct"/>
            <w:vAlign w:val="center"/>
          </w:tcPr>
          <w:p w14:paraId="38A40C75" w14:textId="77777777" w:rsidR="00CC2233" w:rsidRPr="00C4404D" w:rsidRDefault="00CC2233" w:rsidP="00700BF0">
            <w:pPr>
              <w:pStyle w:val="TableText0"/>
              <w:jc w:val="center"/>
              <w:rPr>
                <w:rFonts w:eastAsia="MS PGothic"/>
              </w:rPr>
            </w:pPr>
            <w:r w:rsidRPr="00C4404D">
              <w:rPr>
                <w:rFonts w:eastAsia="MS PGothic"/>
              </w:rPr>
              <w:t>58 (80.6)</w:t>
            </w:r>
          </w:p>
        </w:tc>
      </w:tr>
      <w:tr w:rsidR="00CC2233" w:rsidRPr="00C4404D" w14:paraId="1B9F1C5F" w14:textId="77777777" w:rsidTr="00E30033">
        <w:trPr>
          <w:trHeight w:val="339"/>
        </w:trPr>
        <w:tc>
          <w:tcPr>
            <w:tcW w:w="1464" w:type="pct"/>
            <w:vMerge/>
            <w:vAlign w:val="center"/>
          </w:tcPr>
          <w:p w14:paraId="01C642BB" w14:textId="77777777" w:rsidR="00CC2233" w:rsidRPr="00C4404D" w:rsidRDefault="00CC2233" w:rsidP="00700BF0">
            <w:pPr>
              <w:pStyle w:val="TableText0"/>
            </w:pPr>
          </w:p>
        </w:tc>
        <w:tc>
          <w:tcPr>
            <w:tcW w:w="453" w:type="pct"/>
            <w:vAlign w:val="center"/>
          </w:tcPr>
          <w:p w14:paraId="2DFAAFD0" w14:textId="77777777" w:rsidR="00CC2233" w:rsidRPr="00C4404D" w:rsidRDefault="00CC2233" w:rsidP="00700BF0">
            <w:pPr>
              <w:pStyle w:val="TableText0"/>
              <w:rPr>
                <w:rFonts w:eastAsia="MS PGothic"/>
              </w:rPr>
            </w:pPr>
            <w:r w:rsidRPr="00C4404D">
              <w:rPr>
                <w:rFonts w:eastAsia="MS PGothic"/>
              </w:rPr>
              <w:t>Week 52</w:t>
            </w:r>
          </w:p>
        </w:tc>
        <w:tc>
          <w:tcPr>
            <w:tcW w:w="607" w:type="pct"/>
            <w:vAlign w:val="center"/>
          </w:tcPr>
          <w:p w14:paraId="05379B08" w14:textId="77777777" w:rsidR="00CC2233" w:rsidRPr="00C4404D" w:rsidRDefault="00CC2233" w:rsidP="00700BF0">
            <w:pPr>
              <w:pStyle w:val="TableText0"/>
              <w:jc w:val="center"/>
              <w:rPr>
                <w:rFonts w:eastAsia="MS PGothic"/>
              </w:rPr>
            </w:pPr>
            <w:r w:rsidRPr="00C4404D">
              <w:rPr>
                <w:rFonts w:eastAsia="MS PGothic"/>
              </w:rPr>
              <w:t>21 (87.5)</w:t>
            </w:r>
          </w:p>
        </w:tc>
        <w:tc>
          <w:tcPr>
            <w:tcW w:w="657" w:type="pct"/>
            <w:vAlign w:val="center"/>
          </w:tcPr>
          <w:p w14:paraId="41432B91" w14:textId="77777777" w:rsidR="00CC2233" w:rsidRPr="00C4404D" w:rsidRDefault="00CC2233" w:rsidP="00700BF0">
            <w:pPr>
              <w:pStyle w:val="TableText0"/>
              <w:jc w:val="center"/>
              <w:rPr>
                <w:rFonts w:eastAsia="MS PGothic"/>
              </w:rPr>
            </w:pPr>
            <w:r w:rsidRPr="00C4404D">
              <w:rPr>
                <w:rFonts w:eastAsia="MS PGothic"/>
              </w:rPr>
              <w:t>9 (75.0)</w:t>
            </w:r>
          </w:p>
        </w:tc>
        <w:tc>
          <w:tcPr>
            <w:tcW w:w="606" w:type="pct"/>
            <w:vAlign w:val="center"/>
          </w:tcPr>
          <w:p w14:paraId="48EB3337" w14:textId="77777777" w:rsidR="00CC2233" w:rsidRPr="00C4404D" w:rsidRDefault="00CC2233" w:rsidP="00700BF0">
            <w:pPr>
              <w:pStyle w:val="TableText0"/>
              <w:jc w:val="center"/>
            </w:pPr>
            <w:r w:rsidRPr="00C4404D">
              <w:t>30 (83.3)</w:t>
            </w:r>
          </w:p>
        </w:tc>
        <w:tc>
          <w:tcPr>
            <w:tcW w:w="589" w:type="pct"/>
            <w:vAlign w:val="center"/>
          </w:tcPr>
          <w:p w14:paraId="0218A125" w14:textId="77777777" w:rsidR="00CC2233" w:rsidRPr="00C4404D" w:rsidRDefault="00CC2233" w:rsidP="00700BF0">
            <w:pPr>
              <w:pStyle w:val="TableText0"/>
              <w:jc w:val="center"/>
              <w:rPr>
                <w:rFonts w:eastAsia="MS PGothic"/>
              </w:rPr>
            </w:pPr>
            <w:r w:rsidRPr="00C4404D">
              <w:rPr>
                <w:rFonts w:eastAsia="MS PGothic"/>
              </w:rPr>
              <w:t>27 (75.0)</w:t>
            </w:r>
          </w:p>
        </w:tc>
        <w:tc>
          <w:tcPr>
            <w:tcW w:w="624" w:type="pct"/>
            <w:vAlign w:val="center"/>
          </w:tcPr>
          <w:p w14:paraId="05EACBF5" w14:textId="77777777" w:rsidR="00CC2233" w:rsidRPr="00C4404D" w:rsidRDefault="00CC2233" w:rsidP="00700BF0">
            <w:pPr>
              <w:pStyle w:val="TableText0"/>
              <w:jc w:val="center"/>
              <w:rPr>
                <w:rFonts w:eastAsia="MS PGothic"/>
              </w:rPr>
            </w:pPr>
            <w:r w:rsidRPr="00C4404D">
              <w:rPr>
                <w:rFonts w:eastAsia="MS PGothic"/>
              </w:rPr>
              <w:t>57 (79.2)</w:t>
            </w:r>
          </w:p>
        </w:tc>
      </w:tr>
      <w:tr w:rsidR="00CC2233" w:rsidRPr="00C4404D" w14:paraId="0F55F292" w14:textId="77777777" w:rsidTr="00E30033">
        <w:trPr>
          <w:trHeight w:val="20"/>
        </w:trPr>
        <w:tc>
          <w:tcPr>
            <w:tcW w:w="1464" w:type="pct"/>
            <w:vMerge w:val="restart"/>
            <w:vAlign w:val="center"/>
          </w:tcPr>
          <w:p w14:paraId="421032FB" w14:textId="5801E1AA" w:rsidR="00CC2233" w:rsidRPr="00C4404D" w:rsidRDefault="00CC2233" w:rsidP="00700BF0">
            <w:pPr>
              <w:pStyle w:val="TableText0"/>
            </w:pPr>
            <w:r w:rsidRPr="00C4404D">
              <w:t>Patients with viral load &lt;</w:t>
            </w:r>
            <w:r w:rsidR="00FE5E4F">
              <w:t xml:space="preserve"> </w:t>
            </w:r>
            <w:r w:rsidRPr="00C4404D">
              <w:t>200 copies/mL: FDA snapshot method, n (%); (95% CI)</w:t>
            </w:r>
          </w:p>
        </w:tc>
        <w:tc>
          <w:tcPr>
            <w:tcW w:w="453" w:type="pct"/>
            <w:vAlign w:val="center"/>
          </w:tcPr>
          <w:p w14:paraId="0280A6E9" w14:textId="77777777" w:rsidR="00CC2233" w:rsidRPr="00C4404D" w:rsidRDefault="00CC2233" w:rsidP="00700BF0">
            <w:pPr>
              <w:pStyle w:val="TableText0"/>
              <w:rPr>
                <w:rFonts w:eastAsia="MS PGothic"/>
              </w:rPr>
            </w:pPr>
            <w:r w:rsidRPr="00C4404D">
              <w:rPr>
                <w:rFonts w:eastAsia="MS PGothic"/>
              </w:rPr>
              <w:t>Week 26</w:t>
            </w:r>
          </w:p>
        </w:tc>
        <w:tc>
          <w:tcPr>
            <w:tcW w:w="607" w:type="pct"/>
            <w:vAlign w:val="center"/>
          </w:tcPr>
          <w:p w14:paraId="1C8FDAAA" w14:textId="77777777" w:rsidR="00CC2233" w:rsidRPr="00C4404D" w:rsidRDefault="00CC2233" w:rsidP="00700BF0">
            <w:pPr>
              <w:pStyle w:val="TableText0"/>
              <w:jc w:val="center"/>
              <w:rPr>
                <w:rFonts w:eastAsia="MS PGothic"/>
              </w:rPr>
            </w:pPr>
            <w:r w:rsidRPr="00C4404D">
              <w:rPr>
                <w:rFonts w:eastAsia="MS PGothic"/>
              </w:rPr>
              <w:t>23 (95.8)</w:t>
            </w:r>
          </w:p>
          <w:p w14:paraId="55C47111" w14:textId="085ACD60" w:rsidR="00CC2233" w:rsidRPr="00C4404D" w:rsidRDefault="00CC2233" w:rsidP="00700BF0">
            <w:pPr>
              <w:pStyle w:val="TableText0"/>
              <w:jc w:val="center"/>
              <w:rPr>
                <w:rFonts w:eastAsia="MS PGothic"/>
              </w:rPr>
            </w:pPr>
            <w:r w:rsidRPr="00C4404D">
              <w:rPr>
                <w:rFonts w:eastAsia="MS PGothic"/>
              </w:rPr>
              <w:t>(78.9</w:t>
            </w:r>
            <w:r w:rsidR="00FE5E4F">
              <w:rPr>
                <w:rFonts w:eastAsia="MS PGothic"/>
              </w:rPr>
              <w:t>,</w:t>
            </w:r>
            <w:r w:rsidRPr="00C4404D">
              <w:rPr>
                <w:rFonts w:eastAsia="MS PGothic"/>
              </w:rPr>
              <w:t xml:space="preserve"> 99.9)</w:t>
            </w:r>
          </w:p>
        </w:tc>
        <w:tc>
          <w:tcPr>
            <w:tcW w:w="657" w:type="pct"/>
            <w:vAlign w:val="center"/>
          </w:tcPr>
          <w:p w14:paraId="6C328AB1" w14:textId="77777777" w:rsidR="00CC2233" w:rsidRPr="00C4404D" w:rsidRDefault="00CC2233" w:rsidP="00700BF0">
            <w:pPr>
              <w:pStyle w:val="TableText0"/>
              <w:jc w:val="center"/>
              <w:rPr>
                <w:rFonts w:eastAsia="MS PGothic"/>
              </w:rPr>
            </w:pPr>
            <w:r w:rsidRPr="00C4404D">
              <w:rPr>
                <w:rFonts w:eastAsia="MS PGothic"/>
              </w:rPr>
              <w:t>9 (75.0)</w:t>
            </w:r>
          </w:p>
          <w:p w14:paraId="69FF8941" w14:textId="1E859592" w:rsidR="00CC2233" w:rsidRPr="00C4404D" w:rsidRDefault="00CC2233" w:rsidP="00700BF0">
            <w:pPr>
              <w:pStyle w:val="TableText0"/>
              <w:jc w:val="center"/>
              <w:rPr>
                <w:rFonts w:eastAsia="MS PGothic"/>
              </w:rPr>
            </w:pPr>
            <w:r w:rsidRPr="00C4404D">
              <w:rPr>
                <w:rFonts w:eastAsia="MS PGothic"/>
              </w:rPr>
              <w:t>(42.8</w:t>
            </w:r>
            <w:r w:rsidR="00FE5E4F">
              <w:rPr>
                <w:rFonts w:eastAsia="MS PGothic"/>
              </w:rPr>
              <w:t>,</w:t>
            </w:r>
            <w:r w:rsidRPr="00C4404D">
              <w:rPr>
                <w:rFonts w:eastAsia="MS PGothic"/>
              </w:rPr>
              <w:t xml:space="preserve"> 94.5)</w:t>
            </w:r>
          </w:p>
        </w:tc>
        <w:tc>
          <w:tcPr>
            <w:tcW w:w="606" w:type="pct"/>
            <w:vAlign w:val="center"/>
          </w:tcPr>
          <w:p w14:paraId="0B41849E" w14:textId="77777777" w:rsidR="00CC2233" w:rsidRPr="00C4404D" w:rsidRDefault="00CC2233" w:rsidP="00700BF0">
            <w:pPr>
              <w:pStyle w:val="TableText0"/>
              <w:jc w:val="center"/>
            </w:pPr>
            <w:r w:rsidRPr="00C4404D">
              <w:t>32 (88.9)</w:t>
            </w:r>
          </w:p>
          <w:p w14:paraId="6B895A7E" w14:textId="05C7D6A3" w:rsidR="00CC2233" w:rsidRPr="00C4404D" w:rsidRDefault="00CC2233" w:rsidP="00700BF0">
            <w:pPr>
              <w:pStyle w:val="TableText0"/>
              <w:jc w:val="center"/>
            </w:pPr>
            <w:r w:rsidRPr="00C4404D">
              <w:t>(73.9</w:t>
            </w:r>
            <w:r w:rsidR="00FE5E4F">
              <w:t>,</w:t>
            </w:r>
            <w:r w:rsidRPr="00C4404D">
              <w:t xml:space="preserve"> 96.9)</w:t>
            </w:r>
          </w:p>
        </w:tc>
        <w:tc>
          <w:tcPr>
            <w:tcW w:w="589" w:type="pct"/>
            <w:vAlign w:val="center"/>
          </w:tcPr>
          <w:p w14:paraId="0F617D5A" w14:textId="77777777" w:rsidR="00CC2233" w:rsidRPr="00C4404D" w:rsidRDefault="00CC2233" w:rsidP="00700BF0">
            <w:pPr>
              <w:pStyle w:val="TableText0"/>
              <w:jc w:val="center"/>
              <w:rPr>
                <w:rFonts w:eastAsia="MS PGothic"/>
              </w:rPr>
            </w:pPr>
            <w:r w:rsidRPr="00C4404D">
              <w:rPr>
                <w:rFonts w:eastAsia="MS PGothic"/>
              </w:rPr>
              <w:t>31 (86.1)</w:t>
            </w:r>
          </w:p>
          <w:p w14:paraId="2A1296A0" w14:textId="5E81E176" w:rsidR="00CC2233" w:rsidRPr="00C4404D" w:rsidRDefault="00CC2233" w:rsidP="00700BF0">
            <w:pPr>
              <w:pStyle w:val="TableText0"/>
              <w:jc w:val="center"/>
              <w:rPr>
                <w:rFonts w:eastAsia="MS PGothic"/>
              </w:rPr>
            </w:pPr>
            <w:r w:rsidRPr="00C4404D">
              <w:rPr>
                <w:rFonts w:eastAsia="MS PGothic"/>
              </w:rPr>
              <w:t>(71</w:t>
            </w:r>
            <w:r w:rsidR="00FE5E4F">
              <w:rPr>
                <w:rFonts w:eastAsia="MS PGothic"/>
              </w:rPr>
              <w:t>,</w:t>
            </w:r>
            <w:r w:rsidRPr="00C4404D">
              <w:rPr>
                <w:rFonts w:eastAsia="MS PGothic"/>
              </w:rPr>
              <w:t xml:space="preserve"> 95)</w:t>
            </w:r>
          </w:p>
        </w:tc>
        <w:tc>
          <w:tcPr>
            <w:tcW w:w="624" w:type="pct"/>
            <w:vAlign w:val="center"/>
          </w:tcPr>
          <w:p w14:paraId="2629430E" w14:textId="77777777" w:rsidR="00CC2233" w:rsidRPr="00C4404D" w:rsidRDefault="00CC2233" w:rsidP="00700BF0">
            <w:pPr>
              <w:pStyle w:val="TableText0"/>
              <w:jc w:val="center"/>
              <w:rPr>
                <w:rFonts w:eastAsia="MS PGothic"/>
              </w:rPr>
            </w:pPr>
            <w:r w:rsidRPr="00C4404D">
              <w:rPr>
                <w:rFonts w:eastAsia="MS PGothic"/>
              </w:rPr>
              <w:t>63 (88)</w:t>
            </w:r>
          </w:p>
          <w:p w14:paraId="17FE3C24" w14:textId="37B35930" w:rsidR="00CC2233" w:rsidRPr="00C4404D" w:rsidRDefault="00CC2233" w:rsidP="00700BF0">
            <w:pPr>
              <w:pStyle w:val="TableText0"/>
              <w:jc w:val="center"/>
              <w:rPr>
                <w:rFonts w:eastAsia="MS PGothic"/>
              </w:rPr>
            </w:pPr>
            <w:r w:rsidRPr="00C4404D">
              <w:rPr>
                <w:rFonts w:eastAsia="MS PGothic"/>
              </w:rPr>
              <w:t>(78</w:t>
            </w:r>
            <w:r w:rsidR="00FE5E4F">
              <w:rPr>
                <w:rFonts w:eastAsia="MS PGothic"/>
              </w:rPr>
              <w:t>,</w:t>
            </w:r>
            <w:r w:rsidRPr="00C4404D">
              <w:rPr>
                <w:rFonts w:eastAsia="MS PGothic"/>
              </w:rPr>
              <w:t xml:space="preserve"> 94)</w:t>
            </w:r>
          </w:p>
        </w:tc>
      </w:tr>
      <w:tr w:rsidR="00CC2233" w:rsidRPr="00C4404D" w14:paraId="04F29393" w14:textId="77777777" w:rsidTr="00E30033">
        <w:trPr>
          <w:trHeight w:val="20"/>
        </w:trPr>
        <w:tc>
          <w:tcPr>
            <w:tcW w:w="1464" w:type="pct"/>
            <w:vMerge/>
            <w:vAlign w:val="center"/>
          </w:tcPr>
          <w:p w14:paraId="6F477512" w14:textId="77777777" w:rsidR="00CC2233" w:rsidRPr="00C4404D" w:rsidRDefault="00CC2233" w:rsidP="00700BF0">
            <w:pPr>
              <w:pStyle w:val="TableText0"/>
            </w:pPr>
          </w:p>
        </w:tc>
        <w:tc>
          <w:tcPr>
            <w:tcW w:w="453" w:type="pct"/>
            <w:vAlign w:val="center"/>
          </w:tcPr>
          <w:p w14:paraId="23632FEC" w14:textId="77777777" w:rsidR="00CC2233" w:rsidRPr="00C4404D" w:rsidRDefault="00CC2233" w:rsidP="00700BF0">
            <w:pPr>
              <w:pStyle w:val="TableText0"/>
              <w:rPr>
                <w:rFonts w:eastAsia="MS PGothic"/>
              </w:rPr>
            </w:pPr>
            <w:r w:rsidRPr="00C4404D">
              <w:rPr>
                <w:rFonts w:eastAsia="MS PGothic"/>
              </w:rPr>
              <w:t>Week 52</w:t>
            </w:r>
          </w:p>
        </w:tc>
        <w:tc>
          <w:tcPr>
            <w:tcW w:w="607" w:type="pct"/>
            <w:vAlign w:val="center"/>
          </w:tcPr>
          <w:p w14:paraId="2F32384B" w14:textId="77777777" w:rsidR="00CC2233" w:rsidRPr="00C4404D" w:rsidRDefault="00CC2233" w:rsidP="00700BF0">
            <w:pPr>
              <w:pStyle w:val="TableText0"/>
              <w:jc w:val="center"/>
              <w:rPr>
                <w:rFonts w:eastAsia="MS PGothic"/>
              </w:rPr>
            </w:pPr>
            <w:r w:rsidRPr="00C4404D">
              <w:rPr>
                <w:rFonts w:eastAsia="MS PGothic"/>
              </w:rPr>
              <w:t>22 (91.7)</w:t>
            </w:r>
          </w:p>
          <w:p w14:paraId="34A65AA1" w14:textId="767160CC" w:rsidR="00CC2233" w:rsidRPr="00C4404D" w:rsidRDefault="00CC2233" w:rsidP="00700BF0">
            <w:pPr>
              <w:pStyle w:val="TableText0"/>
              <w:jc w:val="center"/>
              <w:rPr>
                <w:rFonts w:eastAsia="MS PGothic"/>
              </w:rPr>
            </w:pPr>
            <w:r w:rsidRPr="00C4404D">
              <w:rPr>
                <w:rFonts w:eastAsia="MS PGothic"/>
              </w:rPr>
              <w:t>(73.0</w:t>
            </w:r>
            <w:r w:rsidR="00FE5E4F">
              <w:rPr>
                <w:rFonts w:eastAsia="MS PGothic"/>
              </w:rPr>
              <w:t>,</w:t>
            </w:r>
            <w:r w:rsidRPr="00C4404D">
              <w:rPr>
                <w:rFonts w:eastAsia="MS PGothic"/>
              </w:rPr>
              <w:t xml:space="preserve"> 99.0)</w:t>
            </w:r>
          </w:p>
        </w:tc>
        <w:tc>
          <w:tcPr>
            <w:tcW w:w="657" w:type="pct"/>
            <w:vAlign w:val="center"/>
          </w:tcPr>
          <w:p w14:paraId="6CEFB3F8" w14:textId="77777777" w:rsidR="00CC2233" w:rsidRPr="00C4404D" w:rsidRDefault="00CC2233" w:rsidP="00700BF0">
            <w:pPr>
              <w:pStyle w:val="TableText0"/>
              <w:jc w:val="center"/>
              <w:rPr>
                <w:rFonts w:eastAsia="MS PGothic"/>
              </w:rPr>
            </w:pPr>
            <w:r w:rsidRPr="00C4404D">
              <w:rPr>
                <w:rFonts w:eastAsia="MS PGothic"/>
              </w:rPr>
              <w:t>9 (75.0)</w:t>
            </w:r>
          </w:p>
          <w:p w14:paraId="42D816FF" w14:textId="769B748E" w:rsidR="00CC2233" w:rsidRPr="00C4404D" w:rsidRDefault="00CC2233" w:rsidP="00700BF0">
            <w:pPr>
              <w:pStyle w:val="TableText0"/>
              <w:jc w:val="center"/>
              <w:rPr>
                <w:rFonts w:eastAsia="MS PGothic"/>
              </w:rPr>
            </w:pPr>
            <w:r w:rsidRPr="00C4404D">
              <w:rPr>
                <w:rFonts w:eastAsia="MS PGothic"/>
              </w:rPr>
              <w:t>(42.8</w:t>
            </w:r>
            <w:r w:rsidR="00FE5E4F">
              <w:rPr>
                <w:rFonts w:eastAsia="MS PGothic"/>
              </w:rPr>
              <w:t>,</w:t>
            </w:r>
            <w:r w:rsidRPr="00C4404D">
              <w:rPr>
                <w:rFonts w:eastAsia="MS PGothic"/>
              </w:rPr>
              <w:t xml:space="preserve"> 94.5)</w:t>
            </w:r>
          </w:p>
        </w:tc>
        <w:tc>
          <w:tcPr>
            <w:tcW w:w="606" w:type="pct"/>
            <w:vAlign w:val="center"/>
          </w:tcPr>
          <w:p w14:paraId="76F70FAC" w14:textId="77777777" w:rsidR="00CC2233" w:rsidRPr="00C4404D" w:rsidRDefault="00CC2233" w:rsidP="00700BF0">
            <w:pPr>
              <w:pStyle w:val="TableText0"/>
              <w:jc w:val="center"/>
            </w:pPr>
            <w:r w:rsidRPr="00C4404D">
              <w:t>31 (86.1)</w:t>
            </w:r>
          </w:p>
          <w:p w14:paraId="7F212DEB" w14:textId="44D374EE" w:rsidR="00CC2233" w:rsidRPr="00C4404D" w:rsidRDefault="00CC2233" w:rsidP="00700BF0">
            <w:pPr>
              <w:pStyle w:val="TableText0"/>
              <w:jc w:val="center"/>
            </w:pPr>
            <w:r w:rsidRPr="00C4404D">
              <w:t>(70.5</w:t>
            </w:r>
            <w:r w:rsidR="00FE5E4F">
              <w:t>,</w:t>
            </w:r>
            <w:r w:rsidRPr="00C4404D">
              <w:t xml:space="preserve"> 95.3)</w:t>
            </w:r>
          </w:p>
        </w:tc>
        <w:tc>
          <w:tcPr>
            <w:tcW w:w="589" w:type="pct"/>
            <w:vAlign w:val="center"/>
          </w:tcPr>
          <w:p w14:paraId="36EB9B10" w14:textId="77777777" w:rsidR="00CC2233" w:rsidRPr="00C4404D" w:rsidRDefault="00CC2233" w:rsidP="00700BF0">
            <w:pPr>
              <w:pStyle w:val="TableText0"/>
              <w:jc w:val="center"/>
              <w:rPr>
                <w:rFonts w:eastAsia="MS PGothic"/>
              </w:rPr>
            </w:pPr>
            <w:r w:rsidRPr="00C4404D">
              <w:rPr>
                <w:rFonts w:eastAsia="MS PGothic"/>
              </w:rPr>
              <w:t>28 (77.8)</w:t>
            </w:r>
          </w:p>
          <w:p w14:paraId="07A8970C" w14:textId="7F39A659" w:rsidR="00CC2233" w:rsidRPr="00C4404D" w:rsidRDefault="00CC2233" w:rsidP="00700BF0">
            <w:pPr>
              <w:pStyle w:val="TableText0"/>
              <w:jc w:val="center"/>
              <w:rPr>
                <w:rFonts w:eastAsia="MS PGothic"/>
              </w:rPr>
            </w:pPr>
            <w:r w:rsidRPr="00C4404D">
              <w:rPr>
                <w:rFonts w:eastAsia="MS PGothic"/>
              </w:rPr>
              <w:t>(60.8</w:t>
            </w:r>
            <w:r w:rsidR="00FE5E4F">
              <w:rPr>
                <w:rFonts w:eastAsia="MS PGothic"/>
              </w:rPr>
              <w:t>,</w:t>
            </w:r>
            <w:r w:rsidRPr="00C4404D">
              <w:rPr>
                <w:rFonts w:eastAsia="MS PGothic"/>
              </w:rPr>
              <w:t xml:space="preserve"> 89.9)</w:t>
            </w:r>
          </w:p>
        </w:tc>
        <w:tc>
          <w:tcPr>
            <w:tcW w:w="624" w:type="pct"/>
            <w:vAlign w:val="center"/>
          </w:tcPr>
          <w:p w14:paraId="69B75FDA" w14:textId="77777777" w:rsidR="00CC2233" w:rsidRPr="00C4404D" w:rsidRDefault="00CC2233" w:rsidP="00700BF0">
            <w:pPr>
              <w:pStyle w:val="TableText0"/>
              <w:jc w:val="center"/>
              <w:rPr>
                <w:rFonts w:eastAsia="MS PGothic"/>
              </w:rPr>
            </w:pPr>
            <w:r w:rsidRPr="00C4404D">
              <w:rPr>
                <w:rFonts w:eastAsia="MS PGothic"/>
              </w:rPr>
              <w:t>59 (81.9)</w:t>
            </w:r>
          </w:p>
          <w:p w14:paraId="3AE52CC0" w14:textId="61AFA701" w:rsidR="00CC2233" w:rsidRPr="00C4404D" w:rsidRDefault="00CC2233" w:rsidP="00700BF0">
            <w:pPr>
              <w:pStyle w:val="TableText0"/>
              <w:jc w:val="center"/>
              <w:rPr>
                <w:rFonts w:eastAsia="MS PGothic"/>
              </w:rPr>
            </w:pPr>
            <w:r w:rsidRPr="00C4404D">
              <w:rPr>
                <w:rFonts w:eastAsia="MS PGothic"/>
              </w:rPr>
              <w:t>(71.1</w:t>
            </w:r>
            <w:r w:rsidR="00FE5E4F">
              <w:rPr>
                <w:rFonts w:eastAsia="MS PGothic"/>
              </w:rPr>
              <w:t>,</w:t>
            </w:r>
            <w:r w:rsidRPr="00C4404D">
              <w:rPr>
                <w:rFonts w:eastAsia="MS PGothic"/>
              </w:rPr>
              <w:t xml:space="preserve"> 90.0)</w:t>
            </w:r>
          </w:p>
        </w:tc>
      </w:tr>
      <w:tr w:rsidR="00CC2233" w:rsidRPr="00C4404D" w14:paraId="6F96B9D6" w14:textId="77777777" w:rsidTr="00E30033">
        <w:trPr>
          <w:trHeight w:val="339"/>
        </w:trPr>
        <w:tc>
          <w:tcPr>
            <w:tcW w:w="1464" w:type="pct"/>
            <w:vMerge w:val="restart"/>
            <w:vAlign w:val="center"/>
          </w:tcPr>
          <w:p w14:paraId="69142F5D" w14:textId="5B3B1491" w:rsidR="00CC2233" w:rsidRPr="00C4404D" w:rsidRDefault="00CC2233" w:rsidP="00700BF0">
            <w:pPr>
              <w:pStyle w:val="TableText0"/>
            </w:pPr>
            <w:r w:rsidRPr="00C4404D">
              <w:t>Patients with viral load &lt;</w:t>
            </w:r>
            <w:r w:rsidR="00FE5E4F">
              <w:t xml:space="preserve"> </w:t>
            </w:r>
            <w:r w:rsidRPr="00C4404D">
              <w:t xml:space="preserve">200 copies/mL: Missing=failure, n (%); 95% CI not reported. </w:t>
            </w:r>
          </w:p>
        </w:tc>
        <w:tc>
          <w:tcPr>
            <w:tcW w:w="453" w:type="pct"/>
            <w:vAlign w:val="center"/>
          </w:tcPr>
          <w:p w14:paraId="4669EF22" w14:textId="77777777" w:rsidR="00CC2233" w:rsidRPr="00C4404D" w:rsidRDefault="00CC2233" w:rsidP="00700BF0">
            <w:pPr>
              <w:pStyle w:val="TableText0"/>
              <w:rPr>
                <w:rFonts w:eastAsia="MS PGothic"/>
              </w:rPr>
            </w:pPr>
            <w:r w:rsidRPr="00C4404D">
              <w:rPr>
                <w:rFonts w:eastAsia="MS PGothic"/>
              </w:rPr>
              <w:t>Week 26</w:t>
            </w:r>
          </w:p>
        </w:tc>
        <w:tc>
          <w:tcPr>
            <w:tcW w:w="607" w:type="pct"/>
            <w:vAlign w:val="center"/>
          </w:tcPr>
          <w:p w14:paraId="6907B7DA" w14:textId="77777777" w:rsidR="00CC2233" w:rsidRPr="00C4404D" w:rsidRDefault="00CC2233" w:rsidP="00700BF0">
            <w:pPr>
              <w:pStyle w:val="TableText0"/>
              <w:jc w:val="center"/>
              <w:rPr>
                <w:rFonts w:eastAsia="MS PGothic"/>
              </w:rPr>
            </w:pPr>
            <w:r w:rsidRPr="00C4404D">
              <w:rPr>
                <w:rFonts w:eastAsia="MS PGothic"/>
              </w:rPr>
              <w:t>23 (95.8)</w:t>
            </w:r>
          </w:p>
        </w:tc>
        <w:tc>
          <w:tcPr>
            <w:tcW w:w="657" w:type="pct"/>
            <w:vAlign w:val="center"/>
          </w:tcPr>
          <w:p w14:paraId="6825117E" w14:textId="77777777" w:rsidR="00CC2233" w:rsidRPr="00C4404D" w:rsidRDefault="00CC2233" w:rsidP="00700BF0">
            <w:pPr>
              <w:pStyle w:val="TableText0"/>
              <w:jc w:val="center"/>
              <w:rPr>
                <w:rFonts w:eastAsia="MS PGothic"/>
              </w:rPr>
            </w:pPr>
            <w:r w:rsidRPr="00C4404D">
              <w:rPr>
                <w:rFonts w:eastAsia="MS PGothic"/>
              </w:rPr>
              <w:t>9 (75.0)</w:t>
            </w:r>
          </w:p>
        </w:tc>
        <w:tc>
          <w:tcPr>
            <w:tcW w:w="606" w:type="pct"/>
            <w:vAlign w:val="center"/>
          </w:tcPr>
          <w:p w14:paraId="711CECCE" w14:textId="77777777" w:rsidR="00CC2233" w:rsidRPr="00C4404D" w:rsidRDefault="00CC2233" w:rsidP="00700BF0">
            <w:pPr>
              <w:pStyle w:val="TableText0"/>
              <w:jc w:val="center"/>
            </w:pPr>
            <w:r w:rsidRPr="00C4404D">
              <w:t>32 (88.9)</w:t>
            </w:r>
          </w:p>
        </w:tc>
        <w:tc>
          <w:tcPr>
            <w:tcW w:w="589" w:type="pct"/>
            <w:vAlign w:val="center"/>
          </w:tcPr>
          <w:p w14:paraId="7DB59976" w14:textId="77777777" w:rsidR="00CC2233" w:rsidRPr="00C4404D" w:rsidRDefault="00CC2233" w:rsidP="00700BF0">
            <w:pPr>
              <w:pStyle w:val="TableText0"/>
              <w:jc w:val="center"/>
              <w:rPr>
                <w:rFonts w:eastAsia="MS PGothic"/>
              </w:rPr>
            </w:pPr>
            <w:r w:rsidRPr="00C4404D">
              <w:rPr>
                <w:rFonts w:eastAsia="MS PGothic"/>
              </w:rPr>
              <w:t>31 (86.1)</w:t>
            </w:r>
          </w:p>
        </w:tc>
        <w:tc>
          <w:tcPr>
            <w:tcW w:w="624" w:type="pct"/>
            <w:vAlign w:val="center"/>
          </w:tcPr>
          <w:p w14:paraId="3ACD432C" w14:textId="77777777" w:rsidR="00CC2233" w:rsidRPr="00C4404D" w:rsidRDefault="00CC2233" w:rsidP="00700BF0">
            <w:pPr>
              <w:pStyle w:val="TableText0"/>
              <w:jc w:val="center"/>
              <w:rPr>
                <w:rFonts w:eastAsia="MS PGothic"/>
              </w:rPr>
            </w:pPr>
            <w:r w:rsidRPr="00C4404D">
              <w:rPr>
                <w:rFonts w:eastAsia="MS PGothic"/>
              </w:rPr>
              <w:t>63 (88)</w:t>
            </w:r>
          </w:p>
        </w:tc>
      </w:tr>
      <w:tr w:rsidR="00CC2233" w:rsidRPr="00C4404D" w14:paraId="2144F1D1" w14:textId="77777777" w:rsidTr="00E30033">
        <w:trPr>
          <w:trHeight w:val="339"/>
        </w:trPr>
        <w:tc>
          <w:tcPr>
            <w:tcW w:w="1464" w:type="pct"/>
            <w:vMerge/>
            <w:vAlign w:val="center"/>
          </w:tcPr>
          <w:p w14:paraId="04643231" w14:textId="77777777" w:rsidR="00CC2233" w:rsidRPr="00C4404D" w:rsidRDefault="00CC2233" w:rsidP="00700BF0">
            <w:pPr>
              <w:pStyle w:val="TableText0"/>
            </w:pPr>
          </w:p>
        </w:tc>
        <w:tc>
          <w:tcPr>
            <w:tcW w:w="453" w:type="pct"/>
            <w:vAlign w:val="center"/>
          </w:tcPr>
          <w:p w14:paraId="12E64790" w14:textId="77777777" w:rsidR="00CC2233" w:rsidRPr="00C4404D" w:rsidRDefault="00CC2233" w:rsidP="00700BF0">
            <w:pPr>
              <w:pStyle w:val="TableText0"/>
              <w:rPr>
                <w:rFonts w:eastAsia="MS PGothic"/>
              </w:rPr>
            </w:pPr>
            <w:r w:rsidRPr="00C4404D">
              <w:rPr>
                <w:rFonts w:eastAsia="MS PGothic"/>
              </w:rPr>
              <w:t>Week 52</w:t>
            </w:r>
          </w:p>
        </w:tc>
        <w:tc>
          <w:tcPr>
            <w:tcW w:w="607" w:type="pct"/>
            <w:vAlign w:val="center"/>
          </w:tcPr>
          <w:p w14:paraId="275416E9" w14:textId="77777777" w:rsidR="00CC2233" w:rsidRPr="00C4404D" w:rsidRDefault="00CC2233" w:rsidP="00700BF0">
            <w:pPr>
              <w:pStyle w:val="TableText0"/>
              <w:jc w:val="center"/>
              <w:rPr>
                <w:rFonts w:eastAsia="MS PGothic"/>
              </w:rPr>
            </w:pPr>
            <w:r w:rsidRPr="00C4404D">
              <w:rPr>
                <w:rFonts w:eastAsia="MS PGothic"/>
              </w:rPr>
              <w:t>22 (91.7)</w:t>
            </w:r>
          </w:p>
        </w:tc>
        <w:tc>
          <w:tcPr>
            <w:tcW w:w="657" w:type="pct"/>
            <w:vAlign w:val="center"/>
          </w:tcPr>
          <w:p w14:paraId="5FFFB9F1" w14:textId="77777777" w:rsidR="00CC2233" w:rsidRPr="00C4404D" w:rsidRDefault="00CC2233" w:rsidP="00700BF0">
            <w:pPr>
              <w:pStyle w:val="TableText0"/>
              <w:jc w:val="center"/>
              <w:rPr>
                <w:rFonts w:eastAsia="MS PGothic"/>
              </w:rPr>
            </w:pPr>
            <w:r w:rsidRPr="00C4404D">
              <w:rPr>
                <w:rFonts w:eastAsia="MS PGothic"/>
              </w:rPr>
              <w:t>9 (75.0)</w:t>
            </w:r>
          </w:p>
        </w:tc>
        <w:tc>
          <w:tcPr>
            <w:tcW w:w="606" w:type="pct"/>
            <w:vAlign w:val="center"/>
          </w:tcPr>
          <w:p w14:paraId="708D2F76" w14:textId="77777777" w:rsidR="00CC2233" w:rsidRPr="00C4404D" w:rsidRDefault="00CC2233" w:rsidP="00700BF0">
            <w:pPr>
              <w:pStyle w:val="TableText0"/>
              <w:jc w:val="center"/>
            </w:pPr>
            <w:r w:rsidRPr="00C4404D">
              <w:t>31 (86.1)</w:t>
            </w:r>
          </w:p>
        </w:tc>
        <w:tc>
          <w:tcPr>
            <w:tcW w:w="589" w:type="pct"/>
            <w:vAlign w:val="center"/>
          </w:tcPr>
          <w:p w14:paraId="7362A4B2" w14:textId="77777777" w:rsidR="00CC2233" w:rsidRPr="00C4404D" w:rsidRDefault="00CC2233" w:rsidP="00700BF0">
            <w:pPr>
              <w:pStyle w:val="TableText0"/>
              <w:jc w:val="center"/>
              <w:rPr>
                <w:rFonts w:eastAsia="MS PGothic"/>
              </w:rPr>
            </w:pPr>
            <w:r w:rsidRPr="00C4404D">
              <w:rPr>
                <w:rFonts w:eastAsia="MS PGothic"/>
              </w:rPr>
              <w:t>29 (80.6)</w:t>
            </w:r>
          </w:p>
        </w:tc>
        <w:tc>
          <w:tcPr>
            <w:tcW w:w="624" w:type="pct"/>
            <w:vAlign w:val="center"/>
          </w:tcPr>
          <w:p w14:paraId="2A5530FC" w14:textId="77777777" w:rsidR="00CC2233" w:rsidRPr="00C4404D" w:rsidRDefault="00CC2233" w:rsidP="00700BF0">
            <w:pPr>
              <w:pStyle w:val="TableText0"/>
              <w:jc w:val="center"/>
              <w:rPr>
                <w:rFonts w:eastAsia="MS PGothic"/>
              </w:rPr>
            </w:pPr>
            <w:r w:rsidRPr="00C4404D">
              <w:rPr>
                <w:rFonts w:eastAsia="MS PGothic"/>
              </w:rPr>
              <w:t>60 (83.3)</w:t>
            </w:r>
          </w:p>
        </w:tc>
      </w:tr>
      <w:tr w:rsidR="00CC2233" w:rsidRPr="00C4404D" w14:paraId="051064D0" w14:textId="77777777" w:rsidTr="00E30033">
        <w:trPr>
          <w:trHeight w:val="20"/>
        </w:trPr>
        <w:tc>
          <w:tcPr>
            <w:tcW w:w="1464" w:type="pct"/>
            <w:vAlign w:val="center"/>
          </w:tcPr>
          <w:p w14:paraId="6CFD903A" w14:textId="77777777" w:rsidR="00CC2233" w:rsidRPr="00C4404D" w:rsidRDefault="00CC2233" w:rsidP="00700BF0">
            <w:pPr>
              <w:pStyle w:val="TableText0"/>
              <w:rPr>
                <w:b/>
              </w:rPr>
            </w:pPr>
            <w:r w:rsidRPr="00C4404D">
              <w:rPr>
                <w:b/>
              </w:rPr>
              <w:t>CD4 cell counts – change from baseline</w:t>
            </w:r>
          </w:p>
        </w:tc>
        <w:tc>
          <w:tcPr>
            <w:tcW w:w="453" w:type="pct"/>
            <w:vAlign w:val="center"/>
          </w:tcPr>
          <w:p w14:paraId="5692EED7" w14:textId="77777777" w:rsidR="00CC2233" w:rsidRPr="00C4404D" w:rsidRDefault="00CC2233" w:rsidP="00700BF0">
            <w:pPr>
              <w:pStyle w:val="TableText0"/>
              <w:rPr>
                <w:rFonts w:eastAsia="MS PGothic"/>
                <w:b/>
              </w:rPr>
            </w:pPr>
          </w:p>
        </w:tc>
        <w:tc>
          <w:tcPr>
            <w:tcW w:w="607" w:type="pct"/>
            <w:vAlign w:val="center"/>
          </w:tcPr>
          <w:p w14:paraId="5DE18BFD" w14:textId="77777777" w:rsidR="00CC2233" w:rsidRPr="00C4404D" w:rsidRDefault="00CC2233" w:rsidP="00700BF0">
            <w:pPr>
              <w:pStyle w:val="TableText0"/>
              <w:jc w:val="center"/>
              <w:rPr>
                <w:rFonts w:eastAsia="MS PGothic"/>
                <w:b/>
              </w:rPr>
            </w:pPr>
          </w:p>
        </w:tc>
        <w:tc>
          <w:tcPr>
            <w:tcW w:w="657" w:type="pct"/>
            <w:vAlign w:val="center"/>
          </w:tcPr>
          <w:p w14:paraId="30C4599B" w14:textId="77777777" w:rsidR="00CC2233" w:rsidRPr="00C4404D" w:rsidRDefault="00CC2233" w:rsidP="00700BF0">
            <w:pPr>
              <w:pStyle w:val="TableText0"/>
              <w:jc w:val="center"/>
              <w:rPr>
                <w:rFonts w:eastAsia="MS PGothic"/>
                <w:b/>
              </w:rPr>
            </w:pPr>
          </w:p>
        </w:tc>
        <w:tc>
          <w:tcPr>
            <w:tcW w:w="606" w:type="pct"/>
            <w:vAlign w:val="center"/>
          </w:tcPr>
          <w:p w14:paraId="77AE49F9" w14:textId="77777777" w:rsidR="00CC2233" w:rsidRPr="00C4404D" w:rsidRDefault="00CC2233" w:rsidP="00700BF0">
            <w:pPr>
              <w:pStyle w:val="TableText0"/>
              <w:jc w:val="center"/>
              <w:rPr>
                <w:b/>
              </w:rPr>
            </w:pPr>
          </w:p>
        </w:tc>
        <w:tc>
          <w:tcPr>
            <w:tcW w:w="589" w:type="pct"/>
            <w:vAlign w:val="center"/>
          </w:tcPr>
          <w:p w14:paraId="7458DE46" w14:textId="77777777" w:rsidR="00CC2233" w:rsidRPr="00C4404D" w:rsidRDefault="00CC2233" w:rsidP="00700BF0">
            <w:pPr>
              <w:pStyle w:val="TableText0"/>
              <w:jc w:val="center"/>
              <w:rPr>
                <w:rFonts w:eastAsia="MS PGothic"/>
                <w:b/>
              </w:rPr>
            </w:pPr>
          </w:p>
        </w:tc>
        <w:tc>
          <w:tcPr>
            <w:tcW w:w="624" w:type="pct"/>
            <w:vAlign w:val="center"/>
          </w:tcPr>
          <w:p w14:paraId="10541759" w14:textId="77777777" w:rsidR="00CC2233" w:rsidRPr="00C4404D" w:rsidRDefault="00CC2233" w:rsidP="00700BF0">
            <w:pPr>
              <w:pStyle w:val="TableText0"/>
              <w:jc w:val="center"/>
              <w:rPr>
                <w:rFonts w:eastAsia="MS PGothic"/>
                <w:b/>
              </w:rPr>
            </w:pPr>
          </w:p>
        </w:tc>
      </w:tr>
      <w:tr w:rsidR="00CC2233" w:rsidRPr="00C4404D" w14:paraId="727A7707" w14:textId="77777777" w:rsidTr="00E30033">
        <w:trPr>
          <w:trHeight w:val="20"/>
        </w:trPr>
        <w:tc>
          <w:tcPr>
            <w:tcW w:w="1464" w:type="pct"/>
            <w:vAlign w:val="center"/>
          </w:tcPr>
          <w:p w14:paraId="60F82ADF" w14:textId="0490E867" w:rsidR="00CC2233" w:rsidRPr="00C4404D" w:rsidRDefault="00CC2233" w:rsidP="00700BF0">
            <w:pPr>
              <w:pStyle w:val="TableText0"/>
            </w:pPr>
            <w:r w:rsidRPr="00C4404D">
              <w:t>Baseline CD4 cell count (cells/mm</w:t>
            </w:r>
            <w:r w:rsidRPr="00C4404D">
              <w:rPr>
                <w:vertAlign w:val="superscript"/>
              </w:rPr>
              <w:t>3</w:t>
            </w:r>
            <w:r w:rsidRPr="00C4404D">
              <w:t>)</w:t>
            </w:r>
            <w:r w:rsidR="00FE5E4F">
              <w:t>,</w:t>
            </w:r>
            <w:r w:rsidRPr="00C4404D">
              <w:t xml:space="preserve"> mean (SD) (95%</w:t>
            </w:r>
            <w:r w:rsidR="00DF0DA6">
              <w:t xml:space="preserve"> </w:t>
            </w:r>
            <w:r w:rsidRPr="00C4404D">
              <w:t>CI)</w:t>
            </w:r>
          </w:p>
        </w:tc>
        <w:tc>
          <w:tcPr>
            <w:tcW w:w="453" w:type="pct"/>
            <w:vAlign w:val="center"/>
          </w:tcPr>
          <w:p w14:paraId="2B918667" w14:textId="77777777" w:rsidR="00CC2233" w:rsidRPr="00C4404D" w:rsidRDefault="00CC2233" w:rsidP="00700BF0">
            <w:pPr>
              <w:pStyle w:val="TableText0"/>
              <w:rPr>
                <w:rFonts w:eastAsia="MS PGothic"/>
              </w:rPr>
            </w:pPr>
            <w:r w:rsidRPr="00C4404D">
              <w:rPr>
                <w:rFonts w:eastAsia="MS PGothic"/>
              </w:rPr>
              <w:t>Baseline</w:t>
            </w:r>
          </w:p>
        </w:tc>
        <w:tc>
          <w:tcPr>
            <w:tcW w:w="607" w:type="pct"/>
            <w:vAlign w:val="center"/>
          </w:tcPr>
          <w:p w14:paraId="08DDEBA6" w14:textId="77777777" w:rsidR="00CC2233" w:rsidRPr="00C4404D" w:rsidRDefault="00CC2233" w:rsidP="00700BF0">
            <w:pPr>
              <w:pStyle w:val="TableText0"/>
              <w:jc w:val="center"/>
              <w:rPr>
                <w:rFonts w:eastAsia="MS PGothic"/>
              </w:rPr>
            </w:pPr>
            <w:r w:rsidRPr="00C4404D">
              <w:rPr>
                <w:rFonts w:eastAsia="MS PGothic"/>
              </w:rPr>
              <w:t>N=24</w:t>
            </w:r>
          </w:p>
          <w:p w14:paraId="44A5E4B2" w14:textId="77777777" w:rsidR="00CC2233" w:rsidRPr="00C4404D" w:rsidRDefault="00CC2233" w:rsidP="00700BF0">
            <w:pPr>
              <w:pStyle w:val="TableText0"/>
              <w:jc w:val="center"/>
              <w:rPr>
                <w:rFonts w:eastAsia="MS PGothic"/>
              </w:rPr>
            </w:pPr>
            <w:r w:rsidRPr="00C4404D">
              <w:rPr>
                <w:rFonts w:eastAsia="MS PGothic"/>
              </w:rPr>
              <w:t>199 (166.1) (129, 269)</w:t>
            </w:r>
          </w:p>
        </w:tc>
        <w:tc>
          <w:tcPr>
            <w:tcW w:w="657" w:type="pct"/>
            <w:vAlign w:val="center"/>
          </w:tcPr>
          <w:p w14:paraId="2B434CA5" w14:textId="77777777" w:rsidR="00CC2233" w:rsidRPr="00C4404D" w:rsidRDefault="00CC2233" w:rsidP="00700BF0">
            <w:pPr>
              <w:pStyle w:val="TableText0"/>
              <w:jc w:val="center"/>
              <w:rPr>
                <w:rFonts w:eastAsia="MS PGothic"/>
              </w:rPr>
            </w:pPr>
            <w:r w:rsidRPr="00C4404D">
              <w:rPr>
                <w:rFonts w:eastAsia="MS PGothic"/>
              </w:rPr>
              <w:t>N=12</w:t>
            </w:r>
          </w:p>
          <w:p w14:paraId="4FE01076" w14:textId="77777777" w:rsidR="00CC2233" w:rsidRPr="00C4404D" w:rsidRDefault="00CC2233" w:rsidP="00700BF0">
            <w:pPr>
              <w:pStyle w:val="TableText0"/>
              <w:jc w:val="center"/>
              <w:rPr>
                <w:rFonts w:eastAsia="MS PGothic"/>
              </w:rPr>
            </w:pPr>
            <w:r w:rsidRPr="00C4404D">
              <w:rPr>
                <w:rFonts w:eastAsia="MS PGothic"/>
              </w:rPr>
              <w:t>99 (115.9) (25, 173)</w:t>
            </w:r>
          </w:p>
        </w:tc>
        <w:tc>
          <w:tcPr>
            <w:tcW w:w="606" w:type="pct"/>
            <w:vAlign w:val="center"/>
          </w:tcPr>
          <w:p w14:paraId="61E45362" w14:textId="77777777" w:rsidR="00CC2233" w:rsidRPr="00C4404D" w:rsidRDefault="00CC2233" w:rsidP="00700BF0">
            <w:pPr>
              <w:pStyle w:val="TableText0"/>
              <w:jc w:val="center"/>
            </w:pPr>
            <w:r w:rsidRPr="00C4404D">
              <w:t>N=36</w:t>
            </w:r>
          </w:p>
          <w:p w14:paraId="0F5FD29C" w14:textId="77777777" w:rsidR="00CC2233" w:rsidRPr="00C4404D" w:rsidRDefault="00CC2233" w:rsidP="00700BF0">
            <w:pPr>
              <w:pStyle w:val="TableText0"/>
              <w:jc w:val="center"/>
            </w:pPr>
            <w:r w:rsidRPr="00C4404D">
              <w:t>166 (157.0) (113, 219)</w:t>
            </w:r>
          </w:p>
        </w:tc>
        <w:tc>
          <w:tcPr>
            <w:tcW w:w="589" w:type="pct"/>
            <w:vAlign w:val="center"/>
          </w:tcPr>
          <w:p w14:paraId="6A1F75BF" w14:textId="77777777" w:rsidR="00CC2233" w:rsidRPr="00C4404D" w:rsidRDefault="00CC2233" w:rsidP="00700BF0">
            <w:pPr>
              <w:pStyle w:val="TableText0"/>
              <w:jc w:val="center"/>
              <w:rPr>
                <w:rFonts w:eastAsia="MS PGothic"/>
              </w:rPr>
            </w:pPr>
            <w:r w:rsidRPr="00C4404D">
              <w:rPr>
                <w:rFonts w:eastAsia="MS PGothic"/>
              </w:rPr>
              <w:t>N=36</w:t>
            </w:r>
          </w:p>
          <w:p w14:paraId="53F520BD" w14:textId="77777777" w:rsidR="00CC2233" w:rsidRPr="00C4404D" w:rsidRDefault="00CC2233" w:rsidP="00700BF0">
            <w:pPr>
              <w:pStyle w:val="TableText0"/>
              <w:jc w:val="center"/>
              <w:rPr>
                <w:rFonts w:eastAsia="MS PGothic"/>
              </w:rPr>
            </w:pPr>
            <w:r w:rsidRPr="00C4404D">
              <w:rPr>
                <w:rFonts w:eastAsia="MS PGothic"/>
              </w:rPr>
              <w:t>258 (273.4) (165, 350)</w:t>
            </w:r>
          </w:p>
        </w:tc>
        <w:tc>
          <w:tcPr>
            <w:tcW w:w="624" w:type="pct"/>
            <w:vAlign w:val="center"/>
          </w:tcPr>
          <w:p w14:paraId="7DF5D244" w14:textId="77777777" w:rsidR="00CC2233" w:rsidRPr="00C4404D" w:rsidRDefault="00CC2233" w:rsidP="00700BF0">
            <w:pPr>
              <w:pStyle w:val="TableText0"/>
              <w:jc w:val="center"/>
              <w:rPr>
                <w:rFonts w:eastAsia="MS PGothic"/>
              </w:rPr>
            </w:pPr>
            <w:r w:rsidRPr="00C4404D">
              <w:rPr>
                <w:rFonts w:eastAsia="MS PGothic"/>
              </w:rPr>
              <w:t>N=72</w:t>
            </w:r>
          </w:p>
          <w:p w14:paraId="5A907236" w14:textId="77777777" w:rsidR="00CC2233" w:rsidRPr="00C4404D" w:rsidRDefault="00CC2233" w:rsidP="00700BF0">
            <w:pPr>
              <w:pStyle w:val="TableText0"/>
              <w:jc w:val="center"/>
              <w:rPr>
                <w:rFonts w:eastAsia="MS PGothic"/>
              </w:rPr>
            </w:pPr>
            <w:r w:rsidRPr="00C4404D">
              <w:rPr>
                <w:rFonts w:eastAsia="MS PGothic"/>
              </w:rPr>
              <w:t>212 (226.2) (159, 265)</w:t>
            </w:r>
          </w:p>
        </w:tc>
      </w:tr>
      <w:tr w:rsidR="00CC2233" w:rsidRPr="00C4404D" w14:paraId="02D26A9C" w14:textId="77777777" w:rsidTr="00E30033">
        <w:trPr>
          <w:trHeight w:val="20"/>
        </w:trPr>
        <w:tc>
          <w:tcPr>
            <w:tcW w:w="1464" w:type="pct"/>
            <w:vMerge w:val="restart"/>
            <w:vAlign w:val="center"/>
          </w:tcPr>
          <w:p w14:paraId="5F353995" w14:textId="2AA6C92D" w:rsidR="00CC2233" w:rsidRPr="00C4404D" w:rsidRDefault="00CC2233" w:rsidP="00700BF0">
            <w:pPr>
              <w:pStyle w:val="TableText0"/>
            </w:pPr>
            <w:r w:rsidRPr="00C4404D">
              <w:t>Mean change from baseline in CD4 cell count (cells/ mm</w:t>
            </w:r>
            <w:r w:rsidRPr="00C4404D">
              <w:rPr>
                <w:vertAlign w:val="superscript"/>
              </w:rPr>
              <w:t>3</w:t>
            </w:r>
            <w:r w:rsidRPr="00C4404D">
              <w:t>)</w:t>
            </w:r>
            <w:r w:rsidR="00FE5E4F">
              <w:t>,</w:t>
            </w:r>
            <w:r w:rsidRPr="00C4404D">
              <w:t xml:space="preserve"> mean (SD) (95% CI)</w:t>
            </w:r>
          </w:p>
        </w:tc>
        <w:tc>
          <w:tcPr>
            <w:tcW w:w="453" w:type="pct"/>
            <w:vAlign w:val="center"/>
          </w:tcPr>
          <w:p w14:paraId="17EEF4A7" w14:textId="77777777" w:rsidR="00CC2233" w:rsidRPr="00C4404D" w:rsidRDefault="00CC2233" w:rsidP="00700BF0">
            <w:pPr>
              <w:pStyle w:val="TableText0"/>
              <w:rPr>
                <w:rFonts w:eastAsia="MS PGothic"/>
              </w:rPr>
            </w:pPr>
            <w:r w:rsidRPr="00C4404D">
              <w:rPr>
                <w:rFonts w:eastAsia="MS PGothic"/>
              </w:rPr>
              <w:t>Week 26</w:t>
            </w:r>
          </w:p>
        </w:tc>
        <w:tc>
          <w:tcPr>
            <w:tcW w:w="607" w:type="pct"/>
            <w:vAlign w:val="center"/>
          </w:tcPr>
          <w:p w14:paraId="452C773F" w14:textId="77777777" w:rsidR="00CC2233" w:rsidRPr="00C4404D" w:rsidRDefault="00CC2233" w:rsidP="00700BF0">
            <w:pPr>
              <w:pStyle w:val="TableText0"/>
              <w:jc w:val="center"/>
              <w:rPr>
                <w:rFonts w:eastAsia="MS PGothic"/>
              </w:rPr>
            </w:pPr>
            <w:r w:rsidRPr="00C4404D">
              <w:rPr>
                <w:rFonts w:eastAsia="MS PGothic"/>
              </w:rPr>
              <w:t>N=22</w:t>
            </w:r>
          </w:p>
          <w:p w14:paraId="55E777CA" w14:textId="77777777" w:rsidR="00CC2233" w:rsidRPr="00C4404D" w:rsidRDefault="00CC2233" w:rsidP="00700BF0">
            <w:pPr>
              <w:pStyle w:val="TableText0"/>
              <w:jc w:val="center"/>
              <w:rPr>
                <w:rFonts w:eastAsia="MS PGothic"/>
              </w:rPr>
            </w:pPr>
            <w:r w:rsidRPr="00C4404D">
              <w:rPr>
                <w:rFonts w:eastAsia="MS PGothic"/>
              </w:rPr>
              <w:t>68 (80.1)</w:t>
            </w:r>
          </w:p>
          <w:p w14:paraId="2BEB5A4C" w14:textId="77777777" w:rsidR="00CC2233" w:rsidRPr="00C4404D" w:rsidRDefault="00CC2233" w:rsidP="00700BF0">
            <w:pPr>
              <w:pStyle w:val="TableText0"/>
              <w:jc w:val="center"/>
              <w:rPr>
                <w:rFonts w:eastAsia="MS PGothic"/>
              </w:rPr>
            </w:pPr>
            <w:r w:rsidRPr="00C4404D">
              <w:rPr>
                <w:rFonts w:eastAsia="MS PGothic"/>
              </w:rPr>
              <w:t>(33, 104)</w:t>
            </w:r>
          </w:p>
        </w:tc>
        <w:tc>
          <w:tcPr>
            <w:tcW w:w="657" w:type="pct"/>
            <w:vAlign w:val="center"/>
          </w:tcPr>
          <w:p w14:paraId="7EF3EE3F" w14:textId="77777777" w:rsidR="00CC2233" w:rsidRPr="00C4404D" w:rsidRDefault="00CC2233" w:rsidP="00700BF0">
            <w:pPr>
              <w:pStyle w:val="TableText0"/>
              <w:jc w:val="center"/>
              <w:rPr>
                <w:rFonts w:eastAsia="MS PGothic"/>
              </w:rPr>
            </w:pPr>
            <w:r w:rsidRPr="00C4404D">
              <w:rPr>
                <w:rFonts w:eastAsia="MS PGothic"/>
              </w:rPr>
              <w:t>N=12</w:t>
            </w:r>
          </w:p>
          <w:p w14:paraId="6F07E284" w14:textId="77777777" w:rsidR="00CC2233" w:rsidRPr="00C4404D" w:rsidRDefault="00CC2233" w:rsidP="00700BF0">
            <w:pPr>
              <w:pStyle w:val="TableText0"/>
              <w:jc w:val="center"/>
              <w:rPr>
                <w:rFonts w:eastAsia="MS PGothic"/>
              </w:rPr>
            </w:pPr>
            <w:r w:rsidRPr="00C4404D">
              <w:rPr>
                <w:rFonts w:eastAsia="MS PGothic"/>
              </w:rPr>
              <w:t>105 (141.8) (15, 195)</w:t>
            </w:r>
          </w:p>
        </w:tc>
        <w:tc>
          <w:tcPr>
            <w:tcW w:w="606" w:type="pct"/>
            <w:vAlign w:val="center"/>
          </w:tcPr>
          <w:p w14:paraId="1C89D712" w14:textId="77777777" w:rsidR="00CC2233" w:rsidRPr="00C4404D" w:rsidRDefault="00CC2233" w:rsidP="00700BF0">
            <w:pPr>
              <w:pStyle w:val="TableText0"/>
              <w:jc w:val="center"/>
            </w:pPr>
            <w:r w:rsidRPr="00C4404D">
              <w:t>N=34</w:t>
            </w:r>
          </w:p>
          <w:p w14:paraId="6F0C7D6A" w14:textId="77777777" w:rsidR="00CC2233" w:rsidRPr="00C4404D" w:rsidRDefault="00CC2233" w:rsidP="00700BF0">
            <w:pPr>
              <w:pStyle w:val="TableText0"/>
              <w:jc w:val="center"/>
            </w:pPr>
            <w:r w:rsidRPr="00C4404D">
              <w:t>81 (105.4) (44, 118)</w:t>
            </w:r>
          </w:p>
        </w:tc>
        <w:tc>
          <w:tcPr>
            <w:tcW w:w="589" w:type="pct"/>
            <w:vAlign w:val="center"/>
          </w:tcPr>
          <w:p w14:paraId="4D344E55" w14:textId="77777777" w:rsidR="00CC2233" w:rsidRPr="00C4404D" w:rsidRDefault="00CC2233" w:rsidP="00700BF0">
            <w:pPr>
              <w:pStyle w:val="TableText0"/>
              <w:jc w:val="center"/>
              <w:rPr>
                <w:rFonts w:eastAsia="MS PGothic"/>
              </w:rPr>
            </w:pPr>
            <w:r w:rsidRPr="00C4404D">
              <w:rPr>
                <w:rFonts w:eastAsia="MS PGothic"/>
              </w:rPr>
              <w:t>N=33</w:t>
            </w:r>
          </w:p>
          <w:p w14:paraId="6AADF269" w14:textId="77777777" w:rsidR="00CC2233" w:rsidRPr="00C4404D" w:rsidRDefault="00CC2233" w:rsidP="00700BF0">
            <w:pPr>
              <w:pStyle w:val="TableText0"/>
              <w:jc w:val="center"/>
              <w:rPr>
                <w:rFonts w:eastAsia="MS PGothic"/>
              </w:rPr>
            </w:pPr>
            <w:r w:rsidRPr="00C4404D">
              <w:rPr>
                <w:rFonts w:eastAsia="MS PGothic"/>
              </w:rPr>
              <w:t>97 (108.9) (58, 136)</w:t>
            </w:r>
          </w:p>
        </w:tc>
        <w:tc>
          <w:tcPr>
            <w:tcW w:w="624" w:type="pct"/>
            <w:vAlign w:val="center"/>
          </w:tcPr>
          <w:p w14:paraId="2E3996B0" w14:textId="77777777" w:rsidR="00CC2233" w:rsidRPr="00C4404D" w:rsidRDefault="00CC2233" w:rsidP="00700BF0">
            <w:pPr>
              <w:pStyle w:val="TableText0"/>
              <w:jc w:val="center"/>
              <w:rPr>
                <w:rFonts w:eastAsia="MS PGothic"/>
              </w:rPr>
            </w:pPr>
            <w:r w:rsidRPr="00C4404D">
              <w:rPr>
                <w:rFonts w:eastAsia="MS PGothic"/>
              </w:rPr>
              <w:t>N=67</w:t>
            </w:r>
          </w:p>
          <w:p w14:paraId="7256B108" w14:textId="77777777" w:rsidR="00CC2233" w:rsidRPr="00C4404D" w:rsidRDefault="00CC2233" w:rsidP="00700BF0">
            <w:pPr>
              <w:pStyle w:val="TableText0"/>
              <w:jc w:val="center"/>
              <w:rPr>
                <w:rFonts w:eastAsia="MS PGothic"/>
              </w:rPr>
            </w:pPr>
            <w:r w:rsidRPr="00C4404D">
              <w:rPr>
                <w:rFonts w:eastAsia="MS PGothic"/>
              </w:rPr>
              <w:t>89 (106.6) (63, 115)</w:t>
            </w:r>
          </w:p>
        </w:tc>
      </w:tr>
      <w:tr w:rsidR="00CC2233" w:rsidRPr="00C4404D" w14:paraId="005BE765" w14:textId="77777777" w:rsidTr="00E30033">
        <w:trPr>
          <w:trHeight w:val="20"/>
        </w:trPr>
        <w:tc>
          <w:tcPr>
            <w:tcW w:w="1464" w:type="pct"/>
            <w:vMerge/>
            <w:vAlign w:val="center"/>
          </w:tcPr>
          <w:p w14:paraId="5D5088F5" w14:textId="77777777" w:rsidR="00CC2233" w:rsidRPr="00C4404D" w:rsidRDefault="00CC2233" w:rsidP="00700BF0">
            <w:pPr>
              <w:pStyle w:val="TableText0"/>
            </w:pPr>
          </w:p>
        </w:tc>
        <w:tc>
          <w:tcPr>
            <w:tcW w:w="453" w:type="pct"/>
            <w:vAlign w:val="center"/>
          </w:tcPr>
          <w:p w14:paraId="75A3183D" w14:textId="77777777" w:rsidR="00CC2233" w:rsidRPr="00C4404D" w:rsidRDefault="00CC2233" w:rsidP="00700BF0">
            <w:pPr>
              <w:pStyle w:val="TableText0"/>
              <w:rPr>
                <w:rFonts w:eastAsia="MS PGothic"/>
              </w:rPr>
            </w:pPr>
            <w:r w:rsidRPr="00C4404D">
              <w:rPr>
                <w:rFonts w:eastAsia="MS PGothic"/>
              </w:rPr>
              <w:t>Week 52</w:t>
            </w:r>
          </w:p>
        </w:tc>
        <w:tc>
          <w:tcPr>
            <w:tcW w:w="607" w:type="pct"/>
            <w:vAlign w:val="center"/>
          </w:tcPr>
          <w:p w14:paraId="0CE5C8F6" w14:textId="77777777" w:rsidR="00CC2233" w:rsidRPr="00C4404D" w:rsidRDefault="00CC2233" w:rsidP="00700BF0">
            <w:pPr>
              <w:pStyle w:val="TableText0"/>
              <w:jc w:val="center"/>
              <w:rPr>
                <w:rFonts w:eastAsia="MS PGothic"/>
              </w:rPr>
            </w:pPr>
            <w:r w:rsidRPr="00C4404D">
              <w:rPr>
                <w:rFonts w:eastAsia="MS PGothic"/>
              </w:rPr>
              <w:t>N=23</w:t>
            </w:r>
          </w:p>
          <w:p w14:paraId="665B2EF3" w14:textId="77777777" w:rsidR="00CC2233" w:rsidRPr="00C4404D" w:rsidRDefault="00CC2233" w:rsidP="00700BF0">
            <w:pPr>
              <w:pStyle w:val="TableText0"/>
              <w:jc w:val="center"/>
              <w:rPr>
                <w:rFonts w:eastAsia="MS PGothic"/>
              </w:rPr>
            </w:pPr>
            <w:r w:rsidRPr="00C4404D">
              <w:rPr>
                <w:rFonts w:eastAsia="MS PGothic"/>
              </w:rPr>
              <w:t>75 (129.6) (19, 131)</w:t>
            </w:r>
          </w:p>
        </w:tc>
        <w:tc>
          <w:tcPr>
            <w:tcW w:w="657" w:type="pct"/>
            <w:vAlign w:val="center"/>
          </w:tcPr>
          <w:p w14:paraId="53251936" w14:textId="77777777" w:rsidR="00CC2233" w:rsidRPr="00C4404D" w:rsidRDefault="00CC2233" w:rsidP="00700BF0">
            <w:pPr>
              <w:pStyle w:val="TableText0"/>
              <w:jc w:val="center"/>
              <w:rPr>
                <w:rFonts w:eastAsia="MS PGothic"/>
              </w:rPr>
            </w:pPr>
            <w:r w:rsidRPr="00C4404D">
              <w:rPr>
                <w:rFonts w:eastAsia="MS PGothic"/>
              </w:rPr>
              <w:t>N=12</w:t>
            </w:r>
          </w:p>
          <w:p w14:paraId="51450CE6" w14:textId="77777777" w:rsidR="00CC2233" w:rsidRPr="00C4404D" w:rsidRDefault="00CC2233" w:rsidP="00700BF0">
            <w:pPr>
              <w:pStyle w:val="TableText0"/>
              <w:jc w:val="center"/>
              <w:rPr>
                <w:rFonts w:eastAsia="MS PGothic"/>
              </w:rPr>
            </w:pPr>
            <w:r w:rsidRPr="00C4404D">
              <w:rPr>
                <w:rFonts w:eastAsia="MS PGothic"/>
              </w:rPr>
              <w:t>97 (84.6) (43, 150)</w:t>
            </w:r>
          </w:p>
        </w:tc>
        <w:tc>
          <w:tcPr>
            <w:tcW w:w="606" w:type="pct"/>
            <w:vAlign w:val="center"/>
          </w:tcPr>
          <w:p w14:paraId="610CBD0D" w14:textId="77777777" w:rsidR="00CC2233" w:rsidRPr="00C4404D" w:rsidRDefault="00CC2233" w:rsidP="00700BF0">
            <w:pPr>
              <w:pStyle w:val="TableText0"/>
              <w:jc w:val="center"/>
            </w:pPr>
            <w:r w:rsidRPr="00C4404D">
              <w:t>N=35</w:t>
            </w:r>
          </w:p>
          <w:p w14:paraId="40BD9256" w14:textId="77777777" w:rsidR="00CC2233" w:rsidRPr="00C4404D" w:rsidRDefault="00CC2233" w:rsidP="00700BF0">
            <w:pPr>
              <w:pStyle w:val="TableText0"/>
              <w:jc w:val="center"/>
            </w:pPr>
            <w:r w:rsidRPr="00C4404D">
              <w:t>82 (115.3) (43, 122)</w:t>
            </w:r>
          </w:p>
        </w:tc>
        <w:tc>
          <w:tcPr>
            <w:tcW w:w="589" w:type="pct"/>
            <w:vAlign w:val="center"/>
          </w:tcPr>
          <w:p w14:paraId="43A3B553" w14:textId="77777777" w:rsidR="00CC2233" w:rsidRPr="00C4404D" w:rsidRDefault="00CC2233" w:rsidP="00700BF0">
            <w:pPr>
              <w:pStyle w:val="TableText0"/>
              <w:jc w:val="center"/>
              <w:rPr>
                <w:rFonts w:eastAsia="MS PGothic"/>
              </w:rPr>
            </w:pPr>
            <w:r w:rsidRPr="00C4404D">
              <w:rPr>
                <w:rFonts w:eastAsia="MS PGothic"/>
              </w:rPr>
              <w:t>N=31</w:t>
            </w:r>
          </w:p>
          <w:p w14:paraId="7A7000F3" w14:textId="77777777" w:rsidR="00CC2233" w:rsidRPr="00C4404D" w:rsidRDefault="00CC2233" w:rsidP="00700BF0">
            <w:pPr>
              <w:pStyle w:val="TableText0"/>
              <w:jc w:val="center"/>
              <w:rPr>
                <w:rFonts w:eastAsia="MS PGothic"/>
              </w:rPr>
            </w:pPr>
            <w:r w:rsidRPr="00C4404D">
              <w:rPr>
                <w:rFonts w:eastAsia="MS PGothic"/>
              </w:rPr>
              <w:t>113 (117.9) (70, 156)</w:t>
            </w:r>
          </w:p>
        </w:tc>
        <w:tc>
          <w:tcPr>
            <w:tcW w:w="624" w:type="pct"/>
            <w:vAlign w:val="center"/>
          </w:tcPr>
          <w:p w14:paraId="35E15547" w14:textId="77777777" w:rsidR="00CC2233" w:rsidRPr="00C4404D" w:rsidRDefault="00CC2233" w:rsidP="00700BF0">
            <w:pPr>
              <w:pStyle w:val="TableText0"/>
              <w:jc w:val="center"/>
              <w:rPr>
                <w:rFonts w:eastAsia="MS PGothic"/>
              </w:rPr>
            </w:pPr>
            <w:r w:rsidRPr="00C4404D">
              <w:rPr>
                <w:rFonts w:eastAsia="MS PGothic"/>
              </w:rPr>
              <w:t>N=66</w:t>
            </w:r>
          </w:p>
          <w:p w14:paraId="209146F5" w14:textId="77777777" w:rsidR="00CC2233" w:rsidRPr="00C4404D" w:rsidRDefault="00CC2233" w:rsidP="00700BF0">
            <w:pPr>
              <w:pStyle w:val="TableText0"/>
              <w:jc w:val="center"/>
              <w:rPr>
                <w:rFonts w:eastAsia="MS PGothic"/>
              </w:rPr>
            </w:pPr>
            <w:r w:rsidRPr="00C4404D">
              <w:rPr>
                <w:rFonts w:eastAsia="MS PGothic"/>
              </w:rPr>
              <w:t>97 (116.7) (68, 125)</w:t>
            </w:r>
          </w:p>
        </w:tc>
      </w:tr>
    </w:tbl>
    <w:p w14:paraId="3001A548" w14:textId="77777777" w:rsidR="00CE00BD" w:rsidRDefault="00CC2233" w:rsidP="00DE155F">
      <w:pPr>
        <w:pStyle w:val="KMC16-Text"/>
        <w:keepNext/>
        <w:keepLines/>
        <w:spacing w:before="0" w:after="0" w:line="240" w:lineRule="auto"/>
        <w:rPr>
          <w:rFonts w:ascii="Arial Narrow" w:hAnsi="Arial Narrow"/>
          <w:sz w:val="18"/>
          <w:szCs w:val="18"/>
        </w:rPr>
      </w:pPr>
      <w:r w:rsidRPr="00C4404D">
        <w:rPr>
          <w:rFonts w:ascii="Arial Narrow" w:hAnsi="Arial Narrow"/>
          <w:sz w:val="18"/>
          <w:szCs w:val="18"/>
        </w:rPr>
        <w:t>Source: Table 2-27, p110 of the submission.</w:t>
      </w:r>
    </w:p>
    <w:p w14:paraId="60C8BE9E" w14:textId="3DAA2FF2" w:rsidR="00CC2233" w:rsidRPr="00C4404D" w:rsidRDefault="00CC2233" w:rsidP="003B06B4">
      <w:pPr>
        <w:pStyle w:val="KMC16-Text"/>
        <w:keepNext/>
        <w:keepLines/>
        <w:spacing w:before="0" w:after="120" w:line="240" w:lineRule="auto"/>
        <w:rPr>
          <w:rFonts w:ascii="Arial Narrow" w:hAnsi="Arial Narrow"/>
          <w:sz w:val="18"/>
          <w:szCs w:val="18"/>
        </w:rPr>
      </w:pPr>
      <w:r w:rsidRPr="00C4404D">
        <w:rPr>
          <w:rFonts w:ascii="Arial Narrow" w:hAnsi="Arial Narrow"/>
          <w:sz w:val="18"/>
          <w:szCs w:val="18"/>
        </w:rPr>
        <w:t>CI = confidence interval;</w:t>
      </w:r>
      <w:r w:rsidR="00FE5E4F">
        <w:rPr>
          <w:rFonts w:ascii="Arial Narrow" w:hAnsi="Arial Narrow"/>
          <w:sz w:val="18"/>
          <w:szCs w:val="18"/>
        </w:rPr>
        <w:t xml:space="preserve"> FAS, full analysis set;</w:t>
      </w:r>
      <w:r w:rsidRPr="00C4404D">
        <w:rPr>
          <w:rFonts w:ascii="Arial Narrow" w:hAnsi="Arial Narrow"/>
          <w:sz w:val="18"/>
          <w:szCs w:val="18"/>
        </w:rPr>
        <w:t xml:space="preserve"> FDA = Food and Drug administration; LEN = lenacapavir; mL = millilitre OBR = optimised background regimen; SD</w:t>
      </w:r>
      <w:r w:rsidR="003B06B4">
        <w:rPr>
          <w:rFonts w:ascii="Arial Narrow" w:hAnsi="Arial Narrow"/>
          <w:sz w:val="18"/>
          <w:szCs w:val="18"/>
        </w:rPr>
        <w:t> </w:t>
      </w:r>
      <w:r w:rsidRPr="00C4404D">
        <w:rPr>
          <w:rFonts w:ascii="Arial Narrow" w:hAnsi="Arial Narrow"/>
          <w:sz w:val="18"/>
          <w:szCs w:val="18"/>
        </w:rPr>
        <w:t>= standard deviation</w:t>
      </w:r>
    </w:p>
    <w:p w14:paraId="5ACBF4BD" w14:textId="144884BA" w:rsidR="00CC2233" w:rsidRDefault="00CC2233" w:rsidP="00CC2233">
      <w:pPr>
        <w:pStyle w:val="3-BodyText"/>
      </w:pPr>
      <w:r w:rsidRPr="007F3195">
        <w:t xml:space="preserve">As noted previously, beyond the 14-day functional monotherapy period, results were no longer comparative, and </w:t>
      </w:r>
      <w:r w:rsidR="00CE00BD" w:rsidRPr="007F3195">
        <w:t xml:space="preserve">therefore the </w:t>
      </w:r>
      <w:r w:rsidRPr="007F3195">
        <w:t xml:space="preserve">magnitude of benefit beyond 14 days in CAPELLA </w:t>
      </w:r>
      <w:r w:rsidR="006A4A6A" w:rsidRPr="007F3195">
        <w:t xml:space="preserve">is </w:t>
      </w:r>
      <w:r w:rsidR="00CE00BD" w:rsidRPr="007F3195">
        <w:t>uncertain</w:t>
      </w:r>
      <w:r w:rsidRPr="007F3195">
        <w:t>. Point estimates of vir</w:t>
      </w:r>
      <w:r w:rsidR="002D6DDD" w:rsidRPr="007F3195">
        <w:t>o</w:t>
      </w:r>
      <w:r w:rsidRPr="007F3195">
        <w:t>l</w:t>
      </w:r>
      <w:r w:rsidR="002D6DDD" w:rsidRPr="007F3195">
        <w:t>ogic</w:t>
      </w:r>
      <w:r w:rsidRPr="007F3195">
        <w:t xml:space="preserve"> suppression and CD4 </w:t>
      </w:r>
      <w:r w:rsidR="006206F0">
        <w:t xml:space="preserve">cell </w:t>
      </w:r>
      <w:r w:rsidRPr="007F3195">
        <w:t>counts indicate maint</w:t>
      </w:r>
      <w:r w:rsidR="006A4A6A" w:rsidRPr="007F3195">
        <w:t>e</w:t>
      </w:r>
      <w:r w:rsidRPr="007F3195">
        <w:t>n</w:t>
      </w:r>
      <w:r w:rsidR="006A4A6A" w:rsidRPr="007F3195">
        <w:t>ance</w:t>
      </w:r>
      <w:r w:rsidRPr="007F3195">
        <w:t xml:space="preserve"> of </w:t>
      </w:r>
      <w:r w:rsidR="006A4A6A" w:rsidRPr="007F3195">
        <w:t xml:space="preserve">an </w:t>
      </w:r>
      <w:r w:rsidRPr="007F3195">
        <w:t xml:space="preserve">absolute benefit between 26 and 52 weeks. However, confidence intervals were wide across both time points due to the small sample size of the trial, further </w:t>
      </w:r>
      <w:r w:rsidR="00E45442" w:rsidRPr="007F3195">
        <w:t>complicating</w:t>
      </w:r>
      <w:r w:rsidRPr="007F3195">
        <w:t xml:space="preserve"> an assessment of</w:t>
      </w:r>
      <w:r w:rsidR="00E45442" w:rsidRPr="007F3195">
        <w:t xml:space="preserve"> the</w:t>
      </w:r>
      <w:r w:rsidRPr="007F3195">
        <w:t xml:space="preserve"> magnitude of benefit. </w:t>
      </w:r>
      <w:r w:rsidR="006A028F">
        <w:t>The PBAC noted that</w:t>
      </w:r>
      <w:r w:rsidRPr="007F3195">
        <w:t xml:space="preserve"> the OBR used in CAPELLA included ARVs which were not used in comparator studies as well as ARVs that are not commonly available to Australian patients and</w:t>
      </w:r>
      <w:r w:rsidR="006A028F">
        <w:t xml:space="preserve"> considered</w:t>
      </w:r>
      <w:r w:rsidRPr="007F3195">
        <w:t xml:space="preserve"> the results from CAPELLA may be greater than the efficacy of lenacapavir + OBR in the Australian setting.</w:t>
      </w:r>
    </w:p>
    <w:p w14:paraId="5D78D9B7" w14:textId="56065781" w:rsidR="00CC2233" w:rsidRPr="007F3195" w:rsidRDefault="00CC2233" w:rsidP="00CC2233">
      <w:pPr>
        <w:pStyle w:val="3-BodyText"/>
      </w:pPr>
      <w:r w:rsidRPr="007F3195">
        <w:t xml:space="preserve">In CAPELLA, </w:t>
      </w:r>
      <w:r w:rsidR="00F17D66" w:rsidRPr="007F3195">
        <w:t>c</w:t>
      </w:r>
      <w:r w:rsidRPr="007F3195">
        <w:t>apsid genotypic and phenotypic resistance testing was performed on patients with confirmed HIV-1 RNA ≥</w:t>
      </w:r>
      <w:r w:rsidR="00F17D66" w:rsidRPr="007F3195">
        <w:t xml:space="preserve"> </w:t>
      </w:r>
      <w:r w:rsidRPr="007F3195">
        <w:t>50 copies/mL and &lt;</w:t>
      </w:r>
      <w:r w:rsidR="00F17D66" w:rsidRPr="007F3195">
        <w:t xml:space="preserve"> </w:t>
      </w:r>
      <w:r w:rsidRPr="007F3195">
        <w:t>1 log</w:t>
      </w:r>
      <w:r w:rsidRPr="007F3195">
        <w:rPr>
          <w:vertAlign w:val="subscript"/>
        </w:rPr>
        <w:t>10</w:t>
      </w:r>
      <w:r w:rsidRPr="007F3195">
        <w:t xml:space="preserve"> HIV-1 RNA reduction </w:t>
      </w:r>
      <w:r w:rsidRPr="007F3195">
        <w:lastRenderedPageBreak/>
        <w:t xml:space="preserve">from Day 1 at </w:t>
      </w:r>
      <w:r w:rsidR="00F17D66" w:rsidRPr="007F3195">
        <w:t xml:space="preserve">the </w:t>
      </w:r>
      <w:r w:rsidRPr="007F3195">
        <w:t>Week 4 visit, at any visit after achieving HIV-1 RNA &lt;</w:t>
      </w:r>
      <w:r w:rsidR="00F17D66" w:rsidRPr="007F3195">
        <w:t xml:space="preserve"> </w:t>
      </w:r>
      <w:r w:rsidRPr="007F3195">
        <w:t xml:space="preserve">50 copies/mL </w:t>
      </w:r>
      <w:r w:rsidR="00F17D66" w:rsidRPr="007F3195">
        <w:t xml:space="preserve">with a viral load </w:t>
      </w:r>
      <w:r w:rsidRPr="007F3195">
        <w:t>rebound to ≥</w:t>
      </w:r>
      <w:r w:rsidR="00F17D66" w:rsidRPr="007F3195">
        <w:t xml:space="preserve"> </w:t>
      </w:r>
      <w:r w:rsidRPr="007F3195">
        <w:t>50 copies/mL, and at any visit with &gt;</w:t>
      </w:r>
      <w:r w:rsidR="00F17D66" w:rsidRPr="007F3195">
        <w:t xml:space="preserve"> </w:t>
      </w:r>
      <w:r w:rsidRPr="007F3195">
        <w:t>1 log</w:t>
      </w:r>
      <w:r w:rsidRPr="007F3195">
        <w:rPr>
          <w:vertAlign w:val="subscript"/>
        </w:rPr>
        <w:t>10</w:t>
      </w:r>
      <w:r w:rsidRPr="007F3195">
        <w:t xml:space="preserve"> increase from nadir</w:t>
      </w:r>
      <w:r w:rsidR="00F17D66" w:rsidRPr="007F3195">
        <w:t>.</w:t>
      </w:r>
      <w:r w:rsidRPr="007F3195">
        <w:t xml:space="preserve"> HIV-1, protease, reverse-transcriptase, and integrase genotypic and phenotypic testing were performed if </w:t>
      </w:r>
      <w:r w:rsidR="00F17D66" w:rsidRPr="007F3195">
        <w:t xml:space="preserve">viral load </w:t>
      </w:r>
      <w:r w:rsidRPr="007F3195">
        <w:t xml:space="preserve">rebound or suboptimal virologic response </w:t>
      </w:r>
      <w:r w:rsidR="00F22343" w:rsidRPr="007F3195">
        <w:t xml:space="preserve">was </w:t>
      </w:r>
      <w:r w:rsidRPr="007F3195">
        <w:t xml:space="preserve">confirmed. </w:t>
      </w:r>
      <w:r w:rsidR="00BE010C" w:rsidRPr="007F3195">
        <w:t>Eight</w:t>
      </w:r>
      <w:r w:rsidRPr="007F3195">
        <w:t xml:space="preserve"> patients were at high risk of emergent lenacapavir resistance due to having no fully active drugs in OBR (n=4) or inadequate adherence to OBR (n=4). Three patients (one without and two with OBR change) </w:t>
      </w:r>
      <w:r w:rsidR="003C712E" w:rsidRPr="007F3195">
        <w:t xml:space="preserve">obtained HIV-1 RNA &lt; 50 copies/mL </w:t>
      </w:r>
      <w:r w:rsidRPr="007F3195">
        <w:t>at a later visit.</w:t>
      </w:r>
      <w:r w:rsidR="00B24774" w:rsidRPr="007F3195">
        <w:t xml:space="preserve"> </w:t>
      </w:r>
      <w:r w:rsidR="00AB2656">
        <w:t>The PBAC noted that a</w:t>
      </w:r>
      <w:r w:rsidR="00B24774" w:rsidRPr="007F3195">
        <w:t xml:space="preserve"> clear resistance profile of lenacapavir </w:t>
      </w:r>
      <w:r w:rsidR="00F6787E" w:rsidRPr="007F3195">
        <w:t>could not</w:t>
      </w:r>
      <w:r w:rsidR="00B24774" w:rsidRPr="007F3195">
        <w:t xml:space="preserve"> be </w:t>
      </w:r>
      <w:r w:rsidR="00F6787E" w:rsidRPr="007F3195">
        <w:t xml:space="preserve">derived </w:t>
      </w:r>
      <w:r w:rsidR="00B24774" w:rsidRPr="007F3195">
        <w:t xml:space="preserve">from the limited data, but the data suggest that the absence </w:t>
      </w:r>
      <w:r w:rsidR="007038E4" w:rsidRPr="007F3195">
        <w:t xml:space="preserve">of </w:t>
      </w:r>
      <w:r w:rsidR="00B24774" w:rsidRPr="007F3195">
        <w:t xml:space="preserve">fully active </w:t>
      </w:r>
      <w:r w:rsidR="008E7243" w:rsidRPr="007F3195">
        <w:t xml:space="preserve">ARVs </w:t>
      </w:r>
      <w:r w:rsidR="00B24774" w:rsidRPr="007F3195">
        <w:t xml:space="preserve">or inadequate adherence to concomitant treatment may increase </w:t>
      </w:r>
      <w:r w:rsidR="00CB3A1F" w:rsidRPr="007F3195">
        <w:t xml:space="preserve">the </w:t>
      </w:r>
      <w:r w:rsidR="00B24774" w:rsidRPr="007F3195">
        <w:t>risk of lenacapavir resistance developing</w:t>
      </w:r>
      <w:r w:rsidR="00AB2656">
        <w:t xml:space="preserve"> and </w:t>
      </w:r>
      <w:r w:rsidR="002161D5">
        <w:t>also noted that</w:t>
      </w:r>
      <w:r w:rsidR="00AB2656">
        <w:t xml:space="preserve"> the long-term</w:t>
      </w:r>
      <w:r w:rsidR="002161D5">
        <w:t xml:space="preserve"> clinical impact associated with the development of resistance is unknown.</w:t>
      </w:r>
      <w:r w:rsidR="00B24774" w:rsidRPr="007F3195">
        <w:t xml:space="preserve"> </w:t>
      </w:r>
      <w:r w:rsidR="002161D5">
        <w:t xml:space="preserve">The evaluation considered that the development of lenacapavir resistance in the absence of fully active ARVs </w:t>
      </w:r>
      <w:r w:rsidR="00B24774" w:rsidRPr="007F3195">
        <w:t>suggest</w:t>
      </w:r>
      <w:r w:rsidR="002161D5">
        <w:t>s</w:t>
      </w:r>
      <w:r w:rsidR="00B24774" w:rsidRPr="007F3195">
        <w:t xml:space="preserve"> that lenacapav</w:t>
      </w:r>
      <w:r w:rsidR="004F3876" w:rsidRPr="007F3195">
        <w:t>i</w:t>
      </w:r>
      <w:r w:rsidR="00B24774" w:rsidRPr="007F3195">
        <w:t xml:space="preserve">r should not be used as monotherapy or when no effective OBR options remain. </w:t>
      </w:r>
    </w:p>
    <w:p w14:paraId="00452045" w14:textId="5FFD34F8" w:rsidR="00CC2233" w:rsidRPr="007F3195" w:rsidRDefault="00CC2233" w:rsidP="00CC2233">
      <w:pPr>
        <w:pStyle w:val="3-BodyText"/>
      </w:pPr>
      <w:r w:rsidRPr="007F3195">
        <w:t xml:space="preserve">The submission noted that no additional patients with lenacapavir resistance were observed in the randomised cohort after Week 26. All </w:t>
      </w:r>
      <w:r w:rsidR="00720068" w:rsidRPr="007F3195">
        <w:t>eight</w:t>
      </w:r>
      <w:r w:rsidRPr="007F3195">
        <w:t xml:space="preserve"> patients with emergent lenacapavir resistance remained on lenacapavir.</w:t>
      </w:r>
    </w:p>
    <w:p w14:paraId="7B97D70A" w14:textId="537CC227" w:rsidR="00CC2233" w:rsidRPr="007F3195" w:rsidRDefault="005D00AD" w:rsidP="00C143C1">
      <w:pPr>
        <w:pStyle w:val="3-BodyText"/>
      </w:pPr>
      <w:r>
        <w:t xml:space="preserve">The </w:t>
      </w:r>
      <w:r w:rsidR="00CC2233" w:rsidRPr="007F3195">
        <w:t>CAPELLA</w:t>
      </w:r>
      <w:r>
        <w:t xml:space="preserve"> trial</w:t>
      </w:r>
      <w:r w:rsidR="00CC2233" w:rsidRPr="007F3195">
        <w:t xml:space="preserve"> did not include any outcomes related to improved adherence</w:t>
      </w:r>
      <w:r w:rsidR="009D11A8" w:rsidRPr="007F3195">
        <w:t xml:space="preserve"> or </w:t>
      </w:r>
      <w:r w:rsidR="00CC2233" w:rsidRPr="007F3195">
        <w:t>health related quality of life (HR-QoL).</w:t>
      </w:r>
      <w:r w:rsidR="009D11A8" w:rsidRPr="007F3195">
        <w:t xml:space="preserve"> Both of these </w:t>
      </w:r>
      <w:r w:rsidR="00720068" w:rsidRPr="007F3195">
        <w:t>outcomes</w:t>
      </w:r>
      <w:r w:rsidR="00A63BD8" w:rsidRPr="007F3195">
        <w:t xml:space="preserve"> were relevant to the economic model</w:t>
      </w:r>
      <w:r w:rsidR="00720068" w:rsidRPr="007F3195">
        <w:t xml:space="preserve">. </w:t>
      </w:r>
    </w:p>
    <w:p w14:paraId="0E986C84" w14:textId="6375A227" w:rsidR="00CC2233" w:rsidRPr="007F3195" w:rsidRDefault="00CC2233" w:rsidP="00CC2233">
      <w:pPr>
        <w:pStyle w:val="3-BodyText"/>
        <w:rPr>
          <w:color w:val="000000" w:themeColor="text1"/>
        </w:rPr>
      </w:pPr>
      <w:r w:rsidRPr="007F3195">
        <w:fldChar w:fldCharType="begin"/>
      </w:r>
      <w:r w:rsidRPr="007F3195">
        <w:instrText xml:space="preserve"> REF _Ref112943899 \h  \* MERGEFORMAT </w:instrText>
      </w:r>
      <w:r w:rsidRPr="007F3195">
        <w:fldChar w:fldCharType="separate"/>
      </w:r>
      <w:r w:rsidR="0050086F" w:rsidRPr="0050086F">
        <w:rPr>
          <w:rFonts w:eastAsiaTheme="majorEastAsia"/>
        </w:rPr>
        <w:t>Table 6</w:t>
      </w:r>
      <w:r w:rsidRPr="007F3195">
        <w:fldChar w:fldCharType="end"/>
      </w:r>
      <w:r w:rsidRPr="007F3195">
        <w:t xml:space="preserve"> presents the number of patients </w:t>
      </w:r>
      <w:r w:rsidR="001F46EB" w:rsidRPr="007F3195">
        <w:t xml:space="preserve">in the comparator trials </w:t>
      </w:r>
      <w:r w:rsidRPr="007F3195">
        <w:t>with viral load &lt; 50 copies per mL and &lt;</w:t>
      </w:r>
      <w:r w:rsidR="008162FA" w:rsidRPr="007F3195">
        <w:t xml:space="preserve"> </w:t>
      </w:r>
      <w:r w:rsidRPr="007F3195">
        <w:t xml:space="preserve">400 copies per mL at 48 weeks, respectively. </w:t>
      </w:r>
    </w:p>
    <w:p w14:paraId="69D13063" w14:textId="2934EC83" w:rsidR="001F46EB" w:rsidRPr="00C4404D" w:rsidRDefault="005D00AD" w:rsidP="001F46EB">
      <w:pPr>
        <w:pStyle w:val="3-BodyText"/>
        <w:rPr>
          <w:color w:val="000000" w:themeColor="text1"/>
        </w:rPr>
      </w:pPr>
      <w:r>
        <w:t>B</w:t>
      </w:r>
      <w:r w:rsidR="001F46EB" w:rsidRPr="007F3195">
        <w:t>oth raltegravir and maraviroc, the interventions in the BENCHMRK 1 &amp; 2 and MOTIVATE 1 &amp; 2 trials, are PBS listed and included as OBR</w:t>
      </w:r>
      <w:r w:rsidR="002E0FBD">
        <w:t xml:space="preserve">s </w:t>
      </w:r>
      <w:r w:rsidR="001F46EB" w:rsidRPr="007F3195">
        <w:t xml:space="preserve">in the CAPELLA trial. As such, </w:t>
      </w:r>
      <w:r w:rsidR="00C44BCA">
        <w:t xml:space="preserve">the evaluation suggested </w:t>
      </w:r>
      <w:r w:rsidR="001F46EB" w:rsidRPr="007F3195">
        <w:t>it may be more reasonable to use the results of the raltegravir + OBR and maraviroc + OBR arms to inform the efficacy of the comparator instead of the placebo + OBR arms of BENCHMRK 1 &amp; 2 and MOTIVATE 1 &amp; 2 (these results are presented in</w:t>
      </w:r>
      <w:r w:rsidR="001F46EB">
        <w:rPr>
          <w:i/>
          <w:iCs/>
        </w:rPr>
        <w:t xml:space="preserve"> </w:t>
      </w:r>
      <w:r w:rsidR="001F46EB" w:rsidRPr="00EB5A5E">
        <w:t>italics</w:t>
      </w:r>
      <w:r w:rsidR="009B63B9">
        <w:rPr>
          <w:i/>
          <w:iCs/>
        </w:rPr>
        <w:t xml:space="preserve"> </w:t>
      </w:r>
      <w:r w:rsidR="009B63B9" w:rsidRPr="007F3195">
        <w:t xml:space="preserve">in </w:t>
      </w:r>
      <w:r w:rsidR="009B63B9" w:rsidRPr="007F3195">
        <w:fldChar w:fldCharType="begin"/>
      </w:r>
      <w:r w:rsidR="009B63B9" w:rsidRPr="007F3195">
        <w:instrText xml:space="preserve"> REF _Ref112943899 \h  \* MERGEFORMAT </w:instrText>
      </w:r>
      <w:r w:rsidR="009B63B9" w:rsidRPr="007F3195">
        <w:fldChar w:fldCharType="separate"/>
      </w:r>
      <w:r w:rsidR="0050086F" w:rsidRPr="0050086F">
        <w:rPr>
          <w:rFonts w:eastAsiaTheme="majorEastAsia"/>
        </w:rPr>
        <w:t>Table 6</w:t>
      </w:r>
      <w:r w:rsidR="009B63B9" w:rsidRPr="007F3195">
        <w:fldChar w:fldCharType="end"/>
      </w:r>
      <w:r w:rsidR="001F46EB" w:rsidRPr="007F3195">
        <w:t>. Consistent with Australian approved product information, only the twice daily maraviroc intervention arm results from MOTIVATE 1 &amp; 2 were presented).</w:t>
      </w:r>
    </w:p>
    <w:p w14:paraId="5AA2FC7A" w14:textId="15113A8F" w:rsidR="00CC2233" w:rsidRPr="00C4404D" w:rsidRDefault="00CC2233" w:rsidP="00B27FCD">
      <w:pPr>
        <w:keepNext/>
        <w:keepLines/>
        <w:rPr>
          <w:rFonts w:ascii="Arial Narrow" w:hAnsi="Arial Narrow"/>
          <w:b/>
          <w:bCs/>
          <w:sz w:val="20"/>
          <w:szCs w:val="20"/>
        </w:rPr>
      </w:pPr>
      <w:bookmarkStart w:id="35" w:name="_Ref112943899"/>
      <w:r w:rsidRPr="00C4404D">
        <w:rPr>
          <w:rStyle w:val="CommentReference"/>
          <w:rFonts w:eastAsiaTheme="majorEastAsia" w:cstheme="majorBidi"/>
          <w:szCs w:val="24"/>
        </w:rPr>
        <w:lastRenderedPageBreak/>
        <w:t xml:space="preserve">Table </w:t>
      </w:r>
      <w:r w:rsidRPr="00C4404D">
        <w:rPr>
          <w:rStyle w:val="CommentReference"/>
          <w:rFonts w:eastAsiaTheme="majorEastAsia" w:cstheme="majorBidi"/>
          <w:b w:val="0"/>
          <w:szCs w:val="24"/>
        </w:rPr>
        <w:fldChar w:fldCharType="begin"/>
      </w:r>
      <w:r w:rsidRPr="00C4404D">
        <w:rPr>
          <w:rStyle w:val="CommentReference"/>
          <w:rFonts w:eastAsiaTheme="majorEastAsia" w:cstheme="majorBidi"/>
          <w:szCs w:val="24"/>
        </w:rPr>
        <w:instrText xml:space="preserve"> SEQ Table \* ARABIC </w:instrText>
      </w:r>
      <w:r w:rsidRPr="00C4404D">
        <w:rPr>
          <w:rStyle w:val="CommentReference"/>
          <w:rFonts w:eastAsiaTheme="majorEastAsia" w:cstheme="majorBidi"/>
          <w:b w:val="0"/>
          <w:szCs w:val="24"/>
        </w:rPr>
        <w:fldChar w:fldCharType="separate"/>
      </w:r>
      <w:r w:rsidR="0050086F">
        <w:rPr>
          <w:rStyle w:val="CommentReference"/>
          <w:rFonts w:eastAsiaTheme="majorEastAsia" w:cstheme="majorBidi"/>
          <w:noProof/>
          <w:szCs w:val="24"/>
        </w:rPr>
        <w:t>6</w:t>
      </w:r>
      <w:r w:rsidRPr="00C4404D">
        <w:rPr>
          <w:rStyle w:val="CommentReference"/>
          <w:rFonts w:eastAsiaTheme="majorEastAsia" w:cstheme="majorBidi"/>
          <w:b w:val="0"/>
          <w:szCs w:val="24"/>
        </w:rPr>
        <w:fldChar w:fldCharType="end"/>
      </w:r>
      <w:bookmarkEnd w:id="35"/>
      <w:r w:rsidRPr="00C4404D">
        <w:rPr>
          <w:rStyle w:val="CommentReference"/>
          <w:rFonts w:eastAsiaTheme="majorEastAsia" w:cstheme="majorBidi"/>
          <w:szCs w:val="24"/>
        </w:rPr>
        <w:t>:</w:t>
      </w:r>
      <w:r w:rsidRPr="00C4404D">
        <w:rPr>
          <w:rStyle w:val="CommentReference"/>
          <w:szCs w:val="24"/>
        </w:rPr>
        <w:t xml:space="preserve"> </w:t>
      </w:r>
      <w:r w:rsidRPr="00C4404D">
        <w:rPr>
          <w:rFonts w:ascii="Arial Narrow" w:hAnsi="Arial Narrow"/>
          <w:b/>
          <w:bCs/>
          <w:sz w:val="20"/>
          <w:szCs w:val="20"/>
        </w:rPr>
        <w:t>Patients with viral load &lt; 50 and &lt;</w:t>
      </w:r>
      <w:r w:rsidR="008162FA">
        <w:rPr>
          <w:rFonts w:ascii="Arial Narrow" w:hAnsi="Arial Narrow"/>
          <w:b/>
          <w:bCs/>
          <w:sz w:val="20"/>
          <w:szCs w:val="20"/>
        </w:rPr>
        <w:t xml:space="preserve"> </w:t>
      </w:r>
      <w:r w:rsidRPr="00C4404D">
        <w:rPr>
          <w:rFonts w:ascii="Arial Narrow" w:hAnsi="Arial Narrow"/>
          <w:b/>
          <w:bCs/>
          <w:sz w:val="20"/>
          <w:szCs w:val="20"/>
        </w:rPr>
        <w:t>400 copies per mL at week 48 in comparator trials</w:t>
      </w:r>
    </w:p>
    <w:tbl>
      <w:tblPr>
        <w:tblStyle w:val="TableGrid"/>
        <w:tblW w:w="0" w:type="auto"/>
        <w:tblCellMar>
          <w:left w:w="29" w:type="dxa"/>
          <w:right w:w="29" w:type="dxa"/>
        </w:tblCellMar>
        <w:tblLook w:val="04A0" w:firstRow="1" w:lastRow="0" w:firstColumn="1" w:lastColumn="0" w:noHBand="0" w:noVBand="1"/>
      </w:tblPr>
      <w:tblGrid>
        <w:gridCol w:w="2344"/>
        <w:gridCol w:w="2243"/>
        <w:gridCol w:w="988"/>
        <w:gridCol w:w="3442"/>
      </w:tblGrid>
      <w:tr w:rsidR="00CC2233" w:rsidRPr="00A86840" w14:paraId="536EAA33" w14:textId="77777777" w:rsidTr="00700BF0">
        <w:tc>
          <w:tcPr>
            <w:tcW w:w="2344" w:type="dxa"/>
          </w:tcPr>
          <w:p w14:paraId="39BCA9F7" w14:textId="77777777" w:rsidR="00CC2233" w:rsidRPr="00A86840" w:rsidRDefault="00CC2233" w:rsidP="00B27FCD">
            <w:pPr>
              <w:keepNext/>
              <w:keepLines/>
              <w:rPr>
                <w:rFonts w:ascii="Arial Narrow" w:hAnsi="Arial Narrow"/>
                <w:b/>
                <w:bCs/>
                <w:color w:val="000000" w:themeColor="text1"/>
                <w:sz w:val="20"/>
                <w:szCs w:val="20"/>
              </w:rPr>
            </w:pPr>
            <w:r w:rsidRPr="00A86840">
              <w:rPr>
                <w:rFonts w:ascii="Arial Narrow" w:hAnsi="Arial Narrow"/>
                <w:b/>
                <w:bCs/>
                <w:color w:val="000000" w:themeColor="text1"/>
                <w:sz w:val="20"/>
                <w:szCs w:val="20"/>
              </w:rPr>
              <w:t>Study ID</w:t>
            </w:r>
          </w:p>
        </w:tc>
        <w:tc>
          <w:tcPr>
            <w:tcW w:w="2243" w:type="dxa"/>
          </w:tcPr>
          <w:p w14:paraId="15D133D0" w14:textId="77777777" w:rsidR="00CC2233" w:rsidRPr="00A86840" w:rsidRDefault="00CC2233" w:rsidP="00B27FCD">
            <w:pPr>
              <w:keepNext/>
              <w:keepLines/>
              <w:jc w:val="center"/>
              <w:rPr>
                <w:rFonts w:ascii="Arial Narrow" w:hAnsi="Arial Narrow"/>
                <w:b/>
                <w:bCs/>
                <w:color w:val="000000" w:themeColor="text1"/>
                <w:sz w:val="20"/>
                <w:szCs w:val="20"/>
              </w:rPr>
            </w:pPr>
            <w:r w:rsidRPr="00A86840">
              <w:rPr>
                <w:rFonts w:ascii="Arial Narrow" w:hAnsi="Arial Narrow"/>
                <w:b/>
                <w:bCs/>
                <w:color w:val="000000" w:themeColor="text1"/>
                <w:sz w:val="20"/>
                <w:szCs w:val="20"/>
              </w:rPr>
              <w:t>Placebo + OBR</w:t>
            </w:r>
          </w:p>
          <w:p w14:paraId="15BD6631" w14:textId="77777777" w:rsidR="00CC2233" w:rsidRPr="00A86840" w:rsidRDefault="00CC2233" w:rsidP="00B27FCD">
            <w:pPr>
              <w:keepNext/>
              <w:keepLines/>
              <w:jc w:val="center"/>
              <w:rPr>
                <w:rFonts w:ascii="Arial Narrow" w:hAnsi="Arial Narrow"/>
                <w:b/>
                <w:bCs/>
                <w:color w:val="000000" w:themeColor="text1"/>
                <w:sz w:val="20"/>
                <w:szCs w:val="20"/>
              </w:rPr>
            </w:pPr>
            <w:r w:rsidRPr="00A86840">
              <w:rPr>
                <w:rFonts w:ascii="Arial Narrow" w:hAnsi="Arial Narrow"/>
                <w:b/>
                <w:bCs/>
                <w:color w:val="000000" w:themeColor="text1"/>
                <w:sz w:val="20"/>
                <w:szCs w:val="20"/>
              </w:rPr>
              <w:t>n/N (%)</w:t>
            </w:r>
          </w:p>
        </w:tc>
        <w:tc>
          <w:tcPr>
            <w:tcW w:w="4430" w:type="dxa"/>
            <w:gridSpan w:val="2"/>
          </w:tcPr>
          <w:p w14:paraId="1E061F0C" w14:textId="77777777" w:rsidR="00CC2233" w:rsidRPr="00C44BCA" w:rsidRDefault="00CC2233" w:rsidP="00B27FCD">
            <w:pPr>
              <w:keepNext/>
              <w:keepLines/>
              <w:jc w:val="center"/>
              <w:rPr>
                <w:rFonts w:ascii="Arial Narrow" w:hAnsi="Arial Narrow"/>
                <w:b/>
                <w:bCs/>
                <w:color w:val="000000" w:themeColor="text1"/>
                <w:sz w:val="20"/>
                <w:szCs w:val="20"/>
              </w:rPr>
            </w:pPr>
            <w:r w:rsidRPr="00C44BCA">
              <w:rPr>
                <w:rFonts w:ascii="Arial Narrow" w:hAnsi="Arial Narrow"/>
                <w:b/>
                <w:bCs/>
                <w:color w:val="000000" w:themeColor="text1"/>
                <w:sz w:val="20"/>
                <w:szCs w:val="20"/>
              </w:rPr>
              <w:t>Intervention + OBR</w:t>
            </w:r>
          </w:p>
          <w:p w14:paraId="6BE1E081" w14:textId="77777777" w:rsidR="00CC2233" w:rsidRPr="00C44BCA" w:rsidRDefault="00CC2233" w:rsidP="00B27FCD">
            <w:pPr>
              <w:keepNext/>
              <w:keepLines/>
              <w:jc w:val="center"/>
              <w:rPr>
                <w:rFonts w:ascii="Arial Narrow" w:hAnsi="Arial Narrow"/>
                <w:b/>
                <w:bCs/>
                <w:color w:val="000000" w:themeColor="text1"/>
                <w:sz w:val="20"/>
                <w:szCs w:val="20"/>
              </w:rPr>
            </w:pPr>
            <w:r w:rsidRPr="00C44BCA">
              <w:rPr>
                <w:rFonts w:ascii="Arial Narrow" w:hAnsi="Arial Narrow"/>
                <w:b/>
                <w:bCs/>
                <w:color w:val="000000" w:themeColor="text1"/>
                <w:sz w:val="20"/>
                <w:szCs w:val="20"/>
              </w:rPr>
              <w:t>n/N (%)</w:t>
            </w:r>
          </w:p>
        </w:tc>
      </w:tr>
      <w:tr w:rsidR="00CC2233" w:rsidRPr="00A86840" w14:paraId="0A4109D2" w14:textId="77777777" w:rsidTr="00700BF0">
        <w:tc>
          <w:tcPr>
            <w:tcW w:w="9017" w:type="dxa"/>
            <w:gridSpan w:val="4"/>
          </w:tcPr>
          <w:p w14:paraId="578451C0" w14:textId="77EFDD65" w:rsidR="00CC2233" w:rsidRPr="00A86840" w:rsidRDefault="00CC2233" w:rsidP="008162FA">
            <w:pPr>
              <w:keepNext/>
              <w:keepLines/>
              <w:rPr>
                <w:rFonts w:ascii="Arial Narrow" w:hAnsi="Arial Narrow"/>
                <w:b/>
                <w:bCs/>
                <w:color w:val="000000" w:themeColor="text1"/>
                <w:sz w:val="20"/>
                <w:szCs w:val="20"/>
              </w:rPr>
            </w:pPr>
            <w:r w:rsidRPr="00A86840">
              <w:rPr>
                <w:rFonts w:ascii="Arial Narrow" w:hAnsi="Arial Narrow"/>
                <w:b/>
                <w:bCs/>
                <w:color w:val="000000" w:themeColor="text1"/>
                <w:sz w:val="20"/>
                <w:szCs w:val="20"/>
              </w:rPr>
              <w:t>&lt;</w:t>
            </w:r>
            <w:r w:rsidR="008162FA" w:rsidRPr="00A86840">
              <w:rPr>
                <w:rFonts w:ascii="Arial Narrow" w:hAnsi="Arial Narrow"/>
                <w:b/>
                <w:bCs/>
                <w:color w:val="000000" w:themeColor="text1"/>
                <w:sz w:val="20"/>
                <w:szCs w:val="20"/>
              </w:rPr>
              <w:t xml:space="preserve"> </w:t>
            </w:r>
            <w:r w:rsidRPr="00A86840">
              <w:rPr>
                <w:rFonts w:ascii="Arial Narrow" w:hAnsi="Arial Narrow"/>
                <w:b/>
                <w:bCs/>
                <w:color w:val="000000" w:themeColor="text1"/>
                <w:sz w:val="20"/>
                <w:szCs w:val="20"/>
              </w:rPr>
              <w:t xml:space="preserve">50 copies / mL </w:t>
            </w:r>
          </w:p>
        </w:tc>
      </w:tr>
      <w:tr w:rsidR="00CC2233" w:rsidRPr="00A86840" w14:paraId="0FADD543" w14:textId="77777777" w:rsidTr="00700BF0">
        <w:tc>
          <w:tcPr>
            <w:tcW w:w="2344" w:type="dxa"/>
          </w:tcPr>
          <w:p w14:paraId="7C22734F" w14:textId="77777777" w:rsidR="00CC2233" w:rsidRPr="00A86840" w:rsidRDefault="00CC2233" w:rsidP="00B27FCD">
            <w:pPr>
              <w:keepNext/>
              <w:keepLines/>
              <w:rPr>
                <w:rFonts w:ascii="Arial Narrow" w:hAnsi="Arial Narrow"/>
                <w:color w:val="000000" w:themeColor="text1"/>
                <w:sz w:val="20"/>
                <w:szCs w:val="20"/>
              </w:rPr>
            </w:pPr>
            <w:r w:rsidRPr="00A86840">
              <w:rPr>
                <w:rFonts w:ascii="Arial Narrow" w:hAnsi="Arial Narrow"/>
                <w:color w:val="000000" w:themeColor="text1"/>
                <w:sz w:val="20"/>
                <w:szCs w:val="20"/>
              </w:rPr>
              <w:t>BENCHMRK 1</w:t>
            </w:r>
          </w:p>
        </w:tc>
        <w:tc>
          <w:tcPr>
            <w:tcW w:w="2243" w:type="dxa"/>
          </w:tcPr>
          <w:p w14:paraId="50AE9C7A"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37</w:t>
            </w:r>
            <w:r w:rsidRPr="00A86840">
              <w:rPr>
                <w:rFonts w:ascii="Arial Narrow" w:hAnsi="Arial Narrow"/>
                <w:color w:val="000000" w:themeColor="text1"/>
                <w:sz w:val="20"/>
                <w:szCs w:val="20"/>
                <w:vertAlign w:val="superscript"/>
              </w:rPr>
              <w:t>a</w:t>
            </w:r>
            <w:r w:rsidRPr="00A86840">
              <w:rPr>
                <w:rFonts w:ascii="Arial Narrow" w:hAnsi="Arial Narrow"/>
                <w:color w:val="000000" w:themeColor="text1"/>
                <w:sz w:val="20"/>
                <w:szCs w:val="20"/>
              </w:rPr>
              <w:t>/118 (31.4)</w:t>
            </w:r>
          </w:p>
        </w:tc>
        <w:tc>
          <w:tcPr>
            <w:tcW w:w="988" w:type="dxa"/>
            <w:vMerge w:val="restart"/>
            <w:vAlign w:val="center"/>
          </w:tcPr>
          <w:p w14:paraId="55B5DB0C" w14:textId="77777777" w:rsidR="00CC2233" w:rsidRPr="00C44BCA" w:rsidRDefault="00CC2233" w:rsidP="00B27FCD">
            <w:pPr>
              <w:keepNext/>
              <w:keepLines/>
              <w:jc w:val="left"/>
              <w:rPr>
                <w:rFonts w:ascii="Arial Narrow" w:hAnsi="Arial Narrow"/>
                <w:color w:val="000000" w:themeColor="text1"/>
                <w:sz w:val="20"/>
                <w:szCs w:val="20"/>
              </w:rPr>
            </w:pPr>
            <w:r w:rsidRPr="00C44BCA">
              <w:rPr>
                <w:rFonts w:ascii="Arial Narrow" w:hAnsi="Arial Narrow"/>
                <w:color w:val="000000" w:themeColor="text1"/>
                <w:sz w:val="20"/>
                <w:szCs w:val="20"/>
              </w:rPr>
              <w:t>Raltegravir</w:t>
            </w:r>
          </w:p>
        </w:tc>
        <w:tc>
          <w:tcPr>
            <w:tcW w:w="3442" w:type="dxa"/>
          </w:tcPr>
          <w:p w14:paraId="3CA13653"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149</w:t>
            </w:r>
            <w:r w:rsidRPr="00C44BCA">
              <w:rPr>
                <w:rFonts w:ascii="Arial Narrow" w:hAnsi="Arial Narrow"/>
                <w:color w:val="000000" w:themeColor="text1"/>
                <w:sz w:val="20"/>
                <w:szCs w:val="20"/>
                <w:vertAlign w:val="superscript"/>
              </w:rPr>
              <w:t>a</w:t>
            </w:r>
            <w:r w:rsidRPr="00C44BCA">
              <w:rPr>
                <w:rFonts w:ascii="Arial Narrow" w:hAnsi="Arial Narrow"/>
                <w:color w:val="000000" w:themeColor="text1"/>
                <w:sz w:val="20"/>
                <w:szCs w:val="20"/>
              </w:rPr>
              <w:t>/231(64.5)</w:t>
            </w:r>
          </w:p>
        </w:tc>
      </w:tr>
      <w:tr w:rsidR="00CC2233" w:rsidRPr="00A86840" w14:paraId="1080EC8C" w14:textId="77777777" w:rsidTr="00700BF0">
        <w:tc>
          <w:tcPr>
            <w:tcW w:w="2344" w:type="dxa"/>
          </w:tcPr>
          <w:p w14:paraId="1ADB2D48" w14:textId="77777777" w:rsidR="00CC2233" w:rsidRPr="00A86840" w:rsidRDefault="00CC2233" w:rsidP="00B27FCD">
            <w:pPr>
              <w:keepNext/>
              <w:keepLines/>
              <w:rPr>
                <w:rFonts w:ascii="Arial Narrow" w:hAnsi="Arial Narrow"/>
                <w:color w:val="000000" w:themeColor="text1"/>
                <w:sz w:val="20"/>
                <w:szCs w:val="20"/>
              </w:rPr>
            </w:pPr>
            <w:r w:rsidRPr="00A86840">
              <w:rPr>
                <w:rFonts w:ascii="Arial Narrow" w:hAnsi="Arial Narrow"/>
                <w:color w:val="000000" w:themeColor="text1"/>
                <w:sz w:val="20"/>
                <w:szCs w:val="20"/>
              </w:rPr>
              <w:t>BENCHMRK 2</w:t>
            </w:r>
          </w:p>
        </w:tc>
        <w:tc>
          <w:tcPr>
            <w:tcW w:w="2243" w:type="dxa"/>
          </w:tcPr>
          <w:p w14:paraId="6564D0A3"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41</w:t>
            </w:r>
            <w:r w:rsidRPr="00A86840">
              <w:rPr>
                <w:rFonts w:ascii="Arial Narrow" w:hAnsi="Arial Narrow"/>
                <w:color w:val="000000" w:themeColor="text1"/>
                <w:sz w:val="20"/>
                <w:szCs w:val="20"/>
                <w:vertAlign w:val="superscript"/>
              </w:rPr>
              <w:t>a</w:t>
            </w:r>
            <w:r w:rsidRPr="00A86840">
              <w:rPr>
                <w:rFonts w:ascii="Arial Narrow" w:hAnsi="Arial Narrow"/>
                <w:color w:val="000000" w:themeColor="text1"/>
                <w:sz w:val="20"/>
                <w:szCs w:val="20"/>
              </w:rPr>
              <w:t>/119 (34.5)</w:t>
            </w:r>
          </w:p>
        </w:tc>
        <w:tc>
          <w:tcPr>
            <w:tcW w:w="988" w:type="dxa"/>
            <w:vMerge/>
            <w:vAlign w:val="center"/>
          </w:tcPr>
          <w:p w14:paraId="67A4E0DE" w14:textId="77777777" w:rsidR="00CC2233" w:rsidRPr="00C44BCA" w:rsidRDefault="00CC2233" w:rsidP="00B27FCD">
            <w:pPr>
              <w:keepNext/>
              <w:keepLines/>
              <w:jc w:val="left"/>
              <w:rPr>
                <w:rFonts w:ascii="Arial Narrow" w:hAnsi="Arial Narrow"/>
                <w:color w:val="000000" w:themeColor="text1"/>
                <w:sz w:val="20"/>
                <w:szCs w:val="20"/>
              </w:rPr>
            </w:pPr>
          </w:p>
        </w:tc>
        <w:tc>
          <w:tcPr>
            <w:tcW w:w="3442" w:type="dxa"/>
          </w:tcPr>
          <w:p w14:paraId="3B5394D1"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136</w:t>
            </w:r>
            <w:r w:rsidRPr="00C44BCA">
              <w:rPr>
                <w:rFonts w:ascii="Arial Narrow" w:hAnsi="Arial Narrow"/>
                <w:color w:val="000000" w:themeColor="text1"/>
                <w:sz w:val="20"/>
                <w:szCs w:val="20"/>
                <w:vertAlign w:val="superscript"/>
              </w:rPr>
              <w:t>a</w:t>
            </w:r>
            <w:r w:rsidRPr="00C44BCA">
              <w:rPr>
                <w:rFonts w:ascii="Arial Narrow" w:hAnsi="Arial Narrow"/>
                <w:color w:val="000000" w:themeColor="text1"/>
                <w:sz w:val="20"/>
                <w:szCs w:val="20"/>
              </w:rPr>
              <w:t>/228 (59.6)</w:t>
            </w:r>
          </w:p>
        </w:tc>
      </w:tr>
      <w:tr w:rsidR="00CC2233" w:rsidRPr="00A86840" w14:paraId="66D8A07B" w14:textId="77777777" w:rsidTr="00700BF0">
        <w:tc>
          <w:tcPr>
            <w:tcW w:w="2344" w:type="dxa"/>
          </w:tcPr>
          <w:p w14:paraId="3CFF6970" w14:textId="77777777" w:rsidR="00CC2233" w:rsidRPr="00A86840" w:rsidRDefault="00CC2233" w:rsidP="00B27FCD">
            <w:pPr>
              <w:keepNext/>
              <w:keepLines/>
              <w:rPr>
                <w:rFonts w:ascii="Arial Narrow" w:hAnsi="Arial Narrow"/>
                <w:color w:val="000000" w:themeColor="text1"/>
                <w:sz w:val="20"/>
                <w:szCs w:val="20"/>
                <w:vertAlign w:val="superscript"/>
              </w:rPr>
            </w:pPr>
            <w:r w:rsidRPr="00A86840">
              <w:rPr>
                <w:rFonts w:ascii="Arial Narrow" w:hAnsi="Arial Narrow"/>
                <w:color w:val="000000" w:themeColor="text1"/>
                <w:sz w:val="20"/>
                <w:szCs w:val="20"/>
              </w:rPr>
              <w:t>MOTIVATE 1</w:t>
            </w:r>
            <w:r w:rsidRPr="00A86840">
              <w:rPr>
                <w:rFonts w:ascii="Arial Narrow" w:hAnsi="Arial Narrow"/>
                <w:color w:val="000000" w:themeColor="text1"/>
                <w:sz w:val="20"/>
                <w:szCs w:val="20"/>
                <w:vertAlign w:val="superscript"/>
              </w:rPr>
              <w:t>b</w:t>
            </w:r>
          </w:p>
        </w:tc>
        <w:tc>
          <w:tcPr>
            <w:tcW w:w="2243" w:type="dxa"/>
          </w:tcPr>
          <w:p w14:paraId="2D7CB878"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19/118 (16.1)</w:t>
            </w:r>
          </w:p>
        </w:tc>
        <w:tc>
          <w:tcPr>
            <w:tcW w:w="988" w:type="dxa"/>
            <w:vMerge w:val="restart"/>
            <w:vAlign w:val="center"/>
          </w:tcPr>
          <w:p w14:paraId="24BD91B6" w14:textId="4FDFB976" w:rsidR="00CC2233" w:rsidRPr="00C44BCA" w:rsidRDefault="00CC2233" w:rsidP="00B27FCD">
            <w:pPr>
              <w:keepNext/>
              <w:keepLines/>
              <w:jc w:val="left"/>
              <w:rPr>
                <w:rFonts w:ascii="Arial Narrow" w:hAnsi="Arial Narrow"/>
                <w:color w:val="000000" w:themeColor="text1"/>
                <w:sz w:val="20"/>
                <w:szCs w:val="20"/>
              </w:rPr>
            </w:pPr>
            <w:r w:rsidRPr="00C44BCA">
              <w:rPr>
                <w:rFonts w:ascii="Arial Narrow" w:hAnsi="Arial Narrow"/>
                <w:color w:val="000000" w:themeColor="text1"/>
                <w:sz w:val="20"/>
                <w:szCs w:val="20"/>
              </w:rPr>
              <w:t>Maraviroc</w:t>
            </w:r>
            <w:r w:rsidR="00465342" w:rsidRPr="00C44BCA">
              <w:rPr>
                <w:rFonts w:ascii="Arial Narrow" w:hAnsi="Arial Narrow"/>
                <w:color w:val="000000" w:themeColor="text1"/>
                <w:sz w:val="20"/>
                <w:szCs w:val="20"/>
              </w:rPr>
              <w:t xml:space="preserve"> twice daily</w:t>
            </w:r>
          </w:p>
        </w:tc>
        <w:tc>
          <w:tcPr>
            <w:tcW w:w="3442" w:type="dxa"/>
          </w:tcPr>
          <w:p w14:paraId="178BBCD9"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109/235 (46.4)</w:t>
            </w:r>
          </w:p>
        </w:tc>
      </w:tr>
      <w:tr w:rsidR="00CC2233" w:rsidRPr="00A86840" w14:paraId="67DCBAF6" w14:textId="77777777" w:rsidTr="00700BF0">
        <w:tc>
          <w:tcPr>
            <w:tcW w:w="2344" w:type="dxa"/>
          </w:tcPr>
          <w:p w14:paraId="1F916BBF" w14:textId="77777777" w:rsidR="00CC2233" w:rsidRPr="00A86840" w:rsidRDefault="00CC2233" w:rsidP="00B27FCD">
            <w:pPr>
              <w:keepNext/>
              <w:keepLines/>
              <w:rPr>
                <w:rFonts w:ascii="Arial Narrow" w:hAnsi="Arial Narrow"/>
                <w:color w:val="000000" w:themeColor="text1"/>
                <w:sz w:val="20"/>
                <w:szCs w:val="20"/>
                <w:vertAlign w:val="superscript"/>
              </w:rPr>
            </w:pPr>
            <w:r w:rsidRPr="00A86840">
              <w:rPr>
                <w:rFonts w:ascii="Arial Narrow" w:hAnsi="Arial Narrow"/>
                <w:color w:val="000000" w:themeColor="text1"/>
                <w:sz w:val="20"/>
                <w:szCs w:val="20"/>
              </w:rPr>
              <w:t>MOTIVATE 2</w:t>
            </w:r>
            <w:r w:rsidRPr="00A86840">
              <w:rPr>
                <w:rFonts w:ascii="Arial Narrow" w:hAnsi="Arial Narrow"/>
                <w:color w:val="000000" w:themeColor="text1"/>
                <w:sz w:val="20"/>
                <w:szCs w:val="20"/>
                <w:vertAlign w:val="superscript"/>
              </w:rPr>
              <w:t>b</w:t>
            </w:r>
          </w:p>
        </w:tc>
        <w:tc>
          <w:tcPr>
            <w:tcW w:w="2243" w:type="dxa"/>
          </w:tcPr>
          <w:p w14:paraId="28DF48CB"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16/91 (17.6)</w:t>
            </w:r>
          </w:p>
        </w:tc>
        <w:tc>
          <w:tcPr>
            <w:tcW w:w="988" w:type="dxa"/>
            <w:vMerge/>
            <w:vAlign w:val="center"/>
          </w:tcPr>
          <w:p w14:paraId="18F85563" w14:textId="77777777" w:rsidR="00CC2233" w:rsidRPr="00C44BCA" w:rsidRDefault="00CC2233" w:rsidP="00B27FCD">
            <w:pPr>
              <w:keepNext/>
              <w:keepLines/>
              <w:jc w:val="left"/>
              <w:rPr>
                <w:rFonts w:ascii="Arial Narrow" w:hAnsi="Arial Narrow"/>
                <w:color w:val="000000" w:themeColor="text1"/>
                <w:sz w:val="20"/>
                <w:szCs w:val="20"/>
              </w:rPr>
            </w:pPr>
          </w:p>
        </w:tc>
        <w:tc>
          <w:tcPr>
            <w:tcW w:w="3442" w:type="dxa"/>
          </w:tcPr>
          <w:p w14:paraId="09F06EF1"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85/191 (44.5)</w:t>
            </w:r>
          </w:p>
        </w:tc>
      </w:tr>
      <w:tr w:rsidR="00CC2233" w:rsidRPr="00A86840" w14:paraId="2C5B468D" w14:textId="77777777" w:rsidTr="00700BF0">
        <w:tc>
          <w:tcPr>
            <w:tcW w:w="2344" w:type="dxa"/>
          </w:tcPr>
          <w:p w14:paraId="19FD5E0A" w14:textId="77777777" w:rsidR="00CC2233" w:rsidRPr="00A86840" w:rsidRDefault="00CC2233" w:rsidP="00B27FCD">
            <w:pPr>
              <w:keepNext/>
              <w:keepLines/>
              <w:rPr>
                <w:rFonts w:ascii="Arial Narrow" w:hAnsi="Arial Narrow"/>
                <w:color w:val="000000" w:themeColor="text1"/>
                <w:sz w:val="20"/>
                <w:szCs w:val="20"/>
              </w:rPr>
            </w:pPr>
            <w:r w:rsidRPr="00A86840">
              <w:rPr>
                <w:rFonts w:ascii="Arial Narrow" w:hAnsi="Arial Narrow"/>
                <w:color w:val="000000" w:themeColor="text1"/>
                <w:sz w:val="20"/>
                <w:szCs w:val="20"/>
              </w:rPr>
              <w:t>VICTOR-E</w:t>
            </w:r>
          </w:p>
        </w:tc>
        <w:tc>
          <w:tcPr>
            <w:tcW w:w="2243" w:type="dxa"/>
          </w:tcPr>
          <w:p w14:paraId="280D63FA"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5/35 (14.3)</w:t>
            </w:r>
          </w:p>
        </w:tc>
        <w:tc>
          <w:tcPr>
            <w:tcW w:w="988" w:type="dxa"/>
            <w:vAlign w:val="center"/>
          </w:tcPr>
          <w:p w14:paraId="24C12618" w14:textId="77777777" w:rsidR="00CC2233" w:rsidRPr="00C44BCA" w:rsidRDefault="00CC2233" w:rsidP="00B27FCD">
            <w:pPr>
              <w:keepNext/>
              <w:keepLines/>
              <w:jc w:val="left"/>
              <w:rPr>
                <w:rFonts w:ascii="Arial Narrow" w:hAnsi="Arial Narrow"/>
                <w:color w:val="000000" w:themeColor="text1"/>
                <w:sz w:val="20"/>
                <w:szCs w:val="20"/>
              </w:rPr>
            </w:pPr>
            <w:r w:rsidRPr="00C44BCA">
              <w:rPr>
                <w:rFonts w:ascii="Arial Narrow" w:hAnsi="Arial Narrow"/>
                <w:color w:val="000000" w:themeColor="text1"/>
                <w:sz w:val="20"/>
                <w:szCs w:val="20"/>
              </w:rPr>
              <w:t>Vicriviroc</w:t>
            </w:r>
          </w:p>
        </w:tc>
        <w:tc>
          <w:tcPr>
            <w:tcW w:w="3442" w:type="dxa"/>
          </w:tcPr>
          <w:p w14:paraId="20DF2A02" w14:textId="633E7A93" w:rsidR="00CC2233" w:rsidRPr="00C44BCA" w:rsidRDefault="00CC2233" w:rsidP="00B27FCD">
            <w:pPr>
              <w:keepNext/>
              <w:keepLines/>
              <w:jc w:val="center"/>
              <w:rPr>
                <w:rFonts w:ascii="Arial Narrow" w:hAnsi="Arial Narrow"/>
                <w:color w:val="000000" w:themeColor="text1"/>
                <w:sz w:val="20"/>
                <w:szCs w:val="20"/>
                <w:vertAlign w:val="superscript"/>
              </w:rPr>
            </w:pPr>
            <w:r w:rsidRPr="00C44BCA">
              <w:rPr>
                <w:rFonts w:ascii="Arial Narrow" w:hAnsi="Arial Narrow"/>
                <w:color w:val="000000" w:themeColor="text1"/>
                <w:sz w:val="20"/>
                <w:szCs w:val="20"/>
              </w:rPr>
              <w:t>Not relevant</w:t>
            </w:r>
            <w:r w:rsidR="00B27FCD" w:rsidRPr="00C44BCA">
              <w:rPr>
                <w:rFonts w:ascii="Arial Narrow" w:hAnsi="Arial Narrow"/>
                <w:color w:val="000000" w:themeColor="text1"/>
                <w:sz w:val="20"/>
                <w:szCs w:val="20"/>
              </w:rPr>
              <w:t xml:space="preserve"> </w:t>
            </w:r>
            <w:r w:rsidR="00465342" w:rsidRPr="00C44BCA">
              <w:rPr>
                <w:rFonts w:ascii="Arial Narrow" w:hAnsi="Arial Narrow"/>
                <w:color w:val="000000" w:themeColor="text1"/>
                <w:sz w:val="20"/>
                <w:szCs w:val="20"/>
                <w:vertAlign w:val="superscript"/>
              </w:rPr>
              <w:t>b</w:t>
            </w:r>
          </w:p>
        </w:tc>
      </w:tr>
      <w:tr w:rsidR="00CC2233" w:rsidRPr="00A86840" w14:paraId="6E1BE95C" w14:textId="77777777" w:rsidTr="00700BF0">
        <w:tc>
          <w:tcPr>
            <w:tcW w:w="9017" w:type="dxa"/>
            <w:gridSpan w:val="4"/>
          </w:tcPr>
          <w:p w14:paraId="44AE4F10" w14:textId="3427DA56" w:rsidR="00CC2233" w:rsidRPr="009D3066" w:rsidRDefault="00CC2233" w:rsidP="008162FA">
            <w:pPr>
              <w:keepNext/>
              <w:keepLines/>
              <w:rPr>
                <w:rFonts w:ascii="Arial Narrow" w:hAnsi="Arial Narrow"/>
                <w:b/>
                <w:bCs/>
                <w:color w:val="000000" w:themeColor="text1"/>
                <w:sz w:val="20"/>
                <w:szCs w:val="20"/>
              </w:rPr>
            </w:pPr>
            <w:r w:rsidRPr="00A86840">
              <w:rPr>
                <w:rFonts w:ascii="Arial Narrow" w:hAnsi="Arial Narrow"/>
                <w:b/>
                <w:bCs/>
                <w:color w:val="000000" w:themeColor="text1"/>
                <w:sz w:val="20"/>
                <w:szCs w:val="20"/>
              </w:rPr>
              <w:t>&lt;</w:t>
            </w:r>
            <w:r w:rsidR="008162FA" w:rsidRPr="00A86840">
              <w:rPr>
                <w:rFonts w:ascii="Arial Narrow" w:hAnsi="Arial Narrow"/>
                <w:b/>
                <w:bCs/>
                <w:color w:val="000000" w:themeColor="text1"/>
                <w:sz w:val="20"/>
                <w:szCs w:val="20"/>
              </w:rPr>
              <w:t xml:space="preserve"> </w:t>
            </w:r>
            <w:r w:rsidRPr="00A86840">
              <w:rPr>
                <w:rFonts w:ascii="Arial Narrow" w:hAnsi="Arial Narrow"/>
                <w:b/>
                <w:bCs/>
                <w:color w:val="000000" w:themeColor="text1"/>
                <w:sz w:val="20"/>
                <w:szCs w:val="20"/>
              </w:rPr>
              <w:t xml:space="preserve">400 copies / mL </w:t>
            </w:r>
          </w:p>
        </w:tc>
      </w:tr>
      <w:tr w:rsidR="00CC2233" w:rsidRPr="00A86840" w14:paraId="1D00759F" w14:textId="77777777" w:rsidTr="00700BF0">
        <w:tc>
          <w:tcPr>
            <w:tcW w:w="2344" w:type="dxa"/>
          </w:tcPr>
          <w:p w14:paraId="3FD45260" w14:textId="77777777" w:rsidR="00CC2233" w:rsidRPr="00A86840" w:rsidRDefault="00CC2233" w:rsidP="00B27FCD">
            <w:pPr>
              <w:keepNext/>
              <w:keepLines/>
              <w:rPr>
                <w:rFonts w:ascii="Arial Narrow" w:hAnsi="Arial Narrow"/>
                <w:color w:val="000000" w:themeColor="text1"/>
                <w:sz w:val="20"/>
                <w:szCs w:val="20"/>
              </w:rPr>
            </w:pPr>
            <w:r w:rsidRPr="00A86840">
              <w:rPr>
                <w:rFonts w:ascii="Arial Narrow" w:hAnsi="Arial Narrow"/>
                <w:color w:val="000000" w:themeColor="text1"/>
                <w:sz w:val="20"/>
                <w:szCs w:val="20"/>
              </w:rPr>
              <w:t>BENCHMRK 1</w:t>
            </w:r>
          </w:p>
        </w:tc>
        <w:tc>
          <w:tcPr>
            <w:tcW w:w="2243" w:type="dxa"/>
          </w:tcPr>
          <w:p w14:paraId="4F6912B4"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43</w:t>
            </w:r>
            <w:r w:rsidRPr="00A86840">
              <w:rPr>
                <w:rFonts w:ascii="Arial Narrow" w:hAnsi="Arial Narrow"/>
                <w:color w:val="000000" w:themeColor="text1"/>
                <w:sz w:val="20"/>
                <w:szCs w:val="20"/>
                <w:vertAlign w:val="superscript"/>
              </w:rPr>
              <w:t>a</w:t>
            </w:r>
            <w:r w:rsidRPr="00A86840">
              <w:rPr>
                <w:rFonts w:ascii="Arial Narrow" w:hAnsi="Arial Narrow"/>
                <w:color w:val="000000" w:themeColor="text1"/>
                <w:sz w:val="20"/>
                <w:szCs w:val="20"/>
              </w:rPr>
              <w:t>/118 (36.4)</w:t>
            </w:r>
          </w:p>
        </w:tc>
        <w:tc>
          <w:tcPr>
            <w:tcW w:w="988" w:type="dxa"/>
            <w:vMerge w:val="restart"/>
            <w:vAlign w:val="center"/>
          </w:tcPr>
          <w:p w14:paraId="0CFF5777" w14:textId="77777777" w:rsidR="00CC2233" w:rsidRPr="00C44BCA" w:rsidRDefault="00CC2233" w:rsidP="00B27FCD">
            <w:pPr>
              <w:keepNext/>
              <w:keepLines/>
              <w:jc w:val="left"/>
              <w:rPr>
                <w:rFonts w:ascii="Arial Narrow" w:hAnsi="Arial Narrow"/>
                <w:color w:val="000000" w:themeColor="text1"/>
                <w:sz w:val="20"/>
                <w:szCs w:val="20"/>
              </w:rPr>
            </w:pPr>
            <w:r w:rsidRPr="00C44BCA">
              <w:rPr>
                <w:rFonts w:ascii="Arial Narrow" w:hAnsi="Arial Narrow"/>
                <w:color w:val="000000" w:themeColor="text1"/>
                <w:sz w:val="20"/>
                <w:szCs w:val="20"/>
              </w:rPr>
              <w:t>Raltegravir</w:t>
            </w:r>
          </w:p>
        </w:tc>
        <w:tc>
          <w:tcPr>
            <w:tcW w:w="3442" w:type="dxa"/>
          </w:tcPr>
          <w:p w14:paraId="3ACB1C10"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170</w:t>
            </w:r>
            <w:r w:rsidRPr="00C44BCA">
              <w:rPr>
                <w:rFonts w:ascii="Arial Narrow" w:hAnsi="Arial Narrow"/>
                <w:color w:val="000000" w:themeColor="text1"/>
                <w:sz w:val="20"/>
                <w:szCs w:val="20"/>
                <w:vertAlign w:val="superscript"/>
              </w:rPr>
              <w:t>a</w:t>
            </w:r>
            <w:r w:rsidRPr="00C44BCA">
              <w:rPr>
                <w:rFonts w:ascii="Arial Narrow" w:hAnsi="Arial Narrow"/>
                <w:color w:val="000000" w:themeColor="text1"/>
                <w:sz w:val="20"/>
                <w:szCs w:val="20"/>
              </w:rPr>
              <w:t>/231(73.6)</w:t>
            </w:r>
          </w:p>
        </w:tc>
      </w:tr>
      <w:tr w:rsidR="00CC2233" w:rsidRPr="00A86840" w14:paraId="3571052B" w14:textId="77777777" w:rsidTr="00700BF0">
        <w:tc>
          <w:tcPr>
            <w:tcW w:w="2344" w:type="dxa"/>
          </w:tcPr>
          <w:p w14:paraId="35AD0624" w14:textId="77777777" w:rsidR="00CC2233" w:rsidRPr="00A86840" w:rsidRDefault="00CC2233" w:rsidP="00B27FCD">
            <w:pPr>
              <w:keepNext/>
              <w:keepLines/>
              <w:rPr>
                <w:rFonts w:ascii="Arial Narrow" w:hAnsi="Arial Narrow"/>
                <w:color w:val="000000" w:themeColor="text1"/>
                <w:sz w:val="20"/>
                <w:szCs w:val="20"/>
              </w:rPr>
            </w:pPr>
            <w:r w:rsidRPr="00A86840">
              <w:rPr>
                <w:rFonts w:ascii="Arial Narrow" w:hAnsi="Arial Narrow"/>
                <w:color w:val="000000" w:themeColor="text1"/>
                <w:sz w:val="20"/>
                <w:szCs w:val="20"/>
              </w:rPr>
              <w:t>BENCHMRK 2</w:t>
            </w:r>
          </w:p>
        </w:tc>
        <w:tc>
          <w:tcPr>
            <w:tcW w:w="2243" w:type="dxa"/>
          </w:tcPr>
          <w:p w14:paraId="49D16174"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37</w:t>
            </w:r>
            <w:r w:rsidRPr="00A86840">
              <w:rPr>
                <w:rFonts w:ascii="Arial Narrow" w:hAnsi="Arial Narrow"/>
                <w:color w:val="000000" w:themeColor="text1"/>
                <w:sz w:val="20"/>
                <w:szCs w:val="20"/>
                <w:vertAlign w:val="superscript"/>
              </w:rPr>
              <w:t>a</w:t>
            </w:r>
            <w:r w:rsidRPr="00A86840">
              <w:rPr>
                <w:rFonts w:ascii="Arial Narrow" w:hAnsi="Arial Narrow"/>
                <w:color w:val="000000" w:themeColor="text1"/>
                <w:sz w:val="20"/>
                <w:szCs w:val="20"/>
              </w:rPr>
              <w:t>/119 (37.8)</w:t>
            </w:r>
          </w:p>
        </w:tc>
        <w:tc>
          <w:tcPr>
            <w:tcW w:w="988" w:type="dxa"/>
            <w:vMerge/>
            <w:vAlign w:val="center"/>
          </w:tcPr>
          <w:p w14:paraId="009478D6" w14:textId="77777777" w:rsidR="00CC2233" w:rsidRPr="00C44BCA" w:rsidRDefault="00CC2233" w:rsidP="00B27FCD">
            <w:pPr>
              <w:keepNext/>
              <w:keepLines/>
              <w:jc w:val="left"/>
              <w:rPr>
                <w:rFonts w:ascii="Arial Narrow" w:hAnsi="Arial Narrow"/>
                <w:color w:val="000000" w:themeColor="text1"/>
                <w:sz w:val="20"/>
                <w:szCs w:val="20"/>
              </w:rPr>
            </w:pPr>
          </w:p>
        </w:tc>
        <w:tc>
          <w:tcPr>
            <w:tcW w:w="3442" w:type="dxa"/>
          </w:tcPr>
          <w:p w14:paraId="5AEC471D"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162</w:t>
            </w:r>
            <w:r w:rsidRPr="00C44BCA">
              <w:rPr>
                <w:rFonts w:ascii="Arial Narrow" w:hAnsi="Arial Narrow"/>
                <w:color w:val="000000" w:themeColor="text1"/>
                <w:sz w:val="20"/>
                <w:szCs w:val="20"/>
                <w:vertAlign w:val="superscript"/>
              </w:rPr>
              <w:t>a</w:t>
            </w:r>
            <w:r w:rsidRPr="00C44BCA">
              <w:rPr>
                <w:rFonts w:ascii="Arial Narrow" w:hAnsi="Arial Narrow"/>
                <w:color w:val="000000" w:themeColor="text1"/>
                <w:sz w:val="20"/>
                <w:szCs w:val="20"/>
              </w:rPr>
              <w:t>/228 (71.1)</w:t>
            </w:r>
          </w:p>
        </w:tc>
      </w:tr>
      <w:tr w:rsidR="00CC2233" w:rsidRPr="00A86840" w14:paraId="47F7CC7A" w14:textId="77777777" w:rsidTr="00700BF0">
        <w:tc>
          <w:tcPr>
            <w:tcW w:w="2344" w:type="dxa"/>
          </w:tcPr>
          <w:p w14:paraId="4BE01B90" w14:textId="77777777" w:rsidR="00CC2233" w:rsidRPr="00A86840" w:rsidRDefault="00CC2233" w:rsidP="00B27FCD">
            <w:pPr>
              <w:keepNext/>
              <w:keepLines/>
              <w:rPr>
                <w:rFonts w:ascii="Arial Narrow" w:hAnsi="Arial Narrow"/>
                <w:color w:val="000000" w:themeColor="text1"/>
                <w:sz w:val="20"/>
                <w:szCs w:val="20"/>
                <w:vertAlign w:val="superscript"/>
              </w:rPr>
            </w:pPr>
            <w:r w:rsidRPr="00A86840">
              <w:rPr>
                <w:rFonts w:ascii="Arial Narrow" w:hAnsi="Arial Narrow"/>
                <w:color w:val="000000" w:themeColor="text1"/>
                <w:sz w:val="20"/>
                <w:szCs w:val="20"/>
              </w:rPr>
              <w:t>MOTIVATE 1</w:t>
            </w:r>
            <w:r w:rsidRPr="00A86840">
              <w:rPr>
                <w:rFonts w:ascii="Arial Narrow" w:hAnsi="Arial Narrow"/>
                <w:color w:val="000000" w:themeColor="text1"/>
                <w:sz w:val="20"/>
                <w:szCs w:val="20"/>
                <w:vertAlign w:val="superscript"/>
              </w:rPr>
              <w:t>b</w:t>
            </w:r>
          </w:p>
        </w:tc>
        <w:tc>
          <w:tcPr>
            <w:tcW w:w="2243" w:type="dxa"/>
          </w:tcPr>
          <w:p w14:paraId="6F8E2E17"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26/118 (22.0)</w:t>
            </w:r>
          </w:p>
        </w:tc>
        <w:tc>
          <w:tcPr>
            <w:tcW w:w="988" w:type="dxa"/>
            <w:vMerge w:val="restart"/>
            <w:vAlign w:val="center"/>
          </w:tcPr>
          <w:p w14:paraId="3C8B0CD6" w14:textId="241DD789" w:rsidR="00CC2233" w:rsidRPr="00C44BCA" w:rsidRDefault="00CC2233" w:rsidP="00B27FCD">
            <w:pPr>
              <w:keepNext/>
              <w:keepLines/>
              <w:jc w:val="left"/>
              <w:rPr>
                <w:rFonts w:ascii="Arial Narrow" w:hAnsi="Arial Narrow"/>
                <w:color w:val="000000" w:themeColor="text1"/>
                <w:sz w:val="20"/>
                <w:szCs w:val="20"/>
              </w:rPr>
            </w:pPr>
            <w:r w:rsidRPr="00C44BCA">
              <w:rPr>
                <w:rFonts w:ascii="Arial Narrow" w:hAnsi="Arial Narrow"/>
                <w:color w:val="000000" w:themeColor="text1"/>
                <w:sz w:val="20"/>
                <w:szCs w:val="20"/>
              </w:rPr>
              <w:t>Maraviroc</w:t>
            </w:r>
            <w:r w:rsidR="00465342" w:rsidRPr="00C44BCA">
              <w:rPr>
                <w:rFonts w:ascii="Arial Narrow" w:hAnsi="Arial Narrow"/>
                <w:color w:val="000000" w:themeColor="text1"/>
                <w:sz w:val="20"/>
                <w:szCs w:val="20"/>
              </w:rPr>
              <w:t xml:space="preserve"> twice daily</w:t>
            </w:r>
          </w:p>
        </w:tc>
        <w:tc>
          <w:tcPr>
            <w:tcW w:w="3442" w:type="dxa"/>
          </w:tcPr>
          <w:p w14:paraId="3D78378C"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135/235 (57.4)</w:t>
            </w:r>
          </w:p>
        </w:tc>
      </w:tr>
      <w:tr w:rsidR="00CC2233" w:rsidRPr="00A86840" w14:paraId="6FCB74BD" w14:textId="77777777" w:rsidTr="00700BF0">
        <w:tc>
          <w:tcPr>
            <w:tcW w:w="2344" w:type="dxa"/>
          </w:tcPr>
          <w:p w14:paraId="086C3D44" w14:textId="77777777" w:rsidR="00CC2233" w:rsidRPr="00A86840" w:rsidRDefault="00CC2233" w:rsidP="00B27FCD">
            <w:pPr>
              <w:keepNext/>
              <w:keepLines/>
              <w:rPr>
                <w:rFonts w:ascii="Arial Narrow" w:hAnsi="Arial Narrow"/>
                <w:color w:val="000000" w:themeColor="text1"/>
                <w:sz w:val="20"/>
                <w:szCs w:val="20"/>
                <w:vertAlign w:val="superscript"/>
              </w:rPr>
            </w:pPr>
            <w:r w:rsidRPr="00A86840">
              <w:rPr>
                <w:rFonts w:ascii="Arial Narrow" w:hAnsi="Arial Narrow"/>
                <w:color w:val="000000" w:themeColor="text1"/>
                <w:sz w:val="20"/>
                <w:szCs w:val="20"/>
              </w:rPr>
              <w:t>MOTIVATE 2</w:t>
            </w:r>
            <w:r w:rsidRPr="00A86840">
              <w:rPr>
                <w:rFonts w:ascii="Arial Narrow" w:hAnsi="Arial Narrow"/>
                <w:color w:val="000000" w:themeColor="text1"/>
                <w:sz w:val="20"/>
                <w:szCs w:val="20"/>
                <w:vertAlign w:val="superscript"/>
              </w:rPr>
              <w:t>b</w:t>
            </w:r>
          </w:p>
        </w:tc>
        <w:tc>
          <w:tcPr>
            <w:tcW w:w="2243" w:type="dxa"/>
          </w:tcPr>
          <w:p w14:paraId="3B76FE1E"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21/91 (23.1)</w:t>
            </w:r>
          </w:p>
        </w:tc>
        <w:tc>
          <w:tcPr>
            <w:tcW w:w="988" w:type="dxa"/>
            <w:vMerge/>
            <w:vAlign w:val="center"/>
          </w:tcPr>
          <w:p w14:paraId="5EFFA960" w14:textId="77777777" w:rsidR="00CC2233" w:rsidRPr="00C44BCA" w:rsidRDefault="00CC2233" w:rsidP="00B27FCD">
            <w:pPr>
              <w:keepNext/>
              <w:keepLines/>
              <w:jc w:val="left"/>
              <w:rPr>
                <w:rFonts w:ascii="Arial Narrow" w:hAnsi="Arial Narrow"/>
                <w:color w:val="000000" w:themeColor="text1"/>
                <w:sz w:val="20"/>
                <w:szCs w:val="20"/>
              </w:rPr>
            </w:pPr>
          </w:p>
        </w:tc>
        <w:tc>
          <w:tcPr>
            <w:tcW w:w="3442" w:type="dxa"/>
          </w:tcPr>
          <w:p w14:paraId="1111B7F9" w14:textId="77777777" w:rsidR="00CC2233" w:rsidRPr="00C44BCA" w:rsidRDefault="00CC2233" w:rsidP="00B27FCD">
            <w:pPr>
              <w:keepNext/>
              <w:keepLines/>
              <w:jc w:val="center"/>
              <w:rPr>
                <w:rFonts w:ascii="Arial Narrow" w:hAnsi="Arial Narrow"/>
                <w:color w:val="000000" w:themeColor="text1"/>
                <w:sz w:val="20"/>
                <w:szCs w:val="20"/>
              </w:rPr>
            </w:pPr>
            <w:r w:rsidRPr="00C44BCA">
              <w:rPr>
                <w:rFonts w:ascii="Arial Narrow" w:hAnsi="Arial Narrow"/>
                <w:color w:val="000000" w:themeColor="text1"/>
                <w:sz w:val="20"/>
                <w:szCs w:val="20"/>
              </w:rPr>
              <w:t>105/191 (55.0)</w:t>
            </w:r>
          </w:p>
        </w:tc>
      </w:tr>
      <w:tr w:rsidR="00CC2233" w:rsidRPr="00A86840" w14:paraId="41F57B49" w14:textId="77777777" w:rsidTr="00700BF0">
        <w:tc>
          <w:tcPr>
            <w:tcW w:w="2344" w:type="dxa"/>
          </w:tcPr>
          <w:p w14:paraId="6B4A7A15" w14:textId="77777777" w:rsidR="00CC2233" w:rsidRPr="00A86840" w:rsidRDefault="00CC2233" w:rsidP="00B27FCD">
            <w:pPr>
              <w:keepNext/>
              <w:keepLines/>
              <w:rPr>
                <w:rFonts w:ascii="Arial Narrow" w:hAnsi="Arial Narrow"/>
                <w:color w:val="000000" w:themeColor="text1"/>
                <w:sz w:val="20"/>
                <w:szCs w:val="20"/>
              </w:rPr>
            </w:pPr>
            <w:r w:rsidRPr="00A86840">
              <w:rPr>
                <w:rFonts w:ascii="Arial Narrow" w:hAnsi="Arial Narrow"/>
                <w:color w:val="000000" w:themeColor="text1"/>
                <w:sz w:val="20"/>
                <w:szCs w:val="20"/>
              </w:rPr>
              <w:t>VICTOR-E</w:t>
            </w:r>
          </w:p>
        </w:tc>
        <w:tc>
          <w:tcPr>
            <w:tcW w:w="2243" w:type="dxa"/>
          </w:tcPr>
          <w:p w14:paraId="233A688C" w14:textId="77777777" w:rsidR="00CC2233" w:rsidRPr="00A86840" w:rsidRDefault="00CC2233" w:rsidP="00B27FCD">
            <w:pPr>
              <w:keepNext/>
              <w:keepLines/>
              <w:jc w:val="center"/>
              <w:rPr>
                <w:rFonts w:ascii="Arial Narrow" w:hAnsi="Arial Narrow"/>
                <w:color w:val="000000" w:themeColor="text1"/>
                <w:sz w:val="20"/>
                <w:szCs w:val="20"/>
              </w:rPr>
            </w:pPr>
            <w:r w:rsidRPr="00A86840">
              <w:rPr>
                <w:rFonts w:ascii="Arial Narrow" w:hAnsi="Arial Narrow"/>
                <w:color w:val="000000" w:themeColor="text1"/>
                <w:sz w:val="20"/>
                <w:szCs w:val="20"/>
              </w:rPr>
              <w:t>9/35 (25.7)</w:t>
            </w:r>
          </w:p>
        </w:tc>
        <w:tc>
          <w:tcPr>
            <w:tcW w:w="988" w:type="dxa"/>
            <w:vAlign w:val="center"/>
          </w:tcPr>
          <w:p w14:paraId="12C99283" w14:textId="77777777" w:rsidR="00CC2233" w:rsidRPr="00C44BCA" w:rsidRDefault="00CC2233" w:rsidP="00B27FCD">
            <w:pPr>
              <w:keepNext/>
              <w:keepLines/>
              <w:jc w:val="left"/>
              <w:rPr>
                <w:rFonts w:ascii="Arial Narrow" w:hAnsi="Arial Narrow"/>
                <w:color w:val="000000" w:themeColor="text1"/>
                <w:sz w:val="20"/>
                <w:szCs w:val="20"/>
              </w:rPr>
            </w:pPr>
            <w:r w:rsidRPr="00C44BCA">
              <w:rPr>
                <w:rFonts w:ascii="Arial Narrow" w:hAnsi="Arial Narrow"/>
                <w:color w:val="000000" w:themeColor="text1"/>
                <w:sz w:val="20"/>
                <w:szCs w:val="20"/>
              </w:rPr>
              <w:t>Vicriviroc</w:t>
            </w:r>
          </w:p>
        </w:tc>
        <w:tc>
          <w:tcPr>
            <w:tcW w:w="3442" w:type="dxa"/>
          </w:tcPr>
          <w:p w14:paraId="5A066249" w14:textId="05EDFCE8" w:rsidR="00CC2233" w:rsidRPr="00C44BCA" w:rsidRDefault="00CC2233" w:rsidP="00B27FCD">
            <w:pPr>
              <w:keepNext/>
              <w:keepLines/>
              <w:jc w:val="center"/>
              <w:rPr>
                <w:rFonts w:ascii="Arial Narrow" w:hAnsi="Arial Narrow"/>
                <w:color w:val="000000" w:themeColor="text1"/>
                <w:sz w:val="20"/>
                <w:szCs w:val="20"/>
                <w:vertAlign w:val="superscript"/>
              </w:rPr>
            </w:pPr>
            <w:r w:rsidRPr="00C44BCA">
              <w:rPr>
                <w:rFonts w:ascii="Arial Narrow" w:hAnsi="Arial Narrow"/>
                <w:color w:val="000000" w:themeColor="text1"/>
                <w:sz w:val="20"/>
                <w:szCs w:val="20"/>
              </w:rPr>
              <w:t>Not relevant</w:t>
            </w:r>
            <w:r w:rsidR="00B27FCD" w:rsidRPr="00C44BCA">
              <w:rPr>
                <w:rFonts w:ascii="Arial Narrow" w:hAnsi="Arial Narrow"/>
                <w:color w:val="000000" w:themeColor="text1"/>
                <w:sz w:val="20"/>
                <w:szCs w:val="20"/>
              </w:rPr>
              <w:t xml:space="preserve"> </w:t>
            </w:r>
            <w:r w:rsidR="00465342" w:rsidRPr="00C44BCA">
              <w:rPr>
                <w:rFonts w:ascii="Arial Narrow" w:hAnsi="Arial Narrow"/>
                <w:color w:val="000000" w:themeColor="text1"/>
                <w:sz w:val="20"/>
                <w:szCs w:val="20"/>
                <w:vertAlign w:val="superscript"/>
              </w:rPr>
              <w:t>b</w:t>
            </w:r>
          </w:p>
        </w:tc>
      </w:tr>
    </w:tbl>
    <w:p w14:paraId="01878786" w14:textId="7213F03D" w:rsidR="00CC2233" w:rsidRDefault="00CC2233" w:rsidP="00B27FCD">
      <w:pPr>
        <w:keepNext/>
        <w:keepLines/>
        <w:rPr>
          <w:rFonts w:ascii="Arial Narrow" w:hAnsi="Arial Narrow"/>
          <w:color w:val="000000" w:themeColor="text1"/>
          <w:sz w:val="18"/>
          <w:szCs w:val="18"/>
        </w:rPr>
      </w:pPr>
      <w:r w:rsidRPr="00C4404D">
        <w:rPr>
          <w:rFonts w:ascii="Arial Narrow" w:hAnsi="Arial Narrow"/>
          <w:color w:val="000000" w:themeColor="text1"/>
          <w:sz w:val="18"/>
          <w:szCs w:val="18"/>
        </w:rPr>
        <w:t>Source: Table 2-36, p120 and Table 2-37, p121 of the submission.</w:t>
      </w:r>
    </w:p>
    <w:p w14:paraId="5AA44FDD" w14:textId="6D263B9C" w:rsidR="00D07145" w:rsidRPr="00C4404D" w:rsidRDefault="00D07145" w:rsidP="00B27FCD">
      <w:pPr>
        <w:keepNext/>
        <w:keepLines/>
        <w:rPr>
          <w:rFonts w:ascii="Arial Narrow" w:hAnsi="Arial Narrow"/>
          <w:color w:val="000000" w:themeColor="text1"/>
          <w:sz w:val="18"/>
          <w:szCs w:val="18"/>
        </w:rPr>
      </w:pPr>
      <w:r>
        <w:rPr>
          <w:rFonts w:ascii="Arial Narrow" w:hAnsi="Arial Narrow"/>
          <w:color w:val="000000" w:themeColor="text1"/>
          <w:sz w:val="18"/>
          <w:szCs w:val="18"/>
        </w:rPr>
        <w:t>OBR = optimised background regimen; mL = millilitre</w:t>
      </w:r>
    </w:p>
    <w:p w14:paraId="4766D7A7" w14:textId="3CC2A359" w:rsidR="00CC2233" w:rsidRPr="00EB5A5E" w:rsidRDefault="00CC2233" w:rsidP="00B27FCD">
      <w:pPr>
        <w:keepNext/>
        <w:keepLines/>
        <w:rPr>
          <w:rFonts w:ascii="Arial Narrow" w:hAnsi="Arial Narrow"/>
          <w:color w:val="000000" w:themeColor="text1"/>
          <w:sz w:val="18"/>
          <w:szCs w:val="18"/>
        </w:rPr>
      </w:pPr>
      <w:r w:rsidRPr="00EB5A5E">
        <w:rPr>
          <w:rFonts w:ascii="Arial Narrow" w:hAnsi="Arial Narrow"/>
          <w:color w:val="000000" w:themeColor="text1"/>
          <w:sz w:val="18"/>
          <w:szCs w:val="18"/>
        </w:rPr>
        <w:t>a calculated from reported percentages</w:t>
      </w:r>
    </w:p>
    <w:p w14:paraId="7ACDBC2E" w14:textId="50145252" w:rsidR="00CC2233" w:rsidRPr="00C4404D" w:rsidRDefault="00465342" w:rsidP="00073E97">
      <w:pPr>
        <w:keepNext/>
        <w:keepLines/>
        <w:rPr>
          <w:rFonts w:ascii="Arial Narrow" w:hAnsi="Arial Narrow"/>
          <w:color w:val="000000" w:themeColor="text1"/>
          <w:sz w:val="18"/>
          <w:szCs w:val="18"/>
        </w:rPr>
      </w:pPr>
      <w:r w:rsidRPr="00EB5A5E">
        <w:rPr>
          <w:rFonts w:ascii="Arial Narrow" w:hAnsi="Arial Narrow"/>
          <w:color w:val="000000" w:themeColor="text1"/>
          <w:sz w:val="18"/>
          <w:szCs w:val="18"/>
        </w:rPr>
        <w:t>b</w:t>
      </w:r>
      <w:r w:rsidR="00CC2233" w:rsidRPr="00C4404D">
        <w:rPr>
          <w:rFonts w:ascii="Arial Narrow" w:hAnsi="Arial Narrow"/>
          <w:color w:val="000000" w:themeColor="text1"/>
          <w:sz w:val="18"/>
          <w:szCs w:val="18"/>
          <w:vertAlign w:val="superscript"/>
        </w:rPr>
        <w:t xml:space="preserve"> </w:t>
      </w:r>
      <w:r w:rsidR="00CC2233" w:rsidRPr="00C4404D">
        <w:rPr>
          <w:rFonts w:ascii="Arial Narrow" w:hAnsi="Arial Narrow"/>
          <w:color w:val="000000" w:themeColor="text1"/>
          <w:sz w:val="18"/>
          <w:szCs w:val="18"/>
        </w:rPr>
        <w:t>Vicriviroc, the intervention in VICTOR-E is not TGA approved or PBS listed and is thus not expected to be a relevant addition to OBR in the Australian context</w:t>
      </w:r>
      <w:r w:rsidR="00EB5A5E">
        <w:rPr>
          <w:rFonts w:ascii="Arial Narrow" w:hAnsi="Arial Narrow"/>
          <w:color w:val="000000" w:themeColor="text1"/>
          <w:sz w:val="18"/>
          <w:szCs w:val="18"/>
        </w:rPr>
        <w:t>.</w:t>
      </w:r>
    </w:p>
    <w:p w14:paraId="41B933C3" w14:textId="77777777" w:rsidR="00CC2233" w:rsidRPr="00C4404D" w:rsidRDefault="00CC2233" w:rsidP="00CC2233">
      <w:pPr>
        <w:ind w:left="720" w:hanging="720"/>
        <w:rPr>
          <w:rFonts w:ascii="Arial Narrow" w:hAnsi="Arial Narrow"/>
          <w:color w:val="000000" w:themeColor="text1"/>
          <w:sz w:val="18"/>
          <w:szCs w:val="18"/>
        </w:rPr>
      </w:pPr>
    </w:p>
    <w:p w14:paraId="79038DD6" w14:textId="4488F59E" w:rsidR="00CC2233" w:rsidRPr="007F3195" w:rsidRDefault="00CC2233" w:rsidP="00CC2233">
      <w:pPr>
        <w:pStyle w:val="3-BodyText"/>
        <w:rPr>
          <w:color w:val="000000" w:themeColor="text1"/>
        </w:rPr>
      </w:pPr>
      <w:r w:rsidRPr="007F3195">
        <w:rPr>
          <w:color w:val="000000" w:themeColor="text1"/>
        </w:rPr>
        <w:t>The raltegravir + OBR and maraviroc + OBR arms</w:t>
      </w:r>
      <w:r w:rsidR="0021006B">
        <w:rPr>
          <w:color w:val="000000" w:themeColor="text1"/>
        </w:rPr>
        <w:t xml:space="preserve"> (i.e. active treatment arms)</w:t>
      </w:r>
      <w:r w:rsidRPr="007F3195">
        <w:rPr>
          <w:color w:val="000000" w:themeColor="text1"/>
        </w:rPr>
        <w:t xml:space="preserve"> had</w:t>
      </w:r>
      <w:r w:rsidR="008162FA" w:rsidRPr="007F3195">
        <w:rPr>
          <w:color w:val="000000" w:themeColor="text1"/>
        </w:rPr>
        <w:t xml:space="preserve"> a</w:t>
      </w:r>
      <w:r w:rsidRPr="007F3195">
        <w:rPr>
          <w:color w:val="000000" w:themeColor="text1"/>
        </w:rPr>
        <w:t xml:space="preserve"> substantially higher proportion of patients who experienced vir</w:t>
      </w:r>
      <w:r w:rsidR="002D6DDD" w:rsidRPr="007F3195">
        <w:rPr>
          <w:color w:val="000000" w:themeColor="text1"/>
        </w:rPr>
        <w:t>o</w:t>
      </w:r>
      <w:r w:rsidRPr="007F3195">
        <w:rPr>
          <w:color w:val="000000" w:themeColor="text1"/>
        </w:rPr>
        <w:t>l</w:t>
      </w:r>
      <w:r w:rsidR="002D6DDD" w:rsidRPr="007F3195">
        <w:rPr>
          <w:color w:val="000000" w:themeColor="text1"/>
        </w:rPr>
        <w:t>ogic</w:t>
      </w:r>
      <w:r w:rsidRPr="007F3195">
        <w:rPr>
          <w:color w:val="000000" w:themeColor="text1"/>
        </w:rPr>
        <w:t xml:space="preserve"> suppression than the placebo + OBR arms, which suggests that the proportion of patients who experienced vir</w:t>
      </w:r>
      <w:r w:rsidR="002D6DDD" w:rsidRPr="007F3195">
        <w:rPr>
          <w:color w:val="000000" w:themeColor="text1"/>
        </w:rPr>
        <w:t>o</w:t>
      </w:r>
      <w:r w:rsidRPr="007F3195">
        <w:rPr>
          <w:color w:val="000000" w:themeColor="text1"/>
        </w:rPr>
        <w:t>l</w:t>
      </w:r>
      <w:r w:rsidR="002D6DDD" w:rsidRPr="007F3195">
        <w:rPr>
          <w:color w:val="000000" w:themeColor="text1"/>
        </w:rPr>
        <w:t>ogic</w:t>
      </w:r>
      <w:r w:rsidRPr="007F3195">
        <w:rPr>
          <w:color w:val="000000" w:themeColor="text1"/>
        </w:rPr>
        <w:t xml:space="preserve"> suppression for OBR may be underestimated in the submission’s </w:t>
      </w:r>
      <w:r w:rsidR="00E703DF" w:rsidRPr="007F3195">
        <w:rPr>
          <w:color w:val="000000" w:themeColor="text1"/>
        </w:rPr>
        <w:t xml:space="preserve">unanchored </w:t>
      </w:r>
      <w:r w:rsidRPr="007F3195">
        <w:rPr>
          <w:color w:val="000000" w:themeColor="text1"/>
        </w:rPr>
        <w:t xml:space="preserve">comparison as these arms were not included in the estimates. </w:t>
      </w:r>
    </w:p>
    <w:p w14:paraId="18654E52" w14:textId="605CB02A" w:rsidR="00CC2233" w:rsidRPr="002D0859" w:rsidRDefault="004C6D63" w:rsidP="005636B2">
      <w:pPr>
        <w:pStyle w:val="3-BodyText"/>
        <w:rPr>
          <w:color w:val="000000" w:themeColor="text1"/>
        </w:rPr>
      </w:pPr>
      <w:r w:rsidRPr="002D0859">
        <w:rPr>
          <w:color w:val="000000" w:themeColor="text1"/>
        </w:rPr>
        <w:t>As previously stated, the submission based the comparison on meta-analysed values of viral load at Week 48 in the comparator trials.</w:t>
      </w:r>
      <w:r w:rsidR="00CC2233" w:rsidRPr="002D0859">
        <w:rPr>
          <w:color w:val="000000" w:themeColor="text1"/>
        </w:rPr>
        <w:t xml:space="preserve"> </w:t>
      </w:r>
      <w:r w:rsidR="00CC2233" w:rsidRPr="00C4404D">
        <w:fldChar w:fldCharType="begin"/>
      </w:r>
      <w:r w:rsidR="00CC2233" w:rsidRPr="00C4404D">
        <w:instrText xml:space="preserve"> REF _Ref112943086 \h  \* MERGEFORMAT </w:instrText>
      </w:r>
      <w:r w:rsidR="00CC2233" w:rsidRPr="00C4404D">
        <w:fldChar w:fldCharType="separate"/>
      </w:r>
      <w:r w:rsidR="0050086F" w:rsidRPr="0050086F">
        <w:t>Figure 2</w:t>
      </w:r>
      <w:r w:rsidR="00CC2233" w:rsidRPr="00C4404D">
        <w:fldChar w:fldCharType="end"/>
      </w:r>
      <w:r w:rsidR="00CC2233" w:rsidRPr="00C4404D">
        <w:t xml:space="preserve"> and </w:t>
      </w:r>
      <w:r w:rsidR="00CC2233" w:rsidRPr="00C4404D">
        <w:fldChar w:fldCharType="begin"/>
      </w:r>
      <w:r w:rsidR="00CC2233" w:rsidRPr="00C4404D">
        <w:instrText xml:space="preserve"> REF _Ref112943097 \h  \* MERGEFORMAT </w:instrText>
      </w:r>
      <w:r w:rsidR="00CC2233" w:rsidRPr="00C4404D">
        <w:fldChar w:fldCharType="separate"/>
      </w:r>
      <w:r w:rsidR="0050086F" w:rsidRPr="0050086F">
        <w:t>Figure 3</w:t>
      </w:r>
      <w:r w:rsidR="00CC2233" w:rsidRPr="00C4404D">
        <w:fldChar w:fldCharType="end"/>
      </w:r>
      <w:r w:rsidR="00CC2233" w:rsidRPr="002D0859">
        <w:rPr>
          <w:color w:val="000000" w:themeColor="text1"/>
        </w:rPr>
        <w:t xml:space="preserve"> present the meta-analyses for viral load &lt;</w:t>
      </w:r>
      <w:r w:rsidR="000D6EAE">
        <w:rPr>
          <w:color w:val="000000" w:themeColor="text1"/>
        </w:rPr>
        <w:t xml:space="preserve"> </w:t>
      </w:r>
      <w:r w:rsidR="00CC2233" w:rsidRPr="002D0859">
        <w:rPr>
          <w:color w:val="000000" w:themeColor="text1"/>
        </w:rPr>
        <w:t>50 copies/mL at week 48 and viral load &lt;</w:t>
      </w:r>
      <w:r w:rsidR="000D6EAE">
        <w:rPr>
          <w:color w:val="000000" w:themeColor="text1"/>
        </w:rPr>
        <w:t xml:space="preserve"> </w:t>
      </w:r>
      <w:r w:rsidR="00CC2233" w:rsidRPr="002D0859">
        <w:rPr>
          <w:color w:val="000000" w:themeColor="text1"/>
        </w:rPr>
        <w:t>400 copies/mL at week 48, respectively.</w:t>
      </w:r>
    </w:p>
    <w:p w14:paraId="017A51C5" w14:textId="72A5942F" w:rsidR="00CC2233" w:rsidRPr="00C4404D" w:rsidRDefault="00CC2233" w:rsidP="00CC2233">
      <w:pPr>
        <w:pStyle w:val="TableFigureHeading"/>
      </w:pPr>
      <w:bookmarkStart w:id="36" w:name="_Ref112943086"/>
      <w:r w:rsidRPr="00C4404D">
        <w:rPr>
          <w:szCs w:val="20"/>
        </w:rPr>
        <w:t xml:space="preserve">Figure </w:t>
      </w:r>
      <w:r w:rsidRPr="00C4404D">
        <w:rPr>
          <w:szCs w:val="20"/>
        </w:rPr>
        <w:fldChar w:fldCharType="begin"/>
      </w:r>
      <w:r w:rsidRPr="00C4404D">
        <w:rPr>
          <w:szCs w:val="20"/>
        </w:rPr>
        <w:instrText xml:space="preserve"> SEQ Figure \* MERGEFORMAT </w:instrText>
      </w:r>
      <w:r w:rsidRPr="00C4404D">
        <w:rPr>
          <w:szCs w:val="20"/>
        </w:rPr>
        <w:fldChar w:fldCharType="separate"/>
      </w:r>
      <w:r w:rsidR="0050086F" w:rsidRPr="0050086F">
        <w:rPr>
          <w:noProof/>
        </w:rPr>
        <w:t>2</w:t>
      </w:r>
      <w:r w:rsidRPr="00C4404D">
        <w:rPr>
          <w:szCs w:val="20"/>
        </w:rPr>
        <w:fldChar w:fldCharType="end"/>
      </w:r>
      <w:bookmarkEnd w:id="36"/>
      <w:r w:rsidRPr="00C4404D">
        <w:rPr>
          <w:szCs w:val="20"/>
        </w:rPr>
        <w:t xml:space="preserve">: </w:t>
      </w:r>
      <w:r w:rsidRPr="00C4404D">
        <w:t>Meta-analysis of risk for ‘patients with viral load &lt;</w:t>
      </w:r>
      <w:r w:rsidR="000D6EAE">
        <w:t xml:space="preserve"> </w:t>
      </w:r>
      <w:r w:rsidRPr="00C4404D">
        <w:t>50 copies mL’ at Week 48 in the comparator (OBR + placebo) studies</w:t>
      </w:r>
    </w:p>
    <w:p w14:paraId="4C9FABF6" w14:textId="77777777" w:rsidR="00CC2233" w:rsidRPr="00C4404D" w:rsidRDefault="00CC2233" w:rsidP="00CC2233">
      <w:pPr>
        <w:jc w:val="center"/>
      </w:pPr>
      <w:r w:rsidRPr="00C4404D">
        <w:rPr>
          <w:noProof/>
        </w:rPr>
        <w:drawing>
          <wp:inline distT="0" distB="0" distL="0" distR="0" wp14:anchorId="7406BDCF" wp14:editId="09FF5339">
            <wp:extent cx="5736418" cy="1659834"/>
            <wp:effectExtent l="0" t="0" r="4445" b="4445"/>
            <wp:docPr id="18" name="Picture 18" descr="Figure 2: Meta-analysis of risk for ‘patients with viral load &lt; 50 copies mL’ at Week 48 in the comparator (OBR + placebo)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2: Meta-analysis of risk for ‘patients with viral load &lt; 50 copies mL’ at Week 48 in the comparator (OBR + placebo) studi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6615" cy="1671465"/>
                    </a:xfrm>
                    <a:prstGeom prst="rect">
                      <a:avLst/>
                    </a:prstGeom>
                    <a:noFill/>
                  </pic:spPr>
                </pic:pic>
              </a:graphicData>
            </a:graphic>
          </wp:inline>
        </w:drawing>
      </w:r>
    </w:p>
    <w:p w14:paraId="2494DB74" w14:textId="3965C7BC" w:rsidR="00CC2233" w:rsidRDefault="00CC2233" w:rsidP="00073E97">
      <w:pPr>
        <w:jc w:val="left"/>
        <w:rPr>
          <w:rFonts w:ascii="Arial Narrow" w:hAnsi="Arial Narrow"/>
          <w:color w:val="000000" w:themeColor="text1"/>
          <w:sz w:val="18"/>
          <w:szCs w:val="18"/>
        </w:rPr>
      </w:pPr>
      <w:r w:rsidRPr="00C4404D">
        <w:rPr>
          <w:rFonts w:ascii="Arial Narrow" w:hAnsi="Arial Narrow"/>
          <w:color w:val="000000" w:themeColor="text1"/>
          <w:sz w:val="18"/>
          <w:szCs w:val="18"/>
        </w:rPr>
        <w:t>Source: Figure 2.6, p121 of the submission.</w:t>
      </w:r>
    </w:p>
    <w:p w14:paraId="10AC3D95" w14:textId="5B570795" w:rsidR="00D07145" w:rsidRPr="00C4404D" w:rsidRDefault="00D07145" w:rsidP="00380759">
      <w:pPr>
        <w:spacing w:after="120"/>
        <w:jc w:val="left"/>
        <w:rPr>
          <w:rFonts w:ascii="Arial Narrow" w:hAnsi="Arial Narrow"/>
          <w:color w:val="000000" w:themeColor="text1"/>
          <w:sz w:val="18"/>
          <w:szCs w:val="18"/>
        </w:rPr>
      </w:pPr>
      <w:r>
        <w:rPr>
          <w:rFonts w:ascii="Arial Narrow" w:hAnsi="Arial Narrow"/>
          <w:color w:val="000000" w:themeColor="text1"/>
          <w:sz w:val="18"/>
          <w:szCs w:val="18"/>
        </w:rPr>
        <w:t xml:space="preserve">CI = confidence interval; </w:t>
      </w:r>
      <w:r w:rsidR="00915A8E">
        <w:rPr>
          <w:rFonts w:ascii="Arial Narrow" w:hAnsi="Arial Narrow"/>
          <w:color w:val="000000" w:themeColor="text1"/>
          <w:sz w:val="18"/>
          <w:szCs w:val="18"/>
        </w:rPr>
        <w:t xml:space="preserve">OBR, optimised background regimen; </w:t>
      </w:r>
      <w:r>
        <w:rPr>
          <w:rFonts w:ascii="Arial Narrow" w:hAnsi="Arial Narrow"/>
          <w:color w:val="000000" w:themeColor="text1"/>
          <w:sz w:val="18"/>
          <w:szCs w:val="18"/>
        </w:rPr>
        <w:t>SE = standard deviation</w:t>
      </w:r>
      <w:r w:rsidR="00915A8E">
        <w:rPr>
          <w:rFonts w:ascii="Arial Narrow" w:hAnsi="Arial Narrow"/>
          <w:color w:val="000000" w:themeColor="text1"/>
          <w:sz w:val="18"/>
          <w:szCs w:val="18"/>
        </w:rPr>
        <w:t xml:space="preserve"> </w:t>
      </w:r>
    </w:p>
    <w:p w14:paraId="7DB3C355" w14:textId="59645671" w:rsidR="00CC2233" w:rsidRPr="00380759" w:rsidRDefault="00614986" w:rsidP="00CC2233">
      <w:pPr>
        <w:rPr>
          <w:rFonts w:ascii="Arial Narrow" w:hAnsi="Arial Narrow"/>
          <w:i/>
          <w:iCs/>
          <w:color w:val="000000" w:themeColor="text1"/>
          <w:sz w:val="18"/>
          <w:szCs w:val="18"/>
        </w:rPr>
      </w:pPr>
      <w:r w:rsidRPr="00380759">
        <w:rPr>
          <w:rFonts w:ascii="Arial Narrow" w:hAnsi="Arial Narrow"/>
          <w:i/>
          <w:iCs/>
          <w:color w:val="000000" w:themeColor="text1"/>
          <w:sz w:val="18"/>
          <w:szCs w:val="18"/>
        </w:rPr>
        <w:t>Note: The results presented in Figure 2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p w14:paraId="74599E0B" w14:textId="384F08C6" w:rsidR="00CC2233" w:rsidRPr="00C4404D" w:rsidRDefault="00CC2233" w:rsidP="00CC2233">
      <w:pPr>
        <w:pStyle w:val="TableFigureHeading"/>
      </w:pPr>
      <w:bookmarkStart w:id="37" w:name="_Ref112943097"/>
      <w:r w:rsidRPr="00C4404D">
        <w:rPr>
          <w:szCs w:val="20"/>
        </w:rPr>
        <w:lastRenderedPageBreak/>
        <w:t xml:space="preserve">Figure </w:t>
      </w:r>
      <w:r w:rsidRPr="00C4404D">
        <w:rPr>
          <w:szCs w:val="20"/>
        </w:rPr>
        <w:fldChar w:fldCharType="begin"/>
      </w:r>
      <w:r w:rsidRPr="00C4404D">
        <w:rPr>
          <w:szCs w:val="20"/>
        </w:rPr>
        <w:instrText xml:space="preserve"> SEQ Figure \* MERGEFORMAT </w:instrText>
      </w:r>
      <w:r w:rsidRPr="00C4404D">
        <w:rPr>
          <w:szCs w:val="20"/>
        </w:rPr>
        <w:fldChar w:fldCharType="separate"/>
      </w:r>
      <w:r w:rsidR="0050086F" w:rsidRPr="0050086F">
        <w:rPr>
          <w:noProof/>
        </w:rPr>
        <w:t>3</w:t>
      </w:r>
      <w:r w:rsidRPr="00C4404D">
        <w:rPr>
          <w:szCs w:val="20"/>
        </w:rPr>
        <w:fldChar w:fldCharType="end"/>
      </w:r>
      <w:bookmarkEnd w:id="37"/>
      <w:r w:rsidRPr="00C4404D">
        <w:t>: Meta-analysis of risk difference for ‘patients with viral load &lt;</w:t>
      </w:r>
      <w:r w:rsidR="00915A8E">
        <w:t xml:space="preserve"> </w:t>
      </w:r>
      <w:r w:rsidRPr="00C4404D">
        <w:t>400 copies mL’ at Week 48 in the OBR + placebo arms</w:t>
      </w:r>
    </w:p>
    <w:p w14:paraId="2D110A1A" w14:textId="77777777" w:rsidR="00CC2233" w:rsidRPr="00C4404D" w:rsidRDefault="00CC2233" w:rsidP="00073E97">
      <w:pPr>
        <w:pStyle w:val="KMC16-Text"/>
        <w:spacing w:before="0" w:after="0"/>
        <w:jc w:val="left"/>
      </w:pPr>
      <w:r w:rsidRPr="00C4404D">
        <w:rPr>
          <w:noProof/>
        </w:rPr>
        <w:drawing>
          <wp:inline distT="0" distB="0" distL="0" distR="0" wp14:anchorId="18D3B55B" wp14:editId="2C9FF925">
            <wp:extent cx="6236312" cy="1524000"/>
            <wp:effectExtent l="0" t="0" r="0" b="0"/>
            <wp:docPr id="19" name="Picture 19" descr="Figure 3: Meta-analysis of risk difference for ‘patients with viral load &lt; 400 copies mL’ at Week 48 in the OBR + placebo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3: Meta-analysis of risk difference for ‘patients with viral load &lt; 400 copies mL’ at Week 48 in the OBR + placebo arms"/>
                    <pic:cNvPicPr/>
                  </pic:nvPicPr>
                  <pic:blipFill rotWithShape="1">
                    <a:blip r:embed="rId10" cstate="email">
                      <a:extLst>
                        <a:ext uri="{28A0092B-C50C-407E-A947-70E740481C1C}">
                          <a14:useLocalDpi xmlns:a14="http://schemas.microsoft.com/office/drawing/2010/main"/>
                        </a:ext>
                      </a:extLst>
                    </a:blip>
                    <a:srcRect t="32178" b="28627"/>
                    <a:stretch/>
                  </pic:blipFill>
                  <pic:spPr bwMode="auto">
                    <a:xfrm>
                      <a:off x="0" y="0"/>
                      <a:ext cx="6241530" cy="1525275"/>
                    </a:xfrm>
                    <a:prstGeom prst="rect">
                      <a:avLst/>
                    </a:prstGeom>
                    <a:ln>
                      <a:noFill/>
                    </a:ln>
                    <a:extLst>
                      <a:ext uri="{53640926-AAD7-44D8-BBD7-CCE9431645EC}">
                        <a14:shadowObscured xmlns:a14="http://schemas.microsoft.com/office/drawing/2010/main"/>
                      </a:ext>
                    </a:extLst>
                  </pic:spPr>
                </pic:pic>
              </a:graphicData>
            </a:graphic>
          </wp:inline>
        </w:drawing>
      </w:r>
    </w:p>
    <w:p w14:paraId="01BD55E6" w14:textId="1B017926" w:rsidR="00CC2233" w:rsidRDefault="00CC2233" w:rsidP="00D07145">
      <w:pPr>
        <w:pStyle w:val="KMC16-Text"/>
        <w:spacing w:before="0" w:after="0" w:line="240" w:lineRule="auto"/>
        <w:jc w:val="left"/>
        <w:rPr>
          <w:rFonts w:ascii="Arial Narrow" w:hAnsi="Arial Narrow"/>
          <w:sz w:val="18"/>
          <w:szCs w:val="18"/>
        </w:rPr>
      </w:pPr>
      <w:r w:rsidRPr="00C4404D">
        <w:rPr>
          <w:rFonts w:ascii="Arial Narrow" w:hAnsi="Arial Narrow"/>
          <w:sz w:val="18"/>
          <w:szCs w:val="18"/>
        </w:rPr>
        <w:t>Source: Figure 2.7, p122 of the submission.</w:t>
      </w:r>
    </w:p>
    <w:p w14:paraId="429145A6" w14:textId="3108EB41" w:rsidR="00D07145" w:rsidRDefault="00D07145" w:rsidP="00380759">
      <w:pPr>
        <w:spacing w:after="120"/>
        <w:jc w:val="left"/>
        <w:rPr>
          <w:rFonts w:ascii="Arial Narrow" w:hAnsi="Arial Narrow"/>
          <w:color w:val="000000" w:themeColor="text1"/>
          <w:sz w:val="18"/>
          <w:szCs w:val="18"/>
        </w:rPr>
      </w:pPr>
      <w:r>
        <w:rPr>
          <w:rFonts w:ascii="Arial Narrow" w:hAnsi="Arial Narrow"/>
          <w:color w:val="000000" w:themeColor="text1"/>
          <w:sz w:val="18"/>
          <w:szCs w:val="18"/>
        </w:rPr>
        <w:t xml:space="preserve">CI = confidence interval; </w:t>
      </w:r>
      <w:r w:rsidR="00915A8E">
        <w:rPr>
          <w:rFonts w:ascii="Arial Narrow" w:hAnsi="Arial Narrow"/>
          <w:color w:val="000000" w:themeColor="text1"/>
          <w:sz w:val="18"/>
          <w:szCs w:val="18"/>
        </w:rPr>
        <w:t xml:space="preserve">OBR, optimised background regimen; </w:t>
      </w:r>
      <w:r>
        <w:rPr>
          <w:rFonts w:ascii="Arial Narrow" w:hAnsi="Arial Narrow"/>
          <w:color w:val="000000" w:themeColor="text1"/>
          <w:sz w:val="18"/>
          <w:szCs w:val="18"/>
        </w:rPr>
        <w:t>SE = standard deviation</w:t>
      </w:r>
    </w:p>
    <w:p w14:paraId="3E35E837" w14:textId="5EFDB6E2" w:rsidR="00614986" w:rsidRPr="00E660CD" w:rsidRDefault="00614986" w:rsidP="00D07145">
      <w:pPr>
        <w:jc w:val="left"/>
        <w:rPr>
          <w:rFonts w:ascii="Arial Narrow" w:hAnsi="Arial Narrow"/>
          <w:color w:val="000000" w:themeColor="text1"/>
          <w:sz w:val="18"/>
          <w:szCs w:val="18"/>
        </w:rPr>
      </w:pPr>
      <w:r w:rsidRPr="00380759">
        <w:rPr>
          <w:rFonts w:ascii="Arial Narrow" w:hAnsi="Arial Narrow" w:cstheme="minorHAnsi"/>
          <w:i/>
          <w:iCs/>
          <w:sz w:val="18"/>
          <w:szCs w:val="18"/>
        </w:rPr>
        <w:t>Note: The results presented in Figure 3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p w14:paraId="0E8AD79F" w14:textId="229CBB6E" w:rsidR="0085073E" w:rsidRDefault="0085073E" w:rsidP="005B1CE7">
      <w:pPr>
        <w:pStyle w:val="3-BodyText"/>
        <w:spacing w:before="120"/>
      </w:pPr>
      <w:r w:rsidRPr="00C4404D">
        <w:t>The submission considered that the higher response seen in the BENCHMRK studies compared with the other studies in the comparison was expected to be due to patients in the placebo + OBR arm being permitted to receive open-label raltegravir. The submission considered that the higher virologic suppression rate observed in BENCHMRK</w:t>
      </w:r>
      <w:r w:rsidR="00BC231C">
        <w:t xml:space="preserve"> </w:t>
      </w:r>
      <w:r w:rsidRPr="00C4404D">
        <w:t xml:space="preserve">1 relative to the other placebo + OBR studies was likely due to some patients not just receiving placebo + OBR, potentially biasing the indirect comparison against the CAPELLA results. </w:t>
      </w:r>
      <w:r w:rsidR="001E009C" w:rsidRPr="007F3195">
        <w:t>This</w:t>
      </w:r>
      <w:r w:rsidR="000B0208">
        <w:t xml:space="preserve"> evaluation considered this</w:t>
      </w:r>
      <w:r w:rsidR="001E009C" w:rsidRPr="007F3195">
        <w:t xml:space="preserve"> interpretation was incorrect</w:t>
      </w:r>
      <w:r w:rsidR="000B0208">
        <w:t xml:space="preserve"> and</w:t>
      </w:r>
      <w:r w:rsidR="001E009C" w:rsidRPr="007F3195">
        <w:t xml:space="preserve"> </w:t>
      </w:r>
      <w:r w:rsidR="000B0208">
        <w:t>i</w:t>
      </w:r>
      <w:r w:rsidRPr="007F3195">
        <w:t xml:space="preserve">ncluding INSTIs in OBR </w:t>
      </w:r>
      <w:r w:rsidR="00B41A5A" w:rsidRPr="007F3195">
        <w:t xml:space="preserve">actually </w:t>
      </w:r>
      <w:r w:rsidR="001E009C" w:rsidRPr="007F3195">
        <w:t xml:space="preserve">reduced bias as this better reflected </w:t>
      </w:r>
      <w:r w:rsidRPr="007F3195">
        <w:t xml:space="preserve">the current Australian setting. </w:t>
      </w:r>
    </w:p>
    <w:p w14:paraId="621A7E8A" w14:textId="4E3955A2" w:rsidR="00A7242E" w:rsidRPr="00E52AC5" w:rsidRDefault="00A7242E" w:rsidP="00A7242E">
      <w:pPr>
        <w:pStyle w:val="3-BodyText"/>
      </w:pPr>
      <w:r w:rsidRPr="00E52AC5">
        <w:t xml:space="preserve">The PSCR acknowledged the availability of ARVs has changed over time, however stated the selection of trials sought to align with CAPELLA where possible and included the INSTI class under the conditions of (1) publication post-2007, (2) the study populations were in patients who had failed or were resistant to 3 or more ARV classes, and (3) had a PBO + OBR arm (i.e. not an intervention arm with no prior experience to that ARV class). The PSCR strongly argued that, while the BENCHMRK 1 &amp; 2 (raltegravir) and MOTIVATE 1 &amp; 2 trials (maraviroc) met these criteria, it was highly inappropriate to include the intervention arms of these trials as the patient populations were specifically naïve to the classes of therapies being investigated in those studies. </w:t>
      </w:r>
    </w:p>
    <w:p w14:paraId="2D755A43" w14:textId="1CBFBE77" w:rsidR="00A7242E" w:rsidRDefault="00A7242E" w:rsidP="00A7242E">
      <w:pPr>
        <w:pStyle w:val="3-BodyText"/>
      </w:pPr>
      <w:bookmarkStart w:id="38" w:name="_Ref115956343"/>
      <w:bookmarkStart w:id="39" w:name="_Ref119590420"/>
      <w:r w:rsidRPr="00E52AC5">
        <w:t>The ESC</w:t>
      </w:r>
      <w:r w:rsidR="003A6049" w:rsidRPr="00E52AC5">
        <w:t xml:space="preserve"> </w:t>
      </w:r>
      <w:r w:rsidRPr="00E52AC5">
        <w:t xml:space="preserve">acknowledged that the intervention arms of the BENCHMRK and MOTIVATE studies would likely bias in favour of OBR in the comparison as patients in those intervention arms would be expected to perform better where they are specifically receiving a therapy in a new pharmacological class and acknowledged this would likely not be reflective of the target population for </w:t>
      </w:r>
      <w:r w:rsidR="004C0566" w:rsidRPr="00E52AC5">
        <w:t>lenacapavir</w:t>
      </w:r>
      <w:r w:rsidRPr="00E52AC5">
        <w:t>, given these patients would have tried and failed almost all available options</w:t>
      </w:r>
      <w:r w:rsidR="00B06F69" w:rsidRPr="00E52AC5">
        <w:t xml:space="preserve">. </w:t>
      </w:r>
      <w:r w:rsidR="00591C8B" w:rsidRPr="00E52AC5">
        <w:t>However, t</w:t>
      </w:r>
      <w:r w:rsidRPr="00E52AC5">
        <w:t xml:space="preserve">he ESC also considered it was important that the therapies included in the OBR arm were reflective of </w:t>
      </w:r>
      <w:r w:rsidR="001E4840" w:rsidRPr="00E52AC5">
        <w:t>contemporary</w:t>
      </w:r>
      <w:r w:rsidRPr="00E52AC5">
        <w:t xml:space="preserve"> Australian clinical practice. The ESC noted in particular, that in the </w:t>
      </w:r>
      <w:r w:rsidRPr="00E52AC5">
        <w:lastRenderedPageBreak/>
        <w:t xml:space="preserve">absence of the BENCHMRK intervention arm data there was no data for any therapies in the INSTI class included in the OBR arm and considered this was inappropriate as INSTIs </w:t>
      </w:r>
      <w:bookmarkEnd w:id="38"/>
      <w:r w:rsidR="008423F4" w:rsidRPr="00E52AC5">
        <w:t>are a key class of therapies in contemporary clinical practice.</w:t>
      </w:r>
      <w:bookmarkEnd w:id="39"/>
      <w:r w:rsidR="0021006B">
        <w:t xml:space="preserve"> </w:t>
      </w:r>
    </w:p>
    <w:p w14:paraId="7F96EE61" w14:textId="5A1C323F" w:rsidR="00A7242E" w:rsidRPr="007F3195" w:rsidRDefault="008348CF" w:rsidP="003B4ACC">
      <w:pPr>
        <w:pStyle w:val="3-BodyText"/>
      </w:pPr>
      <w:bookmarkStart w:id="40" w:name="_Ref120775091"/>
      <w:r>
        <w:t>T</w:t>
      </w:r>
      <w:r w:rsidR="00172C7A">
        <w:t xml:space="preserve">he </w:t>
      </w:r>
      <w:r w:rsidR="00FB090A">
        <w:t>Pre-PBAC R</w:t>
      </w:r>
      <w:r w:rsidR="00172C7A">
        <w:t>esponse</w:t>
      </w:r>
      <w:r w:rsidR="00FB090A">
        <w:t xml:space="preserve"> </w:t>
      </w:r>
      <w:r w:rsidR="00172C7A">
        <w:t>argued data for the INSTI class was available within the OBR</w:t>
      </w:r>
      <w:r w:rsidR="00722B07">
        <w:t xml:space="preserve"> (+ placebo)</w:t>
      </w:r>
      <w:r w:rsidR="00172C7A">
        <w:t xml:space="preserve"> arm of the BENCHMRK trials, as the study protocols allowed patients to receive raltegravir beyond Week 16, with 48% of patients in that group receiving raltegravir</w:t>
      </w:r>
      <w:r w:rsidR="004C3B44">
        <w:t>. On that basis, the Response argued the data for OBR</w:t>
      </w:r>
      <w:r w:rsidR="00722B07">
        <w:t xml:space="preserve"> (+ placebo)</w:t>
      </w:r>
      <w:r w:rsidR="004C3B44">
        <w:t xml:space="preserve"> for the BENCHMRK studies included substantial raltegravir (and therefore INSTI) use, and further argued the effect of a new investigational drug and new pharmacological class had a substantial effect on the outcomes of that trial, with 33% of patients in the OBR</w:t>
      </w:r>
      <w:r w:rsidR="00722B07">
        <w:t xml:space="preserve"> (+ placebo)</w:t>
      </w:r>
      <w:r w:rsidR="004C3B44">
        <w:t xml:space="preserve"> arm achieving viral suppression, compared to </w:t>
      </w:r>
      <w:r w:rsidR="003B4ACC">
        <w:t>approximately 16% across the MOTIVATE and VICTOR-E trials</w:t>
      </w:r>
      <w:r>
        <w:t>. It was</w:t>
      </w:r>
      <w:r w:rsidR="003B4ACC">
        <w:t xml:space="preserve"> therefore</w:t>
      </w:r>
      <w:r>
        <w:t xml:space="preserve"> argued that</w:t>
      </w:r>
      <w:r w:rsidR="003B4ACC">
        <w:t xml:space="preserve"> the OBR effectiveness estimates were already biased against lenacapavir when the BENCHMRK</w:t>
      </w:r>
      <w:r w:rsidR="0066130A">
        <w:t xml:space="preserve"> OBR arm</w:t>
      </w:r>
      <w:r w:rsidR="003B4ACC">
        <w:t xml:space="preserve"> data is included.</w:t>
      </w:r>
      <w:bookmarkEnd w:id="40"/>
    </w:p>
    <w:p w14:paraId="0D00F4D1" w14:textId="43BAF03E" w:rsidR="00CC2233" w:rsidRPr="007F3195" w:rsidRDefault="00CC2233" w:rsidP="00CC2233">
      <w:pPr>
        <w:pStyle w:val="3-BodyText"/>
        <w:rPr>
          <w:color w:val="000000" w:themeColor="text1"/>
        </w:rPr>
      </w:pPr>
      <w:r w:rsidRPr="007F3195">
        <w:fldChar w:fldCharType="begin"/>
      </w:r>
      <w:r w:rsidRPr="007F3195">
        <w:instrText xml:space="preserve"> REF _Ref112943116 \h  \* MERGEFORMAT </w:instrText>
      </w:r>
      <w:r w:rsidRPr="007F3195">
        <w:fldChar w:fldCharType="separate"/>
      </w:r>
      <w:r w:rsidR="0050086F" w:rsidRPr="0050086F">
        <w:t>Figure 4</w:t>
      </w:r>
      <w:r w:rsidRPr="007F3195">
        <w:fldChar w:fldCharType="end"/>
      </w:r>
      <w:r w:rsidRPr="007F3195">
        <w:t xml:space="preserve"> and </w:t>
      </w:r>
      <w:r w:rsidRPr="007F3195">
        <w:fldChar w:fldCharType="begin"/>
      </w:r>
      <w:r w:rsidRPr="007F3195">
        <w:instrText xml:space="preserve"> REF _Ref112943133 \h  \* MERGEFORMAT </w:instrText>
      </w:r>
      <w:r w:rsidRPr="007F3195">
        <w:fldChar w:fldCharType="separate"/>
      </w:r>
      <w:r w:rsidR="0050086F" w:rsidRPr="0050086F">
        <w:t>Figure 5</w:t>
      </w:r>
      <w:r w:rsidRPr="007F3195">
        <w:fldChar w:fldCharType="end"/>
      </w:r>
      <w:r w:rsidRPr="007F3195">
        <w:rPr>
          <w:color w:val="000000" w:themeColor="text1"/>
        </w:rPr>
        <w:t xml:space="preserve"> present forest plots of the intervention arms of the BENCHMRK and MOTIVATE trials</w:t>
      </w:r>
      <w:r w:rsidR="00EB4139" w:rsidRPr="007F3195">
        <w:rPr>
          <w:color w:val="000000" w:themeColor="text1"/>
        </w:rPr>
        <w:t>.</w:t>
      </w:r>
      <w:r w:rsidRPr="007F3195">
        <w:rPr>
          <w:color w:val="000000" w:themeColor="text1"/>
        </w:rPr>
        <w:t xml:space="preserve"> </w:t>
      </w:r>
    </w:p>
    <w:p w14:paraId="78BCA235" w14:textId="71DCBF68" w:rsidR="00CC2233" w:rsidRPr="00FA7DAB" w:rsidRDefault="00CC2233" w:rsidP="00B23403">
      <w:pPr>
        <w:keepNext/>
        <w:keepLines/>
        <w:rPr>
          <w:rFonts w:ascii="Arial Narrow" w:hAnsi="Arial Narrow"/>
          <w:b/>
          <w:bCs/>
          <w:sz w:val="20"/>
          <w:szCs w:val="20"/>
        </w:rPr>
      </w:pPr>
      <w:bookmarkStart w:id="41" w:name="_Ref112943116"/>
      <w:r w:rsidRPr="00FA7DAB">
        <w:rPr>
          <w:rFonts w:ascii="Arial Narrow" w:hAnsi="Arial Narrow"/>
          <w:b/>
          <w:bCs/>
          <w:sz w:val="20"/>
          <w:szCs w:val="20"/>
        </w:rPr>
        <w:t xml:space="preserve">Figure </w:t>
      </w:r>
      <w:r w:rsidRPr="00FA7DAB">
        <w:rPr>
          <w:rFonts w:ascii="Arial Narrow" w:hAnsi="Arial Narrow"/>
          <w:b/>
          <w:bCs/>
          <w:sz w:val="20"/>
          <w:szCs w:val="20"/>
        </w:rPr>
        <w:fldChar w:fldCharType="begin"/>
      </w:r>
      <w:r w:rsidRPr="00FA7DAB">
        <w:rPr>
          <w:rFonts w:ascii="Arial Narrow" w:hAnsi="Arial Narrow"/>
          <w:b/>
          <w:bCs/>
          <w:sz w:val="20"/>
          <w:szCs w:val="20"/>
        </w:rPr>
        <w:instrText xml:space="preserve"> SEQ Figure \* MERGEFORMAT </w:instrText>
      </w:r>
      <w:r w:rsidRPr="00FA7DAB">
        <w:rPr>
          <w:rFonts w:ascii="Arial Narrow" w:hAnsi="Arial Narrow"/>
          <w:b/>
          <w:bCs/>
          <w:sz w:val="20"/>
          <w:szCs w:val="20"/>
        </w:rPr>
        <w:fldChar w:fldCharType="separate"/>
      </w:r>
      <w:r w:rsidR="0050086F">
        <w:rPr>
          <w:rFonts w:ascii="Arial Narrow" w:hAnsi="Arial Narrow"/>
          <w:b/>
          <w:bCs/>
          <w:noProof/>
          <w:sz w:val="20"/>
          <w:szCs w:val="20"/>
        </w:rPr>
        <w:t>4</w:t>
      </w:r>
      <w:r w:rsidRPr="00FA7DAB">
        <w:rPr>
          <w:rFonts w:ascii="Arial Narrow" w:hAnsi="Arial Narrow"/>
          <w:b/>
          <w:bCs/>
          <w:sz w:val="20"/>
          <w:szCs w:val="20"/>
        </w:rPr>
        <w:fldChar w:fldCharType="end"/>
      </w:r>
      <w:bookmarkEnd w:id="41"/>
      <w:r w:rsidRPr="00FA7DAB">
        <w:rPr>
          <w:rFonts w:ascii="Arial Narrow" w:hAnsi="Arial Narrow"/>
          <w:b/>
          <w:bCs/>
          <w:sz w:val="20"/>
          <w:szCs w:val="20"/>
        </w:rPr>
        <w:t xml:space="preserve">: </w:t>
      </w:r>
      <w:r w:rsidR="00EB4139" w:rsidRPr="00FA7DAB">
        <w:rPr>
          <w:rFonts w:ascii="Arial Narrow" w:hAnsi="Arial Narrow"/>
          <w:b/>
          <w:bCs/>
          <w:sz w:val="20"/>
          <w:szCs w:val="20"/>
        </w:rPr>
        <w:t>E</w:t>
      </w:r>
      <w:r w:rsidRPr="00FA7DAB">
        <w:rPr>
          <w:rFonts w:ascii="Arial Narrow" w:hAnsi="Arial Narrow"/>
          <w:b/>
          <w:bCs/>
          <w:sz w:val="20"/>
          <w:szCs w:val="20"/>
        </w:rPr>
        <w:t>valuation forest plot of intervention arms (in BENCHMRK and MOTIVATE trials) patients with &lt;</w:t>
      </w:r>
      <w:r w:rsidR="00EB4139" w:rsidRPr="00FA7DAB">
        <w:rPr>
          <w:rFonts w:ascii="Arial Narrow" w:hAnsi="Arial Narrow"/>
          <w:b/>
          <w:bCs/>
          <w:sz w:val="20"/>
          <w:szCs w:val="20"/>
        </w:rPr>
        <w:t xml:space="preserve"> </w:t>
      </w:r>
      <w:r w:rsidRPr="00FA7DAB">
        <w:rPr>
          <w:rFonts w:ascii="Arial Narrow" w:hAnsi="Arial Narrow"/>
          <w:b/>
          <w:bCs/>
          <w:sz w:val="20"/>
          <w:szCs w:val="20"/>
        </w:rPr>
        <w:t>50 copies /mL at 48 weeks</w:t>
      </w:r>
    </w:p>
    <w:p w14:paraId="77A7B281" w14:textId="77777777" w:rsidR="00CC2233" w:rsidRPr="00C4404D" w:rsidRDefault="00CC2233" w:rsidP="002D0859">
      <w:pPr>
        <w:keepNext/>
        <w:keepLines/>
      </w:pPr>
      <w:r w:rsidRPr="00C4404D">
        <w:rPr>
          <w:noProof/>
        </w:rPr>
        <w:drawing>
          <wp:inline distT="0" distB="0" distL="0" distR="0" wp14:anchorId="3624E858" wp14:editId="2E95EB14">
            <wp:extent cx="5732145" cy="1667866"/>
            <wp:effectExtent l="0" t="0" r="1905" b="8890"/>
            <wp:docPr id="23" name="Picture 23" descr="Figure 4: Evaluation forest plot of intervention arms (in BENCHMRK and MOTIVATE trials)  patients with &lt; 50 copies /mL at 48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4: Evaluation forest plot of intervention arms (in BENCHMRK and MOTIVATE trials)  patients with &lt; 50 copies /mL at 48 weeks"/>
                    <pic:cNvPicPr/>
                  </pic:nvPicPr>
                  <pic:blipFill rotWithShape="1">
                    <a:blip r:embed="rId11"/>
                    <a:srcRect b="13968"/>
                    <a:stretch/>
                  </pic:blipFill>
                  <pic:spPr bwMode="auto">
                    <a:xfrm>
                      <a:off x="0" y="0"/>
                      <a:ext cx="5732145" cy="1667866"/>
                    </a:xfrm>
                    <a:prstGeom prst="rect">
                      <a:avLst/>
                    </a:prstGeom>
                    <a:ln>
                      <a:noFill/>
                    </a:ln>
                    <a:extLst>
                      <a:ext uri="{53640926-AAD7-44D8-BBD7-CCE9431645EC}">
                        <a14:shadowObscured xmlns:a14="http://schemas.microsoft.com/office/drawing/2010/main"/>
                      </a:ext>
                    </a:extLst>
                  </pic:spPr>
                </pic:pic>
              </a:graphicData>
            </a:graphic>
          </wp:inline>
        </w:drawing>
      </w:r>
    </w:p>
    <w:p w14:paraId="7777E463" w14:textId="69A455E8" w:rsidR="00CC2233" w:rsidRPr="00C4404D" w:rsidRDefault="00CC2233" w:rsidP="00073E97">
      <w:pPr>
        <w:keepNext/>
        <w:keepLines/>
        <w:jc w:val="left"/>
        <w:rPr>
          <w:rFonts w:ascii="Arial Narrow" w:hAnsi="Arial Narrow"/>
          <w:sz w:val="18"/>
          <w:szCs w:val="18"/>
        </w:rPr>
      </w:pPr>
      <w:r w:rsidRPr="00C4404D">
        <w:rPr>
          <w:rFonts w:ascii="Arial Narrow" w:hAnsi="Arial Narrow"/>
          <w:sz w:val="18"/>
          <w:szCs w:val="18"/>
        </w:rPr>
        <w:t>Source: constructed during the evaluation using the meta package in R using data from:</w:t>
      </w:r>
    </w:p>
    <w:p w14:paraId="4D81AEF6" w14:textId="77777777" w:rsidR="00CC2233" w:rsidRPr="00C4404D" w:rsidRDefault="00CC2233" w:rsidP="00073E97">
      <w:pPr>
        <w:keepNext/>
        <w:keepLines/>
        <w:jc w:val="left"/>
        <w:rPr>
          <w:rFonts w:ascii="Arial Narrow" w:hAnsi="Arial Narrow"/>
          <w:sz w:val="18"/>
          <w:szCs w:val="18"/>
        </w:rPr>
      </w:pPr>
      <w:r w:rsidRPr="00C4404D">
        <w:rPr>
          <w:rFonts w:ascii="Arial Narrow" w:hAnsi="Arial Narrow"/>
          <w:sz w:val="18"/>
          <w:szCs w:val="18"/>
        </w:rPr>
        <w:t>BENCHMRK 1: https://clinicaltrials.gov/ct2/show/results/NCT00293267</w:t>
      </w:r>
    </w:p>
    <w:p w14:paraId="0321FD18" w14:textId="77777777" w:rsidR="00CC2233" w:rsidRPr="00C4404D" w:rsidRDefault="00CC2233" w:rsidP="00073E97">
      <w:pPr>
        <w:keepNext/>
        <w:keepLines/>
        <w:jc w:val="left"/>
        <w:rPr>
          <w:rFonts w:ascii="Arial Narrow" w:hAnsi="Arial Narrow"/>
          <w:sz w:val="18"/>
          <w:szCs w:val="18"/>
        </w:rPr>
      </w:pPr>
      <w:r w:rsidRPr="00C4404D">
        <w:rPr>
          <w:rFonts w:ascii="Arial Narrow" w:hAnsi="Arial Narrow"/>
          <w:sz w:val="18"/>
          <w:szCs w:val="18"/>
        </w:rPr>
        <w:t>BENCHMRK 2: https://www.clinicaltrials.gov/ct2/show/results/NCT00293254</w:t>
      </w:r>
    </w:p>
    <w:p w14:paraId="49F74082" w14:textId="77777777" w:rsidR="00CC2233" w:rsidRPr="00C4404D" w:rsidRDefault="00CC2233" w:rsidP="00073E97">
      <w:pPr>
        <w:keepNext/>
        <w:keepLines/>
        <w:jc w:val="left"/>
        <w:rPr>
          <w:rFonts w:ascii="Arial Narrow" w:hAnsi="Arial Narrow"/>
          <w:sz w:val="18"/>
          <w:szCs w:val="18"/>
        </w:rPr>
      </w:pPr>
      <w:r w:rsidRPr="00C4404D">
        <w:rPr>
          <w:rFonts w:ascii="Arial Narrow" w:hAnsi="Arial Narrow"/>
          <w:sz w:val="18"/>
          <w:szCs w:val="18"/>
        </w:rPr>
        <w:t>MOTIVATE 1 &amp; 2: (Gulick et al., 2008) Table 2.</w:t>
      </w:r>
    </w:p>
    <w:p w14:paraId="2D729D50" w14:textId="1A8F4CAA" w:rsidR="00CC2233" w:rsidRDefault="00D07145" w:rsidP="003E70C0">
      <w:pPr>
        <w:spacing w:after="120"/>
        <w:rPr>
          <w:rFonts w:ascii="Arial Narrow" w:hAnsi="Arial Narrow"/>
          <w:sz w:val="18"/>
          <w:szCs w:val="18"/>
        </w:rPr>
      </w:pPr>
      <w:r>
        <w:rPr>
          <w:rFonts w:ascii="Arial Narrow" w:hAnsi="Arial Narrow"/>
          <w:sz w:val="18"/>
          <w:szCs w:val="18"/>
        </w:rPr>
        <w:t>C</w:t>
      </w:r>
      <w:r w:rsidR="003B06B4">
        <w:rPr>
          <w:rFonts w:ascii="Arial Narrow" w:hAnsi="Arial Narrow"/>
          <w:sz w:val="18"/>
          <w:szCs w:val="18"/>
        </w:rPr>
        <w:t>I</w:t>
      </w:r>
      <w:r>
        <w:rPr>
          <w:rFonts w:ascii="Arial Narrow" w:hAnsi="Arial Narrow"/>
          <w:sz w:val="18"/>
          <w:szCs w:val="18"/>
        </w:rPr>
        <w:t xml:space="preserve"> = confidence interval</w:t>
      </w:r>
    </w:p>
    <w:p w14:paraId="3AEAA178" w14:textId="3FD64D4D" w:rsidR="00E47B94" w:rsidRPr="003E70C0" w:rsidRDefault="00E47B94" w:rsidP="00E47B94">
      <w:pPr>
        <w:pStyle w:val="CommentText"/>
        <w:rPr>
          <w:rFonts w:ascii="Arial Narrow" w:hAnsi="Arial Narrow"/>
          <w:sz w:val="18"/>
          <w:szCs w:val="22"/>
        </w:rPr>
      </w:pPr>
      <w:r w:rsidRPr="003E70C0">
        <w:rPr>
          <w:rFonts w:ascii="Arial Narrow" w:hAnsi="Arial Narrow" w:cstheme="minorHAnsi"/>
          <w:i/>
          <w:iCs/>
          <w:sz w:val="18"/>
          <w:szCs w:val="22"/>
        </w:rPr>
        <w:t>Note</w:t>
      </w:r>
      <w:r>
        <w:rPr>
          <w:rFonts w:ascii="Arial Narrow" w:hAnsi="Arial Narrow" w:cstheme="minorHAnsi"/>
          <w:i/>
          <w:iCs/>
          <w:sz w:val="18"/>
          <w:szCs w:val="22"/>
        </w:rPr>
        <w:t>: T</w:t>
      </w:r>
      <w:r w:rsidRPr="003E70C0">
        <w:rPr>
          <w:rFonts w:ascii="Arial Narrow" w:hAnsi="Arial Narrow" w:cstheme="minorHAnsi"/>
          <w:i/>
          <w:iCs/>
          <w:sz w:val="18"/>
          <w:szCs w:val="22"/>
        </w:rPr>
        <w:t>he results presented in Figure 4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p w14:paraId="404CABA1" w14:textId="77777777" w:rsidR="00B41A5A" w:rsidRPr="00C4404D" w:rsidRDefault="00B41A5A" w:rsidP="00CC2233">
      <w:pPr>
        <w:rPr>
          <w:rFonts w:ascii="Arial Narrow" w:hAnsi="Arial Narrow"/>
          <w:sz w:val="18"/>
          <w:szCs w:val="18"/>
        </w:rPr>
      </w:pPr>
    </w:p>
    <w:p w14:paraId="2109C7A1" w14:textId="2761CE70" w:rsidR="00CC2233" w:rsidRPr="00686C2F" w:rsidRDefault="00CC2233" w:rsidP="005B1CE7">
      <w:pPr>
        <w:keepNext/>
        <w:jc w:val="left"/>
        <w:rPr>
          <w:rFonts w:ascii="Arial Narrow" w:hAnsi="Arial Narrow"/>
          <w:b/>
          <w:bCs/>
          <w:sz w:val="20"/>
          <w:szCs w:val="20"/>
        </w:rPr>
      </w:pPr>
      <w:bookmarkStart w:id="42" w:name="_Ref112943133"/>
      <w:r w:rsidRPr="00686C2F">
        <w:rPr>
          <w:rFonts w:ascii="Arial Narrow" w:hAnsi="Arial Narrow"/>
          <w:b/>
          <w:bCs/>
          <w:sz w:val="20"/>
          <w:szCs w:val="20"/>
        </w:rPr>
        <w:lastRenderedPageBreak/>
        <w:t xml:space="preserve">Figure </w:t>
      </w:r>
      <w:r w:rsidRPr="00686C2F">
        <w:rPr>
          <w:rFonts w:ascii="Arial Narrow" w:hAnsi="Arial Narrow"/>
          <w:b/>
          <w:bCs/>
          <w:sz w:val="20"/>
          <w:szCs w:val="20"/>
        </w:rPr>
        <w:fldChar w:fldCharType="begin"/>
      </w:r>
      <w:r w:rsidRPr="00686C2F">
        <w:rPr>
          <w:rFonts w:ascii="Arial Narrow" w:hAnsi="Arial Narrow"/>
          <w:b/>
          <w:bCs/>
          <w:sz w:val="20"/>
          <w:szCs w:val="20"/>
        </w:rPr>
        <w:instrText xml:space="preserve"> SEQ Figure \* MERGEFORMAT </w:instrText>
      </w:r>
      <w:r w:rsidRPr="00686C2F">
        <w:rPr>
          <w:rFonts w:ascii="Arial Narrow" w:hAnsi="Arial Narrow"/>
          <w:b/>
          <w:bCs/>
          <w:sz w:val="20"/>
          <w:szCs w:val="20"/>
        </w:rPr>
        <w:fldChar w:fldCharType="separate"/>
      </w:r>
      <w:r w:rsidR="0050086F">
        <w:rPr>
          <w:rFonts w:ascii="Arial Narrow" w:hAnsi="Arial Narrow"/>
          <w:b/>
          <w:bCs/>
          <w:noProof/>
          <w:sz w:val="20"/>
          <w:szCs w:val="20"/>
        </w:rPr>
        <w:t>5</w:t>
      </w:r>
      <w:r w:rsidRPr="00686C2F">
        <w:rPr>
          <w:rFonts w:ascii="Arial Narrow" w:hAnsi="Arial Narrow"/>
          <w:b/>
          <w:bCs/>
          <w:sz w:val="20"/>
          <w:szCs w:val="20"/>
        </w:rPr>
        <w:fldChar w:fldCharType="end"/>
      </w:r>
      <w:bookmarkEnd w:id="42"/>
      <w:r w:rsidRPr="00686C2F">
        <w:rPr>
          <w:rFonts w:ascii="Arial Narrow" w:hAnsi="Arial Narrow"/>
          <w:b/>
          <w:bCs/>
          <w:sz w:val="20"/>
          <w:szCs w:val="20"/>
        </w:rPr>
        <w:t>: Evaluation forest plot of intervention arms (in BENCHMRK and MOTIVATE trials patients with &lt;</w:t>
      </w:r>
      <w:r w:rsidR="00EB4139" w:rsidRPr="00686C2F">
        <w:rPr>
          <w:rFonts w:ascii="Arial Narrow" w:hAnsi="Arial Narrow"/>
          <w:b/>
          <w:bCs/>
          <w:sz w:val="20"/>
          <w:szCs w:val="20"/>
        </w:rPr>
        <w:t xml:space="preserve"> </w:t>
      </w:r>
      <w:r w:rsidRPr="00686C2F">
        <w:rPr>
          <w:rFonts w:ascii="Arial Narrow" w:hAnsi="Arial Narrow"/>
          <w:b/>
          <w:bCs/>
          <w:sz w:val="20"/>
          <w:szCs w:val="20"/>
        </w:rPr>
        <w:t>400 copies /mL at 48 weeks</w:t>
      </w:r>
    </w:p>
    <w:p w14:paraId="101DDFAC" w14:textId="77777777" w:rsidR="00CC2233" w:rsidRPr="00C4404D" w:rsidRDefault="00CC2233" w:rsidP="005B1CE7">
      <w:pPr>
        <w:keepNext/>
      </w:pPr>
      <w:r w:rsidRPr="00C4404D">
        <w:rPr>
          <w:noProof/>
        </w:rPr>
        <w:drawing>
          <wp:inline distT="0" distB="0" distL="0" distR="0" wp14:anchorId="27878E6C" wp14:editId="3433B670">
            <wp:extent cx="5732145" cy="1610360"/>
            <wp:effectExtent l="0" t="0" r="0" b="2540"/>
            <wp:docPr id="24" name="Picture 24" descr="Figure 5: Evaluation forest plot of intervention arms (in BENCHMRK and MOTIVATE trials  patients with &lt; 400 copies /mL at 48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Figure 5: Evaluation forest plot of intervention arms (in BENCHMRK and MOTIVATE trials  patients with &lt; 400 copies /mL at 48 weeks"/>
                    <pic:cNvPicPr/>
                  </pic:nvPicPr>
                  <pic:blipFill>
                    <a:blip r:embed="rId12"/>
                    <a:stretch>
                      <a:fillRect/>
                    </a:stretch>
                  </pic:blipFill>
                  <pic:spPr>
                    <a:xfrm>
                      <a:off x="0" y="0"/>
                      <a:ext cx="5732145" cy="1610360"/>
                    </a:xfrm>
                    <a:prstGeom prst="rect">
                      <a:avLst/>
                    </a:prstGeom>
                  </pic:spPr>
                </pic:pic>
              </a:graphicData>
            </a:graphic>
          </wp:inline>
        </w:drawing>
      </w:r>
    </w:p>
    <w:p w14:paraId="651A916A" w14:textId="3FD70900" w:rsidR="00CC2233" w:rsidRPr="00C4404D" w:rsidRDefault="00CC2233" w:rsidP="005B1CE7">
      <w:pPr>
        <w:keepNext/>
        <w:jc w:val="left"/>
        <w:rPr>
          <w:rFonts w:ascii="Arial Narrow" w:hAnsi="Arial Narrow"/>
          <w:sz w:val="18"/>
          <w:szCs w:val="18"/>
        </w:rPr>
      </w:pPr>
      <w:r w:rsidRPr="00C4404D">
        <w:rPr>
          <w:rFonts w:ascii="Arial Narrow" w:hAnsi="Arial Narrow"/>
          <w:sz w:val="18"/>
          <w:szCs w:val="18"/>
        </w:rPr>
        <w:t>Source: constructed during the evaluation using the meta package in R using data from:</w:t>
      </w:r>
    </w:p>
    <w:p w14:paraId="474977BC" w14:textId="77777777" w:rsidR="00CC2233" w:rsidRPr="00C4404D" w:rsidRDefault="00CC2233" w:rsidP="005B1CE7">
      <w:pPr>
        <w:keepNext/>
        <w:jc w:val="left"/>
        <w:rPr>
          <w:rFonts w:ascii="Arial Narrow" w:hAnsi="Arial Narrow"/>
          <w:sz w:val="18"/>
          <w:szCs w:val="18"/>
        </w:rPr>
      </w:pPr>
      <w:r w:rsidRPr="00C4404D">
        <w:rPr>
          <w:rFonts w:ascii="Arial Narrow" w:hAnsi="Arial Narrow"/>
          <w:sz w:val="18"/>
          <w:szCs w:val="18"/>
        </w:rPr>
        <w:t>BENCHMRK 1: https://clinicaltrials.gov/ct2/show/results/NCT00293267</w:t>
      </w:r>
    </w:p>
    <w:p w14:paraId="6883342C" w14:textId="77777777" w:rsidR="00CC2233" w:rsidRPr="00C4404D" w:rsidRDefault="00CC2233" w:rsidP="005B1CE7">
      <w:pPr>
        <w:keepNext/>
        <w:jc w:val="left"/>
        <w:rPr>
          <w:rFonts w:ascii="Arial Narrow" w:hAnsi="Arial Narrow"/>
          <w:sz w:val="18"/>
          <w:szCs w:val="18"/>
        </w:rPr>
      </w:pPr>
      <w:r w:rsidRPr="00C4404D">
        <w:rPr>
          <w:rFonts w:ascii="Arial Narrow" w:hAnsi="Arial Narrow"/>
          <w:sz w:val="18"/>
          <w:szCs w:val="18"/>
        </w:rPr>
        <w:t>BENCHMRK 2: https://www.clinicaltrials.gov/ct2/show/results/NCT00293254</w:t>
      </w:r>
    </w:p>
    <w:p w14:paraId="0C7563C3" w14:textId="6E9C9E77" w:rsidR="00CC2233" w:rsidRDefault="00CC2233" w:rsidP="005B1CE7">
      <w:pPr>
        <w:keepNext/>
        <w:jc w:val="left"/>
        <w:rPr>
          <w:rFonts w:ascii="Arial Narrow" w:hAnsi="Arial Narrow"/>
          <w:sz w:val="18"/>
          <w:szCs w:val="18"/>
        </w:rPr>
      </w:pPr>
      <w:r w:rsidRPr="00C4404D">
        <w:rPr>
          <w:rFonts w:ascii="Arial Narrow" w:hAnsi="Arial Narrow"/>
          <w:sz w:val="18"/>
          <w:szCs w:val="18"/>
        </w:rPr>
        <w:t>MOTIVATE 1 &amp; 2: (Gulick et al., 2008) Table 2.</w:t>
      </w:r>
    </w:p>
    <w:p w14:paraId="0978246F" w14:textId="589F84B3" w:rsidR="00D07145" w:rsidRDefault="00D07145" w:rsidP="003E70C0">
      <w:pPr>
        <w:keepNext/>
        <w:spacing w:after="120"/>
        <w:jc w:val="left"/>
        <w:rPr>
          <w:rFonts w:ascii="Arial Narrow" w:hAnsi="Arial Narrow"/>
          <w:sz w:val="18"/>
          <w:szCs w:val="18"/>
        </w:rPr>
      </w:pPr>
      <w:r>
        <w:rPr>
          <w:rFonts w:ascii="Arial Narrow" w:hAnsi="Arial Narrow"/>
          <w:sz w:val="18"/>
          <w:szCs w:val="18"/>
        </w:rPr>
        <w:t>CI = confidence interval</w:t>
      </w:r>
    </w:p>
    <w:p w14:paraId="7C072426" w14:textId="27A7FD74" w:rsidR="00E47B94" w:rsidRPr="000E333A" w:rsidRDefault="00E47B94" w:rsidP="000E333A">
      <w:pPr>
        <w:spacing w:after="120"/>
        <w:jc w:val="left"/>
        <w:rPr>
          <w:rFonts w:ascii="Arial Narrow" w:hAnsi="Arial Narrow" w:cstheme="minorHAnsi"/>
          <w:i/>
          <w:iCs/>
          <w:sz w:val="18"/>
          <w:szCs w:val="18"/>
        </w:rPr>
      </w:pPr>
      <w:r w:rsidRPr="003E70C0">
        <w:rPr>
          <w:rFonts w:ascii="Arial Narrow" w:hAnsi="Arial Narrow" w:cstheme="minorHAnsi"/>
          <w:i/>
          <w:iCs/>
          <w:sz w:val="18"/>
          <w:szCs w:val="18"/>
        </w:rPr>
        <w:t>Note</w:t>
      </w:r>
      <w:r>
        <w:rPr>
          <w:rFonts w:ascii="Arial Narrow" w:hAnsi="Arial Narrow" w:cstheme="minorHAnsi"/>
          <w:i/>
          <w:iCs/>
          <w:sz w:val="18"/>
          <w:szCs w:val="18"/>
        </w:rPr>
        <w:t>: T</w:t>
      </w:r>
      <w:r w:rsidRPr="003E70C0">
        <w:rPr>
          <w:rFonts w:ascii="Arial Narrow" w:hAnsi="Arial Narrow" w:cstheme="minorHAnsi"/>
          <w:i/>
          <w:iCs/>
          <w:sz w:val="18"/>
          <w:szCs w:val="18"/>
        </w:rPr>
        <w:t>he results presented in Figure 5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p w14:paraId="04E7A636" w14:textId="73C772FC" w:rsidR="00CC2233" w:rsidRPr="007F3195" w:rsidRDefault="00CC2233" w:rsidP="00CC2233">
      <w:pPr>
        <w:pStyle w:val="3-BodyText"/>
      </w:pPr>
      <w:r w:rsidRPr="007F3195">
        <w:t>The submission</w:t>
      </w:r>
      <w:r w:rsidR="008A6EC8" w:rsidRPr="007F3195">
        <w:t xml:space="preserve">’s estimate of incremental benefit was based on the </w:t>
      </w:r>
      <w:r w:rsidRPr="007F3195">
        <w:t>results of an</w:t>
      </w:r>
      <w:r w:rsidR="000B0208">
        <w:t xml:space="preserve"> </w:t>
      </w:r>
      <w:r w:rsidR="00EB4139" w:rsidRPr="007F3195">
        <w:t>i</w:t>
      </w:r>
      <w:r w:rsidRPr="007F3195">
        <w:t>ndirect comparison</w:t>
      </w:r>
      <w:r w:rsidR="000253DE" w:rsidRPr="007F3195">
        <w:t xml:space="preserve"> of lenacapavir + OBR (from CAPELLA) with placebo + OBR using the results of the comparator arms from BENCHMRK 1 &amp; 2 and MOTIVATE 1 &amp; 2</w:t>
      </w:r>
      <w:r w:rsidR="00EB4139" w:rsidRPr="007F3195">
        <w:t>.</w:t>
      </w:r>
      <w:r w:rsidRPr="007F3195">
        <w:t xml:space="preserve"> As no common comparator was presented, and no adjustments by propensity scores or baseline characteristics were presented, this </w:t>
      </w:r>
      <w:r w:rsidR="000253DE" w:rsidRPr="007F3195">
        <w:t>was</w:t>
      </w:r>
      <w:r w:rsidRPr="007F3195">
        <w:t xml:space="preserve"> a</w:t>
      </w:r>
      <w:r w:rsidR="00E703DF" w:rsidRPr="007F3195">
        <w:t xml:space="preserve">n unanchored </w:t>
      </w:r>
      <w:r w:rsidRPr="007F3195">
        <w:t xml:space="preserve">indirect comparison. </w:t>
      </w:r>
    </w:p>
    <w:p w14:paraId="45E00670" w14:textId="4011BE58" w:rsidR="00CC2233" w:rsidRPr="007F3195" w:rsidRDefault="00CC2233" w:rsidP="00CC2233">
      <w:pPr>
        <w:pStyle w:val="3-BodyText"/>
      </w:pPr>
      <w:r w:rsidRPr="007F3195">
        <w:t xml:space="preserve">The key clinical outcome utilised </w:t>
      </w:r>
      <w:r w:rsidR="00E703DF" w:rsidRPr="007F3195">
        <w:t>in the</w:t>
      </w:r>
      <w:r w:rsidRPr="007F3195">
        <w:t xml:space="preserve"> </w:t>
      </w:r>
      <w:r w:rsidR="00E703DF" w:rsidRPr="007F3195">
        <w:t>unanchored indirect</w:t>
      </w:r>
      <w:r w:rsidRPr="007F3195">
        <w:t xml:space="preserve"> treatment comparison is the proportion of highly MDR HIV patients achieving vir</w:t>
      </w:r>
      <w:r w:rsidR="000C52B6" w:rsidRPr="007F3195">
        <w:t>ologic</w:t>
      </w:r>
      <w:r w:rsidRPr="007F3195">
        <w:t xml:space="preserve"> suppression (i.e., </w:t>
      </w:r>
      <w:r w:rsidR="00686C2F">
        <w:t>‘</w:t>
      </w:r>
      <w:r w:rsidR="005F382A" w:rsidRPr="007F3195">
        <w:t>p</w:t>
      </w:r>
      <w:r w:rsidRPr="007F3195">
        <w:t>atients with viral load &lt;</w:t>
      </w:r>
      <w:r w:rsidR="005F382A" w:rsidRPr="007F3195">
        <w:t xml:space="preserve"> </w:t>
      </w:r>
      <w:r w:rsidRPr="007F3195">
        <w:t>50 copies per mL</w:t>
      </w:r>
      <w:r w:rsidR="00686C2F">
        <w:t>’</w:t>
      </w:r>
      <w:r w:rsidRPr="007F3195">
        <w:t>) at 48/52 weeks. The submission considered that this was a clinically relevant treatment outcome that predicts long-term clinical benefit and is accepted by the PBAC. Th</w:t>
      </w:r>
      <w:r w:rsidR="00686C2F">
        <w:t>e evaluation considered that this</w:t>
      </w:r>
      <w:r w:rsidRPr="007F3195">
        <w:t xml:space="preserve"> was reasonable.</w:t>
      </w:r>
    </w:p>
    <w:p w14:paraId="3E63BF98" w14:textId="743165BD" w:rsidR="00CC2233" w:rsidRPr="007F3195" w:rsidRDefault="00CC2233" w:rsidP="00CC2233">
      <w:pPr>
        <w:pStyle w:val="3-BodyText"/>
      </w:pPr>
      <w:r w:rsidRPr="007F3195">
        <w:t xml:space="preserve">The submission presented a statistical comparison with confidence intervals and </w:t>
      </w:r>
      <w:r w:rsidR="00390D99" w:rsidRPr="007F3195">
        <w:t>p</w:t>
      </w:r>
      <w:r w:rsidR="00390D99" w:rsidRPr="007F3195">
        <w:noBreakHyphen/>
      </w:r>
      <w:r w:rsidRPr="007F3195">
        <w:t xml:space="preserve">values </w:t>
      </w:r>
      <w:r w:rsidR="005A4AB4" w:rsidRPr="007F3195">
        <w:t xml:space="preserve">but </w:t>
      </w:r>
      <w:r w:rsidRPr="007F3195">
        <w:t xml:space="preserve">did not </w:t>
      </w:r>
      <w:r w:rsidR="00390D99" w:rsidRPr="007F3195">
        <w:t xml:space="preserve">provide </w:t>
      </w:r>
      <w:r w:rsidRPr="007F3195">
        <w:t xml:space="preserve">sufficient detail to </w:t>
      </w:r>
      <w:r w:rsidR="005A4AB4" w:rsidRPr="007F3195">
        <w:t xml:space="preserve">allow </w:t>
      </w:r>
      <w:r w:rsidRPr="007F3195">
        <w:t>replicat</w:t>
      </w:r>
      <w:r w:rsidR="005A4AB4" w:rsidRPr="007F3195">
        <w:t>ion of</w:t>
      </w:r>
      <w:r w:rsidRPr="007F3195">
        <w:t xml:space="preserve"> confidence intervals. </w:t>
      </w:r>
      <w:r w:rsidR="001D30DF">
        <w:t>T</w:t>
      </w:r>
      <w:r w:rsidRPr="007F3195">
        <w:t>he submission cited Ghadessi (2020)</w:t>
      </w:r>
      <w:r w:rsidRPr="007F3195">
        <w:rPr>
          <w:rStyle w:val="FootnoteReference"/>
        </w:rPr>
        <w:footnoteReference w:id="6"/>
      </w:r>
      <w:r w:rsidR="002D2B5F" w:rsidRPr="007F3195">
        <w:t xml:space="preserve">, but </w:t>
      </w:r>
      <w:r w:rsidRPr="007F3195">
        <w:t xml:space="preserve">Ghadessi (2020) </w:t>
      </w:r>
      <w:r w:rsidR="002D2B5F" w:rsidRPr="007F3195">
        <w:t xml:space="preserve">did not appear to report </w:t>
      </w:r>
      <w:r w:rsidRPr="007F3195">
        <w:t xml:space="preserve">statistical method consistent with that employed in the </w:t>
      </w:r>
      <w:r w:rsidR="006C59DE" w:rsidRPr="007F3195">
        <w:t>submission</w:t>
      </w:r>
      <w:r w:rsidRPr="007F3195">
        <w:t>. Furthermore</w:t>
      </w:r>
      <w:r w:rsidR="003D023E" w:rsidRPr="007F3195">
        <w:t>,</w:t>
      </w:r>
      <w:r w:rsidRPr="007F3195">
        <w:t xml:space="preserve"> Ghadessi (2020) appeared to describe pre-planned historical controls, not post-hoc comparisons. </w:t>
      </w:r>
      <w:r w:rsidR="0095480B" w:rsidRPr="00E52AC5">
        <w:t xml:space="preserve">The PSCR </w:t>
      </w:r>
      <w:r w:rsidR="00A86840" w:rsidRPr="00E52AC5">
        <w:t>agreed</w:t>
      </w:r>
      <w:r w:rsidR="0095480B" w:rsidRPr="00E52AC5">
        <w:t xml:space="preserve"> with the evaluation that given the analyses in the submission were post-hoc, the analytic strategies described in </w:t>
      </w:r>
      <w:r w:rsidR="0095480B" w:rsidRPr="00E52AC5">
        <w:lastRenderedPageBreak/>
        <w:t>Ghadessi (2020) were not considered appropriate and clarified these were not used in the submission.</w:t>
      </w:r>
      <w:r w:rsidR="0095480B">
        <w:rPr>
          <w:i/>
          <w:iCs/>
        </w:rPr>
        <w:t xml:space="preserve"> </w:t>
      </w:r>
    </w:p>
    <w:p w14:paraId="13B9F9F2" w14:textId="3724ADA7" w:rsidR="00CC2233" w:rsidRPr="007F3195" w:rsidRDefault="00CC2233" w:rsidP="00CC2233">
      <w:pPr>
        <w:pStyle w:val="3-BodyText"/>
      </w:pPr>
      <w:r w:rsidRPr="007F3195">
        <w:fldChar w:fldCharType="begin"/>
      </w:r>
      <w:r w:rsidRPr="007F3195">
        <w:instrText xml:space="preserve"> REF _Ref112946763 \h  \* MERGEFORMAT </w:instrText>
      </w:r>
      <w:r w:rsidRPr="007F3195">
        <w:fldChar w:fldCharType="separate"/>
      </w:r>
      <w:r w:rsidR="0050086F" w:rsidRPr="0050086F">
        <w:rPr>
          <w:rFonts w:eastAsiaTheme="majorEastAsia"/>
        </w:rPr>
        <w:t>Table 7</w:t>
      </w:r>
      <w:r w:rsidRPr="007F3195">
        <w:fldChar w:fldCharType="end"/>
      </w:r>
      <w:r w:rsidRPr="007F3195">
        <w:t xml:space="preserve"> presents the results of the </w:t>
      </w:r>
      <w:r w:rsidR="00E703DF" w:rsidRPr="007F3195">
        <w:t xml:space="preserve">unanchored </w:t>
      </w:r>
      <w:r w:rsidRPr="007F3195">
        <w:t xml:space="preserve">comparison for the </w:t>
      </w:r>
      <w:r w:rsidR="002D2B5F" w:rsidRPr="007F3195">
        <w:t xml:space="preserve">proportion of patients with </w:t>
      </w:r>
      <w:r w:rsidRPr="007F3195">
        <w:t>viral load &lt;</w:t>
      </w:r>
      <w:r w:rsidR="003D023E" w:rsidRPr="007F3195">
        <w:t xml:space="preserve"> </w:t>
      </w:r>
      <w:r w:rsidRPr="007F3195">
        <w:t>50 copies per mL at week 48 or 52. Also presented is a</w:t>
      </w:r>
      <w:r w:rsidR="00E703DF" w:rsidRPr="007F3195">
        <w:t>n</w:t>
      </w:r>
      <w:r w:rsidRPr="007F3195">
        <w:t xml:space="preserve"> </w:t>
      </w:r>
      <w:r w:rsidR="00E703DF" w:rsidRPr="007F3195">
        <w:t xml:space="preserve">unanchored </w:t>
      </w:r>
      <w:r w:rsidRPr="007F3195">
        <w:t xml:space="preserve">indirect comparison of lenacapavir + OBR (from CAPELLA) with placebo + OBR using the results of the intervention arms from BENCHMRK 1 &amp; 2 and MOTIVATE 1 &amp; 2 instead of the comparator arms as done by the submission. The submission’s calculation of p-values and confidence intervals could not be </w:t>
      </w:r>
      <w:r w:rsidR="00352EC5" w:rsidRPr="007F3195">
        <w:t xml:space="preserve">replicated </w:t>
      </w:r>
      <w:r w:rsidRPr="007F3195">
        <w:t>during the evaluation</w:t>
      </w:r>
      <w:r w:rsidRPr="00E52AC5">
        <w:t xml:space="preserve">. </w:t>
      </w:r>
      <w:r w:rsidR="00591C8B" w:rsidRPr="00E52AC5">
        <w:rPr>
          <w:color w:val="000000" w:themeColor="text1"/>
        </w:rPr>
        <w:t xml:space="preserve">The ESC reviewed the attachment to the PSCR from </w:t>
      </w:r>
      <w:r w:rsidR="00A86840">
        <w:rPr>
          <w:color w:val="000000" w:themeColor="text1"/>
        </w:rPr>
        <w:t xml:space="preserve">the </w:t>
      </w:r>
      <w:r w:rsidR="00591C8B" w:rsidRPr="00E52AC5">
        <w:rPr>
          <w:color w:val="000000" w:themeColor="text1"/>
        </w:rPr>
        <w:t>University of Melbourne Statistical Consulting Centre and was satisfied that the use of standard formulae for the statistics applied in the ITC was appropriate.</w:t>
      </w:r>
    </w:p>
    <w:p w14:paraId="60B67694" w14:textId="2E3DA80A" w:rsidR="00CC2233" w:rsidRPr="00E52AC5" w:rsidRDefault="00CC2233" w:rsidP="0085073E">
      <w:pPr>
        <w:pStyle w:val="TableFigureHeading"/>
        <w:keepLines/>
      </w:pPr>
      <w:bookmarkStart w:id="43" w:name="_Ref112946763"/>
      <w:r w:rsidRPr="00E52AC5">
        <w:rPr>
          <w:rStyle w:val="CommentReference"/>
          <w:b/>
          <w:szCs w:val="24"/>
        </w:rPr>
        <w:t xml:space="preserve">Table </w:t>
      </w:r>
      <w:r w:rsidRPr="00E52AC5">
        <w:rPr>
          <w:rStyle w:val="CommentReference"/>
          <w:b/>
          <w:szCs w:val="24"/>
        </w:rPr>
        <w:fldChar w:fldCharType="begin"/>
      </w:r>
      <w:r w:rsidRPr="00E52AC5">
        <w:rPr>
          <w:rStyle w:val="CommentReference"/>
          <w:b/>
          <w:szCs w:val="24"/>
        </w:rPr>
        <w:instrText xml:space="preserve"> SEQ Table \* ARABIC </w:instrText>
      </w:r>
      <w:r w:rsidRPr="00E52AC5">
        <w:rPr>
          <w:rStyle w:val="CommentReference"/>
          <w:b/>
          <w:szCs w:val="24"/>
        </w:rPr>
        <w:fldChar w:fldCharType="separate"/>
      </w:r>
      <w:r w:rsidR="0050086F">
        <w:rPr>
          <w:rStyle w:val="CommentReference"/>
          <w:b/>
          <w:noProof/>
          <w:szCs w:val="24"/>
        </w:rPr>
        <w:t>7</w:t>
      </w:r>
      <w:r w:rsidRPr="00E52AC5">
        <w:rPr>
          <w:rStyle w:val="CommentReference"/>
          <w:b/>
          <w:szCs w:val="24"/>
        </w:rPr>
        <w:fldChar w:fldCharType="end"/>
      </w:r>
      <w:bookmarkEnd w:id="43"/>
      <w:r w:rsidRPr="00E52AC5">
        <w:rPr>
          <w:rStyle w:val="CommentReference"/>
          <w:b/>
          <w:szCs w:val="24"/>
        </w:rPr>
        <w:t>:</w:t>
      </w:r>
      <w:r w:rsidRPr="00E52AC5">
        <w:t xml:space="preserve"> LEN + OBR versus OBR </w:t>
      </w:r>
      <w:r w:rsidR="00E703DF" w:rsidRPr="00E52AC5">
        <w:t xml:space="preserve">unanchored </w:t>
      </w:r>
      <w:r w:rsidRPr="00E52AC5">
        <w:t>indirect comparison (viral load &lt;</w:t>
      </w:r>
      <w:r w:rsidR="003D023E" w:rsidRPr="00E52AC5">
        <w:t xml:space="preserve"> </w:t>
      </w:r>
      <w:r w:rsidRPr="00E52AC5">
        <w:t>50 copies/mL at Week 48/52)</w:t>
      </w:r>
    </w:p>
    <w:tbl>
      <w:tblPr>
        <w:tblStyle w:val="TableGrid"/>
        <w:tblW w:w="5000" w:type="pct"/>
        <w:tblCellMar>
          <w:left w:w="29" w:type="dxa"/>
          <w:right w:w="29" w:type="dxa"/>
        </w:tblCellMar>
        <w:tblLook w:val="04A0" w:firstRow="1" w:lastRow="0" w:firstColumn="1" w:lastColumn="0" w:noHBand="0" w:noVBand="1"/>
      </w:tblPr>
      <w:tblGrid>
        <w:gridCol w:w="2853"/>
        <w:gridCol w:w="1161"/>
        <w:gridCol w:w="983"/>
        <w:gridCol w:w="1609"/>
        <w:gridCol w:w="1697"/>
        <w:gridCol w:w="714"/>
      </w:tblGrid>
      <w:tr w:rsidR="00CC2233" w:rsidRPr="00E52AC5" w14:paraId="1ED17286" w14:textId="77777777" w:rsidTr="00C07D9A">
        <w:trPr>
          <w:trHeight w:val="73"/>
        </w:trPr>
        <w:tc>
          <w:tcPr>
            <w:tcW w:w="1582" w:type="pct"/>
            <w:vMerge w:val="restart"/>
            <w:vAlign w:val="center"/>
          </w:tcPr>
          <w:p w14:paraId="52EFF869" w14:textId="77777777" w:rsidR="00CC2233" w:rsidRPr="00E52AC5" w:rsidRDefault="00CC2233" w:rsidP="0085073E">
            <w:pPr>
              <w:pStyle w:val="In-tableHeading"/>
              <w:keepLines/>
              <w:rPr>
                <w:lang w:val="en-AU"/>
              </w:rPr>
            </w:pPr>
            <w:r w:rsidRPr="00E52AC5">
              <w:rPr>
                <w:lang w:val="en-AU"/>
              </w:rPr>
              <w:t>CAPELLA population</w:t>
            </w:r>
          </w:p>
        </w:tc>
        <w:tc>
          <w:tcPr>
            <w:tcW w:w="1189" w:type="pct"/>
            <w:gridSpan w:val="2"/>
            <w:noWrap/>
            <w:vAlign w:val="center"/>
          </w:tcPr>
          <w:p w14:paraId="5B19BC85" w14:textId="77777777" w:rsidR="00CC2233" w:rsidRPr="00E52AC5" w:rsidRDefault="00CC2233" w:rsidP="0085073E">
            <w:pPr>
              <w:pStyle w:val="In-tableHeading"/>
              <w:keepLines/>
              <w:jc w:val="center"/>
              <w:rPr>
                <w:lang w:val="en-AU"/>
              </w:rPr>
            </w:pPr>
            <w:r w:rsidRPr="00E52AC5">
              <w:rPr>
                <w:lang w:val="en-AU"/>
              </w:rPr>
              <w:t>Estimate or meta-estimate</w:t>
            </w:r>
          </w:p>
        </w:tc>
        <w:tc>
          <w:tcPr>
            <w:tcW w:w="2229" w:type="pct"/>
            <w:gridSpan w:val="3"/>
            <w:vMerge w:val="restart"/>
            <w:noWrap/>
            <w:vAlign w:val="center"/>
          </w:tcPr>
          <w:p w14:paraId="05621522" w14:textId="77777777" w:rsidR="00CC2233" w:rsidRPr="00E52AC5" w:rsidRDefault="00CC2233" w:rsidP="0085073E">
            <w:pPr>
              <w:pStyle w:val="In-tableHeading"/>
              <w:keepLines/>
              <w:jc w:val="center"/>
              <w:rPr>
                <w:lang w:val="en-AU"/>
              </w:rPr>
            </w:pPr>
            <w:r w:rsidRPr="00E52AC5">
              <w:rPr>
                <w:lang w:val="en-AU"/>
              </w:rPr>
              <w:t>LEN + OBR vs OBR</w:t>
            </w:r>
          </w:p>
        </w:tc>
      </w:tr>
      <w:tr w:rsidR="00CC2233" w:rsidRPr="00E52AC5" w14:paraId="7B9D4228" w14:textId="77777777" w:rsidTr="00C07D9A">
        <w:trPr>
          <w:trHeight w:val="143"/>
        </w:trPr>
        <w:tc>
          <w:tcPr>
            <w:tcW w:w="1582" w:type="pct"/>
            <w:vMerge/>
            <w:vAlign w:val="center"/>
          </w:tcPr>
          <w:p w14:paraId="642348DB" w14:textId="77777777" w:rsidR="00CC2233" w:rsidRPr="00E52AC5" w:rsidRDefault="00CC2233" w:rsidP="0085073E">
            <w:pPr>
              <w:pStyle w:val="KMC16-TableHeading"/>
              <w:keepNext/>
              <w:keepLines/>
              <w:spacing w:before="100" w:beforeAutospacing="1" w:after="0"/>
              <w:jc w:val="left"/>
              <w:rPr>
                <w:bCs/>
                <w:szCs w:val="20"/>
              </w:rPr>
            </w:pPr>
          </w:p>
        </w:tc>
        <w:tc>
          <w:tcPr>
            <w:tcW w:w="644" w:type="pct"/>
            <w:noWrap/>
            <w:hideMark/>
          </w:tcPr>
          <w:p w14:paraId="38AEF305" w14:textId="77777777" w:rsidR="00CC2233" w:rsidRPr="00E52AC5" w:rsidRDefault="00CC2233" w:rsidP="0085073E">
            <w:pPr>
              <w:pStyle w:val="In-tableHeading"/>
              <w:keepLines/>
              <w:jc w:val="center"/>
              <w:rPr>
                <w:lang w:val="en-AU"/>
              </w:rPr>
            </w:pPr>
            <w:r w:rsidRPr="00E52AC5">
              <w:rPr>
                <w:lang w:val="en-AU"/>
              </w:rPr>
              <w:t>LEN + OBR</w:t>
            </w:r>
          </w:p>
        </w:tc>
        <w:tc>
          <w:tcPr>
            <w:tcW w:w="545" w:type="pct"/>
            <w:noWrap/>
            <w:hideMark/>
          </w:tcPr>
          <w:p w14:paraId="2AADCB27" w14:textId="77777777" w:rsidR="00CC2233" w:rsidRPr="00E52AC5" w:rsidRDefault="00CC2233" w:rsidP="0085073E">
            <w:pPr>
              <w:pStyle w:val="In-tableHeading"/>
              <w:keepLines/>
              <w:jc w:val="center"/>
              <w:rPr>
                <w:lang w:val="en-AU"/>
              </w:rPr>
            </w:pPr>
            <w:r w:rsidRPr="00E52AC5">
              <w:rPr>
                <w:lang w:val="en-AU"/>
              </w:rPr>
              <w:t>OBR</w:t>
            </w:r>
          </w:p>
        </w:tc>
        <w:tc>
          <w:tcPr>
            <w:tcW w:w="2229" w:type="pct"/>
            <w:gridSpan w:val="3"/>
            <w:vMerge/>
            <w:noWrap/>
          </w:tcPr>
          <w:p w14:paraId="685763D1" w14:textId="77777777" w:rsidR="00CC2233" w:rsidRPr="00E52AC5" w:rsidRDefault="00CC2233" w:rsidP="0085073E">
            <w:pPr>
              <w:pStyle w:val="KMC16-TableHeading"/>
              <w:keepNext/>
              <w:keepLines/>
              <w:spacing w:before="100" w:beforeAutospacing="1" w:after="0"/>
              <w:rPr>
                <w:bCs/>
                <w:szCs w:val="20"/>
              </w:rPr>
            </w:pPr>
          </w:p>
        </w:tc>
      </w:tr>
      <w:tr w:rsidR="00CC2233" w:rsidRPr="00E52AC5" w14:paraId="1B40E676" w14:textId="77777777" w:rsidTr="00C07D9A">
        <w:trPr>
          <w:trHeight w:val="73"/>
        </w:trPr>
        <w:tc>
          <w:tcPr>
            <w:tcW w:w="2771" w:type="pct"/>
            <w:gridSpan w:val="3"/>
            <w:vAlign w:val="center"/>
          </w:tcPr>
          <w:p w14:paraId="5AFFF4B0" w14:textId="77777777" w:rsidR="00CC2233" w:rsidRPr="00E52AC5" w:rsidRDefault="00CC2233" w:rsidP="0085073E">
            <w:pPr>
              <w:pStyle w:val="TableText0"/>
              <w:keepLines/>
              <w:rPr>
                <w:b/>
                <w:bCs w:val="0"/>
              </w:rPr>
            </w:pPr>
            <w:r w:rsidRPr="00E52AC5">
              <w:rPr>
                <w:b/>
                <w:bCs w:val="0"/>
              </w:rPr>
              <w:t>Risk</w:t>
            </w:r>
          </w:p>
        </w:tc>
        <w:tc>
          <w:tcPr>
            <w:tcW w:w="892" w:type="pct"/>
          </w:tcPr>
          <w:p w14:paraId="285ADD07" w14:textId="43074707" w:rsidR="00CC2233" w:rsidRPr="00E52AC5" w:rsidRDefault="00CC2233" w:rsidP="0085073E">
            <w:pPr>
              <w:pStyle w:val="TableText0"/>
              <w:keepLines/>
              <w:jc w:val="center"/>
              <w:rPr>
                <w:b/>
                <w:bCs w:val="0"/>
              </w:rPr>
            </w:pPr>
            <w:r w:rsidRPr="00E52AC5">
              <w:rPr>
                <w:b/>
                <w:bCs w:val="0"/>
              </w:rPr>
              <w:t>RD (95%</w:t>
            </w:r>
            <w:r w:rsidR="00DF0DA6">
              <w:rPr>
                <w:b/>
                <w:bCs w:val="0"/>
              </w:rPr>
              <w:t xml:space="preserve"> </w:t>
            </w:r>
            <w:r w:rsidRPr="00E52AC5">
              <w:rPr>
                <w:b/>
                <w:bCs w:val="0"/>
              </w:rPr>
              <w:t>CI)</w:t>
            </w:r>
          </w:p>
        </w:tc>
        <w:tc>
          <w:tcPr>
            <w:tcW w:w="941" w:type="pct"/>
          </w:tcPr>
          <w:p w14:paraId="40DE2E42" w14:textId="77777777" w:rsidR="00CC2233" w:rsidRPr="00E52AC5" w:rsidRDefault="00CC2233" w:rsidP="0085073E">
            <w:pPr>
              <w:pStyle w:val="TableText0"/>
              <w:keepLines/>
              <w:jc w:val="center"/>
              <w:rPr>
                <w:b/>
                <w:bCs w:val="0"/>
              </w:rPr>
            </w:pPr>
            <w:r w:rsidRPr="00E52AC5">
              <w:rPr>
                <w:b/>
                <w:bCs w:val="0"/>
              </w:rPr>
              <w:t>RR (95% CI)</w:t>
            </w:r>
          </w:p>
        </w:tc>
        <w:tc>
          <w:tcPr>
            <w:tcW w:w="396" w:type="pct"/>
          </w:tcPr>
          <w:p w14:paraId="26A17637" w14:textId="77777777" w:rsidR="00CC2233" w:rsidRPr="00E52AC5" w:rsidRDefault="00CC2233" w:rsidP="0085073E">
            <w:pPr>
              <w:pStyle w:val="TableText0"/>
              <w:keepLines/>
              <w:jc w:val="center"/>
              <w:rPr>
                <w:b/>
                <w:bCs w:val="0"/>
              </w:rPr>
            </w:pPr>
            <w:r w:rsidRPr="00E52AC5">
              <w:rPr>
                <w:b/>
                <w:bCs w:val="0"/>
              </w:rPr>
              <w:t>P-value</w:t>
            </w:r>
          </w:p>
        </w:tc>
      </w:tr>
      <w:tr w:rsidR="00CC2233" w:rsidRPr="00E52AC5" w14:paraId="6E1F802D" w14:textId="77777777" w:rsidTr="00C07D9A">
        <w:trPr>
          <w:trHeight w:val="73"/>
        </w:trPr>
        <w:tc>
          <w:tcPr>
            <w:tcW w:w="1582" w:type="pct"/>
            <w:vAlign w:val="center"/>
          </w:tcPr>
          <w:p w14:paraId="23D6057A" w14:textId="77777777" w:rsidR="00CC2233" w:rsidRPr="00E52AC5" w:rsidRDefault="00CC2233" w:rsidP="0085073E">
            <w:pPr>
              <w:pStyle w:val="TableText0"/>
              <w:keepLines/>
            </w:pPr>
            <w:r w:rsidRPr="00E52AC5">
              <w:t>Cohort 1A</w:t>
            </w:r>
          </w:p>
        </w:tc>
        <w:tc>
          <w:tcPr>
            <w:tcW w:w="644" w:type="pct"/>
            <w:noWrap/>
          </w:tcPr>
          <w:p w14:paraId="649CCD2B" w14:textId="77777777" w:rsidR="00CC2233" w:rsidRPr="00E52AC5" w:rsidRDefault="00CC2233" w:rsidP="0085073E">
            <w:pPr>
              <w:pStyle w:val="TableText0"/>
              <w:keepLines/>
              <w:jc w:val="center"/>
            </w:pPr>
            <w:r w:rsidRPr="00E52AC5">
              <w:t>87.5%</w:t>
            </w:r>
          </w:p>
        </w:tc>
        <w:tc>
          <w:tcPr>
            <w:tcW w:w="545" w:type="pct"/>
            <w:noWrap/>
          </w:tcPr>
          <w:p w14:paraId="6E77DF22" w14:textId="77777777" w:rsidR="00CC2233" w:rsidRPr="00E52AC5" w:rsidRDefault="00CC2233" w:rsidP="0085073E">
            <w:pPr>
              <w:pStyle w:val="TableText0"/>
              <w:keepLines/>
              <w:jc w:val="center"/>
            </w:pPr>
            <w:r w:rsidRPr="00E52AC5">
              <w:t>22.9%</w:t>
            </w:r>
          </w:p>
        </w:tc>
        <w:tc>
          <w:tcPr>
            <w:tcW w:w="892" w:type="pct"/>
            <w:noWrap/>
          </w:tcPr>
          <w:p w14:paraId="07B80681" w14:textId="77777777" w:rsidR="00CC2233" w:rsidRPr="00E52AC5" w:rsidRDefault="00CC2233" w:rsidP="0085073E">
            <w:pPr>
              <w:pStyle w:val="TableText0"/>
              <w:keepLines/>
              <w:jc w:val="center"/>
            </w:pPr>
            <w:r w:rsidRPr="00E52AC5">
              <w:t>0.646 (0.491, 0.801)</w:t>
            </w:r>
          </w:p>
        </w:tc>
        <w:tc>
          <w:tcPr>
            <w:tcW w:w="941" w:type="pct"/>
            <w:noWrap/>
          </w:tcPr>
          <w:p w14:paraId="39DE2CC0" w14:textId="77777777" w:rsidR="00CC2233" w:rsidRPr="00E52AC5" w:rsidRDefault="00CC2233" w:rsidP="0085073E">
            <w:pPr>
              <w:pStyle w:val="TableText0"/>
              <w:keepLines/>
              <w:jc w:val="center"/>
            </w:pPr>
            <w:r w:rsidRPr="00E52AC5">
              <w:t>3.828 (2.592, 5.655)</w:t>
            </w:r>
          </w:p>
        </w:tc>
        <w:tc>
          <w:tcPr>
            <w:tcW w:w="396" w:type="pct"/>
            <w:noWrap/>
          </w:tcPr>
          <w:p w14:paraId="1B6789D5" w14:textId="77777777" w:rsidR="00CC2233" w:rsidRPr="00E52AC5" w:rsidRDefault="00CC2233" w:rsidP="0085073E">
            <w:pPr>
              <w:pStyle w:val="TableText0"/>
              <w:keepLines/>
              <w:jc w:val="center"/>
            </w:pPr>
            <w:r w:rsidRPr="00E52AC5">
              <w:t>&lt; 0.001</w:t>
            </w:r>
          </w:p>
        </w:tc>
      </w:tr>
      <w:tr w:rsidR="00CC2233" w:rsidRPr="00E52AC5" w14:paraId="563FB232" w14:textId="77777777" w:rsidTr="00C07D9A">
        <w:trPr>
          <w:trHeight w:val="73"/>
        </w:trPr>
        <w:tc>
          <w:tcPr>
            <w:tcW w:w="1582" w:type="pct"/>
            <w:vAlign w:val="center"/>
          </w:tcPr>
          <w:p w14:paraId="49852958" w14:textId="77777777" w:rsidR="00CC2233" w:rsidRPr="00E52AC5" w:rsidRDefault="00CC2233" w:rsidP="0085073E">
            <w:pPr>
              <w:pStyle w:val="TableText0"/>
              <w:keepLines/>
            </w:pPr>
            <w:r w:rsidRPr="00E52AC5">
              <w:t>Cohort 1 &amp; 2</w:t>
            </w:r>
          </w:p>
        </w:tc>
        <w:tc>
          <w:tcPr>
            <w:tcW w:w="644" w:type="pct"/>
            <w:noWrap/>
          </w:tcPr>
          <w:p w14:paraId="148FFD7F" w14:textId="77777777" w:rsidR="00CC2233" w:rsidRPr="00E52AC5" w:rsidRDefault="00CC2233" w:rsidP="0085073E">
            <w:pPr>
              <w:pStyle w:val="TableText0"/>
              <w:keepLines/>
              <w:jc w:val="center"/>
            </w:pPr>
            <w:r w:rsidRPr="00E52AC5">
              <w:t>79.2%</w:t>
            </w:r>
          </w:p>
        </w:tc>
        <w:tc>
          <w:tcPr>
            <w:tcW w:w="545" w:type="pct"/>
            <w:noWrap/>
          </w:tcPr>
          <w:p w14:paraId="72FCB385" w14:textId="77777777" w:rsidR="00CC2233" w:rsidRPr="00E52AC5" w:rsidRDefault="00CC2233" w:rsidP="0085073E">
            <w:pPr>
              <w:pStyle w:val="TableText0"/>
              <w:keepLines/>
              <w:jc w:val="center"/>
            </w:pPr>
            <w:r w:rsidRPr="00E52AC5">
              <w:t>22.9%</w:t>
            </w:r>
          </w:p>
        </w:tc>
        <w:tc>
          <w:tcPr>
            <w:tcW w:w="892" w:type="pct"/>
            <w:noWrap/>
          </w:tcPr>
          <w:p w14:paraId="637FF2F8" w14:textId="77777777" w:rsidR="00CC2233" w:rsidRPr="00E52AC5" w:rsidRDefault="00CC2233" w:rsidP="0085073E">
            <w:pPr>
              <w:pStyle w:val="TableText0"/>
              <w:keepLines/>
              <w:jc w:val="center"/>
            </w:pPr>
            <w:r w:rsidRPr="00E52AC5">
              <w:t>0.563 (0.438, 0.687)</w:t>
            </w:r>
          </w:p>
        </w:tc>
        <w:tc>
          <w:tcPr>
            <w:tcW w:w="941" w:type="pct"/>
            <w:noWrap/>
          </w:tcPr>
          <w:p w14:paraId="3E990576" w14:textId="77777777" w:rsidR="00CC2233" w:rsidRPr="00E52AC5" w:rsidRDefault="00CC2233" w:rsidP="0085073E">
            <w:pPr>
              <w:pStyle w:val="TableText0"/>
              <w:keepLines/>
              <w:jc w:val="center"/>
            </w:pPr>
            <w:r w:rsidRPr="00E52AC5">
              <w:t>3.464 (2.372, 5.058)</w:t>
            </w:r>
          </w:p>
        </w:tc>
        <w:tc>
          <w:tcPr>
            <w:tcW w:w="396" w:type="pct"/>
            <w:noWrap/>
          </w:tcPr>
          <w:p w14:paraId="0F7352E4" w14:textId="77777777" w:rsidR="00CC2233" w:rsidRPr="00E52AC5" w:rsidRDefault="00CC2233" w:rsidP="0085073E">
            <w:pPr>
              <w:pStyle w:val="TableText0"/>
              <w:keepLines/>
              <w:jc w:val="center"/>
            </w:pPr>
            <w:r w:rsidRPr="00E52AC5">
              <w:t>&lt; 0.001</w:t>
            </w:r>
          </w:p>
        </w:tc>
      </w:tr>
      <w:tr w:rsidR="00CC2233" w:rsidRPr="00E52AC5" w14:paraId="53438113" w14:textId="77777777" w:rsidTr="00C07D9A">
        <w:trPr>
          <w:trHeight w:val="73"/>
        </w:trPr>
        <w:tc>
          <w:tcPr>
            <w:tcW w:w="1582" w:type="pct"/>
          </w:tcPr>
          <w:p w14:paraId="64A3F8EF" w14:textId="77777777" w:rsidR="00CC2233" w:rsidRPr="00E52AC5" w:rsidRDefault="00CC2233" w:rsidP="0085073E">
            <w:pPr>
              <w:pStyle w:val="TableText0"/>
              <w:keepLines/>
            </w:pPr>
            <w:r w:rsidRPr="00E52AC5">
              <w:t>Cohort D1-LEN (Cohort 1A &amp; 2)</w:t>
            </w:r>
          </w:p>
        </w:tc>
        <w:tc>
          <w:tcPr>
            <w:tcW w:w="644" w:type="pct"/>
            <w:noWrap/>
          </w:tcPr>
          <w:p w14:paraId="0191E1B0" w14:textId="77777777" w:rsidR="00CC2233" w:rsidRPr="00E52AC5" w:rsidRDefault="00CC2233" w:rsidP="0085073E">
            <w:pPr>
              <w:pStyle w:val="TableText0"/>
              <w:keepLines/>
              <w:jc w:val="center"/>
            </w:pPr>
            <w:r w:rsidRPr="00E52AC5">
              <w:t>80.0%</w:t>
            </w:r>
          </w:p>
        </w:tc>
        <w:tc>
          <w:tcPr>
            <w:tcW w:w="545" w:type="pct"/>
            <w:noWrap/>
          </w:tcPr>
          <w:p w14:paraId="548BCFE3" w14:textId="77777777" w:rsidR="00CC2233" w:rsidRPr="00E52AC5" w:rsidRDefault="00CC2233" w:rsidP="0085073E">
            <w:pPr>
              <w:pStyle w:val="TableText0"/>
              <w:keepLines/>
              <w:jc w:val="center"/>
            </w:pPr>
            <w:r w:rsidRPr="00E52AC5">
              <w:t>22.9%</w:t>
            </w:r>
          </w:p>
        </w:tc>
        <w:tc>
          <w:tcPr>
            <w:tcW w:w="892" w:type="pct"/>
            <w:noWrap/>
          </w:tcPr>
          <w:p w14:paraId="12B32517" w14:textId="77777777" w:rsidR="00CC2233" w:rsidRPr="00E52AC5" w:rsidRDefault="00CC2233" w:rsidP="0085073E">
            <w:pPr>
              <w:pStyle w:val="TableText0"/>
              <w:keepLines/>
              <w:jc w:val="center"/>
            </w:pPr>
            <w:r w:rsidRPr="00E52AC5">
              <w:t>0.571 (0.441, 0.701)</w:t>
            </w:r>
          </w:p>
        </w:tc>
        <w:tc>
          <w:tcPr>
            <w:tcW w:w="941" w:type="pct"/>
            <w:noWrap/>
          </w:tcPr>
          <w:p w14:paraId="7DA29854" w14:textId="77777777" w:rsidR="00CC2233" w:rsidRPr="00E52AC5" w:rsidRDefault="00CC2233" w:rsidP="0085073E">
            <w:pPr>
              <w:pStyle w:val="TableText0"/>
              <w:keepLines/>
              <w:jc w:val="center"/>
            </w:pPr>
            <w:r w:rsidRPr="00E52AC5">
              <w:t>3.500 (2.391, 5.124)</w:t>
            </w:r>
          </w:p>
        </w:tc>
        <w:tc>
          <w:tcPr>
            <w:tcW w:w="396" w:type="pct"/>
            <w:noWrap/>
          </w:tcPr>
          <w:p w14:paraId="61BAB876" w14:textId="77777777" w:rsidR="00CC2233" w:rsidRPr="00E52AC5" w:rsidRDefault="00CC2233" w:rsidP="0085073E">
            <w:pPr>
              <w:pStyle w:val="TableText0"/>
              <w:keepLines/>
              <w:jc w:val="center"/>
            </w:pPr>
            <w:r w:rsidRPr="00E52AC5">
              <w:t>&lt; 0.001</w:t>
            </w:r>
          </w:p>
        </w:tc>
      </w:tr>
      <w:tr w:rsidR="00CC2233" w:rsidRPr="00E52AC5" w14:paraId="5C01DEBB" w14:textId="77777777" w:rsidTr="00C07D9A">
        <w:trPr>
          <w:trHeight w:val="73"/>
        </w:trPr>
        <w:tc>
          <w:tcPr>
            <w:tcW w:w="2771" w:type="pct"/>
            <w:gridSpan w:val="3"/>
          </w:tcPr>
          <w:p w14:paraId="5FBB998E" w14:textId="77777777" w:rsidR="00CC2233" w:rsidRPr="00E52AC5" w:rsidRDefault="00CC2233" w:rsidP="0085073E">
            <w:pPr>
              <w:pStyle w:val="TableText0"/>
              <w:keepLines/>
              <w:rPr>
                <w:b/>
                <w:bCs w:val="0"/>
              </w:rPr>
            </w:pPr>
            <w:r w:rsidRPr="00E52AC5">
              <w:rPr>
                <w:b/>
                <w:bCs w:val="0"/>
              </w:rPr>
              <w:t>Odds</w:t>
            </w:r>
          </w:p>
        </w:tc>
        <w:tc>
          <w:tcPr>
            <w:tcW w:w="2229" w:type="pct"/>
            <w:gridSpan w:val="3"/>
            <w:noWrap/>
          </w:tcPr>
          <w:p w14:paraId="3AFECCC1" w14:textId="73FE4E81" w:rsidR="00CC2233" w:rsidRPr="00E52AC5" w:rsidRDefault="00CC2233" w:rsidP="0085073E">
            <w:pPr>
              <w:pStyle w:val="TableText0"/>
              <w:keepLines/>
              <w:jc w:val="center"/>
              <w:rPr>
                <w:b/>
                <w:bCs w:val="0"/>
              </w:rPr>
            </w:pPr>
            <w:r w:rsidRPr="00E52AC5">
              <w:rPr>
                <w:b/>
                <w:bCs w:val="0"/>
              </w:rPr>
              <w:t>Odds ratio (95%</w:t>
            </w:r>
            <w:r w:rsidR="00DF0DA6">
              <w:rPr>
                <w:b/>
                <w:bCs w:val="0"/>
              </w:rPr>
              <w:t xml:space="preserve"> </w:t>
            </w:r>
            <w:r w:rsidRPr="00E52AC5">
              <w:rPr>
                <w:b/>
                <w:bCs w:val="0"/>
              </w:rPr>
              <w:t>CI)</w:t>
            </w:r>
          </w:p>
        </w:tc>
      </w:tr>
      <w:tr w:rsidR="00CC2233" w:rsidRPr="00E52AC5" w14:paraId="56E01282" w14:textId="77777777" w:rsidTr="00C07D9A">
        <w:trPr>
          <w:trHeight w:val="73"/>
        </w:trPr>
        <w:tc>
          <w:tcPr>
            <w:tcW w:w="1582" w:type="pct"/>
          </w:tcPr>
          <w:p w14:paraId="4ECA84DF" w14:textId="77777777" w:rsidR="00CC2233" w:rsidRPr="00E52AC5" w:rsidRDefault="00CC2233" w:rsidP="0085073E">
            <w:pPr>
              <w:pStyle w:val="TableText0"/>
              <w:keepLines/>
            </w:pPr>
            <w:r w:rsidRPr="00E52AC5">
              <w:t>Cohort 1A</w:t>
            </w:r>
          </w:p>
        </w:tc>
        <w:tc>
          <w:tcPr>
            <w:tcW w:w="644" w:type="pct"/>
            <w:noWrap/>
          </w:tcPr>
          <w:p w14:paraId="4A585027" w14:textId="77777777" w:rsidR="00CC2233" w:rsidRPr="00E52AC5" w:rsidRDefault="00CC2233" w:rsidP="0085073E">
            <w:pPr>
              <w:pStyle w:val="TableText0"/>
              <w:keepLines/>
              <w:jc w:val="center"/>
            </w:pPr>
            <w:r w:rsidRPr="00E52AC5">
              <w:t>7.000</w:t>
            </w:r>
          </w:p>
        </w:tc>
        <w:tc>
          <w:tcPr>
            <w:tcW w:w="545" w:type="pct"/>
            <w:noWrap/>
          </w:tcPr>
          <w:p w14:paraId="3907CCA6" w14:textId="77777777" w:rsidR="00CC2233" w:rsidRPr="00E52AC5" w:rsidRDefault="00CC2233" w:rsidP="0085073E">
            <w:pPr>
              <w:pStyle w:val="TableText0"/>
              <w:keepLines/>
              <w:jc w:val="center"/>
            </w:pPr>
            <w:r w:rsidRPr="00E52AC5">
              <w:t>0.296</w:t>
            </w:r>
          </w:p>
        </w:tc>
        <w:tc>
          <w:tcPr>
            <w:tcW w:w="1833" w:type="pct"/>
            <w:gridSpan w:val="2"/>
            <w:noWrap/>
          </w:tcPr>
          <w:p w14:paraId="7B42C608" w14:textId="77777777" w:rsidR="00CC2233" w:rsidRPr="00E52AC5" w:rsidRDefault="00CC2233" w:rsidP="0085073E">
            <w:pPr>
              <w:pStyle w:val="TableText0"/>
              <w:keepLines/>
              <w:jc w:val="center"/>
            </w:pPr>
            <w:r w:rsidRPr="00E52AC5">
              <w:t>23.616 (6.450, 86.465)</w:t>
            </w:r>
          </w:p>
        </w:tc>
        <w:tc>
          <w:tcPr>
            <w:tcW w:w="396" w:type="pct"/>
            <w:noWrap/>
          </w:tcPr>
          <w:p w14:paraId="4BB416EB" w14:textId="77777777" w:rsidR="00CC2233" w:rsidRPr="00E52AC5" w:rsidRDefault="00CC2233" w:rsidP="0085073E">
            <w:pPr>
              <w:pStyle w:val="TableText0"/>
              <w:keepLines/>
              <w:jc w:val="center"/>
            </w:pPr>
            <w:r w:rsidRPr="00E52AC5">
              <w:t>&lt; 0.001</w:t>
            </w:r>
          </w:p>
        </w:tc>
      </w:tr>
      <w:tr w:rsidR="00CC2233" w:rsidRPr="00E52AC5" w14:paraId="4DFBBB84" w14:textId="77777777" w:rsidTr="00C07D9A">
        <w:trPr>
          <w:trHeight w:val="73"/>
        </w:trPr>
        <w:tc>
          <w:tcPr>
            <w:tcW w:w="1582" w:type="pct"/>
          </w:tcPr>
          <w:p w14:paraId="6D32D699" w14:textId="77777777" w:rsidR="00CC2233" w:rsidRPr="00E52AC5" w:rsidRDefault="00CC2233" w:rsidP="0085073E">
            <w:pPr>
              <w:pStyle w:val="TableText0"/>
              <w:keepLines/>
            </w:pPr>
            <w:r w:rsidRPr="00E52AC5">
              <w:t>Cohort 1 &amp; 2</w:t>
            </w:r>
          </w:p>
        </w:tc>
        <w:tc>
          <w:tcPr>
            <w:tcW w:w="644" w:type="pct"/>
            <w:noWrap/>
          </w:tcPr>
          <w:p w14:paraId="525F8F76" w14:textId="77777777" w:rsidR="00CC2233" w:rsidRPr="00E52AC5" w:rsidRDefault="00CC2233" w:rsidP="0085073E">
            <w:pPr>
              <w:pStyle w:val="TableText0"/>
              <w:keepLines/>
              <w:jc w:val="center"/>
            </w:pPr>
            <w:r w:rsidRPr="00E52AC5">
              <w:t>3.800</w:t>
            </w:r>
          </w:p>
        </w:tc>
        <w:tc>
          <w:tcPr>
            <w:tcW w:w="545" w:type="pct"/>
            <w:noWrap/>
          </w:tcPr>
          <w:p w14:paraId="370F80A7" w14:textId="77777777" w:rsidR="00CC2233" w:rsidRPr="00E52AC5" w:rsidRDefault="00CC2233" w:rsidP="0085073E">
            <w:pPr>
              <w:pStyle w:val="TableText0"/>
              <w:keepLines/>
              <w:jc w:val="center"/>
            </w:pPr>
            <w:r w:rsidRPr="00E52AC5">
              <w:t>0.296</w:t>
            </w:r>
          </w:p>
        </w:tc>
        <w:tc>
          <w:tcPr>
            <w:tcW w:w="1833" w:type="pct"/>
            <w:gridSpan w:val="2"/>
            <w:noWrap/>
          </w:tcPr>
          <w:p w14:paraId="68C757E3" w14:textId="77777777" w:rsidR="00CC2233" w:rsidRPr="00E52AC5" w:rsidRDefault="00CC2233" w:rsidP="0085073E">
            <w:pPr>
              <w:pStyle w:val="TableText0"/>
              <w:keepLines/>
              <w:jc w:val="center"/>
            </w:pPr>
            <w:r w:rsidRPr="00E52AC5">
              <w:t>12.820 (6.130, 26.812)</w:t>
            </w:r>
          </w:p>
        </w:tc>
        <w:tc>
          <w:tcPr>
            <w:tcW w:w="396" w:type="pct"/>
            <w:noWrap/>
          </w:tcPr>
          <w:p w14:paraId="42839BC5" w14:textId="77777777" w:rsidR="00CC2233" w:rsidRPr="00E52AC5" w:rsidRDefault="00CC2233" w:rsidP="0085073E">
            <w:pPr>
              <w:pStyle w:val="TableText0"/>
              <w:keepLines/>
              <w:jc w:val="center"/>
            </w:pPr>
            <w:r w:rsidRPr="00E52AC5">
              <w:t>&lt; 0.001</w:t>
            </w:r>
          </w:p>
        </w:tc>
      </w:tr>
      <w:tr w:rsidR="00CC2233" w:rsidRPr="00E52AC5" w14:paraId="6652EB6E" w14:textId="77777777" w:rsidTr="00C07D9A">
        <w:trPr>
          <w:trHeight w:val="251"/>
        </w:trPr>
        <w:tc>
          <w:tcPr>
            <w:tcW w:w="1582" w:type="pct"/>
          </w:tcPr>
          <w:p w14:paraId="4D55A6D2" w14:textId="77777777" w:rsidR="00CC2233" w:rsidRPr="00E52AC5" w:rsidRDefault="00CC2233" w:rsidP="0085073E">
            <w:pPr>
              <w:pStyle w:val="TableText0"/>
              <w:keepLines/>
            </w:pPr>
            <w:r w:rsidRPr="00E52AC5">
              <w:t>Cohort D1-LEN</w:t>
            </w:r>
          </w:p>
        </w:tc>
        <w:tc>
          <w:tcPr>
            <w:tcW w:w="644" w:type="pct"/>
            <w:noWrap/>
          </w:tcPr>
          <w:p w14:paraId="69EDA765" w14:textId="77777777" w:rsidR="00CC2233" w:rsidRPr="00E52AC5" w:rsidRDefault="00CC2233" w:rsidP="0085073E">
            <w:pPr>
              <w:pStyle w:val="TableText0"/>
              <w:keepLines/>
              <w:jc w:val="center"/>
            </w:pPr>
            <w:r w:rsidRPr="00E52AC5">
              <w:t>4.000</w:t>
            </w:r>
          </w:p>
        </w:tc>
        <w:tc>
          <w:tcPr>
            <w:tcW w:w="545" w:type="pct"/>
            <w:noWrap/>
          </w:tcPr>
          <w:p w14:paraId="5D3BB71D" w14:textId="77777777" w:rsidR="00CC2233" w:rsidRPr="00E52AC5" w:rsidRDefault="00CC2233" w:rsidP="0085073E">
            <w:pPr>
              <w:pStyle w:val="TableText0"/>
              <w:keepLines/>
              <w:jc w:val="center"/>
            </w:pPr>
            <w:r w:rsidRPr="00E52AC5">
              <w:t>0.296</w:t>
            </w:r>
          </w:p>
        </w:tc>
        <w:tc>
          <w:tcPr>
            <w:tcW w:w="1833" w:type="pct"/>
            <w:gridSpan w:val="2"/>
            <w:noWrap/>
          </w:tcPr>
          <w:p w14:paraId="56ECC32D" w14:textId="77777777" w:rsidR="00CC2233" w:rsidRPr="00E52AC5" w:rsidRDefault="00CC2233" w:rsidP="0085073E">
            <w:pPr>
              <w:pStyle w:val="TableText0"/>
              <w:keepLines/>
              <w:jc w:val="center"/>
            </w:pPr>
            <w:r w:rsidRPr="00E52AC5">
              <w:t>13.495 (6.136, 29.677)</w:t>
            </w:r>
          </w:p>
        </w:tc>
        <w:tc>
          <w:tcPr>
            <w:tcW w:w="396" w:type="pct"/>
            <w:noWrap/>
          </w:tcPr>
          <w:p w14:paraId="540887EA" w14:textId="77777777" w:rsidR="00CC2233" w:rsidRPr="00E52AC5" w:rsidRDefault="00CC2233" w:rsidP="0085073E">
            <w:pPr>
              <w:pStyle w:val="TableText0"/>
              <w:keepLines/>
              <w:jc w:val="center"/>
            </w:pPr>
            <w:r w:rsidRPr="00E52AC5">
              <w:t>&lt; 0.001</w:t>
            </w:r>
          </w:p>
        </w:tc>
      </w:tr>
      <w:tr w:rsidR="00CC2233" w:rsidRPr="00E52AC5" w14:paraId="36244A74" w14:textId="77777777" w:rsidTr="00C07D9A">
        <w:trPr>
          <w:trHeight w:val="71"/>
        </w:trPr>
        <w:tc>
          <w:tcPr>
            <w:tcW w:w="5000" w:type="pct"/>
            <w:gridSpan w:val="6"/>
          </w:tcPr>
          <w:p w14:paraId="161EC97C" w14:textId="5DB8DF7B" w:rsidR="00CC2233" w:rsidRPr="00E52AC5" w:rsidRDefault="00CC2233" w:rsidP="0085073E">
            <w:pPr>
              <w:pStyle w:val="TableText0"/>
              <w:keepLines/>
              <w:rPr>
                <w:b/>
                <w:bCs w:val="0"/>
                <w:vertAlign w:val="superscript"/>
              </w:rPr>
            </w:pPr>
            <w:r w:rsidRPr="00E52AC5">
              <w:rPr>
                <w:b/>
                <w:bCs w:val="0"/>
              </w:rPr>
              <w:t xml:space="preserve">Evaluation </w:t>
            </w:r>
            <w:r w:rsidR="00E703DF" w:rsidRPr="00E52AC5">
              <w:rPr>
                <w:b/>
                <w:bCs w:val="0"/>
              </w:rPr>
              <w:t>unanchored</w:t>
            </w:r>
            <w:r w:rsidRPr="00E52AC5">
              <w:rPr>
                <w:b/>
                <w:bCs w:val="0"/>
              </w:rPr>
              <w:t xml:space="preserve"> comparison</w:t>
            </w:r>
            <w:r w:rsidRPr="00E52AC5">
              <w:rPr>
                <w:b/>
                <w:bCs w:val="0"/>
                <w:vertAlign w:val="superscript"/>
              </w:rPr>
              <w:t>a</w:t>
            </w:r>
          </w:p>
        </w:tc>
      </w:tr>
      <w:tr w:rsidR="00CC2233" w:rsidRPr="00E52AC5" w14:paraId="449C4AC4" w14:textId="77777777" w:rsidTr="00C07D9A">
        <w:trPr>
          <w:trHeight w:val="197"/>
        </w:trPr>
        <w:tc>
          <w:tcPr>
            <w:tcW w:w="2771" w:type="pct"/>
            <w:gridSpan w:val="3"/>
          </w:tcPr>
          <w:p w14:paraId="294904A8" w14:textId="77777777" w:rsidR="00CC2233" w:rsidRPr="00E52AC5" w:rsidRDefault="00CC2233" w:rsidP="0085073E">
            <w:pPr>
              <w:pStyle w:val="TableText0"/>
              <w:keepLines/>
              <w:rPr>
                <w:b/>
                <w:bCs w:val="0"/>
              </w:rPr>
            </w:pPr>
            <w:r w:rsidRPr="00E52AC5">
              <w:rPr>
                <w:b/>
                <w:bCs w:val="0"/>
              </w:rPr>
              <w:t>Risk</w:t>
            </w:r>
          </w:p>
        </w:tc>
        <w:tc>
          <w:tcPr>
            <w:tcW w:w="892" w:type="pct"/>
            <w:noWrap/>
          </w:tcPr>
          <w:p w14:paraId="71446391" w14:textId="7E1692B6" w:rsidR="00CC2233" w:rsidRPr="00E52AC5" w:rsidRDefault="00CC2233" w:rsidP="0085073E">
            <w:pPr>
              <w:pStyle w:val="TableText0"/>
              <w:keepLines/>
              <w:jc w:val="center"/>
              <w:rPr>
                <w:b/>
                <w:bCs w:val="0"/>
              </w:rPr>
            </w:pPr>
            <w:r w:rsidRPr="00E52AC5">
              <w:rPr>
                <w:b/>
                <w:bCs w:val="0"/>
              </w:rPr>
              <w:t>RD (95%</w:t>
            </w:r>
            <w:r w:rsidR="00DF0DA6">
              <w:rPr>
                <w:b/>
                <w:bCs w:val="0"/>
              </w:rPr>
              <w:t xml:space="preserve"> </w:t>
            </w:r>
            <w:r w:rsidRPr="00E52AC5">
              <w:rPr>
                <w:b/>
                <w:bCs w:val="0"/>
              </w:rPr>
              <w:t>CI)</w:t>
            </w:r>
          </w:p>
        </w:tc>
        <w:tc>
          <w:tcPr>
            <w:tcW w:w="941" w:type="pct"/>
          </w:tcPr>
          <w:p w14:paraId="67AC96E7" w14:textId="77777777" w:rsidR="00CC2233" w:rsidRPr="00E52AC5" w:rsidRDefault="00CC2233" w:rsidP="0085073E">
            <w:pPr>
              <w:pStyle w:val="TableText0"/>
              <w:keepLines/>
              <w:jc w:val="center"/>
              <w:rPr>
                <w:b/>
                <w:bCs w:val="0"/>
              </w:rPr>
            </w:pPr>
            <w:r w:rsidRPr="00E52AC5">
              <w:rPr>
                <w:b/>
                <w:bCs w:val="0"/>
              </w:rPr>
              <w:t>RR (95% CI)</w:t>
            </w:r>
          </w:p>
        </w:tc>
        <w:tc>
          <w:tcPr>
            <w:tcW w:w="396" w:type="pct"/>
          </w:tcPr>
          <w:p w14:paraId="6326050A" w14:textId="77777777" w:rsidR="00CC2233" w:rsidRPr="00E52AC5" w:rsidRDefault="00CC2233" w:rsidP="0085073E">
            <w:pPr>
              <w:pStyle w:val="TableText0"/>
              <w:keepLines/>
              <w:jc w:val="center"/>
              <w:rPr>
                <w:b/>
                <w:bCs w:val="0"/>
              </w:rPr>
            </w:pPr>
            <w:r w:rsidRPr="00E52AC5">
              <w:rPr>
                <w:b/>
                <w:bCs w:val="0"/>
              </w:rPr>
              <w:t>P-value</w:t>
            </w:r>
          </w:p>
        </w:tc>
      </w:tr>
      <w:tr w:rsidR="00CC2233" w:rsidRPr="00E52AC5" w14:paraId="28BF2231" w14:textId="77777777" w:rsidTr="00C07D9A">
        <w:trPr>
          <w:trHeight w:val="143"/>
        </w:trPr>
        <w:tc>
          <w:tcPr>
            <w:tcW w:w="1582" w:type="pct"/>
          </w:tcPr>
          <w:p w14:paraId="3AED1DE4" w14:textId="77777777" w:rsidR="00CC2233" w:rsidRPr="00E52AC5" w:rsidRDefault="00CC2233" w:rsidP="0085073E">
            <w:pPr>
              <w:pStyle w:val="TableText0"/>
              <w:keepLines/>
            </w:pPr>
            <w:r w:rsidRPr="00E52AC5">
              <w:t>Cohort 1A</w:t>
            </w:r>
          </w:p>
        </w:tc>
        <w:tc>
          <w:tcPr>
            <w:tcW w:w="644" w:type="pct"/>
            <w:noWrap/>
          </w:tcPr>
          <w:p w14:paraId="35A081C1" w14:textId="77777777" w:rsidR="00CC2233" w:rsidRPr="00E52AC5" w:rsidRDefault="00CC2233" w:rsidP="0085073E">
            <w:pPr>
              <w:pStyle w:val="TableText0"/>
              <w:keepLines/>
              <w:jc w:val="center"/>
            </w:pPr>
            <w:r w:rsidRPr="00E52AC5">
              <w:t>87.5%</w:t>
            </w:r>
          </w:p>
        </w:tc>
        <w:tc>
          <w:tcPr>
            <w:tcW w:w="545" w:type="pct"/>
            <w:noWrap/>
          </w:tcPr>
          <w:p w14:paraId="699E9F5B" w14:textId="77777777" w:rsidR="00CC2233" w:rsidRPr="00E52AC5" w:rsidRDefault="00CC2233" w:rsidP="0085073E">
            <w:pPr>
              <w:pStyle w:val="TableText0"/>
              <w:keepLines/>
              <w:jc w:val="center"/>
            </w:pPr>
            <w:r w:rsidRPr="00E52AC5">
              <w:t>53.8%</w:t>
            </w:r>
          </w:p>
        </w:tc>
        <w:tc>
          <w:tcPr>
            <w:tcW w:w="892" w:type="pct"/>
            <w:noWrap/>
          </w:tcPr>
          <w:p w14:paraId="05544286" w14:textId="77777777" w:rsidR="00CC2233" w:rsidRPr="00E52AC5" w:rsidRDefault="00CC2233" w:rsidP="0085073E">
            <w:pPr>
              <w:pStyle w:val="TableText0"/>
              <w:keepLines/>
              <w:jc w:val="center"/>
            </w:pPr>
            <w:r w:rsidRPr="00E52AC5">
              <w:t>0.337 (NE, NE)</w:t>
            </w:r>
          </w:p>
        </w:tc>
        <w:tc>
          <w:tcPr>
            <w:tcW w:w="941" w:type="pct"/>
            <w:noWrap/>
          </w:tcPr>
          <w:p w14:paraId="0C88C7B4" w14:textId="77777777" w:rsidR="00CC2233" w:rsidRPr="00E52AC5" w:rsidRDefault="00CC2233" w:rsidP="0085073E">
            <w:pPr>
              <w:pStyle w:val="TableText0"/>
              <w:keepLines/>
              <w:jc w:val="center"/>
            </w:pPr>
            <w:r w:rsidRPr="00E52AC5">
              <w:t>1.63 (NE, NE)</w:t>
            </w:r>
          </w:p>
        </w:tc>
        <w:tc>
          <w:tcPr>
            <w:tcW w:w="396" w:type="pct"/>
            <w:vMerge w:val="restart"/>
            <w:vAlign w:val="center"/>
          </w:tcPr>
          <w:p w14:paraId="766200A1" w14:textId="77777777" w:rsidR="00CC2233" w:rsidRPr="00E52AC5" w:rsidRDefault="00CC2233" w:rsidP="0085073E">
            <w:pPr>
              <w:pStyle w:val="TableText0"/>
              <w:keepLines/>
              <w:jc w:val="center"/>
            </w:pPr>
            <w:r w:rsidRPr="00E52AC5">
              <w:t>NE</w:t>
            </w:r>
          </w:p>
        </w:tc>
      </w:tr>
      <w:tr w:rsidR="00CC2233" w:rsidRPr="00E52AC5" w14:paraId="3682BD8B" w14:textId="77777777" w:rsidTr="00C07D9A">
        <w:trPr>
          <w:trHeight w:val="89"/>
        </w:trPr>
        <w:tc>
          <w:tcPr>
            <w:tcW w:w="1582" w:type="pct"/>
          </w:tcPr>
          <w:p w14:paraId="478F7576" w14:textId="77777777" w:rsidR="00CC2233" w:rsidRPr="00E52AC5" w:rsidRDefault="00CC2233" w:rsidP="0085073E">
            <w:pPr>
              <w:pStyle w:val="TableText0"/>
              <w:keepLines/>
            </w:pPr>
            <w:r w:rsidRPr="00E52AC5">
              <w:t>Cohort 1 &amp; 2</w:t>
            </w:r>
          </w:p>
        </w:tc>
        <w:tc>
          <w:tcPr>
            <w:tcW w:w="644" w:type="pct"/>
            <w:noWrap/>
          </w:tcPr>
          <w:p w14:paraId="659A0A87" w14:textId="77777777" w:rsidR="00CC2233" w:rsidRPr="00E52AC5" w:rsidRDefault="00CC2233" w:rsidP="0085073E">
            <w:pPr>
              <w:pStyle w:val="TableText0"/>
              <w:keepLines/>
              <w:jc w:val="center"/>
            </w:pPr>
            <w:r w:rsidRPr="00E52AC5">
              <w:t>79.2%</w:t>
            </w:r>
          </w:p>
        </w:tc>
        <w:tc>
          <w:tcPr>
            <w:tcW w:w="545" w:type="pct"/>
            <w:noWrap/>
          </w:tcPr>
          <w:p w14:paraId="6192D500" w14:textId="77777777" w:rsidR="00CC2233" w:rsidRPr="00E52AC5" w:rsidRDefault="00CC2233" w:rsidP="0085073E">
            <w:pPr>
              <w:pStyle w:val="TableText0"/>
              <w:keepLines/>
              <w:jc w:val="center"/>
            </w:pPr>
            <w:r w:rsidRPr="00E52AC5">
              <w:t>53.8%</w:t>
            </w:r>
          </w:p>
        </w:tc>
        <w:tc>
          <w:tcPr>
            <w:tcW w:w="892" w:type="pct"/>
            <w:noWrap/>
          </w:tcPr>
          <w:p w14:paraId="590259C8" w14:textId="77777777" w:rsidR="00CC2233" w:rsidRPr="00E52AC5" w:rsidRDefault="00CC2233" w:rsidP="0085073E">
            <w:pPr>
              <w:pStyle w:val="TableText0"/>
              <w:keepLines/>
              <w:jc w:val="center"/>
            </w:pPr>
            <w:r w:rsidRPr="00E52AC5">
              <w:t>0.254 (NE, NE)</w:t>
            </w:r>
          </w:p>
        </w:tc>
        <w:tc>
          <w:tcPr>
            <w:tcW w:w="941" w:type="pct"/>
            <w:noWrap/>
          </w:tcPr>
          <w:p w14:paraId="4A3B465E" w14:textId="77777777" w:rsidR="00CC2233" w:rsidRPr="00E52AC5" w:rsidRDefault="00CC2233" w:rsidP="0085073E">
            <w:pPr>
              <w:pStyle w:val="TableText0"/>
              <w:keepLines/>
              <w:jc w:val="center"/>
            </w:pPr>
            <w:r w:rsidRPr="00E52AC5">
              <w:t>1.47 (NE, NE)</w:t>
            </w:r>
          </w:p>
        </w:tc>
        <w:tc>
          <w:tcPr>
            <w:tcW w:w="396" w:type="pct"/>
            <w:vMerge/>
            <w:vAlign w:val="center"/>
          </w:tcPr>
          <w:p w14:paraId="5F074F86" w14:textId="77777777" w:rsidR="00CC2233" w:rsidRPr="00E52AC5" w:rsidRDefault="00CC2233" w:rsidP="0085073E">
            <w:pPr>
              <w:pStyle w:val="KMC16-Tablecontent"/>
              <w:keepNext/>
              <w:keepLines/>
              <w:spacing w:before="100" w:beforeAutospacing="1" w:after="0"/>
              <w:jc w:val="center"/>
              <w:rPr>
                <w:lang w:val="en-AU"/>
              </w:rPr>
            </w:pPr>
          </w:p>
        </w:tc>
      </w:tr>
      <w:tr w:rsidR="00CC2233" w:rsidRPr="00E52AC5" w14:paraId="5AE6198E" w14:textId="77777777" w:rsidTr="00C07D9A">
        <w:trPr>
          <w:trHeight w:val="107"/>
        </w:trPr>
        <w:tc>
          <w:tcPr>
            <w:tcW w:w="1582" w:type="pct"/>
          </w:tcPr>
          <w:p w14:paraId="50AE4C9F" w14:textId="77777777" w:rsidR="00CC2233" w:rsidRPr="00E52AC5" w:rsidRDefault="00CC2233" w:rsidP="0085073E">
            <w:pPr>
              <w:pStyle w:val="TableText0"/>
              <w:keepLines/>
            </w:pPr>
            <w:r w:rsidRPr="00E52AC5">
              <w:t>Cohort D1-LEN</w:t>
            </w:r>
          </w:p>
        </w:tc>
        <w:tc>
          <w:tcPr>
            <w:tcW w:w="644" w:type="pct"/>
            <w:noWrap/>
          </w:tcPr>
          <w:p w14:paraId="49BE4268" w14:textId="77777777" w:rsidR="00CC2233" w:rsidRPr="00E52AC5" w:rsidRDefault="00CC2233" w:rsidP="0085073E">
            <w:pPr>
              <w:pStyle w:val="TableText0"/>
              <w:keepLines/>
              <w:jc w:val="center"/>
            </w:pPr>
            <w:r w:rsidRPr="00E52AC5">
              <w:t>80.0%</w:t>
            </w:r>
          </w:p>
        </w:tc>
        <w:tc>
          <w:tcPr>
            <w:tcW w:w="545" w:type="pct"/>
            <w:noWrap/>
          </w:tcPr>
          <w:p w14:paraId="23067709" w14:textId="77777777" w:rsidR="00CC2233" w:rsidRPr="00E52AC5" w:rsidRDefault="00CC2233" w:rsidP="0085073E">
            <w:pPr>
              <w:pStyle w:val="TableText0"/>
              <w:keepLines/>
              <w:jc w:val="center"/>
            </w:pPr>
            <w:r w:rsidRPr="00E52AC5">
              <w:t>53.8%</w:t>
            </w:r>
          </w:p>
        </w:tc>
        <w:tc>
          <w:tcPr>
            <w:tcW w:w="892" w:type="pct"/>
            <w:noWrap/>
          </w:tcPr>
          <w:p w14:paraId="4A115349" w14:textId="77777777" w:rsidR="00CC2233" w:rsidRPr="00E52AC5" w:rsidRDefault="00CC2233" w:rsidP="0085073E">
            <w:pPr>
              <w:pStyle w:val="TableText0"/>
              <w:keepLines/>
              <w:jc w:val="center"/>
            </w:pPr>
            <w:r w:rsidRPr="00E52AC5">
              <w:t>0.262 (NE, NE)</w:t>
            </w:r>
          </w:p>
        </w:tc>
        <w:tc>
          <w:tcPr>
            <w:tcW w:w="941" w:type="pct"/>
            <w:noWrap/>
          </w:tcPr>
          <w:p w14:paraId="15B4E825" w14:textId="77777777" w:rsidR="00CC2233" w:rsidRPr="00E52AC5" w:rsidRDefault="00CC2233" w:rsidP="0085073E">
            <w:pPr>
              <w:pStyle w:val="TableText0"/>
              <w:keepLines/>
              <w:jc w:val="center"/>
            </w:pPr>
            <w:r w:rsidRPr="00E52AC5">
              <w:t>1.49 (NE, NE)</w:t>
            </w:r>
          </w:p>
        </w:tc>
        <w:tc>
          <w:tcPr>
            <w:tcW w:w="396" w:type="pct"/>
            <w:vMerge/>
            <w:vAlign w:val="center"/>
          </w:tcPr>
          <w:p w14:paraId="583A9800" w14:textId="77777777" w:rsidR="00CC2233" w:rsidRPr="00E52AC5" w:rsidRDefault="00CC2233" w:rsidP="0085073E">
            <w:pPr>
              <w:pStyle w:val="KMC16-Tablecontent"/>
              <w:keepNext/>
              <w:keepLines/>
              <w:spacing w:before="100" w:beforeAutospacing="1" w:after="0"/>
              <w:jc w:val="center"/>
              <w:rPr>
                <w:lang w:val="en-AU"/>
              </w:rPr>
            </w:pPr>
          </w:p>
        </w:tc>
      </w:tr>
    </w:tbl>
    <w:p w14:paraId="35E460A6" w14:textId="79576BEE" w:rsidR="008B379C" w:rsidRPr="00E52AC5" w:rsidRDefault="00CC2233" w:rsidP="0085073E">
      <w:pPr>
        <w:pStyle w:val="FooterTableFigure"/>
        <w:keepNext/>
        <w:keepLines/>
        <w:rPr>
          <w:color w:val="403152" w:themeColor="accent4" w:themeShade="80"/>
        </w:rPr>
      </w:pPr>
      <w:r w:rsidRPr="00E52AC5">
        <w:rPr>
          <w:color w:val="403152" w:themeColor="accent4" w:themeShade="80"/>
        </w:rPr>
        <w:t xml:space="preserve">Source: Table 2-42, p128 and </w:t>
      </w:r>
      <w:r w:rsidRPr="00E52AC5">
        <w:t xml:space="preserve">Table 2-43, p130 </w:t>
      </w:r>
      <w:r w:rsidRPr="00E52AC5">
        <w:rPr>
          <w:color w:val="403152" w:themeColor="accent4" w:themeShade="80"/>
        </w:rPr>
        <w:t xml:space="preserve">of the submission. </w:t>
      </w:r>
    </w:p>
    <w:p w14:paraId="7061E46B" w14:textId="42EE2BC4" w:rsidR="00CC2233" w:rsidRPr="00E52AC5" w:rsidRDefault="00CC2233" w:rsidP="0085073E">
      <w:pPr>
        <w:pStyle w:val="FooterTableFigure"/>
        <w:keepNext/>
        <w:keepLines/>
      </w:pPr>
      <w:r w:rsidRPr="00E52AC5">
        <w:t>CI = confidence interval; OBR = optimised background regimen</w:t>
      </w:r>
      <w:r w:rsidR="008B379C" w:rsidRPr="00E52AC5">
        <w:t xml:space="preserve"> </w:t>
      </w:r>
      <w:r w:rsidRPr="00E52AC5">
        <w:t>LEN = lenacapavir; NE = not estimable; OBR = optimised background regiment</w:t>
      </w:r>
      <w:r w:rsidR="008B379C" w:rsidRPr="00E52AC5">
        <w:t>; RD = risk difference; RR = relative risk.</w:t>
      </w:r>
    </w:p>
    <w:p w14:paraId="7684D1AE" w14:textId="3B819A1A" w:rsidR="00CC2233" w:rsidRDefault="00CC2233" w:rsidP="0085073E">
      <w:pPr>
        <w:pStyle w:val="FooterTableFigure"/>
        <w:keepNext/>
        <w:keepLines/>
        <w:contextualSpacing w:val="0"/>
      </w:pPr>
      <w:r w:rsidRPr="00DF0DA6">
        <w:t xml:space="preserve">a </w:t>
      </w:r>
      <w:r w:rsidRPr="00E52AC5">
        <w:t>Risk for intervention arms of the comparator trials was estimated during the evaluation using the meta package in R. point estimates of relative risk and risk difference was calculated manually during the evaluation.</w:t>
      </w:r>
    </w:p>
    <w:p w14:paraId="544258EA" w14:textId="11E4557B" w:rsidR="00E47B94" w:rsidRPr="00E660CD" w:rsidRDefault="00E47B94" w:rsidP="0085073E">
      <w:pPr>
        <w:pStyle w:val="FooterTableFigure"/>
        <w:keepNext/>
        <w:keepLines/>
        <w:rPr>
          <w:color w:val="403152" w:themeColor="accent4" w:themeShade="80"/>
        </w:rPr>
      </w:pPr>
      <w:r w:rsidRPr="003E70C0">
        <w:rPr>
          <w:rFonts w:cstheme="minorHAnsi"/>
          <w:i/>
          <w:iCs/>
        </w:rPr>
        <w:t>Note: The results presented in Table 7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p w14:paraId="071F0FEA" w14:textId="6FC9425D" w:rsidR="00CC2233" w:rsidRPr="00E80D4A" w:rsidRDefault="00CC2233" w:rsidP="00E80D4A">
      <w:pPr>
        <w:pStyle w:val="3-BodyText"/>
        <w:rPr>
          <w:color w:val="000000" w:themeColor="text1"/>
        </w:rPr>
      </w:pPr>
      <w:r w:rsidRPr="0085073E">
        <w:t xml:space="preserve">The submission claimed that a statistically and clinically significantly </w:t>
      </w:r>
      <w:r w:rsidRPr="00C4404D">
        <w:rPr>
          <w:color w:val="000000" w:themeColor="text1"/>
        </w:rPr>
        <w:t>higher proportion of highly MDR HIV patients treated with lenacapavir + OBR achieved virologic suppression (i.e. &lt;</w:t>
      </w:r>
      <w:r w:rsidR="003D023E">
        <w:rPr>
          <w:color w:val="000000" w:themeColor="text1"/>
        </w:rPr>
        <w:t xml:space="preserve"> </w:t>
      </w:r>
      <w:r w:rsidRPr="00C4404D">
        <w:rPr>
          <w:color w:val="000000" w:themeColor="text1"/>
        </w:rPr>
        <w:t>50 copies per mL) at Week 48/52 compared with placebo + OBR in Cohort 1A, reflecting an almost four-fold increased chance of achieving virologic suppression when treated with lenacapavir + OBR versus placebo + OBR (</w:t>
      </w:r>
      <w:r w:rsidR="008B379C">
        <w:rPr>
          <w:color w:val="000000" w:themeColor="text1"/>
        </w:rPr>
        <w:t xml:space="preserve">relative risk </w:t>
      </w:r>
      <w:r w:rsidR="00B23403">
        <w:rPr>
          <w:color w:val="000000" w:themeColor="text1"/>
        </w:rPr>
        <w:lastRenderedPageBreak/>
        <w:t>[</w:t>
      </w:r>
      <w:r w:rsidR="008B379C">
        <w:rPr>
          <w:color w:val="000000" w:themeColor="text1"/>
        </w:rPr>
        <w:t>RR</w:t>
      </w:r>
      <w:r w:rsidR="00B23403">
        <w:rPr>
          <w:color w:val="000000" w:themeColor="text1"/>
        </w:rPr>
        <w:t>]</w:t>
      </w:r>
      <w:r w:rsidR="008B379C" w:rsidRPr="00C4404D">
        <w:rPr>
          <w:color w:val="000000" w:themeColor="text1"/>
        </w:rPr>
        <w:t xml:space="preserve"> </w:t>
      </w:r>
      <w:r w:rsidR="003D023E">
        <w:rPr>
          <w:color w:val="000000" w:themeColor="text1"/>
        </w:rPr>
        <w:t>=</w:t>
      </w:r>
      <w:r w:rsidR="003D023E" w:rsidRPr="00C4404D">
        <w:rPr>
          <w:color w:val="000000" w:themeColor="text1"/>
        </w:rPr>
        <w:t xml:space="preserve"> </w:t>
      </w:r>
      <w:r w:rsidRPr="00C4404D">
        <w:rPr>
          <w:color w:val="000000" w:themeColor="text1"/>
        </w:rPr>
        <w:t>3.828 (95% CI 2.592</w:t>
      </w:r>
      <w:r w:rsidR="003D023E">
        <w:rPr>
          <w:color w:val="000000" w:themeColor="text1"/>
        </w:rPr>
        <w:t>,</w:t>
      </w:r>
      <w:r w:rsidRPr="00C4404D">
        <w:rPr>
          <w:color w:val="000000" w:themeColor="text1"/>
        </w:rPr>
        <w:t xml:space="preserve"> 5.655; p&lt;0.001)</w:t>
      </w:r>
      <w:r w:rsidR="004F3F49">
        <w:rPr>
          <w:rStyle w:val="FootnoteReference"/>
          <w:color w:val="000000" w:themeColor="text1"/>
        </w:rPr>
        <w:footnoteReference w:id="7"/>
      </w:r>
      <w:r w:rsidRPr="00C4404D">
        <w:rPr>
          <w:color w:val="000000" w:themeColor="text1"/>
        </w:rPr>
        <w:t xml:space="preserve">. </w:t>
      </w:r>
      <w:r w:rsidR="006A028F" w:rsidRPr="00E80D4A">
        <w:rPr>
          <w:color w:val="000000" w:themeColor="text1"/>
        </w:rPr>
        <w:t xml:space="preserve">The PBAC </w:t>
      </w:r>
      <w:r w:rsidR="008348CF">
        <w:rPr>
          <w:color w:val="000000" w:themeColor="text1"/>
        </w:rPr>
        <w:t xml:space="preserve">agreed with the ESC </w:t>
      </w:r>
      <w:r w:rsidR="006A028F" w:rsidRPr="00E80D4A">
        <w:rPr>
          <w:color w:val="000000" w:themeColor="text1"/>
        </w:rPr>
        <w:t xml:space="preserve">that given </w:t>
      </w:r>
      <w:r w:rsidRPr="00E80D4A">
        <w:rPr>
          <w:color w:val="000000" w:themeColor="text1"/>
        </w:rPr>
        <w:t>the issues surrounding the lack of a common comparator</w:t>
      </w:r>
      <w:r w:rsidR="009D3066" w:rsidRPr="00E80D4A">
        <w:rPr>
          <w:color w:val="000000" w:themeColor="text1"/>
        </w:rPr>
        <w:t xml:space="preserve"> and</w:t>
      </w:r>
      <w:r w:rsidRPr="00E80D4A">
        <w:rPr>
          <w:color w:val="000000" w:themeColor="text1"/>
        </w:rPr>
        <w:t xml:space="preserve"> the small sample size of </w:t>
      </w:r>
      <w:r w:rsidR="003D023E" w:rsidRPr="00E80D4A">
        <w:rPr>
          <w:color w:val="000000" w:themeColor="text1"/>
        </w:rPr>
        <w:t xml:space="preserve">the </w:t>
      </w:r>
      <w:r w:rsidRPr="00E80D4A">
        <w:rPr>
          <w:color w:val="000000" w:themeColor="text1"/>
        </w:rPr>
        <w:t>CAPELLA trial</w:t>
      </w:r>
      <w:r w:rsidR="00E80D4A">
        <w:rPr>
          <w:color w:val="000000" w:themeColor="text1"/>
        </w:rPr>
        <w:t xml:space="preserve"> the estimated incremental benefit reported was uncertain.</w:t>
      </w:r>
    </w:p>
    <w:p w14:paraId="4DB24A37" w14:textId="6C260D07" w:rsidR="00CC2233" w:rsidRPr="00E52AC5" w:rsidRDefault="00CC2233" w:rsidP="00CC2233">
      <w:pPr>
        <w:pStyle w:val="3-BodyText"/>
        <w:rPr>
          <w:color w:val="000000" w:themeColor="text1"/>
        </w:rPr>
      </w:pPr>
      <w:bookmarkStart w:id="44" w:name="_Ref119912884"/>
      <w:r w:rsidRPr="00E52AC5">
        <w:rPr>
          <w:color w:val="000000" w:themeColor="text1"/>
        </w:rPr>
        <w:t xml:space="preserve">The submission claimed that the improvement shown for lenacapavir + OBR over placebo + OBR is also greater than the identified </w:t>
      </w:r>
      <w:r w:rsidR="0085073E" w:rsidRPr="00E52AC5">
        <w:rPr>
          <w:color w:val="000000" w:themeColor="text1"/>
        </w:rPr>
        <w:t>minimally clinically important difference (</w:t>
      </w:r>
      <w:r w:rsidRPr="00E52AC5">
        <w:rPr>
          <w:color w:val="000000" w:themeColor="text1"/>
        </w:rPr>
        <w:t>MCID</w:t>
      </w:r>
      <w:r w:rsidR="0085073E" w:rsidRPr="00E52AC5">
        <w:rPr>
          <w:color w:val="000000" w:themeColor="text1"/>
        </w:rPr>
        <w:t>)</w:t>
      </w:r>
      <w:r w:rsidRPr="00E52AC5">
        <w:rPr>
          <w:color w:val="000000" w:themeColor="text1"/>
        </w:rPr>
        <w:t xml:space="preserve"> of</w:t>
      </w:r>
      <w:r w:rsidR="003D023E" w:rsidRPr="00E52AC5">
        <w:rPr>
          <w:color w:val="000000" w:themeColor="text1"/>
        </w:rPr>
        <w:t xml:space="preserve"> </w:t>
      </w:r>
      <w:r w:rsidRPr="00E52AC5">
        <w:rPr>
          <w:color w:val="000000" w:themeColor="text1"/>
        </w:rPr>
        <w:t>RR ≥</w:t>
      </w:r>
      <w:r w:rsidR="003D023E" w:rsidRPr="00E52AC5">
        <w:rPr>
          <w:color w:val="000000" w:themeColor="text1"/>
        </w:rPr>
        <w:t xml:space="preserve"> </w:t>
      </w:r>
      <w:r w:rsidRPr="00E52AC5">
        <w:rPr>
          <w:color w:val="000000" w:themeColor="text1"/>
        </w:rPr>
        <w:t>1.5 and that the risk difference for patients achieving viral load suppression of &lt;</w:t>
      </w:r>
      <w:r w:rsidR="003D023E" w:rsidRPr="00E52AC5">
        <w:rPr>
          <w:color w:val="000000" w:themeColor="text1"/>
        </w:rPr>
        <w:t xml:space="preserve"> </w:t>
      </w:r>
      <w:r w:rsidRPr="00E52AC5">
        <w:rPr>
          <w:color w:val="000000" w:themeColor="text1"/>
        </w:rPr>
        <w:t>50 copies/mL was greater than the &gt;</w:t>
      </w:r>
      <w:r w:rsidR="00707F30" w:rsidRPr="00E52AC5">
        <w:rPr>
          <w:color w:val="000000" w:themeColor="text1"/>
        </w:rPr>
        <w:t xml:space="preserve"> </w:t>
      </w:r>
      <w:r w:rsidRPr="00E52AC5">
        <w:rPr>
          <w:color w:val="000000" w:themeColor="text1"/>
        </w:rPr>
        <w:t xml:space="preserve">10% improvement accepted as a non-inferiority margin by the FDA and PBAC. However, the MCIDs </w:t>
      </w:r>
      <w:r w:rsidR="000253DE" w:rsidRPr="00E52AC5">
        <w:rPr>
          <w:color w:val="000000" w:themeColor="text1"/>
        </w:rPr>
        <w:t>are less reliable</w:t>
      </w:r>
      <w:r w:rsidRPr="00E52AC5">
        <w:rPr>
          <w:color w:val="000000" w:themeColor="text1"/>
        </w:rPr>
        <w:t xml:space="preserve"> </w:t>
      </w:r>
      <w:r w:rsidR="000253DE" w:rsidRPr="00E52AC5">
        <w:rPr>
          <w:color w:val="000000" w:themeColor="text1"/>
        </w:rPr>
        <w:t>for</w:t>
      </w:r>
      <w:r w:rsidRPr="00E52AC5">
        <w:rPr>
          <w:color w:val="000000" w:themeColor="text1"/>
        </w:rPr>
        <w:t xml:space="preserve"> interpret</w:t>
      </w:r>
      <w:r w:rsidR="000253DE" w:rsidRPr="00E52AC5">
        <w:rPr>
          <w:color w:val="000000" w:themeColor="text1"/>
        </w:rPr>
        <w:t>ation</w:t>
      </w:r>
      <w:r w:rsidR="009B63B9" w:rsidRPr="00E52AC5">
        <w:rPr>
          <w:color w:val="000000" w:themeColor="text1"/>
        </w:rPr>
        <w:t xml:space="preserve"> of</w:t>
      </w:r>
      <w:r w:rsidRPr="00E52AC5">
        <w:rPr>
          <w:color w:val="000000" w:themeColor="text1"/>
        </w:rPr>
        <w:t xml:space="preserve"> results from </w:t>
      </w:r>
      <w:r w:rsidRPr="00E52AC5">
        <w:t>a</w:t>
      </w:r>
      <w:r w:rsidR="00A7242E" w:rsidRPr="00E52AC5">
        <w:t>n</w:t>
      </w:r>
      <w:r w:rsidRPr="00E52AC5">
        <w:t xml:space="preserve"> </w:t>
      </w:r>
      <w:r w:rsidR="00E703DF" w:rsidRPr="00E52AC5">
        <w:t xml:space="preserve">unanchored </w:t>
      </w:r>
      <w:r w:rsidR="000253DE" w:rsidRPr="00E52AC5">
        <w:t xml:space="preserve">indirect </w:t>
      </w:r>
      <w:r w:rsidRPr="00E52AC5">
        <w:t xml:space="preserve">comparison, </w:t>
      </w:r>
      <w:r w:rsidRPr="00E52AC5">
        <w:rPr>
          <w:color w:val="000000" w:themeColor="text1"/>
        </w:rPr>
        <w:t xml:space="preserve">which is </w:t>
      </w:r>
      <w:r w:rsidR="000253DE" w:rsidRPr="00E52AC5">
        <w:rPr>
          <w:color w:val="000000" w:themeColor="text1"/>
        </w:rPr>
        <w:t xml:space="preserve">not </w:t>
      </w:r>
      <w:r w:rsidRPr="00E52AC5">
        <w:rPr>
          <w:color w:val="000000" w:themeColor="text1"/>
        </w:rPr>
        <w:t xml:space="preserve">robust and more prone to bias. Additionally, </w:t>
      </w:r>
      <w:r w:rsidR="000253DE" w:rsidRPr="00E52AC5">
        <w:rPr>
          <w:color w:val="000000" w:themeColor="text1"/>
        </w:rPr>
        <w:t>the incremental benefit was substantially reduced</w:t>
      </w:r>
      <w:r w:rsidR="000253DE" w:rsidRPr="00E52AC5" w:rsidDel="000253DE">
        <w:rPr>
          <w:color w:val="000000" w:themeColor="text1"/>
        </w:rPr>
        <w:t xml:space="preserve"> </w:t>
      </w:r>
      <w:r w:rsidR="000253DE" w:rsidRPr="00E52AC5">
        <w:rPr>
          <w:color w:val="000000" w:themeColor="text1"/>
        </w:rPr>
        <w:t xml:space="preserve">using the </w:t>
      </w:r>
      <w:r w:rsidR="009B63B9" w:rsidRPr="00E52AC5">
        <w:rPr>
          <w:color w:val="000000" w:themeColor="text1"/>
        </w:rPr>
        <w:t>‘</w:t>
      </w:r>
      <w:r w:rsidR="000253DE" w:rsidRPr="00E52AC5">
        <w:rPr>
          <w:color w:val="000000" w:themeColor="text1"/>
        </w:rPr>
        <w:t xml:space="preserve">evaluation </w:t>
      </w:r>
      <w:r w:rsidR="00E703DF" w:rsidRPr="00E52AC5">
        <w:rPr>
          <w:color w:val="000000" w:themeColor="text1"/>
        </w:rPr>
        <w:t>unanchored</w:t>
      </w:r>
      <w:r w:rsidR="000253DE" w:rsidRPr="00E52AC5">
        <w:rPr>
          <w:color w:val="000000" w:themeColor="text1"/>
        </w:rPr>
        <w:t xml:space="preserve"> comparison</w:t>
      </w:r>
      <w:r w:rsidR="009B63B9" w:rsidRPr="00E52AC5">
        <w:rPr>
          <w:color w:val="000000" w:themeColor="text1"/>
        </w:rPr>
        <w:t>’</w:t>
      </w:r>
      <w:r w:rsidRPr="00E52AC5">
        <w:rPr>
          <w:color w:val="000000" w:themeColor="text1"/>
        </w:rPr>
        <w:t xml:space="preserve"> (i.e. maraviroc + OBR or raltegravir + OBR). When the results from Cohort 1 &amp; 2 from CAPELLA was considered, the RR (1.47) did not meet the nominated MCID of ≥</w:t>
      </w:r>
      <w:r w:rsidR="00707F30" w:rsidRPr="00E52AC5">
        <w:rPr>
          <w:color w:val="000000" w:themeColor="text1"/>
        </w:rPr>
        <w:t xml:space="preserve"> </w:t>
      </w:r>
      <w:r w:rsidRPr="00E52AC5">
        <w:rPr>
          <w:color w:val="000000" w:themeColor="text1"/>
        </w:rPr>
        <w:t>1.5, though the risk difference (25.4%) still met the nominated MCID of &gt;</w:t>
      </w:r>
      <w:r w:rsidR="00707F30" w:rsidRPr="00E52AC5">
        <w:rPr>
          <w:color w:val="000000" w:themeColor="text1"/>
        </w:rPr>
        <w:t xml:space="preserve"> </w:t>
      </w:r>
      <w:r w:rsidRPr="00E52AC5">
        <w:rPr>
          <w:color w:val="000000" w:themeColor="text1"/>
        </w:rPr>
        <w:t>10%.</w:t>
      </w:r>
      <w:r w:rsidR="00A7242E" w:rsidRPr="00E52AC5">
        <w:rPr>
          <w:color w:val="000000" w:themeColor="text1"/>
        </w:rPr>
        <w:t xml:space="preserve"> </w:t>
      </w:r>
      <w:r w:rsidR="009D7455" w:rsidRPr="00E52AC5">
        <w:rPr>
          <w:color w:val="000000" w:themeColor="text1"/>
        </w:rPr>
        <w:t xml:space="preserve">The ESC noted the confidence intervals for the ‘evaluation unanchored comparison’ were not calculated which made this conclusion less certain. </w:t>
      </w:r>
      <w:r w:rsidR="00D061C2">
        <w:rPr>
          <w:color w:val="000000" w:themeColor="text1"/>
        </w:rPr>
        <w:t xml:space="preserve">Overall, </w:t>
      </w:r>
      <w:r w:rsidR="00A7242E" w:rsidRPr="00E52AC5">
        <w:rPr>
          <w:color w:val="000000" w:themeColor="text1"/>
        </w:rPr>
        <w:t>the ESC</w:t>
      </w:r>
      <w:r w:rsidR="00D061C2">
        <w:rPr>
          <w:color w:val="000000" w:themeColor="text1"/>
        </w:rPr>
        <w:t xml:space="preserve"> </w:t>
      </w:r>
      <w:r w:rsidR="00A7242E" w:rsidRPr="00E52AC5">
        <w:rPr>
          <w:color w:val="000000" w:themeColor="text1"/>
        </w:rPr>
        <w:t xml:space="preserve">considered </w:t>
      </w:r>
      <w:r w:rsidR="001E0C8B" w:rsidRPr="00E52AC5">
        <w:rPr>
          <w:color w:val="000000" w:themeColor="text1"/>
        </w:rPr>
        <w:t>it was likely the effectiveness of OBR was underestimated in the submission analysis, and if available, the inclusion of a mix of therapies that reflected contemporary Australian clinical practice would likely result in a greater estimate of effectiveness for OBR</w:t>
      </w:r>
      <w:r w:rsidR="004F3F49">
        <w:rPr>
          <w:rStyle w:val="FootnoteReference"/>
          <w:color w:val="000000" w:themeColor="text1"/>
        </w:rPr>
        <w:footnoteReference w:id="8"/>
      </w:r>
      <w:r w:rsidR="001E0C8B" w:rsidRPr="00E52AC5">
        <w:rPr>
          <w:color w:val="000000" w:themeColor="text1"/>
        </w:rPr>
        <w:t>.</w:t>
      </w:r>
      <w:bookmarkEnd w:id="44"/>
    </w:p>
    <w:p w14:paraId="7FEDCDA5" w14:textId="66C70F7C" w:rsidR="005574E9" w:rsidRPr="00E52AC5" w:rsidRDefault="005574E9" w:rsidP="00CC2233">
      <w:pPr>
        <w:pStyle w:val="3-BodyText"/>
        <w:rPr>
          <w:color w:val="000000" w:themeColor="text1"/>
        </w:rPr>
      </w:pPr>
      <w:bookmarkStart w:id="45" w:name="_Ref119919315"/>
      <w:r w:rsidRPr="00E52AC5">
        <w:rPr>
          <w:color w:val="000000" w:themeColor="text1"/>
        </w:rPr>
        <w:t xml:space="preserve">The ESC noted the supporting statistical advice from </w:t>
      </w:r>
      <w:r w:rsidR="003864C2" w:rsidRPr="00E52AC5">
        <w:rPr>
          <w:color w:val="000000" w:themeColor="text1"/>
        </w:rPr>
        <w:t>the University of Melbourne, which included the derivation of log(risk), difference in log(risk) and associated standard error for Cohort 1A on the submission base case ITC</w:t>
      </w:r>
      <w:r w:rsidR="00A7242E" w:rsidRPr="00E52AC5">
        <w:rPr>
          <w:color w:val="000000" w:themeColor="text1"/>
        </w:rPr>
        <w:t>. Overall, the ESC was satisfied the presentation of the evidence when using an unanchored ITC was reasonable.</w:t>
      </w:r>
      <w:bookmarkEnd w:id="45"/>
      <w:r w:rsidRPr="00E52AC5">
        <w:rPr>
          <w:color w:val="000000" w:themeColor="text1"/>
        </w:rPr>
        <w:t xml:space="preserve"> </w:t>
      </w:r>
    </w:p>
    <w:p w14:paraId="4BD60163" w14:textId="4409790D" w:rsidR="00CC2233" w:rsidRPr="007F3195" w:rsidRDefault="00CC2233" w:rsidP="00CC2233">
      <w:pPr>
        <w:pStyle w:val="3-BodyText"/>
        <w:rPr>
          <w:color w:val="000000" w:themeColor="text1"/>
        </w:rPr>
      </w:pPr>
      <w:r w:rsidRPr="007F3195">
        <w:rPr>
          <w:color w:val="000000" w:themeColor="text1"/>
        </w:rPr>
        <w:t>In the economic evaluation, the most favourable RR using the Cohort 1A results from CAPELLA was used.</w:t>
      </w:r>
      <w:r w:rsidR="00645CFF" w:rsidRPr="007F3195">
        <w:rPr>
          <w:color w:val="000000" w:themeColor="text1"/>
        </w:rPr>
        <w:t xml:space="preserve"> This may not be </w:t>
      </w:r>
      <w:r w:rsidR="002354A1" w:rsidRPr="007F3195">
        <w:rPr>
          <w:color w:val="000000" w:themeColor="text1"/>
        </w:rPr>
        <w:t>reasonable given the overall paucity of evidence.</w:t>
      </w:r>
      <w:r w:rsidR="005574E9">
        <w:rPr>
          <w:color w:val="000000" w:themeColor="text1"/>
        </w:rPr>
        <w:t xml:space="preserve"> </w:t>
      </w:r>
      <w:r w:rsidR="005574E9" w:rsidRPr="00E52AC5">
        <w:rPr>
          <w:color w:val="000000" w:themeColor="text1"/>
        </w:rPr>
        <w:t xml:space="preserve">The ESC agreed with the evaluation and considered that given the limited amount of available data, it would likely have been more reasonable and reliable to utilise the maximum amount of available data in the economic evaluation; i.e. </w:t>
      </w:r>
      <w:r w:rsidR="002052FA" w:rsidRPr="00E52AC5">
        <w:rPr>
          <w:color w:val="000000" w:themeColor="text1"/>
        </w:rPr>
        <w:t xml:space="preserve">all </w:t>
      </w:r>
      <w:r w:rsidR="005574E9" w:rsidRPr="00E52AC5">
        <w:rPr>
          <w:color w:val="000000" w:themeColor="text1"/>
        </w:rPr>
        <w:t>Cohort 1 &amp; 2 data, rather than just the Cohort 1A data</w:t>
      </w:r>
      <w:r w:rsidR="004C0566" w:rsidRPr="00E52AC5">
        <w:rPr>
          <w:color w:val="000000" w:themeColor="text1"/>
        </w:rPr>
        <w:t xml:space="preserve"> and noted this had a modest effect on the risk difference and relative risk results (see </w:t>
      </w:r>
      <w:r w:rsidR="007901D3" w:rsidRPr="007901D3">
        <w:rPr>
          <w:color w:val="000000" w:themeColor="text1"/>
        </w:rPr>
        <w:fldChar w:fldCharType="begin"/>
      </w:r>
      <w:r w:rsidR="007901D3" w:rsidRPr="007901D3">
        <w:rPr>
          <w:color w:val="000000" w:themeColor="text1"/>
        </w:rPr>
        <w:instrText xml:space="preserve"> REF _Ref112946763 \h  \* MERGEFORMAT </w:instrText>
      </w:r>
      <w:r w:rsidR="007901D3" w:rsidRPr="007901D3">
        <w:rPr>
          <w:color w:val="000000" w:themeColor="text1"/>
        </w:rPr>
      </w:r>
      <w:r w:rsidR="007901D3" w:rsidRPr="007901D3">
        <w:rPr>
          <w:color w:val="000000" w:themeColor="text1"/>
        </w:rPr>
        <w:fldChar w:fldCharType="separate"/>
      </w:r>
      <w:r w:rsidR="0050086F" w:rsidRPr="0050086F">
        <w:rPr>
          <w:color w:val="000000" w:themeColor="text1"/>
        </w:rPr>
        <w:t>Table 7</w:t>
      </w:r>
      <w:r w:rsidR="007901D3" w:rsidRPr="007901D3">
        <w:rPr>
          <w:color w:val="000000" w:themeColor="text1"/>
        </w:rPr>
        <w:fldChar w:fldCharType="end"/>
      </w:r>
      <w:r w:rsidR="004C0566" w:rsidRPr="007901D3">
        <w:rPr>
          <w:color w:val="000000" w:themeColor="text1"/>
        </w:rPr>
        <w:t>)</w:t>
      </w:r>
      <w:r w:rsidR="005574E9" w:rsidRPr="007901D3">
        <w:rPr>
          <w:color w:val="000000" w:themeColor="text1"/>
        </w:rPr>
        <w:t>.</w:t>
      </w:r>
    </w:p>
    <w:p w14:paraId="6C0011E6" w14:textId="77777777" w:rsidR="00CC2233" w:rsidRPr="00645CFF" w:rsidRDefault="00CC2233" w:rsidP="00CC2233">
      <w:pPr>
        <w:pStyle w:val="4-SubsectionHeading"/>
      </w:pPr>
      <w:bookmarkStart w:id="46" w:name="_Toc22897642"/>
      <w:bookmarkStart w:id="47" w:name="_Toc114048770"/>
      <w:r w:rsidRPr="003D732D">
        <w:lastRenderedPageBreak/>
        <w:t>Comparative harms</w:t>
      </w:r>
      <w:bookmarkEnd w:id="46"/>
      <w:bookmarkEnd w:id="47"/>
    </w:p>
    <w:p w14:paraId="59BB83B6" w14:textId="33010194" w:rsidR="00CC2233" w:rsidRPr="00645CFF" w:rsidRDefault="00CC2233" w:rsidP="00CC2233">
      <w:pPr>
        <w:pStyle w:val="3-BodyText"/>
      </w:pPr>
      <w:r w:rsidRPr="00645CFF">
        <w:fldChar w:fldCharType="begin"/>
      </w:r>
      <w:r w:rsidRPr="00645CFF">
        <w:instrText xml:space="preserve"> REF _Ref112947466 \h </w:instrText>
      </w:r>
      <w:r w:rsidRPr="00645CFF">
        <w:fldChar w:fldCharType="separate"/>
      </w:r>
      <w:r w:rsidR="0050086F" w:rsidRPr="00C4404D">
        <w:t xml:space="preserve">Table </w:t>
      </w:r>
      <w:r w:rsidR="0050086F">
        <w:rPr>
          <w:noProof/>
        </w:rPr>
        <w:t>8</w:t>
      </w:r>
      <w:r w:rsidRPr="00645CFF">
        <w:fldChar w:fldCharType="end"/>
      </w:r>
      <w:r w:rsidRPr="00645CFF">
        <w:t xml:space="preserve"> provides a summary of key adverse events in the CAPELLA trial.</w:t>
      </w:r>
      <w:bookmarkStart w:id="48" w:name="_Hlk104801403"/>
      <w:r w:rsidRPr="00645CFF">
        <w:t xml:space="preserve"> </w:t>
      </w:r>
      <w:bookmarkEnd w:id="48"/>
    </w:p>
    <w:p w14:paraId="09B8D156" w14:textId="18ADA971" w:rsidR="00CC2233" w:rsidRPr="00C4404D" w:rsidRDefault="00CC2233" w:rsidP="007901D3">
      <w:pPr>
        <w:pStyle w:val="TableFigureHeading"/>
        <w:rPr>
          <w:highlight w:val="yellow"/>
        </w:rPr>
      </w:pPr>
      <w:bookmarkStart w:id="49" w:name="_Ref112947466"/>
      <w:r w:rsidRPr="00C4404D">
        <w:t xml:space="preserve">Table </w:t>
      </w:r>
      <w:fldSimple w:instr=" SEQ Table \* ARABIC ">
        <w:r w:rsidR="0050086F">
          <w:rPr>
            <w:noProof/>
          </w:rPr>
          <w:t>8</w:t>
        </w:r>
      </w:fldSimple>
      <w:bookmarkEnd w:id="49"/>
      <w:r w:rsidRPr="00C4404D">
        <w:t xml:space="preserve">: Summary of </w:t>
      </w:r>
      <w:r w:rsidR="00707F30">
        <w:t>adverse events</w:t>
      </w:r>
      <w:r w:rsidR="00707F30" w:rsidRPr="00C4404D">
        <w:t xml:space="preserve"> </w:t>
      </w:r>
      <w:r w:rsidRPr="00C4404D">
        <w:t xml:space="preserve">in </w:t>
      </w:r>
      <w:r w:rsidR="00707F30">
        <w:t xml:space="preserve">the </w:t>
      </w:r>
      <w:r w:rsidRPr="00C4404D">
        <w:t>CAPELLA</w:t>
      </w:r>
      <w:r w:rsidR="00707F30">
        <w:t xml:space="preserve"> trial</w:t>
      </w:r>
    </w:p>
    <w:tbl>
      <w:tblPr>
        <w:tblStyle w:val="TableGrid"/>
        <w:tblW w:w="5000" w:type="pct"/>
        <w:tblLook w:val="04A0" w:firstRow="1" w:lastRow="0" w:firstColumn="1" w:lastColumn="0" w:noHBand="0" w:noVBand="1"/>
      </w:tblPr>
      <w:tblGrid>
        <w:gridCol w:w="2425"/>
        <w:gridCol w:w="1710"/>
        <w:gridCol w:w="1800"/>
        <w:gridCol w:w="1313"/>
        <w:gridCol w:w="1769"/>
      </w:tblGrid>
      <w:tr w:rsidR="00CC2233" w:rsidRPr="00C4404D" w14:paraId="39552C8A" w14:textId="77777777" w:rsidTr="00700BF0">
        <w:trPr>
          <w:trHeight w:val="454"/>
        </w:trPr>
        <w:tc>
          <w:tcPr>
            <w:tcW w:w="2293" w:type="pct"/>
            <w:gridSpan w:val="2"/>
          </w:tcPr>
          <w:p w14:paraId="12437928" w14:textId="77777777" w:rsidR="00CC2233" w:rsidRPr="00C4404D" w:rsidRDefault="00CC2233" w:rsidP="008348CF">
            <w:pPr>
              <w:pStyle w:val="KMC16-TableHeading"/>
              <w:keepNext/>
              <w:spacing w:before="0" w:after="0"/>
              <w:jc w:val="left"/>
            </w:pPr>
          </w:p>
        </w:tc>
        <w:tc>
          <w:tcPr>
            <w:tcW w:w="1726" w:type="pct"/>
            <w:gridSpan w:val="2"/>
          </w:tcPr>
          <w:p w14:paraId="418BADC0" w14:textId="77777777" w:rsidR="00CC2233" w:rsidRPr="00C4404D" w:rsidRDefault="00CC2233" w:rsidP="007901D3">
            <w:pPr>
              <w:pStyle w:val="In-tableHeading"/>
              <w:jc w:val="center"/>
              <w:rPr>
                <w:lang w:val="en-AU"/>
              </w:rPr>
            </w:pPr>
            <w:r w:rsidRPr="00C4404D">
              <w:rPr>
                <w:lang w:val="en-AU"/>
              </w:rPr>
              <w:t>LEN</w:t>
            </w:r>
          </w:p>
          <w:p w14:paraId="26957DC3" w14:textId="77777777" w:rsidR="00CC2233" w:rsidRPr="00C4404D" w:rsidRDefault="00CC2233" w:rsidP="00994E3A">
            <w:pPr>
              <w:pStyle w:val="In-tableHeading"/>
              <w:jc w:val="center"/>
              <w:rPr>
                <w:lang w:val="en-AU"/>
              </w:rPr>
            </w:pPr>
            <w:r w:rsidRPr="00C4404D">
              <w:rPr>
                <w:lang w:val="en-AU"/>
              </w:rPr>
              <w:t>(N=24)</w:t>
            </w:r>
          </w:p>
        </w:tc>
        <w:tc>
          <w:tcPr>
            <w:tcW w:w="981" w:type="pct"/>
          </w:tcPr>
          <w:p w14:paraId="5006619A" w14:textId="77777777" w:rsidR="00CC2233" w:rsidRPr="00C4404D" w:rsidRDefault="00CC2233" w:rsidP="006A028F">
            <w:pPr>
              <w:pStyle w:val="In-tableHeading"/>
              <w:jc w:val="center"/>
              <w:rPr>
                <w:lang w:val="en-AU"/>
              </w:rPr>
            </w:pPr>
            <w:r w:rsidRPr="00C4404D">
              <w:rPr>
                <w:lang w:val="en-AU"/>
              </w:rPr>
              <w:t>Placebo</w:t>
            </w:r>
          </w:p>
          <w:p w14:paraId="1FDB40E4" w14:textId="77777777" w:rsidR="00CC2233" w:rsidRPr="00C4404D" w:rsidRDefault="00CC2233" w:rsidP="00991092">
            <w:pPr>
              <w:pStyle w:val="In-tableHeading"/>
              <w:jc w:val="center"/>
              <w:rPr>
                <w:lang w:val="en-AU"/>
              </w:rPr>
            </w:pPr>
            <w:r w:rsidRPr="00C4404D">
              <w:rPr>
                <w:lang w:val="en-AU"/>
              </w:rPr>
              <w:t>(N=12)</w:t>
            </w:r>
          </w:p>
        </w:tc>
      </w:tr>
      <w:tr w:rsidR="00CC2233" w:rsidRPr="00C4404D" w14:paraId="2B7D8558" w14:textId="77777777" w:rsidTr="00700BF0">
        <w:trPr>
          <w:trHeight w:val="125"/>
        </w:trPr>
        <w:tc>
          <w:tcPr>
            <w:tcW w:w="5000" w:type="pct"/>
            <w:gridSpan w:val="5"/>
          </w:tcPr>
          <w:p w14:paraId="139A8F70" w14:textId="77777777" w:rsidR="00CC2233" w:rsidRPr="00C4404D" w:rsidRDefault="00CC2233" w:rsidP="00700BF0">
            <w:pPr>
              <w:pStyle w:val="In-tableHeading"/>
              <w:rPr>
                <w:rFonts w:eastAsia="Verdana"/>
                <w:lang w:val="en-AU"/>
              </w:rPr>
            </w:pPr>
            <w:r w:rsidRPr="00C4404D">
              <w:rPr>
                <w:lang w:val="en-AU"/>
              </w:rPr>
              <w:t>Cohort 1 (Functional Monotherapy Period Analysis) (Safety Analysis Set)</w:t>
            </w:r>
          </w:p>
        </w:tc>
      </w:tr>
      <w:tr w:rsidR="00CC2233" w:rsidRPr="00C4404D" w14:paraId="2DAEFB36" w14:textId="77777777" w:rsidTr="00700BF0">
        <w:trPr>
          <w:trHeight w:val="20"/>
        </w:trPr>
        <w:tc>
          <w:tcPr>
            <w:tcW w:w="2293" w:type="pct"/>
            <w:gridSpan w:val="2"/>
          </w:tcPr>
          <w:p w14:paraId="097149A7" w14:textId="7B8D3D16" w:rsidR="00CC2233" w:rsidRPr="00C4404D" w:rsidRDefault="00386BA6" w:rsidP="00700BF0">
            <w:pPr>
              <w:pStyle w:val="TableText0"/>
              <w:rPr>
                <w:rFonts w:eastAsia="Verdana"/>
              </w:rPr>
            </w:pPr>
            <w:r>
              <w:t>Any</w:t>
            </w:r>
            <w:r w:rsidR="00CC2233" w:rsidRPr="00C4404D">
              <w:t xml:space="preserve"> AE</w:t>
            </w:r>
            <w:r>
              <w:t>, n (%)</w:t>
            </w:r>
          </w:p>
        </w:tc>
        <w:tc>
          <w:tcPr>
            <w:tcW w:w="1726" w:type="pct"/>
            <w:gridSpan w:val="2"/>
            <w:vAlign w:val="center"/>
          </w:tcPr>
          <w:p w14:paraId="5A23467C" w14:textId="77777777" w:rsidR="00CC2233" w:rsidRPr="00C4404D" w:rsidRDefault="00CC2233" w:rsidP="00700BF0">
            <w:pPr>
              <w:pStyle w:val="TableText0"/>
              <w:jc w:val="center"/>
            </w:pPr>
            <w:r w:rsidRPr="00C4404D">
              <w:t>9 (37.5)</w:t>
            </w:r>
          </w:p>
        </w:tc>
        <w:tc>
          <w:tcPr>
            <w:tcW w:w="981" w:type="pct"/>
            <w:vAlign w:val="center"/>
          </w:tcPr>
          <w:p w14:paraId="1653F371" w14:textId="77777777" w:rsidR="00CC2233" w:rsidRPr="00C4404D" w:rsidRDefault="00CC2233" w:rsidP="00700BF0">
            <w:pPr>
              <w:pStyle w:val="TableText0"/>
              <w:jc w:val="center"/>
            </w:pPr>
            <w:r w:rsidRPr="00C4404D">
              <w:t>3 (25.0)</w:t>
            </w:r>
          </w:p>
        </w:tc>
      </w:tr>
      <w:tr w:rsidR="00CC2233" w:rsidRPr="00C4404D" w14:paraId="04BCD200" w14:textId="77777777" w:rsidTr="00700BF0">
        <w:trPr>
          <w:trHeight w:val="20"/>
        </w:trPr>
        <w:tc>
          <w:tcPr>
            <w:tcW w:w="2293" w:type="pct"/>
            <w:gridSpan w:val="2"/>
          </w:tcPr>
          <w:p w14:paraId="2CE81332" w14:textId="1E7026FC" w:rsidR="00CC2233" w:rsidRPr="00C4404D" w:rsidRDefault="00CC2233" w:rsidP="00700BF0">
            <w:pPr>
              <w:pStyle w:val="TableText0"/>
              <w:rPr>
                <w:rFonts w:eastAsia="Verdana"/>
              </w:rPr>
            </w:pPr>
            <w:r w:rsidRPr="00C4404D">
              <w:t>TEAE of Grade 2 or higher</w:t>
            </w:r>
            <w:r w:rsidR="00386BA6">
              <w:t>, n (%)</w:t>
            </w:r>
          </w:p>
        </w:tc>
        <w:tc>
          <w:tcPr>
            <w:tcW w:w="1726" w:type="pct"/>
            <w:gridSpan w:val="2"/>
            <w:vAlign w:val="center"/>
          </w:tcPr>
          <w:p w14:paraId="5E353111" w14:textId="77777777" w:rsidR="00CC2233" w:rsidRPr="00C4404D" w:rsidRDefault="00CC2233" w:rsidP="00700BF0">
            <w:pPr>
              <w:pStyle w:val="TableText0"/>
              <w:jc w:val="center"/>
            </w:pPr>
            <w:r w:rsidRPr="00C4404D">
              <w:t>3 (12.5)</w:t>
            </w:r>
          </w:p>
        </w:tc>
        <w:tc>
          <w:tcPr>
            <w:tcW w:w="981" w:type="pct"/>
            <w:vAlign w:val="center"/>
          </w:tcPr>
          <w:p w14:paraId="39A83317" w14:textId="77777777" w:rsidR="00CC2233" w:rsidRPr="00C4404D" w:rsidRDefault="00CC2233" w:rsidP="00700BF0">
            <w:pPr>
              <w:pStyle w:val="TableText0"/>
              <w:jc w:val="center"/>
            </w:pPr>
            <w:r w:rsidRPr="00C4404D">
              <w:t>0</w:t>
            </w:r>
          </w:p>
        </w:tc>
      </w:tr>
      <w:tr w:rsidR="00CC2233" w:rsidRPr="00C4404D" w14:paraId="3CA8629D" w14:textId="77777777" w:rsidTr="00700BF0">
        <w:trPr>
          <w:trHeight w:val="20"/>
        </w:trPr>
        <w:tc>
          <w:tcPr>
            <w:tcW w:w="2293" w:type="pct"/>
            <w:gridSpan w:val="2"/>
          </w:tcPr>
          <w:p w14:paraId="5AD0F8E7" w14:textId="4F945655" w:rsidR="00CC2233" w:rsidRPr="00C4404D" w:rsidRDefault="00CC2233" w:rsidP="00700BF0">
            <w:pPr>
              <w:pStyle w:val="TableText0"/>
              <w:rPr>
                <w:rFonts w:eastAsia="Verdana"/>
              </w:rPr>
            </w:pPr>
            <w:r w:rsidRPr="00C4404D">
              <w:t>TEAE related to study drug</w:t>
            </w:r>
            <w:r w:rsidR="00386BA6">
              <w:t>, n (%)</w:t>
            </w:r>
          </w:p>
        </w:tc>
        <w:tc>
          <w:tcPr>
            <w:tcW w:w="1726" w:type="pct"/>
            <w:gridSpan w:val="2"/>
            <w:vAlign w:val="center"/>
          </w:tcPr>
          <w:p w14:paraId="1DE9AAE2" w14:textId="77777777" w:rsidR="00CC2233" w:rsidRPr="00C4404D" w:rsidRDefault="00CC2233" w:rsidP="00700BF0">
            <w:pPr>
              <w:pStyle w:val="TableText0"/>
              <w:jc w:val="center"/>
            </w:pPr>
            <w:r w:rsidRPr="00C4404D">
              <w:t>4 (16.7)</w:t>
            </w:r>
          </w:p>
        </w:tc>
        <w:tc>
          <w:tcPr>
            <w:tcW w:w="981" w:type="pct"/>
            <w:vAlign w:val="center"/>
          </w:tcPr>
          <w:p w14:paraId="284D6856" w14:textId="77777777" w:rsidR="00CC2233" w:rsidRPr="00C4404D" w:rsidRDefault="00CC2233" w:rsidP="00700BF0">
            <w:pPr>
              <w:pStyle w:val="TableText0"/>
              <w:jc w:val="center"/>
            </w:pPr>
            <w:r w:rsidRPr="00C4404D">
              <w:t>1 (8.3)</w:t>
            </w:r>
          </w:p>
        </w:tc>
      </w:tr>
      <w:tr w:rsidR="00CC2233" w:rsidRPr="00C4404D" w14:paraId="2F916A1B" w14:textId="77777777" w:rsidTr="00700BF0">
        <w:trPr>
          <w:trHeight w:val="20"/>
        </w:trPr>
        <w:tc>
          <w:tcPr>
            <w:tcW w:w="2293" w:type="pct"/>
            <w:gridSpan w:val="2"/>
          </w:tcPr>
          <w:p w14:paraId="22DC03CB" w14:textId="08C0CAFB" w:rsidR="00CC2233" w:rsidRPr="00C4404D" w:rsidRDefault="00CC2233" w:rsidP="00700BF0">
            <w:pPr>
              <w:pStyle w:val="TableText0"/>
              <w:rPr>
                <w:rFonts w:eastAsia="Verdana"/>
              </w:rPr>
            </w:pPr>
            <w:r w:rsidRPr="00C4404D">
              <w:t>TEAE related to study drug with Grade 2 or higher</w:t>
            </w:r>
            <w:r w:rsidR="00386BA6">
              <w:t>, n (%)</w:t>
            </w:r>
          </w:p>
        </w:tc>
        <w:tc>
          <w:tcPr>
            <w:tcW w:w="1726" w:type="pct"/>
            <w:gridSpan w:val="2"/>
            <w:vAlign w:val="center"/>
          </w:tcPr>
          <w:p w14:paraId="6D8A45A8" w14:textId="77777777" w:rsidR="00CC2233" w:rsidRPr="00C4404D" w:rsidRDefault="00CC2233" w:rsidP="00700BF0">
            <w:pPr>
              <w:pStyle w:val="TableText0"/>
              <w:jc w:val="center"/>
            </w:pPr>
            <w:r w:rsidRPr="00C4404D">
              <w:t>2 (8.3)</w:t>
            </w:r>
          </w:p>
        </w:tc>
        <w:tc>
          <w:tcPr>
            <w:tcW w:w="981" w:type="pct"/>
            <w:vAlign w:val="center"/>
          </w:tcPr>
          <w:p w14:paraId="6C9F1FBC" w14:textId="77777777" w:rsidR="00CC2233" w:rsidRPr="00C4404D" w:rsidRDefault="00CC2233" w:rsidP="00700BF0">
            <w:pPr>
              <w:pStyle w:val="TableText0"/>
              <w:jc w:val="center"/>
            </w:pPr>
            <w:r w:rsidRPr="00C4404D">
              <w:t>0</w:t>
            </w:r>
          </w:p>
        </w:tc>
      </w:tr>
      <w:tr w:rsidR="00CC2233" w:rsidRPr="00C4404D" w14:paraId="50025393" w14:textId="77777777" w:rsidTr="00700BF0">
        <w:trPr>
          <w:trHeight w:val="20"/>
        </w:trPr>
        <w:tc>
          <w:tcPr>
            <w:tcW w:w="2293" w:type="pct"/>
            <w:gridSpan w:val="2"/>
            <w:tcBorders>
              <w:bottom w:val="double" w:sz="4" w:space="0" w:color="auto"/>
            </w:tcBorders>
          </w:tcPr>
          <w:p w14:paraId="78A05C8E" w14:textId="6737B953" w:rsidR="00CC2233" w:rsidRPr="00C4404D" w:rsidRDefault="00CC2233" w:rsidP="00700BF0">
            <w:pPr>
              <w:pStyle w:val="TableText0"/>
            </w:pPr>
            <w:r w:rsidRPr="00C4404D">
              <w:t>All Deaths</w:t>
            </w:r>
            <w:r w:rsidR="00386BA6">
              <w:t>, n (%)</w:t>
            </w:r>
          </w:p>
        </w:tc>
        <w:tc>
          <w:tcPr>
            <w:tcW w:w="1726" w:type="pct"/>
            <w:gridSpan w:val="2"/>
            <w:tcBorders>
              <w:bottom w:val="double" w:sz="4" w:space="0" w:color="auto"/>
            </w:tcBorders>
            <w:vAlign w:val="center"/>
          </w:tcPr>
          <w:p w14:paraId="3B0BB01E" w14:textId="77777777" w:rsidR="00CC2233" w:rsidRPr="00C4404D" w:rsidRDefault="00CC2233" w:rsidP="00700BF0">
            <w:pPr>
              <w:pStyle w:val="TableText0"/>
              <w:jc w:val="center"/>
            </w:pPr>
            <w:r w:rsidRPr="00C4404D">
              <w:t>0</w:t>
            </w:r>
          </w:p>
        </w:tc>
        <w:tc>
          <w:tcPr>
            <w:tcW w:w="981" w:type="pct"/>
            <w:tcBorders>
              <w:bottom w:val="double" w:sz="4" w:space="0" w:color="auto"/>
            </w:tcBorders>
            <w:vAlign w:val="center"/>
          </w:tcPr>
          <w:p w14:paraId="4A70448B" w14:textId="77777777" w:rsidR="00CC2233" w:rsidRPr="00C4404D" w:rsidRDefault="00CC2233" w:rsidP="00700BF0">
            <w:pPr>
              <w:pStyle w:val="TableText0"/>
              <w:jc w:val="center"/>
            </w:pPr>
            <w:r w:rsidRPr="00C4404D">
              <w:t>0</w:t>
            </w:r>
          </w:p>
        </w:tc>
      </w:tr>
      <w:tr w:rsidR="00CC2233" w:rsidRPr="00C4404D" w14:paraId="1A47C3F0" w14:textId="77777777" w:rsidTr="00700BF0">
        <w:trPr>
          <w:trHeight w:val="20"/>
        </w:trPr>
        <w:tc>
          <w:tcPr>
            <w:tcW w:w="5000" w:type="pct"/>
            <w:gridSpan w:val="5"/>
            <w:tcBorders>
              <w:top w:val="double" w:sz="4" w:space="0" w:color="auto"/>
            </w:tcBorders>
          </w:tcPr>
          <w:p w14:paraId="044D0865" w14:textId="77777777" w:rsidR="00CC2233" w:rsidRPr="00C4404D" w:rsidRDefault="00CC2233" w:rsidP="00700BF0">
            <w:pPr>
              <w:pStyle w:val="TableText0"/>
              <w:rPr>
                <w:b/>
                <w:bCs w:val="0"/>
              </w:rPr>
            </w:pPr>
            <w:r w:rsidRPr="00C4404D">
              <w:rPr>
                <w:b/>
                <w:bCs w:val="0"/>
              </w:rPr>
              <w:t>TEAE summary and treatment-related AEs (Week 52 analysis)</w:t>
            </w:r>
          </w:p>
        </w:tc>
      </w:tr>
      <w:tr w:rsidR="00CC2233" w:rsidRPr="00C4404D" w14:paraId="6D9E85FE" w14:textId="77777777" w:rsidTr="00700BF0">
        <w:tblPrEx>
          <w:tblLook w:val="0600" w:firstRow="0" w:lastRow="0" w:firstColumn="0" w:lastColumn="0" w:noHBand="1" w:noVBand="1"/>
        </w:tblPrEx>
        <w:trPr>
          <w:trHeight w:val="20"/>
        </w:trPr>
        <w:tc>
          <w:tcPr>
            <w:tcW w:w="1345" w:type="pct"/>
            <w:vAlign w:val="center"/>
            <w:hideMark/>
          </w:tcPr>
          <w:p w14:paraId="4E349F56" w14:textId="77777777" w:rsidR="00CC2233" w:rsidRPr="00C4404D" w:rsidRDefault="00CC2233" w:rsidP="00700BF0">
            <w:pPr>
              <w:pStyle w:val="In-tableHeading"/>
              <w:rPr>
                <w:lang w:val="en-AU"/>
              </w:rPr>
            </w:pPr>
            <w:r w:rsidRPr="00C4404D">
              <w:rPr>
                <w:lang w:val="en-AU"/>
              </w:rPr>
              <w:t>TEAEs, any Grade, n (%)</w:t>
            </w:r>
          </w:p>
        </w:tc>
        <w:tc>
          <w:tcPr>
            <w:tcW w:w="948" w:type="pct"/>
            <w:vAlign w:val="center"/>
          </w:tcPr>
          <w:p w14:paraId="53D17537" w14:textId="77777777" w:rsidR="00CC2233" w:rsidRPr="00C4404D" w:rsidRDefault="00CC2233" w:rsidP="00700BF0">
            <w:pPr>
              <w:pStyle w:val="In-tableHeading"/>
              <w:jc w:val="center"/>
              <w:rPr>
                <w:lang w:val="en-AU"/>
              </w:rPr>
            </w:pPr>
            <w:r w:rsidRPr="00C4404D">
              <w:rPr>
                <w:lang w:val="en-AU"/>
              </w:rPr>
              <w:t>Cohort 1A: LEN + OBR</w:t>
            </w:r>
          </w:p>
          <w:p w14:paraId="258AAA0E" w14:textId="77777777" w:rsidR="00CC2233" w:rsidRPr="00C4404D" w:rsidRDefault="00CC2233" w:rsidP="00700BF0">
            <w:pPr>
              <w:pStyle w:val="In-tableHeading"/>
              <w:jc w:val="center"/>
              <w:rPr>
                <w:lang w:val="en-AU"/>
              </w:rPr>
            </w:pPr>
            <w:r w:rsidRPr="00C4404D">
              <w:rPr>
                <w:lang w:val="en-AU"/>
              </w:rPr>
              <w:t>(N=24)</w:t>
            </w:r>
          </w:p>
        </w:tc>
        <w:tc>
          <w:tcPr>
            <w:tcW w:w="998" w:type="pct"/>
            <w:vAlign w:val="center"/>
          </w:tcPr>
          <w:p w14:paraId="53AAA437" w14:textId="77777777" w:rsidR="00CC2233" w:rsidRPr="00C4404D" w:rsidRDefault="00CC2233" w:rsidP="00700BF0">
            <w:pPr>
              <w:pStyle w:val="In-tableHeading"/>
              <w:jc w:val="center"/>
              <w:rPr>
                <w:lang w:val="en-AU"/>
              </w:rPr>
            </w:pPr>
            <w:r w:rsidRPr="00C4404D">
              <w:rPr>
                <w:lang w:val="en-AU"/>
              </w:rPr>
              <w:t xml:space="preserve">Cohort 1B: Placebo </w:t>
            </w:r>
            <w:r w:rsidRPr="00C4404D">
              <w:rPr>
                <w:lang w:val="en-AU"/>
              </w:rPr>
              <w:sym w:font="Symbol" w:char="F0AE"/>
            </w:r>
            <w:r w:rsidRPr="00C4404D">
              <w:rPr>
                <w:lang w:val="en-AU"/>
              </w:rPr>
              <w:t xml:space="preserve"> LEN + OBR</w:t>
            </w:r>
          </w:p>
          <w:p w14:paraId="546AB69C" w14:textId="77777777" w:rsidR="00CC2233" w:rsidRPr="00C4404D" w:rsidRDefault="00CC2233" w:rsidP="00700BF0">
            <w:pPr>
              <w:pStyle w:val="In-tableHeading"/>
              <w:jc w:val="center"/>
              <w:rPr>
                <w:lang w:val="en-AU"/>
              </w:rPr>
            </w:pPr>
            <w:r w:rsidRPr="00C4404D">
              <w:rPr>
                <w:lang w:val="en-AU"/>
              </w:rPr>
              <w:t>(N=24)</w:t>
            </w:r>
          </w:p>
        </w:tc>
        <w:tc>
          <w:tcPr>
            <w:tcW w:w="728" w:type="pct"/>
            <w:vAlign w:val="center"/>
          </w:tcPr>
          <w:p w14:paraId="1CEC5657" w14:textId="77777777" w:rsidR="00CC2233" w:rsidRPr="00C4404D" w:rsidRDefault="00CC2233" w:rsidP="00700BF0">
            <w:pPr>
              <w:pStyle w:val="In-tableHeading"/>
              <w:jc w:val="center"/>
              <w:rPr>
                <w:lang w:val="en-AU"/>
              </w:rPr>
            </w:pPr>
            <w:r w:rsidRPr="00C4404D">
              <w:rPr>
                <w:lang w:val="en-AU"/>
              </w:rPr>
              <w:t>Cohort 2: LEN + OBR</w:t>
            </w:r>
          </w:p>
          <w:p w14:paraId="31B90F03" w14:textId="77777777" w:rsidR="00CC2233" w:rsidRPr="00C4404D" w:rsidRDefault="00CC2233" w:rsidP="00700BF0">
            <w:pPr>
              <w:pStyle w:val="In-tableHeading"/>
              <w:jc w:val="center"/>
              <w:rPr>
                <w:lang w:val="en-AU"/>
              </w:rPr>
            </w:pPr>
            <w:r w:rsidRPr="00C4404D">
              <w:rPr>
                <w:lang w:val="en-AU"/>
              </w:rPr>
              <w:t>(N=36)</w:t>
            </w:r>
          </w:p>
        </w:tc>
        <w:tc>
          <w:tcPr>
            <w:tcW w:w="981" w:type="pct"/>
            <w:vAlign w:val="center"/>
            <w:hideMark/>
          </w:tcPr>
          <w:p w14:paraId="2381C3E7" w14:textId="77777777" w:rsidR="00CC2233" w:rsidRPr="00C4404D" w:rsidRDefault="00CC2233" w:rsidP="00700BF0">
            <w:pPr>
              <w:pStyle w:val="In-tableHeading"/>
              <w:jc w:val="center"/>
              <w:rPr>
                <w:lang w:val="en-AU"/>
              </w:rPr>
            </w:pPr>
            <w:r w:rsidRPr="00C4404D">
              <w:rPr>
                <w:lang w:val="en-AU"/>
              </w:rPr>
              <w:t>Cohort 1 &amp; 2:</w:t>
            </w:r>
          </w:p>
          <w:p w14:paraId="44453847" w14:textId="77777777" w:rsidR="00CC2233" w:rsidRPr="00C4404D" w:rsidRDefault="00CC2233" w:rsidP="00700BF0">
            <w:pPr>
              <w:pStyle w:val="In-tableHeading"/>
              <w:jc w:val="center"/>
              <w:rPr>
                <w:lang w:val="en-AU"/>
              </w:rPr>
            </w:pPr>
            <w:r w:rsidRPr="00C4404D">
              <w:rPr>
                <w:lang w:val="en-AU"/>
              </w:rPr>
              <w:t>LEN + OBR</w:t>
            </w:r>
          </w:p>
          <w:p w14:paraId="2E8CE0F3" w14:textId="77777777" w:rsidR="00CC2233" w:rsidRPr="00C4404D" w:rsidRDefault="00CC2233" w:rsidP="00700BF0">
            <w:pPr>
              <w:pStyle w:val="In-tableHeading"/>
              <w:jc w:val="center"/>
              <w:rPr>
                <w:lang w:val="en-AU"/>
              </w:rPr>
            </w:pPr>
            <w:r w:rsidRPr="00C4404D">
              <w:rPr>
                <w:lang w:val="en-AU"/>
              </w:rPr>
              <w:t>N=72</w:t>
            </w:r>
          </w:p>
        </w:tc>
      </w:tr>
      <w:tr w:rsidR="00CC2233" w:rsidRPr="00C4404D" w14:paraId="2DF6015D" w14:textId="77777777" w:rsidTr="00700BF0">
        <w:tblPrEx>
          <w:tblLook w:val="0600" w:firstRow="0" w:lastRow="0" w:firstColumn="0" w:lastColumn="0" w:noHBand="1" w:noVBand="1"/>
        </w:tblPrEx>
        <w:trPr>
          <w:trHeight w:val="20"/>
        </w:trPr>
        <w:tc>
          <w:tcPr>
            <w:tcW w:w="1345" w:type="pct"/>
            <w:vAlign w:val="center"/>
          </w:tcPr>
          <w:p w14:paraId="7587588E" w14:textId="77777777" w:rsidR="00CC2233" w:rsidRPr="00C4404D" w:rsidRDefault="00CC2233" w:rsidP="00700BF0">
            <w:pPr>
              <w:pStyle w:val="TableText0"/>
            </w:pPr>
            <w:r w:rsidRPr="00C4404D">
              <w:t>TEAEs</w:t>
            </w:r>
          </w:p>
        </w:tc>
        <w:tc>
          <w:tcPr>
            <w:tcW w:w="948" w:type="pct"/>
            <w:vAlign w:val="center"/>
          </w:tcPr>
          <w:p w14:paraId="645D4661" w14:textId="77777777" w:rsidR="00CC2233" w:rsidRPr="00C4404D" w:rsidRDefault="00CC2233" w:rsidP="00700BF0">
            <w:pPr>
              <w:pStyle w:val="TableText0"/>
              <w:jc w:val="center"/>
            </w:pPr>
            <w:r w:rsidRPr="00C4404D">
              <w:t>22 (91.7)</w:t>
            </w:r>
          </w:p>
        </w:tc>
        <w:tc>
          <w:tcPr>
            <w:tcW w:w="998" w:type="pct"/>
            <w:vAlign w:val="center"/>
          </w:tcPr>
          <w:p w14:paraId="6961EEBF" w14:textId="77777777" w:rsidR="00CC2233" w:rsidRPr="00C4404D" w:rsidRDefault="00CC2233" w:rsidP="00700BF0">
            <w:pPr>
              <w:pStyle w:val="TableText0"/>
              <w:jc w:val="center"/>
            </w:pPr>
            <w:r w:rsidRPr="00C4404D">
              <w:t>12 (100)</w:t>
            </w:r>
          </w:p>
        </w:tc>
        <w:tc>
          <w:tcPr>
            <w:tcW w:w="728" w:type="pct"/>
            <w:vAlign w:val="center"/>
          </w:tcPr>
          <w:p w14:paraId="6D110AB9" w14:textId="77777777" w:rsidR="00CC2233" w:rsidRPr="00C4404D" w:rsidRDefault="00CC2233" w:rsidP="00700BF0">
            <w:pPr>
              <w:pStyle w:val="TableText0"/>
              <w:jc w:val="center"/>
            </w:pPr>
            <w:r w:rsidRPr="00C4404D">
              <w:t>35 (97.2)</w:t>
            </w:r>
          </w:p>
        </w:tc>
        <w:tc>
          <w:tcPr>
            <w:tcW w:w="981" w:type="pct"/>
            <w:vAlign w:val="center"/>
          </w:tcPr>
          <w:p w14:paraId="41D54648" w14:textId="77777777" w:rsidR="00CC2233" w:rsidRPr="00C4404D" w:rsidRDefault="00CC2233" w:rsidP="00700BF0">
            <w:pPr>
              <w:pStyle w:val="TableText0"/>
              <w:jc w:val="center"/>
            </w:pPr>
            <w:r w:rsidRPr="00C4404D">
              <w:t>69 (95.8)</w:t>
            </w:r>
          </w:p>
        </w:tc>
      </w:tr>
      <w:tr w:rsidR="00CC2233" w:rsidRPr="00C4404D" w14:paraId="68F657DB" w14:textId="77777777" w:rsidTr="00700BF0">
        <w:tblPrEx>
          <w:tblLook w:val="0600" w:firstRow="0" w:lastRow="0" w:firstColumn="0" w:lastColumn="0" w:noHBand="1" w:noVBand="1"/>
        </w:tblPrEx>
        <w:trPr>
          <w:trHeight w:val="20"/>
        </w:trPr>
        <w:tc>
          <w:tcPr>
            <w:tcW w:w="1345" w:type="pct"/>
          </w:tcPr>
          <w:p w14:paraId="519F1205" w14:textId="77777777" w:rsidR="00CC2233" w:rsidRPr="00C4404D" w:rsidRDefault="00CC2233" w:rsidP="00700BF0">
            <w:pPr>
              <w:pStyle w:val="TableText0"/>
            </w:pPr>
            <w:r w:rsidRPr="00C4404D">
              <w:t>TEAEs with Grade 3 or higher</w:t>
            </w:r>
          </w:p>
        </w:tc>
        <w:tc>
          <w:tcPr>
            <w:tcW w:w="948" w:type="pct"/>
            <w:vAlign w:val="center"/>
          </w:tcPr>
          <w:p w14:paraId="5E831D5C" w14:textId="77777777" w:rsidR="00CC2233" w:rsidRPr="00C4404D" w:rsidRDefault="00CC2233" w:rsidP="00700BF0">
            <w:pPr>
              <w:pStyle w:val="TableText0"/>
              <w:jc w:val="center"/>
            </w:pPr>
            <w:r w:rsidRPr="00C4404D">
              <w:t>4 (16.7)</w:t>
            </w:r>
          </w:p>
        </w:tc>
        <w:tc>
          <w:tcPr>
            <w:tcW w:w="998" w:type="pct"/>
            <w:vAlign w:val="center"/>
          </w:tcPr>
          <w:p w14:paraId="670A4090" w14:textId="77777777" w:rsidR="00CC2233" w:rsidRPr="00C4404D" w:rsidRDefault="00CC2233" w:rsidP="00700BF0">
            <w:pPr>
              <w:pStyle w:val="TableText0"/>
              <w:jc w:val="center"/>
            </w:pPr>
            <w:r w:rsidRPr="00C4404D">
              <w:t>3 (25.0)</w:t>
            </w:r>
          </w:p>
        </w:tc>
        <w:tc>
          <w:tcPr>
            <w:tcW w:w="728" w:type="pct"/>
            <w:vAlign w:val="center"/>
          </w:tcPr>
          <w:p w14:paraId="0F5BD4F8" w14:textId="77777777" w:rsidR="00CC2233" w:rsidRPr="00C4404D" w:rsidRDefault="00CC2233" w:rsidP="00700BF0">
            <w:pPr>
              <w:pStyle w:val="TableText0"/>
              <w:jc w:val="center"/>
            </w:pPr>
            <w:r w:rsidRPr="00C4404D">
              <w:t>12 (33.3)</w:t>
            </w:r>
          </w:p>
        </w:tc>
        <w:tc>
          <w:tcPr>
            <w:tcW w:w="981" w:type="pct"/>
            <w:vAlign w:val="center"/>
          </w:tcPr>
          <w:p w14:paraId="5105DCD9" w14:textId="77777777" w:rsidR="00CC2233" w:rsidRPr="00C4404D" w:rsidRDefault="00CC2233" w:rsidP="00700BF0">
            <w:pPr>
              <w:pStyle w:val="TableText0"/>
              <w:jc w:val="center"/>
            </w:pPr>
            <w:r w:rsidRPr="00C4404D">
              <w:t>19 (6.4)</w:t>
            </w:r>
          </w:p>
        </w:tc>
      </w:tr>
      <w:tr w:rsidR="00CC2233" w:rsidRPr="00C4404D" w14:paraId="022C2E3B" w14:textId="77777777" w:rsidTr="00700BF0">
        <w:tblPrEx>
          <w:tblLook w:val="0600" w:firstRow="0" w:lastRow="0" w:firstColumn="0" w:lastColumn="0" w:noHBand="1" w:noVBand="1"/>
        </w:tblPrEx>
        <w:trPr>
          <w:trHeight w:val="20"/>
        </w:trPr>
        <w:tc>
          <w:tcPr>
            <w:tcW w:w="1345" w:type="pct"/>
          </w:tcPr>
          <w:p w14:paraId="4D956365" w14:textId="77777777" w:rsidR="00CC2233" w:rsidRPr="00C4404D" w:rsidRDefault="00CC2233" w:rsidP="00700BF0">
            <w:pPr>
              <w:pStyle w:val="TableText0"/>
            </w:pPr>
            <w:r w:rsidRPr="00C4404D">
              <w:t>TE Serious AE</w:t>
            </w:r>
          </w:p>
        </w:tc>
        <w:tc>
          <w:tcPr>
            <w:tcW w:w="948" w:type="pct"/>
            <w:vAlign w:val="center"/>
          </w:tcPr>
          <w:p w14:paraId="7712F6AD" w14:textId="77777777" w:rsidR="00CC2233" w:rsidRPr="00C4404D" w:rsidRDefault="00CC2233" w:rsidP="00700BF0">
            <w:pPr>
              <w:pStyle w:val="TableText0"/>
              <w:jc w:val="center"/>
            </w:pPr>
            <w:r w:rsidRPr="00C4404D">
              <w:t>3 (12.5)</w:t>
            </w:r>
          </w:p>
        </w:tc>
        <w:tc>
          <w:tcPr>
            <w:tcW w:w="998" w:type="pct"/>
            <w:vAlign w:val="center"/>
          </w:tcPr>
          <w:p w14:paraId="2D8E34A6" w14:textId="77777777" w:rsidR="00CC2233" w:rsidRPr="00C4404D" w:rsidRDefault="00CC2233" w:rsidP="00700BF0">
            <w:pPr>
              <w:pStyle w:val="TableText0"/>
              <w:jc w:val="center"/>
            </w:pPr>
            <w:r w:rsidRPr="00C4404D">
              <w:t>3 (25.0)</w:t>
            </w:r>
          </w:p>
        </w:tc>
        <w:tc>
          <w:tcPr>
            <w:tcW w:w="728" w:type="pct"/>
            <w:vAlign w:val="center"/>
          </w:tcPr>
          <w:p w14:paraId="43868A10" w14:textId="77777777" w:rsidR="00CC2233" w:rsidRPr="00C4404D" w:rsidRDefault="00CC2233" w:rsidP="00700BF0">
            <w:pPr>
              <w:pStyle w:val="TableText0"/>
              <w:jc w:val="center"/>
            </w:pPr>
            <w:r w:rsidRPr="00C4404D">
              <w:t>4 (11.1)</w:t>
            </w:r>
          </w:p>
        </w:tc>
        <w:tc>
          <w:tcPr>
            <w:tcW w:w="981" w:type="pct"/>
            <w:vAlign w:val="center"/>
          </w:tcPr>
          <w:p w14:paraId="1B6B65C6" w14:textId="77777777" w:rsidR="00CC2233" w:rsidRPr="00C4404D" w:rsidRDefault="00CC2233" w:rsidP="00700BF0">
            <w:pPr>
              <w:pStyle w:val="TableText0"/>
              <w:jc w:val="center"/>
            </w:pPr>
            <w:r w:rsidRPr="00C4404D">
              <w:t>10 (13.9)</w:t>
            </w:r>
          </w:p>
        </w:tc>
      </w:tr>
      <w:tr w:rsidR="00CC2233" w:rsidRPr="00C4404D" w14:paraId="64440E33" w14:textId="77777777" w:rsidTr="00700BF0">
        <w:tblPrEx>
          <w:tblLook w:val="0600" w:firstRow="0" w:lastRow="0" w:firstColumn="0" w:lastColumn="0" w:noHBand="1" w:noVBand="1"/>
        </w:tblPrEx>
        <w:trPr>
          <w:trHeight w:val="20"/>
        </w:trPr>
        <w:tc>
          <w:tcPr>
            <w:tcW w:w="1345" w:type="pct"/>
            <w:tcBorders>
              <w:bottom w:val="single" w:sz="4" w:space="0" w:color="auto"/>
            </w:tcBorders>
          </w:tcPr>
          <w:p w14:paraId="73F643FB" w14:textId="77777777" w:rsidR="00CC2233" w:rsidRPr="00C4404D" w:rsidRDefault="00CC2233" w:rsidP="00700BF0">
            <w:pPr>
              <w:pStyle w:val="TableText0"/>
            </w:pPr>
            <w:r w:rsidRPr="00C4404D">
              <w:t>Deaths</w:t>
            </w:r>
          </w:p>
        </w:tc>
        <w:tc>
          <w:tcPr>
            <w:tcW w:w="948" w:type="pct"/>
            <w:tcBorders>
              <w:bottom w:val="single" w:sz="4" w:space="0" w:color="auto"/>
            </w:tcBorders>
            <w:vAlign w:val="center"/>
          </w:tcPr>
          <w:p w14:paraId="499AD704" w14:textId="77777777" w:rsidR="00CC2233" w:rsidRPr="00C4404D" w:rsidRDefault="00CC2233" w:rsidP="00700BF0">
            <w:pPr>
              <w:pStyle w:val="TableText0"/>
              <w:jc w:val="center"/>
            </w:pPr>
            <w:r w:rsidRPr="00C4404D">
              <w:t>0</w:t>
            </w:r>
          </w:p>
        </w:tc>
        <w:tc>
          <w:tcPr>
            <w:tcW w:w="998" w:type="pct"/>
            <w:tcBorders>
              <w:bottom w:val="single" w:sz="4" w:space="0" w:color="auto"/>
            </w:tcBorders>
            <w:vAlign w:val="center"/>
          </w:tcPr>
          <w:p w14:paraId="54379556" w14:textId="77777777" w:rsidR="00CC2233" w:rsidRPr="00C4404D" w:rsidRDefault="00CC2233" w:rsidP="00700BF0">
            <w:pPr>
              <w:pStyle w:val="TableText0"/>
              <w:jc w:val="center"/>
            </w:pPr>
            <w:r w:rsidRPr="00C4404D">
              <w:t>0</w:t>
            </w:r>
          </w:p>
        </w:tc>
        <w:tc>
          <w:tcPr>
            <w:tcW w:w="728" w:type="pct"/>
            <w:tcBorders>
              <w:bottom w:val="single" w:sz="4" w:space="0" w:color="auto"/>
            </w:tcBorders>
            <w:vAlign w:val="center"/>
          </w:tcPr>
          <w:p w14:paraId="7368D8C2" w14:textId="77777777" w:rsidR="00CC2233" w:rsidRPr="00C4404D" w:rsidRDefault="00CC2233" w:rsidP="00700BF0">
            <w:pPr>
              <w:pStyle w:val="TableText0"/>
              <w:jc w:val="center"/>
            </w:pPr>
            <w:r w:rsidRPr="00C4404D">
              <w:t>2 (5.6)</w:t>
            </w:r>
          </w:p>
        </w:tc>
        <w:tc>
          <w:tcPr>
            <w:tcW w:w="981" w:type="pct"/>
            <w:tcBorders>
              <w:bottom w:val="single" w:sz="4" w:space="0" w:color="auto"/>
            </w:tcBorders>
            <w:vAlign w:val="center"/>
          </w:tcPr>
          <w:p w14:paraId="1850867C" w14:textId="77777777" w:rsidR="00CC2233" w:rsidRPr="00C4404D" w:rsidRDefault="00CC2233" w:rsidP="00700BF0">
            <w:pPr>
              <w:pStyle w:val="TableText0"/>
              <w:jc w:val="center"/>
            </w:pPr>
            <w:r w:rsidRPr="00C4404D">
              <w:t>2 (2.8)</w:t>
            </w:r>
          </w:p>
        </w:tc>
      </w:tr>
      <w:tr w:rsidR="00CC2233" w:rsidRPr="00C4404D" w14:paraId="6716BF88" w14:textId="77777777" w:rsidTr="00700BF0">
        <w:tblPrEx>
          <w:tblLook w:val="0600" w:firstRow="0" w:lastRow="0" w:firstColumn="0" w:lastColumn="0" w:noHBand="1" w:noVBand="1"/>
        </w:tblPrEx>
        <w:trPr>
          <w:trHeight w:val="20"/>
        </w:trPr>
        <w:tc>
          <w:tcPr>
            <w:tcW w:w="5000" w:type="pct"/>
            <w:gridSpan w:val="5"/>
          </w:tcPr>
          <w:p w14:paraId="21E19B7D" w14:textId="233C1342" w:rsidR="00CC2233" w:rsidRPr="00C4404D" w:rsidRDefault="00CC2233" w:rsidP="00700BF0">
            <w:pPr>
              <w:pStyle w:val="TableText0"/>
            </w:pPr>
            <w:r w:rsidRPr="00C4404D">
              <w:t>Number with any TEAE (reported in ≥</w:t>
            </w:r>
            <w:r w:rsidR="00386BA6">
              <w:t xml:space="preserve"> </w:t>
            </w:r>
            <w:r w:rsidRPr="00C4404D">
              <w:t>3 in any cohort)</w:t>
            </w:r>
            <w:r w:rsidR="00386BA6" w:rsidRPr="00C4404D">
              <w:t>, n (%)</w:t>
            </w:r>
          </w:p>
        </w:tc>
      </w:tr>
      <w:tr w:rsidR="00CC2233" w:rsidRPr="00C4404D" w14:paraId="5957D717" w14:textId="77777777" w:rsidTr="00700BF0">
        <w:tblPrEx>
          <w:tblLook w:val="0600" w:firstRow="0" w:lastRow="0" w:firstColumn="0" w:lastColumn="0" w:noHBand="1" w:noVBand="1"/>
        </w:tblPrEx>
        <w:trPr>
          <w:trHeight w:val="20"/>
        </w:trPr>
        <w:tc>
          <w:tcPr>
            <w:tcW w:w="1345" w:type="pct"/>
            <w:hideMark/>
          </w:tcPr>
          <w:p w14:paraId="6EBEBC4A" w14:textId="77777777" w:rsidR="00CC2233" w:rsidRPr="00C4404D" w:rsidRDefault="00CC2233" w:rsidP="00700BF0">
            <w:pPr>
              <w:pStyle w:val="TableText0"/>
            </w:pPr>
            <w:r w:rsidRPr="00C4404D">
              <w:t>Diarrhoea</w:t>
            </w:r>
          </w:p>
        </w:tc>
        <w:tc>
          <w:tcPr>
            <w:tcW w:w="948" w:type="pct"/>
            <w:vAlign w:val="center"/>
          </w:tcPr>
          <w:p w14:paraId="264A54B3" w14:textId="77777777" w:rsidR="00CC2233" w:rsidRPr="00C4404D" w:rsidRDefault="00CC2233" w:rsidP="00700BF0">
            <w:pPr>
              <w:pStyle w:val="TableText0"/>
              <w:jc w:val="center"/>
            </w:pPr>
            <w:r w:rsidRPr="00C4404D">
              <w:t>1 (4.2)</w:t>
            </w:r>
          </w:p>
        </w:tc>
        <w:tc>
          <w:tcPr>
            <w:tcW w:w="998" w:type="pct"/>
            <w:vAlign w:val="center"/>
          </w:tcPr>
          <w:p w14:paraId="0CA02D93" w14:textId="77777777" w:rsidR="00CC2233" w:rsidRPr="00C4404D" w:rsidRDefault="00CC2233" w:rsidP="00700BF0">
            <w:pPr>
              <w:pStyle w:val="TableText0"/>
              <w:jc w:val="center"/>
            </w:pPr>
            <w:r w:rsidRPr="00C4404D">
              <w:t>1 (8.3)</w:t>
            </w:r>
          </w:p>
        </w:tc>
        <w:tc>
          <w:tcPr>
            <w:tcW w:w="728" w:type="pct"/>
            <w:vAlign w:val="center"/>
          </w:tcPr>
          <w:p w14:paraId="78010C02" w14:textId="77777777" w:rsidR="00CC2233" w:rsidRPr="00C4404D" w:rsidRDefault="00CC2233" w:rsidP="00700BF0">
            <w:pPr>
              <w:pStyle w:val="TableText0"/>
              <w:jc w:val="center"/>
            </w:pPr>
            <w:r w:rsidRPr="00C4404D">
              <w:t>0</w:t>
            </w:r>
          </w:p>
        </w:tc>
        <w:tc>
          <w:tcPr>
            <w:tcW w:w="981" w:type="pct"/>
            <w:vAlign w:val="center"/>
            <w:hideMark/>
          </w:tcPr>
          <w:p w14:paraId="5B369DFD" w14:textId="77777777" w:rsidR="00CC2233" w:rsidRPr="00C4404D" w:rsidRDefault="00CC2233" w:rsidP="00700BF0">
            <w:pPr>
              <w:pStyle w:val="TableText0"/>
              <w:jc w:val="center"/>
            </w:pPr>
            <w:r w:rsidRPr="00C4404D">
              <w:t>2 (2.8)</w:t>
            </w:r>
          </w:p>
        </w:tc>
      </w:tr>
      <w:tr w:rsidR="00CC2233" w:rsidRPr="00C4404D" w14:paraId="74B19C4F" w14:textId="77777777" w:rsidTr="00700BF0">
        <w:tblPrEx>
          <w:tblLook w:val="0600" w:firstRow="0" w:lastRow="0" w:firstColumn="0" w:lastColumn="0" w:noHBand="1" w:noVBand="1"/>
        </w:tblPrEx>
        <w:trPr>
          <w:trHeight w:val="20"/>
        </w:trPr>
        <w:tc>
          <w:tcPr>
            <w:tcW w:w="1345" w:type="pct"/>
          </w:tcPr>
          <w:p w14:paraId="19E36194" w14:textId="77777777" w:rsidR="00CC2233" w:rsidRPr="00C4404D" w:rsidRDefault="00CC2233" w:rsidP="00700BF0">
            <w:pPr>
              <w:pStyle w:val="TableText0"/>
            </w:pPr>
            <w:r w:rsidRPr="00C4404D">
              <w:t>Vomiting</w:t>
            </w:r>
          </w:p>
        </w:tc>
        <w:tc>
          <w:tcPr>
            <w:tcW w:w="948" w:type="pct"/>
            <w:vAlign w:val="center"/>
          </w:tcPr>
          <w:p w14:paraId="43232489" w14:textId="77777777" w:rsidR="00CC2233" w:rsidRPr="00C4404D" w:rsidRDefault="00CC2233" w:rsidP="00700BF0">
            <w:pPr>
              <w:pStyle w:val="TableText0"/>
              <w:jc w:val="center"/>
            </w:pPr>
            <w:r w:rsidRPr="00C4404D">
              <w:t>0</w:t>
            </w:r>
          </w:p>
        </w:tc>
        <w:tc>
          <w:tcPr>
            <w:tcW w:w="998" w:type="pct"/>
            <w:vAlign w:val="center"/>
          </w:tcPr>
          <w:p w14:paraId="363D7755" w14:textId="77777777" w:rsidR="00CC2233" w:rsidRPr="00C4404D" w:rsidRDefault="00CC2233" w:rsidP="00700BF0">
            <w:pPr>
              <w:pStyle w:val="TableText0"/>
              <w:jc w:val="center"/>
            </w:pPr>
            <w:r w:rsidRPr="00C4404D">
              <w:t>0</w:t>
            </w:r>
          </w:p>
        </w:tc>
        <w:tc>
          <w:tcPr>
            <w:tcW w:w="728" w:type="pct"/>
            <w:vAlign w:val="center"/>
          </w:tcPr>
          <w:p w14:paraId="6F17D05E" w14:textId="77777777" w:rsidR="00CC2233" w:rsidRPr="00C4404D" w:rsidRDefault="00CC2233" w:rsidP="00700BF0">
            <w:pPr>
              <w:pStyle w:val="TableText0"/>
              <w:jc w:val="center"/>
            </w:pPr>
            <w:r w:rsidRPr="00C4404D">
              <w:t>2 (5.6)</w:t>
            </w:r>
          </w:p>
        </w:tc>
        <w:tc>
          <w:tcPr>
            <w:tcW w:w="981" w:type="pct"/>
            <w:vAlign w:val="center"/>
          </w:tcPr>
          <w:p w14:paraId="7FA193D7" w14:textId="77777777" w:rsidR="00CC2233" w:rsidRPr="00C4404D" w:rsidRDefault="00CC2233" w:rsidP="00700BF0">
            <w:pPr>
              <w:pStyle w:val="TableText0"/>
              <w:jc w:val="center"/>
            </w:pPr>
            <w:r w:rsidRPr="00C4404D">
              <w:t>2 (2.8)</w:t>
            </w:r>
          </w:p>
        </w:tc>
      </w:tr>
      <w:tr w:rsidR="00CC2233" w:rsidRPr="00C4404D" w14:paraId="2E6FDB0F" w14:textId="77777777" w:rsidTr="00700BF0">
        <w:tblPrEx>
          <w:tblLook w:val="0600" w:firstRow="0" w:lastRow="0" w:firstColumn="0" w:lastColumn="0" w:noHBand="1" w:noVBand="1"/>
        </w:tblPrEx>
        <w:trPr>
          <w:trHeight w:val="20"/>
        </w:trPr>
        <w:tc>
          <w:tcPr>
            <w:tcW w:w="1345" w:type="pct"/>
          </w:tcPr>
          <w:p w14:paraId="5CC6709E" w14:textId="77777777" w:rsidR="00CC2233" w:rsidRPr="00C4404D" w:rsidRDefault="00CC2233" w:rsidP="00700BF0">
            <w:pPr>
              <w:pStyle w:val="TableText0"/>
            </w:pPr>
            <w:r w:rsidRPr="00C4404D">
              <w:t>Injection site reactions, any</w:t>
            </w:r>
          </w:p>
        </w:tc>
        <w:tc>
          <w:tcPr>
            <w:tcW w:w="948" w:type="pct"/>
            <w:vAlign w:val="center"/>
          </w:tcPr>
          <w:p w14:paraId="43DB4938" w14:textId="77777777" w:rsidR="00CC2233" w:rsidRPr="00C4404D" w:rsidRDefault="00CC2233" w:rsidP="00700BF0">
            <w:pPr>
              <w:pStyle w:val="TableText0"/>
              <w:jc w:val="center"/>
            </w:pPr>
            <w:r w:rsidRPr="00C4404D">
              <w:t>17 (70.8)</w:t>
            </w:r>
          </w:p>
        </w:tc>
        <w:tc>
          <w:tcPr>
            <w:tcW w:w="998" w:type="pct"/>
            <w:vAlign w:val="center"/>
          </w:tcPr>
          <w:p w14:paraId="4E94D1CB" w14:textId="77777777" w:rsidR="00CC2233" w:rsidRPr="00C4404D" w:rsidRDefault="00CC2233" w:rsidP="00700BF0">
            <w:pPr>
              <w:pStyle w:val="TableText0"/>
              <w:jc w:val="center"/>
            </w:pPr>
            <w:r w:rsidRPr="00C4404D">
              <w:t>6 (50.0)</w:t>
            </w:r>
          </w:p>
        </w:tc>
        <w:tc>
          <w:tcPr>
            <w:tcW w:w="728" w:type="pct"/>
            <w:vAlign w:val="center"/>
          </w:tcPr>
          <w:p w14:paraId="3E413A87" w14:textId="77777777" w:rsidR="00CC2233" w:rsidRPr="00C4404D" w:rsidRDefault="00CC2233" w:rsidP="00700BF0">
            <w:pPr>
              <w:pStyle w:val="TableText0"/>
              <w:jc w:val="center"/>
            </w:pPr>
            <w:r w:rsidRPr="00C4404D">
              <w:t>24 (66.7)</w:t>
            </w:r>
          </w:p>
        </w:tc>
        <w:tc>
          <w:tcPr>
            <w:tcW w:w="981" w:type="pct"/>
            <w:vAlign w:val="center"/>
          </w:tcPr>
          <w:p w14:paraId="676F2874" w14:textId="77777777" w:rsidR="00CC2233" w:rsidRPr="00C4404D" w:rsidRDefault="00CC2233" w:rsidP="00700BF0">
            <w:pPr>
              <w:pStyle w:val="TableText0"/>
              <w:jc w:val="center"/>
            </w:pPr>
            <w:r w:rsidRPr="00C4404D">
              <w:t>47 (65.3)</w:t>
            </w:r>
          </w:p>
        </w:tc>
      </w:tr>
      <w:tr w:rsidR="00CC2233" w:rsidRPr="00C4404D" w14:paraId="6E574B7A" w14:textId="77777777" w:rsidTr="00700BF0">
        <w:tblPrEx>
          <w:tblLook w:val="0600" w:firstRow="0" w:lastRow="0" w:firstColumn="0" w:lastColumn="0" w:noHBand="1" w:noVBand="1"/>
        </w:tblPrEx>
        <w:trPr>
          <w:trHeight w:val="20"/>
        </w:trPr>
        <w:tc>
          <w:tcPr>
            <w:tcW w:w="1345" w:type="pct"/>
          </w:tcPr>
          <w:p w14:paraId="14339E07" w14:textId="77777777" w:rsidR="00CC2233" w:rsidRPr="00C4404D" w:rsidRDefault="00CC2233" w:rsidP="00700BF0">
            <w:pPr>
              <w:pStyle w:val="TableText0"/>
            </w:pPr>
            <w:r w:rsidRPr="00C4404D">
              <w:t>Pyrexia</w:t>
            </w:r>
          </w:p>
        </w:tc>
        <w:tc>
          <w:tcPr>
            <w:tcW w:w="948" w:type="pct"/>
            <w:vAlign w:val="center"/>
          </w:tcPr>
          <w:p w14:paraId="1B422246" w14:textId="77777777" w:rsidR="00CC2233" w:rsidRPr="00C4404D" w:rsidRDefault="00CC2233" w:rsidP="00700BF0">
            <w:pPr>
              <w:pStyle w:val="TableText0"/>
              <w:jc w:val="center"/>
            </w:pPr>
            <w:r w:rsidRPr="00C4404D">
              <w:t>0</w:t>
            </w:r>
          </w:p>
        </w:tc>
        <w:tc>
          <w:tcPr>
            <w:tcW w:w="998" w:type="pct"/>
            <w:vAlign w:val="center"/>
          </w:tcPr>
          <w:p w14:paraId="5329A5F4" w14:textId="77777777" w:rsidR="00CC2233" w:rsidRPr="00C4404D" w:rsidRDefault="00CC2233" w:rsidP="00700BF0">
            <w:pPr>
              <w:pStyle w:val="TableText0"/>
              <w:jc w:val="center"/>
            </w:pPr>
            <w:r w:rsidRPr="00C4404D">
              <w:t>0</w:t>
            </w:r>
          </w:p>
        </w:tc>
        <w:tc>
          <w:tcPr>
            <w:tcW w:w="728" w:type="pct"/>
            <w:vAlign w:val="center"/>
          </w:tcPr>
          <w:p w14:paraId="7FD06943" w14:textId="77777777" w:rsidR="00CC2233" w:rsidRPr="00C4404D" w:rsidRDefault="00CC2233" w:rsidP="00700BF0">
            <w:pPr>
              <w:pStyle w:val="TableText0"/>
              <w:jc w:val="center"/>
            </w:pPr>
            <w:r w:rsidRPr="00C4404D">
              <w:t>2 (5.6)</w:t>
            </w:r>
          </w:p>
        </w:tc>
        <w:tc>
          <w:tcPr>
            <w:tcW w:w="981" w:type="pct"/>
            <w:vAlign w:val="center"/>
          </w:tcPr>
          <w:p w14:paraId="7963378E" w14:textId="77777777" w:rsidR="00CC2233" w:rsidRPr="00C4404D" w:rsidRDefault="00CC2233" w:rsidP="00700BF0">
            <w:pPr>
              <w:pStyle w:val="TableText0"/>
              <w:jc w:val="center"/>
            </w:pPr>
            <w:r w:rsidRPr="00C4404D">
              <w:t>2 (2.8)</w:t>
            </w:r>
          </w:p>
        </w:tc>
      </w:tr>
    </w:tbl>
    <w:p w14:paraId="5D52AFB7" w14:textId="3F1597C9" w:rsidR="007901D3" w:rsidRDefault="00CC2233" w:rsidP="00CC2233">
      <w:pPr>
        <w:pStyle w:val="FooterTableFigure"/>
      </w:pPr>
      <w:r w:rsidRPr="00C4404D">
        <w:t xml:space="preserve">Source: Table 2-32, p116-117 and Table 2-30, p114 of the submission. </w:t>
      </w:r>
    </w:p>
    <w:p w14:paraId="25F78221" w14:textId="482BF6B1" w:rsidR="00CC2233" w:rsidRPr="00C4404D" w:rsidRDefault="00CC2233" w:rsidP="00CC2233">
      <w:pPr>
        <w:pStyle w:val="FooterTableFigure"/>
      </w:pPr>
      <w:r w:rsidRPr="00C4404D">
        <w:t>AE</w:t>
      </w:r>
      <w:r w:rsidR="006F47F9">
        <w:t xml:space="preserve"> = a</w:t>
      </w:r>
      <w:r w:rsidRPr="00C4404D">
        <w:t>dverse event; eGFR: estimated glomerular filtration rate</w:t>
      </w:r>
      <w:r w:rsidR="007901D3">
        <w:t>;</w:t>
      </w:r>
      <w:r w:rsidRPr="00C4404D">
        <w:t xml:space="preserve"> LEN = lenacapavir; OBR = optimised background regimen; TEAE</w:t>
      </w:r>
      <w:r w:rsidR="006F47F9">
        <w:t xml:space="preserve"> =</w:t>
      </w:r>
      <w:r w:rsidRPr="00C4404D">
        <w:t xml:space="preserve"> treatment-emergent adverse event</w:t>
      </w:r>
    </w:p>
    <w:p w14:paraId="2347FABD" w14:textId="089A18FE" w:rsidR="00CC2233" w:rsidRPr="00C4404D" w:rsidRDefault="007901D3" w:rsidP="00CC2233">
      <w:pPr>
        <w:pStyle w:val="FooterTableFigure"/>
      </w:pPr>
      <w:r>
        <w:t xml:space="preserve">Note: </w:t>
      </w:r>
      <w:r w:rsidR="00CC2233" w:rsidRPr="00C4404D">
        <w:t>TEAE was defined as an AE that began on or after the first dose date of blinded study drug and prior to the first dose date of the open-label study drug. Severity grades were defined by Division of AIDS (DAIDS) Table for Grading the Severity of Adult and Paediatric Adverse Events (corrected Version, dated 2.1 July 2017). Death includes any death that occurred during the Functional Monotherapy Period</w:t>
      </w:r>
      <w:r>
        <w:t>.</w:t>
      </w:r>
    </w:p>
    <w:p w14:paraId="72256C82" w14:textId="77777777" w:rsidR="00CC2233" w:rsidRPr="007F3195" w:rsidRDefault="00CC2233" w:rsidP="00CC2233">
      <w:pPr>
        <w:pStyle w:val="3-BodyText"/>
      </w:pPr>
      <w:r w:rsidRPr="007F3195">
        <w:t>There were no clear safety signals presented in the functional monotherapy period. This was expected given the short follow-up and small sample size.</w:t>
      </w:r>
    </w:p>
    <w:p w14:paraId="20C09ABC" w14:textId="5B7F3522" w:rsidR="00CC2233" w:rsidRPr="007F3195" w:rsidRDefault="00CC2233" w:rsidP="00CC2233">
      <w:pPr>
        <w:pStyle w:val="3-BodyText"/>
      </w:pPr>
      <w:r w:rsidRPr="007F3195">
        <w:t>In the 52</w:t>
      </w:r>
      <w:r w:rsidR="00645CFF" w:rsidRPr="007F3195">
        <w:t>-</w:t>
      </w:r>
      <w:r w:rsidRPr="007F3195">
        <w:t xml:space="preserve">week analysis, the submission noted that nausea was the only </w:t>
      </w:r>
      <w:r w:rsidR="00C17B4B" w:rsidRPr="007F3195">
        <w:t>adverse event (</w:t>
      </w:r>
      <w:r w:rsidRPr="007F3195">
        <w:t>AE</w:t>
      </w:r>
      <w:r w:rsidR="00C17B4B" w:rsidRPr="007F3195">
        <w:t>)</w:t>
      </w:r>
      <w:r w:rsidRPr="007F3195">
        <w:t xml:space="preserve"> reported in more than one participant (two patients, both in the lenacapavir group during functional monotherapy period). For other AEs, given that all patients initially randomised to placebo switched to lenacapavir at 14 days, this analysis was not a meaningful comparison. Patients with AEs in the ‘placebo’ cohort may have AEs emergent of lenacapavir. </w:t>
      </w:r>
    </w:p>
    <w:p w14:paraId="17FCDA2B" w14:textId="1E720D1F" w:rsidR="00CC2233" w:rsidRPr="007F3195" w:rsidRDefault="00CC2233" w:rsidP="00CC2233">
      <w:pPr>
        <w:pStyle w:val="3-BodyText"/>
      </w:pPr>
      <w:r w:rsidRPr="007F3195">
        <w:t xml:space="preserve">The most common type of treatment related AEs were injection site reactions (ISRs). Most ISRs were </w:t>
      </w:r>
      <w:r w:rsidR="00C17B4B" w:rsidRPr="007F3195">
        <w:t>g</w:t>
      </w:r>
      <w:r w:rsidRPr="007F3195">
        <w:t xml:space="preserve">rade 1 or 2 across all cohorts. In combined Cohort 1 &amp; 2, 44/47 (94%) patients had a </w:t>
      </w:r>
      <w:r w:rsidR="00C17B4B" w:rsidRPr="007F3195">
        <w:t>g</w:t>
      </w:r>
      <w:r w:rsidRPr="007F3195">
        <w:t xml:space="preserve">rade 1 or 2 ISR. The ISRs resolved within 4 to 8 days. No </w:t>
      </w:r>
      <w:r w:rsidR="00C17B4B" w:rsidRPr="007F3195">
        <w:t>g</w:t>
      </w:r>
      <w:r w:rsidRPr="007F3195">
        <w:t>rade 4 or 5 ISRs were reported. One patient discontinued</w:t>
      </w:r>
      <w:r w:rsidR="00386BA6">
        <w:t xml:space="preserve"> the</w:t>
      </w:r>
      <w:r w:rsidRPr="007F3195">
        <w:t xml:space="preserve"> study drug at Week 52 due to an ISR although it was only a Grade 1 nodule. The most common types of ISRs were swelling, pain, erythema, nodule development or induration.</w:t>
      </w:r>
    </w:p>
    <w:p w14:paraId="5A4A5C1E" w14:textId="0170E909" w:rsidR="00CC2233" w:rsidRPr="007F3195" w:rsidRDefault="00CC2233" w:rsidP="00CC2233">
      <w:pPr>
        <w:pStyle w:val="3-BodyText"/>
      </w:pPr>
      <w:r w:rsidRPr="007F3195">
        <w:lastRenderedPageBreak/>
        <w:t xml:space="preserve">The submission concluded that lenacapavir was well tolerated with a low rate of treatment-related AEs reported. The only treatment related AE that occurred in more than 10% of patients in the </w:t>
      </w:r>
      <w:r w:rsidR="0026174A" w:rsidRPr="007F3195">
        <w:t>c</w:t>
      </w:r>
      <w:r w:rsidRPr="007F3195">
        <w:t xml:space="preserve">ombined Cohort 1 &amp; 2 in the Week 52 analysis </w:t>
      </w:r>
      <w:r w:rsidR="00386BA6">
        <w:t>were</w:t>
      </w:r>
      <w:r w:rsidR="00386BA6" w:rsidRPr="007F3195">
        <w:t xml:space="preserve"> </w:t>
      </w:r>
      <w:r w:rsidRPr="007F3195">
        <w:t xml:space="preserve">ISRs. </w:t>
      </w:r>
      <w:r w:rsidR="00707F66" w:rsidRPr="00E52AC5">
        <w:t xml:space="preserve">The ESC noted and agreed with the PSCR that given 68% of these were of mild intensity (Grade 1), and as lenacapavir is only administered once every 6 months, the impact of mild ISRs on patients over a treatment year is minimal. </w:t>
      </w:r>
      <w:r w:rsidR="0096444D">
        <w:t>However, i</w:t>
      </w:r>
      <w:r w:rsidRPr="00E52AC5">
        <w:t xml:space="preserve">t must be </w:t>
      </w:r>
      <w:r w:rsidR="00A07730" w:rsidRPr="00E52AC5">
        <w:t xml:space="preserve">emphasised </w:t>
      </w:r>
      <w:r w:rsidRPr="00E52AC5">
        <w:t xml:space="preserve">that the CAPELLA trial only presented 14-day comparative </w:t>
      </w:r>
      <w:r w:rsidR="00352EC5" w:rsidRPr="00E52AC5">
        <w:t>data and</w:t>
      </w:r>
      <w:r w:rsidRPr="00E52AC5">
        <w:t xml:space="preserve"> had a small sample size.</w:t>
      </w:r>
      <w:r w:rsidRPr="007F3195">
        <w:t xml:space="preserve"> </w:t>
      </w:r>
    </w:p>
    <w:p w14:paraId="71951B2D" w14:textId="77777777" w:rsidR="00CC2233" w:rsidRPr="00C4404D" w:rsidRDefault="00CC2233" w:rsidP="00CC2233">
      <w:pPr>
        <w:pStyle w:val="3-BodyText"/>
        <w:rPr>
          <w:color w:val="000000" w:themeColor="text1"/>
        </w:rPr>
      </w:pPr>
      <w:r w:rsidRPr="00C4404D">
        <w:rPr>
          <w:color w:val="000000" w:themeColor="text1"/>
        </w:rPr>
        <w:t>The submission did not present any information on extended harms of lenacapavir.</w:t>
      </w:r>
    </w:p>
    <w:p w14:paraId="43C8D6E8" w14:textId="6237065B" w:rsidR="00CC2233" w:rsidRPr="00047A17" w:rsidRDefault="00CC2233" w:rsidP="00F959A0">
      <w:pPr>
        <w:pStyle w:val="3-BodyText"/>
        <w:rPr>
          <w:color w:val="000000" w:themeColor="text1"/>
        </w:rPr>
      </w:pPr>
      <w:r w:rsidRPr="00047A17">
        <w:rPr>
          <w:color w:val="000000" w:themeColor="text1"/>
        </w:rPr>
        <w:t>The submission presented a</w:t>
      </w:r>
      <w:r w:rsidR="00E703DF">
        <w:rPr>
          <w:color w:val="000000" w:themeColor="text1"/>
        </w:rPr>
        <w:t xml:space="preserve">n unanchored </w:t>
      </w:r>
      <w:r w:rsidRPr="00047A17">
        <w:rPr>
          <w:color w:val="000000" w:themeColor="text1"/>
        </w:rPr>
        <w:t>comparison of adverse events between lenacapavir and the comparator trials</w:t>
      </w:r>
      <w:r w:rsidR="00047A17">
        <w:rPr>
          <w:color w:val="000000" w:themeColor="text1"/>
        </w:rPr>
        <w:t xml:space="preserve"> which is summarised in </w:t>
      </w:r>
      <w:r w:rsidRPr="00C4404D">
        <w:fldChar w:fldCharType="begin"/>
      </w:r>
      <w:r w:rsidRPr="00C4404D">
        <w:instrText xml:space="preserve"> REF _Ref112948753 \h </w:instrText>
      </w:r>
      <w:r w:rsidRPr="00C4404D">
        <w:fldChar w:fldCharType="separate"/>
      </w:r>
      <w:r w:rsidR="0050086F" w:rsidRPr="00C4404D">
        <w:t xml:space="preserve">Table </w:t>
      </w:r>
      <w:r w:rsidR="0050086F">
        <w:rPr>
          <w:noProof/>
        </w:rPr>
        <w:t>9</w:t>
      </w:r>
      <w:r w:rsidRPr="00C4404D">
        <w:fldChar w:fldCharType="end"/>
      </w:r>
      <w:r w:rsidRPr="00C4404D">
        <w:t>.</w:t>
      </w:r>
    </w:p>
    <w:p w14:paraId="0AE955C2" w14:textId="7258A26D" w:rsidR="00CC2233" w:rsidRPr="00C4404D" w:rsidRDefault="00CC2233" w:rsidP="00CC2233">
      <w:pPr>
        <w:pStyle w:val="TableFigureHeading"/>
      </w:pPr>
      <w:bookmarkStart w:id="50" w:name="_Ref112948753"/>
      <w:r w:rsidRPr="00C4404D">
        <w:t xml:space="preserve">Table </w:t>
      </w:r>
      <w:fldSimple w:instr=" SEQ Table \* ARABIC ">
        <w:r w:rsidR="0050086F">
          <w:rPr>
            <w:noProof/>
          </w:rPr>
          <w:t>9</w:t>
        </w:r>
      </w:fldSimple>
      <w:bookmarkEnd w:id="50"/>
      <w:r w:rsidRPr="00C4404D">
        <w:t>: TEAEs reported in the Placebo + OBR arm in comparator studies (Week 48 or 52)</w:t>
      </w:r>
    </w:p>
    <w:tbl>
      <w:tblPr>
        <w:tblStyle w:val="TableGrid"/>
        <w:tblW w:w="5000" w:type="pct"/>
        <w:tblLook w:val="00A0" w:firstRow="1" w:lastRow="0" w:firstColumn="1" w:lastColumn="0" w:noHBand="0" w:noVBand="0"/>
      </w:tblPr>
      <w:tblGrid>
        <w:gridCol w:w="2612"/>
        <w:gridCol w:w="1093"/>
        <w:gridCol w:w="1182"/>
        <w:gridCol w:w="1184"/>
        <w:gridCol w:w="1501"/>
        <w:gridCol w:w="1445"/>
      </w:tblGrid>
      <w:tr w:rsidR="00CC2233" w:rsidRPr="00C4404D" w14:paraId="2FAA5058" w14:textId="77777777" w:rsidTr="00C07D9A">
        <w:trPr>
          <w:trHeight w:val="227"/>
        </w:trPr>
        <w:tc>
          <w:tcPr>
            <w:tcW w:w="1486" w:type="pct"/>
            <w:vMerge w:val="restart"/>
            <w:noWrap/>
          </w:tcPr>
          <w:p w14:paraId="348B9C50" w14:textId="77777777" w:rsidR="00CC2233" w:rsidRPr="00C4404D" w:rsidRDefault="00CC2233" w:rsidP="00700BF0">
            <w:pPr>
              <w:pStyle w:val="In-tableHeading"/>
              <w:jc w:val="center"/>
              <w:rPr>
                <w:lang w:val="en-AU"/>
              </w:rPr>
            </w:pPr>
          </w:p>
        </w:tc>
        <w:tc>
          <w:tcPr>
            <w:tcW w:w="644" w:type="pct"/>
          </w:tcPr>
          <w:p w14:paraId="6AF882AD" w14:textId="77777777" w:rsidR="00CC2233" w:rsidRPr="00C4404D" w:rsidRDefault="00CC2233" w:rsidP="00700BF0">
            <w:pPr>
              <w:pStyle w:val="In-tableHeading"/>
              <w:jc w:val="center"/>
              <w:rPr>
                <w:lang w:val="en-AU"/>
              </w:rPr>
            </w:pPr>
            <w:r w:rsidRPr="00C4404D">
              <w:rPr>
                <w:lang w:val="en-AU"/>
              </w:rPr>
              <w:t>CAPELLA</w:t>
            </w:r>
          </w:p>
        </w:tc>
        <w:tc>
          <w:tcPr>
            <w:tcW w:w="693" w:type="pct"/>
          </w:tcPr>
          <w:p w14:paraId="5ABA09FA" w14:textId="77777777" w:rsidR="00CC2233" w:rsidRPr="00C4404D" w:rsidRDefault="00CC2233" w:rsidP="00700BF0">
            <w:pPr>
              <w:pStyle w:val="In-tableHeading"/>
              <w:jc w:val="center"/>
              <w:rPr>
                <w:lang w:val="en-AU"/>
              </w:rPr>
            </w:pPr>
            <w:r w:rsidRPr="00C4404D">
              <w:rPr>
                <w:lang w:val="en-AU"/>
              </w:rPr>
              <w:t>CAPELLA</w:t>
            </w:r>
          </w:p>
        </w:tc>
        <w:tc>
          <w:tcPr>
            <w:tcW w:w="694" w:type="pct"/>
          </w:tcPr>
          <w:p w14:paraId="2E1DA1A6" w14:textId="77777777" w:rsidR="00CC2233" w:rsidRPr="00C4404D" w:rsidRDefault="00CC2233" w:rsidP="00700BF0">
            <w:pPr>
              <w:pStyle w:val="In-tableHeading"/>
              <w:jc w:val="center"/>
              <w:rPr>
                <w:lang w:val="en-AU"/>
              </w:rPr>
            </w:pPr>
            <w:r w:rsidRPr="00C4404D">
              <w:rPr>
                <w:lang w:val="en-AU"/>
              </w:rPr>
              <w:t>BENCHMRK 1 &amp; 2</w:t>
            </w:r>
          </w:p>
        </w:tc>
        <w:tc>
          <w:tcPr>
            <w:tcW w:w="644" w:type="pct"/>
            <w:noWrap/>
          </w:tcPr>
          <w:p w14:paraId="41CF3160" w14:textId="77777777" w:rsidR="00CC2233" w:rsidRPr="00C4404D" w:rsidRDefault="00CC2233" w:rsidP="00700BF0">
            <w:pPr>
              <w:pStyle w:val="In-tableHeading"/>
              <w:jc w:val="center"/>
              <w:rPr>
                <w:szCs w:val="20"/>
                <w:lang w:val="en-AU"/>
              </w:rPr>
            </w:pPr>
            <w:r w:rsidRPr="00C4404D">
              <w:rPr>
                <w:lang w:val="en-AU"/>
              </w:rPr>
              <w:t>MOTIVATE 1 &amp; 2</w:t>
            </w:r>
          </w:p>
        </w:tc>
        <w:tc>
          <w:tcPr>
            <w:tcW w:w="839" w:type="pct"/>
          </w:tcPr>
          <w:p w14:paraId="44A60212" w14:textId="77777777" w:rsidR="00CC2233" w:rsidRPr="00C4404D" w:rsidRDefault="00CC2233" w:rsidP="00700BF0">
            <w:pPr>
              <w:pStyle w:val="In-tableHeading"/>
              <w:jc w:val="center"/>
              <w:rPr>
                <w:lang w:val="en-AU"/>
              </w:rPr>
            </w:pPr>
            <w:r w:rsidRPr="00C4404D">
              <w:rPr>
                <w:lang w:val="en-AU"/>
              </w:rPr>
              <w:t>VICTOR-E1</w:t>
            </w:r>
          </w:p>
        </w:tc>
      </w:tr>
      <w:tr w:rsidR="00CC2233" w:rsidRPr="00C4404D" w14:paraId="537BEDE7" w14:textId="77777777" w:rsidTr="00C07D9A">
        <w:trPr>
          <w:trHeight w:val="227"/>
        </w:trPr>
        <w:tc>
          <w:tcPr>
            <w:tcW w:w="1486" w:type="pct"/>
            <w:vMerge/>
            <w:noWrap/>
          </w:tcPr>
          <w:p w14:paraId="33D917B6" w14:textId="77777777" w:rsidR="00CC2233" w:rsidRPr="00C4404D" w:rsidRDefault="00CC2233" w:rsidP="00700BF0">
            <w:pPr>
              <w:pStyle w:val="In-tableHeading"/>
              <w:jc w:val="center"/>
              <w:rPr>
                <w:lang w:val="en-AU"/>
              </w:rPr>
            </w:pPr>
          </w:p>
        </w:tc>
        <w:tc>
          <w:tcPr>
            <w:tcW w:w="644" w:type="pct"/>
          </w:tcPr>
          <w:p w14:paraId="2A6F6F7E" w14:textId="77777777" w:rsidR="00CC2233" w:rsidRPr="00C4404D" w:rsidRDefault="00CC2233" w:rsidP="00700BF0">
            <w:pPr>
              <w:pStyle w:val="In-tableHeading"/>
              <w:jc w:val="center"/>
              <w:rPr>
                <w:lang w:val="en-AU"/>
              </w:rPr>
            </w:pPr>
            <w:r w:rsidRPr="00C4404D">
              <w:rPr>
                <w:lang w:val="en-AU"/>
              </w:rPr>
              <w:t>Cohort 1A: LEN + OBR</w:t>
            </w:r>
          </w:p>
          <w:p w14:paraId="10150E77" w14:textId="77777777" w:rsidR="00CC2233" w:rsidRPr="00C4404D" w:rsidRDefault="00CC2233" w:rsidP="00700BF0">
            <w:pPr>
              <w:pStyle w:val="In-tableHeading"/>
              <w:jc w:val="center"/>
              <w:rPr>
                <w:lang w:val="en-AU"/>
              </w:rPr>
            </w:pPr>
            <w:r w:rsidRPr="00C4404D">
              <w:rPr>
                <w:lang w:val="en-AU"/>
              </w:rPr>
              <w:t>(N=24)</w:t>
            </w:r>
          </w:p>
        </w:tc>
        <w:tc>
          <w:tcPr>
            <w:tcW w:w="693" w:type="pct"/>
          </w:tcPr>
          <w:p w14:paraId="12D8AEF8" w14:textId="77777777" w:rsidR="00CC2233" w:rsidRPr="00C4404D" w:rsidRDefault="00CC2233" w:rsidP="00700BF0">
            <w:pPr>
              <w:pStyle w:val="In-tableHeading"/>
              <w:jc w:val="center"/>
              <w:rPr>
                <w:lang w:val="en-AU"/>
              </w:rPr>
            </w:pPr>
            <w:r w:rsidRPr="00C4404D">
              <w:rPr>
                <w:lang w:val="en-AU"/>
              </w:rPr>
              <w:t>Cohort 1 &amp; 2 combined: LEN + OBR</w:t>
            </w:r>
          </w:p>
          <w:p w14:paraId="1DBD1B5D" w14:textId="77777777" w:rsidR="00CC2233" w:rsidRPr="00C4404D" w:rsidRDefault="00CC2233" w:rsidP="00700BF0">
            <w:pPr>
              <w:pStyle w:val="In-tableHeading"/>
              <w:jc w:val="center"/>
              <w:rPr>
                <w:lang w:val="en-AU"/>
              </w:rPr>
            </w:pPr>
            <w:r w:rsidRPr="00C4404D">
              <w:rPr>
                <w:lang w:val="en-AU"/>
              </w:rPr>
              <w:t>(N=72)</w:t>
            </w:r>
          </w:p>
        </w:tc>
        <w:tc>
          <w:tcPr>
            <w:tcW w:w="694" w:type="pct"/>
          </w:tcPr>
          <w:p w14:paraId="7ACF8C42" w14:textId="77777777" w:rsidR="00CC2233" w:rsidRPr="00C4404D" w:rsidRDefault="00CC2233" w:rsidP="00700BF0">
            <w:pPr>
              <w:pStyle w:val="In-tableHeading"/>
              <w:jc w:val="center"/>
              <w:rPr>
                <w:lang w:val="en-AU"/>
              </w:rPr>
            </w:pPr>
            <w:r w:rsidRPr="00C4404D">
              <w:rPr>
                <w:lang w:val="en-AU"/>
              </w:rPr>
              <w:t>Placebo + OBR</w:t>
            </w:r>
          </w:p>
          <w:p w14:paraId="0744B924" w14:textId="77777777" w:rsidR="00CC2233" w:rsidRPr="00C4404D" w:rsidRDefault="00CC2233" w:rsidP="00700BF0">
            <w:pPr>
              <w:pStyle w:val="In-tableHeading"/>
              <w:jc w:val="center"/>
              <w:rPr>
                <w:lang w:val="en-AU"/>
              </w:rPr>
            </w:pPr>
            <w:r w:rsidRPr="00C4404D">
              <w:rPr>
                <w:lang w:val="en-AU"/>
              </w:rPr>
              <w:t>(N=237)</w:t>
            </w:r>
          </w:p>
        </w:tc>
        <w:tc>
          <w:tcPr>
            <w:tcW w:w="644" w:type="pct"/>
            <w:noWrap/>
          </w:tcPr>
          <w:p w14:paraId="727F429D" w14:textId="77777777" w:rsidR="00CC2233" w:rsidRPr="00C4404D" w:rsidRDefault="00CC2233" w:rsidP="00700BF0">
            <w:pPr>
              <w:pStyle w:val="In-tableHeading"/>
              <w:jc w:val="center"/>
              <w:rPr>
                <w:lang w:val="en-AU"/>
              </w:rPr>
            </w:pPr>
            <w:r w:rsidRPr="00C4404D">
              <w:rPr>
                <w:lang w:val="en-AU"/>
              </w:rPr>
              <w:t>Placebo + OBR</w:t>
            </w:r>
          </w:p>
          <w:p w14:paraId="172B6524" w14:textId="77777777" w:rsidR="00CC2233" w:rsidRPr="00C4404D" w:rsidRDefault="00CC2233" w:rsidP="00700BF0">
            <w:pPr>
              <w:pStyle w:val="In-tableHeading"/>
              <w:jc w:val="center"/>
              <w:rPr>
                <w:lang w:val="en-AU"/>
              </w:rPr>
            </w:pPr>
            <w:r w:rsidRPr="00C4404D">
              <w:rPr>
                <w:lang w:val="en-AU"/>
              </w:rPr>
              <w:t>(N=209)</w:t>
            </w:r>
          </w:p>
        </w:tc>
        <w:tc>
          <w:tcPr>
            <w:tcW w:w="839" w:type="pct"/>
          </w:tcPr>
          <w:p w14:paraId="76D3E354" w14:textId="77777777" w:rsidR="00CC2233" w:rsidRPr="00C4404D" w:rsidRDefault="00CC2233" w:rsidP="00700BF0">
            <w:pPr>
              <w:pStyle w:val="In-tableHeading"/>
              <w:jc w:val="center"/>
              <w:rPr>
                <w:lang w:val="en-AU"/>
              </w:rPr>
            </w:pPr>
            <w:r w:rsidRPr="00C4404D">
              <w:rPr>
                <w:lang w:val="en-AU"/>
              </w:rPr>
              <w:t>Placebo + OBR</w:t>
            </w:r>
          </w:p>
          <w:p w14:paraId="39C4F1C5" w14:textId="77777777" w:rsidR="00CC2233" w:rsidRPr="00C4404D" w:rsidRDefault="00CC2233" w:rsidP="00700BF0">
            <w:pPr>
              <w:pStyle w:val="In-tableHeading"/>
              <w:jc w:val="center"/>
              <w:rPr>
                <w:lang w:val="en-AU"/>
              </w:rPr>
            </w:pPr>
            <w:r w:rsidRPr="00C4404D">
              <w:rPr>
                <w:lang w:val="en-AU"/>
              </w:rPr>
              <w:t>(N=35)</w:t>
            </w:r>
          </w:p>
        </w:tc>
      </w:tr>
      <w:tr w:rsidR="00CC2233" w:rsidRPr="00C4404D" w14:paraId="2A482C67" w14:textId="77777777" w:rsidTr="00C07D9A">
        <w:trPr>
          <w:trHeight w:val="227"/>
        </w:trPr>
        <w:tc>
          <w:tcPr>
            <w:tcW w:w="1486" w:type="pct"/>
          </w:tcPr>
          <w:p w14:paraId="5462A0DE" w14:textId="77777777" w:rsidR="00CC2233" w:rsidRPr="00C4404D" w:rsidRDefault="00CC2233" w:rsidP="00700BF0">
            <w:pPr>
              <w:pStyle w:val="TableText0"/>
            </w:pPr>
            <w:r w:rsidRPr="00C4404D">
              <w:t>Any TEAE, n (%)</w:t>
            </w:r>
          </w:p>
        </w:tc>
        <w:tc>
          <w:tcPr>
            <w:tcW w:w="644" w:type="pct"/>
            <w:vAlign w:val="center"/>
          </w:tcPr>
          <w:p w14:paraId="66C23857" w14:textId="77777777" w:rsidR="00CC2233" w:rsidRPr="00C4404D" w:rsidRDefault="00CC2233" w:rsidP="00700BF0">
            <w:pPr>
              <w:pStyle w:val="TableText0"/>
              <w:jc w:val="center"/>
            </w:pPr>
            <w:r w:rsidRPr="00C4404D">
              <w:t>22 (92)</w:t>
            </w:r>
          </w:p>
        </w:tc>
        <w:tc>
          <w:tcPr>
            <w:tcW w:w="693" w:type="pct"/>
            <w:vAlign w:val="center"/>
          </w:tcPr>
          <w:p w14:paraId="43F85DB0" w14:textId="77777777" w:rsidR="00CC2233" w:rsidRPr="00C4404D" w:rsidRDefault="00CC2233" w:rsidP="00700BF0">
            <w:pPr>
              <w:pStyle w:val="TableText0"/>
              <w:jc w:val="center"/>
            </w:pPr>
            <w:r w:rsidRPr="00C4404D">
              <w:t>69 (96)</w:t>
            </w:r>
          </w:p>
        </w:tc>
        <w:tc>
          <w:tcPr>
            <w:tcW w:w="694" w:type="pct"/>
            <w:vAlign w:val="center"/>
          </w:tcPr>
          <w:p w14:paraId="2A2EFAFC" w14:textId="77777777" w:rsidR="00CC2233" w:rsidRPr="00C4404D" w:rsidRDefault="00CC2233" w:rsidP="00700BF0">
            <w:pPr>
              <w:pStyle w:val="TableText0"/>
              <w:jc w:val="center"/>
            </w:pPr>
            <w:r w:rsidRPr="00C4404D">
              <w:t>209 (88)</w:t>
            </w:r>
          </w:p>
        </w:tc>
        <w:tc>
          <w:tcPr>
            <w:tcW w:w="644" w:type="pct"/>
            <w:noWrap/>
            <w:vAlign w:val="center"/>
          </w:tcPr>
          <w:p w14:paraId="675F6B6A" w14:textId="77777777" w:rsidR="00CC2233" w:rsidRPr="00C4404D" w:rsidRDefault="00CC2233" w:rsidP="00700BF0">
            <w:pPr>
              <w:pStyle w:val="TableText0"/>
              <w:jc w:val="center"/>
            </w:pPr>
            <w:r w:rsidRPr="00C4404D">
              <w:t>177 (85)</w:t>
            </w:r>
          </w:p>
        </w:tc>
        <w:tc>
          <w:tcPr>
            <w:tcW w:w="839" w:type="pct"/>
            <w:vAlign w:val="center"/>
          </w:tcPr>
          <w:p w14:paraId="52A8A17D" w14:textId="77777777" w:rsidR="00CC2233" w:rsidRPr="00C4404D" w:rsidRDefault="00CC2233" w:rsidP="00700BF0">
            <w:pPr>
              <w:pStyle w:val="TableText0"/>
              <w:jc w:val="center"/>
            </w:pPr>
            <w:r w:rsidRPr="00C4404D">
              <w:t>33 (94)</w:t>
            </w:r>
          </w:p>
        </w:tc>
      </w:tr>
      <w:tr w:rsidR="00CC2233" w:rsidRPr="00C4404D" w14:paraId="48DFB735" w14:textId="77777777" w:rsidTr="00C07D9A">
        <w:trPr>
          <w:trHeight w:val="227"/>
        </w:trPr>
        <w:tc>
          <w:tcPr>
            <w:tcW w:w="1486" w:type="pct"/>
          </w:tcPr>
          <w:p w14:paraId="2DDC25CA" w14:textId="77777777" w:rsidR="00CC2233" w:rsidRPr="00C4404D" w:rsidRDefault="00CC2233" w:rsidP="00700BF0">
            <w:pPr>
              <w:pStyle w:val="TableText0"/>
            </w:pPr>
            <w:r w:rsidRPr="00C4404D">
              <w:t>Treatment-related TEAE, n (%)</w:t>
            </w:r>
          </w:p>
        </w:tc>
        <w:tc>
          <w:tcPr>
            <w:tcW w:w="644" w:type="pct"/>
            <w:vAlign w:val="center"/>
          </w:tcPr>
          <w:p w14:paraId="71A27CF6" w14:textId="77777777" w:rsidR="00CC2233" w:rsidRPr="00C4404D" w:rsidRDefault="00CC2233" w:rsidP="00700BF0">
            <w:pPr>
              <w:pStyle w:val="TableText0"/>
              <w:jc w:val="center"/>
            </w:pPr>
            <w:r w:rsidRPr="00C4404D">
              <w:t>17 (77)</w:t>
            </w:r>
          </w:p>
        </w:tc>
        <w:tc>
          <w:tcPr>
            <w:tcW w:w="693" w:type="pct"/>
            <w:vAlign w:val="center"/>
          </w:tcPr>
          <w:p w14:paraId="01A0ED9F" w14:textId="77777777" w:rsidR="00CC2233" w:rsidRPr="00C4404D" w:rsidRDefault="00CC2233" w:rsidP="00700BF0">
            <w:pPr>
              <w:pStyle w:val="TableText0"/>
              <w:jc w:val="center"/>
            </w:pPr>
            <w:r w:rsidRPr="00C4404D">
              <w:t>50 (70)</w:t>
            </w:r>
          </w:p>
        </w:tc>
        <w:tc>
          <w:tcPr>
            <w:tcW w:w="694" w:type="pct"/>
            <w:vAlign w:val="center"/>
          </w:tcPr>
          <w:p w14:paraId="15C890CE" w14:textId="77777777" w:rsidR="00CC2233" w:rsidRPr="00C4404D" w:rsidRDefault="00CC2233" w:rsidP="00700BF0">
            <w:pPr>
              <w:pStyle w:val="TableText0"/>
              <w:jc w:val="center"/>
            </w:pPr>
            <w:r w:rsidRPr="00C4404D">
              <w:t>131 (55)</w:t>
            </w:r>
          </w:p>
        </w:tc>
        <w:tc>
          <w:tcPr>
            <w:tcW w:w="644" w:type="pct"/>
            <w:noWrap/>
            <w:vAlign w:val="center"/>
          </w:tcPr>
          <w:p w14:paraId="4A67F079" w14:textId="77777777" w:rsidR="00CC2233" w:rsidRPr="00C4404D" w:rsidRDefault="00CC2233" w:rsidP="00700BF0">
            <w:pPr>
              <w:pStyle w:val="TableText0"/>
              <w:jc w:val="center"/>
            </w:pPr>
            <w:r w:rsidRPr="00C4404D">
              <w:t>94 (45)</w:t>
            </w:r>
          </w:p>
        </w:tc>
        <w:tc>
          <w:tcPr>
            <w:tcW w:w="839" w:type="pct"/>
            <w:vAlign w:val="center"/>
          </w:tcPr>
          <w:p w14:paraId="10813BCC" w14:textId="77777777" w:rsidR="00CC2233" w:rsidRPr="00C4404D" w:rsidRDefault="00CC2233" w:rsidP="00700BF0">
            <w:pPr>
              <w:pStyle w:val="TableText0"/>
              <w:jc w:val="center"/>
            </w:pPr>
            <w:r w:rsidRPr="00C4404D">
              <w:t>NR</w:t>
            </w:r>
          </w:p>
        </w:tc>
      </w:tr>
      <w:tr w:rsidR="00CC2233" w:rsidRPr="00C4404D" w14:paraId="747AFBF6" w14:textId="77777777" w:rsidTr="00C07D9A">
        <w:trPr>
          <w:trHeight w:val="227"/>
        </w:trPr>
        <w:tc>
          <w:tcPr>
            <w:tcW w:w="1486" w:type="pct"/>
          </w:tcPr>
          <w:p w14:paraId="49844BA3" w14:textId="65A0EA57" w:rsidR="00CC2233" w:rsidRPr="00C4404D" w:rsidRDefault="00CC2233" w:rsidP="00700BF0">
            <w:pPr>
              <w:pStyle w:val="TableText0"/>
            </w:pPr>
            <w:r w:rsidRPr="00C4404D">
              <w:t>TEAEs, severe (Grade ≥3), n</w:t>
            </w:r>
            <w:r w:rsidR="0096444D">
              <w:t xml:space="preserve"> </w:t>
            </w:r>
            <w:r w:rsidRPr="00C4404D">
              <w:t>(%)</w:t>
            </w:r>
          </w:p>
        </w:tc>
        <w:tc>
          <w:tcPr>
            <w:tcW w:w="644" w:type="pct"/>
            <w:vAlign w:val="center"/>
          </w:tcPr>
          <w:p w14:paraId="73568ED1" w14:textId="77777777" w:rsidR="00CC2233" w:rsidRPr="00C4404D" w:rsidRDefault="00CC2233" w:rsidP="00700BF0">
            <w:pPr>
              <w:pStyle w:val="TableText0"/>
              <w:jc w:val="center"/>
            </w:pPr>
            <w:r w:rsidRPr="00C4404D">
              <w:t>0 (0)</w:t>
            </w:r>
          </w:p>
        </w:tc>
        <w:tc>
          <w:tcPr>
            <w:tcW w:w="693" w:type="pct"/>
            <w:vAlign w:val="center"/>
          </w:tcPr>
          <w:p w14:paraId="5AB1E9A0" w14:textId="77777777" w:rsidR="00CC2233" w:rsidRPr="00C4404D" w:rsidRDefault="00CC2233" w:rsidP="00700BF0">
            <w:pPr>
              <w:pStyle w:val="TableText0"/>
              <w:jc w:val="center"/>
            </w:pPr>
            <w:r w:rsidRPr="00C4404D">
              <w:t>5 (7)</w:t>
            </w:r>
          </w:p>
        </w:tc>
        <w:tc>
          <w:tcPr>
            <w:tcW w:w="694" w:type="pct"/>
            <w:vAlign w:val="center"/>
          </w:tcPr>
          <w:p w14:paraId="765C8925" w14:textId="77777777" w:rsidR="00CC2233" w:rsidRPr="00C4404D" w:rsidRDefault="00CC2233" w:rsidP="00700BF0">
            <w:pPr>
              <w:pStyle w:val="TableText0"/>
              <w:jc w:val="center"/>
            </w:pPr>
            <w:r w:rsidRPr="00C4404D">
              <w:t>NR</w:t>
            </w:r>
          </w:p>
        </w:tc>
        <w:tc>
          <w:tcPr>
            <w:tcW w:w="644" w:type="pct"/>
            <w:noWrap/>
            <w:vAlign w:val="center"/>
          </w:tcPr>
          <w:p w14:paraId="57065178" w14:textId="77777777" w:rsidR="00CC2233" w:rsidRPr="00C4404D" w:rsidRDefault="00CC2233" w:rsidP="00700BF0">
            <w:pPr>
              <w:pStyle w:val="TableText0"/>
              <w:jc w:val="center"/>
            </w:pPr>
            <w:r w:rsidRPr="00C4404D">
              <w:t>NR</w:t>
            </w:r>
          </w:p>
        </w:tc>
        <w:tc>
          <w:tcPr>
            <w:tcW w:w="839" w:type="pct"/>
            <w:vAlign w:val="center"/>
          </w:tcPr>
          <w:p w14:paraId="28703A58" w14:textId="77777777" w:rsidR="00CC2233" w:rsidRPr="00C4404D" w:rsidRDefault="00CC2233" w:rsidP="00700BF0">
            <w:pPr>
              <w:pStyle w:val="TableText0"/>
              <w:jc w:val="center"/>
            </w:pPr>
            <w:r w:rsidRPr="00C4404D">
              <w:t>7 (20)</w:t>
            </w:r>
          </w:p>
        </w:tc>
      </w:tr>
      <w:tr w:rsidR="00CC2233" w:rsidRPr="00C4404D" w14:paraId="0DC7CEBD" w14:textId="77777777" w:rsidTr="00C07D9A">
        <w:trPr>
          <w:trHeight w:val="227"/>
        </w:trPr>
        <w:tc>
          <w:tcPr>
            <w:tcW w:w="1486" w:type="pct"/>
          </w:tcPr>
          <w:p w14:paraId="2D20FCD6" w14:textId="77777777" w:rsidR="00CC2233" w:rsidRPr="00C4404D" w:rsidRDefault="00CC2233" w:rsidP="00700BF0">
            <w:pPr>
              <w:pStyle w:val="TableText0"/>
            </w:pPr>
            <w:r w:rsidRPr="00C4404D">
              <w:t>Deaths, n (%)</w:t>
            </w:r>
          </w:p>
        </w:tc>
        <w:tc>
          <w:tcPr>
            <w:tcW w:w="644" w:type="pct"/>
            <w:vAlign w:val="center"/>
          </w:tcPr>
          <w:p w14:paraId="659069F1" w14:textId="77777777" w:rsidR="00CC2233" w:rsidRPr="00C4404D" w:rsidRDefault="00CC2233" w:rsidP="00700BF0">
            <w:pPr>
              <w:pStyle w:val="TableText0"/>
              <w:jc w:val="center"/>
            </w:pPr>
            <w:r w:rsidRPr="00C4404D">
              <w:t>0 (0)</w:t>
            </w:r>
          </w:p>
        </w:tc>
        <w:tc>
          <w:tcPr>
            <w:tcW w:w="693" w:type="pct"/>
            <w:vAlign w:val="center"/>
          </w:tcPr>
          <w:p w14:paraId="703D3856" w14:textId="77777777" w:rsidR="00CC2233" w:rsidRPr="00C4404D" w:rsidRDefault="00CC2233" w:rsidP="00700BF0">
            <w:pPr>
              <w:pStyle w:val="TableText0"/>
              <w:jc w:val="center"/>
            </w:pPr>
            <w:r w:rsidRPr="00C4404D">
              <w:t>2 (3)</w:t>
            </w:r>
          </w:p>
        </w:tc>
        <w:tc>
          <w:tcPr>
            <w:tcW w:w="694" w:type="pct"/>
            <w:vAlign w:val="center"/>
          </w:tcPr>
          <w:p w14:paraId="77A729C2" w14:textId="77777777" w:rsidR="00CC2233" w:rsidRPr="00C4404D" w:rsidRDefault="00CC2233" w:rsidP="00700BF0">
            <w:pPr>
              <w:pStyle w:val="TableText0"/>
              <w:jc w:val="center"/>
            </w:pPr>
            <w:r w:rsidRPr="00C4404D">
              <w:t>6 (3)</w:t>
            </w:r>
          </w:p>
        </w:tc>
        <w:tc>
          <w:tcPr>
            <w:tcW w:w="644" w:type="pct"/>
            <w:noWrap/>
            <w:vAlign w:val="center"/>
          </w:tcPr>
          <w:p w14:paraId="62F9F4AE" w14:textId="77777777" w:rsidR="00CC2233" w:rsidRPr="00C4404D" w:rsidRDefault="00CC2233" w:rsidP="00700BF0">
            <w:pPr>
              <w:pStyle w:val="TableText0"/>
              <w:jc w:val="center"/>
            </w:pPr>
            <w:r w:rsidRPr="00C4404D">
              <w:t>2 (1)</w:t>
            </w:r>
          </w:p>
        </w:tc>
        <w:tc>
          <w:tcPr>
            <w:tcW w:w="839" w:type="pct"/>
            <w:vAlign w:val="center"/>
          </w:tcPr>
          <w:p w14:paraId="2A2CA522" w14:textId="77777777" w:rsidR="00CC2233" w:rsidRPr="00C4404D" w:rsidRDefault="00CC2233" w:rsidP="00700BF0">
            <w:pPr>
              <w:pStyle w:val="TableText0"/>
              <w:jc w:val="center"/>
            </w:pPr>
            <w:r w:rsidRPr="00C4404D">
              <w:t>2 (6)</w:t>
            </w:r>
          </w:p>
        </w:tc>
      </w:tr>
      <w:tr w:rsidR="00CC2233" w:rsidRPr="00C4404D" w14:paraId="17F92F33" w14:textId="77777777" w:rsidTr="00C07D9A">
        <w:trPr>
          <w:trHeight w:val="227"/>
        </w:trPr>
        <w:tc>
          <w:tcPr>
            <w:tcW w:w="5000" w:type="pct"/>
            <w:gridSpan w:val="6"/>
          </w:tcPr>
          <w:p w14:paraId="4552E3C7" w14:textId="0620359B" w:rsidR="00CC2233" w:rsidRPr="00C4404D" w:rsidRDefault="00CC2233" w:rsidP="00700BF0">
            <w:pPr>
              <w:pStyle w:val="TableText0"/>
              <w:rPr>
                <w:b/>
                <w:bCs w:val="0"/>
              </w:rPr>
            </w:pPr>
            <w:r w:rsidRPr="00C4404D">
              <w:rPr>
                <w:b/>
                <w:bCs w:val="0"/>
              </w:rPr>
              <w:t>Any TEAE occurring in ≥</w:t>
            </w:r>
            <w:r w:rsidR="00A07730">
              <w:rPr>
                <w:b/>
                <w:bCs w:val="0"/>
              </w:rPr>
              <w:t xml:space="preserve"> </w:t>
            </w:r>
            <w:r w:rsidRPr="00C4404D">
              <w:rPr>
                <w:b/>
                <w:bCs w:val="0"/>
              </w:rPr>
              <w:t>10 of patients in any treatment arm/population, n (%)</w:t>
            </w:r>
          </w:p>
        </w:tc>
      </w:tr>
      <w:tr w:rsidR="00CC2233" w:rsidRPr="00C4404D" w14:paraId="6B134DD0" w14:textId="77777777" w:rsidTr="00C07D9A">
        <w:trPr>
          <w:trHeight w:val="227"/>
        </w:trPr>
        <w:tc>
          <w:tcPr>
            <w:tcW w:w="1486" w:type="pct"/>
          </w:tcPr>
          <w:p w14:paraId="4D946C34" w14:textId="77777777" w:rsidR="00CC2233" w:rsidRPr="00C4404D" w:rsidRDefault="00CC2233" w:rsidP="00700BF0">
            <w:pPr>
              <w:pStyle w:val="TableText0"/>
            </w:pPr>
            <w:r w:rsidRPr="00C4404D">
              <w:t>Diarrhoea</w:t>
            </w:r>
          </w:p>
        </w:tc>
        <w:tc>
          <w:tcPr>
            <w:tcW w:w="644" w:type="pct"/>
          </w:tcPr>
          <w:p w14:paraId="5207D4F7" w14:textId="77777777" w:rsidR="00CC2233" w:rsidRPr="00C4404D" w:rsidRDefault="00CC2233" w:rsidP="00700BF0">
            <w:pPr>
              <w:pStyle w:val="TableText0"/>
              <w:jc w:val="center"/>
            </w:pPr>
            <w:r w:rsidRPr="00C4404D">
              <w:t>4 (17)</w:t>
            </w:r>
          </w:p>
        </w:tc>
        <w:tc>
          <w:tcPr>
            <w:tcW w:w="693" w:type="pct"/>
          </w:tcPr>
          <w:p w14:paraId="1181EBEA" w14:textId="77777777" w:rsidR="00CC2233" w:rsidRPr="00C4404D" w:rsidRDefault="00CC2233" w:rsidP="00700BF0">
            <w:pPr>
              <w:pStyle w:val="TableText0"/>
              <w:jc w:val="center"/>
            </w:pPr>
            <w:r w:rsidRPr="00C4404D">
              <w:t>10 (14)</w:t>
            </w:r>
          </w:p>
        </w:tc>
        <w:tc>
          <w:tcPr>
            <w:tcW w:w="694" w:type="pct"/>
          </w:tcPr>
          <w:p w14:paraId="40441DDD" w14:textId="77777777" w:rsidR="00CC2233" w:rsidRPr="00C4404D" w:rsidRDefault="00CC2233" w:rsidP="00700BF0">
            <w:pPr>
              <w:pStyle w:val="TableText0"/>
              <w:jc w:val="center"/>
            </w:pPr>
            <w:r w:rsidRPr="00C4404D">
              <w:t>50 (21)</w:t>
            </w:r>
          </w:p>
        </w:tc>
        <w:tc>
          <w:tcPr>
            <w:tcW w:w="644" w:type="pct"/>
            <w:noWrap/>
          </w:tcPr>
          <w:p w14:paraId="103A876C" w14:textId="77777777" w:rsidR="00CC2233" w:rsidRPr="00C4404D" w:rsidRDefault="00CC2233" w:rsidP="00700BF0">
            <w:pPr>
              <w:pStyle w:val="TableText0"/>
              <w:jc w:val="center"/>
            </w:pPr>
            <w:r w:rsidRPr="00C4404D">
              <w:t>50 (24)</w:t>
            </w:r>
          </w:p>
        </w:tc>
        <w:tc>
          <w:tcPr>
            <w:tcW w:w="839" w:type="pct"/>
          </w:tcPr>
          <w:p w14:paraId="3069EF6F" w14:textId="77777777" w:rsidR="00CC2233" w:rsidRPr="00C4404D" w:rsidRDefault="00CC2233" w:rsidP="00700BF0">
            <w:pPr>
              <w:pStyle w:val="TableText0"/>
              <w:jc w:val="center"/>
            </w:pPr>
            <w:r w:rsidRPr="00C4404D">
              <w:t>9 (26)</w:t>
            </w:r>
          </w:p>
        </w:tc>
      </w:tr>
      <w:tr w:rsidR="00CC2233" w:rsidRPr="00C4404D" w14:paraId="0E1FE321" w14:textId="77777777" w:rsidTr="00C07D9A">
        <w:trPr>
          <w:trHeight w:val="227"/>
        </w:trPr>
        <w:tc>
          <w:tcPr>
            <w:tcW w:w="1486" w:type="pct"/>
          </w:tcPr>
          <w:p w14:paraId="5E9D1242" w14:textId="77777777" w:rsidR="00CC2233" w:rsidRPr="00C4404D" w:rsidRDefault="00CC2233" w:rsidP="00700BF0">
            <w:pPr>
              <w:pStyle w:val="TableText0"/>
            </w:pPr>
            <w:r w:rsidRPr="00C4404D">
              <w:t>Nausea</w:t>
            </w:r>
          </w:p>
        </w:tc>
        <w:tc>
          <w:tcPr>
            <w:tcW w:w="644" w:type="pct"/>
          </w:tcPr>
          <w:p w14:paraId="4AD244D1" w14:textId="77777777" w:rsidR="00CC2233" w:rsidRPr="00C4404D" w:rsidRDefault="00CC2233" w:rsidP="00700BF0">
            <w:pPr>
              <w:pStyle w:val="TableText0"/>
              <w:jc w:val="center"/>
            </w:pPr>
            <w:r w:rsidRPr="00C4404D">
              <w:t>6 (25)</w:t>
            </w:r>
          </w:p>
        </w:tc>
        <w:tc>
          <w:tcPr>
            <w:tcW w:w="693" w:type="pct"/>
          </w:tcPr>
          <w:p w14:paraId="7FA6F3C4" w14:textId="77777777" w:rsidR="00CC2233" w:rsidRPr="00C4404D" w:rsidRDefault="00CC2233" w:rsidP="00700BF0">
            <w:pPr>
              <w:pStyle w:val="TableText0"/>
              <w:jc w:val="center"/>
            </w:pPr>
            <w:r w:rsidRPr="00C4404D">
              <w:t>10 (14)</w:t>
            </w:r>
          </w:p>
        </w:tc>
        <w:tc>
          <w:tcPr>
            <w:tcW w:w="694" w:type="pct"/>
          </w:tcPr>
          <w:p w14:paraId="42E2B158" w14:textId="77777777" w:rsidR="00CC2233" w:rsidRPr="00C4404D" w:rsidRDefault="00CC2233" w:rsidP="00700BF0">
            <w:pPr>
              <w:pStyle w:val="TableText0"/>
              <w:jc w:val="center"/>
            </w:pPr>
            <w:r w:rsidRPr="00C4404D">
              <w:t>34 (14)</w:t>
            </w:r>
          </w:p>
        </w:tc>
        <w:tc>
          <w:tcPr>
            <w:tcW w:w="644" w:type="pct"/>
            <w:noWrap/>
          </w:tcPr>
          <w:p w14:paraId="0DBA62A6" w14:textId="77777777" w:rsidR="00CC2233" w:rsidRPr="00C4404D" w:rsidRDefault="00CC2233" w:rsidP="00700BF0">
            <w:pPr>
              <w:pStyle w:val="TableText0"/>
              <w:jc w:val="center"/>
            </w:pPr>
            <w:r w:rsidRPr="00C4404D">
              <w:t>42 (20)</w:t>
            </w:r>
          </w:p>
        </w:tc>
        <w:tc>
          <w:tcPr>
            <w:tcW w:w="839" w:type="pct"/>
          </w:tcPr>
          <w:p w14:paraId="42674070" w14:textId="77777777" w:rsidR="00CC2233" w:rsidRPr="00C4404D" w:rsidRDefault="00CC2233" w:rsidP="00700BF0">
            <w:pPr>
              <w:pStyle w:val="TableText0"/>
              <w:jc w:val="center"/>
            </w:pPr>
            <w:r w:rsidRPr="00C4404D">
              <w:t>5 (14)</w:t>
            </w:r>
          </w:p>
        </w:tc>
      </w:tr>
      <w:tr w:rsidR="00CC2233" w:rsidRPr="00C4404D" w14:paraId="1B168A1B" w14:textId="77777777" w:rsidTr="00C07D9A">
        <w:trPr>
          <w:trHeight w:val="227"/>
        </w:trPr>
        <w:tc>
          <w:tcPr>
            <w:tcW w:w="1486" w:type="pct"/>
          </w:tcPr>
          <w:p w14:paraId="785925AD" w14:textId="77777777" w:rsidR="00CC2233" w:rsidRPr="00C4404D" w:rsidRDefault="00CC2233" w:rsidP="00700BF0">
            <w:pPr>
              <w:pStyle w:val="TableText0"/>
            </w:pPr>
            <w:r w:rsidRPr="00C4404D">
              <w:t>Vomiting</w:t>
            </w:r>
          </w:p>
        </w:tc>
        <w:tc>
          <w:tcPr>
            <w:tcW w:w="644" w:type="pct"/>
          </w:tcPr>
          <w:p w14:paraId="0F076300" w14:textId="77777777" w:rsidR="00CC2233" w:rsidRPr="00C4404D" w:rsidRDefault="00CC2233" w:rsidP="00700BF0">
            <w:pPr>
              <w:pStyle w:val="TableText0"/>
              <w:jc w:val="center"/>
            </w:pPr>
            <w:r w:rsidRPr="00C4404D">
              <w:t>1 (4)</w:t>
            </w:r>
          </w:p>
        </w:tc>
        <w:tc>
          <w:tcPr>
            <w:tcW w:w="693" w:type="pct"/>
          </w:tcPr>
          <w:p w14:paraId="296DA1F0" w14:textId="77777777" w:rsidR="00CC2233" w:rsidRPr="00C4404D" w:rsidRDefault="00CC2233" w:rsidP="00700BF0">
            <w:pPr>
              <w:pStyle w:val="TableText0"/>
              <w:jc w:val="center"/>
            </w:pPr>
            <w:r w:rsidRPr="00C4404D">
              <w:t>4 (6)</w:t>
            </w:r>
          </w:p>
        </w:tc>
        <w:tc>
          <w:tcPr>
            <w:tcW w:w="694" w:type="pct"/>
          </w:tcPr>
          <w:p w14:paraId="6DEA2ABC" w14:textId="77777777" w:rsidR="00CC2233" w:rsidRPr="00C4404D" w:rsidRDefault="00CC2233" w:rsidP="00700BF0">
            <w:pPr>
              <w:pStyle w:val="TableText0"/>
              <w:jc w:val="center"/>
            </w:pPr>
            <w:r w:rsidRPr="00C4404D">
              <w:t>22 (9)</w:t>
            </w:r>
          </w:p>
        </w:tc>
        <w:tc>
          <w:tcPr>
            <w:tcW w:w="644" w:type="pct"/>
            <w:noWrap/>
          </w:tcPr>
          <w:p w14:paraId="4B765120" w14:textId="77777777" w:rsidR="00CC2233" w:rsidRPr="00C4404D" w:rsidRDefault="00CC2233" w:rsidP="00700BF0">
            <w:pPr>
              <w:pStyle w:val="TableText0"/>
              <w:jc w:val="center"/>
            </w:pPr>
            <w:r w:rsidRPr="00C4404D">
              <w:t>23 (11)</w:t>
            </w:r>
          </w:p>
        </w:tc>
        <w:tc>
          <w:tcPr>
            <w:tcW w:w="839" w:type="pct"/>
          </w:tcPr>
          <w:p w14:paraId="151328F2" w14:textId="77777777" w:rsidR="00CC2233" w:rsidRPr="00C4404D" w:rsidRDefault="00CC2233" w:rsidP="00700BF0">
            <w:pPr>
              <w:pStyle w:val="TableText0"/>
              <w:jc w:val="center"/>
            </w:pPr>
            <w:r w:rsidRPr="00C4404D">
              <w:t>3 (9)</w:t>
            </w:r>
          </w:p>
        </w:tc>
      </w:tr>
      <w:tr w:rsidR="00CC2233" w:rsidRPr="00C4404D" w14:paraId="0469C845" w14:textId="77777777" w:rsidTr="00C07D9A">
        <w:trPr>
          <w:trHeight w:val="227"/>
        </w:trPr>
        <w:tc>
          <w:tcPr>
            <w:tcW w:w="1486" w:type="pct"/>
          </w:tcPr>
          <w:p w14:paraId="4ABCFE82" w14:textId="77777777" w:rsidR="00CC2233" w:rsidRPr="00C4404D" w:rsidRDefault="00CC2233" w:rsidP="00700BF0">
            <w:pPr>
              <w:pStyle w:val="TableText0"/>
            </w:pPr>
            <w:r w:rsidRPr="00C4404D">
              <w:t>Constipation</w:t>
            </w:r>
          </w:p>
        </w:tc>
        <w:tc>
          <w:tcPr>
            <w:tcW w:w="644" w:type="pct"/>
          </w:tcPr>
          <w:p w14:paraId="4F7C8CC1" w14:textId="77777777" w:rsidR="00CC2233" w:rsidRPr="00C4404D" w:rsidRDefault="00CC2233" w:rsidP="00700BF0">
            <w:pPr>
              <w:pStyle w:val="TableText0"/>
              <w:jc w:val="center"/>
            </w:pPr>
            <w:r w:rsidRPr="00C4404D">
              <w:t>4 (17)</w:t>
            </w:r>
          </w:p>
        </w:tc>
        <w:tc>
          <w:tcPr>
            <w:tcW w:w="693" w:type="pct"/>
          </w:tcPr>
          <w:p w14:paraId="7830A58C" w14:textId="77777777" w:rsidR="00CC2233" w:rsidRPr="00C4404D" w:rsidRDefault="00CC2233" w:rsidP="00700BF0">
            <w:pPr>
              <w:pStyle w:val="TableText0"/>
              <w:jc w:val="center"/>
            </w:pPr>
            <w:r w:rsidRPr="00C4404D">
              <w:t>9 (13)</w:t>
            </w:r>
          </w:p>
        </w:tc>
        <w:tc>
          <w:tcPr>
            <w:tcW w:w="694" w:type="pct"/>
          </w:tcPr>
          <w:p w14:paraId="7D4BD91A" w14:textId="77777777" w:rsidR="00CC2233" w:rsidRPr="00C4404D" w:rsidRDefault="00CC2233" w:rsidP="00700BF0">
            <w:pPr>
              <w:pStyle w:val="TableText0"/>
              <w:jc w:val="center"/>
            </w:pPr>
            <w:r w:rsidRPr="00C4404D">
              <w:t>1 (0.4)</w:t>
            </w:r>
          </w:p>
        </w:tc>
        <w:tc>
          <w:tcPr>
            <w:tcW w:w="644" w:type="pct"/>
            <w:noWrap/>
          </w:tcPr>
          <w:p w14:paraId="61D4B45A" w14:textId="77777777" w:rsidR="00CC2233" w:rsidRPr="00C4404D" w:rsidRDefault="00CC2233" w:rsidP="00700BF0">
            <w:pPr>
              <w:pStyle w:val="TableText0"/>
              <w:jc w:val="center"/>
            </w:pPr>
            <w:r w:rsidRPr="00C4404D">
              <w:t>6 (3)</w:t>
            </w:r>
          </w:p>
        </w:tc>
        <w:tc>
          <w:tcPr>
            <w:tcW w:w="839" w:type="pct"/>
          </w:tcPr>
          <w:p w14:paraId="3817CEEA" w14:textId="77777777" w:rsidR="00CC2233" w:rsidRPr="00C4404D" w:rsidRDefault="00CC2233" w:rsidP="00700BF0">
            <w:pPr>
              <w:pStyle w:val="TableText0"/>
              <w:jc w:val="center"/>
            </w:pPr>
            <w:r w:rsidRPr="00C4404D">
              <w:t>NR</w:t>
            </w:r>
          </w:p>
        </w:tc>
      </w:tr>
      <w:tr w:rsidR="00CC2233" w:rsidRPr="00C4404D" w14:paraId="6A3CA95F" w14:textId="77777777" w:rsidTr="00C07D9A">
        <w:trPr>
          <w:trHeight w:val="227"/>
        </w:trPr>
        <w:tc>
          <w:tcPr>
            <w:tcW w:w="1486" w:type="pct"/>
          </w:tcPr>
          <w:p w14:paraId="6934A9B3" w14:textId="77777777" w:rsidR="00CC2233" w:rsidRPr="00C4404D" w:rsidRDefault="00CC2233" w:rsidP="00700BF0">
            <w:pPr>
              <w:pStyle w:val="TableText0"/>
            </w:pPr>
            <w:r w:rsidRPr="00C4404D">
              <w:t>Depression</w:t>
            </w:r>
          </w:p>
        </w:tc>
        <w:tc>
          <w:tcPr>
            <w:tcW w:w="644" w:type="pct"/>
          </w:tcPr>
          <w:p w14:paraId="245F1F6E" w14:textId="77777777" w:rsidR="00CC2233" w:rsidRPr="00C4404D" w:rsidRDefault="00CC2233" w:rsidP="00700BF0">
            <w:pPr>
              <w:pStyle w:val="TableText0"/>
              <w:jc w:val="center"/>
            </w:pPr>
            <w:r w:rsidRPr="00C4404D">
              <w:t>0 (0)</w:t>
            </w:r>
          </w:p>
        </w:tc>
        <w:tc>
          <w:tcPr>
            <w:tcW w:w="693" w:type="pct"/>
          </w:tcPr>
          <w:p w14:paraId="70458BE9" w14:textId="77777777" w:rsidR="00CC2233" w:rsidRPr="00C4404D" w:rsidRDefault="00CC2233" w:rsidP="00700BF0">
            <w:pPr>
              <w:pStyle w:val="TableText0"/>
              <w:jc w:val="center"/>
            </w:pPr>
            <w:r w:rsidRPr="00C4404D">
              <w:t>0 (0)</w:t>
            </w:r>
          </w:p>
        </w:tc>
        <w:tc>
          <w:tcPr>
            <w:tcW w:w="694" w:type="pct"/>
          </w:tcPr>
          <w:p w14:paraId="37155864" w14:textId="77777777" w:rsidR="00CC2233" w:rsidRPr="00C4404D" w:rsidRDefault="00CC2233" w:rsidP="00700BF0">
            <w:pPr>
              <w:pStyle w:val="TableText0"/>
              <w:jc w:val="center"/>
            </w:pPr>
            <w:r w:rsidRPr="00C4404D">
              <w:t>9 (4)</w:t>
            </w:r>
          </w:p>
        </w:tc>
        <w:tc>
          <w:tcPr>
            <w:tcW w:w="644" w:type="pct"/>
            <w:noWrap/>
          </w:tcPr>
          <w:p w14:paraId="48ECB9C9" w14:textId="77777777" w:rsidR="00CC2233" w:rsidRPr="00C4404D" w:rsidRDefault="00CC2233" w:rsidP="00700BF0">
            <w:pPr>
              <w:pStyle w:val="TableText0"/>
              <w:jc w:val="center"/>
            </w:pPr>
            <w:r w:rsidRPr="00C4404D">
              <w:t>8 (4)</w:t>
            </w:r>
          </w:p>
        </w:tc>
        <w:tc>
          <w:tcPr>
            <w:tcW w:w="839" w:type="pct"/>
          </w:tcPr>
          <w:p w14:paraId="3CA03C78" w14:textId="77777777" w:rsidR="00CC2233" w:rsidRPr="00C4404D" w:rsidRDefault="00CC2233" w:rsidP="00700BF0">
            <w:pPr>
              <w:pStyle w:val="TableText0"/>
              <w:jc w:val="center"/>
            </w:pPr>
            <w:r w:rsidRPr="00C4404D">
              <w:t>6 (17)</w:t>
            </w:r>
          </w:p>
        </w:tc>
      </w:tr>
      <w:tr w:rsidR="00CC2233" w:rsidRPr="00C4404D" w14:paraId="59B8465C" w14:textId="77777777" w:rsidTr="00C07D9A">
        <w:trPr>
          <w:trHeight w:val="227"/>
        </w:trPr>
        <w:tc>
          <w:tcPr>
            <w:tcW w:w="1486" w:type="pct"/>
          </w:tcPr>
          <w:p w14:paraId="343AA34A" w14:textId="77777777" w:rsidR="00CC2233" w:rsidRPr="00C4404D" w:rsidRDefault="00CC2233" w:rsidP="00700BF0">
            <w:pPr>
              <w:pStyle w:val="TableText0"/>
            </w:pPr>
            <w:r w:rsidRPr="00C4404D">
              <w:t>Injection site pain</w:t>
            </w:r>
          </w:p>
        </w:tc>
        <w:tc>
          <w:tcPr>
            <w:tcW w:w="644" w:type="pct"/>
          </w:tcPr>
          <w:p w14:paraId="48971870" w14:textId="77777777" w:rsidR="00CC2233" w:rsidRPr="00C4404D" w:rsidRDefault="00CC2233" w:rsidP="00700BF0">
            <w:pPr>
              <w:pStyle w:val="TableText0"/>
              <w:jc w:val="center"/>
            </w:pPr>
            <w:r w:rsidRPr="00C4404D">
              <w:t>11 (45.8)</w:t>
            </w:r>
          </w:p>
        </w:tc>
        <w:tc>
          <w:tcPr>
            <w:tcW w:w="693" w:type="pct"/>
          </w:tcPr>
          <w:p w14:paraId="67915042" w14:textId="77777777" w:rsidR="00CC2233" w:rsidRPr="00C4404D" w:rsidRDefault="00CC2233" w:rsidP="00700BF0">
            <w:pPr>
              <w:pStyle w:val="TableText0"/>
              <w:jc w:val="center"/>
            </w:pPr>
            <w:r w:rsidRPr="00C4404D">
              <w:t>27 (37.5)</w:t>
            </w:r>
          </w:p>
        </w:tc>
        <w:tc>
          <w:tcPr>
            <w:tcW w:w="694" w:type="pct"/>
          </w:tcPr>
          <w:p w14:paraId="4CC0F06F" w14:textId="77777777" w:rsidR="00CC2233" w:rsidRPr="00C4404D" w:rsidRDefault="00CC2233" w:rsidP="00700BF0">
            <w:pPr>
              <w:pStyle w:val="TableText0"/>
              <w:jc w:val="center"/>
            </w:pPr>
            <w:r w:rsidRPr="00C4404D">
              <w:t>3 (1)</w:t>
            </w:r>
          </w:p>
        </w:tc>
        <w:tc>
          <w:tcPr>
            <w:tcW w:w="644" w:type="pct"/>
            <w:noWrap/>
          </w:tcPr>
          <w:p w14:paraId="20D4A0DA" w14:textId="77777777" w:rsidR="00CC2233" w:rsidRPr="00C4404D" w:rsidRDefault="00CC2233" w:rsidP="00700BF0">
            <w:pPr>
              <w:pStyle w:val="TableText0"/>
              <w:jc w:val="center"/>
            </w:pPr>
            <w:r w:rsidRPr="00C4404D">
              <w:t>6 (3)</w:t>
            </w:r>
          </w:p>
        </w:tc>
        <w:tc>
          <w:tcPr>
            <w:tcW w:w="839" w:type="pct"/>
          </w:tcPr>
          <w:p w14:paraId="182B8C76" w14:textId="77777777" w:rsidR="00CC2233" w:rsidRPr="00C4404D" w:rsidRDefault="00CC2233" w:rsidP="00700BF0">
            <w:pPr>
              <w:pStyle w:val="TableText0"/>
              <w:jc w:val="center"/>
            </w:pPr>
            <w:r w:rsidRPr="00C4404D">
              <w:t>NR</w:t>
            </w:r>
          </w:p>
        </w:tc>
      </w:tr>
    </w:tbl>
    <w:p w14:paraId="2C1AE749" w14:textId="77777777" w:rsidR="006F47F9" w:rsidRDefault="00CC2233" w:rsidP="00CC2233">
      <w:pPr>
        <w:rPr>
          <w:rFonts w:ascii="Arial Narrow" w:hAnsi="Arial Narrow"/>
          <w:sz w:val="18"/>
          <w:szCs w:val="18"/>
        </w:rPr>
      </w:pPr>
      <w:r w:rsidRPr="00C4404D">
        <w:rPr>
          <w:rFonts w:ascii="Arial Narrow" w:hAnsi="Arial Narrow"/>
          <w:sz w:val="18"/>
          <w:szCs w:val="18"/>
        </w:rPr>
        <w:t xml:space="preserve">Source: Table 2-44, p131-132 of the submission. </w:t>
      </w:r>
    </w:p>
    <w:p w14:paraId="209ABA45" w14:textId="3AE20292" w:rsidR="00CC2233" w:rsidRPr="00C4404D" w:rsidRDefault="006F47F9" w:rsidP="00CC2233">
      <w:pPr>
        <w:rPr>
          <w:rFonts w:ascii="Arial Narrow" w:hAnsi="Arial Narrow"/>
          <w:sz w:val="18"/>
          <w:szCs w:val="18"/>
        </w:rPr>
      </w:pPr>
      <w:r>
        <w:rPr>
          <w:rFonts w:ascii="Arial Narrow" w:hAnsi="Arial Narrow"/>
          <w:sz w:val="18"/>
          <w:szCs w:val="18"/>
        </w:rPr>
        <w:t xml:space="preserve">LEN = lenacapavir; </w:t>
      </w:r>
      <w:r w:rsidR="00CC2233" w:rsidRPr="00C4404D">
        <w:rPr>
          <w:rFonts w:ascii="Arial Narrow" w:hAnsi="Arial Narrow"/>
          <w:sz w:val="18"/>
          <w:szCs w:val="18"/>
        </w:rPr>
        <w:t>NR = not reported</w:t>
      </w:r>
      <w:r>
        <w:rPr>
          <w:rFonts w:ascii="Arial Narrow" w:hAnsi="Arial Narrow"/>
          <w:sz w:val="18"/>
          <w:szCs w:val="18"/>
        </w:rPr>
        <w:t>; OBR = optimised background regimen;</w:t>
      </w:r>
      <w:r w:rsidR="00CC2233" w:rsidRPr="00C4404D">
        <w:rPr>
          <w:rFonts w:ascii="Arial Narrow" w:hAnsi="Arial Narrow"/>
          <w:sz w:val="18"/>
          <w:szCs w:val="18"/>
        </w:rPr>
        <w:t xml:space="preserve"> TEAE = treatment emergent adverse events</w:t>
      </w:r>
      <w:r>
        <w:rPr>
          <w:rFonts w:ascii="Arial Narrow" w:hAnsi="Arial Narrow"/>
          <w:sz w:val="18"/>
          <w:szCs w:val="18"/>
        </w:rPr>
        <w:t xml:space="preserve">; </w:t>
      </w:r>
    </w:p>
    <w:p w14:paraId="6AE8B903" w14:textId="77777777" w:rsidR="00CC2233" w:rsidRPr="00C4404D" w:rsidRDefault="00CC2233" w:rsidP="00CC2233">
      <w:pPr>
        <w:rPr>
          <w:rFonts w:ascii="Arial Narrow" w:hAnsi="Arial Narrow"/>
          <w:sz w:val="18"/>
          <w:szCs w:val="18"/>
        </w:rPr>
      </w:pPr>
    </w:p>
    <w:p w14:paraId="63301AB7" w14:textId="384307F8" w:rsidR="00FE7F90" w:rsidRPr="00707F66" w:rsidRDefault="00CC2233" w:rsidP="00260BB1">
      <w:pPr>
        <w:pStyle w:val="3-BodyText"/>
        <w:rPr>
          <w:color w:val="000000" w:themeColor="text1"/>
        </w:rPr>
      </w:pPr>
      <w:r w:rsidRPr="007F3195">
        <w:t xml:space="preserve">The submission considered that, overall, the rate of reporting of treatment emergent adverse events </w:t>
      </w:r>
      <w:r w:rsidR="00047A17" w:rsidRPr="007F3195">
        <w:t>(</w:t>
      </w:r>
      <w:r w:rsidRPr="007F3195">
        <w:t>TEAEs</w:t>
      </w:r>
      <w:r w:rsidR="00047A17" w:rsidRPr="007F3195">
        <w:t>)</w:t>
      </w:r>
      <w:r w:rsidRPr="007F3195">
        <w:t xml:space="preserve">, TEAEs leading to discontinuation and specific TEAEs was comparable across the studies. Overall, </w:t>
      </w:r>
      <w:r w:rsidR="0096444D">
        <w:t xml:space="preserve">the evaluation considered that </w:t>
      </w:r>
      <w:r w:rsidRPr="007F3195">
        <w:t>given the small sample size of CAPELLA, it is possible CAPELLA d</w:t>
      </w:r>
      <w:r w:rsidR="00047A17" w:rsidRPr="007F3195">
        <w:t>id</w:t>
      </w:r>
      <w:r w:rsidRPr="007F3195">
        <w:t xml:space="preserve"> not capture the true risk of adverse events, but this may to some extent be mitigated by the extended follow-up and exposure to lenacapavir. The proportion of patients reporting any TEAE was higher in CAPELLA (50/72, 70%) than in any of the placebo + OBR arms of the included comparator trials (45-55%) though the proportion reporting any serious TEAE was lower in CAPELLA (10/72, 13.9%) than in the placebo + OBR arms of included comparator trials (19-28.7%). This could be related to CAPELLA using newer ARVs as part of the OBR.</w:t>
      </w:r>
    </w:p>
    <w:p w14:paraId="16E2AF2F" w14:textId="77777777" w:rsidR="00CC2233" w:rsidRPr="00C4404D" w:rsidRDefault="00CC2233" w:rsidP="00CC2233">
      <w:pPr>
        <w:pStyle w:val="4-SubsectionHeading"/>
      </w:pPr>
      <w:bookmarkStart w:id="51" w:name="_Toc22897643"/>
      <w:bookmarkStart w:id="52" w:name="_Toc114048771"/>
      <w:r w:rsidRPr="00C4404D">
        <w:lastRenderedPageBreak/>
        <w:t>Benefits/harms</w:t>
      </w:r>
      <w:bookmarkEnd w:id="51"/>
      <w:bookmarkEnd w:id="52"/>
    </w:p>
    <w:p w14:paraId="774D7B74" w14:textId="5BE03BBB" w:rsidR="00CC2233" w:rsidRPr="00A978CE" w:rsidRDefault="00CC2233" w:rsidP="00CC2233">
      <w:pPr>
        <w:pStyle w:val="3-BodyText"/>
        <w:rPr>
          <w:rStyle w:val="CommentReference"/>
        </w:rPr>
      </w:pPr>
      <w:r w:rsidRPr="00C4404D">
        <w:t xml:space="preserve">A summary of the comparative benefit and harms of lenacapavir + failing therapy and placebo + failing therapy </w:t>
      </w:r>
      <w:r w:rsidR="0044357F">
        <w:t>is</w:t>
      </w:r>
      <w:r w:rsidRPr="00C4404D">
        <w:t xml:space="preserve"> presented in </w:t>
      </w:r>
      <w:r w:rsidRPr="00C4404D">
        <w:fldChar w:fldCharType="begin"/>
      </w:r>
      <w:r w:rsidRPr="00C4404D">
        <w:instrText xml:space="preserve"> REF _Ref104805037 \h </w:instrText>
      </w:r>
      <w:r w:rsidRPr="00C4404D">
        <w:fldChar w:fldCharType="separate"/>
      </w:r>
      <w:r w:rsidR="0050086F" w:rsidRPr="00C4404D">
        <w:t xml:space="preserve">Table </w:t>
      </w:r>
      <w:r w:rsidR="0050086F">
        <w:rPr>
          <w:noProof/>
        </w:rPr>
        <w:t>10</w:t>
      </w:r>
      <w:r w:rsidRPr="00C4404D">
        <w:fldChar w:fldCharType="end"/>
      </w:r>
      <w:r w:rsidRPr="00C4404D">
        <w:t xml:space="preserve">. </w:t>
      </w:r>
      <w:r w:rsidRPr="00A978CE">
        <w:t xml:space="preserve">These were based on the 14-day </w:t>
      </w:r>
      <w:r w:rsidR="002C7DDF">
        <w:t xml:space="preserve">randomised period </w:t>
      </w:r>
      <w:r w:rsidRPr="00A978CE">
        <w:t>of the CAPELLA trial.</w:t>
      </w:r>
    </w:p>
    <w:p w14:paraId="7285F5C4" w14:textId="6EA426EB" w:rsidR="00CC2233" w:rsidRPr="00C4404D" w:rsidRDefault="00CC2233" w:rsidP="00CC2233">
      <w:pPr>
        <w:pStyle w:val="Caption"/>
        <w:rPr>
          <w:szCs w:val="24"/>
        </w:rPr>
      </w:pPr>
      <w:bookmarkStart w:id="53" w:name="_Ref104805037"/>
      <w:r w:rsidRPr="00C4404D">
        <w:t xml:space="preserve">Table </w:t>
      </w:r>
      <w:fldSimple w:instr=" SEQ Table \* ARABIC ">
        <w:r w:rsidR="0050086F">
          <w:rPr>
            <w:noProof/>
          </w:rPr>
          <w:t>10</w:t>
        </w:r>
      </w:fldSimple>
      <w:bookmarkEnd w:id="53"/>
      <w:r w:rsidRPr="00C4404D">
        <w:t xml:space="preserve">: </w:t>
      </w:r>
      <w:r w:rsidRPr="00C4404D">
        <w:rPr>
          <w:rStyle w:val="CommentReference"/>
          <w:b/>
          <w:szCs w:val="24"/>
        </w:rPr>
        <w:t>Summary of comparative benefits and harms for lenacapavir + failing regimen versus placebo + failing regimen</w:t>
      </w:r>
    </w:p>
    <w:tbl>
      <w:tblPr>
        <w:tblW w:w="5000" w:type="pct"/>
        <w:tblLayout w:type="fixed"/>
        <w:tblCellMar>
          <w:left w:w="28" w:type="dxa"/>
          <w:right w:w="28" w:type="dxa"/>
        </w:tblCellMar>
        <w:tblLook w:val="04A0" w:firstRow="1" w:lastRow="0" w:firstColumn="1" w:lastColumn="0" w:noHBand="0" w:noVBand="1"/>
      </w:tblPr>
      <w:tblGrid>
        <w:gridCol w:w="2425"/>
        <w:gridCol w:w="1347"/>
        <w:gridCol w:w="1892"/>
        <w:gridCol w:w="904"/>
        <w:gridCol w:w="902"/>
        <w:gridCol w:w="1547"/>
      </w:tblGrid>
      <w:tr w:rsidR="00CC2233" w:rsidRPr="00C4404D" w14:paraId="067C5474" w14:textId="77777777" w:rsidTr="00700BF0">
        <w:trPr>
          <w:cantSplit/>
          <w:trHeight w:val="150"/>
          <w:tblHeader/>
        </w:trPr>
        <w:tc>
          <w:tcPr>
            <w:tcW w:w="134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325E4F" w14:textId="77777777" w:rsidR="00CC2233" w:rsidRPr="00C4404D" w:rsidRDefault="00CC2233" w:rsidP="00700BF0">
            <w:pPr>
              <w:pStyle w:val="In-tableHeading"/>
              <w:rPr>
                <w:lang w:val="en-AU"/>
              </w:rPr>
            </w:pPr>
            <w:r w:rsidRPr="00C4404D">
              <w:rPr>
                <w:lang w:val="en-AU"/>
              </w:rPr>
              <w:t>Trial</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14:paraId="5F58CB26" w14:textId="77777777" w:rsidR="00CC2233" w:rsidRPr="00C4404D" w:rsidRDefault="00CC2233" w:rsidP="00700BF0">
            <w:pPr>
              <w:pStyle w:val="In-tableHeading"/>
              <w:jc w:val="center"/>
              <w:rPr>
                <w:lang w:val="en-AU"/>
              </w:rPr>
            </w:pPr>
            <w:r w:rsidRPr="00C4404D">
              <w:rPr>
                <w:lang w:val="en-AU"/>
              </w:rPr>
              <w:t>LEN + failing regimen</w:t>
            </w:r>
          </w:p>
          <w:p w14:paraId="6C765176" w14:textId="77777777" w:rsidR="00CC2233" w:rsidRPr="00C4404D" w:rsidRDefault="00CC2233" w:rsidP="00700BF0">
            <w:pPr>
              <w:pStyle w:val="In-tableHeading"/>
              <w:jc w:val="center"/>
              <w:rPr>
                <w:lang w:val="en-AU"/>
              </w:rPr>
            </w:pPr>
            <w:r w:rsidRPr="00C4404D">
              <w:rPr>
                <w:lang w:val="en-AU"/>
              </w:rPr>
              <w:t>n/N (%)</w:t>
            </w:r>
          </w:p>
        </w:tc>
        <w:tc>
          <w:tcPr>
            <w:tcW w:w="1049" w:type="pct"/>
            <w:vMerge w:val="restart"/>
            <w:tcBorders>
              <w:top w:val="single" w:sz="4" w:space="0" w:color="auto"/>
              <w:left w:val="single" w:sz="4" w:space="0" w:color="auto"/>
              <w:right w:val="single" w:sz="4" w:space="0" w:color="auto"/>
            </w:tcBorders>
            <w:vAlign w:val="center"/>
          </w:tcPr>
          <w:p w14:paraId="122001D9" w14:textId="77777777" w:rsidR="00CC2233" w:rsidRPr="00C4404D" w:rsidRDefault="00CC2233" w:rsidP="00700BF0">
            <w:pPr>
              <w:pStyle w:val="In-tableHeading"/>
              <w:jc w:val="center"/>
              <w:rPr>
                <w:lang w:val="en-AU"/>
              </w:rPr>
            </w:pPr>
            <w:r w:rsidRPr="00C4404D">
              <w:rPr>
                <w:lang w:val="en-AU"/>
              </w:rPr>
              <w:t>PBO + failing regimen</w:t>
            </w:r>
          </w:p>
          <w:p w14:paraId="70F39D8C" w14:textId="77777777" w:rsidR="00CC2233" w:rsidRPr="00C4404D" w:rsidRDefault="00CC2233" w:rsidP="00700BF0">
            <w:pPr>
              <w:pStyle w:val="In-tableHeading"/>
              <w:jc w:val="center"/>
              <w:rPr>
                <w:lang w:val="en-AU"/>
              </w:rPr>
            </w:pPr>
            <w:r w:rsidRPr="00C4404D">
              <w:rPr>
                <w:lang w:val="en-AU"/>
              </w:rPr>
              <w:t>n/N (%)</w:t>
            </w:r>
          </w:p>
        </w:tc>
        <w:tc>
          <w:tcPr>
            <w:tcW w:w="1001" w:type="pct"/>
            <w:gridSpan w:val="2"/>
            <w:tcBorders>
              <w:top w:val="single" w:sz="4" w:space="0" w:color="auto"/>
              <w:left w:val="single" w:sz="4" w:space="0" w:color="auto"/>
              <w:bottom w:val="single" w:sz="4" w:space="0" w:color="auto"/>
              <w:right w:val="single" w:sz="4" w:space="0" w:color="auto"/>
            </w:tcBorders>
            <w:vAlign w:val="center"/>
          </w:tcPr>
          <w:p w14:paraId="4CEFFB25" w14:textId="77777777" w:rsidR="00CC2233" w:rsidRPr="00C4404D" w:rsidRDefault="00CC2233" w:rsidP="00700BF0">
            <w:pPr>
              <w:pStyle w:val="In-tableHeading"/>
              <w:jc w:val="center"/>
              <w:rPr>
                <w:lang w:val="en-AU"/>
              </w:rPr>
            </w:pPr>
            <w:r w:rsidRPr="00C4404D">
              <w:rPr>
                <w:lang w:val="en-AU"/>
              </w:rPr>
              <w:t>Event rate/100 patients per 14 days</w:t>
            </w:r>
          </w:p>
        </w:tc>
        <w:tc>
          <w:tcPr>
            <w:tcW w:w="858" w:type="pct"/>
            <w:vMerge w:val="restart"/>
            <w:tcBorders>
              <w:top w:val="single" w:sz="4" w:space="0" w:color="auto"/>
              <w:left w:val="single" w:sz="4" w:space="0" w:color="auto"/>
              <w:bottom w:val="single" w:sz="4" w:space="0" w:color="auto"/>
              <w:right w:val="single" w:sz="4" w:space="0" w:color="auto"/>
            </w:tcBorders>
            <w:vAlign w:val="center"/>
          </w:tcPr>
          <w:p w14:paraId="2D829AE0" w14:textId="77777777" w:rsidR="00CC2233" w:rsidRPr="00C4404D" w:rsidRDefault="00CC2233" w:rsidP="00700BF0">
            <w:pPr>
              <w:pStyle w:val="In-tableHeading"/>
              <w:jc w:val="center"/>
              <w:rPr>
                <w:lang w:val="en-AU"/>
              </w:rPr>
            </w:pPr>
            <w:r w:rsidRPr="00C4404D">
              <w:rPr>
                <w:lang w:val="en-AU"/>
              </w:rPr>
              <w:t>Risk difference (95% CI)</w:t>
            </w:r>
          </w:p>
        </w:tc>
      </w:tr>
      <w:tr w:rsidR="00CC2233" w:rsidRPr="00C4404D" w14:paraId="628A1431" w14:textId="77777777" w:rsidTr="00700BF0">
        <w:trPr>
          <w:cantSplit/>
          <w:trHeight w:val="315"/>
        </w:trPr>
        <w:tc>
          <w:tcPr>
            <w:tcW w:w="134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AC087C8" w14:textId="77777777" w:rsidR="00CC2233" w:rsidRPr="00C4404D" w:rsidRDefault="00CC2233" w:rsidP="00700BF0">
            <w:pPr>
              <w:pStyle w:val="In-tableHeading"/>
              <w:jc w:val="center"/>
              <w:rPr>
                <w:lang w:val="en-AU"/>
              </w:rPr>
            </w:pPr>
          </w:p>
        </w:tc>
        <w:tc>
          <w:tcPr>
            <w:tcW w:w="747" w:type="pct"/>
            <w:vMerge/>
            <w:tcBorders>
              <w:top w:val="single" w:sz="4" w:space="0" w:color="auto"/>
              <w:left w:val="single" w:sz="4" w:space="0" w:color="auto"/>
              <w:bottom w:val="single" w:sz="4" w:space="0" w:color="auto"/>
              <w:right w:val="single" w:sz="4" w:space="0" w:color="auto"/>
            </w:tcBorders>
            <w:vAlign w:val="center"/>
          </w:tcPr>
          <w:p w14:paraId="7725F2D9" w14:textId="77777777" w:rsidR="00CC2233" w:rsidRPr="00C4404D" w:rsidRDefault="00CC2233" w:rsidP="00700BF0">
            <w:pPr>
              <w:pStyle w:val="In-tableHeading"/>
              <w:jc w:val="center"/>
              <w:rPr>
                <w:lang w:val="en-AU"/>
              </w:rPr>
            </w:pPr>
          </w:p>
        </w:tc>
        <w:tc>
          <w:tcPr>
            <w:tcW w:w="1049" w:type="pct"/>
            <w:vMerge/>
            <w:tcBorders>
              <w:left w:val="single" w:sz="4" w:space="0" w:color="auto"/>
              <w:bottom w:val="single" w:sz="4" w:space="0" w:color="auto"/>
              <w:right w:val="single" w:sz="4" w:space="0" w:color="auto"/>
            </w:tcBorders>
            <w:vAlign w:val="center"/>
          </w:tcPr>
          <w:p w14:paraId="05E25DF4" w14:textId="77777777" w:rsidR="00CC2233" w:rsidRPr="00C4404D" w:rsidRDefault="00CC2233" w:rsidP="00700BF0">
            <w:pPr>
              <w:pStyle w:val="In-tableHeading"/>
              <w:jc w:val="center"/>
              <w:rPr>
                <w:lang w:val="en-AU"/>
              </w:rPr>
            </w:pPr>
          </w:p>
        </w:tc>
        <w:tc>
          <w:tcPr>
            <w:tcW w:w="501" w:type="pct"/>
            <w:tcBorders>
              <w:top w:val="single" w:sz="4" w:space="0" w:color="auto"/>
              <w:left w:val="single" w:sz="4" w:space="0" w:color="auto"/>
              <w:bottom w:val="single" w:sz="4" w:space="0" w:color="auto"/>
              <w:right w:val="single" w:sz="4" w:space="0" w:color="auto"/>
            </w:tcBorders>
            <w:vAlign w:val="center"/>
          </w:tcPr>
          <w:p w14:paraId="583B1B80" w14:textId="77777777" w:rsidR="00CC2233" w:rsidRPr="00C4404D" w:rsidRDefault="00CC2233" w:rsidP="00700BF0">
            <w:pPr>
              <w:pStyle w:val="In-tableHeading"/>
              <w:jc w:val="center"/>
              <w:rPr>
                <w:lang w:val="en-AU"/>
              </w:rPr>
            </w:pPr>
            <w:r w:rsidRPr="00C4404D">
              <w:rPr>
                <w:lang w:val="en-AU"/>
              </w:rPr>
              <w:t xml:space="preserve">LEN </w:t>
            </w:r>
          </w:p>
        </w:tc>
        <w:tc>
          <w:tcPr>
            <w:tcW w:w="500" w:type="pct"/>
            <w:tcBorders>
              <w:top w:val="single" w:sz="4" w:space="0" w:color="auto"/>
              <w:left w:val="single" w:sz="4" w:space="0" w:color="auto"/>
              <w:bottom w:val="single" w:sz="4" w:space="0" w:color="auto"/>
              <w:right w:val="single" w:sz="4" w:space="0" w:color="auto"/>
            </w:tcBorders>
            <w:vAlign w:val="center"/>
          </w:tcPr>
          <w:p w14:paraId="6E9AF0BD" w14:textId="77777777" w:rsidR="00CC2233" w:rsidRPr="00C4404D" w:rsidRDefault="00CC2233" w:rsidP="00700BF0">
            <w:pPr>
              <w:pStyle w:val="In-tableHeading"/>
              <w:jc w:val="center"/>
              <w:rPr>
                <w:lang w:val="en-AU"/>
              </w:rPr>
            </w:pPr>
            <w:r w:rsidRPr="00C4404D">
              <w:rPr>
                <w:lang w:val="en-AU"/>
              </w:rPr>
              <w:t>PBO</w:t>
            </w:r>
          </w:p>
        </w:tc>
        <w:tc>
          <w:tcPr>
            <w:tcW w:w="858" w:type="pct"/>
            <w:vMerge/>
            <w:tcBorders>
              <w:top w:val="single" w:sz="4" w:space="0" w:color="auto"/>
              <w:left w:val="single" w:sz="4" w:space="0" w:color="auto"/>
              <w:bottom w:val="single" w:sz="4" w:space="0" w:color="auto"/>
              <w:right w:val="single" w:sz="4" w:space="0" w:color="auto"/>
            </w:tcBorders>
            <w:vAlign w:val="center"/>
          </w:tcPr>
          <w:p w14:paraId="49126A70" w14:textId="77777777" w:rsidR="00CC2233" w:rsidRPr="00C4404D" w:rsidRDefault="00CC2233" w:rsidP="00700BF0">
            <w:pPr>
              <w:pStyle w:val="In-tableHeading"/>
              <w:jc w:val="center"/>
              <w:rPr>
                <w:lang w:val="en-AU"/>
              </w:rPr>
            </w:pPr>
          </w:p>
        </w:tc>
      </w:tr>
      <w:tr w:rsidR="00CC2233" w:rsidRPr="00C4404D" w14:paraId="2D05B9B5" w14:textId="77777777" w:rsidTr="00700BF0">
        <w:trPr>
          <w:cantSplit/>
        </w:trPr>
        <w:tc>
          <w:tcPr>
            <w:tcW w:w="5000" w:type="pct"/>
            <w:gridSpan w:val="6"/>
            <w:tcBorders>
              <w:top w:val="single" w:sz="4" w:space="0" w:color="auto"/>
              <w:left w:val="single" w:sz="4" w:space="0" w:color="auto"/>
              <w:bottom w:val="double" w:sz="4" w:space="0" w:color="auto"/>
              <w:right w:val="single" w:sz="4" w:space="0" w:color="auto"/>
            </w:tcBorders>
            <w:shd w:val="clear" w:color="auto" w:fill="auto"/>
            <w:vAlign w:val="center"/>
          </w:tcPr>
          <w:p w14:paraId="66357CE8" w14:textId="77777777" w:rsidR="00CC2233" w:rsidRPr="00C4404D" w:rsidRDefault="00CC2233" w:rsidP="00700BF0">
            <w:pPr>
              <w:pStyle w:val="In-tableHeading"/>
              <w:rPr>
                <w:lang w:val="en-AU"/>
              </w:rPr>
            </w:pPr>
            <w:r w:rsidRPr="00C4404D">
              <w:rPr>
                <w:lang w:val="en-AU"/>
              </w:rPr>
              <w:t>Benefits</w:t>
            </w:r>
          </w:p>
        </w:tc>
      </w:tr>
      <w:tr w:rsidR="00CC2233" w:rsidRPr="00C4404D" w14:paraId="7F370B78" w14:textId="77777777" w:rsidTr="00700BF0">
        <w:trPr>
          <w:cantSplit/>
        </w:trPr>
        <w:tc>
          <w:tcPr>
            <w:tcW w:w="5000" w:type="pct"/>
            <w:gridSpan w:val="6"/>
            <w:tcBorders>
              <w:top w:val="double" w:sz="4" w:space="0" w:color="auto"/>
              <w:left w:val="single" w:sz="4" w:space="0" w:color="auto"/>
              <w:bottom w:val="single" w:sz="4" w:space="0" w:color="000000"/>
              <w:right w:val="single" w:sz="4" w:space="0" w:color="auto"/>
            </w:tcBorders>
            <w:shd w:val="clear" w:color="auto" w:fill="auto"/>
            <w:vAlign w:val="center"/>
          </w:tcPr>
          <w:p w14:paraId="4FB21E08" w14:textId="77777777" w:rsidR="00CC2233" w:rsidRPr="00C4404D" w:rsidRDefault="00CC2233" w:rsidP="00700BF0">
            <w:pPr>
              <w:pStyle w:val="In-tableHeading"/>
              <w:rPr>
                <w:lang w:val="en-AU"/>
              </w:rPr>
            </w:pPr>
            <w:r w:rsidRPr="00C4404D">
              <w:rPr>
                <w:lang w:val="en-AU"/>
              </w:rPr>
              <w:t>Patients achieving ≥ 0.5 log</w:t>
            </w:r>
            <w:r w:rsidRPr="00C4404D">
              <w:rPr>
                <w:vertAlign w:val="subscript"/>
                <w:lang w:val="en-AU"/>
              </w:rPr>
              <w:t>10</w:t>
            </w:r>
            <w:r w:rsidRPr="00C4404D">
              <w:rPr>
                <w:lang w:val="en-AU"/>
              </w:rPr>
              <w:t xml:space="preserve"> copies/mL reduction from baseline in HIV-1 RNA, n (%)</w:t>
            </w:r>
          </w:p>
        </w:tc>
      </w:tr>
      <w:tr w:rsidR="00CC2233" w:rsidRPr="00C4404D" w14:paraId="7DB0C810" w14:textId="77777777" w:rsidTr="00700BF0">
        <w:trPr>
          <w:cantSplit/>
        </w:trPr>
        <w:tc>
          <w:tcPr>
            <w:tcW w:w="1345" w:type="pct"/>
            <w:tcBorders>
              <w:top w:val="single" w:sz="4" w:space="0" w:color="000000"/>
              <w:left w:val="single" w:sz="4" w:space="0" w:color="auto"/>
              <w:bottom w:val="single" w:sz="4" w:space="0" w:color="auto"/>
              <w:right w:val="single" w:sz="4" w:space="0" w:color="auto"/>
            </w:tcBorders>
            <w:shd w:val="clear" w:color="auto" w:fill="auto"/>
          </w:tcPr>
          <w:p w14:paraId="7DBFF061" w14:textId="77777777" w:rsidR="00CC2233" w:rsidRPr="00C4404D" w:rsidRDefault="00CC2233" w:rsidP="00700BF0">
            <w:pPr>
              <w:pStyle w:val="In-tableHeading"/>
              <w:rPr>
                <w:b w:val="0"/>
                <w:bCs/>
                <w:lang w:val="en-AU"/>
              </w:rPr>
            </w:pPr>
            <w:r w:rsidRPr="00C4404D">
              <w:rPr>
                <w:b w:val="0"/>
                <w:bCs/>
                <w:lang w:val="en-AU"/>
              </w:rPr>
              <w:t>CAPELLA</w:t>
            </w:r>
          </w:p>
        </w:tc>
        <w:tc>
          <w:tcPr>
            <w:tcW w:w="747" w:type="pct"/>
            <w:tcBorders>
              <w:top w:val="single" w:sz="4" w:space="0" w:color="000000"/>
              <w:left w:val="single" w:sz="4" w:space="0" w:color="auto"/>
              <w:bottom w:val="single" w:sz="4" w:space="0" w:color="auto"/>
              <w:right w:val="single" w:sz="4" w:space="0" w:color="auto"/>
            </w:tcBorders>
            <w:shd w:val="clear" w:color="auto" w:fill="auto"/>
          </w:tcPr>
          <w:p w14:paraId="4775A7C2" w14:textId="77777777" w:rsidR="00CC2233" w:rsidRPr="00C4404D" w:rsidRDefault="00CC2233" w:rsidP="00700BF0">
            <w:pPr>
              <w:pStyle w:val="In-tableHeading"/>
              <w:jc w:val="center"/>
              <w:rPr>
                <w:b w:val="0"/>
                <w:bCs/>
                <w:lang w:val="en-AU"/>
              </w:rPr>
            </w:pPr>
            <w:r w:rsidRPr="00C4404D">
              <w:rPr>
                <w:b w:val="0"/>
                <w:bCs/>
                <w:lang w:val="en-AU"/>
              </w:rPr>
              <w:t>21/24 (87.5)</w:t>
            </w:r>
          </w:p>
        </w:tc>
        <w:tc>
          <w:tcPr>
            <w:tcW w:w="1049" w:type="pct"/>
            <w:tcBorders>
              <w:top w:val="single" w:sz="4" w:space="0" w:color="000000"/>
              <w:left w:val="single" w:sz="4" w:space="0" w:color="auto"/>
              <w:bottom w:val="single" w:sz="4" w:space="0" w:color="auto"/>
              <w:right w:val="single" w:sz="4" w:space="0" w:color="auto"/>
            </w:tcBorders>
            <w:shd w:val="clear" w:color="auto" w:fill="auto"/>
          </w:tcPr>
          <w:p w14:paraId="07B19452" w14:textId="77777777" w:rsidR="00CC2233" w:rsidRPr="00C4404D" w:rsidRDefault="00CC2233" w:rsidP="00700BF0">
            <w:pPr>
              <w:pStyle w:val="In-tableHeading"/>
              <w:jc w:val="center"/>
              <w:rPr>
                <w:b w:val="0"/>
                <w:bCs/>
                <w:lang w:val="en-AU"/>
              </w:rPr>
            </w:pPr>
            <w:r w:rsidRPr="00C4404D">
              <w:rPr>
                <w:b w:val="0"/>
                <w:bCs/>
                <w:lang w:val="en-AU"/>
              </w:rPr>
              <w:t>2/12 (16.7)</w:t>
            </w:r>
          </w:p>
        </w:tc>
        <w:tc>
          <w:tcPr>
            <w:tcW w:w="501" w:type="pct"/>
            <w:tcBorders>
              <w:top w:val="single" w:sz="4" w:space="0" w:color="000000"/>
              <w:left w:val="single" w:sz="4" w:space="0" w:color="auto"/>
              <w:bottom w:val="single" w:sz="4" w:space="0" w:color="auto"/>
              <w:right w:val="single" w:sz="4" w:space="0" w:color="auto"/>
            </w:tcBorders>
            <w:shd w:val="clear" w:color="auto" w:fill="auto"/>
          </w:tcPr>
          <w:p w14:paraId="4293D545" w14:textId="77777777" w:rsidR="00CC2233" w:rsidRPr="00C4404D" w:rsidRDefault="00CC2233" w:rsidP="00700BF0">
            <w:pPr>
              <w:pStyle w:val="In-tableHeading"/>
              <w:jc w:val="center"/>
              <w:rPr>
                <w:b w:val="0"/>
                <w:bCs/>
                <w:lang w:val="en-AU"/>
              </w:rPr>
            </w:pPr>
            <w:r w:rsidRPr="00C4404D">
              <w:rPr>
                <w:b w:val="0"/>
                <w:bCs/>
                <w:i/>
                <w:iCs/>
                <w:lang w:val="en-AU"/>
              </w:rPr>
              <w:t>87</w:t>
            </w:r>
            <w:r w:rsidRPr="00C4404D">
              <w:rPr>
                <w:b w:val="0"/>
                <w:bCs/>
                <w:lang w:val="en-AU"/>
              </w:rPr>
              <w:t>.5</w:t>
            </w:r>
          </w:p>
        </w:tc>
        <w:tc>
          <w:tcPr>
            <w:tcW w:w="500" w:type="pct"/>
            <w:tcBorders>
              <w:top w:val="single" w:sz="4" w:space="0" w:color="000000"/>
              <w:left w:val="single" w:sz="4" w:space="0" w:color="auto"/>
              <w:bottom w:val="single" w:sz="4" w:space="0" w:color="auto"/>
              <w:right w:val="single" w:sz="4" w:space="0" w:color="auto"/>
            </w:tcBorders>
            <w:shd w:val="clear" w:color="auto" w:fill="auto"/>
            <w:vAlign w:val="center"/>
          </w:tcPr>
          <w:p w14:paraId="3C699CD8" w14:textId="77777777" w:rsidR="00CC2233" w:rsidRPr="00C4404D" w:rsidRDefault="00CC2233" w:rsidP="00700BF0">
            <w:pPr>
              <w:pStyle w:val="In-tableHeading"/>
              <w:jc w:val="center"/>
              <w:rPr>
                <w:b w:val="0"/>
                <w:bCs/>
                <w:lang w:val="en-AU"/>
              </w:rPr>
            </w:pPr>
            <w:r w:rsidRPr="00C4404D">
              <w:rPr>
                <w:b w:val="0"/>
                <w:bCs/>
                <w:lang w:val="en-AU"/>
              </w:rPr>
              <w:t>16.7</w:t>
            </w:r>
          </w:p>
        </w:tc>
        <w:tc>
          <w:tcPr>
            <w:tcW w:w="858" w:type="pct"/>
            <w:tcBorders>
              <w:top w:val="single" w:sz="4" w:space="0" w:color="000000"/>
              <w:left w:val="single" w:sz="4" w:space="0" w:color="auto"/>
              <w:bottom w:val="single" w:sz="4" w:space="0" w:color="auto"/>
              <w:right w:val="single" w:sz="4" w:space="0" w:color="auto"/>
            </w:tcBorders>
            <w:shd w:val="clear" w:color="auto" w:fill="auto"/>
          </w:tcPr>
          <w:p w14:paraId="3AB2F012" w14:textId="77777777" w:rsidR="00CC2233" w:rsidRPr="00C4404D" w:rsidRDefault="00CC2233" w:rsidP="00700BF0">
            <w:pPr>
              <w:pStyle w:val="In-tableHeading"/>
              <w:jc w:val="center"/>
              <w:rPr>
                <w:b w:val="0"/>
                <w:bCs/>
                <w:lang w:val="en-AU"/>
              </w:rPr>
            </w:pPr>
            <w:r w:rsidRPr="00C4404D">
              <w:rPr>
                <w:b w:val="0"/>
                <w:bCs/>
                <w:lang w:val="en-AU"/>
              </w:rPr>
              <w:t>70.8 (34.9, 90.0)</w:t>
            </w:r>
          </w:p>
        </w:tc>
      </w:tr>
      <w:tr w:rsidR="00CC2233" w:rsidRPr="00C4404D" w14:paraId="2FEFA46E" w14:textId="77777777" w:rsidTr="00700BF0">
        <w:trPr>
          <w:cantSplit/>
        </w:trPr>
        <w:tc>
          <w:tcPr>
            <w:tcW w:w="1345" w:type="pct"/>
            <w:tcBorders>
              <w:top w:val="double" w:sz="4" w:space="0" w:color="auto"/>
              <w:left w:val="single" w:sz="4" w:space="0" w:color="auto"/>
              <w:bottom w:val="single" w:sz="4" w:space="0" w:color="auto"/>
              <w:right w:val="single" w:sz="4" w:space="0" w:color="auto"/>
            </w:tcBorders>
            <w:shd w:val="clear" w:color="auto" w:fill="auto"/>
          </w:tcPr>
          <w:p w14:paraId="01F812BD" w14:textId="64221876" w:rsidR="00CC2233" w:rsidRPr="00C4404D" w:rsidRDefault="00CC2233" w:rsidP="00700BF0">
            <w:pPr>
              <w:pStyle w:val="In-tableHeading"/>
              <w:rPr>
                <w:b w:val="0"/>
                <w:bCs/>
                <w:lang w:val="en-AU"/>
              </w:rPr>
            </w:pPr>
            <w:r w:rsidRPr="00C4404D">
              <w:rPr>
                <w:lang w:val="en-AU"/>
              </w:rPr>
              <w:t>Harms</w:t>
            </w:r>
            <w:r w:rsidR="00BA2FD3">
              <w:rPr>
                <w:lang w:val="en-AU"/>
              </w:rPr>
              <w:t>, n (%)</w:t>
            </w:r>
          </w:p>
        </w:tc>
        <w:tc>
          <w:tcPr>
            <w:tcW w:w="747" w:type="pct"/>
            <w:tcBorders>
              <w:top w:val="double" w:sz="4" w:space="0" w:color="auto"/>
              <w:left w:val="single" w:sz="4" w:space="0" w:color="auto"/>
              <w:bottom w:val="single" w:sz="4" w:space="0" w:color="auto"/>
              <w:right w:val="single" w:sz="4" w:space="0" w:color="auto"/>
            </w:tcBorders>
            <w:shd w:val="clear" w:color="auto" w:fill="auto"/>
          </w:tcPr>
          <w:p w14:paraId="24F39921" w14:textId="77777777" w:rsidR="00CC2233" w:rsidRPr="00C4404D" w:rsidRDefault="00CC2233" w:rsidP="00700BF0">
            <w:pPr>
              <w:pStyle w:val="In-tableHeading"/>
              <w:jc w:val="center"/>
              <w:rPr>
                <w:b w:val="0"/>
                <w:bCs/>
                <w:lang w:val="en-AU"/>
              </w:rPr>
            </w:pPr>
          </w:p>
        </w:tc>
        <w:tc>
          <w:tcPr>
            <w:tcW w:w="1049" w:type="pct"/>
            <w:tcBorders>
              <w:top w:val="double" w:sz="4" w:space="0" w:color="auto"/>
              <w:left w:val="single" w:sz="4" w:space="0" w:color="auto"/>
              <w:bottom w:val="single" w:sz="4" w:space="0" w:color="auto"/>
              <w:right w:val="single" w:sz="4" w:space="0" w:color="auto"/>
            </w:tcBorders>
            <w:shd w:val="clear" w:color="auto" w:fill="auto"/>
          </w:tcPr>
          <w:p w14:paraId="304650DF" w14:textId="77777777" w:rsidR="00CC2233" w:rsidRPr="00C4404D" w:rsidRDefault="00CC2233" w:rsidP="00700BF0">
            <w:pPr>
              <w:pStyle w:val="In-tableHeading"/>
              <w:jc w:val="center"/>
              <w:rPr>
                <w:b w:val="0"/>
                <w:bCs/>
                <w:lang w:val="en-AU"/>
              </w:rPr>
            </w:pPr>
          </w:p>
        </w:tc>
        <w:tc>
          <w:tcPr>
            <w:tcW w:w="501" w:type="pct"/>
            <w:tcBorders>
              <w:top w:val="double" w:sz="4" w:space="0" w:color="auto"/>
              <w:left w:val="single" w:sz="4" w:space="0" w:color="auto"/>
              <w:bottom w:val="single" w:sz="4" w:space="0" w:color="auto"/>
              <w:right w:val="single" w:sz="4" w:space="0" w:color="auto"/>
            </w:tcBorders>
            <w:shd w:val="clear" w:color="auto" w:fill="auto"/>
          </w:tcPr>
          <w:p w14:paraId="1499493D" w14:textId="77777777" w:rsidR="00CC2233" w:rsidRPr="00C4404D" w:rsidRDefault="00CC2233" w:rsidP="00700BF0">
            <w:pPr>
              <w:pStyle w:val="In-tableHeading"/>
              <w:jc w:val="center"/>
              <w:rPr>
                <w:b w:val="0"/>
                <w:bCs/>
                <w:lang w:val="en-AU"/>
              </w:rPr>
            </w:pPr>
          </w:p>
        </w:tc>
        <w:tc>
          <w:tcPr>
            <w:tcW w:w="500" w:type="pct"/>
            <w:tcBorders>
              <w:top w:val="double" w:sz="4" w:space="0" w:color="auto"/>
              <w:left w:val="single" w:sz="4" w:space="0" w:color="auto"/>
              <w:bottom w:val="single" w:sz="4" w:space="0" w:color="auto"/>
              <w:right w:val="single" w:sz="4" w:space="0" w:color="auto"/>
            </w:tcBorders>
            <w:shd w:val="clear" w:color="auto" w:fill="auto"/>
            <w:vAlign w:val="center"/>
          </w:tcPr>
          <w:p w14:paraId="579B74E9" w14:textId="77777777" w:rsidR="00CC2233" w:rsidRPr="00C4404D" w:rsidRDefault="00CC2233" w:rsidP="00700BF0">
            <w:pPr>
              <w:pStyle w:val="In-tableHeading"/>
              <w:jc w:val="center"/>
              <w:rPr>
                <w:b w:val="0"/>
                <w:bCs/>
                <w:lang w:val="en-AU"/>
              </w:rPr>
            </w:pPr>
          </w:p>
        </w:tc>
        <w:tc>
          <w:tcPr>
            <w:tcW w:w="858" w:type="pct"/>
            <w:tcBorders>
              <w:top w:val="double" w:sz="4" w:space="0" w:color="auto"/>
              <w:left w:val="single" w:sz="4" w:space="0" w:color="auto"/>
              <w:bottom w:val="single" w:sz="4" w:space="0" w:color="auto"/>
              <w:right w:val="single" w:sz="4" w:space="0" w:color="auto"/>
            </w:tcBorders>
            <w:shd w:val="clear" w:color="auto" w:fill="auto"/>
          </w:tcPr>
          <w:p w14:paraId="01E100FD" w14:textId="77777777" w:rsidR="00CC2233" w:rsidRPr="00C4404D" w:rsidRDefault="00CC2233" w:rsidP="00700BF0">
            <w:pPr>
              <w:pStyle w:val="In-tableHeading"/>
              <w:jc w:val="center"/>
              <w:rPr>
                <w:b w:val="0"/>
                <w:bCs/>
                <w:lang w:val="en-AU"/>
              </w:rPr>
            </w:pPr>
          </w:p>
        </w:tc>
      </w:tr>
      <w:tr w:rsidR="00CC2233" w:rsidRPr="00C4404D" w14:paraId="29103E73" w14:textId="77777777" w:rsidTr="00700BF0">
        <w:trPr>
          <w:cantSplit/>
        </w:trPr>
        <w:tc>
          <w:tcPr>
            <w:tcW w:w="1345" w:type="pct"/>
            <w:tcBorders>
              <w:top w:val="single" w:sz="4" w:space="0" w:color="auto"/>
              <w:left w:val="single" w:sz="4" w:space="0" w:color="auto"/>
              <w:bottom w:val="single" w:sz="4" w:space="0" w:color="auto"/>
              <w:right w:val="single" w:sz="4" w:space="0" w:color="auto"/>
            </w:tcBorders>
            <w:shd w:val="clear" w:color="auto" w:fill="auto"/>
          </w:tcPr>
          <w:p w14:paraId="1783E47C" w14:textId="2095964B" w:rsidR="00CC2233" w:rsidRPr="00C4404D" w:rsidRDefault="00BA2FD3" w:rsidP="00700BF0">
            <w:pPr>
              <w:pStyle w:val="In-tableHeading"/>
              <w:rPr>
                <w:b w:val="0"/>
                <w:lang w:val="en-AU"/>
              </w:rPr>
            </w:pPr>
            <w:r>
              <w:rPr>
                <w:b w:val="0"/>
                <w:lang w:val="en-AU"/>
              </w:rPr>
              <w:t>Any</w:t>
            </w:r>
            <w:r w:rsidR="00CC2233" w:rsidRPr="00C4404D">
              <w:rPr>
                <w:b w:val="0"/>
                <w:lang w:val="en-AU"/>
              </w:rPr>
              <w:t xml:space="preserve"> AE</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14:paraId="39E12F55" w14:textId="77777777" w:rsidR="00CC2233" w:rsidRPr="00C4404D" w:rsidRDefault="00CC2233" w:rsidP="00700BF0">
            <w:pPr>
              <w:pStyle w:val="In-tableHeading"/>
              <w:jc w:val="center"/>
              <w:rPr>
                <w:b w:val="0"/>
                <w:lang w:val="en-AU"/>
              </w:rPr>
            </w:pPr>
            <w:r w:rsidRPr="00C4404D">
              <w:rPr>
                <w:b w:val="0"/>
                <w:lang w:val="en-AU"/>
              </w:rPr>
              <w:t>9 (37.5)</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E191E5" w14:textId="77777777" w:rsidR="00CC2233" w:rsidRPr="00C4404D" w:rsidRDefault="00CC2233" w:rsidP="00700BF0">
            <w:pPr>
              <w:pStyle w:val="In-tableHeading"/>
              <w:jc w:val="center"/>
              <w:rPr>
                <w:b w:val="0"/>
                <w:lang w:val="en-AU"/>
              </w:rPr>
            </w:pPr>
            <w:r w:rsidRPr="00C4404D">
              <w:rPr>
                <w:b w:val="0"/>
                <w:lang w:val="en-AU"/>
              </w:rPr>
              <w:t>3 (25.0)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7EA6B2A3" w14:textId="77777777" w:rsidR="00CC2233" w:rsidRPr="00C4404D" w:rsidRDefault="00CC2233" w:rsidP="00700BF0">
            <w:pPr>
              <w:pStyle w:val="In-tableHeading"/>
              <w:jc w:val="center"/>
              <w:rPr>
                <w:b w:val="0"/>
                <w:lang w:val="en-AU"/>
              </w:rPr>
            </w:pPr>
            <w:r w:rsidRPr="00C4404D">
              <w:rPr>
                <w:b w:val="0"/>
                <w:lang w:val="en-AU"/>
              </w:rPr>
              <w:t>37.5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5C201D1C" w14:textId="77777777" w:rsidR="00CC2233" w:rsidRPr="00C4404D" w:rsidRDefault="00CC2233" w:rsidP="00700BF0">
            <w:pPr>
              <w:pStyle w:val="In-tableHeading"/>
              <w:jc w:val="center"/>
              <w:rPr>
                <w:b w:val="0"/>
                <w:lang w:val="en-AU"/>
              </w:rPr>
            </w:pPr>
            <w:r w:rsidRPr="00C4404D">
              <w:rPr>
                <w:b w:val="0"/>
                <w:lang w:val="en-AU"/>
              </w:rPr>
              <w:t>25.0</w:t>
            </w:r>
          </w:p>
        </w:tc>
        <w:tc>
          <w:tcPr>
            <w:tcW w:w="858" w:type="pct"/>
            <w:tcBorders>
              <w:top w:val="single" w:sz="4" w:space="0" w:color="auto"/>
              <w:left w:val="single" w:sz="4" w:space="0" w:color="auto"/>
              <w:bottom w:val="single" w:sz="4" w:space="0" w:color="auto"/>
              <w:right w:val="single" w:sz="4" w:space="0" w:color="auto"/>
            </w:tcBorders>
            <w:shd w:val="clear" w:color="auto" w:fill="auto"/>
            <w:vAlign w:val="bottom"/>
          </w:tcPr>
          <w:p w14:paraId="5709ABCA" w14:textId="43AF339C" w:rsidR="00CC2233" w:rsidRPr="00C4404D" w:rsidRDefault="00CC2233" w:rsidP="002803FC">
            <w:pPr>
              <w:pStyle w:val="In-tableHeading"/>
              <w:jc w:val="center"/>
              <w:rPr>
                <w:b w:val="0"/>
                <w:lang w:val="en-AU"/>
              </w:rPr>
            </w:pPr>
            <w:r w:rsidRPr="00C4404D">
              <w:rPr>
                <w:rFonts w:cs="Calibri"/>
                <w:b w:val="0"/>
                <w:color w:val="000000"/>
                <w:lang w:val="en-AU"/>
              </w:rPr>
              <w:t>0.1</w:t>
            </w:r>
            <w:r w:rsidR="002E4DDE">
              <w:rPr>
                <w:rFonts w:cs="Calibri"/>
                <w:b w:val="0"/>
                <w:color w:val="000000"/>
                <w:lang w:val="en-AU"/>
              </w:rPr>
              <w:t>2</w:t>
            </w:r>
            <w:r w:rsidRPr="00C4404D">
              <w:rPr>
                <w:rFonts w:cs="Calibri"/>
                <w:b w:val="0"/>
                <w:color w:val="000000"/>
                <w:lang w:val="en-AU"/>
              </w:rPr>
              <w:t xml:space="preserve"> (-0.2, 0.42)</w:t>
            </w:r>
          </w:p>
        </w:tc>
      </w:tr>
      <w:tr w:rsidR="00CC2233" w:rsidRPr="00C4404D" w14:paraId="5A2AC5CC" w14:textId="77777777" w:rsidTr="00700BF0">
        <w:trPr>
          <w:cantSplit/>
        </w:trPr>
        <w:tc>
          <w:tcPr>
            <w:tcW w:w="1345" w:type="pct"/>
            <w:tcBorders>
              <w:top w:val="single" w:sz="4" w:space="0" w:color="auto"/>
              <w:left w:val="single" w:sz="4" w:space="0" w:color="auto"/>
              <w:bottom w:val="single" w:sz="4" w:space="0" w:color="auto"/>
              <w:right w:val="single" w:sz="4" w:space="0" w:color="auto"/>
            </w:tcBorders>
            <w:shd w:val="clear" w:color="auto" w:fill="auto"/>
          </w:tcPr>
          <w:p w14:paraId="6F3881FD" w14:textId="7BA41A56" w:rsidR="00CC2233" w:rsidRPr="00C4404D" w:rsidRDefault="00CC2233" w:rsidP="00700BF0">
            <w:pPr>
              <w:pStyle w:val="In-tableHeading"/>
              <w:rPr>
                <w:b w:val="0"/>
                <w:bCs/>
                <w:lang w:val="en-AU"/>
              </w:rPr>
            </w:pPr>
            <w:r w:rsidRPr="00C4404D">
              <w:rPr>
                <w:b w:val="0"/>
                <w:bCs/>
                <w:lang w:val="en-AU"/>
              </w:rPr>
              <w:t>TEAE of Grade 2 or higher</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14:paraId="65DFBA4C" w14:textId="77777777" w:rsidR="00CC2233" w:rsidRPr="00C4404D" w:rsidRDefault="00CC2233" w:rsidP="00700BF0">
            <w:pPr>
              <w:pStyle w:val="In-tableHeading"/>
              <w:jc w:val="center"/>
              <w:rPr>
                <w:b w:val="0"/>
                <w:bCs/>
                <w:lang w:val="en-AU"/>
              </w:rPr>
            </w:pPr>
            <w:r w:rsidRPr="00C4404D">
              <w:rPr>
                <w:b w:val="0"/>
                <w:bCs/>
                <w:lang w:val="en-AU"/>
              </w:rPr>
              <w:t>3 (12.5)</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2FAEB52" w14:textId="77777777" w:rsidR="00CC2233" w:rsidRPr="00C4404D" w:rsidRDefault="00CC2233" w:rsidP="00700BF0">
            <w:pPr>
              <w:pStyle w:val="In-tableHeading"/>
              <w:jc w:val="center"/>
              <w:rPr>
                <w:b w:val="0"/>
                <w:bCs/>
                <w:lang w:val="en-AU"/>
              </w:rPr>
            </w:pPr>
            <w:r w:rsidRPr="00C4404D">
              <w:rPr>
                <w:b w:val="0"/>
                <w:bCs/>
                <w:lang w:val="en-AU"/>
              </w:rPr>
              <w:t>0</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tcPr>
          <w:p w14:paraId="7F229056" w14:textId="77777777" w:rsidR="00CC2233" w:rsidRPr="00C4404D" w:rsidRDefault="00CC2233" w:rsidP="00700BF0">
            <w:pPr>
              <w:pStyle w:val="In-tableHeading"/>
              <w:jc w:val="center"/>
              <w:rPr>
                <w:b w:val="0"/>
                <w:bCs/>
                <w:lang w:val="en-AU"/>
              </w:rPr>
            </w:pPr>
            <w:r w:rsidRPr="00C4404D">
              <w:rPr>
                <w:b w:val="0"/>
                <w:bCs/>
                <w:lang w:val="en-AU"/>
              </w:rPr>
              <w:t>12.5</w:t>
            </w:r>
          </w:p>
        </w:tc>
        <w:tc>
          <w:tcPr>
            <w:tcW w:w="500" w:type="pct"/>
            <w:tcBorders>
              <w:top w:val="single" w:sz="4" w:space="0" w:color="auto"/>
              <w:left w:val="single" w:sz="4" w:space="0" w:color="auto"/>
              <w:bottom w:val="single" w:sz="4" w:space="0" w:color="auto"/>
              <w:right w:val="single" w:sz="4" w:space="0" w:color="auto"/>
            </w:tcBorders>
            <w:shd w:val="clear" w:color="auto" w:fill="auto"/>
          </w:tcPr>
          <w:p w14:paraId="6C08347E" w14:textId="77777777" w:rsidR="00CC2233" w:rsidRPr="00C4404D" w:rsidRDefault="00CC2233" w:rsidP="00700BF0">
            <w:pPr>
              <w:pStyle w:val="In-tableHeading"/>
              <w:jc w:val="center"/>
              <w:rPr>
                <w:b w:val="0"/>
                <w:bCs/>
                <w:lang w:val="en-AU"/>
              </w:rPr>
            </w:pPr>
            <w:r w:rsidRPr="00C4404D">
              <w:rPr>
                <w:b w:val="0"/>
                <w:bCs/>
                <w:lang w:val="en-AU"/>
              </w:rPr>
              <w:t>0</w:t>
            </w:r>
          </w:p>
        </w:tc>
        <w:tc>
          <w:tcPr>
            <w:tcW w:w="858" w:type="pct"/>
            <w:tcBorders>
              <w:top w:val="single" w:sz="4" w:space="0" w:color="auto"/>
              <w:left w:val="single" w:sz="4" w:space="0" w:color="auto"/>
              <w:bottom w:val="single" w:sz="4" w:space="0" w:color="auto"/>
              <w:right w:val="single" w:sz="4" w:space="0" w:color="auto"/>
            </w:tcBorders>
            <w:shd w:val="clear" w:color="auto" w:fill="auto"/>
            <w:vAlign w:val="bottom"/>
          </w:tcPr>
          <w:p w14:paraId="11D2AC5A" w14:textId="77777777" w:rsidR="00CC2233" w:rsidRPr="00C4404D" w:rsidRDefault="00CC2233" w:rsidP="002803FC">
            <w:pPr>
              <w:pStyle w:val="In-tableHeading"/>
              <w:jc w:val="center"/>
              <w:rPr>
                <w:b w:val="0"/>
                <w:lang w:val="en-AU"/>
              </w:rPr>
            </w:pPr>
            <w:r w:rsidRPr="00C4404D">
              <w:rPr>
                <w:rFonts w:cs="Calibri"/>
                <w:b w:val="0"/>
                <w:color w:val="000000"/>
                <w:lang w:val="en-AU"/>
              </w:rPr>
              <w:t>0.12 (-0.01, 0.25)</w:t>
            </w:r>
          </w:p>
        </w:tc>
      </w:tr>
    </w:tbl>
    <w:p w14:paraId="78FF372D" w14:textId="77777777" w:rsidR="006F47F9" w:rsidRDefault="00CC2233" w:rsidP="00CC2233">
      <w:pPr>
        <w:pStyle w:val="FooterTableFigure"/>
      </w:pPr>
      <w:r w:rsidRPr="00C4404D">
        <w:t xml:space="preserve">Source: Table 2-26, p107 and </w:t>
      </w:r>
      <w:r w:rsidRPr="00C4404D">
        <w:rPr>
          <w:szCs w:val="18"/>
        </w:rPr>
        <w:t xml:space="preserve">Table 2-44, p131-132 </w:t>
      </w:r>
      <w:r w:rsidRPr="00C4404D">
        <w:t>of the submission.</w:t>
      </w:r>
    </w:p>
    <w:p w14:paraId="5F8D2AF4" w14:textId="68624AD7" w:rsidR="00CC2233" w:rsidRPr="00C4404D" w:rsidRDefault="00CC2233" w:rsidP="00CC2233">
      <w:pPr>
        <w:pStyle w:val="FooterTableFigure"/>
      </w:pPr>
      <w:r w:rsidRPr="00C4404D">
        <w:t>AE = adverse event; CI = confidence interval; HIV = Human immun</w:t>
      </w:r>
      <w:r w:rsidR="00137F63">
        <w:t>o</w:t>
      </w:r>
      <w:r w:rsidRPr="00C4404D">
        <w:t>deficiency virus; LEN = lenacapavir; mL = millilitre; NR, not reported; PBO = placebo; RNA = ribonucleic acid. TEAE = treatment emergent adverse event</w:t>
      </w:r>
    </w:p>
    <w:p w14:paraId="118189A9" w14:textId="75BFADCF" w:rsidR="00A978CE" w:rsidRPr="007F3195" w:rsidRDefault="00A978CE" w:rsidP="00A978CE">
      <w:pPr>
        <w:pStyle w:val="3-BodyText"/>
      </w:pPr>
      <w:r w:rsidRPr="007F3195">
        <w:t xml:space="preserve">On the basis of the 14-day </w:t>
      </w:r>
      <w:r w:rsidR="003D732D" w:rsidRPr="007F3195">
        <w:t>randomised</w:t>
      </w:r>
      <w:r w:rsidRPr="007F3195">
        <w:t xml:space="preserve"> period of the CAPELLA trial, for every 100 patients treated with lenacapavir + failing therapy in comparison with placebo + failing therapy</w:t>
      </w:r>
      <w:r w:rsidR="00A07730" w:rsidRPr="007F3195">
        <w:t>:</w:t>
      </w:r>
    </w:p>
    <w:p w14:paraId="318ACA13" w14:textId="1DDE1690" w:rsidR="00A978CE" w:rsidRPr="007F3195" w:rsidRDefault="00A978CE" w:rsidP="00735FA4">
      <w:pPr>
        <w:pStyle w:val="3-BodyText"/>
        <w:numPr>
          <w:ilvl w:val="0"/>
          <w:numId w:val="12"/>
        </w:numPr>
        <w:ind w:left="1134" w:hanging="425"/>
      </w:pPr>
      <w:r w:rsidRPr="007F3195">
        <w:t>Approximately 71 additional patients will achieve ≥ 0.5 log</w:t>
      </w:r>
      <w:r w:rsidRPr="007F3195">
        <w:rPr>
          <w:vertAlign w:val="subscript"/>
        </w:rPr>
        <w:t>10</w:t>
      </w:r>
      <w:r w:rsidRPr="007F3195">
        <w:t xml:space="preserve"> copies/mL reduction from baseline in HIV-1 RNA</w:t>
      </w:r>
      <w:r w:rsidR="00A07730" w:rsidRPr="007F3195">
        <w:t>.</w:t>
      </w:r>
    </w:p>
    <w:p w14:paraId="45B5B0C0" w14:textId="3D39CE03" w:rsidR="00CC2233" w:rsidRPr="007F3195" w:rsidRDefault="00A978CE" w:rsidP="00735FA4">
      <w:pPr>
        <w:pStyle w:val="3-BodyText"/>
        <w:numPr>
          <w:ilvl w:val="0"/>
          <w:numId w:val="12"/>
        </w:numPr>
        <w:ind w:left="1134" w:hanging="425"/>
      </w:pPr>
      <w:r w:rsidRPr="007F3195">
        <w:t xml:space="preserve">Approximately </w:t>
      </w:r>
      <w:r w:rsidR="002E4DDE" w:rsidRPr="007F3195">
        <w:t>13 additional patients will experience a treatment emergent adverse event of grade 2 or higher</w:t>
      </w:r>
      <w:r w:rsidR="0044357F" w:rsidRPr="007F3195">
        <w:t>.</w:t>
      </w:r>
    </w:p>
    <w:p w14:paraId="58D460FF" w14:textId="6B30C96D" w:rsidR="0044357F" w:rsidRPr="007F3195" w:rsidRDefault="0044357F" w:rsidP="0044357F">
      <w:pPr>
        <w:pStyle w:val="3-BodyText"/>
        <w:rPr>
          <w:rStyle w:val="CommentReference"/>
        </w:rPr>
      </w:pPr>
      <w:r w:rsidRPr="007F3195">
        <w:t xml:space="preserve">A summary of the comparative benefit of lenacapavir + OBR and placebo + OBR based on the </w:t>
      </w:r>
      <w:r w:rsidR="002B3785" w:rsidRPr="007F3195">
        <w:t xml:space="preserve">unanchored </w:t>
      </w:r>
      <w:r w:rsidRPr="007F3195">
        <w:t xml:space="preserve">indirect comparison </w:t>
      </w:r>
      <w:r w:rsidR="00653165" w:rsidRPr="007F3195">
        <w:t xml:space="preserve">was </w:t>
      </w:r>
      <w:r w:rsidRPr="007F3195">
        <w:t>presented in</w:t>
      </w:r>
      <w:r w:rsidR="00653165" w:rsidRPr="007F3195">
        <w:t xml:space="preserve"> </w:t>
      </w:r>
      <w:r w:rsidR="00653165" w:rsidRPr="007F3195">
        <w:fldChar w:fldCharType="begin"/>
      </w:r>
      <w:r w:rsidR="00653165" w:rsidRPr="007F3195">
        <w:instrText xml:space="preserve"> REF _Ref112946763 \h  \* MERGEFORMAT </w:instrText>
      </w:r>
      <w:r w:rsidR="00653165" w:rsidRPr="007F3195">
        <w:fldChar w:fldCharType="separate"/>
      </w:r>
      <w:r w:rsidR="0050086F" w:rsidRPr="0050086F">
        <w:t>Table 7</w:t>
      </w:r>
      <w:r w:rsidR="00653165" w:rsidRPr="007F3195">
        <w:fldChar w:fldCharType="end"/>
      </w:r>
      <w:r w:rsidR="00653165" w:rsidRPr="007F3195">
        <w:t xml:space="preserve"> and has not been reproduced here</w:t>
      </w:r>
      <w:r w:rsidRPr="007F3195">
        <w:t>.</w:t>
      </w:r>
      <w:r w:rsidR="00653165" w:rsidRPr="007F3195">
        <w:t xml:space="preserve"> </w:t>
      </w:r>
      <w:r w:rsidR="00C61CE5" w:rsidRPr="007F3195">
        <w:t>Conclusions regarding comparative safety could not be informed by the indirect comparison presented in the submission.</w:t>
      </w:r>
    </w:p>
    <w:p w14:paraId="111C3337" w14:textId="619B4957" w:rsidR="00CC2233" w:rsidRPr="007F3195" w:rsidRDefault="00CC2233" w:rsidP="00CC2233">
      <w:pPr>
        <w:pStyle w:val="3-BodyText"/>
      </w:pPr>
      <w:r w:rsidRPr="007F3195">
        <w:t>On the basis of</w:t>
      </w:r>
      <w:r w:rsidR="00FA0BCF" w:rsidRPr="007F3195">
        <w:t xml:space="preserve"> the submission’s</w:t>
      </w:r>
      <w:r w:rsidRPr="007F3195">
        <w:t xml:space="preserve"> </w:t>
      </w:r>
      <w:r w:rsidR="002B3785" w:rsidRPr="007F3195">
        <w:t xml:space="preserve">unanchored </w:t>
      </w:r>
      <w:r w:rsidRPr="007F3195">
        <w:t>indirect comparison of the CAPELLA trial and meta-analysed results of</w:t>
      </w:r>
      <w:r w:rsidR="00AD0204" w:rsidRPr="007F3195">
        <w:t xml:space="preserve"> </w:t>
      </w:r>
      <w:r w:rsidR="001D5D28" w:rsidRPr="007F3195">
        <w:t>five</w:t>
      </w:r>
      <w:r w:rsidRPr="007F3195">
        <w:t xml:space="preserve"> comparator trials presented by the submission, for every 100 patients treated with lenacapavir + OBR in comparison with placebo + OBR</w:t>
      </w:r>
      <w:r w:rsidR="007965C4" w:rsidRPr="007F3195">
        <w:t xml:space="preserve"> (excluding INSTI or maraviroc)</w:t>
      </w:r>
      <w:r w:rsidR="00A07730" w:rsidRPr="007F3195">
        <w:t>:</w:t>
      </w:r>
    </w:p>
    <w:p w14:paraId="094A5D44" w14:textId="44D23922" w:rsidR="00FA0BCF" w:rsidRPr="007F3195" w:rsidRDefault="00FA0BCF" w:rsidP="00735FA4">
      <w:pPr>
        <w:pStyle w:val="3-BodyText"/>
        <w:numPr>
          <w:ilvl w:val="0"/>
          <w:numId w:val="12"/>
        </w:numPr>
        <w:ind w:left="1134" w:hanging="425"/>
      </w:pPr>
      <w:r w:rsidRPr="007F3195">
        <w:t>Approximately 56-65 additional patients will achieve virologic suppression (less than 50 copies of HIV RNA /mL of blood)</w:t>
      </w:r>
      <w:r w:rsidR="008C7AED">
        <w:rPr>
          <w:rStyle w:val="FootnoteReference"/>
        </w:rPr>
        <w:footnoteReference w:id="9"/>
      </w:r>
      <w:r w:rsidRPr="007F3195">
        <w:t>.</w:t>
      </w:r>
    </w:p>
    <w:p w14:paraId="40C08DA2" w14:textId="6C1460D6" w:rsidR="00FA0BCF" w:rsidRPr="007F3195" w:rsidRDefault="00FA0BCF" w:rsidP="00FA0BCF">
      <w:pPr>
        <w:pStyle w:val="3-BodyText"/>
      </w:pPr>
      <w:r w:rsidRPr="007F3195">
        <w:lastRenderedPageBreak/>
        <w:t xml:space="preserve">On the basis of the evaluation’s unanchored indirect comparison for every 100 </w:t>
      </w:r>
      <w:r w:rsidR="002C7DDF" w:rsidRPr="007F3195">
        <w:t xml:space="preserve">patients </w:t>
      </w:r>
      <w:r w:rsidRPr="007F3195">
        <w:t>treated with lenacapavir + OBR in comparison with raltegravir or maraviroc + OBR (or OBR containing raltegravir or maraviroc):</w:t>
      </w:r>
    </w:p>
    <w:p w14:paraId="6C95547F" w14:textId="7128ECA5" w:rsidR="00572BDE" w:rsidRPr="007F3195" w:rsidRDefault="00572BDE" w:rsidP="00735FA4">
      <w:pPr>
        <w:pStyle w:val="3-BodyText"/>
        <w:numPr>
          <w:ilvl w:val="0"/>
          <w:numId w:val="12"/>
        </w:numPr>
        <w:ind w:left="1134" w:hanging="425"/>
      </w:pPr>
      <w:r w:rsidRPr="007F3195">
        <w:t>Approximately 25</w:t>
      </w:r>
      <w:r w:rsidR="00BA2FD3">
        <w:t>-</w:t>
      </w:r>
      <w:r w:rsidRPr="007F3195">
        <w:t>34 additional patients will achieve virologic suppression (less than 50 copies of HIV RNA /mL of blood)</w:t>
      </w:r>
      <w:r w:rsidR="008C7AED">
        <w:rPr>
          <w:rStyle w:val="FootnoteReference"/>
        </w:rPr>
        <w:footnoteReference w:id="10"/>
      </w:r>
      <w:r w:rsidR="00E029DB" w:rsidRPr="007F3195">
        <w:t>.</w:t>
      </w:r>
    </w:p>
    <w:p w14:paraId="5C5EE5C2" w14:textId="77777777" w:rsidR="00CC2233" w:rsidRPr="00C4404D" w:rsidRDefault="00CC2233" w:rsidP="00CC2233">
      <w:pPr>
        <w:pStyle w:val="4-SubsectionHeading"/>
      </w:pPr>
      <w:bookmarkStart w:id="54" w:name="_Toc22897644"/>
      <w:bookmarkStart w:id="55" w:name="_Toc114048772"/>
      <w:r w:rsidRPr="00C4404D">
        <w:t>Clinical claim</w:t>
      </w:r>
      <w:bookmarkEnd w:id="54"/>
      <w:bookmarkEnd w:id="55"/>
    </w:p>
    <w:p w14:paraId="3FA1373E" w14:textId="5CC3DE1E" w:rsidR="00CC2233" w:rsidRPr="00E52AC5" w:rsidRDefault="00CC2233" w:rsidP="00CC2233">
      <w:pPr>
        <w:pStyle w:val="3-BodyText"/>
      </w:pPr>
      <w:r w:rsidRPr="00C4404D">
        <w:t xml:space="preserve">The submission described lenacapavir plus OBR as superior in </w:t>
      </w:r>
      <w:r w:rsidRPr="00B253A0">
        <w:t xml:space="preserve">terms of effectiveness </w:t>
      </w:r>
      <w:r w:rsidRPr="00E52AC5">
        <w:t>compared with OBR and non-inferior in terms of safety compared to OBR.</w:t>
      </w:r>
    </w:p>
    <w:p w14:paraId="26D1285B" w14:textId="66FE40C8" w:rsidR="00CC2233" w:rsidRPr="00E52AC5" w:rsidRDefault="00CC2233" w:rsidP="00CC2233">
      <w:pPr>
        <w:pStyle w:val="3-BodyText"/>
      </w:pPr>
      <w:r w:rsidRPr="00E52AC5">
        <w:t>The submission’s clinical claim was based on a</w:t>
      </w:r>
      <w:r w:rsidR="002B3785" w:rsidRPr="00E52AC5">
        <w:t xml:space="preserve">n unanchored </w:t>
      </w:r>
      <w:r w:rsidRPr="00E52AC5">
        <w:t xml:space="preserve">indirect comparison of CAPELLA with </w:t>
      </w:r>
      <w:r w:rsidR="006617B1">
        <w:t xml:space="preserve">the </w:t>
      </w:r>
      <w:r w:rsidRPr="00E52AC5">
        <w:t>placebo + OBR arm</w:t>
      </w:r>
      <w:r w:rsidR="006617B1">
        <w:t>s</w:t>
      </w:r>
      <w:r w:rsidRPr="00E52AC5">
        <w:t xml:space="preserve"> of previously published trials in the MDR PL</w:t>
      </w:r>
      <w:r w:rsidR="003C4C07" w:rsidRPr="00E52AC5">
        <w:t>W</w:t>
      </w:r>
      <w:r w:rsidRPr="00E52AC5">
        <w:t xml:space="preserve">H population. </w:t>
      </w:r>
      <w:r w:rsidR="006617B1">
        <w:t>However, the evaluation considered that t</w:t>
      </w:r>
      <w:r w:rsidRPr="00E52AC5">
        <w:t xml:space="preserve">he comparison </w:t>
      </w:r>
      <w:r w:rsidR="006617B1">
        <w:t xml:space="preserve">was associated with </w:t>
      </w:r>
      <w:r w:rsidRPr="00E52AC5">
        <w:t>substantial degree of uncertainty and a high risk of bias</w:t>
      </w:r>
      <w:r w:rsidR="00B253A0" w:rsidRPr="00E52AC5">
        <w:t xml:space="preserve"> </w:t>
      </w:r>
      <w:r w:rsidR="006617B1">
        <w:t>due to the following</w:t>
      </w:r>
      <w:r w:rsidRPr="00E52AC5">
        <w:t>:</w:t>
      </w:r>
    </w:p>
    <w:p w14:paraId="41FC2949" w14:textId="0C322D2F" w:rsidR="00B253A0" w:rsidRPr="00E52AC5" w:rsidRDefault="002A409A" w:rsidP="009B6F18">
      <w:pPr>
        <w:pStyle w:val="3-BodyText"/>
        <w:numPr>
          <w:ilvl w:val="0"/>
          <w:numId w:val="3"/>
        </w:numPr>
        <w:ind w:left="1134" w:hanging="425"/>
        <w:rPr>
          <w:color w:val="000000" w:themeColor="text1"/>
        </w:rPr>
      </w:pPr>
      <w:r w:rsidRPr="00E52AC5">
        <w:rPr>
          <w:color w:val="000000" w:themeColor="text1"/>
        </w:rPr>
        <w:t>T</w:t>
      </w:r>
      <w:r w:rsidR="00F1638E" w:rsidRPr="00E52AC5">
        <w:rPr>
          <w:color w:val="000000" w:themeColor="text1"/>
        </w:rPr>
        <w:t xml:space="preserve">he </w:t>
      </w:r>
      <w:r w:rsidR="00A37B95" w:rsidRPr="00E52AC5">
        <w:rPr>
          <w:color w:val="000000" w:themeColor="text1"/>
        </w:rPr>
        <w:t xml:space="preserve">differences in the </w:t>
      </w:r>
      <w:r w:rsidR="00B253A0" w:rsidRPr="00E52AC5">
        <w:rPr>
          <w:color w:val="000000" w:themeColor="text1"/>
        </w:rPr>
        <w:t xml:space="preserve">ARVs </w:t>
      </w:r>
      <w:r w:rsidR="00FA1012" w:rsidRPr="00E52AC5">
        <w:rPr>
          <w:color w:val="000000" w:themeColor="text1"/>
        </w:rPr>
        <w:t xml:space="preserve">available for </w:t>
      </w:r>
      <w:r w:rsidR="00B253A0" w:rsidRPr="00E52AC5">
        <w:rPr>
          <w:color w:val="000000" w:themeColor="text1"/>
        </w:rPr>
        <w:t>OBR in CAPELLA</w:t>
      </w:r>
      <w:r w:rsidRPr="00E52AC5">
        <w:rPr>
          <w:color w:val="000000" w:themeColor="text1"/>
        </w:rPr>
        <w:t>,</w:t>
      </w:r>
      <w:r w:rsidR="00B253A0" w:rsidRPr="00E52AC5">
        <w:rPr>
          <w:color w:val="000000" w:themeColor="text1"/>
        </w:rPr>
        <w:t xml:space="preserve"> in the comparator trials</w:t>
      </w:r>
      <w:r w:rsidR="003D732D" w:rsidRPr="00E52AC5">
        <w:rPr>
          <w:color w:val="000000" w:themeColor="text1"/>
        </w:rPr>
        <w:t>,</w:t>
      </w:r>
      <w:r w:rsidR="00B253A0" w:rsidRPr="00E52AC5">
        <w:rPr>
          <w:color w:val="000000" w:themeColor="text1"/>
        </w:rPr>
        <w:t xml:space="preserve"> </w:t>
      </w:r>
      <w:r w:rsidR="00F1638E" w:rsidRPr="00E52AC5">
        <w:rPr>
          <w:color w:val="000000" w:themeColor="text1"/>
        </w:rPr>
        <w:t xml:space="preserve">and </w:t>
      </w:r>
      <w:r w:rsidR="00B253A0" w:rsidRPr="00E52AC5">
        <w:rPr>
          <w:color w:val="000000" w:themeColor="text1"/>
        </w:rPr>
        <w:t xml:space="preserve">what </w:t>
      </w:r>
      <w:r w:rsidR="00B7330B" w:rsidRPr="00E52AC5">
        <w:rPr>
          <w:color w:val="000000" w:themeColor="text1"/>
        </w:rPr>
        <w:t>is</w:t>
      </w:r>
      <w:r w:rsidR="003D732D" w:rsidRPr="00E52AC5">
        <w:rPr>
          <w:color w:val="000000" w:themeColor="text1"/>
        </w:rPr>
        <w:t xml:space="preserve"> </w:t>
      </w:r>
      <w:r w:rsidR="00B253A0" w:rsidRPr="00E52AC5">
        <w:rPr>
          <w:color w:val="000000" w:themeColor="text1"/>
        </w:rPr>
        <w:t xml:space="preserve">likely available to the Australian </w:t>
      </w:r>
      <w:r w:rsidRPr="00E52AC5">
        <w:rPr>
          <w:color w:val="000000" w:themeColor="text1"/>
        </w:rPr>
        <w:t>PL</w:t>
      </w:r>
      <w:r w:rsidR="003C4C07" w:rsidRPr="00E52AC5">
        <w:rPr>
          <w:color w:val="000000" w:themeColor="text1"/>
        </w:rPr>
        <w:t>W</w:t>
      </w:r>
      <w:r w:rsidRPr="00E52AC5">
        <w:rPr>
          <w:color w:val="000000" w:themeColor="text1"/>
        </w:rPr>
        <w:t>H p</w:t>
      </w:r>
      <w:r w:rsidR="00B253A0" w:rsidRPr="00E52AC5">
        <w:rPr>
          <w:color w:val="000000" w:themeColor="text1"/>
        </w:rPr>
        <w:t xml:space="preserve">opulation </w:t>
      </w:r>
      <w:r w:rsidR="00CA7040" w:rsidRPr="00E52AC5">
        <w:rPr>
          <w:color w:val="000000" w:themeColor="text1"/>
        </w:rPr>
        <w:t xml:space="preserve">represented a key transitivity issue. These differences </w:t>
      </w:r>
      <w:r w:rsidR="006E42C4" w:rsidRPr="00E52AC5">
        <w:rPr>
          <w:color w:val="000000" w:themeColor="text1"/>
        </w:rPr>
        <w:t>likely led to the incremental benefit being biased in favour of lenacapavir;</w:t>
      </w:r>
      <w:r w:rsidR="00CA7040" w:rsidRPr="00E52AC5">
        <w:rPr>
          <w:color w:val="000000" w:themeColor="text1"/>
        </w:rPr>
        <w:t xml:space="preserve"> and</w:t>
      </w:r>
    </w:p>
    <w:p w14:paraId="4105F4F0" w14:textId="43082215" w:rsidR="00CC2233" w:rsidRPr="00E52AC5" w:rsidRDefault="00CC2233" w:rsidP="009B6F18">
      <w:pPr>
        <w:pStyle w:val="3-BodyText"/>
        <w:numPr>
          <w:ilvl w:val="0"/>
          <w:numId w:val="3"/>
        </w:numPr>
        <w:ind w:left="1134" w:hanging="425"/>
        <w:rPr>
          <w:color w:val="000000" w:themeColor="text1"/>
        </w:rPr>
      </w:pPr>
      <w:r w:rsidRPr="00E52AC5">
        <w:rPr>
          <w:color w:val="000000" w:themeColor="text1"/>
        </w:rPr>
        <w:t>The small patient number</w:t>
      </w:r>
      <w:r w:rsidR="003D732D" w:rsidRPr="00E52AC5">
        <w:rPr>
          <w:color w:val="000000" w:themeColor="text1"/>
        </w:rPr>
        <w:t>s</w:t>
      </w:r>
      <w:r w:rsidRPr="00E52AC5">
        <w:rPr>
          <w:color w:val="000000" w:themeColor="text1"/>
        </w:rPr>
        <w:t xml:space="preserve"> in CAPELLA, the lack of a common comparator</w:t>
      </w:r>
      <w:r w:rsidR="006617B1">
        <w:rPr>
          <w:color w:val="000000" w:themeColor="text1"/>
        </w:rPr>
        <w:t xml:space="preserve"> </w:t>
      </w:r>
      <w:r w:rsidR="00BD6664" w:rsidRPr="00E52AC5">
        <w:rPr>
          <w:color w:val="000000" w:themeColor="text1"/>
        </w:rPr>
        <w:t>and differences in the trial populations (e.g. differences in susceptibility of OBR or agents used)</w:t>
      </w:r>
      <w:r w:rsidR="009B6F18" w:rsidRPr="00E52AC5">
        <w:rPr>
          <w:color w:val="000000" w:themeColor="text1"/>
        </w:rPr>
        <w:t xml:space="preserve"> increased the uncertainty of the estimates</w:t>
      </w:r>
      <w:r w:rsidR="00817486" w:rsidRPr="00E52AC5">
        <w:rPr>
          <w:color w:val="000000" w:themeColor="text1"/>
        </w:rPr>
        <w:t xml:space="preserve"> from the indirect comparison</w:t>
      </w:r>
      <w:r w:rsidR="00E175B9" w:rsidRPr="00E52AC5">
        <w:rPr>
          <w:color w:val="000000" w:themeColor="text1"/>
        </w:rPr>
        <w:t>.</w:t>
      </w:r>
    </w:p>
    <w:p w14:paraId="1C9278C7" w14:textId="03C49F62" w:rsidR="00CC2233" w:rsidRPr="00E52AC5" w:rsidRDefault="004A6604" w:rsidP="00CC2233">
      <w:pPr>
        <w:pStyle w:val="3-BodyText"/>
        <w:rPr>
          <w:rFonts w:eastAsia="Calibri"/>
        </w:rPr>
      </w:pPr>
      <w:bookmarkStart w:id="56" w:name="_Ref120718311"/>
      <w:r w:rsidRPr="00E52AC5">
        <w:t xml:space="preserve">The ESC considered the claim of superior comparative effectiveness was not </w:t>
      </w:r>
      <w:r w:rsidR="00A14CB9" w:rsidRPr="00E52AC5">
        <w:t>strong</w:t>
      </w:r>
      <w:r w:rsidRPr="00E52AC5">
        <w:t xml:space="preserve">ly supported based on the evidence presented in the submission. </w:t>
      </w:r>
      <w:r w:rsidR="00CC2233" w:rsidRPr="00E52AC5">
        <w:t xml:space="preserve">Overall, while it was </w:t>
      </w:r>
      <w:r w:rsidR="00B16D78" w:rsidRPr="00E52AC5">
        <w:t xml:space="preserve">likely </w:t>
      </w:r>
      <w:r w:rsidR="00CC2233" w:rsidRPr="00E52AC5">
        <w:t xml:space="preserve">that lenacapavir + OBR may be superior to OBR, the incremental benefit was likely overestimated in the submission. Furthermore, the lack of direct evidence </w:t>
      </w:r>
      <w:r w:rsidR="00A14CB9" w:rsidRPr="00E52AC5">
        <w:t xml:space="preserve">with a basket of comparators representing OBR in Australian practice </w:t>
      </w:r>
      <w:r w:rsidR="00CC2233" w:rsidRPr="00E52AC5">
        <w:t>and the use of a</w:t>
      </w:r>
      <w:r w:rsidR="002B3785" w:rsidRPr="00E52AC5">
        <w:t xml:space="preserve">n unanchored </w:t>
      </w:r>
      <w:r w:rsidR="00CC2233" w:rsidRPr="00E52AC5">
        <w:t xml:space="preserve">indirect comparison reduced the robustness of the incremental benefit estimate. </w:t>
      </w:r>
      <w:r w:rsidR="00804DEC" w:rsidRPr="00E52AC5">
        <w:t>Lenacapavir, at minimum, appears to be effective for some patients for the treatment of HIV-1 infection when used in combination with OBR even if the comparative effectiveness to OBR is uncertain.</w:t>
      </w:r>
      <w:bookmarkEnd w:id="56"/>
    </w:p>
    <w:p w14:paraId="3A3018C0" w14:textId="27B9ABEA" w:rsidR="00CC2233" w:rsidRPr="00735FA4" w:rsidRDefault="004A6604" w:rsidP="00CC2233">
      <w:pPr>
        <w:pStyle w:val="3-BodyText"/>
        <w:rPr>
          <w:rFonts w:eastAsia="Calibri"/>
        </w:rPr>
      </w:pPr>
      <w:bookmarkStart w:id="57" w:name="_Ref116291140"/>
      <w:r w:rsidRPr="00E52AC5">
        <w:t>The ESC considered t</w:t>
      </w:r>
      <w:r w:rsidR="00CC2233" w:rsidRPr="00E52AC5">
        <w:t>he submission’s claim of non-inferior safety was reasonable</w:t>
      </w:r>
      <w:r w:rsidRPr="00E52AC5">
        <w:t>, despite increase</w:t>
      </w:r>
      <w:r w:rsidR="00A14CB9" w:rsidRPr="00E52AC5">
        <w:t>d</w:t>
      </w:r>
      <w:r w:rsidRPr="00E52AC5">
        <w:t xml:space="preserve"> ISRs and nausea.</w:t>
      </w:r>
      <w:r w:rsidR="00CC2233" w:rsidRPr="00E52AC5">
        <w:t xml:space="preserve"> </w:t>
      </w:r>
      <w:r w:rsidRPr="00E52AC5">
        <w:t>However</w:t>
      </w:r>
      <w:r w:rsidR="00CC2233" w:rsidRPr="00E52AC5">
        <w:t xml:space="preserve">, given the small sample size of CAPELLA </w:t>
      </w:r>
      <w:r w:rsidR="00CC2233" w:rsidRPr="00E52AC5">
        <w:lastRenderedPageBreak/>
        <w:t xml:space="preserve">and the absence of any additional </w:t>
      </w:r>
      <w:r w:rsidRPr="00E52AC5">
        <w:t xml:space="preserve">long-term </w:t>
      </w:r>
      <w:r w:rsidR="00CC2233" w:rsidRPr="00E52AC5">
        <w:t>safety data, there was little evidence on which to make any robust safety claim</w:t>
      </w:r>
      <w:r w:rsidR="007A5400" w:rsidRPr="00E52AC5">
        <w:t xml:space="preserve"> compared to OBR</w:t>
      </w:r>
      <w:r w:rsidR="00CC2233" w:rsidRPr="00E52AC5">
        <w:t>.</w:t>
      </w:r>
      <w:bookmarkEnd w:id="57"/>
      <w:r w:rsidR="00CC2233" w:rsidRPr="00E52AC5">
        <w:t xml:space="preserve"> </w:t>
      </w:r>
    </w:p>
    <w:p w14:paraId="1D02A05E" w14:textId="1905073A" w:rsidR="00735FA4" w:rsidRPr="00B74647" w:rsidRDefault="00735FA4" w:rsidP="00735FA4">
      <w:pPr>
        <w:pStyle w:val="3-BodyText"/>
      </w:pPr>
      <w:bookmarkStart w:id="58" w:name="_Hlk76376200"/>
      <w:r w:rsidRPr="00B74647">
        <w:rPr>
          <w:iCs/>
        </w:rPr>
        <w:t>The</w:t>
      </w:r>
      <w:r w:rsidRPr="00B74647">
        <w:t xml:space="preserve"> PBAC considered that the claim of superior comparative effectiveness was</w:t>
      </w:r>
      <w:r w:rsidR="00124251" w:rsidRPr="00B74647">
        <w:t xml:space="preserve"> uncertain.</w:t>
      </w:r>
    </w:p>
    <w:p w14:paraId="45AC1059" w14:textId="5916EB7A" w:rsidR="00735FA4" w:rsidRPr="00B74647" w:rsidRDefault="00735FA4" w:rsidP="00735FA4">
      <w:pPr>
        <w:pStyle w:val="3-BodyText"/>
      </w:pPr>
      <w:r w:rsidRPr="00B74647">
        <w:t>The PBAC considered that the claim of non-inferior comparative safety was reasonable</w:t>
      </w:r>
      <w:r w:rsidR="00124251" w:rsidRPr="00B74647">
        <w:t xml:space="preserve">, however </w:t>
      </w:r>
      <w:r w:rsidR="003C68FC" w:rsidRPr="00B74647">
        <w:t>noted there was limited longer-term data on the safety of lenacapavir.</w:t>
      </w:r>
      <w:bookmarkEnd w:id="58"/>
    </w:p>
    <w:p w14:paraId="623248E7" w14:textId="77777777" w:rsidR="00CC2233" w:rsidRPr="00C4404D" w:rsidRDefault="00CC2233" w:rsidP="00CC2233">
      <w:pPr>
        <w:pStyle w:val="4-SubsectionHeading"/>
      </w:pPr>
      <w:bookmarkStart w:id="59" w:name="_Toc22897645"/>
      <w:bookmarkStart w:id="60" w:name="_Toc114048773"/>
      <w:r w:rsidRPr="00C4404D">
        <w:t>Economic analysis</w:t>
      </w:r>
      <w:bookmarkEnd w:id="59"/>
      <w:bookmarkEnd w:id="60"/>
      <w:r w:rsidRPr="00C4404D">
        <w:t xml:space="preserve"> </w:t>
      </w:r>
    </w:p>
    <w:p w14:paraId="3E23A6E0" w14:textId="64E7007D" w:rsidR="00CC2233" w:rsidRPr="00326B87" w:rsidRDefault="00CC2233" w:rsidP="00CC2233">
      <w:pPr>
        <w:pStyle w:val="3-BodyText"/>
        <w:rPr>
          <w:b/>
          <w:bCs/>
        </w:rPr>
      </w:pPr>
      <w:r w:rsidRPr="00C4404D">
        <w:t xml:space="preserve">The submission presented a </w:t>
      </w:r>
      <w:r w:rsidRPr="00326B87">
        <w:t xml:space="preserve">modelled economic evaluation based on </w:t>
      </w:r>
      <w:r w:rsidR="0051136B">
        <w:t xml:space="preserve">the </w:t>
      </w:r>
      <w:r w:rsidR="00896841">
        <w:t>unanchored</w:t>
      </w:r>
      <w:r w:rsidR="0051136B">
        <w:t xml:space="preserve"> indirect </w:t>
      </w:r>
      <w:r w:rsidR="00896841">
        <w:t xml:space="preserve">treatment </w:t>
      </w:r>
      <w:r w:rsidR="0051136B">
        <w:t>comparison described above</w:t>
      </w:r>
      <w:r w:rsidRPr="00326B87">
        <w:t xml:space="preserve">. The type of economic evaluation was a cost-utility analysis. </w:t>
      </w:r>
    </w:p>
    <w:p w14:paraId="549E81CE" w14:textId="09853A31" w:rsidR="00CC2233" w:rsidRPr="00326B87" w:rsidRDefault="00CC2233" w:rsidP="00CC2233">
      <w:pPr>
        <w:pStyle w:val="3-BodyText"/>
      </w:pPr>
      <w:r w:rsidRPr="00326B87">
        <w:fldChar w:fldCharType="begin"/>
      </w:r>
      <w:r w:rsidRPr="00326B87">
        <w:instrText xml:space="preserve"> REF _Ref112953323 \h </w:instrText>
      </w:r>
      <w:r w:rsidRPr="00326B87">
        <w:fldChar w:fldCharType="separate"/>
      </w:r>
      <w:r w:rsidR="0050086F" w:rsidRPr="00C4404D">
        <w:t xml:space="preserve">Table </w:t>
      </w:r>
      <w:r w:rsidR="0050086F">
        <w:rPr>
          <w:noProof/>
        </w:rPr>
        <w:t>11</w:t>
      </w:r>
      <w:r w:rsidRPr="00326B87">
        <w:fldChar w:fldCharType="end"/>
      </w:r>
      <w:r w:rsidRPr="00326B87">
        <w:t xml:space="preserve"> presents a summary of the model structure, key inputs and rationale.</w:t>
      </w:r>
    </w:p>
    <w:p w14:paraId="5FE6ADA6" w14:textId="12161576" w:rsidR="00CC2233" w:rsidRPr="00C4404D" w:rsidRDefault="00CC2233" w:rsidP="00CC2233">
      <w:pPr>
        <w:pStyle w:val="Caption"/>
        <w:jc w:val="left"/>
        <w:rPr>
          <w:rStyle w:val="CommentReference"/>
          <w:b/>
          <w:szCs w:val="24"/>
        </w:rPr>
      </w:pPr>
      <w:bookmarkStart w:id="61" w:name="_Ref112953323"/>
      <w:r w:rsidRPr="00C4404D">
        <w:t xml:space="preserve">Table </w:t>
      </w:r>
      <w:fldSimple w:instr=" SEQ Table \* ARABIC ">
        <w:r w:rsidR="0050086F">
          <w:rPr>
            <w:noProof/>
          </w:rPr>
          <w:t>11</w:t>
        </w:r>
      </w:fldSimple>
      <w:bookmarkEnd w:id="61"/>
      <w:r w:rsidRPr="00C4404D">
        <w:t>:</w:t>
      </w:r>
      <w:r w:rsidRPr="00C4404D">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CC2233" w:rsidRPr="007F3195" w14:paraId="739890DD" w14:textId="77777777" w:rsidTr="00700BF0">
        <w:trPr>
          <w:tblHeader/>
        </w:trPr>
        <w:tc>
          <w:tcPr>
            <w:tcW w:w="1396" w:type="pct"/>
            <w:shd w:val="clear" w:color="auto" w:fill="auto"/>
            <w:vAlign w:val="center"/>
          </w:tcPr>
          <w:p w14:paraId="2FA0B623" w14:textId="77777777" w:rsidR="00CC2233" w:rsidRPr="007F3195" w:rsidRDefault="00CC2233" w:rsidP="00700BF0">
            <w:pPr>
              <w:pStyle w:val="In-tableHeading"/>
              <w:rPr>
                <w:lang w:val="en-AU"/>
              </w:rPr>
            </w:pPr>
            <w:r w:rsidRPr="007F3195">
              <w:rPr>
                <w:lang w:val="en-AU"/>
              </w:rPr>
              <w:t>Component</w:t>
            </w:r>
          </w:p>
        </w:tc>
        <w:tc>
          <w:tcPr>
            <w:tcW w:w="3604" w:type="pct"/>
            <w:shd w:val="clear" w:color="auto" w:fill="auto"/>
            <w:vAlign w:val="center"/>
          </w:tcPr>
          <w:p w14:paraId="437827B8" w14:textId="77777777" w:rsidR="00CC2233" w:rsidRPr="007F3195" w:rsidRDefault="00CC2233" w:rsidP="00700BF0">
            <w:pPr>
              <w:pStyle w:val="In-tableHeading"/>
              <w:rPr>
                <w:lang w:val="en-AU"/>
              </w:rPr>
            </w:pPr>
            <w:r w:rsidRPr="007F3195">
              <w:rPr>
                <w:lang w:val="en-AU"/>
              </w:rPr>
              <w:t>Summary</w:t>
            </w:r>
          </w:p>
        </w:tc>
      </w:tr>
      <w:tr w:rsidR="00CC2233" w:rsidRPr="007F3195" w14:paraId="5BC84770" w14:textId="77777777" w:rsidTr="00700BF0">
        <w:tc>
          <w:tcPr>
            <w:tcW w:w="1396" w:type="pct"/>
            <w:shd w:val="clear" w:color="auto" w:fill="auto"/>
            <w:vAlign w:val="center"/>
          </w:tcPr>
          <w:p w14:paraId="3EFA5204" w14:textId="77777777" w:rsidR="00CC2233" w:rsidRPr="007F3195" w:rsidRDefault="00CC2233" w:rsidP="00700BF0">
            <w:pPr>
              <w:pStyle w:val="TableText0"/>
            </w:pPr>
            <w:r w:rsidRPr="007F3195">
              <w:t>Treatments</w:t>
            </w:r>
          </w:p>
        </w:tc>
        <w:tc>
          <w:tcPr>
            <w:tcW w:w="3604" w:type="pct"/>
            <w:shd w:val="clear" w:color="auto" w:fill="auto"/>
            <w:vAlign w:val="center"/>
          </w:tcPr>
          <w:p w14:paraId="2429344E" w14:textId="30ACB5CF" w:rsidR="00CC2233" w:rsidRPr="007F3195" w:rsidRDefault="00CC2233" w:rsidP="00700BF0">
            <w:pPr>
              <w:pStyle w:val="TableText0"/>
            </w:pPr>
            <w:r w:rsidRPr="007F3195">
              <w:t xml:space="preserve">Lenacapavir + OBR vs OBR </w:t>
            </w:r>
          </w:p>
        </w:tc>
      </w:tr>
      <w:tr w:rsidR="00CC2233" w:rsidRPr="007F3195" w14:paraId="792391A5" w14:textId="77777777" w:rsidTr="00700BF0">
        <w:tc>
          <w:tcPr>
            <w:tcW w:w="1396" w:type="pct"/>
            <w:shd w:val="clear" w:color="auto" w:fill="auto"/>
            <w:vAlign w:val="center"/>
          </w:tcPr>
          <w:p w14:paraId="2D6968E2" w14:textId="77777777" w:rsidR="00CC2233" w:rsidRPr="007F3195" w:rsidRDefault="00CC2233" w:rsidP="00700BF0">
            <w:pPr>
              <w:pStyle w:val="TableText0"/>
            </w:pPr>
            <w:r w:rsidRPr="007F3195">
              <w:t>Time horizon</w:t>
            </w:r>
          </w:p>
        </w:tc>
        <w:tc>
          <w:tcPr>
            <w:tcW w:w="3604" w:type="pct"/>
            <w:shd w:val="clear" w:color="auto" w:fill="auto"/>
            <w:vAlign w:val="center"/>
          </w:tcPr>
          <w:p w14:paraId="3FE96DBC" w14:textId="02D5A0B5" w:rsidR="00CC2233" w:rsidRPr="007F3195" w:rsidRDefault="00CC2233" w:rsidP="00700BF0">
            <w:pPr>
              <w:pStyle w:val="TableText0"/>
            </w:pPr>
            <w:r w:rsidRPr="007F3195">
              <w:t>A life</w:t>
            </w:r>
            <w:r w:rsidR="00326B87" w:rsidRPr="007F3195">
              <w:t>-</w:t>
            </w:r>
            <w:r w:rsidRPr="007F3195">
              <w:t>time</w:t>
            </w:r>
            <w:r w:rsidR="00326B87" w:rsidRPr="007F3195">
              <w:t xml:space="preserve"> time </w:t>
            </w:r>
            <w:r w:rsidRPr="007F3195">
              <w:t>horizon based on 14 days of randomised comparative data and 52 weeks of non-randomised data</w:t>
            </w:r>
            <w:r w:rsidR="0051136B" w:rsidRPr="007F3195">
              <w:t>.</w:t>
            </w:r>
          </w:p>
        </w:tc>
      </w:tr>
      <w:tr w:rsidR="00CC2233" w:rsidRPr="007F3195" w14:paraId="04690A88" w14:textId="77777777" w:rsidTr="00700BF0">
        <w:tc>
          <w:tcPr>
            <w:tcW w:w="1396" w:type="pct"/>
            <w:shd w:val="clear" w:color="auto" w:fill="auto"/>
            <w:vAlign w:val="center"/>
          </w:tcPr>
          <w:p w14:paraId="64976AAA" w14:textId="77777777" w:rsidR="00CC2233" w:rsidRPr="007F3195" w:rsidRDefault="00CC2233" w:rsidP="00700BF0">
            <w:pPr>
              <w:pStyle w:val="TableText0"/>
            </w:pPr>
            <w:r w:rsidRPr="007F3195">
              <w:t>Outcomes</w:t>
            </w:r>
          </w:p>
        </w:tc>
        <w:tc>
          <w:tcPr>
            <w:tcW w:w="3604" w:type="pct"/>
            <w:shd w:val="clear" w:color="auto" w:fill="auto"/>
            <w:vAlign w:val="center"/>
          </w:tcPr>
          <w:p w14:paraId="1FE3E230" w14:textId="77777777" w:rsidR="00CC2233" w:rsidRPr="007F3195" w:rsidRDefault="00CC2233" w:rsidP="00700BF0">
            <w:pPr>
              <w:pStyle w:val="TableText0"/>
            </w:pPr>
            <w:r w:rsidRPr="007F3195">
              <w:t>LYG and QALYs</w:t>
            </w:r>
          </w:p>
        </w:tc>
      </w:tr>
      <w:tr w:rsidR="00CC2233" w:rsidRPr="007F3195" w14:paraId="0573959A" w14:textId="77777777" w:rsidTr="00700BF0">
        <w:tc>
          <w:tcPr>
            <w:tcW w:w="1396" w:type="pct"/>
            <w:shd w:val="clear" w:color="auto" w:fill="auto"/>
            <w:vAlign w:val="center"/>
          </w:tcPr>
          <w:p w14:paraId="4CC5B4A2" w14:textId="77777777" w:rsidR="00CC2233" w:rsidRPr="007F3195" w:rsidRDefault="00CC2233" w:rsidP="00700BF0">
            <w:pPr>
              <w:pStyle w:val="TableText0"/>
            </w:pPr>
            <w:r w:rsidRPr="007F3195">
              <w:t>Methods used to generate results</w:t>
            </w:r>
          </w:p>
        </w:tc>
        <w:tc>
          <w:tcPr>
            <w:tcW w:w="3604" w:type="pct"/>
            <w:shd w:val="clear" w:color="auto" w:fill="auto"/>
            <w:vAlign w:val="center"/>
          </w:tcPr>
          <w:p w14:paraId="57AF91A7" w14:textId="77777777" w:rsidR="00CC2233" w:rsidRPr="007F3195" w:rsidRDefault="00CC2233" w:rsidP="00700BF0">
            <w:pPr>
              <w:pStyle w:val="TableText0"/>
            </w:pPr>
            <w:r w:rsidRPr="007F3195">
              <w:t>Markov state transition model</w:t>
            </w:r>
          </w:p>
        </w:tc>
      </w:tr>
      <w:tr w:rsidR="00CC2233" w:rsidRPr="007F3195" w14:paraId="56546509" w14:textId="77777777" w:rsidTr="00700BF0">
        <w:tc>
          <w:tcPr>
            <w:tcW w:w="1396" w:type="pct"/>
            <w:shd w:val="clear" w:color="auto" w:fill="auto"/>
            <w:vAlign w:val="center"/>
          </w:tcPr>
          <w:p w14:paraId="3E3EF7EF" w14:textId="77777777" w:rsidR="00CC2233" w:rsidRPr="007F3195" w:rsidRDefault="00CC2233" w:rsidP="00700BF0">
            <w:pPr>
              <w:pStyle w:val="TableText0"/>
            </w:pPr>
            <w:r w:rsidRPr="007F3195">
              <w:t>Health states</w:t>
            </w:r>
          </w:p>
        </w:tc>
        <w:tc>
          <w:tcPr>
            <w:tcW w:w="3604" w:type="pct"/>
            <w:shd w:val="clear" w:color="auto" w:fill="auto"/>
            <w:vAlign w:val="center"/>
          </w:tcPr>
          <w:p w14:paraId="10BA4E24" w14:textId="7B0ABFC9" w:rsidR="00CC2233" w:rsidRPr="007F3195" w:rsidRDefault="00CC2233" w:rsidP="00700BF0">
            <w:pPr>
              <w:pStyle w:val="TableText0"/>
            </w:pPr>
            <w:r w:rsidRPr="007F3195">
              <w:t>States defined by viral load (&lt;50, 50-199, &gt;200) and CD4 cells count (&lt;50, 50-</w:t>
            </w:r>
            <w:r w:rsidR="0099664A" w:rsidRPr="007F3195">
              <w:t>199</w:t>
            </w:r>
            <w:r w:rsidRPr="007F3195">
              <w:t>, 200-</w:t>
            </w:r>
            <w:r w:rsidR="0099664A" w:rsidRPr="007F3195">
              <w:t>499</w:t>
            </w:r>
            <w:r w:rsidRPr="007F3195">
              <w:t>, &gt;500).</w:t>
            </w:r>
          </w:p>
        </w:tc>
      </w:tr>
      <w:tr w:rsidR="00804DEC" w:rsidRPr="007F3195" w14:paraId="0032EA80" w14:textId="77777777" w:rsidTr="00700BF0">
        <w:tc>
          <w:tcPr>
            <w:tcW w:w="1396" w:type="pct"/>
            <w:shd w:val="clear" w:color="auto" w:fill="auto"/>
            <w:vAlign w:val="center"/>
          </w:tcPr>
          <w:p w14:paraId="3540A892" w14:textId="0D0AE748" w:rsidR="00804DEC" w:rsidRPr="007F3195" w:rsidRDefault="000702A5" w:rsidP="00700BF0">
            <w:pPr>
              <w:pStyle w:val="TableText0"/>
            </w:pPr>
            <w:r w:rsidRPr="007F3195">
              <w:t>C</w:t>
            </w:r>
            <w:r w:rsidR="00804DEC" w:rsidRPr="007F3195">
              <w:t>osts</w:t>
            </w:r>
          </w:p>
        </w:tc>
        <w:tc>
          <w:tcPr>
            <w:tcW w:w="3604" w:type="pct"/>
            <w:shd w:val="clear" w:color="auto" w:fill="auto"/>
            <w:vAlign w:val="center"/>
          </w:tcPr>
          <w:p w14:paraId="7933EB83" w14:textId="6496A4E7" w:rsidR="00804DEC" w:rsidRPr="007F3195" w:rsidRDefault="00E029DB" w:rsidP="00700BF0">
            <w:pPr>
              <w:pStyle w:val="TableText0"/>
            </w:pPr>
            <w:r w:rsidRPr="007F3195">
              <w:t>The s</w:t>
            </w:r>
            <w:r w:rsidR="00804DEC" w:rsidRPr="007F3195">
              <w:t>ubmission estimated drug acquisition costs, administration costs, disease management costs</w:t>
            </w:r>
            <w:r w:rsidR="0099664A" w:rsidRPr="007F3195">
              <w:t>, ARE costs</w:t>
            </w:r>
            <w:r w:rsidR="004F6183">
              <w:t>,</w:t>
            </w:r>
            <w:r w:rsidR="0099664A" w:rsidRPr="007F3195">
              <w:t xml:space="preserve"> TRAE costs (not in base case), </w:t>
            </w:r>
            <w:r w:rsidR="008E6CE2">
              <w:t>t</w:t>
            </w:r>
            <w:r w:rsidR="0099664A" w:rsidRPr="007F3195">
              <w:t>reatment switching costs</w:t>
            </w:r>
            <w:r w:rsidR="004F6183">
              <w:t>,</w:t>
            </w:r>
            <w:r w:rsidR="0099664A" w:rsidRPr="007F3195">
              <w:t xml:space="preserve"> </w:t>
            </w:r>
            <w:r w:rsidR="008E6CE2">
              <w:t>s</w:t>
            </w:r>
            <w:r w:rsidR="0099664A" w:rsidRPr="007F3195">
              <w:t xml:space="preserve">ocietal costs (not in base case). </w:t>
            </w:r>
            <w:r w:rsidR="00804DEC" w:rsidRPr="007F3195">
              <w:t>Disease management costs included in the model depended on CD4 cell count and were sourced from Schneider (2014)</w:t>
            </w:r>
            <w:r w:rsidR="00D061C2">
              <w:t xml:space="preserve"> which included</w:t>
            </w:r>
            <w:r w:rsidR="00804DEC" w:rsidRPr="007F3195">
              <w:t xml:space="preserve"> a detailed micro-costing (conducted using 2013 costs) conducted in Australia. </w:t>
            </w:r>
            <w:r w:rsidR="00D061C2">
              <w:t>The evaluation considered that</w:t>
            </w:r>
            <w:r w:rsidR="00D061C2" w:rsidRPr="007F3195">
              <w:t xml:space="preserve"> </w:t>
            </w:r>
            <w:r w:rsidR="00804DEC" w:rsidRPr="007F3195">
              <w:t>the separate inclusion of ARE costs and costs of treatment switching included into the model, there was a degree of double counting in the CD4 &lt;50 and 50-199 cells/mm</w:t>
            </w:r>
            <w:r w:rsidR="00804DEC" w:rsidRPr="007F3195">
              <w:rPr>
                <w:vertAlign w:val="superscript"/>
              </w:rPr>
              <w:t>3</w:t>
            </w:r>
            <w:r w:rsidR="00804DEC" w:rsidRPr="007F3195">
              <w:t xml:space="preserve"> health states which favoured lenacapavir</w:t>
            </w:r>
            <w:r w:rsidR="0099664A" w:rsidRPr="007F3195">
              <w:t>.</w:t>
            </w:r>
          </w:p>
          <w:p w14:paraId="1FA46F4A" w14:textId="77777777" w:rsidR="0099664A" w:rsidRPr="007F3195" w:rsidRDefault="0099664A" w:rsidP="00700BF0">
            <w:pPr>
              <w:pStyle w:val="TableText0"/>
            </w:pPr>
          </w:p>
          <w:p w14:paraId="0C8FB582" w14:textId="004FBB52" w:rsidR="0099664A" w:rsidRPr="007F3195" w:rsidRDefault="0099664A" w:rsidP="00700BF0">
            <w:pPr>
              <w:pStyle w:val="TableText0"/>
            </w:pPr>
            <w:r w:rsidRPr="007F3195">
              <w:t xml:space="preserve">Overall the model was not sensitive to costs outside of drug acquisition costs. </w:t>
            </w:r>
          </w:p>
        </w:tc>
      </w:tr>
      <w:tr w:rsidR="00CC2233" w:rsidRPr="007F3195" w14:paraId="20608AC6" w14:textId="77777777" w:rsidTr="00700BF0">
        <w:tc>
          <w:tcPr>
            <w:tcW w:w="1396" w:type="pct"/>
            <w:shd w:val="clear" w:color="auto" w:fill="auto"/>
            <w:vAlign w:val="center"/>
          </w:tcPr>
          <w:p w14:paraId="7EB4FFAE" w14:textId="77777777" w:rsidR="00CC2233" w:rsidRPr="007F3195" w:rsidRDefault="00CC2233" w:rsidP="00700BF0">
            <w:pPr>
              <w:pStyle w:val="TableText0"/>
            </w:pPr>
            <w:r w:rsidRPr="007F3195">
              <w:t>Cycle length</w:t>
            </w:r>
          </w:p>
        </w:tc>
        <w:tc>
          <w:tcPr>
            <w:tcW w:w="3604" w:type="pct"/>
            <w:shd w:val="clear" w:color="auto" w:fill="auto"/>
            <w:vAlign w:val="center"/>
          </w:tcPr>
          <w:p w14:paraId="00C1A842" w14:textId="77777777" w:rsidR="00CC2233" w:rsidRPr="007F3195" w:rsidRDefault="00CC2233" w:rsidP="00700BF0">
            <w:pPr>
              <w:pStyle w:val="TableText0"/>
            </w:pPr>
            <w:r w:rsidRPr="007F3195">
              <w:t>3 months, with an optional 2-week first cycle</w:t>
            </w:r>
          </w:p>
        </w:tc>
      </w:tr>
      <w:tr w:rsidR="00CC2233" w:rsidRPr="007F3195" w14:paraId="44B1BD0D" w14:textId="77777777" w:rsidTr="00700BF0">
        <w:tc>
          <w:tcPr>
            <w:tcW w:w="1396" w:type="pct"/>
            <w:shd w:val="clear" w:color="auto" w:fill="auto"/>
            <w:vAlign w:val="center"/>
          </w:tcPr>
          <w:p w14:paraId="32B89A82" w14:textId="77777777" w:rsidR="00CC2233" w:rsidRPr="007F3195" w:rsidRDefault="00CC2233" w:rsidP="00700BF0">
            <w:pPr>
              <w:pStyle w:val="TableText0"/>
            </w:pPr>
            <w:r w:rsidRPr="007F3195">
              <w:t xml:space="preserve">Transition probabilities </w:t>
            </w:r>
          </w:p>
        </w:tc>
        <w:tc>
          <w:tcPr>
            <w:tcW w:w="3604" w:type="pct"/>
            <w:shd w:val="clear" w:color="auto" w:fill="auto"/>
            <w:vAlign w:val="center"/>
          </w:tcPr>
          <w:p w14:paraId="65C45EF1" w14:textId="1464B864" w:rsidR="00E029DB" w:rsidRPr="007F3195" w:rsidRDefault="00CC2233" w:rsidP="00700BF0">
            <w:pPr>
              <w:pStyle w:val="TableText0"/>
            </w:pPr>
            <w:r w:rsidRPr="007F3195">
              <w:t xml:space="preserve">Based on </w:t>
            </w:r>
            <w:r w:rsidR="00A91E79" w:rsidRPr="000B0208">
              <w:t>a</w:t>
            </w:r>
            <w:r w:rsidR="004F6183" w:rsidRPr="000B0208">
              <w:t>n unverified</w:t>
            </w:r>
            <w:r w:rsidR="00A91E79" w:rsidRPr="000B0208">
              <w:t xml:space="preserve"> supplementary analysis of </w:t>
            </w:r>
            <w:r w:rsidRPr="000B0208">
              <w:t>individual</w:t>
            </w:r>
            <w:r w:rsidRPr="007F3195">
              <w:t xml:space="preserve"> patient data from CAPELLA and the literature</w:t>
            </w:r>
            <w:r w:rsidR="000E0BF1" w:rsidRPr="007F3195">
              <w:t xml:space="preserve">. </w:t>
            </w:r>
          </w:p>
          <w:p w14:paraId="6F0C44A1" w14:textId="4AD2D0C2" w:rsidR="00CC2233" w:rsidRPr="007F3195" w:rsidRDefault="000E0BF1" w:rsidP="00700BF0">
            <w:pPr>
              <w:pStyle w:val="TableText0"/>
            </w:pPr>
            <w:r w:rsidRPr="007F3195">
              <w:t xml:space="preserve">Mortality was modelled by CD4 health state based on data from Mangal </w:t>
            </w:r>
            <w:r w:rsidR="006F47F9" w:rsidRPr="007F3195">
              <w:t>(</w:t>
            </w:r>
            <w:r w:rsidRPr="007F3195">
              <w:t>2017</w:t>
            </w:r>
            <w:r w:rsidR="006F47F9" w:rsidRPr="007F3195">
              <w:t>)</w:t>
            </w:r>
            <w:r w:rsidRPr="007F3195">
              <w:t xml:space="preserve"> and Australian life tables. The model was not sensitive to changing the mortality source to Mocroft (2003).</w:t>
            </w:r>
          </w:p>
        </w:tc>
      </w:tr>
      <w:tr w:rsidR="00CC2233" w:rsidRPr="007F3195" w14:paraId="1C4A0808" w14:textId="77777777" w:rsidTr="00700BF0">
        <w:tc>
          <w:tcPr>
            <w:tcW w:w="1396" w:type="pct"/>
            <w:shd w:val="clear" w:color="auto" w:fill="auto"/>
            <w:vAlign w:val="center"/>
          </w:tcPr>
          <w:p w14:paraId="71AE74CF" w14:textId="77777777" w:rsidR="00CC2233" w:rsidRPr="007F3195" w:rsidRDefault="00CC2233" w:rsidP="00700BF0">
            <w:pPr>
              <w:pStyle w:val="TableText0"/>
            </w:pPr>
            <w:r w:rsidRPr="007F3195">
              <w:t>Extrapolation method</w:t>
            </w:r>
          </w:p>
        </w:tc>
        <w:tc>
          <w:tcPr>
            <w:tcW w:w="3604" w:type="pct"/>
            <w:shd w:val="clear" w:color="auto" w:fill="auto"/>
            <w:vAlign w:val="center"/>
          </w:tcPr>
          <w:p w14:paraId="330F8F18" w14:textId="77777777" w:rsidR="00D061C2" w:rsidRDefault="00CC2233" w:rsidP="00700BF0">
            <w:pPr>
              <w:pStyle w:val="TableText0"/>
            </w:pPr>
            <w:r w:rsidRPr="007F3195">
              <w:t>Vir</w:t>
            </w:r>
            <w:r w:rsidR="00AD0204" w:rsidRPr="007F3195">
              <w:t>o</w:t>
            </w:r>
            <w:r w:rsidRPr="007F3195">
              <w:t>l</w:t>
            </w:r>
            <w:r w:rsidR="00AD0204" w:rsidRPr="007F3195">
              <w:t>ogic</w:t>
            </w:r>
            <w:r w:rsidRPr="007F3195">
              <w:t xml:space="preserve"> suppression at &lt;</w:t>
            </w:r>
            <w:r w:rsidR="0051136B" w:rsidRPr="007F3195">
              <w:t xml:space="preserve"> </w:t>
            </w:r>
            <w:r w:rsidRPr="007F3195">
              <w:t>50 copies/mL and at &lt;</w:t>
            </w:r>
            <w:r w:rsidR="00D061C2">
              <w:t xml:space="preserve"> </w:t>
            </w:r>
            <w:r w:rsidRPr="007F3195">
              <w:t>200 copies mL were extrapolated using exponential models. No other parametric models were tested. The submission</w:t>
            </w:r>
            <w:r w:rsidR="0051136B" w:rsidRPr="007F3195">
              <w:t>’s</w:t>
            </w:r>
            <w:r w:rsidRPr="007F3195">
              <w:t xml:space="preserve"> base case used the extrapolated transitions for the entirety of the model. </w:t>
            </w:r>
          </w:p>
          <w:p w14:paraId="4CC42847" w14:textId="44740C7A" w:rsidR="00CC2233" w:rsidRPr="007F3195" w:rsidRDefault="00CC2233" w:rsidP="00700BF0">
            <w:pPr>
              <w:pStyle w:val="TableText0"/>
            </w:pPr>
            <w:r w:rsidRPr="007F3195">
              <w:t>100% of QALYs (and 100% of costs) occur in the extrapolated period.</w:t>
            </w:r>
          </w:p>
        </w:tc>
      </w:tr>
      <w:tr w:rsidR="00CC2233" w:rsidRPr="007F3195" w14:paraId="5E15EE40" w14:textId="77777777" w:rsidTr="00700BF0">
        <w:tc>
          <w:tcPr>
            <w:tcW w:w="1396" w:type="pct"/>
            <w:shd w:val="clear" w:color="auto" w:fill="auto"/>
            <w:vAlign w:val="center"/>
          </w:tcPr>
          <w:p w14:paraId="5F22E562" w14:textId="77777777" w:rsidR="00CC2233" w:rsidRPr="007F3195" w:rsidRDefault="00CC2233" w:rsidP="00700BF0">
            <w:pPr>
              <w:pStyle w:val="TableText0"/>
            </w:pPr>
            <w:r w:rsidRPr="007F3195">
              <w:t>Health related quality of life</w:t>
            </w:r>
          </w:p>
        </w:tc>
        <w:tc>
          <w:tcPr>
            <w:tcW w:w="3604" w:type="pct"/>
            <w:shd w:val="clear" w:color="auto" w:fill="auto"/>
            <w:vAlign w:val="center"/>
          </w:tcPr>
          <w:p w14:paraId="58C6CF92" w14:textId="5DDFE7F6" w:rsidR="00CC2233" w:rsidRPr="007F3195" w:rsidRDefault="00CC2233" w:rsidP="00700BF0">
            <w:pPr>
              <w:pStyle w:val="TableText0"/>
            </w:pPr>
            <w:r w:rsidRPr="007F3195">
              <w:t xml:space="preserve">Utility values </w:t>
            </w:r>
            <w:r w:rsidR="00174257">
              <w:t>were based on</w:t>
            </w:r>
            <w:r w:rsidRPr="007F3195">
              <w:t xml:space="preserve"> Schneider </w:t>
            </w:r>
            <w:r w:rsidR="00B63E4A" w:rsidRPr="007F3195">
              <w:t>(</w:t>
            </w:r>
            <w:r w:rsidRPr="007F3195">
              <w:t>2014</w:t>
            </w:r>
            <w:r w:rsidR="00B63E4A" w:rsidRPr="007F3195">
              <w:t>)</w:t>
            </w:r>
            <w:r w:rsidR="00C2421B">
              <w:t xml:space="preserve"> and</w:t>
            </w:r>
            <w:r w:rsidRPr="007F3195">
              <w:t xml:space="preserve"> Tengs (2002). Utility values were based on CD4 count (copies/mm</w:t>
            </w:r>
            <w:r w:rsidRPr="007F3195">
              <w:rPr>
                <w:vertAlign w:val="superscript"/>
              </w:rPr>
              <w:t>3</w:t>
            </w:r>
            <w:r w:rsidRPr="007F3195">
              <w:t>): &lt;</w:t>
            </w:r>
            <w:r w:rsidR="00B63E4A" w:rsidRPr="007F3195">
              <w:t xml:space="preserve"> </w:t>
            </w:r>
            <w:r w:rsidRPr="007F3195">
              <w:t>50 =</w:t>
            </w:r>
            <w:r w:rsidR="00D061C2">
              <w:t xml:space="preserve"> </w:t>
            </w:r>
            <w:r w:rsidRPr="007F3195">
              <w:t>0.702; 50-200 = 0.702; 200-500 = 0.877; &gt;</w:t>
            </w:r>
            <w:r w:rsidR="00B63E4A" w:rsidRPr="007F3195">
              <w:t xml:space="preserve"> </w:t>
            </w:r>
            <w:r w:rsidRPr="007F3195">
              <w:t>500 = 0.935</w:t>
            </w:r>
          </w:p>
        </w:tc>
      </w:tr>
    </w:tbl>
    <w:p w14:paraId="0A6201C4" w14:textId="77777777" w:rsidR="00CC2233" w:rsidRPr="00C4404D" w:rsidRDefault="00CC2233" w:rsidP="00CC2233">
      <w:pPr>
        <w:pStyle w:val="FooterTableFigure"/>
        <w:rPr>
          <w:sz w:val="20"/>
        </w:rPr>
      </w:pPr>
      <w:r w:rsidRPr="00C4404D">
        <w:t>Source: Table 3-1, p140 of the submission</w:t>
      </w:r>
    </w:p>
    <w:p w14:paraId="6CEA80FC" w14:textId="2DBAD69E" w:rsidR="00CC2233" w:rsidRPr="00C4404D" w:rsidRDefault="00E029DB" w:rsidP="00CC2233">
      <w:pPr>
        <w:pStyle w:val="FooterTableFigure"/>
      </w:pPr>
      <w:r>
        <w:t xml:space="preserve">ARE = AIDS-related costs; </w:t>
      </w:r>
      <w:r w:rsidR="00CC2233" w:rsidRPr="00C4404D">
        <w:t xml:space="preserve">LYG = life-years gained; OBR = optimised background regimen; </w:t>
      </w:r>
      <w:r>
        <w:t xml:space="preserve">TRAE = treatment related adverse events; </w:t>
      </w:r>
      <w:r w:rsidR="00CC2233" w:rsidRPr="00C4404D">
        <w:t>QALY = quality-adjusted life years</w:t>
      </w:r>
    </w:p>
    <w:p w14:paraId="0C35A818" w14:textId="4238EBD0" w:rsidR="00580E5C" w:rsidRPr="00580E5C" w:rsidRDefault="00580E5C" w:rsidP="00817486">
      <w:pPr>
        <w:pStyle w:val="3-BodyText"/>
        <w:rPr>
          <w:i/>
          <w:iCs/>
        </w:rPr>
      </w:pPr>
      <w:r>
        <w:lastRenderedPageBreak/>
        <w:t xml:space="preserve">An overview of the model structure is presented in </w:t>
      </w:r>
      <w:r>
        <w:fldChar w:fldCharType="begin"/>
      </w:r>
      <w:r>
        <w:instrText xml:space="preserve"> REF _Ref113291504 \h </w:instrText>
      </w:r>
      <w:r>
        <w:fldChar w:fldCharType="separate"/>
      </w:r>
      <w:r w:rsidR="0050086F">
        <w:t xml:space="preserve">Figure </w:t>
      </w:r>
      <w:r w:rsidR="0050086F">
        <w:rPr>
          <w:noProof/>
        </w:rPr>
        <w:t>6</w:t>
      </w:r>
      <w:r>
        <w:fldChar w:fldCharType="end"/>
      </w:r>
      <w:r>
        <w:t>.</w:t>
      </w:r>
      <w:r w:rsidR="00037CF9">
        <w:t xml:space="preserve"> </w:t>
      </w:r>
    </w:p>
    <w:p w14:paraId="1684059F" w14:textId="11C6AE87" w:rsidR="00580E5C" w:rsidRPr="00C4404D" w:rsidRDefault="00580E5C" w:rsidP="00580E5C">
      <w:pPr>
        <w:pStyle w:val="Caption"/>
        <w:rPr>
          <w:b w:val="0"/>
          <w:bCs w:val="0"/>
          <w:szCs w:val="20"/>
        </w:rPr>
      </w:pPr>
      <w:bookmarkStart w:id="62" w:name="_Ref113291504"/>
      <w:r>
        <w:t xml:space="preserve">Figure </w:t>
      </w:r>
      <w:fldSimple w:instr=" SEQ Figure \* ARABIC ">
        <w:r w:rsidR="0050086F">
          <w:rPr>
            <w:noProof/>
          </w:rPr>
          <w:t>6</w:t>
        </w:r>
      </w:fldSimple>
      <w:bookmarkEnd w:id="62"/>
      <w:r w:rsidRPr="00C4404D">
        <w:rPr>
          <w:szCs w:val="20"/>
        </w:rPr>
        <w:t>: Overview of model structure</w:t>
      </w:r>
    </w:p>
    <w:p w14:paraId="61D8535E" w14:textId="77777777" w:rsidR="00580E5C" w:rsidRPr="00C4404D" w:rsidRDefault="00580E5C" w:rsidP="00580E5C">
      <w:pPr>
        <w:keepNext/>
        <w:keepLines/>
        <w:spacing w:after="120"/>
        <w:rPr>
          <w:rFonts w:ascii="Arial Narrow" w:hAnsi="Arial Narrow"/>
          <w:sz w:val="20"/>
          <w:szCs w:val="20"/>
        </w:rPr>
      </w:pPr>
      <w:r w:rsidRPr="00C4404D">
        <w:rPr>
          <w:rFonts w:ascii="Arial Narrow" w:hAnsi="Arial Narrow"/>
          <w:noProof/>
          <w:sz w:val="20"/>
          <w:szCs w:val="20"/>
        </w:rPr>
        <w:drawing>
          <wp:inline distT="0" distB="0" distL="0" distR="0" wp14:anchorId="4303163D" wp14:editId="1BD1FC16">
            <wp:extent cx="5494056" cy="1852654"/>
            <wp:effectExtent l="0" t="0" r="0" b="0"/>
            <wp:docPr id="3" name="Picture 8" descr="Figure 6: Overview of model structure">
              <a:extLst xmlns:a="http://schemas.openxmlformats.org/drawingml/2006/main">
                <a:ext uri="{FF2B5EF4-FFF2-40B4-BE49-F238E27FC236}">
                  <a16:creationId xmlns:a16="http://schemas.microsoft.com/office/drawing/2014/main" id="{88BA0E9C-9547-426D-BECE-3B850DFEB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Figure 6: Overview of model structure">
                      <a:extLst>
                        <a:ext uri="{FF2B5EF4-FFF2-40B4-BE49-F238E27FC236}">
                          <a16:creationId xmlns:a16="http://schemas.microsoft.com/office/drawing/2014/main" id="{88BA0E9C-9547-426D-BECE-3B850DFEB1AF}"/>
                        </a:ext>
                      </a:extLst>
                    </pic:cNvPr>
                    <pic:cNvPicPr>
                      <a:picLocks noChangeAspect="1"/>
                    </pic:cNvPicPr>
                  </pic:nvPicPr>
                  <pic:blipFill>
                    <a:blip r:embed="rId13"/>
                    <a:stretch>
                      <a:fillRect/>
                    </a:stretch>
                  </pic:blipFill>
                  <pic:spPr>
                    <a:xfrm>
                      <a:off x="0" y="0"/>
                      <a:ext cx="5499208" cy="1854391"/>
                    </a:xfrm>
                    <a:prstGeom prst="rect">
                      <a:avLst/>
                    </a:prstGeom>
                  </pic:spPr>
                </pic:pic>
              </a:graphicData>
            </a:graphic>
          </wp:inline>
        </w:drawing>
      </w:r>
      <w:r w:rsidRPr="00C4404D">
        <w:rPr>
          <w:rFonts w:ascii="Arial Narrow" w:hAnsi="Arial Narrow"/>
          <w:sz w:val="20"/>
          <w:szCs w:val="20"/>
        </w:rPr>
        <w:t>Source: Figure 3.1, p142 of the submission</w:t>
      </w:r>
    </w:p>
    <w:p w14:paraId="700C560E" w14:textId="15ECF8F5" w:rsidR="00580E5C" w:rsidRPr="00C6628C" w:rsidRDefault="00C6628C" w:rsidP="00817486">
      <w:pPr>
        <w:pStyle w:val="3-BodyText"/>
      </w:pPr>
      <w:r w:rsidRPr="00C6628C">
        <w:t>Patients transition between health states defined by both viral load and CD4 cell count (for example, such a state may be defined as: viral load &lt;</w:t>
      </w:r>
      <w:r w:rsidR="00B63E4A">
        <w:t xml:space="preserve"> </w:t>
      </w:r>
      <w:r w:rsidRPr="00C6628C">
        <w:t>50 copies/mL, and CD4 cell count &gt;</w:t>
      </w:r>
      <w:r w:rsidR="00B63E4A">
        <w:t xml:space="preserve"> </w:t>
      </w:r>
      <w:r w:rsidRPr="00C6628C">
        <w:t>500 cells/mm</w:t>
      </w:r>
      <w:r w:rsidRPr="005965B0">
        <w:rPr>
          <w:vertAlign w:val="superscript"/>
        </w:rPr>
        <w:t>3</w:t>
      </w:r>
      <w:r w:rsidRPr="00C6628C">
        <w:t>).</w:t>
      </w:r>
      <w:r w:rsidR="00176873">
        <w:t xml:space="preserve"> </w:t>
      </w:r>
      <w:r w:rsidR="005965B0">
        <w:t xml:space="preserve">Each health state was associated with a </w:t>
      </w:r>
      <w:r w:rsidR="0039063C">
        <w:t xml:space="preserve">specific disease management cost. </w:t>
      </w:r>
      <w:r w:rsidR="00176873">
        <w:t>Patients with CD4 &lt;</w:t>
      </w:r>
      <w:r w:rsidR="00B63E4A">
        <w:t xml:space="preserve"> </w:t>
      </w:r>
      <w:r w:rsidR="00176873">
        <w:t>200</w:t>
      </w:r>
      <w:r w:rsidR="005965B0">
        <w:t xml:space="preserve"> cells/mm</w:t>
      </w:r>
      <w:r w:rsidR="005965B0">
        <w:rPr>
          <w:vertAlign w:val="superscript"/>
        </w:rPr>
        <w:t>3</w:t>
      </w:r>
      <w:r w:rsidR="005965B0">
        <w:t xml:space="preserve"> (irrespective of treatment) </w:t>
      </w:r>
      <w:r w:rsidR="009369F3">
        <w:t xml:space="preserve">were assigned probabilities associated with </w:t>
      </w:r>
      <w:r w:rsidR="00B63E4A">
        <w:t>a</w:t>
      </w:r>
      <w:r w:rsidR="005965B0" w:rsidRPr="005965B0">
        <w:t xml:space="preserve">cquired </w:t>
      </w:r>
      <w:r w:rsidR="00B63E4A">
        <w:t>i</w:t>
      </w:r>
      <w:r w:rsidR="005965B0" w:rsidRPr="005965B0">
        <w:t xml:space="preserve">mmunodeficiency </w:t>
      </w:r>
      <w:r w:rsidR="00B63E4A">
        <w:t>s</w:t>
      </w:r>
      <w:r w:rsidR="005965B0" w:rsidRPr="005965B0">
        <w:t>yndrome (AIDS) related events (ARE</w:t>
      </w:r>
      <w:r w:rsidR="00B63E4A">
        <w:t>s</w:t>
      </w:r>
      <w:r w:rsidR="005965B0" w:rsidRPr="005965B0">
        <w:t>)</w:t>
      </w:r>
      <w:r w:rsidR="0039063C">
        <w:t xml:space="preserve"> which led to increased disutility and higher costs</w:t>
      </w:r>
      <w:r w:rsidR="005965B0">
        <w:t>.</w:t>
      </w:r>
      <w:r w:rsidR="0039063C">
        <w:t xml:space="preserve"> Mortality was a function of CD4 cell count</w:t>
      </w:r>
      <w:r w:rsidR="00EF61DE">
        <w:t xml:space="preserve"> and age</w:t>
      </w:r>
      <w:r w:rsidR="00233B6F">
        <w:t>.</w:t>
      </w:r>
      <w:r w:rsidR="007A5400">
        <w:t xml:space="preserve"> </w:t>
      </w:r>
    </w:p>
    <w:p w14:paraId="1A219947" w14:textId="696FF125" w:rsidR="00815632" w:rsidRPr="00815632" w:rsidRDefault="00815632" w:rsidP="00815632">
      <w:pPr>
        <w:pStyle w:val="3-BodyText"/>
      </w:pPr>
      <w:r w:rsidRPr="00815632">
        <w:t xml:space="preserve">Treatment failure was based on a </w:t>
      </w:r>
      <w:r w:rsidR="006970BC">
        <w:t xml:space="preserve">viral load </w:t>
      </w:r>
      <w:r w:rsidRPr="00815632">
        <w:t>threshold of ≥</w:t>
      </w:r>
      <w:r w:rsidR="006970BC">
        <w:t xml:space="preserve"> </w:t>
      </w:r>
      <w:r w:rsidRPr="00815632">
        <w:t>200 copies/mL. The submission acknowledged that this may be more stringent than the recommended ≥</w:t>
      </w:r>
      <w:r w:rsidR="00A91E79">
        <w:t> </w:t>
      </w:r>
      <w:r w:rsidRPr="00815632">
        <w:t xml:space="preserve">300 copies/mL, based on clinician feedback the submission </w:t>
      </w:r>
      <w:r w:rsidR="006970BC">
        <w:t>reported</w:t>
      </w:r>
      <w:r w:rsidRPr="00815632">
        <w:t xml:space="preserve"> to have received</w:t>
      </w:r>
      <w:r w:rsidR="006970BC">
        <w:t>.</w:t>
      </w:r>
      <w:r w:rsidRPr="00815632">
        <w:t xml:space="preserve"> </w:t>
      </w:r>
      <w:r w:rsidR="006970BC">
        <w:t>T</w:t>
      </w:r>
      <w:r w:rsidRPr="00815632">
        <w:t>he submission noted that CAPELLA provides data for those achieving viral load of &lt;</w:t>
      </w:r>
      <w:r w:rsidR="006970BC">
        <w:t xml:space="preserve"> </w:t>
      </w:r>
      <w:r w:rsidRPr="00815632">
        <w:t>50 copies</w:t>
      </w:r>
      <w:r w:rsidR="006970BC">
        <w:t>/mL</w:t>
      </w:r>
      <w:r w:rsidRPr="00815632">
        <w:t xml:space="preserve"> and &lt;</w:t>
      </w:r>
      <w:r w:rsidR="006970BC">
        <w:t xml:space="preserve"> </w:t>
      </w:r>
      <w:r w:rsidRPr="00815632">
        <w:t>200 copies</w:t>
      </w:r>
      <w:r w:rsidR="006970BC">
        <w:t>/mL</w:t>
      </w:r>
      <w:r w:rsidRPr="00815632">
        <w:t xml:space="preserve">. The Markov trace indicates that fewer than 25% of </w:t>
      </w:r>
      <w:r w:rsidR="00D94B23" w:rsidRPr="00815632">
        <w:t>lenacapavir</w:t>
      </w:r>
      <w:r w:rsidRPr="00815632">
        <w:t xml:space="preserve"> + OBR </w:t>
      </w:r>
      <w:r w:rsidR="00D94B23" w:rsidRPr="00815632">
        <w:t>patients</w:t>
      </w:r>
      <w:r w:rsidRPr="00815632">
        <w:t xml:space="preserve"> remain on lenacapavir at 4 years of treatment, and fewer than 5% remain on lenacapavir after 10 years</w:t>
      </w:r>
      <w:r w:rsidR="008C7AED">
        <w:rPr>
          <w:rStyle w:val="FootnoteReference"/>
        </w:rPr>
        <w:footnoteReference w:id="11"/>
      </w:r>
      <w:r w:rsidRPr="00815632">
        <w:t xml:space="preserve">. </w:t>
      </w:r>
    </w:p>
    <w:p w14:paraId="0B85143D" w14:textId="3C97F2FB" w:rsidR="00D52573" w:rsidRPr="00D52573" w:rsidRDefault="00CC2233" w:rsidP="00817486">
      <w:pPr>
        <w:pStyle w:val="3-BodyText"/>
      </w:pPr>
      <w:r w:rsidRPr="007F3195">
        <w:t>The</w:t>
      </w:r>
      <w:r w:rsidR="00174257">
        <w:t xml:space="preserve"> evaluation considered that the</w:t>
      </w:r>
      <w:r w:rsidRPr="007F3195">
        <w:t xml:space="preserve"> overall structure of the model was reasonable and consistent with other models in the literature. However, </w:t>
      </w:r>
      <w:r w:rsidR="00817486" w:rsidRPr="007F3195">
        <w:t xml:space="preserve">there were a high number of health states in the model (four viral load health states, with each viral load health state having one of four corresponding CD4 cell count health state for a total of 16 viral load/CD4 health states) with complex transitions (e.g. transitions differed depending on current treatment and CD4 cell count). Given the uncertainty associated with the presented </w:t>
      </w:r>
      <w:r w:rsidR="00E703DF" w:rsidRPr="007F3195">
        <w:t xml:space="preserve">unanchored </w:t>
      </w:r>
      <w:r w:rsidR="00817486" w:rsidRPr="007F3195">
        <w:t xml:space="preserve">indirect comparison, the clinical evidence was unlikely </w:t>
      </w:r>
      <w:r w:rsidR="00DE6BAA" w:rsidRPr="007F3195">
        <w:t xml:space="preserve">to be </w:t>
      </w:r>
      <w:r w:rsidR="00817486" w:rsidRPr="007F3195">
        <w:t xml:space="preserve">robust enough to accurately inform the transitions in the model. </w:t>
      </w:r>
    </w:p>
    <w:p w14:paraId="2BA0185A" w14:textId="0ADAC03A" w:rsidR="007D3310" w:rsidRPr="00E52AC5" w:rsidRDefault="00D52573" w:rsidP="003E70C0">
      <w:pPr>
        <w:pStyle w:val="3-BodyText"/>
      </w:pPr>
      <w:r w:rsidRPr="00E52AC5">
        <w:rPr>
          <w:color w:val="000000" w:themeColor="text1"/>
        </w:rPr>
        <w:lastRenderedPageBreak/>
        <w:t>The ESC agreed with the evaluation and considered that due to the small size of the CAPELLA study, there was insufficient data to inform a 16 health state model and therefore the model, as presented, was likely not informative for decision-making. Furthermore, the ESC noted that while longer-term open label data may have been used in the model, only 14 days of randomised data was available and considered this also introduced</w:t>
      </w:r>
      <w:r w:rsidR="00B12557" w:rsidRPr="00E52AC5">
        <w:rPr>
          <w:color w:val="000000" w:themeColor="text1"/>
        </w:rPr>
        <w:t xml:space="preserve"> substantial</w:t>
      </w:r>
      <w:r w:rsidRPr="00E52AC5">
        <w:rPr>
          <w:color w:val="000000" w:themeColor="text1"/>
        </w:rPr>
        <w:t xml:space="preserve"> additional uncertainty</w:t>
      </w:r>
      <w:r w:rsidR="00B12557" w:rsidRPr="00E52AC5">
        <w:rPr>
          <w:color w:val="000000" w:themeColor="text1"/>
        </w:rPr>
        <w:t xml:space="preserve"> to an economic model extrapolated to a lifetime</w:t>
      </w:r>
      <w:r w:rsidRPr="00E52AC5">
        <w:rPr>
          <w:color w:val="000000" w:themeColor="text1"/>
        </w:rPr>
        <w:t>.</w:t>
      </w:r>
      <w:r w:rsidR="001E19D2">
        <w:rPr>
          <w:color w:val="000000" w:themeColor="text1"/>
        </w:rPr>
        <w:t xml:space="preserve"> </w:t>
      </w:r>
    </w:p>
    <w:p w14:paraId="43E0D831" w14:textId="7A1FEB12" w:rsidR="00430878" w:rsidRDefault="00430878" w:rsidP="00817486">
      <w:pPr>
        <w:pStyle w:val="3-BodyText"/>
      </w:pPr>
      <w:r w:rsidRPr="007F3195">
        <w:t xml:space="preserve">The assumption that patients will move onto salvage therapy (without lenacapavir) </w:t>
      </w:r>
      <w:r w:rsidR="00576F7E" w:rsidRPr="007F3195">
        <w:t xml:space="preserve">if their viral load exceeds 200 copies/mL </w:t>
      </w:r>
      <w:r w:rsidR="00B403EE" w:rsidRPr="007F3195">
        <w:t xml:space="preserve">was not consistent with the proposed restriction which did not specify a stopping rule and may lead to an underestimate in </w:t>
      </w:r>
      <w:r w:rsidR="00D94B23" w:rsidRPr="007F3195">
        <w:t>lenacapavir</w:t>
      </w:r>
      <w:r w:rsidR="00B403EE" w:rsidRPr="007F3195">
        <w:t xml:space="preserve"> usage in the economic model.</w:t>
      </w:r>
      <w:r w:rsidR="00B34637" w:rsidRPr="007F3195">
        <w:t xml:space="preserve"> This was not tested in a sensitivity analysis by the submission, and the model was not set up in a way that would allow for this to be tested easily during evaluation.</w:t>
      </w:r>
    </w:p>
    <w:p w14:paraId="1081DB7E" w14:textId="3852EEAB" w:rsidR="00CC2233" w:rsidRPr="007F3195" w:rsidRDefault="00CC2233" w:rsidP="00CC2233">
      <w:pPr>
        <w:pStyle w:val="3-BodyText"/>
      </w:pPr>
      <w:r w:rsidRPr="007F3195">
        <w:t>The submission presented a life-time</w:t>
      </w:r>
      <w:r w:rsidR="00DE6BAA" w:rsidRPr="007F3195">
        <w:t xml:space="preserve"> time</w:t>
      </w:r>
      <w:r w:rsidRPr="007F3195">
        <w:t xml:space="preserve"> horizon</w:t>
      </w:r>
      <w:r w:rsidR="000702A5" w:rsidRPr="007F3195">
        <w:t xml:space="preserve"> with a model starting age of 52</w:t>
      </w:r>
      <w:r w:rsidR="00D767F6" w:rsidRPr="007F3195">
        <w:t xml:space="preserve"> years</w:t>
      </w:r>
      <w:r w:rsidR="000702A5" w:rsidRPr="007F3195">
        <w:t xml:space="preserve"> based on the median age at baseline in CAPELLA</w:t>
      </w:r>
      <w:r w:rsidRPr="007F3195">
        <w:t>. Th</w:t>
      </w:r>
      <w:r w:rsidR="00E54FFB">
        <w:t>e evaluation considered that this</w:t>
      </w:r>
      <w:r w:rsidRPr="007F3195">
        <w:t xml:space="preserve"> was reasonable</w:t>
      </w:r>
      <w:r w:rsidR="008F4CF5" w:rsidRPr="007F3195">
        <w:t>.</w:t>
      </w:r>
      <w:r w:rsidRPr="007F3195">
        <w:t xml:space="preserve"> </w:t>
      </w:r>
      <w:r w:rsidR="008F4CF5" w:rsidRPr="007F3195">
        <w:t>H</w:t>
      </w:r>
      <w:r w:rsidRPr="007F3195">
        <w:t xml:space="preserve">owever, given the limited amount of clinical data (CAPELLA </w:t>
      </w:r>
      <w:r w:rsidR="00DE6BAA" w:rsidRPr="007F3195">
        <w:t xml:space="preserve">had </w:t>
      </w:r>
      <w:r w:rsidRPr="007F3195">
        <w:t>only one year follow-up</w:t>
      </w:r>
      <w:r w:rsidR="00AE44C7" w:rsidRPr="007F3195">
        <w:t xml:space="preserve"> for the majority of patients</w:t>
      </w:r>
      <w:r w:rsidRPr="007F3195">
        <w:t xml:space="preserve">) on which the model was based, extrapolating model benefits over decades </w:t>
      </w:r>
      <w:r w:rsidR="00D36E50" w:rsidRPr="007F3195">
        <w:t>is</w:t>
      </w:r>
      <w:r w:rsidRPr="007F3195">
        <w:t xml:space="preserve"> highly uncertain.</w:t>
      </w:r>
    </w:p>
    <w:p w14:paraId="6DBBD887" w14:textId="55D3C80C" w:rsidR="00B82D1E" w:rsidRDefault="00B82D1E" w:rsidP="00B82D1E">
      <w:pPr>
        <w:pStyle w:val="3-BodyText"/>
        <w:rPr>
          <w:rFonts w:ascii="Calibri" w:hAnsi="Calibri"/>
          <w:snapToGrid/>
        </w:rPr>
      </w:pPr>
      <w:bookmarkStart w:id="63" w:name="_Ref113808375"/>
      <w:r w:rsidRPr="007F3195">
        <w:t>The transition probabilities between viral load health states in the lenacapavir arm w</w:t>
      </w:r>
      <w:r w:rsidR="00E62EA2" w:rsidRPr="007F3195">
        <w:t>ere based on the observed transitions in CAPELLA</w:t>
      </w:r>
      <w:r w:rsidR="00BC54BA" w:rsidRPr="007F3195">
        <w:t xml:space="preserve">, Cohort </w:t>
      </w:r>
      <w:r w:rsidR="00E54FFB">
        <w:t>1</w:t>
      </w:r>
      <w:r w:rsidR="00BC54BA" w:rsidRPr="007F3195">
        <w:t>A (n=24)</w:t>
      </w:r>
      <w:r w:rsidR="00E62EA2" w:rsidRPr="007F3195">
        <w:t>. However</w:t>
      </w:r>
      <w:r w:rsidR="00ED5E27" w:rsidRPr="007F3195">
        <w:t>,</w:t>
      </w:r>
      <w:r w:rsidR="00E62EA2" w:rsidRPr="007F3195">
        <w:t xml:space="preserve"> t</w:t>
      </w:r>
      <w:r w:rsidRPr="007F3195">
        <w:t xml:space="preserve">he submission </w:t>
      </w:r>
      <w:r w:rsidR="00AE513D" w:rsidRPr="007F3195">
        <w:t xml:space="preserve">claimed </w:t>
      </w:r>
      <w:r w:rsidRPr="007F3195">
        <w:t>to have supplemented the CAPELLA CSR data with data from a separate trial</w:t>
      </w:r>
      <w:r w:rsidR="00E62EA2" w:rsidRPr="007F3195">
        <w:t>,</w:t>
      </w:r>
      <w:r w:rsidRPr="007F3195">
        <w:t xml:space="preserve"> GS-US-183-0145</w:t>
      </w:r>
      <w:r w:rsidR="00E62EA2" w:rsidRPr="007F3195">
        <w:t xml:space="preserve">. </w:t>
      </w:r>
      <w:r w:rsidR="0053109C" w:rsidRPr="007F3195">
        <w:t xml:space="preserve">This was never explicitly stated in the submission but </w:t>
      </w:r>
      <w:r w:rsidR="002715CC" w:rsidRPr="007F3195">
        <w:t xml:space="preserve">was referred to in the economic model. </w:t>
      </w:r>
      <w:r w:rsidR="00E62EA2" w:rsidRPr="007F3195">
        <w:t>GS-US-183-0145 was</w:t>
      </w:r>
      <w:r w:rsidRPr="007F3195">
        <w:t xml:space="preserve"> a trial of elvitegravir versus twice-daily raltegravir added to a background regimen. No explanation of how this adjustment was made and no justification of why this adjustment was necessary was provided. While the absolute change of this was small (e.g. at week 22, 26 and 104, an additional 1, 1 and 2 patients were assumed to have a viral load of 50-199 copies/mL, respectively)</w:t>
      </w:r>
      <w:r w:rsidR="00876F54" w:rsidRPr="007F3195">
        <w:t>,</w:t>
      </w:r>
      <w:r w:rsidRPr="007F3195">
        <w:t xml:space="preserve"> </w:t>
      </w:r>
      <w:r w:rsidR="00876F54" w:rsidRPr="007F3195">
        <w:t xml:space="preserve">there were only a </w:t>
      </w:r>
      <w:r w:rsidRPr="007F3195">
        <w:t>small number of patients</w:t>
      </w:r>
      <w:r w:rsidR="00BC54BA" w:rsidRPr="007F3195">
        <w:t xml:space="preserve"> in Cohort </w:t>
      </w:r>
      <w:r w:rsidR="000F1F18">
        <w:t>1</w:t>
      </w:r>
      <w:r w:rsidR="00BC54BA" w:rsidRPr="007F3195">
        <w:t>A (n=24)</w:t>
      </w:r>
      <w:r w:rsidR="00876F54" w:rsidRPr="007F3195">
        <w:t>.</w:t>
      </w:r>
      <w:r w:rsidRPr="007F3195">
        <w:t xml:space="preserve"> </w:t>
      </w:r>
      <w:r w:rsidRPr="007F3195">
        <w:rPr>
          <w:rFonts w:ascii="Calibri" w:hAnsi="Calibri"/>
          <w:snapToGrid/>
        </w:rPr>
        <w:t>The</w:t>
      </w:r>
      <w:r w:rsidR="00876F54" w:rsidRPr="007F3195">
        <w:rPr>
          <w:rFonts w:ascii="Calibri" w:hAnsi="Calibri"/>
          <w:snapToGrid/>
        </w:rPr>
        <w:t>refore, the</w:t>
      </w:r>
      <w:r w:rsidRPr="007F3195">
        <w:rPr>
          <w:rFonts w:ascii="Calibri" w:hAnsi="Calibri"/>
          <w:snapToGrid/>
        </w:rPr>
        <w:t xml:space="preserve"> adjustment</w:t>
      </w:r>
      <w:r w:rsidR="00876F54" w:rsidRPr="007F3195">
        <w:rPr>
          <w:rFonts w:ascii="Calibri" w:hAnsi="Calibri"/>
          <w:snapToGrid/>
        </w:rPr>
        <w:t>s</w:t>
      </w:r>
      <w:r w:rsidRPr="007F3195">
        <w:rPr>
          <w:rFonts w:ascii="Calibri" w:hAnsi="Calibri"/>
          <w:snapToGrid/>
        </w:rPr>
        <w:t xml:space="preserve"> led to a large increase in relative terms in the proportion of patients with a viral load of 50-199 copies/mL at multiple time points. The proportion of patients in this heath state increased from 4.2% with CAPELLA data to 8.3% with the adjusted values at weeks 22 and 26, and from 0% with CAPELLA data to 8.3% at week 104 with the adjusted values. Using unadjusted values as reported in the CAPELLA CSR increased the ICER by 47%</w:t>
      </w:r>
      <w:r w:rsidR="00B968F1">
        <w:rPr>
          <w:rStyle w:val="FootnoteReference"/>
          <w:rFonts w:ascii="Calibri" w:hAnsi="Calibri"/>
          <w:snapToGrid/>
        </w:rPr>
        <w:footnoteReference w:id="12"/>
      </w:r>
      <w:r w:rsidRPr="007F3195">
        <w:rPr>
          <w:rFonts w:ascii="Calibri" w:hAnsi="Calibri"/>
          <w:snapToGrid/>
        </w:rPr>
        <w:t>.</w:t>
      </w:r>
      <w:bookmarkEnd w:id="63"/>
    </w:p>
    <w:p w14:paraId="45963EA6" w14:textId="5CC5705B" w:rsidR="001E19D2" w:rsidRPr="001E19D2" w:rsidRDefault="00233B6F" w:rsidP="001E19D2">
      <w:pPr>
        <w:pStyle w:val="3-BodyText"/>
        <w:rPr>
          <w:rFonts w:ascii="Calibri" w:hAnsi="Calibri"/>
          <w:snapToGrid/>
        </w:rPr>
      </w:pPr>
      <w:bookmarkStart w:id="64" w:name="_Ref116295506"/>
      <w:bookmarkStart w:id="65" w:name="_Ref120532706"/>
      <w:r w:rsidRPr="00E52AC5">
        <w:rPr>
          <w:rFonts w:ascii="Calibri" w:hAnsi="Calibri"/>
          <w:snapToGrid/>
        </w:rPr>
        <w:lastRenderedPageBreak/>
        <w:t xml:space="preserve">The PSCR </w:t>
      </w:r>
      <w:r w:rsidR="00A91E79" w:rsidRPr="00E52AC5">
        <w:rPr>
          <w:rFonts w:ascii="Calibri" w:hAnsi="Calibri"/>
          <w:snapToGrid/>
        </w:rPr>
        <w:t>clarified</w:t>
      </w:r>
      <w:r w:rsidRPr="00E52AC5">
        <w:rPr>
          <w:rFonts w:ascii="Calibri" w:hAnsi="Calibri"/>
          <w:snapToGrid/>
        </w:rPr>
        <w:t xml:space="preserve"> no viral load health states were informed by the GS-US-183-0145 and advised the corresponding model worksheet included an erroneous reference to an earlier development version of the model,</w:t>
      </w:r>
      <w:r w:rsidR="004F6183" w:rsidRPr="00E52AC5">
        <w:rPr>
          <w:rFonts w:ascii="Calibri" w:hAnsi="Calibri"/>
          <w:snapToGrid/>
        </w:rPr>
        <w:t xml:space="preserve"> </w:t>
      </w:r>
      <w:r w:rsidRPr="00E52AC5">
        <w:rPr>
          <w:rFonts w:ascii="Calibri" w:hAnsi="Calibri"/>
          <w:snapToGrid/>
        </w:rPr>
        <w:t>and clarified the viral load outcomes from CAPELLA were based on a supplementary analysis (not the CSR), presented as an attachment to the submission. The ESC acknowledged the clarification provided in the PSCR, however considered</w:t>
      </w:r>
      <w:r w:rsidR="00A91E79" w:rsidRPr="00E52AC5">
        <w:rPr>
          <w:rFonts w:ascii="Calibri" w:hAnsi="Calibri"/>
          <w:snapToGrid/>
        </w:rPr>
        <w:t xml:space="preserve"> it remained unclear what the supplementary analysis in the submission attachment was based on and as such the submission’s base case transition probabilities remain unexplained and favoured lenacapavir</w:t>
      </w:r>
      <w:r w:rsidRPr="00E52AC5">
        <w:rPr>
          <w:rFonts w:ascii="Calibri" w:hAnsi="Calibri"/>
          <w:snapToGrid/>
        </w:rPr>
        <w:t>.</w:t>
      </w:r>
      <w:bookmarkEnd w:id="64"/>
      <w:r w:rsidR="001E19D2">
        <w:rPr>
          <w:rFonts w:ascii="Calibri" w:hAnsi="Calibri"/>
          <w:snapToGrid/>
        </w:rPr>
        <w:t xml:space="preserve"> </w:t>
      </w:r>
      <w:bookmarkEnd w:id="65"/>
    </w:p>
    <w:p w14:paraId="59D30AC3" w14:textId="3E3B02BA" w:rsidR="008A34FA" w:rsidRPr="007F3195" w:rsidRDefault="008A34FA" w:rsidP="00962ED8">
      <w:pPr>
        <w:pStyle w:val="3-BodyText"/>
      </w:pPr>
      <w:r w:rsidRPr="007F3195">
        <w:t xml:space="preserve">The </w:t>
      </w:r>
      <w:r w:rsidR="006D72C2" w:rsidRPr="007F3195">
        <w:t>transition probabilities in the comparator OBR arm w</w:t>
      </w:r>
      <w:r w:rsidR="00F02060" w:rsidRPr="007F3195">
        <w:t>ere</w:t>
      </w:r>
      <w:r w:rsidR="006D72C2" w:rsidRPr="007F3195">
        <w:t xml:space="preserve"> informed by </w:t>
      </w:r>
      <w:r w:rsidR="0066619D" w:rsidRPr="007F3195">
        <w:t xml:space="preserve">applying the </w:t>
      </w:r>
      <w:r w:rsidR="00BC6171" w:rsidRPr="007F3195">
        <w:t xml:space="preserve">RR </w:t>
      </w:r>
      <w:r w:rsidR="00F32731" w:rsidRPr="007F3195">
        <w:t>for the proportion of patients achieving viral load suppression of &lt;</w:t>
      </w:r>
      <w:r w:rsidR="00D07940" w:rsidRPr="007F3195">
        <w:t xml:space="preserve"> </w:t>
      </w:r>
      <w:r w:rsidR="00F32731" w:rsidRPr="007F3195">
        <w:t>50 copies/mL</w:t>
      </w:r>
      <w:r w:rsidR="006F3BCA">
        <w:t xml:space="preserve"> </w:t>
      </w:r>
      <w:r w:rsidR="00B93360" w:rsidRPr="007F3195">
        <w:t xml:space="preserve">(see </w:t>
      </w:r>
      <w:r w:rsidR="00B93360" w:rsidRPr="007F3195">
        <w:fldChar w:fldCharType="begin"/>
      </w:r>
      <w:r w:rsidR="00B93360" w:rsidRPr="007F3195">
        <w:instrText xml:space="preserve"> REF _Ref112946763 \h  \* MERGEFORMAT </w:instrText>
      </w:r>
      <w:r w:rsidR="00B93360" w:rsidRPr="007F3195">
        <w:fldChar w:fldCharType="separate"/>
      </w:r>
      <w:r w:rsidR="0050086F" w:rsidRPr="0050086F">
        <w:t>Table 7</w:t>
      </w:r>
      <w:r w:rsidR="00B93360" w:rsidRPr="007F3195">
        <w:fldChar w:fldCharType="end"/>
      </w:r>
      <w:r w:rsidR="00B93360" w:rsidRPr="007F3195">
        <w:t>)</w:t>
      </w:r>
      <w:r w:rsidR="00715727" w:rsidRPr="007F3195">
        <w:t>.</w:t>
      </w:r>
      <w:r w:rsidR="006A297F" w:rsidRPr="007F3195">
        <w:t xml:space="preserve"> </w:t>
      </w:r>
      <w:r w:rsidR="00E31EE6" w:rsidRPr="007F3195">
        <w:t xml:space="preserve">It was unclear if it was reasonable to assume that the </w:t>
      </w:r>
      <w:r w:rsidR="00740829" w:rsidRPr="007F3195">
        <w:t>RR derived from a threshold of 50 copies/mL</w:t>
      </w:r>
      <w:r w:rsidR="00715727" w:rsidRPr="007F3195">
        <w:t xml:space="preserve"> </w:t>
      </w:r>
      <w:r w:rsidR="00E31EE6" w:rsidRPr="007F3195">
        <w:t xml:space="preserve">should be applied </w:t>
      </w:r>
      <w:r w:rsidR="00BE4AD2" w:rsidRPr="007F3195">
        <w:t xml:space="preserve">in the economic model which uses a threshold of 200 copies/mL to define </w:t>
      </w:r>
      <w:r w:rsidR="00A04E2F" w:rsidRPr="007F3195">
        <w:t>virologic failure</w:t>
      </w:r>
      <w:r w:rsidR="00E31EE6" w:rsidRPr="007F3195">
        <w:t xml:space="preserve">. While no comparison using a 200 copies/mL threshold was conducted, the </w:t>
      </w:r>
      <w:r w:rsidR="002B3785" w:rsidRPr="007F3195">
        <w:t xml:space="preserve">unanchored </w:t>
      </w:r>
      <w:r w:rsidR="00E31EE6" w:rsidRPr="007F3195">
        <w:t>indirect comparison between lenacapavir + OBR and OBR in the proportion of patients with viral load &lt;</w:t>
      </w:r>
      <w:r w:rsidR="00D07940" w:rsidRPr="007F3195">
        <w:t xml:space="preserve"> </w:t>
      </w:r>
      <w:r w:rsidR="00E31EE6" w:rsidRPr="007F3195">
        <w:t xml:space="preserve">400 copies/mL at week 48 or 52 indicated that the </w:t>
      </w:r>
      <w:r w:rsidR="00724CD1" w:rsidRPr="007F3195">
        <w:t xml:space="preserve">RR </w:t>
      </w:r>
      <w:r w:rsidR="00E31EE6" w:rsidRPr="007F3195">
        <w:t>was lower than compared to the proportion with viral load &lt;</w:t>
      </w:r>
      <w:r w:rsidR="00D07940" w:rsidRPr="007F3195">
        <w:t xml:space="preserve"> </w:t>
      </w:r>
      <w:r w:rsidR="00E31EE6" w:rsidRPr="007F3195">
        <w:t>50 copies/mL. This approach favoured lenacapavir</w:t>
      </w:r>
      <w:r w:rsidR="00C22F47">
        <w:rPr>
          <w:rStyle w:val="FootnoteReference"/>
        </w:rPr>
        <w:footnoteReference w:id="13"/>
      </w:r>
      <w:r w:rsidR="00E31EE6" w:rsidRPr="007F3195">
        <w:t>.</w:t>
      </w:r>
    </w:p>
    <w:p w14:paraId="1085610E" w14:textId="2380DA5B" w:rsidR="006F3BCA" w:rsidRDefault="00B82D1E" w:rsidP="006F3BCA">
      <w:pPr>
        <w:pStyle w:val="3-BodyText"/>
      </w:pPr>
      <w:r w:rsidRPr="007F3195">
        <w:t xml:space="preserve">The submission stated that virologic suppression was sourced from the CAPELLA clinical study report. In the base case only results from Cohort 1A were used. This was the most optimistic subgroup (see </w:t>
      </w:r>
      <w:r w:rsidRPr="007F3195">
        <w:fldChar w:fldCharType="begin"/>
      </w:r>
      <w:r w:rsidRPr="007F3195">
        <w:instrText xml:space="preserve"> REF _Ref112946763 \h  \* MERGEFORMAT </w:instrText>
      </w:r>
      <w:r w:rsidRPr="007F3195">
        <w:fldChar w:fldCharType="separate"/>
      </w:r>
      <w:r w:rsidR="0050086F" w:rsidRPr="0050086F">
        <w:t>Table 7</w:t>
      </w:r>
      <w:r w:rsidRPr="007F3195">
        <w:fldChar w:fldCharType="end"/>
      </w:r>
      <w:r w:rsidRPr="007F3195">
        <w:t>) in terms of RR reported in the indirect comparison and the use of this subgroup was not justified. It was unlikely that such detailed transitions would be reliably informed by just the 24 patients in Cohort 1A of CAPELLA. Using data from all patients in the CAPELLA trial (n=72) may be more appropriate, as it would increase the sample size. This would also present a slightly more conservative estimate</w:t>
      </w:r>
      <w:r w:rsidR="00C22F47">
        <w:rPr>
          <w:rStyle w:val="FootnoteReference"/>
        </w:rPr>
        <w:footnoteReference w:id="14"/>
      </w:r>
      <w:r w:rsidRPr="007F3195">
        <w:t xml:space="preserve">. </w:t>
      </w:r>
    </w:p>
    <w:p w14:paraId="2D72EB20" w14:textId="35C751F3" w:rsidR="006F3BCA" w:rsidRDefault="00CC2233" w:rsidP="006F3BCA">
      <w:pPr>
        <w:pStyle w:val="3-BodyText"/>
      </w:pPr>
      <w:r w:rsidRPr="007F3195">
        <w:t>The base case extrapolation</w:t>
      </w:r>
      <w:r w:rsidR="00F629C7" w:rsidRPr="007F3195">
        <w:t xml:space="preserve"> for viral suppression</w:t>
      </w:r>
      <w:r w:rsidRPr="007F3195">
        <w:t xml:space="preserve"> was based on an exponential curve fitted to </w:t>
      </w:r>
      <w:r w:rsidR="00F629C7" w:rsidRPr="007F3195">
        <w:t xml:space="preserve">the </w:t>
      </w:r>
      <w:r w:rsidRPr="007F3195">
        <w:t>proportion of patients with &lt;</w:t>
      </w:r>
      <w:r w:rsidR="00553BAE">
        <w:t xml:space="preserve"> </w:t>
      </w:r>
      <w:r w:rsidRPr="007F3195">
        <w:t xml:space="preserve">50 copies/mL of HIV-RNA throughout the entire duration of the model. The submission considered that the use of the exponential curve from model initiation rather than after week 104 was conservative because the alternative approach (using the observed data to week 104) would result in greater viral load suppression in the first 2 years of the model and therefore </w:t>
      </w:r>
      <w:r w:rsidRPr="007F3195">
        <w:lastRenderedPageBreak/>
        <w:t>decrease the modelled</w:t>
      </w:r>
      <w:r w:rsidR="004B1E90" w:rsidRPr="007F3195">
        <w:t xml:space="preserve"> incremental cost-effectiveness ratio</w:t>
      </w:r>
      <w:r w:rsidRPr="007F3195">
        <w:t xml:space="preserve"> </w:t>
      </w:r>
      <w:r w:rsidR="004B1E90" w:rsidRPr="007F3195">
        <w:t>(</w:t>
      </w:r>
      <w:r w:rsidRPr="007F3195">
        <w:t>ICER</w:t>
      </w:r>
      <w:r w:rsidR="004B1E90" w:rsidRPr="007F3195">
        <w:t>)</w:t>
      </w:r>
      <w:r w:rsidRPr="007F3195">
        <w:t xml:space="preserve">. </w:t>
      </w:r>
      <w:r w:rsidR="00553BAE">
        <w:t>The evaluation considered that this</w:t>
      </w:r>
      <w:r w:rsidR="00553BAE" w:rsidRPr="007F3195">
        <w:t xml:space="preserve"> </w:t>
      </w:r>
      <w:r w:rsidRPr="007F3195">
        <w:t xml:space="preserve">was likely reasonable, </w:t>
      </w:r>
      <w:r w:rsidR="00F629C7" w:rsidRPr="007F3195">
        <w:t xml:space="preserve">however alternative functions </w:t>
      </w:r>
      <w:r w:rsidR="009369F3" w:rsidRPr="007F3195">
        <w:t>and</w:t>
      </w:r>
      <w:r w:rsidR="00F629C7" w:rsidRPr="007F3195">
        <w:t xml:space="preserve"> sensitivity analyses were not provided in the submission.</w:t>
      </w:r>
      <w:r w:rsidR="00500EDC">
        <w:t xml:space="preserve"> </w:t>
      </w:r>
    </w:p>
    <w:p w14:paraId="2ACB7866" w14:textId="122CCABA" w:rsidR="0009005C" w:rsidRDefault="00CC2233" w:rsidP="006F3BCA">
      <w:pPr>
        <w:pStyle w:val="3-BodyText"/>
      </w:pPr>
      <w:r w:rsidRPr="007F3195">
        <w:t xml:space="preserve">The justification </w:t>
      </w:r>
      <w:r w:rsidR="00F629C7" w:rsidRPr="007F3195">
        <w:t xml:space="preserve">provided in the submission </w:t>
      </w:r>
      <w:r w:rsidRPr="007F3195">
        <w:t>for the choice of</w:t>
      </w:r>
      <w:r w:rsidR="00F73C20" w:rsidRPr="007F3195">
        <w:t xml:space="preserve"> extrapolation function</w:t>
      </w:r>
      <w:r w:rsidRPr="007F3195">
        <w:t xml:space="preserve"> </w:t>
      </w:r>
      <w:r w:rsidR="00F73C20" w:rsidRPr="007F3195">
        <w:t xml:space="preserve">(exponential) </w:t>
      </w:r>
      <w:r w:rsidRPr="007F3195">
        <w:t xml:space="preserve">was that it was similar to extrapolations taken in previously published models. Inappropriately, no </w:t>
      </w:r>
      <w:r w:rsidR="00F629C7" w:rsidRPr="007F3195">
        <w:t xml:space="preserve">additional </w:t>
      </w:r>
      <w:r w:rsidRPr="007F3195">
        <w:t xml:space="preserve">functional forms were </w:t>
      </w:r>
      <w:r w:rsidR="00F629C7" w:rsidRPr="007F3195">
        <w:t xml:space="preserve">considered </w:t>
      </w:r>
      <w:r w:rsidRPr="007F3195">
        <w:t xml:space="preserve">by the submission. </w:t>
      </w:r>
      <w:r w:rsidRPr="007F3195">
        <w:fldChar w:fldCharType="begin"/>
      </w:r>
      <w:r w:rsidRPr="007F3195">
        <w:instrText xml:space="preserve"> REF _Ref112955251 \h  \* MERGEFORMAT </w:instrText>
      </w:r>
      <w:r w:rsidRPr="007F3195">
        <w:fldChar w:fldCharType="separate"/>
      </w:r>
      <w:r w:rsidR="0050086F" w:rsidRPr="0050086F">
        <w:rPr>
          <w:rFonts w:ascii="Calibri" w:hAnsi="Calibri"/>
        </w:rPr>
        <w:t>Figure 7</w:t>
      </w:r>
      <w:r w:rsidRPr="007F3195">
        <w:fldChar w:fldCharType="end"/>
      </w:r>
      <w:r w:rsidRPr="007F3195">
        <w:t xml:space="preserve"> illustrates that </w:t>
      </w:r>
      <w:r w:rsidR="00D36E50" w:rsidRPr="007F3195">
        <w:t xml:space="preserve">the extrapolation was informed by </w:t>
      </w:r>
      <w:r w:rsidRPr="007F3195">
        <w:t xml:space="preserve">very few data points from CAPELLA </w:t>
      </w:r>
      <w:r w:rsidR="00F73C20" w:rsidRPr="007F3195">
        <w:t>Cohort 1A</w:t>
      </w:r>
      <w:r w:rsidRPr="007F3195">
        <w:t xml:space="preserve">. </w:t>
      </w:r>
      <w:r w:rsidR="0009005C" w:rsidRPr="00E52AC5">
        <w:t>The ESC considered that given the limited available data, testing additional extrapolation functions was unlikely to provide any additional certainty to the model.</w:t>
      </w:r>
    </w:p>
    <w:p w14:paraId="09F81AE7" w14:textId="47E0047F" w:rsidR="00A04E2F" w:rsidRPr="007F3195" w:rsidRDefault="00A04E2F" w:rsidP="00CC2233">
      <w:pPr>
        <w:pStyle w:val="3-BodyText"/>
      </w:pPr>
      <w:bookmarkStart w:id="66" w:name="_Ref116289824"/>
      <w:r w:rsidRPr="007F3195">
        <w:t xml:space="preserve">The model estimated that at 6 years approximately 10% of </w:t>
      </w:r>
      <w:r w:rsidR="00F02060" w:rsidRPr="007F3195">
        <w:t xml:space="preserve">lenacapavir </w:t>
      </w:r>
      <w:r w:rsidRPr="007F3195">
        <w:t>patients remained virologically suppressed</w:t>
      </w:r>
      <w:r w:rsidR="00E660CD">
        <w:rPr>
          <w:rStyle w:val="FootnoteReference"/>
        </w:rPr>
        <w:footnoteReference w:id="15"/>
      </w:r>
      <w:r w:rsidRPr="007F3195">
        <w:t>. It was unclear if this was reasonable</w:t>
      </w:r>
      <w:r w:rsidR="00E25006" w:rsidRPr="007F3195">
        <w:t xml:space="preserve"> for a highly MDR PLWH population in Australia, and there was a paucity of Australian MDR PLWH data to verify </w:t>
      </w:r>
      <w:r w:rsidR="00195AA4" w:rsidRPr="007F3195">
        <w:t>the model results</w:t>
      </w:r>
      <w:r w:rsidRPr="007F3195">
        <w:t>.</w:t>
      </w:r>
      <w:bookmarkEnd w:id="66"/>
    </w:p>
    <w:p w14:paraId="04DF2659" w14:textId="050690C3" w:rsidR="00CC2233" w:rsidRPr="00C4404D" w:rsidRDefault="00CC2233" w:rsidP="00073E97">
      <w:pPr>
        <w:pStyle w:val="KMC16-Caption"/>
        <w:spacing w:before="0" w:after="0"/>
        <w:rPr>
          <w:rFonts w:ascii="Arial Narrow" w:hAnsi="Arial Narrow"/>
          <w:bCs/>
        </w:rPr>
      </w:pPr>
      <w:bookmarkStart w:id="67" w:name="_Ref112955251"/>
      <w:r w:rsidRPr="00C4404D">
        <w:rPr>
          <w:rFonts w:ascii="Arial Narrow" w:hAnsi="Arial Narrow"/>
          <w:bCs/>
        </w:rPr>
        <w:t xml:space="preserve">Figure </w:t>
      </w:r>
      <w:r w:rsidRPr="00C4404D">
        <w:rPr>
          <w:rFonts w:ascii="Arial Narrow" w:hAnsi="Arial Narrow"/>
          <w:bCs/>
        </w:rPr>
        <w:fldChar w:fldCharType="begin"/>
      </w:r>
      <w:r w:rsidRPr="00C4404D">
        <w:rPr>
          <w:rFonts w:ascii="Arial Narrow" w:hAnsi="Arial Narrow"/>
          <w:bCs/>
        </w:rPr>
        <w:instrText xml:space="preserve"> SEQ Figure \* MERGEFORMAT </w:instrText>
      </w:r>
      <w:r w:rsidRPr="00C4404D">
        <w:rPr>
          <w:rFonts w:ascii="Arial Narrow" w:hAnsi="Arial Narrow"/>
          <w:bCs/>
        </w:rPr>
        <w:fldChar w:fldCharType="separate"/>
      </w:r>
      <w:r w:rsidR="0050086F">
        <w:rPr>
          <w:rFonts w:ascii="Arial Narrow" w:hAnsi="Arial Narrow"/>
          <w:bCs/>
          <w:noProof/>
        </w:rPr>
        <w:t>7</w:t>
      </w:r>
      <w:r w:rsidRPr="00C4404D">
        <w:rPr>
          <w:rFonts w:ascii="Arial Narrow" w:hAnsi="Arial Narrow"/>
          <w:bCs/>
        </w:rPr>
        <w:fldChar w:fldCharType="end"/>
      </w:r>
      <w:bookmarkEnd w:id="67"/>
      <w:r w:rsidRPr="00C4404D">
        <w:rPr>
          <w:rFonts w:ascii="Arial Narrow" w:hAnsi="Arial Narrow"/>
          <w:bCs/>
        </w:rPr>
        <w:t>: Extrapolation of decline in proportion of suppressed patients (&lt;50 copies/mL) over time</w:t>
      </w:r>
    </w:p>
    <w:p w14:paraId="7FCED435" w14:textId="77777777" w:rsidR="00CC2233" w:rsidRPr="00C4404D" w:rsidRDefault="00CC2233" w:rsidP="00073E97">
      <w:pPr>
        <w:pStyle w:val="KMC16-TFNotes"/>
        <w:spacing w:before="0" w:after="0"/>
        <w:jc w:val="left"/>
        <w:rPr>
          <w:rFonts w:ascii="Arial Narrow" w:hAnsi="Arial Narrow"/>
          <w:sz w:val="20"/>
          <w:szCs w:val="20"/>
        </w:rPr>
      </w:pPr>
      <w:r w:rsidRPr="00C4404D">
        <w:rPr>
          <w:rFonts w:ascii="Arial Narrow" w:hAnsi="Arial Narrow"/>
          <w:noProof/>
          <w:sz w:val="20"/>
          <w:szCs w:val="20"/>
        </w:rPr>
        <w:drawing>
          <wp:inline distT="0" distB="0" distL="0" distR="0" wp14:anchorId="4F5C79EF" wp14:editId="4034037B">
            <wp:extent cx="4802588" cy="2955384"/>
            <wp:effectExtent l="0" t="0" r="0" b="0"/>
            <wp:docPr id="25" name="Picture 25" descr="Figure 7: Extrapolation of decline in proportion of suppressed patients  (&lt;50 copies/mL)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7: Extrapolation of decline in proportion of suppressed patients  (&lt;50 copies/mL) over tim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2611" cy="2973860"/>
                    </a:xfrm>
                    <a:prstGeom prst="rect">
                      <a:avLst/>
                    </a:prstGeom>
                    <a:noFill/>
                  </pic:spPr>
                </pic:pic>
              </a:graphicData>
            </a:graphic>
          </wp:inline>
        </w:drawing>
      </w:r>
    </w:p>
    <w:p w14:paraId="45CCF6CD" w14:textId="753A544E" w:rsidR="00CC2233" w:rsidRDefault="00CC2233" w:rsidP="008103BF">
      <w:pPr>
        <w:pStyle w:val="FooterTableFigure"/>
        <w:contextualSpacing w:val="0"/>
      </w:pPr>
      <w:r w:rsidRPr="00C4404D">
        <w:t>Source: Figure 3.4, p156 of the submission.</w:t>
      </w:r>
    </w:p>
    <w:p w14:paraId="59C11B70" w14:textId="5E60AC58" w:rsidR="00E660CD" w:rsidRPr="003E70C0" w:rsidRDefault="00E660CD" w:rsidP="008103BF">
      <w:pPr>
        <w:pStyle w:val="FooterTableFigure"/>
        <w:rPr>
          <w:i/>
          <w:iCs/>
        </w:rPr>
      </w:pPr>
      <w:r w:rsidRPr="003E70C0">
        <w:rPr>
          <w:i/>
          <w:iCs/>
        </w:rPr>
        <w:t>Note: The results presented in Figure 7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p w14:paraId="6324E0A6" w14:textId="2F184B9B" w:rsidR="00CC2233" w:rsidRPr="007F3195" w:rsidRDefault="00CC2233" w:rsidP="00CC2233">
      <w:pPr>
        <w:pStyle w:val="3-BodyText"/>
      </w:pPr>
      <w:r w:rsidRPr="007F3195">
        <w:rPr>
          <w:rFonts w:cstheme="minorHAnsi"/>
        </w:rPr>
        <w:lastRenderedPageBreak/>
        <w:t xml:space="preserve">The submission </w:t>
      </w:r>
      <w:r w:rsidR="009D63BB" w:rsidRPr="007F3195">
        <w:rPr>
          <w:rFonts w:cstheme="minorHAnsi"/>
        </w:rPr>
        <w:t xml:space="preserve">also </w:t>
      </w:r>
      <w:r w:rsidRPr="007F3195">
        <w:rPr>
          <w:rFonts w:cstheme="minorHAnsi"/>
        </w:rPr>
        <w:t>estimated a benefit associated with improved adherence to treatment from lenacapavir + OBR</w:t>
      </w:r>
      <w:r w:rsidR="00994A06" w:rsidRPr="007F3195">
        <w:rPr>
          <w:rFonts w:cstheme="minorHAnsi"/>
        </w:rPr>
        <w:t xml:space="preserve"> that translated to additional benefit in vir</w:t>
      </w:r>
      <w:r w:rsidR="00AD0204" w:rsidRPr="007F3195">
        <w:rPr>
          <w:rFonts w:cstheme="minorHAnsi"/>
        </w:rPr>
        <w:t>a</w:t>
      </w:r>
      <w:r w:rsidR="00994A06" w:rsidRPr="007F3195">
        <w:rPr>
          <w:rFonts w:cstheme="minorHAnsi"/>
        </w:rPr>
        <w:t>l</w:t>
      </w:r>
      <w:r w:rsidR="00AD0204" w:rsidRPr="007F3195">
        <w:rPr>
          <w:rFonts w:cstheme="minorHAnsi"/>
        </w:rPr>
        <w:t xml:space="preserve"> load</w:t>
      </w:r>
      <w:r w:rsidR="00994A06" w:rsidRPr="007F3195">
        <w:rPr>
          <w:rFonts w:cstheme="minorHAnsi"/>
        </w:rPr>
        <w:t xml:space="preserve"> suppression</w:t>
      </w:r>
      <w:r w:rsidRPr="007F3195">
        <w:rPr>
          <w:rFonts w:cstheme="minorHAnsi"/>
        </w:rPr>
        <w:t>. This was not supported by the evidence presented</w:t>
      </w:r>
      <w:r w:rsidR="003040E7" w:rsidRPr="007F3195">
        <w:rPr>
          <w:rFonts w:cstheme="minorHAnsi"/>
        </w:rPr>
        <w:t xml:space="preserve"> as CAPELLA did not report any adherence outcomes</w:t>
      </w:r>
      <w:r w:rsidRPr="007F3195">
        <w:rPr>
          <w:rFonts w:cstheme="minorHAnsi"/>
        </w:rPr>
        <w:t xml:space="preserve">. Moreover, difference in adherence rate </w:t>
      </w:r>
      <w:r w:rsidR="00994A06" w:rsidRPr="007F3195">
        <w:rPr>
          <w:rFonts w:cstheme="minorHAnsi"/>
        </w:rPr>
        <w:t>that would translate to improved viral</w:t>
      </w:r>
      <w:r w:rsidR="00AD0204" w:rsidRPr="007F3195">
        <w:rPr>
          <w:rFonts w:cstheme="minorHAnsi"/>
        </w:rPr>
        <w:t xml:space="preserve"> load</w:t>
      </w:r>
      <w:r w:rsidR="00994A06" w:rsidRPr="007F3195">
        <w:rPr>
          <w:rFonts w:cstheme="minorHAnsi"/>
        </w:rPr>
        <w:t xml:space="preserve"> suppression </w:t>
      </w:r>
      <w:r w:rsidRPr="007F3195">
        <w:rPr>
          <w:rFonts w:cstheme="minorHAnsi"/>
        </w:rPr>
        <w:t>(if any) between lenacapavir + OBR and OBR would have already been captured in the primary outcome of proportion of patients achieving vir</w:t>
      </w:r>
      <w:r w:rsidR="00AD0204" w:rsidRPr="007F3195">
        <w:rPr>
          <w:rFonts w:cstheme="minorHAnsi"/>
        </w:rPr>
        <w:t>o</w:t>
      </w:r>
      <w:r w:rsidRPr="007F3195">
        <w:rPr>
          <w:rFonts w:cstheme="minorHAnsi"/>
        </w:rPr>
        <w:t>l</w:t>
      </w:r>
      <w:r w:rsidR="00AD0204" w:rsidRPr="007F3195">
        <w:rPr>
          <w:rFonts w:cstheme="minorHAnsi"/>
        </w:rPr>
        <w:t>ogic</w:t>
      </w:r>
      <w:r w:rsidRPr="007F3195">
        <w:rPr>
          <w:rFonts w:cstheme="minorHAnsi"/>
        </w:rPr>
        <w:t xml:space="preserve"> suppression and therefore any claim of adherence differences having any impact on vir</w:t>
      </w:r>
      <w:r w:rsidR="00AD0204" w:rsidRPr="007F3195">
        <w:rPr>
          <w:rFonts w:cstheme="minorHAnsi"/>
        </w:rPr>
        <w:t>o</w:t>
      </w:r>
      <w:r w:rsidRPr="007F3195">
        <w:rPr>
          <w:rFonts w:cstheme="minorHAnsi"/>
        </w:rPr>
        <w:t>l</w:t>
      </w:r>
      <w:r w:rsidR="00AD0204" w:rsidRPr="007F3195">
        <w:rPr>
          <w:rFonts w:cstheme="minorHAnsi"/>
        </w:rPr>
        <w:t>ogic</w:t>
      </w:r>
      <w:r w:rsidRPr="007F3195">
        <w:rPr>
          <w:rFonts w:cstheme="minorHAnsi"/>
        </w:rPr>
        <w:t xml:space="preserve"> suppression would be double counting.</w:t>
      </w:r>
      <w:r w:rsidR="00026E17" w:rsidRPr="007F3195">
        <w:rPr>
          <w:rFonts w:cstheme="minorHAnsi"/>
        </w:rPr>
        <w:t xml:space="preserve"> This assumption favoured lenacapavir</w:t>
      </w:r>
      <w:r w:rsidR="00FE7B05" w:rsidRPr="007F3195">
        <w:rPr>
          <w:rFonts w:cstheme="minorHAnsi"/>
        </w:rPr>
        <w:t>.</w:t>
      </w:r>
      <w:r w:rsidR="0009005C">
        <w:rPr>
          <w:rFonts w:cstheme="minorHAnsi"/>
        </w:rPr>
        <w:t xml:space="preserve"> </w:t>
      </w:r>
      <w:r w:rsidR="0009005C" w:rsidRPr="00E52AC5">
        <w:rPr>
          <w:rFonts w:cstheme="minorHAnsi"/>
        </w:rPr>
        <w:t>The ESC considered no benefit associated with adherence to treatment is expected with a 6-monthly injection if daily oral OBR is still required.</w:t>
      </w:r>
    </w:p>
    <w:p w14:paraId="18CB39C4" w14:textId="58039240" w:rsidR="00CC2233" w:rsidRPr="007F3195" w:rsidRDefault="00CC2233" w:rsidP="00CC2233">
      <w:pPr>
        <w:pStyle w:val="3-BodyText"/>
      </w:pPr>
      <w:r w:rsidRPr="007F3195">
        <w:t>The submission’s utility estimated were based on those used in Schneider (2014), a cost-effectiveness analysis of pre-exposure prophylaxis. Schneider (2014) based utility values on those of Tengs (2002),</w:t>
      </w:r>
      <w:r w:rsidRPr="007F3195">
        <w:rPr>
          <w:rStyle w:val="FootnoteReference"/>
        </w:rPr>
        <w:footnoteReference w:id="16"/>
      </w:r>
      <w:r w:rsidRPr="007F3195">
        <w:t xml:space="preserve"> a meta-analysis of utility estimates for HIV/AIDS. Schneider (2014) also noted the wide variation in utility estimates. Overall, the estimates were not specifically applicable to MDR patients, and were based on likely outdated estimates of utility, as the utility estimates used in Tengs (2002) were over twenty years old. </w:t>
      </w:r>
    </w:p>
    <w:p w14:paraId="4773D88A" w14:textId="0F978510" w:rsidR="00CC2233" w:rsidRPr="007F3195" w:rsidRDefault="00840C8E" w:rsidP="00CC2233">
      <w:pPr>
        <w:pStyle w:val="3-BodyText"/>
      </w:pPr>
      <w:r w:rsidRPr="007F3195">
        <w:t xml:space="preserve">Disease management costs included in the model depended on CD4 cell count and were sourced from Schneider (2014), a </w:t>
      </w:r>
      <w:r w:rsidR="00474743">
        <w:t xml:space="preserve">cost-effectiveness analysis including a </w:t>
      </w:r>
      <w:r w:rsidRPr="007F3195">
        <w:t xml:space="preserve">detailed micro-costing (conducted using 2013 costs) conducted in Australia. </w:t>
      </w:r>
      <w:r w:rsidR="00CC2233" w:rsidRPr="007F3195">
        <w:t xml:space="preserve">Given the separate inclusion of </w:t>
      </w:r>
      <w:r w:rsidRPr="007F3195">
        <w:t>AIDS-related event (</w:t>
      </w:r>
      <w:r w:rsidR="00CC2233" w:rsidRPr="007F3195">
        <w:t>ARE</w:t>
      </w:r>
      <w:r w:rsidRPr="007F3195">
        <w:t>)</w:t>
      </w:r>
      <w:r w:rsidR="00CC2233" w:rsidRPr="007F3195">
        <w:t xml:space="preserve"> costs and costs of treatment switching included into the model, there was double counting in the CD4 &lt;50 and 50-199 cells/mm</w:t>
      </w:r>
      <w:r w:rsidR="00CC2233" w:rsidRPr="007F3195">
        <w:rPr>
          <w:vertAlign w:val="superscript"/>
        </w:rPr>
        <w:t>3</w:t>
      </w:r>
      <w:r w:rsidR="00CC2233" w:rsidRPr="007F3195">
        <w:t xml:space="preserve"> health states which favoured lenacapavir.</w:t>
      </w:r>
    </w:p>
    <w:p w14:paraId="5B782CF9" w14:textId="1DB78C99" w:rsidR="006D53EF" w:rsidRPr="007F3195" w:rsidRDefault="00BF42F1" w:rsidP="00CC2233">
      <w:pPr>
        <w:pStyle w:val="3-BodyText"/>
      </w:pPr>
      <w:r w:rsidRPr="007F3195">
        <w:t xml:space="preserve">The model base case assumed that patients </w:t>
      </w:r>
      <w:r w:rsidR="00840C8E" w:rsidRPr="007F3195">
        <w:t xml:space="preserve">on salvage therapy </w:t>
      </w:r>
      <w:r w:rsidRPr="007F3195">
        <w:t>could not achieve vir</w:t>
      </w:r>
      <w:r w:rsidR="003F5902" w:rsidRPr="007F3195">
        <w:t>al load</w:t>
      </w:r>
      <w:r w:rsidRPr="007F3195">
        <w:t xml:space="preserve"> suppression</w:t>
      </w:r>
      <w:r w:rsidR="00BF213B" w:rsidRPr="007F3195">
        <w:t xml:space="preserve">, defined as </w:t>
      </w:r>
      <w:r w:rsidR="003F5902" w:rsidRPr="007F3195">
        <w:t>&lt;</w:t>
      </w:r>
      <w:r w:rsidR="00BF213B" w:rsidRPr="007F3195">
        <w:t xml:space="preserve"> </w:t>
      </w:r>
      <w:r w:rsidR="003F5902" w:rsidRPr="007F3195">
        <w:t>200 copies/mL</w:t>
      </w:r>
      <w:r w:rsidRPr="007F3195">
        <w:t>.</w:t>
      </w:r>
      <w:r w:rsidR="007C73BE" w:rsidRPr="007F3195">
        <w:t xml:space="preserve"> This is assumed to be associated with </w:t>
      </w:r>
      <w:r w:rsidR="00A133CD" w:rsidRPr="007F3195">
        <w:t>a continuous and increasing likelihood of</w:t>
      </w:r>
      <w:r w:rsidR="007C73BE" w:rsidRPr="007F3195">
        <w:t xml:space="preserve"> AID</w:t>
      </w:r>
      <w:r w:rsidR="00A072D5" w:rsidRPr="007F3195">
        <w:t>S</w:t>
      </w:r>
      <w:r w:rsidR="007C73BE" w:rsidRPr="007F3195">
        <w:t>-related illnesses and death.</w:t>
      </w:r>
      <w:r w:rsidRPr="007F3195">
        <w:t xml:space="preserve"> The model was moderately sensitive to this assumption. Allowing 15% of patients on salvage therapy to achieve vir</w:t>
      </w:r>
      <w:r w:rsidR="00AD0204" w:rsidRPr="007F3195">
        <w:t>o</w:t>
      </w:r>
      <w:r w:rsidRPr="007F3195">
        <w:t>l</w:t>
      </w:r>
      <w:r w:rsidR="00AD0204" w:rsidRPr="007F3195">
        <w:t>ogic</w:t>
      </w:r>
      <w:r w:rsidRPr="007F3195">
        <w:t xml:space="preserve"> suppression at week 16 increased the ICER by 10%</w:t>
      </w:r>
      <w:r w:rsidR="00760970">
        <w:rPr>
          <w:rStyle w:val="FootnoteReference"/>
        </w:rPr>
        <w:footnoteReference w:id="17"/>
      </w:r>
      <w:r w:rsidRPr="007F3195">
        <w:t>.</w:t>
      </w:r>
      <w:r w:rsidR="00010C7E" w:rsidRPr="007F3195">
        <w:t xml:space="preserve"> </w:t>
      </w:r>
      <w:r w:rsidR="00B31491" w:rsidRPr="007F3195">
        <w:t>The submission considered that this sensitivity analysis was unrealistically optimistic.</w:t>
      </w:r>
    </w:p>
    <w:p w14:paraId="4246F2C9" w14:textId="1DF04B50" w:rsidR="00CC2233" w:rsidRPr="007F3195" w:rsidRDefault="00CC2233" w:rsidP="00CC2233">
      <w:pPr>
        <w:pStyle w:val="3-BodyText"/>
      </w:pPr>
      <w:r w:rsidRPr="007F3195">
        <w:rPr>
          <w:rFonts w:cstheme="minorHAnsi"/>
        </w:rPr>
        <w:fldChar w:fldCharType="begin"/>
      </w:r>
      <w:r w:rsidRPr="007F3195">
        <w:rPr>
          <w:rFonts w:cstheme="minorHAnsi"/>
        </w:rPr>
        <w:instrText xml:space="preserve"> REF _Ref112955887 \h  \* MERGEFORMAT </w:instrText>
      </w:r>
      <w:r w:rsidRPr="007F3195">
        <w:rPr>
          <w:rFonts w:cstheme="minorHAnsi"/>
        </w:rPr>
      </w:r>
      <w:r w:rsidRPr="007F3195">
        <w:rPr>
          <w:rFonts w:cstheme="minorHAnsi"/>
        </w:rPr>
        <w:fldChar w:fldCharType="separate"/>
      </w:r>
      <w:r w:rsidR="0050086F" w:rsidRPr="0050086F">
        <w:rPr>
          <w:rFonts w:cstheme="minorHAnsi"/>
          <w:bCs/>
        </w:rPr>
        <w:t xml:space="preserve">Figure </w:t>
      </w:r>
      <w:r w:rsidR="0050086F" w:rsidRPr="0050086F">
        <w:rPr>
          <w:rFonts w:cstheme="minorHAnsi"/>
          <w:bCs/>
          <w:noProof/>
        </w:rPr>
        <w:t>8</w:t>
      </w:r>
      <w:r w:rsidRPr="007F3195">
        <w:rPr>
          <w:rFonts w:cstheme="minorHAnsi"/>
        </w:rPr>
        <w:fldChar w:fldCharType="end"/>
      </w:r>
      <w:r w:rsidRPr="007F3195">
        <w:rPr>
          <w:rFonts w:cstheme="minorHAnsi"/>
        </w:rPr>
        <w:t xml:space="preserve"> presents the Markov trace for treatment states.</w:t>
      </w:r>
    </w:p>
    <w:p w14:paraId="36DCDBE4" w14:textId="7F4498D4" w:rsidR="00CC2233" w:rsidRPr="00C4404D" w:rsidRDefault="00CC2233" w:rsidP="00073E97">
      <w:pPr>
        <w:pStyle w:val="KMC16-Caption"/>
        <w:rPr>
          <w:rFonts w:ascii="Arial Narrow" w:hAnsi="Arial Narrow"/>
          <w:bCs/>
        </w:rPr>
      </w:pPr>
      <w:bookmarkStart w:id="68" w:name="_Ref112955887"/>
      <w:r w:rsidRPr="00C4404D">
        <w:rPr>
          <w:rFonts w:ascii="Arial Narrow" w:hAnsi="Arial Narrow"/>
          <w:bCs/>
        </w:rPr>
        <w:lastRenderedPageBreak/>
        <w:t xml:space="preserve">Figure </w:t>
      </w:r>
      <w:r w:rsidRPr="00C4404D">
        <w:rPr>
          <w:rFonts w:ascii="Arial Narrow" w:hAnsi="Arial Narrow"/>
          <w:bCs/>
        </w:rPr>
        <w:fldChar w:fldCharType="begin"/>
      </w:r>
      <w:r w:rsidRPr="00C4404D">
        <w:rPr>
          <w:rFonts w:ascii="Arial Narrow" w:hAnsi="Arial Narrow"/>
          <w:bCs/>
        </w:rPr>
        <w:instrText xml:space="preserve"> SEQ Figure \* MERGEFORMAT </w:instrText>
      </w:r>
      <w:r w:rsidRPr="00C4404D">
        <w:rPr>
          <w:rFonts w:ascii="Arial Narrow" w:hAnsi="Arial Narrow"/>
          <w:bCs/>
        </w:rPr>
        <w:fldChar w:fldCharType="separate"/>
      </w:r>
      <w:r w:rsidR="0050086F">
        <w:rPr>
          <w:rFonts w:ascii="Arial Narrow" w:hAnsi="Arial Narrow"/>
          <w:bCs/>
          <w:noProof/>
        </w:rPr>
        <w:t>8</w:t>
      </w:r>
      <w:r w:rsidRPr="00C4404D">
        <w:rPr>
          <w:rFonts w:ascii="Arial Narrow" w:hAnsi="Arial Narrow"/>
          <w:bCs/>
        </w:rPr>
        <w:fldChar w:fldCharType="end"/>
      </w:r>
      <w:bookmarkEnd w:id="68"/>
      <w:r w:rsidRPr="00C4404D">
        <w:rPr>
          <w:rFonts w:ascii="Arial Narrow" w:hAnsi="Arial Narrow"/>
          <w:bCs/>
        </w:rPr>
        <w:t>: Modelled traces – Treatment States</w:t>
      </w:r>
    </w:p>
    <w:p w14:paraId="51EC8F9F" w14:textId="77777777" w:rsidR="00CC2233" w:rsidRPr="00C4404D" w:rsidRDefault="00CC2233" w:rsidP="00073E97">
      <w:pPr>
        <w:pStyle w:val="KMC16-Text"/>
        <w:spacing w:before="0" w:after="0" w:line="240" w:lineRule="auto"/>
        <w:jc w:val="left"/>
      </w:pPr>
      <w:r w:rsidRPr="00C4404D">
        <w:rPr>
          <w:noProof/>
        </w:rPr>
        <w:drawing>
          <wp:inline distT="0" distB="0" distL="0" distR="0" wp14:anchorId="100BB96D" wp14:editId="2610A0E6">
            <wp:extent cx="4617720" cy="3113124"/>
            <wp:effectExtent l="0" t="0" r="0" b="0"/>
            <wp:docPr id="26" name="Picture 26" descr="Figure 8: Modelled traces – Treatment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8: Modelled traces – Treatment Stat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49385" cy="3134471"/>
                    </a:xfrm>
                    <a:prstGeom prst="rect">
                      <a:avLst/>
                    </a:prstGeom>
                    <a:noFill/>
                  </pic:spPr>
                </pic:pic>
              </a:graphicData>
            </a:graphic>
          </wp:inline>
        </w:drawing>
      </w:r>
    </w:p>
    <w:p w14:paraId="7B4E9FC6" w14:textId="73B5C655" w:rsidR="00CC2233" w:rsidRDefault="00A072D5" w:rsidP="008103BF">
      <w:pPr>
        <w:pStyle w:val="FooterTableFigure"/>
        <w:contextualSpacing w:val="0"/>
      </w:pPr>
      <w:r>
        <w:t xml:space="preserve">Source: </w:t>
      </w:r>
      <w:r w:rsidR="00CC2233" w:rsidRPr="00C4404D">
        <w:t>Figure 3-10, p181 of the submission.</w:t>
      </w:r>
    </w:p>
    <w:p w14:paraId="1F86979A" w14:textId="3E54D1A6" w:rsidR="00760970" w:rsidRDefault="00760970" w:rsidP="008103BF">
      <w:pPr>
        <w:pStyle w:val="FooterTableFigure"/>
      </w:pPr>
      <w:r w:rsidRPr="00760970">
        <w:rPr>
          <w:i/>
          <w:iCs/>
        </w:rPr>
        <w:t>Note</w:t>
      </w:r>
      <w:r>
        <w:rPr>
          <w:i/>
          <w:iCs/>
        </w:rPr>
        <w:t>:</w:t>
      </w:r>
      <w:r w:rsidRPr="00760970">
        <w:rPr>
          <w:i/>
          <w:iCs/>
        </w:rPr>
        <w:t xml:space="preserve"> </w:t>
      </w:r>
      <w:r>
        <w:rPr>
          <w:i/>
          <w:iCs/>
        </w:rPr>
        <w:t>T</w:t>
      </w:r>
      <w:r w:rsidRPr="00760970">
        <w:rPr>
          <w:i/>
          <w:iCs/>
        </w:rPr>
        <w:t>he results presented in Figure 8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r>
        <w:rPr>
          <w:i/>
          <w:iCs/>
        </w:rPr>
        <w:t>.</w:t>
      </w:r>
      <w:r w:rsidRPr="00760970">
        <w:rPr>
          <w:i/>
          <w:iCs/>
        </w:rPr>
        <w:t>.</w:t>
      </w:r>
    </w:p>
    <w:p w14:paraId="52148DE6" w14:textId="1A5210A9" w:rsidR="00F252E3" w:rsidRPr="007F3195" w:rsidRDefault="00D41EC3" w:rsidP="00CC2233">
      <w:pPr>
        <w:pStyle w:val="3-BodyText"/>
        <w:rPr>
          <w:rFonts w:cstheme="minorHAnsi"/>
          <w:bCs/>
          <w:snapToGrid/>
        </w:rPr>
      </w:pPr>
      <w:r w:rsidRPr="007F3195">
        <w:t xml:space="preserve">The Markov traces illustrated the relatively short time on treatment with either lenacapavir + OBR or OBR in relation to the modelled time horizon. </w:t>
      </w:r>
      <w:r w:rsidR="000C310A" w:rsidRPr="007F3195">
        <w:t>They</w:t>
      </w:r>
      <w:r w:rsidR="00CD00D1" w:rsidRPr="007F3195">
        <w:t xml:space="preserve"> </w:t>
      </w:r>
      <w:r w:rsidRPr="007F3195">
        <w:t xml:space="preserve">also illustrated </w:t>
      </w:r>
      <w:r w:rsidR="00CD00D1" w:rsidRPr="007F3195">
        <w:t xml:space="preserve">that a </w:t>
      </w:r>
      <w:r w:rsidRPr="007F3195">
        <w:t>substantial mortality benefit</w:t>
      </w:r>
      <w:r w:rsidR="00CD00D1" w:rsidRPr="007F3195">
        <w:t xml:space="preserve"> was </w:t>
      </w:r>
      <w:r w:rsidR="00002944" w:rsidRPr="007F3195">
        <w:t xml:space="preserve">estimated </w:t>
      </w:r>
      <w:r w:rsidR="00CD00D1" w:rsidRPr="007F3195">
        <w:t>for the lenacapavir arm</w:t>
      </w:r>
      <w:r w:rsidRPr="007F3195">
        <w:t xml:space="preserve"> </w:t>
      </w:r>
      <w:r w:rsidR="00B93207" w:rsidRPr="007F3195">
        <w:t xml:space="preserve">(e.g. </w:t>
      </w:r>
      <w:r w:rsidR="00B9575E" w:rsidRPr="007F3195">
        <w:t xml:space="preserve">50% of </w:t>
      </w:r>
      <w:r w:rsidR="00CA3585" w:rsidRPr="007F3195">
        <w:t>patients in OBR arm we</w:t>
      </w:r>
      <w:r w:rsidR="00557739" w:rsidRPr="007F3195">
        <w:t xml:space="preserve">re dead by year 10 but takes an additional 8 years for </w:t>
      </w:r>
      <w:r w:rsidR="00CA3585" w:rsidRPr="007F3195">
        <w:t>the lenacapavir arm to get to 50% death)</w:t>
      </w:r>
      <w:r w:rsidR="00760970">
        <w:rPr>
          <w:rStyle w:val="FootnoteReference"/>
        </w:rPr>
        <w:footnoteReference w:id="18"/>
      </w:r>
      <w:r w:rsidRPr="007F3195">
        <w:t xml:space="preserve">. </w:t>
      </w:r>
      <w:r w:rsidR="00002944" w:rsidRPr="007F3195">
        <w:t>N</w:t>
      </w:r>
      <w:r w:rsidRPr="007F3195">
        <w:t xml:space="preserve">o relevant external data was presented to support the mortality estimates in either arm </w:t>
      </w:r>
      <w:r w:rsidR="00002944" w:rsidRPr="007F3195">
        <w:t xml:space="preserve">and </w:t>
      </w:r>
      <w:r w:rsidRPr="007F3195">
        <w:t>the clinical evidence</w:t>
      </w:r>
      <w:r w:rsidR="009734EA" w:rsidRPr="007F3195">
        <w:t xml:space="preserve"> presented </w:t>
      </w:r>
      <w:r w:rsidRPr="007F3195">
        <w:t xml:space="preserve">did not include </w:t>
      </w:r>
      <w:r w:rsidR="009734EA" w:rsidRPr="007F3195">
        <w:t xml:space="preserve">any data on the incremental </w:t>
      </w:r>
      <w:r w:rsidRPr="007F3195">
        <w:t>overall survival</w:t>
      </w:r>
      <w:r w:rsidR="009734EA" w:rsidRPr="007F3195">
        <w:t>.</w:t>
      </w:r>
      <w:r w:rsidRPr="007F3195">
        <w:t xml:space="preserve"> </w:t>
      </w:r>
      <w:r w:rsidR="009734EA" w:rsidRPr="007F3195">
        <w:t xml:space="preserve">The model’s survival benefit estimates </w:t>
      </w:r>
      <w:r w:rsidR="00CA3585" w:rsidRPr="007F3195">
        <w:t>may be optimistic</w:t>
      </w:r>
      <w:r w:rsidRPr="007F3195">
        <w:t xml:space="preserve">. </w:t>
      </w:r>
    </w:p>
    <w:p w14:paraId="080F200A" w14:textId="22143AC1" w:rsidR="00F252E3" w:rsidRPr="00F252E3" w:rsidRDefault="00F252E3" w:rsidP="00F252E3">
      <w:pPr>
        <w:pStyle w:val="3-BodyText"/>
        <w:rPr>
          <w:rFonts w:cstheme="minorHAnsi"/>
          <w:bCs/>
        </w:rPr>
      </w:pPr>
      <w:r w:rsidRPr="004B0695">
        <w:rPr>
          <w:rFonts w:cstheme="minorHAnsi"/>
          <w:bCs/>
          <w:snapToGrid/>
        </w:rPr>
        <w:fldChar w:fldCharType="begin"/>
      </w:r>
      <w:r w:rsidRPr="004B0695">
        <w:rPr>
          <w:rFonts w:cstheme="minorHAnsi"/>
          <w:bCs/>
          <w:snapToGrid/>
        </w:rPr>
        <w:instrText xml:space="preserve"> REF _Ref113632170 \h  \* MERGEFORMAT </w:instrText>
      </w:r>
      <w:r w:rsidRPr="004B0695">
        <w:rPr>
          <w:rFonts w:cstheme="minorHAnsi"/>
          <w:bCs/>
          <w:snapToGrid/>
        </w:rPr>
      </w:r>
      <w:r w:rsidRPr="004B0695">
        <w:rPr>
          <w:rFonts w:cstheme="minorHAnsi"/>
          <w:bCs/>
          <w:snapToGrid/>
        </w:rPr>
        <w:fldChar w:fldCharType="separate"/>
      </w:r>
      <w:r w:rsidR="0050086F" w:rsidRPr="0050086F">
        <w:rPr>
          <w:rFonts w:cstheme="minorHAnsi"/>
          <w:bCs/>
          <w:snapToGrid/>
        </w:rPr>
        <w:t>Figure 9</w:t>
      </w:r>
      <w:r w:rsidRPr="004B0695">
        <w:rPr>
          <w:rFonts w:cstheme="minorHAnsi"/>
          <w:bCs/>
          <w:snapToGrid/>
        </w:rPr>
        <w:fldChar w:fldCharType="end"/>
      </w:r>
      <w:r>
        <w:rPr>
          <w:rFonts w:ascii="Arial" w:hAnsi="Arial" w:cs="Times New Roman"/>
          <w:b/>
          <w:snapToGrid/>
          <w:sz w:val="20"/>
          <w:szCs w:val="20"/>
        </w:rPr>
        <w:t xml:space="preserve"> </w:t>
      </w:r>
      <w:r w:rsidRPr="00F252E3">
        <w:rPr>
          <w:rFonts w:cstheme="minorHAnsi"/>
          <w:bCs/>
          <w:snapToGrid/>
        </w:rPr>
        <w:t xml:space="preserve">presents </w:t>
      </w:r>
      <w:r>
        <w:rPr>
          <w:rFonts w:cstheme="minorHAnsi"/>
          <w:bCs/>
          <w:snapToGrid/>
        </w:rPr>
        <w:t xml:space="preserve">the Markov trace for CD4 cell count health state. </w:t>
      </w:r>
    </w:p>
    <w:p w14:paraId="16E66183" w14:textId="561BF726" w:rsidR="00F252E3" w:rsidRPr="00C4404D" w:rsidRDefault="00F252E3" w:rsidP="00F252E3">
      <w:pPr>
        <w:pStyle w:val="KMC16-Caption"/>
        <w:ind w:left="0" w:firstLine="0"/>
        <w:rPr>
          <w:rFonts w:ascii="Arial Narrow" w:hAnsi="Arial Narrow"/>
          <w:bCs/>
        </w:rPr>
      </w:pPr>
      <w:bookmarkStart w:id="69" w:name="_Ref113632170"/>
      <w:r w:rsidRPr="00C4404D">
        <w:rPr>
          <w:rFonts w:ascii="Arial Narrow" w:hAnsi="Arial Narrow"/>
          <w:bCs/>
        </w:rPr>
        <w:lastRenderedPageBreak/>
        <w:t xml:space="preserve">Figure </w:t>
      </w:r>
      <w:r w:rsidRPr="00C4404D">
        <w:rPr>
          <w:rFonts w:ascii="Arial Narrow" w:hAnsi="Arial Narrow"/>
          <w:bCs/>
        </w:rPr>
        <w:fldChar w:fldCharType="begin"/>
      </w:r>
      <w:r w:rsidRPr="00C4404D">
        <w:rPr>
          <w:rFonts w:ascii="Arial Narrow" w:hAnsi="Arial Narrow"/>
          <w:bCs/>
        </w:rPr>
        <w:instrText xml:space="preserve"> SEQ Figure \* MERGEFORMAT </w:instrText>
      </w:r>
      <w:r w:rsidRPr="00C4404D">
        <w:rPr>
          <w:rFonts w:ascii="Arial Narrow" w:hAnsi="Arial Narrow"/>
          <w:bCs/>
        </w:rPr>
        <w:fldChar w:fldCharType="separate"/>
      </w:r>
      <w:r w:rsidR="0050086F">
        <w:rPr>
          <w:rFonts w:ascii="Arial Narrow" w:hAnsi="Arial Narrow"/>
          <w:bCs/>
          <w:noProof/>
        </w:rPr>
        <w:t>9</w:t>
      </w:r>
      <w:r w:rsidRPr="00C4404D">
        <w:rPr>
          <w:rFonts w:ascii="Arial Narrow" w:hAnsi="Arial Narrow"/>
          <w:bCs/>
        </w:rPr>
        <w:fldChar w:fldCharType="end"/>
      </w:r>
      <w:bookmarkEnd w:id="69"/>
      <w:r w:rsidRPr="00C4404D">
        <w:rPr>
          <w:rFonts w:ascii="Arial Narrow" w:hAnsi="Arial Narrow"/>
          <w:bCs/>
        </w:rPr>
        <w:t>: Modelled traces – CD4 cell count</w:t>
      </w:r>
    </w:p>
    <w:p w14:paraId="1F379165" w14:textId="77777777" w:rsidR="00F252E3" w:rsidRPr="00C4404D" w:rsidRDefault="00F252E3" w:rsidP="00F252E3">
      <w:pPr>
        <w:pStyle w:val="KMC16-Text"/>
        <w:spacing w:before="0" w:after="0"/>
        <w:jc w:val="left"/>
      </w:pPr>
      <w:r w:rsidRPr="00C4404D">
        <w:rPr>
          <w:noProof/>
        </w:rPr>
        <w:drawing>
          <wp:inline distT="0" distB="0" distL="0" distR="0" wp14:anchorId="4E821034" wp14:editId="296740AD">
            <wp:extent cx="4970585" cy="3318093"/>
            <wp:effectExtent l="0" t="0" r="0" b="0"/>
            <wp:docPr id="4" name="Picture 4" descr="Figure 9: Modelled traces – CD4 cell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9: Modelled traces – CD4 cell coun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95547" cy="3334756"/>
                    </a:xfrm>
                    <a:prstGeom prst="rect">
                      <a:avLst/>
                    </a:prstGeom>
                    <a:noFill/>
                  </pic:spPr>
                </pic:pic>
              </a:graphicData>
            </a:graphic>
          </wp:inline>
        </w:drawing>
      </w:r>
    </w:p>
    <w:p w14:paraId="31D18903" w14:textId="559446CD" w:rsidR="00F252E3" w:rsidRDefault="00F252E3" w:rsidP="008103BF">
      <w:pPr>
        <w:pStyle w:val="FooterTableFigure"/>
        <w:contextualSpacing w:val="0"/>
      </w:pPr>
      <w:r w:rsidRPr="00C4404D">
        <w:t>Figure 3-9, p181 of the submission.</w:t>
      </w:r>
    </w:p>
    <w:p w14:paraId="346D0974" w14:textId="7E603D04" w:rsidR="004F0034" w:rsidRPr="00C4404D" w:rsidRDefault="004F0034" w:rsidP="008103BF">
      <w:pPr>
        <w:pStyle w:val="FooterTableFigure"/>
      </w:pPr>
      <w:r w:rsidRPr="004F0034">
        <w:rPr>
          <w:i/>
          <w:iCs/>
        </w:rPr>
        <w:t>Note</w:t>
      </w:r>
      <w:r>
        <w:rPr>
          <w:i/>
          <w:iCs/>
        </w:rPr>
        <w:t>: T</w:t>
      </w:r>
      <w:r w:rsidRPr="004F0034">
        <w:rPr>
          <w:i/>
          <w:iCs/>
        </w:rPr>
        <w:t>he results presented in Figure 9 are derived from post-hoc analyses conducted by the applicant specifically for the purposes of informing the PBAC consideration. These analyses were not part of the pre-specified statistical plan for these studies</w:t>
      </w:r>
      <w:r>
        <w:rPr>
          <w:i/>
          <w:iCs/>
        </w:rPr>
        <w:t>.</w:t>
      </w:r>
      <w:r w:rsidRPr="004F0034">
        <w:rPr>
          <w:i/>
          <w:iCs/>
        </w:rPr>
        <w:t xml:space="preserve"> Interpretation of the results and their application should therefore be limited to seeking to understand the basis for the PBAC outcome and should not be used for any other purpose.</w:t>
      </w:r>
    </w:p>
    <w:p w14:paraId="11E89E19" w14:textId="5839531D" w:rsidR="0081132F" w:rsidRDefault="00B31491" w:rsidP="00A86840">
      <w:pPr>
        <w:pStyle w:val="3-BodyText"/>
        <w:spacing w:before="120"/>
        <w:rPr>
          <w:color w:val="000000" w:themeColor="text1"/>
        </w:rPr>
      </w:pPr>
      <w:r w:rsidRPr="00C4404D">
        <w:rPr>
          <w:color w:val="000000" w:themeColor="text1"/>
        </w:rPr>
        <w:fldChar w:fldCharType="begin"/>
      </w:r>
      <w:r w:rsidRPr="00C4404D">
        <w:rPr>
          <w:color w:val="000000" w:themeColor="text1"/>
        </w:rPr>
        <w:instrText xml:space="preserve"> REF _Ref104805122 \h  \* MERGEFORMAT </w:instrText>
      </w:r>
      <w:r w:rsidRPr="00C4404D">
        <w:rPr>
          <w:color w:val="000000" w:themeColor="text1"/>
        </w:rPr>
      </w:r>
      <w:r w:rsidRPr="00C4404D">
        <w:rPr>
          <w:color w:val="000000" w:themeColor="text1"/>
        </w:rPr>
        <w:fldChar w:fldCharType="separate"/>
      </w:r>
      <w:r w:rsidR="0050086F" w:rsidRPr="0050086F">
        <w:rPr>
          <w:color w:val="000000" w:themeColor="text1"/>
        </w:rPr>
        <w:t>Table 12</w:t>
      </w:r>
      <w:r w:rsidRPr="00C4404D">
        <w:rPr>
          <w:color w:val="000000" w:themeColor="text1"/>
        </w:rPr>
        <w:fldChar w:fldCharType="end"/>
      </w:r>
      <w:r w:rsidRPr="00C4404D">
        <w:rPr>
          <w:color w:val="000000" w:themeColor="text1"/>
        </w:rPr>
        <w:t xml:space="preserve"> presents the key drivers of the </w:t>
      </w:r>
      <w:r w:rsidR="00553BAE">
        <w:rPr>
          <w:color w:val="000000" w:themeColor="text1"/>
        </w:rPr>
        <w:t xml:space="preserve">economic </w:t>
      </w:r>
      <w:r w:rsidRPr="00C4404D">
        <w:rPr>
          <w:color w:val="000000" w:themeColor="text1"/>
        </w:rPr>
        <w:t>model.</w:t>
      </w:r>
    </w:p>
    <w:p w14:paraId="21AB7DD2" w14:textId="267508DC" w:rsidR="00B31491" w:rsidRDefault="0081132F" w:rsidP="0022470A">
      <w:pPr>
        <w:jc w:val="left"/>
        <w:rPr>
          <w:color w:val="000000" w:themeColor="text1"/>
        </w:rPr>
      </w:pPr>
      <w:r>
        <w:rPr>
          <w:color w:val="000000" w:themeColor="text1"/>
        </w:rPr>
        <w:br w:type="page"/>
      </w:r>
    </w:p>
    <w:p w14:paraId="1ED81C40" w14:textId="3B8BB82B" w:rsidR="00CC2233" w:rsidRPr="00E52AC5" w:rsidRDefault="00CC2233" w:rsidP="00CC2233">
      <w:pPr>
        <w:pStyle w:val="Caption"/>
        <w:jc w:val="left"/>
        <w:rPr>
          <w:rStyle w:val="CommentReference"/>
          <w:b/>
          <w:szCs w:val="24"/>
        </w:rPr>
      </w:pPr>
      <w:bookmarkStart w:id="70" w:name="_Ref104805122"/>
      <w:r w:rsidRPr="00E52AC5">
        <w:lastRenderedPageBreak/>
        <w:t xml:space="preserve">Table </w:t>
      </w:r>
      <w:fldSimple w:instr=" SEQ Table \* ARABIC ">
        <w:r w:rsidR="0050086F">
          <w:rPr>
            <w:noProof/>
          </w:rPr>
          <w:t>12</w:t>
        </w:r>
      </w:fldSimple>
      <w:bookmarkEnd w:id="70"/>
      <w:r w:rsidRPr="00E52AC5">
        <w:t>:</w:t>
      </w:r>
      <w:r w:rsidRPr="00E52AC5">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95"/>
        <w:gridCol w:w="3420"/>
        <w:gridCol w:w="3802"/>
      </w:tblGrid>
      <w:tr w:rsidR="00CC2233" w:rsidRPr="00E52AC5" w14:paraId="3CA3759A" w14:textId="77777777" w:rsidTr="00700BF0">
        <w:trPr>
          <w:tblHeader/>
        </w:trPr>
        <w:tc>
          <w:tcPr>
            <w:tcW w:w="995" w:type="pct"/>
            <w:shd w:val="clear" w:color="auto" w:fill="auto"/>
            <w:vAlign w:val="center"/>
          </w:tcPr>
          <w:p w14:paraId="63C08B41" w14:textId="77777777" w:rsidR="00CC2233" w:rsidRPr="00E52AC5" w:rsidRDefault="00CC2233" w:rsidP="00700BF0">
            <w:pPr>
              <w:pStyle w:val="In-tableHeading"/>
              <w:jc w:val="center"/>
              <w:rPr>
                <w:lang w:val="en-AU"/>
              </w:rPr>
            </w:pPr>
            <w:r w:rsidRPr="00E52AC5">
              <w:rPr>
                <w:lang w:val="en-AU"/>
              </w:rPr>
              <w:t>Description</w:t>
            </w:r>
          </w:p>
        </w:tc>
        <w:tc>
          <w:tcPr>
            <w:tcW w:w="1896" w:type="pct"/>
            <w:shd w:val="clear" w:color="auto" w:fill="auto"/>
            <w:vAlign w:val="center"/>
          </w:tcPr>
          <w:p w14:paraId="6CAB2BCE" w14:textId="77777777" w:rsidR="00CC2233" w:rsidRPr="00E52AC5" w:rsidRDefault="00CC2233" w:rsidP="00700BF0">
            <w:pPr>
              <w:pStyle w:val="In-tableHeading"/>
              <w:jc w:val="center"/>
              <w:rPr>
                <w:lang w:val="en-AU"/>
              </w:rPr>
            </w:pPr>
            <w:r w:rsidRPr="00E52AC5">
              <w:rPr>
                <w:lang w:val="en-AU"/>
              </w:rPr>
              <w:t>Method/Value</w:t>
            </w:r>
          </w:p>
        </w:tc>
        <w:tc>
          <w:tcPr>
            <w:tcW w:w="2108" w:type="pct"/>
            <w:shd w:val="clear" w:color="auto" w:fill="auto"/>
            <w:vAlign w:val="center"/>
          </w:tcPr>
          <w:p w14:paraId="7DBC6CF3" w14:textId="77777777" w:rsidR="00CC2233" w:rsidRPr="00E52AC5" w:rsidRDefault="00CC2233" w:rsidP="00700BF0">
            <w:pPr>
              <w:pStyle w:val="In-tableHeading"/>
              <w:jc w:val="center"/>
              <w:rPr>
                <w:lang w:val="en-AU"/>
              </w:rPr>
            </w:pPr>
            <w:r w:rsidRPr="00E52AC5">
              <w:rPr>
                <w:lang w:val="en-AU"/>
              </w:rPr>
              <w:t>Impact</w:t>
            </w:r>
          </w:p>
          <w:p w14:paraId="40ACB4DE" w14:textId="119FD4A5" w:rsidR="00CC2233" w:rsidRPr="00E52AC5" w:rsidRDefault="00CC2233" w:rsidP="00700BF0">
            <w:pPr>
              <w:pStyle w:val="In-tableHeading"/>
              <w:jc w:val="center"/>
              <w:rPr>
                <w:lang w:val="en-AU"/>
              </w:rPr>
            </w:pPr>
            <w:r w:rsidRPr="00E52AC5">
              <w:rPr>
                <w:rFonts w:cs="Arial"/>
                <w:szCs w:val="20"/>
                <w:lang w:val="en-AU"/>
              </w:rPr>
              <w:t>Base case: $</w:t>
            </w:r>
            <w:r w:rsidR="001328F0" w:rsidRPr="001328F0">
              <w:rPr>
                <w:rFonts w:cs="Arial"/>
                <w:color w:val="000000"/>
                <w:szCs w:val="20"/>
                <w:shd w:val="solid" w:color="000000" w:fill="000000"/>
                <w:lang w:val="en-AU"/>
                <w14:textFill>
                  <w14:solidFill>
                    <w14:srgbClr w14:val="000000">
                      <w14:alpha w14:val="100000"/>
                    </w14:srgbClr>
                  </w14:solidFill>
                </w14:textFill>
              </w:rPr>
              <w:t>|</w:t>
            </w:r>
            <w:r w:rsidR="000E333A" w:rsidRPr="000E333A">
              <w:rPr>
                <w:rFonts w:cs="Arial"/>
                <w:szCs w:val="20"/>
                <w:lang w:val="en-AU"/>
              </w:rPr>
              <w:t xml:space="preserve"> </w:t>
            </w:r>
            <w:r w:rsidR="00F542A3" w:rsidRPr="0022470A">
              <w:rPr>
                <w:rFonts w:cs="Arial"/>
                <w:b w:val="0"/>
                <w:bCs/>
                <w:szCs w:val="20"/>
                <w:vertAlign w:val="superscript"/>
                <w:lang w:val="en-AU"/>
              </w:rPr>
              <w:t>1</w:t>
            </w:r>
            <w:r w:rsidRPr="00E52AC5">
              <w:rPr>
                <w:rFonts w:cs="Arial"/>
                <w:szCs w:val="20"/>
                <w:lang w:val="en-AU"/>
              </w:rPr>
              <w:t>/QALY gained</w:t>
            </w:r>
          </w:p>
        </w:tc>
      </w:tr>
      <w:tr w:rsidR="00CC2233" w:rsidRPr="00E52AC5" w14:paraId="5DD09AE5" w14:textId="77777777" w:rsidTr="00700BF0">
        <w:tc>
          <w:tcPr>
            <w:tcW w:w="995" w:type="pct"/>
            <w:shd w:val="clear" w:color="auto" w:fill="auto"/>
            <w:vAlign w:val="center"/>
          </w:tcPr>
          <w:p w14:paraId="65E35D53" w14:textId="622A78D5" w:rsidR="00CC2233" w:rsidRPr="00E52AC5" w:rsidRDefault="00CC2233" w:rsidP="00700BF0">
            <w:pPr>
              <w:pStyle w:val="TableText0"/>
            </w:pPr>
            <w:r w:rsidRPr="00E52AC5">
              <w:t xml:space="preserve">Viral </w:t>
            </w:r>
            <w:r w:rsidR="00AD0204" w:rsidRPr="00E52AC5">
              <w:t xml:space="preserve">load </w:t>
            </w:r>
            <w:r w:rsidRPr="00E52AC5">
              <w:t xml:space="preserve">suppression </w:t>
            </w:r>
            <w:r w:rsidR="00AD0204" w:rsidRPr="00E52AC5">
              <w:t xml:space="preserve">incremental </w:t>
            </w:r>
            <w:r w:rsidRPr="00E52AC5">
              <w:t>effect</w:t>
            </w:r>
          </w:p>
        </w:tc>
        <w:tc>
          <w:tcPr>
            <w:tcW w:w="1896" w:type="pct"/>
            <w:shd w:val="clear" w:color="auto" w:fill="auto"/>
            <w:vAlign w:val="center"/>
          </w:tcPr>
          <w:p w14:paraId="5E8024D3" w14:textId="113E0277" w:rsidR="00CC2233" w:rsidRPr="00E52AC5" w:rsidRDefault="00CC2233" w:rsidP="00700BF0">
            <w:pPr>
              <w:pStyle w:val="TableText0"/>
            </w:pPr>
            <w:r w:rsidRPr="00E52AC5">
              <w:t>R</w:t>
            </w:r>
            <w:r w:rsidR="00A072D5" w:rsidRPr="00E52AC5">
              <w:t>elative risk</w:t>
            </w:r>
            <w:r w:rsidRPr="00E52AC5">
              <w:t xml:space="preserve"> of 3.828 from </w:t>
            </w:r>
            <w:r w:rsidR="002B3785" w:rsidRPr="00E52AC5">
              <w:t xml:space="preserve">unanchored </w:t>
            </w:r>
            <w:r w:rsidRPr="00E52AC5">
              <w:t>comparison applied to both 50 copies/mL and 200 copies/mL</w:t>
            </w:r>
          </w:p>
        </w:tc>
        <w:tc>
          <w:tcPr>
            <w:tcW w:w="2108" w:type="pct"/>
            <w:shd w:val="clear" w:color="auto" w:fill="auto"/>
            <w:vAlign w:val="center"/>
          </w:tcPr>
          <w:p w14:paraId="75118D2A" w14:textId="77777777" w:rsidR="00CC2233" w:rsidRPr="00E52AC5" w:rsidRDefault="00CC2233" w:rsidP="00700BF0">
            <w:pPr>
              <w:pStyle w:val="TableText0"/>
            </w:pPr>
            <w:r w:rsidRPr="00E52AC5">
              <w:t>High, favours lenacapavir + OBR</w:t>
            </w:r>
          </w:p>
          <w:p w14:paraId="3D616E48" w14:textId="07AEB520" w:rsidR="00CC2233" w:rsidRPr="00E52AC5" w:rsidRDefault="00CC2233" w:rsidP="00700BF0">
            <w:pPr>
              <w:pStyle w:val="TableText0"/>
            </w:pPr>
            <w:r w:rsidRPr="00E52AC5">
              <w:t xml:space="preserve">Use of 1.47 and 1.32 for the 50 copies/mL and 200 copies/mL suppression ratio, based on the evaluation’s </w:t>
            </w:r>
            <w:r w:rsidR="002B3785" w:rsidRPr="00E52AC5">
              <w:t xml:space="preserve">unanchored </w:t>
            </w:r>
            <w:r w:rsidRPr="00E52AC5">
              <w:t>comparison, incr</w:t>
            </w:r>
            <w:r w:rsidR="00524B8D" w:rsidRPr="00E52AC5">
              <w:t>e</w:t>
            </w:r>
            <w:r w:rsidRPr="00E52AC5">
              <w:t>ased the ICER by 186% to $</w:t>
            </w:r>
            <w:r w:rsidR="001328F0" w:rsidRPr="001328F0">
              <w:rPr>
                <w:color w:val="000000"/>
                <w:spacing w:val="184"/>
                <w:shd w:val="solid" w:color="000000" w:fill="000000"/>
                <w:fitText w:val="270" w:id="-1290615802"/>
                <w14:textFill>
                  <w14:solidFill>
                    <w14:srgbClr w14:val="000000">
                      <w14:alpha w14:val="100000"/>
                    </w14:srgbClr>
                  </w14:solidFill>
                </w14:textFill>
              </w:rPr>
              <w:t>|</w:t>
            </w:r>
            <w:r w:rsidR="001328F0" w:rsidRPr="001328F0">
              <w:rPr>
                <w:color w:val="000000"/>
                <w:spacing w:val="1"/>
                <w:shd w:val="solid" w:color="000000" w:fill="000000"/>
                <w:fitText w:val="270" w:id="-1290615802"/>
                <w14:textFill>
                  <w14:solidFill>
                    <w14:srgbClr w14:val="000000">
                      <w14:alpha w14:val="100000"/>
                    </w14:srgbClr>
                  </w14:solidFill>
                </w14:textFill>
              </w:rPr>
              <w:t>|</w:t>
            </w:r>
            <w:r w:rsidR="000E333A" w:rsidRPr="000E333A">
              <w:t xml:space="preserve"> </w:t>
            </w:r>
            <w:r w:rsidR="00492F49" w:rsidRPr="00D71571">
              <w:rPr>
                <w:vertAlign w:val="superscript"/>
              </w:rPr>
              <w:t>2</w:t>
            </w:r>
            <w:r w:rsidRPr="00E52AC5">
              <w:t>/QALY gained.</w:t>
            </w:r>
          </w:p>
        </w:tc>
      </w:tr>
      <w:tr w:rsidR="00CC2233" w:rsidRPr="00E52AC5" w14:paraId="4CC54400" w14:textId="77777777" w:rsidTr="00700BF0">
        <w:tc>
          <w:tcPr>
            <w:tcW w:w="995" w:type="pct"/>
            <w:shd w:val="clear" w:color="auto" w:fill="auto"/>
            <w:vAlign w:val="center"/>
          </w:tcPr>
          <w:p w14:paraId="26D31BC2" w14:textId="79381DB9" w:rsidR="00CC2233" w:rsidRPr="00E52AC5" w:rsidRDefault="00CC2233" w:rsidP="00700BF0">
            <w:pPr>
              <w:pStyle w:val="TableText0"/>
            </w:pPr>
            <w:r w:rsidRPr="00E52AC5">
              <w:t>Intercept of</w:t>
            </w:r>
            <w:r w:rsidR="00B648EB" w:rsidRPr="00E52AC5">
              <w:t xml:space="preserve"> </w:t>
            </w:r>
            <w:r w:rsidRPr="00E52AC5">
              <w:t>exponential extrapolation</w:t>
            </w:r>
          </w:p>
          <w:p w14:paraId="0BDCAFC8" w14:textId="24882629" w:rsidR="00CC2233" w:rsidRPr="00E52AC5" w:rsidRDefault="00CC2233" w:rsidP="00700BF0">
            <w:pPr>
              <w:pStyle w:val="TableText0"/>
            </w:pPr>
            <w:r w:rsidRPr="00E52AC5">
              <w:t>(&lt;</w:t>
            </w:r>
            <w:r w:rsidR="00474743">
              <w:t xml:space="preserve"> </w:t>
            </w:r>
            <w:r w:rsidRPr="00E52AC5">
              <w:t>50 copies/mL</w:t>
            </w:r>
            <w:r w:rsidR="00B648EB" w:rsidRPr="00E52AC5">
              <w:t>)</w:t>
            </w:r>
          </w:p>
        </w:tc>
        <w:tc>
          <w:tcPr>
            <w:tcW w:w="1896" w:type="pct"/>
            <w:shd w:val="clear" w:color="auto" w:fill="auto"/>
            <w:vAlign w:val="center"/>
          </w:tcPr>
          <w:p w14:paraId="2C503804" w14:textId="77777777" w:rsidR="00CC2233" w:rsidRPr="00E52AC5" w:rsidRDefault="00CC2233" w:rsidP="00700BF0">
            <w:pPr>
              <w:pStyle w:val="TableText0"/>
            </w:pPr>
            <w:r w:rsidRPr="00E52AC5">
              <w:t xml:space="preserve">Exponential intercept of 9.25 </w:t>
            </w:r>
          </w:p>
        </w:tc>
        <w:tc>
          <w:tcPr>
            <w:tcW w:w="2108" w:type="pct"/>
            <w:shd w:val="clear" w:color="auto" w:fill="auto"/>
            <w:vAlign w:val="center"/>
          </w:tcPr>
          <w:p w14:paraId="1C81B950" w14:textId="77777777" w:rsidR="00CC2233" w:rsidRPr="00E52AC5" w:rsidRDefault="00CC2233" w:rsidP="00700BF0">
            <w:pPr>
              <w:pStyle w:val="TableText0"/>
            </w:pPr>
            <w:r w:rsidRPr="00E52AC5">
              <w:t>High, favours lenacapavir + OBR</w:t>
            </w:r>
          </w:p>
          <w:p w14:paraId="37AEECF5" w14:textId="0A90BC85" w:rsidR="00CC2233" w:rsidRPr="00E52AC5" w:rsidRDefault="00CC2233" w:rsidP="00700BF0">
            <w:pPr>
              <w:pStyle w:val="TableText0"/>
            </w:pPr>
            <w:r w:rsidRPr="00E52AC5">
              <w:t xml:space="preserve">Use of </w:t>
            </w:r>
            <w:r w:rsidR="008E37EA" w:rsidRPr="00E52AC5">
              <w:t xml:space="preserve">upper </w:t>
            </w:r>
            <w:r w:rsidR="005B5F4D" w:rsidRPr="00E52AC5">
              <w:t xml:space="preserve">95% </w:t>
            </w:r>
            <w:r w:rsidR="008E37EA" w:rsidRPr="00E52AC5">
              <w:t xml:space="preserve">confidence interval value of </w:t>
            </w:r>
            <w:r w:rsidRPr="00E52AC5">
              <w:t>88.48 increased the ICER by 165% to $</w:t>
            </w:r>
            <w:r w:rsidR="001328F0" w:rsidRPr="00CA7B56">
              <w:rPr>
                <w:color w:val="000000"/>
                <w:spacing w:val="194"/>
                <w:shd w:val="solid" w:color="000000" w:fill="000000"/>
                <w:fitText w:val="280" w:id="-1290615801"/>
                <w14:textFill>
                  <w14:solidFill>
                    <w14:srgbClr w14:val="000000">
                      <w14:alpha w14:val="100000"/>
                    </w14:srgbClr>
                  </w14:solidFill>
                </w14:textFill>
              </w:rPr>
              <w:t>|</w:t>
            </w:r>
            <w:r w:rsidR="001328F0" w:rsidRPr="00CA7B56">
              <w:rPr>
                <w:color w:val="000000"/>
                <w:spacing w:val="1"/>
                <w:shd w:val="solid" w:color="000000" w:fill="000000"/>
                <w:fitText w:val="280" w:id="-1290615801"/>
                <w14:textFill>
                  <w14:solidFill>
                    <w14:srgbClr w14:val="000000">
                      <w14:alpha w14:val="100000"/>
                    </w14:srgbClr>
                  </w14:solidFill>
                </w14:textFill>
              </w:rPr>
              <w:t>|</w:t>
            </w:r>
            <w:r w:rsidR="000E333A" w:rsidRPr="000E333A">
              <w:t xml:space="preserve"> </w:t>
            </w:r>
            <w:r w:rsidR="00492F49" w:rsidRPr="00D71571">
              <w:rPr>
                <w:vertAlign w:val="superscript"/>
              </w:rPr>
              <w:t>3</w:t>
            </w:r>
            <w:r w:rsidRPr="00E52AC5">
              <w:t xml:space="preserve">/QALY gained. </w:t>
            </w:r>
          </w:p>
        </w:tc>
      </w:tr>
      <w:tr w:rsidR="00CC2233" w:rsidRPr="00E52AC5" w14:paraId="26BE2AC4" w14:textId="77777777" w:rsidTr="00700BF0">
        <w:tc>
          <w:tcPr>
            <w:tcW w:w="995" w:type="pct"/>
            <w:shd w:val="clear" w:color="auto" w:fill="auto"/>
            <w:vAlign w:val="center"/>
          </w:tcPr>
          <w:p w14:paraId="46CE9B67" w14:textId="77777777" w:rsidR="00CC2233" w:rsidRPr="00E52AC5" w:rsidRDefault="00CC2233" w:rsidP="00700BF0">
            <w:pPr>
              <w:pStyle w:val="TableText0"/>
            </w:pPr>
            <w:r w:rsidRPr="00E52AC5">
              <w:t>Intercept of exponential extrapolation</w:t>
            </w:r>
          </w:p>
          <w:p w14:paraId="7F2C8B5E" w14:textId="3CA45187" w:rsidR="00CC2233" w:rsidRPr="00E52AC5" w:rsidRDefault="00CC2233" w:rsidP="00700BF0">
            <w:pPr>
              <w:pStyle w:val="TableText0"/>
            </w:pPr>
            <w:r w:rsidRPr="00E52AC5">
              <w:t>(&lt;</w:t>
            </w:r>
            <w:r w:rsidR="00474743">
              <w:t xml:space="preserve"> </w:t>
            </w:r>
            <w:r w:rsidR="00A072D5" w:rsidRPr="00E52AC5">
              <w:t>200</w:t>
            </w:r>
            <w:r w:rsidRPr="00E52AC5">
              <w:t xml:space="preserve"> copies/mL</w:t>
            </w:r>
            <w:r w:rsidR="00B648EB" w:rsidRPr="00E52AC5">
              <w:t>)</w:t>
            </w:r>
          </w:p>
        </w:tc>
        <w:tc>
          <w:tcPr>
            <w:tcW w:w="1896" w:type="pct"/>
            <w:shd w:val="clear" w:color="auto" w:fill="auto"/>
            <w:vAlign w:val="center"/>
          </w:tcPr>
          <w:p w14:paraId="6AEB83E4" w14:textId="77777777" w:rsidR="00CC2233" w:rsidRPr="00E52AC5" w:rsidRDefault="00CC2233" w:rsidP="00700BF0">
            <w:pPr>
              <w:pStyle w:val="TableText0"/>
            </w:pPr>
            <w:r w:rsidRPr="00E52AC5">
              <w:t>Exponential intercept of 25.33</w:t>
            </w:r>
          </w:p>
        </w:tc>
        <w:tc>
          <w:tcPr>
            <w:tcW w:w="2108" w:type="pct"/>
            <w:shd w:val="clear" w:color="auto" w:fill="auto"/>
            <w:vAlign w:val="center"/>
          </w:tcPr>
          <w:p w14:paraId="682FADA6" w14:textId="77777777" w:rsidR="00CC2233" w:rsidRPr="00E52AC5" w:rsidRDefault="00CC2233" w:rsidP="00700BF0">
            <w:pPr>
              <w:pStyle w:val="TableText0"/>
            </w:pPr>
            <w:r w:rsidRPr="00E52AC5">
              <w:t>High, favours lenacapavir + OBR</w:t>
            </w:r>
          </w:p>
          <w:p w14:paraId="0825A1D5" w14:textId="237DED2F" w:rsidR="00CC2233" w:rsidRPr="00E52AC5" w:rsidRDefault="008E37EA" w:rsidP="00700BF0">
            <w:pPr>
              <w:pStyle w:val="TableText0"/>
            </w:pPr>
            <w:r w:rsidRPr="00E52AC5">
              <w:t xml:space="preserve">Use of upper 95% confidence interval value of </w:t>
            </w:r>
            <w:r w:rsidR="00CC2233" w:rsidRPr="00E52AC5">
              <w:t>92.17 increased the ICER by 155% to $</w:t>
            </w:r>
            <w:r w:rsidR="001328F0" w:rsidRPr="00CA7B56">
              <w:rPr>
                <w:color w:val="000000"/>
                <w:spacing w:val="194"/>
                <w:shd w:val="solid" w:color="000000" w:fill="000000"/>
                <w:fitText w:val="280" w:id="-1290615800"/>
                <w14:textFill>
                  <w14:solidFill>
                    <w14:srgbClr w14:val="000000">
                      <w14:alpha w14:val="100000"/>
                    </w14:srgbClr>
                  </w14:solidFill>
                </w14:textFill>
              </w:rPr>
              <w:t>|</w:t>
            </w:r>
            <w:r w:rsidR="001328F0" w:rsidRPr="00CA7B56">
              <w:rPr>
                <w:color w:val="000000"/>
                <w:spacing w:val="1"/>
                <w:shd w:val="solid" w:color="000000" w:fill="000000"/>
                <w:fitText w:val="280" w:id="-1290615800"/>
                <w14:textFill>
                  <w14:solidFill>
                    <w14:srgbClr w14:val="000000">
                      <w14:alpha w14:val="100000"/>
                    </w14:srgbClr>
                  </w14:solidFill>
                </w14:textFill>
              </w:rPr>
              <w:t>|</w:t>
            </w:r>
            <w:r w:rsidR="000E333A" w:rsidRPr="000E333A">
              <w:t xml:space="preserve"> </w:t>
            </w:r>
            <w:r w:rsidR="00492F49" w:rsidRPr="00D71571">
              <w:rPr>
                <w:vertAlign w:val="superscript"/>
              </w:rPr>
              <w:t>3</w:t>
            </w:r>
            <w:r w:rsidR="00CC2233" w:rsidRPr="00E52AC5">
              <w:t>/QALY gained</w:t>
            </w:r>
          </w:p>
        </w:tc>
      </w:tr>
      <w:tr w:rsidR="00CC2233" w:rsidRPr="00E52AC5" w14:paraId="29289522" w14:textId="77777777" w:rsidTr="00700BF0">
        <w:tc>
          <w:tcPr>
            <w:tcW w:w="995" w:type="pct"/>
            <w:shd w:val="clear" w:color="auto" w:fill="auto"/>
            <w:vAlign w:val="center"/>
          </w:tcPr>
          <w:p w14:paraId="687B787E" w14:textId="53F7F606" w:rsidR="00CC2233" w:rsidRPr="00E52AC5" w:rsidRDefault="00CC2233" w:rsidP="00700BF0">
            <w:pPr>
              <w:pStyle w:val="TableText0"/>
            </w:pPr>
            <w:r w:rsidRPr="00E52AC5">
              <w:t>Viral</w:t>
            </w:r>
            <w:r w:rsidR="00AD0204" w:rsidRPr="00E52AC5">
              <w:t xml:space="preserve"> load</w:t>
            </w:r>
            <w:r w:rsidRPr="00E52AC5">
              <w:t xml:space="preserve"> suppression Lenacapavir + OBR estimates</w:t>
            </w:r>
          </w:p>
        </w:tc>
        <w:tc>
          <w:tcPr>
            <w:tcW w:w="1896" w:type="pct"/>
            <w:shd w:val="clear" w:color="auto" w:fill="auto"/>
            <w:vAlign w:val="center"/>
          </w:tcPr>
          <w:p w14:paraId="63CA6B10" w14:textId="5B07F701" w:rsidR="00CC2233" w:rsidRPr="00E52AC5" w:rsidRDefault="00CC2233" w:rsidP="00700BF0">
            <w:pPr>
              <w:pStyle w:val="TableText0"/>
            </w:pPr>
            <w:r w:rsidRPr="00E52AC5">
              <w:t xml:space="preserve">The submission’s attached model stated these values were based on </w:t>
            </w:r>
            <w:r w:rsidR="00474743">
              <w:t xml:space="preserve">the </w:t>
            </w:r>
            <w:r w:rsidRPr="00E52AC5">
              <w:t xml:space="preserve">CAPELLA trial values adjusted with values </w:t>
            </w:r>
            <w:r w:rsidR="00040F51" w:rsidRPr="00E52AC5">
              <w:t>of an unverified supplementary analysis</w:t>
            </w:r>
          </w:p>
        </w:tc>
        <w:tc>
          <w:tcPr>
            <w:tcW w:w="2108" w:type="pct"/>
            <w:shd w:val="clear" w:color="auto" w:fill="auto"/>
            <w:vAlign w:val="center"/>
          </w:tcPr>
          <w:p w14:paraId="677A373A" w14:textId="77777777" w:rsidR="00CC2233" w:rsidRPr="00E52AC5" w:rsidRDefault="00CC2233" w:rsidP="00700BF0">
            <w:pPr>
              <w:pStyle w:val="TableText0"/>
            </w:pPr>
            <w:r w:rsidRPr="00E52AC5">
              <w:t>High, favours lenacapavir + OBR</w:t>
            </w:r>
          </w:p>
          <w:p w14:paraId="56A593EB" w14:textId="26A0EB6E" w:rsidR="00CC2233" w:rsidRPr="00E52AC5" w:rsidRDefault="00CC2233" w:rsidP="00700BF0">
            <w:pPr>
              <w:pStyle w:val="TableText0"/>
            </w:pPr>
            <w:r w:rsidRPr="00E52AC5">
              <w:t>Use of unadjusted CAPELLA values increased the ICER by 47% to $</w:t>
            </w:r>
            <w:r w:rsidR="001328F0" w:rsidRPr="001328F0">
              <w:rPr>
                <w:color w:val="000000"/>
                <w:spacing w:val="194"/>
                <w:shd w:val="solid" w:color="000000" w:fill="000000"/>
                <w:fitText w:val="280" w:id="-1290615799"/>
                <w14:textFill>
                  <w14:solidFill>
                    <w14:srgbClr w14:val="000000">
                      <w14:alpha w14:val="100000"/>
                    </w14:srgbClr>
                  </w14:solidFill>
                </w14:textFill>
              </w:rPr>
              <w:t>|</w:t>
            </w:r>
            <w:r w:rsidR="001328F0" w:rsidRPr="001328F0">
              <w:rPr>
                <w:color w:val="000000"/>
                <w:spacing w:val="1"/>
                <w:shd w:val="solid" w:color="000000" w:fill="000000"/>
                <w:fitText w:val="280" w:id="-1290615799"/>
                <w14:textFill>
                  <w14:solidFill>
                    <w14:srgbClr w14:val="000000">
                      <w14:alpha w14:val="100000"/>
                    </w14:srgbClr>
                  </w14:solidFill>
                </w14:textFill>
              </w:rPr>
              <w:t>|</w:t>
            </w:r>
            <w:r w:rsidR="000E333A" w:rsidRPr="000E333A">
              <w:t xml:space="preserve"> </w:t>
            </w:r>
            <w:r w:rsidR="00492F49" w:rsidRPr="00D71571">
              <w:rPr>
                <w:vertAlign w:val="superscript"/>
              </w:rPr>
              <w:t>4</w:t>
            </w:r>
          </w:p>
        </w:tc>
      </w:tr>
    </w:tbl>
    <w:p w14:paraId="15306133" w14:textId="78D9367E" w:rsidR="00413375" w:rsidRPr="00E52AC5" w:rsidRDefault="00CC2233" w:rsidP="00CC2233">
      <w:pPr>
        <w:pStyle w:val="FooterTableFigure"/>
      </w:pPr>
      <w:r w:rsidRPr="00E52AC5">
        <w:t xml:space="preserve">Source: </w:t>
      </w:r>
      <w:r w:rsidR="0069434F" w:rsidRPr="00E52AC5">
        <w:t>LEN CEM – Final 6July22.xlsm</w:t>
      </w:r>
      <w:r w:rsidRPr="00E52AC5">
        <w:t xml:space="preserve">. </w:t>
      </w:r>
    </w:p>
    <w:p w14:paraId="14EE0F5F" w14:textId="1E2441FB" w:rsidR="00CC2233" w:rsidRDefault="00CC2233" w:rsidP="00CC2233">
      <w:pPr>
        <w:pStyle w:val="FooterTableFigure"/>
        <w:contextualSpacing w:val="0"/>
      </w:pPr>
      <w:r w:rsidRPr="00E52AC5">
        <w:t xml:space="preserve">ICER = incremental cost-effectiveness ratio; mL = </w:t>
      </w:r>
      <w:r w:rsidR="00E61A29" w:rsidRPr="00E52AC5">
        <w:t>millilitre</w:t>
      </w:r>
      <w:r w:rsidRPr="00E52AC5">
        <w:t xml:space="preserve">; OBR = optimised background regimen; QALY = quality-adjusted life-year; </w:t>
      </w:r>
    </w:p>
    <w:p w14:paraId="70040A5B" w14:textId="667EB051" w:rsidR="004F0034" w:rsidRDefault="004F0034" w:rsidP="00CC2233">
      <w:pPr>
        <w:pStyle w:val="FooterTableFigure"/>
      </w:pPr>
      <w:r w:rsidRPr="004F0034">
        <w:rPr>
          <w:i/>
          <w:iCs/>
        </w:rPr>
        <w:t>Note</w:t>
      </w:r>
      <w:r>
        <w:rPr>
          <w:i/>
          <w:iCs/>
        </w:rPr>
        <w:t>:</w:t>
      </w:r>
      <w:r w:rsidRPr="004F0034">
        <w:rPr>
          <w:i/>
          <w:iCs/>
        </w:rPr>
        <w:t xml:space="preserve"> </w:t>
      </w:r>
      <w:r>
        <w:rPr>
          <w:i/>
          <w:iCs/>
        </w:rPr>
        <w:t>T</w:t>
      </w:r>
      <w:r w:rsidRPr="004F0034">
        <w:rPr>
          <w:i/>
          <w:iCs/>
        </w:rPr>
        <w:t>he results presented in Table 12 are derived from post-hoc analyses conducted by the applicant and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r>
        <w:rPr>
          <w:i/>
          <w:iCs/>
        </w:rPr>
        <w:t>.</w:t>
      </w:r>
    </w:p>
    <w:p w14:paraId="5FE061D2" w14:textId="77777777" w:rsidR="00F542A3" w:rsidRPr="009A6D58" w:rsidRDefault="00F542A3" w:rsidP="00F542A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E15A36F" w14:textId="7B2708E4" w:rsidR="00F542A3" w:rsidRPr="009A6D58" w:rsidRDefault="00F542A3" w:rsidP="00F542A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542A3">
        <w:rPr>
          <w:rFonts w:ascii="Arial Narrow" w:hAnsi="Arial Narrow"/>
          <w:i/>
          <w:sz w:val="18"/>
          <w:szCs w:val="18"/>
        </w:rPr>
        <w:t>$75,000 to &lt; $95,000</w:t>
      </w:r>
    </w:p>
    <w:p w14:paraId="1DA95B29" w14:textId="002D23AD" w:rsidR="00492F49" w:rsidRPr="0022470A" w:rsidRDefault="00492F49" w:rsidP="00F542A3">
      <w:pPr>
        <w:rPr>
          <w:rFonts w:ascii="Arial Narrow" w:hAnsi="Arial Narrow"/>
          <w:i/>
          <w:sz w:val="18"/>
          <w:szCs w:val="18"/>
        </w:rPr>
      </w:pPr>
      <w:r>
        <w:rPr>
          <w:rFonts w:ascii="Arial Narrow" w:hAnsi="Arial Narrow"/>
          <w:i/>
          <w:sz w:val="18"/>
          <w:szCs w:val="18"/>
          <w:vertAlign w:val="superscript"/>
        </w:rPr>
        <w:t>2</w:t>
      </w:r>
      <w:r w:rsidR="00F542A3">
        <w:rPr>
          <w:rFonts w:ascii="Arial Narrow" w:hAnsi="Arial Narrow"/>
          <w:i/>
          <w:sz w:val="18"/>
          <w:szCs w:val="18"/>
          <w:vertAlign w:val="superscript"/>
        </w:rPr>
        <w:t xml:space="preserve"> </w:t>
      </w:r>
      <w:r w:rsidR="00F542A3" w:rsidRPr="00F542A3">
        <w:rPr>
          <w:rFonts w:ascii="Arial Narrow" w:hAnsi="Arial Narrow"/>
          <w:i/>
          <w:sz w:val="18"/>
          <w:szCs w:val="18"/>
        </w:rPr>
        <w:t>$255,000 to &lt; $355,000</w:t>
      </w:r>
    </w:p>
    <w:p w14:paraId="051B033F" w14:textId="6C792FD6" w:rsidR="00492F49" w:rsidRPr="00F542A3" w:rsidRDefault="00492F49" w:rsidP="00492F49">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F542A3">
        <w:rPr>
          <w:rFonts w:ascii="Arial Narrow" w:hAnsi="Arial Narrow"/>
          <w:i/>
          <w:sz w:val="18"/>
          <w:szCs w:val="18"/>
        </w:rPr>
        <w:t>$155,000 to &lt; $255,000</w:t>
      </w:r>
    </w:p>
    <w:p w14:paraId="2EA6DB23" w14:textId="50EA8249" w:rsidR="00F542A3" w:rsidRPr="00E52AC5" w:rsidRDefault="00F542A3" w:rsidP="0022470A">
      <w:pPr>
        <w:spacing w:after="120"/>
      </w:pPr>
      <w:r>
        <w:rPr>
          <w:rFonts w:ascii="Arial Narrow" w:hAnsi="Arial Narrow"/>
          <w:i/>
          <w:sz w:val="18"/>
          <w:szCs w:val="18"/>
          <w:vertAlign w:val="superscript"/>
        </w:rPr>
        <w:t xml:space="preserve">4 </w:t>
      </w:r>
      <w:r w:rsidRPr="00F542A3">
        <w:rPr>
          <w:rFonts w:ascii="Arial Narrow" w:hAnsi="Arial Narrow"/>
          <w:i/>
          <w:sz w:val="18"/>
          <w:szCs w:val="18"/>
        </w:rPr>
        <w:t>$135,000 to &lt; $155,000</w:t>
      </w:r>
    </w:p>
    <w:p w14:paraId="6CB40159" w14:textId="01AB7D15" w:rsidR="00A072D5" w:rsidRPr="007F3195" w:rsidRDefault="00CC2233" w:rsidP="00CC2233">
      <w:pPr>
        <w:pStyle w:val="3-BodyText"/>
      </w:pPr>
      <w:r w:rsidRPr="007F3195">
        <w:t>The submission did not present a stepped economic analysis.</w:t>
      </w:r>
      <w:r w:rsidR="00A072D5" w:rsidRPr="007F3195">
        <w:t xml:space="preserve"> Given the unanchored comparison </w:t>
      </w:r>
      <w:r w:rsidR="005A3608" w:rsidRPr="007F3195">
        <w:t xml:space="preserve">provided </w:t>
      </w:r>
      <w:r w:rsidR="00A072D5" w:rsidRPr="007F3195">
        <w:t xml:space="preserve">and the life-time horizon extrapolation </w:t>
      </w:r>
      <w:r w:rsidR="005A3608" w:rsidRPr="007F3195">
        <w:t xml:space="preserve">from a comparison of data at 52 weeks </w:t>
      </w:r>
      <w:r w:rsidR="00A072D5" w:rsidRPr="007F3195">
        <w:t xml:space="preserve">assumed, it was unreasonable to have omitted a stepped economic analysis. </w:t>
      </w:r>
    </w:p>
    <w:p w14:paraId="5774B2EC" w14:textId="2EC96A77" w:rsidR="00CC2233" w:rsidRPr="00C4404D" w:rsidRDefault="00CC2233" w:rsidP="00CC2233">
      <w:pPr>
        <w:pStyle w:val="3-BodyText"/>
      </w:pPr>
      <w:r w:rsidRPr="00C4404D">
        <w:t xml:space="preserve"> </w:t>
      </w:r>
      <w:r w:rsidRPr="00C4404D">
        <w:fldChar w:fldCharType="begin"/>
      </w:r>
      <w:r w:rsidRPr="00C4404D">
        <w:instrText xml:space="preserve"> REF _Ref112957184 \h </w:instrText>
      </w:r>
      <w:r w:rsidRPr="00C4404D">
        <w:fldChar w:fldCharType="separate"/>
      </w:r>
      <w:r w:rsidR="0050086F" w:rsidRPr="00C4404D">
        <w:t xml:space="preserve">Table </w:t>
      </w:r>
      <w:r w:rsidR="0050086F">
        <w:rPr>
          <w:noProof/>
        </w:rPr>
        <w:t>13</w:t>
      </w:r>
      <w:r w:rsidRPr="00C4404D">
        <w:fldChar w:fldCharType="end"/>
      </w:r>
      <w:r w:rsidRPr="00C4404D">
        <w:t xml:space="preserve"> presen</w:t>
      </w:r>
      <w:r w:rsidR="00026E17">
        <w:t>t</w:t>
      </w:r>
      <w:r w:rsidRPr="00C4404D">
        <w:t xml:space="preserve">s the results of the economic evaluation. </w:t>
      </w:r>
    </w:p>
    <w:p w14:paraId="3300E938" w14:textId="3E4D2D19" w:rsidR="00CC2233" w:rsidRPr="00C4404D" w:rsidRDefault="00CC2233" w:rsidP="00CC2233">
      <w:pPr>
        <w:pStyle w:val="TableFigureHeading"/>
        <w:rPr>
          <w:rStyle w:val="CommentReference"/>
          <w:b/>
          <w:szCs w:val="24"/>
        </w:rPr>
      </w:pPr>
      <w:bookmarkStart w:id="71" w:name="_Ref112957184"/>
      <w:r w:rsidRPr="00C4404D">
        <w:t xml:space="preserve">Table </w:t>
      </w:r>
      <w:fldSimple w:instr=" SEQ Table \* ARABIC ">
        <w:r w:rsidR="0050086F">
          <w:rPr>
            <w:noProof/>
          </w:rPr>
          <w:t>13</w:t>
        </w:r>
      </w:fldSimple>
      <w:bookmarkEnd w:id="71"/>
      <w:r w:rsidRPr="00C4404D">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CC2233" w:rsidRPr="00C4404D" w14:paraId="387D668D" w14:textId="77777777" w:rsidTr="00700BF0">
        <w:trPr>
          <w:tblHeader/>
        </w:trPr>
        <w:tc>
          <w:tcPr>
            <w:tcW w:w="1529" w:type="pct"/>
            <w:vAlign w:val="center"/>
          </w:tcPr>
          <w:p w14:paraId="44FFC8E2" w14:textId="77777777" w:rsidR="00CC2233" w:rsidRPr="00A86840" w:rsidRDefault="00CC2233" w:rsidP="00700BF0">
            <w:pPr>
              <w:pStyle w:val="In-tableHeading"/>
              <w:rPr>
                <w:lang w:val="en-AU"/>
              </w:rPr>
            </w:pPr>
            <w:r w:rsidRPr="00A86840">
              <w:rPr>
                <w:lang w:val="en-AU"/>
              </w:rPr>
              <w:t>Component</w:t>
            </w:r>
          </w:p>
        </w:tc>
        <w:tc>
          <w:tcPr>
            <w:tcW w:w="1359" w:type="pct"/>
            <w:vAlign w:val="center"/>
          </w:tcPr>
          <w:p w14:paraId="23CA6124" w14:textId="77777777" w:rsidR="00CC2233" w:rsidRPr="00A86840" w:rsidRDefault="00CC2233" w:rsidP="00700BF0">
            <w:pPr>
              <w:pStyle w:val="In-tableHeading"/>
              <w:jc w:val="center"/>
              <w:rPr>
                <w:lang w:val="en-AU"/>
              </w:rPr>
            </w:pPr>
            <w:r w:rsidRPr="00A86840">
              <w:rPr>
                <w:lang w:val="en-AU"/>
              </w:rPr>
              <w:t>LEN + OBR</w:t>
            </w:r>
          </w:p>
        </w:tc>
        <w:tc>
          <w:tcPr>
            <w:tcW w:w="1274" w:type="pct"/>
            <w:vAlign w:val="center"/>
          </w:tcPr>
          <w:p w14:paraId="25FD7028" w14:textId="77777777" w:rsidR="00CC2233" w:rsidRPr="00A86840" w:rsidRDefault="00CC2233" w:rsidP="00700BF0">
            <w:pPr>
              <w:pStyle w:val="In-tableHeading"/>
              <w:jc w:val="center"/>
              <w:rPr>
                <w:lang w:val="en-AU"/>
              </w:rPr>
            </w:pPr>
            <w:r w:rsidRPr="00A86840">
              <w:rPr>
                <w:lang w:val="en-AU"/>
              </w:rPr>
              <w:t>OBR</w:t>
            </w:r>
          </w:p>
        </w:tc>
        <w:tc>
          <w:tcPr>
            <w:tcW w:w="838" w:type="pct"/>
            <w:vAlign w:val="center"/>
          </w:tcPr>
          <w:p w14:paraId="06C46C5A" w14:textId="77777777" w:rsidR="00CC2233" w:rsidRPr="00A86840" w:rsidRDefault="00CC2233" w:rsidP="00700BF0">
            <w:pPr>
              <w:pStyle w:val="In-tableHeading"/>
              <w:jc w:val="center"/>
              <w:rPr>
                <w:lang w:val="en-AU"/>
              </w:rPr>
            </w:pPr>
            <w:r w:rsidRPr="00A86840">
              <w:rPr>
                <w:lang w:val="en-AU"/>
              </w:rPr>
              <w:t>Increment</w:t>
            </w:r>
          </w:p>
        </w:tc>
      </w:tr>
      <w:tr w:rsidR="00CC2233" w:rsidRPr="00C4404D" w14:paraId="40DBCFC2" w14:textId="77777777" w:rsidTr="00700BF0">
        <w:tc>
          <w:tcPr>
            <w:tcW w:w="1529" w:type="pct"/>
            <w:vAlign w:val="center"/>
          </w:tcPr>
          <w:p w14:paraId="3DD40F5B" w14:textId="77777777" w:rsidR="00CC2233" w:rsidRPr="00A86840" w:rsidRDefault="00CC2233" w:rsidP="00700BF0">
            <w:pPr>
              <w:pStyle w:val="TableText0"/>
              <w:rPr>
                <w:rFonts w:ascii="Times" w:hAnsi="Times"/>
              </w:rPr>
            </w:pPr>
            <w:r w:rsidRPr="00A86840">
              <w:t>Costs</w:t>
            </w:r>
          </w:p>
        </w:tc>
        <w:tc>
          <w:tcPr>
            <w:tcW w:w="1359" w:type="pct"/>
          </w:tcPr>
          <w:p w14:paraId="0B5DF1A0" w14:textId="36F1C5D8" w:rsidR="00CC2233" w:rsidRPr="00A86840" w:rsidRDefault="00CC2233" w:rsidP="00700BF0">
            <w:pPr>
              <w:pStyle w:val="TableText0"/>
              <w:jc w:val="center"/>
              <w:rPr>
                <w:bCs w:val="0"/>
              </w:rPr>
            </w:pPr>
            <w:r w:rsidRPr="00A86840">
              <w:rPr>
                <w:bCs w:val="0"/>
              </w:rPr>
              <w:t>$</w:t>
            </w:r>
            <w:r w:rsidR="001328F0" w:rsidRPr="001328F0">
              <w:rPr>
                <w:bCs w:val="0"/>
                <w:color w:val="000000"/>
                <w:shd w:val="solid" w:color="000000" w:fill="000000"/>
                <w14:textFill>
                  <w14:solidFill>
                    <w14:srgbClr w14:val="000000">
                      <w14:alpha w14:val="100000"/>
                    </w14:srgbClr>
                  </w14:solidFill>
                </w14:textFill>
              </w:rPr>
              <w:t>|</w:t>
            </w:r>
            <w:r w:rsidR="000E333A" w:rsidRPr="000E333A">
              <w:rPr>
                <w:bCs w:val="0"/>
              </w:rPr>
              <w:t xml:space="preserve"> </w:t>
            </w:r>
          </w:p>
        </w:tc>
        <w:tc>
          <w:tcPr>
            <w:tcW w:w="1274" w:type="pct"/>
          </w:tcPr>
          <w:p w14:paraId="2E0B3941" w14:textId="77777777" w:rsidR="00CC2233" w:rsidRPr="001F7CF2" w:rsidRDefault="00CC2233" w:rsidP="00700BF0">
            <w:pPr>
              <w:pStyle w:val="TableText0"/>
              <w:jc w:val="center"/>
              <w:rPr>
                <w:bCs w:val="0"/>
              </w:rPr>
            </w:pPr>
            <w:r w:rsidRPr="001F7CF2">
              <w:rPr>
                <w:bCs w:val="0"/>
              </w:rPr>
              <w:t>$223,839</w:t>
            </w:r>
          </w:p>
        </w:tc>
        <w:tc>
          <w:tcPr>
            <w:tcW w:w="838" w:type="pct"/>
          </w:tcPr>
          <w:p w14:paraId="7FA039F1" w14:textId="20DD60C2" w:rsidR="00CC2233" w:rsidRPr="00A86840" w:rsidRDefault="00CC2233" w:rsidP="00700BF0">
            <w:pPr>
              <w:pStyle w:val="TableText0"/>
              <w:jc w:val="center"/>
              <w:rPr>
                <w:bCs w:val="0"/>
              </w:rPr>
            </w:pPr>
            <w:r w:rsidRPr="00A86840">
              <w:rPr>
                <w:bCs w:val="0"/>
              </w:rPr>
              <w:t>$</w:t>
            </w:r>
            <w:r w:rsidR="001328F0" w:rsidRPr="001328F0">
              <w:rPr>
                <w:bCs w:val="0"/>
                <w:color w:val="000000"/>
                <w:shd w:val="solid" w:color="000000" w:fill="000000"/>
                <w14:textFill>
                  <w14:solidFill>
                    <w14:srgbClr w14:val="000000">
                      <w14:alpha w14:val="100000"/>
                    </w14:srgbClr>
                  </w14:solidFill>
                </w14:textFill>
              </w:rPr>
              <w:t>|</w:t>
            </w:r>
            <w:r w:rsidR="000E333A" w:rsidRPr="000E333A">
              <w:rPr>
                <w:bCs w:val="0"/>
              </w:rPr>
              <w:t xml:space="preserve"> </w:t>
            </w:r>
          </w:p>
        </w:tc>
      </w:tr>
      <w:tr w:rsidR="00CC2233" w:rsidRPr="00C4404D" w14:paraId="4E7830CB" w14:textId="77777777" w:rsidTr="00700BF0">
        <w:tc>
          <w:tcPr>
            <w:tcW w:w="1529" w:type="pct"/>
            <w:vAlign w:val="center"/>
          </w:tcPr>
          <w:p w14:paraId="4BBE0D08" w14:textId="77777777" w:rsidR="00CC2233" w:rsidRPr="00A86840" w:rsidRDefault="00CC2233" w:rsidP="00700BF0">
            <w:pPr>
              <w:pStyle w:val="TableText0"/>
            </w:pPr>
            <w:r w:rsidRPr="00A86840">
              <w:t>LYG</w:t>
            </w:r>
          </w:p>
        </w:tc>
        <w:tc>
          <w:tcPr>
            <w:tcW w:w="1359" w:type="pct"/>
          </w:tcPr>
          <w:p w14:paraId="5506D7A7" w14:textId="77777777" w:rsidR="00CC2233" w:rsidRPr="00A86840" w:rsidRDefault="00CC2233" w:rsidP="00700BF0">
            <w:pPr>
              <w:pStyle w:val="TableText0"/>
              <w:jc w:val="center"/>
            </w:pPr>
            <w:r w:rsidRPr="00A86840">
              <w:t>10.68</w:t>
            </w:r>
          </w:p>
        </w:tc>
        <w:tc>
          <w:tcPr>
            <w:tcW w:w="1274" w:type="pct"/>
          </w:tcPr>
          <w:p w14:paraId="028C0327" w14:textId="77777777" w:rsidR="00CC2233" w:rsidRPr="001F7CF2" w:rsidRDefault="00CC2233" w:rsidP="00700BF0">
            <w:pPr>
              <w:pStyle w:val="TableText0"/>
              <w:jc w:val="center"/>
            </w:pPr>
            <w:r w:rsidRPr="001F7CF2">
              <w:t>9.24</w:t>
            </w:r>
          </w:p>
        </w:tc>
        <w:tc>
          <w:tcPr>
            <w:tcW w:w="838" w:type="pct"/>
          </w:tcPr>
          <w:p w14:paraId="5061AEB5" w14:textId="77777777" w:rsidR="00CC2233" w:rsidRPr="00A86840" w:rsidRDefault="00CC2233" w:rsidP="00700BF0">
            <w:pPr>
              <w:pStyle w:val="TableText0"/>
              <w:jc w:val="center"/>
            </w:pPr>
            <w:r w:rsidRPr="00A86840">
              <w:t>2.05</w:t>
            </w:r>
          </w:p>
        </w:tc>
      </w:tr>
      <w:tr w:rsidR="00CC2233" w:rsidRPr="00C4404D" w14:paraId="302A1982" w14:textId="77777777" w:rsidTr="00700BF0">
        <w:tc>
          <w:tcPr>
            <w:tcW w:w="1529" w:type="pct"/>
            <w:vAlign w:val="center"/>
          </w:tcPr>
          <w:p w14:paraId="73F4C0D2" w14:textId="77777777" w:rsidR="00CC2233" w:rsidRPr="00A86840" w:rsidRDefault="00CC2233" w:rsidP="00700BF0">
            <w:pPr>
              <w:pStyle w:val="TableText0"/>
              <w:rPr>
                <w:rFonts w:ascii="Times" w:hAnsi="Times"/>
              </w:rPr>
            </w:pPr>
            <w:r w:rsidRPr="00A86840">
              <w:t>QALYs</w:t>
            </w:r>
          </w:p>
        </w:tc>
        <w:tc>
          <w:tcPr>
            <w:tcW w:w="1359" w:type="pct"/>
          </w:tcPr>
          <w:p w14:paraId="0F9639C5" w14:textId="77777777" w:rsidR="00CC2233" w:rsidRPr="00A86840" w:rsidRDefault="00CC2233" w:rsidP="00700BF0">
            <w:pPr>
              <w:pStyle w:val="TableText0"/>
              <w:jc w:val="center"/>
              <w:rPr>
                <w:rFonts w:ascii="Times" w:hAnsi="Times"/>
              </w:rPr>
            </w:pPr>
            <w:r w:rsidRPr="00A86840">
              <w:t>9.24</w:t>
            </w:r>
          </w:p>
        </w:tc>
        <w:tc>
          <w:tcPr>
            <w:tcW w:w="1274" w:type="pct"/>
          </w:tcPr>
          <w:p w14:paraId="1132E940" w14:textId="77777777" w:rsidR="00CC2233" w:rsidRPr="00A86840" w:rsidRDefault="00CC2233" w:rsidP="00700BF0">
            <w:pPr>
              <w:pStyle w:val="TableText0"/>
              <w:jc w:val="center"/>
              <w:rPr>
                <w:rFonts w:ascii="Times" w:hAnsi="Times"/>
              </w:rPr>
            </w:pPr>
            <w:r w:rsidRPr="00A86840">
              <w:t>7.27</w:t>
            </w:r>
          </w:p>
        </w:tc>
        <w:tc>
          <w:tcPr>
            <w:tcW w:w="838" w:type="pct"/>
          </w:tcPr>
          <w:p w14:paraId="692AF5F1" w14:textId="77777777" w:rsidR="00CC2233" w:rsidRPr="00A86840" w:rsidRDefault="00CC2233" w:rsidP="00700BF0">
            <w:pPr>
              <w:pStyle w:val="TableText0"/>
              <w:jc w:val="center"/>
            </w:pPr>
            <w:r w:rsidRPr="00A86840">
              <w:t>1.97</w:t>
            </w:r>
          </w:p>
        </w:tc>
      </w:tr>
      <w:tr w:rsidR="00CC2233" w:rsidRPr="00C4404D" w14:paraId="2D3BAF2D" w14:textId="77777777" w:rsidTr="00700BF0">
        <w:tc>
          <w:tcPr>
            <w:tcW w:w="4162" w:type="pct"/>
            <w:gridSpan w:val="3"/>
            <w:vAlign w:val="center"/>
          </w:tcPr>
          <w:p w14:paraId="5A216CD6" w14:textId="77777777" w:rsidR="00CC2233" w:rsidRPr="00A86840" w:rsidRDefault="00CC2233" w:rsidP="00700BF0">
            <w:pPr>
              <w:pStyle w:val="TableText0"/>
              <w:rPr>
                <w:b/>
              </w:rPr>
            </w:pPr>
            <w:r w:rsidRPr="00A86840">
              <w:rPr>
                <w:b/>
              </w:rPr>
              <w:t>Incremental cost/extra LYG</w:t>
            </w:r>
          </w:p>
        </w:tc>
        <w:tc>
          <w:tcPr>
            <w:tcW w:w="838" w:type="pct"/>
            <w:vAlign w:val="center"/>
          </w:tcPr>
          <w:p w14:paraId="4F593B10" w14:textId="45545358" w:rsidR="00CC2233" w:rsidRPr="00A86840" w:rsidRDefault="00CC2233" w:rsidP="00700BF0">
            <w:pPr>
              <w:pStyle w:val="TableText0"/>
              <w:jc w:val="center"/>
              <w:rPr>
                <w:bCs w:val="0"/>
              </w:rPr>
            </w:pPr>
            <w:r w:rsidRPr="00A86840">
              <w:rPr>
                <w:bCs w:val="0"/>
              </w:rPr>
              <w:t>$</w:t>
            </w:r>
            <w:r w:rsidR="001328F0" w:rsidRPr="0050086F">
              <w:rPr>
                <w:rFonts w:hint="eastAsia"/>
                <w:bCs w:val="0"/>
                <w:color w:val="000000"/>
                <w:w w:val="15"/>
                <w:shd w:val="solid" w:color="000000" w:fill="000000"/>
                <w:fitText w:val="20" w:id="-1290615798"/>
                <w14:textFill>
                  <w14:solidFill>
                    <w14:srgbClr w14:val="000000">
                      <w14:alpha w14:val="100000"/>
                    </w14:srgbClr>
                  </w14:solidFill>
                </w14:textFill>
              </w:rPr>
              <w:t xml:space="preserve">　</w:t>
            </w:r>
            <w:r w:rsidR="001328F0" w:rsidRPr="0050086F">
              <w:rPr>
                <w:bCs w:val="0"/>
                <w:color w:val="000000"/>
                <w:w w:val="15"/>
                <w:shd w:val="solid" w:color="000000" w:fill="000000"/>
                <w:fitText w:val="20" w:id="-1290615798"/>
                <w14:textFill>
                  <w14:solidFill>
                    <w14:srgbClr w14:val="000000">
                      <w14:alpha w14:val="100000"/>
                    </w14:srgbClr>
                  </w14:solidFill>
                </w14:textFill>
              </w:rPr>
              <w:t>|</w:t>
            </w:r>
            <w:r w:rsidR="001328F0" w:rsidRPr="0050086F">
              <w:rPr>
                <w:rFonts w:hint="eastAsia"/>
                <w:bCs w:val="0"/>
                <w:color w:val="000000"/>
                <w:spacing w:val="-45"/>
                <w:w w:val="15"/>
                <w:shd w:val="solid" w:color="000000" w:fill="000000"/>
                <w:fitText w:val="20" w:id="-1290615798"/>
                <w14:textFill>
                  <w14:solidFill>
                    <w14:srgbClr w14:val="000000">
                      <w14:alpha w14:val="100000"/>
                    </w14:srgbClr>
                  </w14:solidFill>
                </w14:textFill>
              </w:rPr>
              <w:t xml:space="preserve">　</w:t>
            </w:r>
            <w:r w:rsidR="000E333A" w:rsidRPr="000E333A">
              <w:rPr>
                <w:bCs w:val="0"/>
              </w:rPr>
              <w:t xml:space="preserve"> </w:t>
            </w:r>
            <w:r w:rsidR="002E7B68" w:rsidRPr="00D71571">
              <w:rPr>
                <w:bCs w:val="0"/>
                <w:vertAlign w:val="superscript"/>
              </w:rPr>
              <w:t>1</w:t>
            </w:r>
            <w:r w:rsidRPr="00A86840">
              <w:rPr>
                <w:bCs w:val="0"/>
              </w:rPr>
              <w:t>/LYG</w:t>
            </w:r>
          </w:p>
        </w:tc>
      </w:tr>
      <w:tr w:rsidR="00CC2233" w:rsidRPr="00C4404D" w14:paraId="37854E48" w14:textId="77777777" w:rsidTr="00700BF0">
        <w:tc>
          <w:tcPr>
            <w:tcW w:w="4162" w:type="pct"/>
            <w:gridSpan w:val="3"/>
            <w:vAlign w:val="center"/>
          </w:tcPr>
          <w:p w14:paraId="65BC2D6F" w14:textId="77777777" w:rsidR="00CC2233" w:rsidRPr="00A86840" w:rsidRDefault="00CC2233" w:rsidP="00700BF0">
            <w:pPr>
              <w:pStyle w:val="TableText0"/>
              <w:rPr>
                <w:rFonts w:ascii="Times" w:hAnsi="Times"/>
                <w:b/>
              </w:rPr>
            </w:pPr>
            <w:r w:rsidRPr="00A86840">
              <w:rPr>
                <w:b/>
              </w:rPr>
              <w:t>Incremental cost/extra QALY gained</w:t>
            </w:r>
          </w:p>
        </w:tc>
        <w:tc>
          <w:tcPr>
            <w:tcW w:w="838" w:type="pct"/>
            <w:vAlign w:val="center"/>
          </w:tcPr>
          <w:p w14:paraId="7F27DE3A" w14:textId="729AC764" w:rsidR="00CC2233" w:rsidRPr="00A86840" w:rsidRDefault="00CC2233" w:rsidP="00700BF0">
            <w:pPr>
              <w:pStyle w:val="TableText0"/>
              <w:jc w:val="center"/>
              <w:rPr>
                <w:rFonts w:ascii="Times" w:hAnsi="Times"/>
                <w:b/>
              </w:rPr>
            </w:pPr>
            <w:r w:rsidRPr="00A86840">
              <w:rPr>
                <w:b/>
              </w:rPr>
              <w:t>$</w:t>
            </w:r>
            <w:r w:rsidR="001328F0" w:rsidRPr="001328F0">
              <w:rPr>
                <w:rFonts w:hint="eastAsia"/>
                <w:b/>
                <w:color w:val="000000"/>
                <w:w w:val="22"/>
                <w:shd w:val="solid" w:color="000000" w:fill="000000"/>
                <w:fitText w:val="100" w:id="-1290615797"/>
                <w14:textFill>
                  <w14:solidFill>
                    <w14:srgbClr w14:val="000000">
                      <w14:alpha w14:val="100000"/>
                    </w14:srgbClr>
                  </w14:solidFill>
                </w14:textFill>
              </w:rPr>
              <w:t xml:space="preserve">　</w:t>
            </w:r>
            <w:r w:rsidR="001328F0" w:rsidRPr="001328F0">
              <w:rPr>
                <w:b/>
                <w:color w:val="000000"/>
                <w:w w:val="22"/>
                <w:shd w:val="solid" w:color="000000" w:fill="000000"/>
                <w:fitText w:val="100" w:id="-1290615797"/>
                <w14:textFill>
                  <w14:solidFill>
                    <w14:srgbClr w14:val="000000">
                      <w14:alpha w14:val="100000"/>
                    </w14:srgbClr>
                  </w14:solidFill>
                </w14:textFill>
              </w:rPr>
              <w:t>|</w:t>
            </w:r>
            <w:r w:rsidR="001328F0" w:rsidRPr="001328F0">
              <w:rPr>
                <w:rFonts w:hint="eastAsia"/>
                <w:b/>
                <w:color w:val="000000"/>
                <w:spacing w:val="2"/>
                <w:w w:val="22"/>
                <w:shd w:val="solid" w:color="000000" w:fill="000000"/>
                <w:fitText w:val="100" w:id="-1290615797"/>
                <w14:textFill>
                  <w14:solidFill>
                    <w14:srgbClr w14:val="000000">
                      <w14:alpha w14:val="100000"/>
                    </w14:srgbClr>
                  </w14:solidFill>
                </w14:textFill>
              </w:rPr>
              <w:t xml:space="preserve">　</w:t>
            </w:r>
            <w:r w:rsidR="000E333A" w:rsidRPr="000E333A">
              <w:rPr>
                <w:b/>
              </w:rPr>
              <w:t xml:space="preserve"> </w:t>
            </w:r>
            <w:r w:rsidR="002E7B68" w:rsidRPr="00D71571">
              <w:rPr>
                <w:bCs w:val="0"/>
                <w:vertAlign w:val="superscript"/>
              </w:rPr>
              <w:t>2</w:t>
            </w:r>
            <w:r w:rsidRPr="00A86840">
              <w:rPr>
                <w:b/>
              </w:rPr>
              <w:t xml:space="preserve"> /QALY</w:t>
            </w:r>
          </w:p>
        </w:tc>
      </w:tr>
    </w:tbl>
    <w:p w14:paraId="1018F9B3" w14:textId="1E146211" w:rsidR="00CC2233" w:rsidRPr="00C4404D" w:rsidRDefault="00CC2233" w:rsidP="00CC2233">
      <w:pPr>
        <w:pStyle w:val="FooterTableFigure"/>
      </w:pPr>
      <w:r w:rsidRPr="00C4404D">
        <w:t>Source: Table 3-27, p178-179 of the submission, LEN CEM – Final 6July22.xlsm</w:t>
      </w:r>
    </w:p>
    <w:p w14:paraId="292FFDD4" w14:textId="77777777" w:rsidR="00CC2233" w:rsidRPr="00C4404D" w:rsidRDefault="00CC2233" w:rsidP="00CC2233">
      <w:pPr>
        <w:pStyle w:val="FooterTableFigure"/>
      </w:pPr>
      <w:r w:rsidRPr="00C4404D">
        <w:t xml:space="preserve">LEN = lenacapavir; LYG = life years gained OBR = optimised background regimen; QALY = quality adjusted life year </w:t>
      </w:r>
    </w:p>
    <w:p w14:paraId="31297187" w14:textId="18991013" w:rsidR="00CC2233" w:rsidRDefault="00474743" w:rsidP="00CC2233">
      <w:pPr>
        <w:pStyle w:val="FooterTableFigure"/>
        <w:contextualSpacing w:val="0"/>
      </w:pPr>
      <w:r>
        <w:t>Note: Estimates of LYG were</w:t>
      </w:r>
      <w:r w:rsidR="00CC2233" w:rsidRPr="00C4404D">
        <w:t xml:space="preserve"> extracted</w:t>
      </w:r>
      <w:r>
        <w:t xml:space="preserve"> from the economic model</w:t>
      </w:r>
      <w:r w:rsidR="00CC2233" w:rsidRPr="00C4404D">
        <w:t xml:space="preserve"> and calculated during </w:t>
      </w:r>
      <w:r>
        <w:t xml:space="preserve">the </w:t>
      </w:r>
      <w:r w:rsidR="00CC2233" w:rsidRPr="00C4404D">
        <w:t>evaluation</w:t>
      </w:r>
    </w:p>
    <w:p w14:paraId="1B45B212" w14:textId="77777777" w:rsidR="002E7B68" w:rsidRPr="00D71571" w:rsidRDefault="002E7B68" w:rsidP="002E7B68">
      <w:pPr>
        <w:pStyle w:val="FooterTableFigure"/>
        <w:rPr>
          <w:i/>
          <w:iCs/>
          <w:szCs w:val="18"/>
        </w:rPr>
      </w:pPr>
      <w:r w:rsidRPr="00D71571">
        <w:rPr>
          <w:i/>
          <w:iCs/>
          <w:szCs w:val="18"/>
        </w:rPr>
        <w:t xml:space="preserve">The redacted values correspond to the following ranges: </w:t>
      </w:r>
    </w:p>
    <w:p w14:paraId="5BCD0DD7" w14:textId="2337BDE1" w:rsidR="002E7B68" w:rsidRPr="00D71571" w:rsidRDefault="002E7B68" w:rsidP="002E7B68">
      <w:pPr>
        <w:pStyle w:val="FooterTableFigure"/>
        <w:rPr>
          <w:i/>
          <w:iCs/>
          <w:szCs w:val="18"/>
        </w:rPr>
      </w:pPr>
      <w:r w:rsidRPr="00D71571">
        <w:rPr>
          <w:i/>
          <w:iCs/>
          <w:szCs w:val="18"/>
          <w:vertAlign w:val="superscript"/>
        </w:rPr>
        <w:t>1</w:t>
      </w:r>
      <w:r w:rsidRPr="00D71571">
        <w:rPr>
          <w:i/>
          <w:iCs/>
          <w:szCs w:val="18"/>
        </w:rPr>
        <w:t xml:space="preserve"> $75,000 to &lt; $95,000</w:t>
      </w:r>
    </w:p>
    <w:p w14:paraId="430A5748" w14:textId="6F00220C" w:rsidR="002E7B68" w:rsidRPr="00D71571" w:rsidRDefault="002E7B68" w:rsidP="002E7B68">
      <w:pPr>
        <w:pStyle w:val="FooterTableFigure"/>
        <w:rPr>
          <w:i/>
          <w:iCs/>
          <w:szCs w:val="18"/>
        </w:rPr>
      </w:pPr>
      <w:r w:rsidRPr="00D71571">
        <w:rPr>
          <w:i/>
          <w:iCs/>
          <w:szCs w:val="18"/>
          <w:vertAlign w:val="superscript"/>
        </w:rPr>
        <w:t>2</w:t>
      </w:r>
      <w:r w:rsidRPr="00D71571">
        <w:rPr>
          <w:i/>
          <w:iCs/>
          <w:szCs w:val="18"/>
        </w:rPr>
        <w:t xml:space="preserve"> $95,000 to &lt; $115,000</w:t>
      </w:r>
    </w:p>
    <w:p w14:paraId="24CB9E74" w14:textId="7E4ECF76" w:rsidR="00CC2233" w:rsidRPr="00C4404D" w:rsidRDefault="00CC2233" w:rsidP="00CC2233">
      <w:pPr>
        <w:pStyle w:val="3-BodyText"/>
      </w:pPr>
      <w:r w:rsidRPr="00C4404D">
        <w:t xml:space="preserve">The results of key univariate and multivariate sensitivity analyses are summarised in </w:t>
      </w:r>
      <w:r w:rsidRPr="00C4404D">
        <w:fldChar w:fldCharType="begin"/>
      </w:r>
      <w:r w:rsidRPr="00C4404D">
        <w:instrText xml:space="preserve"> REF _Ref104804865 \h </w:instrText>
      </w:r>
      <w:r w:rsidRPr="00C4404D">
        <w:fldChar w:fldCharType="separate"/>
      </w:r>
      <w:r w:rsidR="0050086F" w:rsidRPr="00C4404D">
        <w:t xml:space="preserve">Table </w:t>
      </w:r>
      <w:r w:rsidR="0050086F">
        <w:rPr>
          <w:noProof/>
        </w:rPr>
        <w:t>14</w:t>
      </w:r>
      <w:r w:rsidRPr="00C4404D">
        <w:fldChar w:fldCharType="end"/>
      </w:r>
      <w:r w:rsidRPr="00C4404D">
        <w:rPr>
          <w:color w:val="0066FF"/>
        </w:rPr>
        <w:t xml:space="preserve">. </w:t>
      </w:r>
    </w:p>
    <w:p w14:paraId="328AA188" w14:textId="6CA8A467" w:rsidR="00CC2233" w:rsidRPr="00C4404D" w:rsidRDefault="00CC2233" w:rsidP="00CC2233">
      <w:pPr>
        <w:pStyle w:val="Caption"/>
        <w:rPr>
          <w:rStyle w:val="CommentReference"/>
          <w:b/>
          <w:szCs w:val="24"/>
        </w:rPr>
      </w:pPr>
      <w:bookmarkStart w:id="72" w:name="_Ref104804865"/>
      <w:r w:rsidRPr="00C4404D">
        <w:lastRenderedPageBreak/>
        <w:t xml:space="preserve">Table </w:t>
      </w:r>
      <w:fldSimple w:instr=" SEQ Table \* ARABIC ">
        <w:r w:rsidR="0050086F">
          <w:rPr>
            <w:noProof/>
          </w:rPr>
          <w:t>14</w:t>
        </w:r>
      </w:fldSimple>
      <w:bookmarkEnd w:id="72"/>
      <w:r w:rsidRPr="00C4404D">
        <w:t>:</w:t>
      </w:r>
      <w:r w:rsidRPr="00C4404D">
        <w:rPr>
          <w:rStyle w:val="CommentReference"/>
          <w:b/>
          <w:szCs w:val="24"/>
        </w:rPr>
        <w:t xml:space="preserve"> Sensitivity analyses</w:t>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2966"/>
        <w:gridCol w:w="1530"/>
        <w:gridCol w:w="1172"/>
        <w:gridCol w:w="1136"/>
        <w:gridCol w:w="1232"/>
        <w:gridCol w:w="869"/>
      </w:tblGrid>
      <w:tr w:rsidR="00CC2233" w:rsidRPr="00C4404D" w14:paraId="356DDE75" w14:textId="77777777" w:rsidTr="00700BF0">
        <w:trPr>
          <w:tblHeader/>
        </w:trPr>
        <w:tc>
          <w:tcPr>
            <w:tcW w:w="1665" w:type="pct"/>
          </w:tcPr>
          <w:p w14:paraId="0B63ACA3" w14:textId="77777777" w:rsidR="00CC2233" w:rsidRPr="00C4404D" w:rsidRDefault="00CC2233" w:rsidP="00700BF0">
            <w:pPr>
              <w:pStyle w:val="In-tableHeading"/>
              <w:rPr>
                <w:lang w:val="en-AU"/>
              </w:rPr>
            </w:pPr>
            <w:r w:rsidRPr="00C4404D">
              <w:rPr>
                <w:lang w:val="en-AU"/>
              </w:rPr>
              <w:t>Parameter (base case value)</w:t>
            </w:r>
          </w:p>
        </w:tc>
        <w:tc>
          <w:tcPr>
            <w:tcW w:w="859" w:type="pct"/>
            <w:vAlign w:val="center"/>
          </w:tcPr>
          <w:p w14:paraId="09E28E9C" w14:textId="77777777" w:rsidR="00CC2233" w:rsidRPr="00C4404D" w:rsidRDefault="00CC2233" w:rsidP="00700BF0">
            <w:pPr>
              <w:pStyle w:val="In-tableHeading"/>
              <w:rPr>
                <w:lang w:val="en-AU"/>
              </w:rPr>
            </w:pPr>
            <w:r w:rsidRPr="00C4404D">
              <w:rPr>
                <w:lang w:val="en-AU"/>
              </w:rPr>
              <w:t>Sensitivity analysis</w:t>
            </w:r>
          </w:p>
        </w:tc>
        <w:tc>
          <w:tcPr>
            <w:tcW w:w="658" w:type="pct"/>
          </w:tcPr>
          <w:p w14:paraId="53859C49" w14:textId="2A513244" w:rsidR="00CC2233" w:rsidRPr="00C4404D" w:rsidRDefault="00CC2233" w:rsidP="00700BF0">
            <w:pPr>
              <w:pStyle w:val="In-tableHeading"/>
              <w:jc w:val="center"/>
              <w:rPr>
                <w:lang w:val="en-AU"/>
              </w:rPr>
            </w:pPr>
            <w:r w:rsidRPr="00C4404D">
              <w:rPr>
                <w:lang w:val="en-AU"/>
              </w:rPr>
              <w:t>Incremental cost</w:t>
            </w:r>
            <w:r w:rsidR="005463E6">
              <w:rPr>
                <w:lang w:val="en-AU"/>
              </w:rPr>
              <w:t xml:space="preserve"> ($)</w:t>
            </w:r>
          </w:p>
        </w:tc>
        <w:tc>
          <w:tcPr>
            <w:tcW w:w="638" w:type="pct"/>
          </w:tcPr>
          <w:p w14:paraId="47C97D67" w14:textId="77777777" w:rsidR="00CC2233" w:rsidRPr="00C4404D" w:rsidRDefault="00CC2233" w:rsidP="00700BF0">
            <w:pPr>
              <w:pStyle w:val="In-tableHeading"/>
              <w:jc w:val="center"/>
              <w:rPr>
                <w:lang w:val="en-AU"/>
              </w:rPr>
            </w:pPr>
            <w:r w:rsidRPr="00C4404D">
              <w:rPr>
                <w:lang w:val="en-AU"/>
              </w:rPr>
              <w:t>Incremental QALY</w:t>
            </w:r>
          </w:p>
        </w:tc>
        <w:tc>
          <w:tcPr>
            <w:tcW w:w="692" w:type="pct"/>
          </w:tcPr>
          <w:p w14:paraId="17DCACF1" w14:textId="77777777" w:rsidR="00CC2233" w:rsidRPr="00C4404D" w:rsidRDefault="00CC2233" w:rsidP="00700BF0">
            <w:pPr>
              <w:pStyle w:val="In-tableHeading"/>
              <w:jc w:val="center"/>
              <w:rPr>
                <w:lang w:val="en-AU"/>
              </w:rPr>
            </w:pPr>
            <w:r w:rsidRPr="00C4404D">
              <w:rPr>
                <w:lang w:val="en-AU"/>
              </w:rPr>
              <w:t>ICER</w:t>
            </w:r>
          </w:p>
        </w:tc>
        <w:tc>
          <w:tcPr>
            <w:tcW w:w="488" w:type="pct"/>
          </w:tcPr>
          <w:p w14:paraId="07E348D6" w14:textId="3CF67FBA" w:rsidR="00CC2233" w:rsidRPr="008103BF" w:rsidRDefault="00CC2233" w:rsidP="00700BF0">
            <w:pPr>
              <w:pStyle w:val="In-tableHeading"/>
              <w:jc w:val="center"/>
              <w:rPr>
                <w:vertAlign w:val="superscript"/>
                <w:lang w:val="en-AU"/>
              </w:rPr>
            </w:pPr>
            <w:r w:rsidRPr="008103BF">
              <w:rPr>
                <w:lang w:val="en-AU"/>
              </w:rPr>
              <w:t>% Change</w:t>
            </w:r>
            <w:r w:rsidR="00474743">
              <w:rPr>
                <w:vertAlign w:val="superscript"/>
                <w:lang w:val="en-AU"/>
              </w:rPr>
              <w:t>a</w:t>
            </w:r>
          </w:p>
        </w:tc>
      </w:tr>
      <w:tr w:rsidR="00CC2233" w:rsidRPr="00C4404D" w14:paraId="7918D925" w14:textId="77777777" w:rsidTr="00700BF0">
        <w:tc>
          <w:tcPr>
            <w:tcW w:w="1665" w:type="pct"/>
          </w:tcPr>
          <w:p w14:paraId="52FC087E" w14:textId="77777777" w:rsidR="00CC2233" w:rsidRPr="00C4404D" w:rsidRDefault="00CC2233" w:rsidP="00700BF0">
            <w:pPr>
              <w:pStyle w:val="TableText0"/>
              <w:rPr>
                <w:b/>
              </w:rPr>
            </w:pPr>
            <w:r w:rsidRPr="00C4404D">
              <w:rPr>
                <w:b/>
              </w:rPr>
              <w:t>Base case</w:t>
            </w:r>
          </w:p>
        </w:tc>
        <w:tc>
          <w:tcPr>
            <w:tcW w:w="859" w:type="pct"/>
          </w:tcPr>
          <w:p w14:paraId="29DEA962" w14:textId="77777777" w:rsidR="00CC2233" w:rsidRPr="00C4404D" w:rsidRDefault="00CC2233" w:rsidP="00700BF0">
            <w:pPr>
              <w:pStyle w:val="TableText0"/>
              <w:rPr>
                <w:b/>
              </w:rPr>
            </w:pPr>
          </w:p>
        </w:tc>
        <w:tc>
          <w:tcPr>
            <w:tcW w:w="658" w:type="pct"/>
            <w:vAlign w:val="center"/>
          </w:tcPr>
          <w:p w14:paraId="5E14E5BF" w14:textId="4B355CB7" w:rsidR="00CC2233" w:rsidRPr="008E1071" w:rsidRDefault="001328F0" w:rsidP="00700BF0">
            <w:pPr>
              <w:pStyle w:val="TableText0"/>
              <w:jc w:val="center"/>
              <w:rPr>
                <w:b/>
                <w:highlight w:val="darkGray"/>
              </w:rPr>
            </w:pPr>
            <w:r w:rsidRPr="001328F0">
              <w:rPr>
                <w:b/>
                <w:color w:val="000000"/>
                <w:shd w:val="solid" w:color="000000" w:fill="000000"/>
                <w14:textFill>
                  <w14:solidFill>
                    <w14:srgbClr w14:val="000000">
                      <w14:alpha w14:val="100000"/>
                    </w14:srgbClr>
                  </w14:solidFill>
                </w14:textFill>
              </w:rPr>
              <w:t>|</w:t>
            </w:r>
            <w:r w:rsidR="000E333A" w:rsidRPr="000E333A">
              <w:rPr>
                <w:b/>
              </w:rPr>
              <w:t xml:space="preserve"> </w:t>
            </w:r>
          </w:p>
        </w:tc>
        <w:tc>
          <w:tcPr>
            <w:tcW w:w="638" w:type="pct"/>
            <w:vAlign w:val="center"/>
          </w:tcPr>
          <w:p w14:paraId="62BEC5B9" w14:textId="77777777" w:rsidR="00CC2233" w:rsidRPr="00C4404D" w:rsidRDefault="00CC2233" w:rsidP="00700BF0">
            <w:pPr>
              <w:pStyle w:val="TableText0"/>
              <w:jc w:val="center"/>
              <w:rPr>
                <w:b/>
              </w:rPr>
            </w:pPr>
            <w:r w:rsidRPr="00C4404D">
              <w:rPr>
                <w:b/>
                <w:bCs w:val="0"/>
              </w:rPr>
              <w:t>1.97</w:t>
            </w:r>
          </w:p>
        </w:tc>
        <w:tc>
          <w:tcPr>
            <w:tcW w:w="692" w:type="pct"/>
            <w:vAlign w:val="center"/>
          </w:tcPr>
          <w:p w14:paraId="4BB43547" w14:textId="159662F3" w:rsidR="00CC2233" w:rsidRPr="008E1071" w:rsidRDefault="001328F0" w:rsidP="00700BF0">
            <w:pPr>
              <w:pStyle w:val="TableText0"/>
              <w:jc w:val="center"/>
              <w:rPr>
                <w:b/>
                <w:highlight w:val="darkGray"/>
              </w:rPr>
            </w:pPr>
            <w:r w:rsidRPr="001328F0">
              <w:rPr>
                <w:b/>
                <w:color w:val="000000"/>
                <w:shd w:val="solid" w:color="000000" w:fill="000000"/>
                <w14:textFill>
                  <w14:solidFill>
                    <w14:srgbClr w14:val="000000">
                      <w14:alpha w14:val="100000"/>
                    </w14:srgbClr>
                  </w14:solidFill>
                </w14:textFill>
              </w:rPr>
              <w:t>|</w:t>
            </w:r>
            <w:r w:rsidR="000E333A" w:rsidRPr="000E333A">
              <w:rPr>
                <w:b/>
              </w:rPr>
              <w:t xml:space="preserve"> </w:t>
            </w:r>
            <w:r w:rsidR="005463E6" w:rsidRPr="008E1071">
              <w:rPr>
                <w:b/>
                <w:vertAlign w:val="superscript"/>
              </w:rPr>
              <w:t>1</w:t>
            </w:r>
          </w:p>
        </w:tc>
        <w:tc>
          <w:tcPr>
            <w:tcW w:w="488" w:type="pct"/>
            <w:vAlign w:val="center"/>
          </w:tcPr>
          <w:p w14:paraId="5B6CD449" w14:textId="77777777" w:rsidR="00CC2233" w:rsidRPr="00C4404D" w:rsidRDefault="00CC2233" w:rsidP="00700BF0">
            <w:pPr>
              <w:pStyle w:val="TableText0"/>
              <w:jc w:val="center"/>
              <w:rPr>
                <w:b/>
                <w:i/>
                <w:iCs/>
              </w:rPr>
            </w:pPr>
          </w:p>
        </w:tc>
      </w:tr>
      <w:tr w:rsidR="00CC2233" w:rsidRPr="00C4404D" w14:paraId="244549B2" w14:textId="77777777" w:rsidTr="00700BF0">
        <w:tc>
          <w:tcPr>
            <w:tcW w:w="1665" w:type="pct"/>
            <w:vAlign w:val="center"/>
          </w:tcPr>
          <w:p w14:paraId="494F5E78" w14:textId="77777777" w:rsidR="00CC2233" w:rsidRPr="00A86840" w:rsidRDefault="00CC2233" w:rsidP="00700BF0">
            <w:pPr>
              <w:pStyle w:val="TableText0"/>
            </w:pPr>
            <w:r w:rsidRPr="00A86840">
              <w:t>Time horizon (44 years)</w:t>
            </w:r>
          </w:p>
        </w:tc>
        <w:tc>
          <w:tcPr>
            <w:tcW w:w="859" w:type="pct"/>
            <w:vAlign w:val="center"/>
          </w:tcPr>
          <w:p w14:paraId="04E80F84" w14:textId="090463B1" w:rsidR="00CC2233" w:rsidRPr="00A86840" w:rsidRDefault="00CC2233" w:rsidP="00700BF0">
            <w:pPr>
              <w:pStyle w:val="TableText0"/>
            </w:pPr>
            <w:r w:rsidRPr="00A86840">
              <w:t>20 years</w:t>
            </w:r>
            <w:r w:rsidR="007C7B07">
              <w:rPr>
                <w:vertAlign w:val="superscript"/>
              </w:rPr>
              <w:t>a</w:t>
            </w:r>
          </w:p>
        </w:tc>
        <w:tc>
          <w:tcPr>
            <w:tcW w:w="658" w:type="pct"/>
            <w:vAlign w:val="center"/>
          </w:tcPr>
          <w:p w14:paraId="55A80056" w14:textId="276450DD"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2921C4BA" w14:textId="77777777" w:rsidR="00CC2233" w:rsidRPr="00A86840" w:rsidRDefault="00CC2233" w:rsidP="00700BF0">
            <w:pPr>
              <w:pStyle w:val="TableText0"/>
              <w:jc w:val="center"/>
            </w:pPr>
            <w:r w:rsidRPr="00A86840">
              <w:t>1.62</w:t>
            </w:r>
          </w:p>
        </w:tc>
        <w:tc>
          <w:tcPr>
            <w:tcW w:w="692" w:type="pct"/>
            <w:vAlign w:val="center"/>
          </w:tcPr>
          <w:p w14:paraId="0F84D31D" w14:textId="55290992"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5463E6" w:rsidRPr="008E1071">
              <w:rPr>
                <w:vertAlign w:val="superscript"/>
              </w:rPr>
              <w:t>2</w:t>
            </w:r>
          </w:p>
        </w:tc>
        <w:tc>
          <w:tcPr>
            <w:tcW w:w="488" w:type="pct"/>
            <w:vAlign w:val="center"/>
          </w:tcPr>
          <w:p w14:paraId="75A3B435" w14:textId="77777777" w:rsidR="00CC2233" w:rsidRPr="00A86840" w:rsidRDefault="00CC2233" w:rsidP="00700BF0">
            <w:pPr>
              <w:pStyle w:val="TableText0"/>
              <w:jc w:val="center"/>
            </w:pPr>
            <w:r w:rsidRPr="00A86840">
              <w:rPr>
                <w:rFonts w:cs="Calibri"/>
                <w:color w:val="000000"/>
                <w:szCs w:val="20"/>
              </w:rPr>
              <w:t>15%</w:t>
            </w:r>
          </w:p>
        </w:tc>
      </w:tr>
      <w:tr w:rsidR="00CC2233" w:rsidRPr="00C4404D" w14:paraId="1E0E9E42" w14:textId="77777777" w:rsidTr="00700BF0">
        <w:tc>
          <w:tcPr>
            <w:tcW w:w="1665" w:type="pct"/>
            <w:vMerge w:val="restart"/>
            <w:vAlign w:val="center"/>
          </w:tcPr>
          <w:p w14:paraId="1128EFA2" w14:textId="77777777" w:rsidR="00CC2233" w:rsidRPr="00A86840" w:rsidRDefault="00CC2233" w:rsidP="00700BF0">
            <w:pPr>
              <w:pStyle w:val="TableText0"/>
            </w:pPr>
            <w:r w:rsidRPr="00A86840">
              <w:t>Discount rate (5%)</w:t>
            </w:r>
          </w:p>
        </w:tc>
        <w:tc>
          <w:tcPr>
            <w:tcW w:w="859" w:type="pct"/>
            <w:vAlign w:val="center"/>
          </w:tcPr>
          <w:p w14:paraId="6A7DD5A4" w14:textId="77777777" w:rsidR="00CC2233" w:rsidRPr="00A86840" w:rsidRDefault="00CC2233" w:rsidP="00700BF0">
            <w:pPr>
              <w:pStyle w:val="TableText0"/>
            </w:pPr>
            <w:r w:rsidRPr="00A86840">
              <w:t>3.5%</w:t>
            </w:r>
          </w:p>
        </w:tc>
        <w:tc>
          <w:tcPr>
            <w:tcW w:w="658" w:type="pct"/>
            <w:vAlign w:val="center"/>
          </w:tcPr>
          <w:p w14:paraId="7879F2D4" w14:textId="0AC97F5C"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7965B1B0" w14:textId="77777777" w:rsidR="00CC2233" w:rsidRPr="00A86840" w:rsidRDefault="00CC2233" w:rsidP="00700BF0">
            <w:pPr>
              <w:pStyle w:val="TableText0"/>
              <w:jc w:val="center"/>
              <w:rPr>
                <w:bCs w:val="0"/>
                <w:szCs w:val="20"/>
              </w:rPr>
            </w:pPr>
            <w:r w:rsidRPr="00A86840">
              <w:rPr>
                <w:rFonts w:cs="Arial"/>
                <w:bCs w:val="0"/>
                <w:color w:val="292929"/>
                <w:szCs w:val="20"/>
              </w:rPr>
              <w:t>2.39</w:t>
            </w:r>
          </w:p>
        </w:tc>
        <w:tc>
          <w:tcPr>
            <w:tcW w:w="692" w:type="pct"/>
            <w:vAlign w:val="center"/>
          </w:tcPr>
          <w:p w14:paraId="4D5EA4BF" w14:textId="1A0D3C7B" w:rsidR="00CC2233" w:rsidRPr="008E1071" w:rsidRDefault="001328F0" w:rsidP="00700BF0">
            <w:pPr>
              <w:pStyle w:val="TableText0"/>
              <w:jc w:val="center"/>
              <w:rPr>
                <w:bCs w:val="0"/>
                <w:szCs w:val="20"/>
                <w:highlight w:val="darkGray"/>
              </w:rPr>
            </w:pPr>
            <w:r w:rsidRPr="001328F0">
              <w:rPr>
                <w:rFonts w:cs="Arial"/>
                <w:bCs w:val="0"/>
                <w:color w:val="292929"/>
                <w:szCs w:val="20"/>
                <w:shd w:val="solid" w:color="000000" w:fill="000000"/>
                <w14:textFill>
                  <w14:solidFill>
                    <w14:srgbClr w14:val="292929">
                      <w14:alpha w14:val="100000"/>
                    </w14:srgbClr>
                  </w14:solidFill>
                </w14:textFill>
              </w:rPr>
              <w:t>|</w:t>
            </w:r>
            <w:r w:rsidR="000E333A" w:rsidRPr="000E333A">
              <w:rPr>
                <w:rFonts w:cs="Arial"/>
                <w:bCs w:val="0"/>
                <w:color w:val="292929"/>
                <w:szCs w:val="20"/>
              </w:rPr>
              <w:t xml:space="preserve"> </w:t>
            </w:r>
            <w:r w:rsidR="00CC3E45" w:rsidRPr="008E1071">
              <w:rPr>
                <w:rFonts w:cs="Arial"/>
                <w:bCs w:val="0"/>
                <w:color w:val="292929"/>
                <w:szCs w:val="20"/>
                <w:vertAlign w:val="superscript"/>
              </w:rPr>
              <w:t>1</w:t>
            </w:r>
          </w:p>
        </w:tc>
        <w:tc>
          <w:tcPr>
            <w:tcW w:w="488" w:type="pct"/>
            <w:vAlign w:val="center"/>
          </w:tcPr>
          <w:p w14:paraId="42E31E4F" w14:textId="77777777" w:rsidR="00CC2233" w:rsidRPr="00A86840" w:rsidRDefault="00CC2233" w:rsidP="00700BF0">
            <w:pPr>
              <w:pStyle w:val="TableText0"/>
              <w:jc w:val="center"/>
            </w:pPr>
            <w:r w:rsidRPr="00A86840">
              <w:rPr>
                <w:rFonts w:cs="Calibri"/>
                <w:color w:val="000000"/>
                <w:szCs w:val="20"/>
              </w:rPr>
              <w:t>-10%</w:t>
            </w:r>
          </w:p>
        </w:tc>
      </w:tr>
      <w:tr w:rsidR="00CC2233" w:rsidRPr="00C4404D" w14:paraId="63E5AFCE" w14:textId="77777777" w:rsidTr="00700BF0">
        <w:tc>
          <w:tcPr>
            <w:tcW w:w="1665" w:type="pct"/>
            <w:vMerge/>
            <w:vAlign w:val="center"/>
          </w:tcPr>
          <w:p w14:paraId="31DA107C" w14:textId="77777777" w:rsidR="00CC2233" w:rsidRPr="00A86840" w:rsidRDefault="00CC2233" w:rsidP="00700BF0">
            <w:pPr>
              <w:pStyle w:val="TableText0"/>
            </w:pPr>
          </w:p>
        </w:tc>
        <w:tc>
          <w:tcPr>
            <w:tcW w:w="859" w:type="pct"/>
            <w:vAlign w:val="center"/>
          </w:tcPr>
          <w:p w14:paraId="15B73BF7" w14:textId="3C0021FD" w:rsidR="00CC2233" w:rsidRPr="00A86840" w:rsidRDefault="00CC2233" w:rsidP="00700BF0">
            <w:pPr>
              <w:pStyle w:val="TableText0"/>
            </w:pPr>
            <w:r w:rsidRPr="00A86840">
              <w:t>0%</w:t>
            </w:r>
            <w:r w:rsidR="007C7B07">
              <w:rPr>
                <w:vertAlign w:val="superscript"/>
              </w:rPr>
              <w:t>a</w:t>
            </w:r>
          </w:p>
        </w:tc>
        <w:tc>
          <w:tcPr>
            <w:tcW w:w="658" w:type="pct"/>
            <w:vAlign w:val="center"/>
          </w:tcPr>
          <w:p w14:paraId="3184412E" w14:textId="58B8C6BB"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39C5625E" w14:textId="77777777" w:rsidR="00CC2233" w:rsidRPr="00A86840" w:rsidRDefault="00CC2233" w:rsidP="00700BF0">
            <w:pPr>
              <w:pStyle w:val="TableText0"/>
              <w:jc w:val="center"/>
            </w:pPr>
            <w:r w:rsidRPr="00A86840">
              <w:t>4.01</w:t>
            </w:r>
          </w:p>
        </w:tc>
        <w:tc>
          <w:tcPr>
            <w:tcW w:w="692" w:type="pct"/>
            <w:vAlign w:val="center"/>
          </w:tcPr>
          <w:p w14:paraId="645B9620" w14:textId="1973D988"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8E1071">
              <w:rPr>
                <w:vertAlign w:val="superscript"/>
              </w:rPr>
              <w:t>3</w:t>
            </w:r>
          </w:p>
        </w:tc>
        <w:tc>
          <w:tcPr>
            <w:tcW w:w="488" w:type="pct"/>
            <w:vAlign w:val="center"/>
          </w:tcPr>
          <w:p w14:paraId="289B2BA2" w14:textId="77777777" w:rsidR="00CC2233" w:rsidRPr="00A86840" w:rsidRDefault="00CC2233" w:rsidP="00700BF0">
            <w:pPr>
              <w:pStyle w:val="TableText0"/>
              <w:jc w:val="center"/>
            </w:pPr>
            <w:r w:rsidRPr="00A86840">
              <w:rPr>
                <w:rFonts w:cs="Calibri"/>
                <w:color w:val="000000"/>
                <w:szCs w:val="20"/>
              </w:rPr>
              <w:t>-32%</w:t>
            </w:r>
          </w:p>
        </w:tc>
      </w:tr>
      <w:tr w:rsidR="00CC2233" w:rsidRPr="00C4404D" w14:paraId="0116299A" w14:textId="77777777" w:rsidTr="00700BF0">
        <w:tc>
          <w:tcPr>
            <w:tcW w:w="1665" w:type="pct"/>
            <w:vAlign w:val="center"/>
          </w:tcPr>
          <w:p w14:paraId="7D965663" w14:textId="77777777" w:rsidR="00CC2233" w:rsidRPr="00A86840" w:rsidRDefault="00CC2233" w:rsidP="00700BF0">
            <w:pPr>
              <w:pStyle w:val="TableText0"/>
            </w:pPr>
            <w:r w:rsidRPr="00A86840">
              <w:t>Adherence benefit (included)</w:t>
            </w:r>
          </w:p>
        </w:tc>
        <w:tc>
          <w:tcPr>
            <w:tcW w:w="859" w:type="pct"/>
            <w:vAlign w:val="center"/>
          </w:tcPr>
          <w:p w14:paraId="0B7D0B08" w14:textId="6C24CE3C" w:rsidR="00CC2233" w:rsidRPr="00A86840" w:rsidRDefault="00CC2233" w:rsidP="00700BF0">
            <w:pPr>
              <w:pStyle w:val="TableText0"/>
            </w:pPr>
            <w:r w:rsidRPr="00A86840">
              <w:t>Removed</w:t>
            </w:r>
            <w:r w:rsidR="007C7B07">
              <w:rPr>
                <w:vertAlign w:val="superscript"/>
              </w:rPr>
              <w:t>a</w:t>
            </w:r>
          </w:p>
        </w:tc>
        <w:tc>
          <w:tcPr>
            <w:tcW w:w="658" w:type="pct"/>
            <w:vAlign w:val="center"/>
          </w:tcPr>
          <w:p w14:paraId="571CD725" w14:textId="1E49A45A"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08768AD9" w14:textId="77777777" w:rsidR="00CC2233" w:rsidRPr="00A86840" w:rsidRDefault="00CC2233" w:rsidP="00700BF0">
            <w:pPr>
              <w:pStyle w:val="TableText0"/>
              <w:jc w:val="center"/>
            </w:pPr>
            <w:r w:rsidRPr="00A86840">
              <w:t>1.95</w:t>
            </w:r>
          </w:p>
        </w:tc>
        <w:tc>
          <w:tcPr>
            <w:tcW w:w="692" w:type="pct"/>
            <w:vAlign w:val="center"/>
          </w:tcPr>
          <w:p w14:paraId="46B96998" w14:textId="4F055E4F"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45628D">
              <w:rPr>
                <w:vertAlign w:val="superscript"/>
              </w:rPr>
              <w:t>2</w:t>
            </w:r>
          </w:p>
        </w:tc>
        <w:tc>
          <w:tcPr>
            <w:tcW w:w="488" w:type="pct"/>
            <w:vAlign w:val="center"/>
          </w:tcPr>
          <w:p w14:paraId="5214BFFD" w14:textId="77777777" w:rsidR="00CC2233" w:rsidRPr="00A86840" w:rsidRDefault="00CC2233" w:rsidP="00700BF0">
            <w:pPr>
              <w:pStyle w:val="TableText0"/>
              <w:jc w:val="center"/>
            </w:pPr>
            <w:r w:rsidRPr="00A86840">
              <w:rPr>
                <w:rFonts w:cs="Calibri"/>
                <w:color w:val="000000"/>
                <w:szCs w:val="20"/>
              </w:rPr>
              <w:t>8%</w:t>
            </w:r>
          </w:p>
        </w:tc>
      </w:tr>
      <w:tr w:rsidR="00CC2233" w:rsidRPr="00C4404D" w14:paraId="012AFDB2" w14:textId="77777777" w:rsidTr="00700BF0">
        <w:tc>
          <w:tcPr>
            <w:tcW w:w="1665" w:type="pct"/>
            <w:vMerge w:val="restart"/>
            <w:vAlign w:val="center"/>
          </w:tcPr>
          <w:p w14:paraId="4A46A082" w14:textId="61920752" w:rsidR="00CC2233" w:rsidRPr="00A86840" w:rsidRDefault="00CC2233" w:rsidP="00700BF0">
            <w:pPr>
              <w:pStyle w:val="TableText0"/>
            </w:pPr>
            <w:r w:rsidRPr="00A86840">
              <w:t>Utilities (based on Schneider 2014</w:t>
            </w:r>
            <w:r w:rsidR="00474743">
              <w:t>/Tengs 2002</w:t>
            </w:r>
            <w:r w:rsidRPr="00A86840">
              <w:t>)</w:t>
            </w:r>
          </w:p>
        </w:tc>
        <w:tc>
          <w:tcPr>
            <w:tcW w:w="859" w:type="pct"/>
            <w:vAlign w:val="center"/>
          </w:tcPr>
          <w:p w14:paraId="12887179" w14:textId="64B7AF6A" w:rsidR="00CC2233" w:rsidRPr="00A86840" w:rsidRDefault="00CC2233" w:rsidP="00700BF0">
            <w:pPr>
              <w:pStyle w:val="TableText0"/>
              <w:rPr>
                <w:vertAlign w:val="superscript"/>
              </w:rPr>
            </w:pPr>
            <w:r w:rsidRPr="00A86840">
              <w:t>Brogan 2021</w:t>
            </w:r>
            <w:r w:rsidR="004256B9" w:rsidRPr="00A86840">
              <w:rPr>
                <w:rStyle w:val="FootnoteReference"/>
              </w:rPr>
              <w:footnoteReference w:id="19"/>
            </w:r>
            <w:r w:rsidRPr="00A86840">
              <w:t xml:space="preserve"> utilities used</w:t>
            </w:r>
            <w:r w:rsidR="007C7B07">
              <w:rPr>
                <w:vertAlign w:val="superscript"/>
              </w:rPr>
              <w:t>a,b</w:t>
            </w:r>
          </w:p>
        </w:tc>
        <w:tc>
          <w:tcPr>
            <w:tcW w:w="658" w:type="pct"/>
            <w:vAlign w:val="center"/>
          </w:tcPr>
          <w:p w14:paraId="1775F086" w14:textId="76396514"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2298F5AF" w14:textId="77777777" w:rsidR="00CC2233" w:rsidRPr="00A86840" w:rsidRDefault="00CC2233" w:rsidP="00700BF0">
            <w:pPr>
              <w:pStyle w:val="TableText0"/>
              <w:jc w:val="center"/>
            </w:pPr>
            <w:r w:rsidRPr="00A86840">
              <w:t>1.98</w:t>
            </w:r>
          </w:p>
        </w:tc>
        <w:tc>
          <w:tcPr>
            <w:tcW w:w="692" w:type="pct"/>
            <w:vAlign w:val="center"/>
          </w:tcPr>
          <w:p w14:paraId="61160C78" w14:textId="6132A28B"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Pr>
                <w:vertAlign w:val="superscript"/>
              </w:rPr>
              <w:t>1</w:t>
            </w:r>
          </w:p>
        </w:tc>
        <w:tc>
          <w:tcPr>
            <w:tcW w:w="488" w:type="pct"/>
            <w:vAlign w:val="center"/>
          </w:tcPr>
          <w:p w14:paraId="25E945E4" w14:textId="77777777" w:rsidR="00CC2233" w:rsidRPr="00A86840" w:rsidRDefault="00CC2233" w:rsidP="00700BF0">
            <w:pPr>
              <w:pStyle w:val="TableText0"/>
              <w:jc w:val="center"/>
            </w:pPr>
            <w:r w:rsidRPr="00A86840">
              <w:rPr>
                <w:rFonts w:cs="Calibri"/>
                <w:color w:val="000000"/>
                <w:szCs w:val="20"/>
              </w:rPr>
              <w:t>-1%</w:t>
            </w:r>
          </w:p>
        </w:tc>
      </w:tr>
      <w:tr w:rsidR="00CC2233" w:rsidRPr="00C4404D" w14:paraId="19314980" w14:textId="77777777" w:rsidTr="00700BF0">
        <w:tc>
          <w:tcPr>
            <w:tcW w:w="1665" w:type="pct"/>
            <w:vMerge/>
            <w:vAlign w:val="center"/>
          </w:tcPr>
          <w:p w14:paraId="69533C2D" w14:textId="77777777" w:rsidR="00CC2233" w:rsidRPr="00A86840" w:rsidRDefault="00CC2233" w:rsidP="00700BF0">
            <w:pPr>
              <w:pStyle w:val="TableText0"/>
            </w:pPr>
          </w:p>
        </w:tc>
        <w:tc>
          <w:tcPr>
            <w:tcW w:w="859" w:type="pct"/>
            <w:vAlign w:val="center"/>
          </w:tcPr>
          <w:p w14:paraId="39387220" w14:textId="4D0AFF74" w:rsidR="00CC2233" w:rsidRPr="00A86840" w:rsidRDefault="00CC2233" w:rsidP="00700BF0">
            <w:pPr>
              <w:pStyle w:val="TableText0"/>
            </w:pPr>
            <w:r w:rsidRPr="00A86840">
              <w:t>Brogan 2021 alternate utilities used</w:t>
            </w:r>
            <w:r w:rsidR="007C7B07" w:rsidRPr="008103BF">
              <w:rPr>
                <w:vertAlign w:val="superscript"/>
              </w:rPr>
              <w:t>a,</w:t>
            </w:r>
            <w:r w:rsidR="007C7B07" w:rsidRPr="007C7B07">
              <w:rPr>
                <w:vertAlign w:val="superscript"/>
              </w:rPr>
              <w:t>c</w:t>
            </w:r>
            <w:r w:rsidRPr="00A86840">
              <w:t xml:space="preserve"> </w:t>
            </w:r>
          </w:p>
        </w:tc>
        <w:tc>
          <w:tcPr>
            <w:tcW w:w="658" w:type="pct"/>
            <w:vAlign w:val="center"/>
          </w:tcPr>
          <w:p w14:paraId="457F0A85" w14:textId="78046761"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35C36270" w14:textId="77777777" w:rsidR="00CC2233" w:rsidRPr="00A86840" w:rsidRDefault="00CC2233" w:rsidP="00700BF0">
            <w:pPr>
              <w:pStyle w:val="TableText0"/>
              <w:jc w:val="center"/>
            </w:pPr>
            <w:r w:rsidRPr="00A86840">
              <w:t>1.86</w:t>
            </w:r>
          </w:p>
        </w:tc>
        <w:tc>
          <w:tcPr>
            <w:tcW w:w="692" w:type="pct"/>
            <w:vAlign w:val="center"/>
          </w:tcPr>
          <w:p w14:paraId="23A43F87" w14:textId="550E97EF"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45628D">
              <w:rPr>
                <w:vertAlign w:val="superscript"/>
              </w:rPr>
              <w:t>2</w:t>
            </w:r>
            <w:r w:rsidR="000E333A" w:rsidRPr="000E333A">
              <w:t xml:space="preserve"> </w:t>
            </w:r>
          </w:p>
        </w:tc>
        <w:tc>
          <w:tcPr>
            <w:tcW w:w="488" w:type="pct"/>
            <w:vAlign w:val="center"/>
          </w:tcPr>
          <w:p w14:paraId="6F25D38A" w14:textId="77777777" w:rsidR="00CC2233" w:rsidRPr="00A86840" w:rsidRDefault="00CC2233" w:rsidP="00700BF0">
            <w:pPr>
              <w:pStyle w:val="TableText0"/>
              <w:jc w:val="center"/>
            </w:pPr>
            <w:r w:rsidRPr="00A86840">
              <w:rPr>
                <w:rFonts w:cs="Calibri"/>
                <w:color w:val="000000"/>
                <w:szCs w:val="20"/>
              </w:rPr>
              <w:t>6%</w:t>
            </w:r>
          </w:p>
        </w:tc>
      </w:tr>
      <w:tr w:rsidR="00CC2233" w:rsidRPr="00C4404D" w14:paraId="3CB9BDC4" w14:textId="77777777" w:rsidTr="00700BF0">
        <w:tc>
          <w:tcPr>
            <w:tcW w:w="1665" w:type="pct"/>
            <w:vAlign w:val="center"/>
          </w:tcPr>
          <w:p w14:paraId="12DD6A6D" w14:textId="77777777" w:rsidR="00CC2233" w:rsidRPr="00A86840" w:rsidRDefault="00CC2233" w:rsidP="00700BF0">
            <w:pPr>
              <w:pStyle w:val="TableText0"/>
            </w:pPr>
            <w:r w:rsidRPr="00A86840">
              <w:t>Viral load estimates (adjusted CSR values)</w:t>
            </w:r>
          </w:p>
        </w:tc>
        <w:tc>
          <w:tcPr>
            <w:tcW w:w="859" w:type="pct"/>
            <w:vAlign w:val="center"/>
          </w:tcPr>
          <w:p w14:paraId="5348908B" w14:textId="3E2E0F02" w:rsidR="00CC2233" w:rsidRPr="008103BF" w:rsidRDefault="00CC2233" w:rsidP="00700BF0">
            <w:pPr>
              <w:pStyle w:val="TableText0"/>
              <w:rPr>
                <w:vertAlign w:val="superscript"/>
              </w:rPr>
            </w:pPr>
            <w:r w:rsidRPr="00A86840">
              <w:t>Non-adjusted CSR values</w:t>
            </w:r>
            <w:r w:rsidR="007C7B07">
              <w:rPr>
                <w:vertAlign w:val="superscript"/>
              </w:rPr>
              <w:t>a</w:t>
            </w:r>
          </w:p>
        </w:tc>
        <w:tc>
          <w:tcPr>
            <w:tcW w:w="658" w:type="pct"/>
            <w:vAlign w:val="center"/>
          </w:tcPr>
          <w:p w14:paraId="21DE0023" w14:textId="324C8225"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5CB7F7CF" w14:textId="77777777" w:rsidR="00CC2233" w:rsidRPr="00A86840" w:rsidRDefault="00CC2233" w:rsidP="00700BF0">
            <w:pPr>
              <w:pStyle w:val="TableText0"/>
              <w:jc w:val="center"/>
            </w:pPr>
            <w:r w:rsidRPr="00A86840">
              <w:t>1.62</w:t>
            </w:r>
          </w:p>
        </w:tc>
        <w:tc>
          <w:tcPr>
            <w:tcW w:w="692" w:type="pct"/>
            <w:vAlign w:val="center"/>
          </w:tcPr>
          <w:p w14:paraId="18AAA9C7" w14:textId="777BE22C"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8E1071">
              <w:rPr>
                <w:vertAlign w:val="superscript"/>
              </w:rPr>
              <w:t>4</w:t>
            </w:r>
          </w:p>
        </w:tc>
        <w:tc>
          <w:tcPr>
            <w:tcW w:w="488" w:type="pct"/>
            <w:vAlign w:val="center"/>
          </w:tcPr>
          <w:p w14:paraId="663FE825" w14:textId="77777777" w:rsidR="00CC2233" w:rsidRPr="00A86840" w:rsidRDefault="00CC2233" w:rsidP="00700BF0">
            <w:pPr>
              <w:pStyle w:val="TableText0"/>
              <w:jc w:val="center"/>
              <w:rPr>
                <w:rFonts w:cs="Calibri"/>
                <w:color w:val="000000"/>
                <w:szCs w:val="20"/>
              </w:rPr>
            </w:pPr>
            <w:r w:rsidRPr="00A86840">
              <w:rPr>
                <w:rFonts w:cs="Calibri"/>
                <w:color w:val="000000"/>
                <w:szCs w:val="20"/>
              </w:rPr>
              <w:t>47%</w:t>
            </w:r>
          </w:p>
        </w:tc>
      </w:tr>
      <w:tr w:rsidR="00CC2233" w:rsidRPr="00C4404D" w14:paraId="4F1D3765" w14:textId="77777777" w:rsidTr="00700BF0">
        <w:tc>
          <w:tcPr>
            <w:tcW w:w="1665" w:type="pct"/>
            <w:vMerge w:val="restart"/>
            <w:vAlign w:val="center"/>
          </w:tcPr>
          <w:p w14:paraId="3CB1D860" w14:textId="65D34933" w:rsidR="00CC2233" w:rsidRPr="00A86840" w:rsidRDefault="00CC2233" w:rsidP="00700BF0">
            <w:pPr>
              <w:pStyle w:val="TableText0"/>
            </w:pPr>
            <w:r w:rsidRPr="00A86840">
              <w:t xml:space="preserve">Viral </w:t>
            </w:r>
            <w:r w:rsidR="00AD0204" w:rsidRPr="00A86840">
              <w:t xml:space="preserve">load </w:t>
            </w:r>
            <w:r w:rsidRPr="00A86840">
              <w:t>suppression at both 50 copies/mL and 200 copies/mL (RR 3.828)</w:t>
            </w:r>
          </w:p>
        </w:tc>
        <w:tc>
          <w:tcPr>
            <w:tcW w:w="859" w:type="pct"/>
            <w:vAlign w:val="center"/>
          </w:tcPr>
          <w:p w14:paraId="0DC6C25B" w14:textId="080287E3" w:rsidR="00CC2233" w:rsidRPr="008103BF" w:rsidRDefault="00CC2233" w:rsidP="00700BF0">
            <w:pPr>
              <w:pStyle w:val="TableText0"/>
              <w:rPr>
                <w:vertAlign w:val="superscript"/>
              </w:rPr>
            </w:pPr>
            <w:r w:rsidRPr="00A86840">
              <w:t>RR for 200 copies/mL (3.124)</w:t>
            </w:r>
            <w:r w:rsidR="007C7B07">
              <w:rPr>
                <w:vertAlign w:val="superscript"/>
              </w:rPr>
              <w:t>a</w:t>
            </w:r>
          </w:p>
        </w:tc>
        <w:tc>
          <w:tcPr>
            <w:tcW w:w="658" w:type="pct"/>
            <w:vAlign w:val="center"/>
          </w:tcPr>
          <w:p w14:paraId="1D1ACA9E" w14:textId="348DC63F"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27DBD3A9" w14:textId="77777777" w:rsidR="00CC2233" w:rsidRPr="00A86840" w:rsidRDefault="00CC2233" w:rsidP="00700BF0">
            <w:pPr>
              <w:pStyle w:val="TableText0"/>
              <w:jc w:val="center"/>
            </w:pPr>
            <w:r w:rsidRPr="00A86840">
              <w:t>1.80</w:t>
            </w:r>
          </w:p>
        </w:tc>
        <w:tc>
          <w:tcPr>
            <w:tcW w:w="692" w:type="pct"/>
            <w:vAlign w:val="center"/>
          </w:tcPr>
          <w:p w14:paraId="3753C014" w14:textId="23397239"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8E1071">
              <w:rPr>
                <w:vertAlign w:val="superscript"/>
              </w:rPr>
              <w:t>2</w:t>
            </w:r>
          </w:p>
        </w:tc>
        <w:tc>
          <w:tcPr>
            <w:tcW w:w="488" w:type="pct"/>
            <w:vAlign w:val="center"/>
          </w:tcPr>
          <w:p w14:paraId="22FC9642" w14:textId="77777777" w:rsidR="00CC2233" w:rsidRPr="00A86840" w:rsidRDefault="00CC2233" w:rsidP="00700BF0">
            <w:pPr>
              <w:pStyle w:val="TableText0"/>
              <w:jc w:val="center"/>
              <w:rPr>
                <w:rFonts w:cs="Calibri"/>
                <w:color w:val="000000"/>
                <w:szCs w:val="20"/>
              </w:rPr>
            </w:pPr>
            <w:r w:rsidRPr="00A86840">
              <w:rPr>
                <w:rFonts w:cs="Calibri"/>
                <w:color w:val="000000"/>
                <w:szCs w:val="20"/>
              </w:rPr>
              <w:t>7%</w:t>
            </w:r>
          </w:p>
        </w:tc>
      </w:tr>
      <w:tr w:rsidR="00CC2233" w:rsidRPr="00C4404D" w14:paraId="71B199F5" w14:textId="77777777" w:rsidTr="00700BF0">
        <w:tc>
          <w:tcPr>
            <w:tcW w:w="1665" w:type="pct"/>
            <w:vMerge/>
            <w:vAlign w:val="center"/>
          </w:tcPr>
          <w:p w14:paraId="2EE2FA3B" w14:textId="77777777" w:rsidR="00CC2233" w:rsidRPr="00A86840" w:rsidRDefault="00CC2233" w:rsidP="00700BF0">
            <w:pPr>
              <w:pStyle w:val="TableText0"/>
            </w:pPr>
          </w:p>
        </w:tc>
        <w:tc>
          <w:tcPr>
            <w:tcW w:w="859" w:type="pct"/>
            <w:vAlign w:val="center"/>
          </w:tcPr>
          <w:p w14:paraId="54A6696C" w14:textId="6423BFDE" w:rsidR="00CC2233" w:rsidRPr="008103BF" w:rsidRDefault="00CC2233" w:rsidP="00700BF0">
            <w:pPr>
              <w:pStyle w:val="TableText0"/>
              <w:rPr>
                <w:vertAlign w:val="superscript"/>
              </w:rPr>
            </w:pPr>
            <w:r w:rsidRPr="00A86840">
              <w:t>RR of for 50/mL copies (1.47) and 400 copies/mL (1.32)</w:t>
            </w:r>
            <w:r w:rsidR="007C7B07">
              <w:rPr>
                <w:vertAlign w:val="superscript"/>
              </w:rPr>
              <w:t>a</w:t>
            </w:r>
          </w:p>
        </w:tc>
        <w:tc>
          <w:tcPr>
            <w:tcW w:w="658" w:type="pct"/>
            <w:vAlign w:val="center"/>
          </w:tcPr>
          <w:p w14:paraId="0F2732B9" w14:textId="4DE2B907"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6DD1988E" w14:textId="77777777" w:rsidR="00CC2233" w:rsidRPr="00A86840" w:rsidRDefault="00CC2233" w:rsidP="00700BF0">
            <w:pPr>
              <w:pStyle w:val="TableText0"/>
              <w:jc w:val="center"/>
            </w:pPr>
            <w:r w:rsidRPr="00A86840">
              <w:t>0.57</w:t>
            </w:r>
          </w:p>
        </w:tc>
        <w:tc>
          <w:tcPr>
            <w:tcW w:w="692" w:type="pct"/>
            <w:vAlign w:val="center"/>
          </w:tcPr>
          <w:p w14:paraId="1CD66604" w14:textId="5AF0A8F7"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8E1071">
              <w:rPr>
                <w:vertAlign w:val="superscript"/>
              </w:rPr>
              <w:t>5</w:t>
            </w:r>
          </w:p>
        </w:tc>
        <w:tc>
          <w:tcPr>
            <w:tcW w:w="488" w:type="pct"/>
            <w:vAlign w:val="center"/>
          </w:tcPr>
          <w:p w14:paraId="6814669E" w14:textId="77777777" w:rsidR="00CC2233" w:rsidRPr="00A86840" w:rsidRDefault="00CC2233" w:rsidP="00700BF0">
            <w:pPr>
              <w:pStyle w:val="TableText0"/>
              <w:jc w:val="center"/>
            </w:pPr>
            <w:r w:rsidRPr="00A86840">
              <w:rPr>
                <w:rFonts w:cs="Calibri"/>
                <w:color w:val="000000"/>
                <w:szCs w:val="20"/>
              </w:rPr>
              <w:t>186%</w:t>
            </w:r>
          </w:p>
        </w:tc>
      </w:tr>
      <w:tr w:rsidR="00CC2233" w:rsidRPr="00C4404D" w14:paraId="0D9A593D" w14:textId="77777777" w:rsidTr="00700BF0">
        <w:tc>
          <w:tcPr>
            <w:tcW w:w="1665" w:type="pct"/>
            <w:vAlign w:val="center"/>
          </w:tcPr>
          <w:p w14:paraId="456C2EAF" w14:textId="7F91E3BC" w:rsidR="00CC2233" w:rsidRPr="00A86840" w:rsidRDefault="00CC2233" w:rsidP="00700BF0">
            <w:pPr>
              <w:pStyle w:val="TableText0"/>
            </w:pPr>
            <w:r w:rsidRPr="00A86840">
              <w:t>No vir</w:t>
            </w:r>
            <w:r w:rsidR="003F5902" w:rsidRPr="00A86840">
              <w:t>al load</w:t>
            </w:r>
            <w:r w:rsidRPr="00A86840">
              <w:t xml:space="preserve"> suppression </w:t>
            </w:r>
            <w:r w:rsidR="003F5902" w:rsidRPr="00A86840">
              <w:t xml:space="preserve">to &lt;200 copies/mL </w:t>
            </w:r>
            <w:r w:rsidRPr="00A86840">
              <w:t>on salvage therapy</w:t>
            </w:r>
          </w:p>
        </w:tc>
        <w:tc>
          <w:tcPr>
            <w:tcW w:w="859" w:type="pct"/>
            <w:vAlign w:val="center"/>
          </w:tcPr>
          <w:p w14:paraId="6247D1F4" w14:textId="4A848E86" w:rsidR="00CC2233" w:rsidRPr="008103BF" w:rsidRDefault="00CC2233" w:rsidP="00700BF0">
            <w:pPr>
              <w:pStyle w:val="TableText0"/>
              <w:rPr>
                <w:vertAlign w:val="superscript"/>
              </w:rPr>
            </w:pPr>
            <w:r w:rsidRPr="00A86840">
              <w:t>15% at week 16, declining over time</w:t>
            </w:r>
            <w:r w:rsidR="007C7B07">
              <w:rPr>
                <w:vertAlign w:val="superscript"/>
              </w:rPr>
              <w:t>a</w:t>
            </w:r>
          </w:p>
        </w:tc>
        <w:tc>
          <w:tcPr>
            <w:tcW w:w="658" w:type="pct"/>
            <w:vAlign w:val="center"/>
          </w:tcPr>
          <w:p w14:paraId="784E6A6F" w14:textId="5E501D19"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73561AA2" w14:textId="77777777" w:rsidR="00CC2233" w:rsidRPr="00A86840" w:rsidRDefault="00CC2233" w:rsidP="00700BF0">
            <w:pPr>
              <w:pStyle w:val="TableText0"/>
              <w:jc w:val="center"/>
            </w:pPr>
            <w:r w:rsidRPr="00A86840">
              <w:t>1.74</w:t>
            </w:r>
          </w:p>
        </w:tc>
        <w:tc>
          <w:tcPr>
            <w:tcW w:w="692" w:type="pct"/>
            <w:vAlign w:val="center"/>
          </w:tcPr>
          <w:p w14:paraId="4948B1DC" w14:textId="61C98872"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8E1071">
              <w:rPr>
                <w:vertAlign w:val="superscript"/>
              </w:rPr>
              <w:t>2</w:t>
            </w:r>
          </w:p>
        </w:tc>
        <w:tc>
          <w:tcPr>
            <w:tcW w:w="488" w:type="pct"/>
            <w:vAlign w:val="center"/>
          </w:tcPr>
          <w:p w14:paraId="04DC2C40" w14:textId="77777777" w:rsidR="00CC2233" w:rsidRPr="00A86840" w:rsidRDefault="00CC2233" w:rsidP="00700BF0">
            <w:pPr>
              <w:pStyle w:val="TableText0"/>
              <w:jc w:val="center"/>
              <w:rPr>
                <w:rFonts w:cs="Calibri"/>
                <w:color w:val="000000"/>
                <w:szCs w:val="20"/>
              </w:rPr>
            </w:pPr>
            <w:r w:rsidRPr="00A86840">
              <w:rPr>
                <w:rFonts w:cs="Calibri"/>
                <w:color w:val="000000"/>
                <w:szCs w:val="20"/>
              </w:rPr>
              <w:t>10%</w:t>
            </w:r>
          </w:p>
        </w:tc>
      </w:tr>
      <w:tr w:rsidR="00CC2233" w:rsidRPr="00C4404D" w14:paraId="268B38AC" w14:textId="77777777" w:rsidTr="00700BF0">
        <w:tc>
          <w:tcPr>
            <w:tcW w:w="1665" w:type="pct"/>
            <w:vMerge w:val="restart"/>
            <w:vAlign w:val="center"/>
          </w:tcPr>
          <w:p w14:paraId="755E1F4C" w14:textId="77777777" w:rsidR="00CC2233" w:rsidRPr="00A86840" w:rsidRDefault="00CC2233" w:rsidP="00700BF0">
            <w:pPr>
              <w:pStyle w:val="TableText0"/>
              <w:rPr>
                <w:color w:val="292929"/>
                <w:szCs w:val="20"/>
                <w:lang w:eastAsia="en-US"/>
              </w:rPr>
            </w:pPr>
            <w:r w:rsidRPr="00A86840">
              <w:rPr>
                <w:color w:val="292929"/>
                <w:szCs w:val="20"/>
                <w:lang w:eastAsia="en-US"/>
              </w:rPr>
              <w:t>Viral load, LEN + OBR, exponential intercept, &lt;50 copies/mL (9.25)</w:t>
            </w:r>
          </w:p>
        </w:tc>
        <w:tc>
          <w:tcPr>
            <w:tcW w:w="859" w:type="pct"/>
            <w:vAlign w:val="center"/>
          </w:tcPr>
          <w:p w14:paraId="36E391E8" w14:textId="77777777" w:rsidR="00CC2233" w:rsidRPr="00A86840" w:rsidRDefault="00CC2233" w:rsidP="00700BF0">
            <w:pPr>
              <w:pStyle w:val="TableText0"/>
              <w:rPr>
                <w:color w:val="292929"/>
                <w:szCs w:val="20"/>
                <w:lang w:eastAsia="en-US"/>
              </w:rPr>
            </w:pPr>
            <w:r w:rsidRPr="00A86840">
              <w:rPr>
                <w:color w:val="292929"/>
                <w:szCs w:val="20"/>
                <w:lang w:eastAsia="en-US"/>
              </w:rPr>
              <w:t>-69.99</w:t>
            </w:r>
          </w:p>
        </w:tc>
        <w:tc>
          <w:tcPr>
            <w:tcW w:w="658" w:type="pct"/>
            <w:vAlign w:val="center"/>
          </w:tcPr>
          <w:p w14:paraId="53614F51" w14:textId="552FDC4A"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p>
        </w:tc>
        <w:tc>
          <w:tcPr>
            <w:tcW w:w="638" w:type="pct"/>
            <w:vAlign w:val="center"/>
          </w:tcPr>
          <w:p w14:paraId="572CAEB1" w14:textId="77777777" w:rsidR="00CC2233" w:rsidRPr="00A86840" w:rsidRDefault="00CC2233" w:rsidP="00700BF0">
            <w:pPr>
              <w:pStyle w:val="TableText0"/>
              <w:jc w:val="center"/>
              <w:rPr>
                <w:color w:val="292929"/>
                <w:szCs w:val="20"/>
                <w:lang w:eastAsia="en-US"/>
              </w:rPr>
            </w:pPr>
            <w:r w:rsidRPr="00A86840">
              <w:rPr>
                <w:color w:val="292929"/>
                <w:szCs w:val="20"/>
                <w:lang w:eastAsia="en-US"/>
              </w:rPr>
              <w:t>1.95</w:t>
            </w:r>
          </w:p>
        </w:tc>
        <w:tc>
          <w:tcPr>
            <w:tcW w:w="692" w:type="pct"/>
            <w:vAlign w:val="center"/>
          </w:tcPr>
          <w:p w14:paraId="68369517" w14:textId="5B19B328"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r w:rsidR="00CC3E45">
              <w:rPr>
                <w:vertAlign w:val="superscript"/>
              </w:rPr>
              <w:t>1</w:t>
            </w:r>
          </w:p>
        </w:tc>
        <w:tc>
          <w:tcPr>
            <w:tcW w:w="488" w:type="pct"/>
            <w:vAlign w:val="center"/>
          </w:tcPr>
          <w:p w14:paraId="11027690" w14:textId="77777777" w:rsidR="00CC2233" w:rsidRPr="00A86840" w:rsidRDefault="00CC2233" w:rsidP="00700BF0">
            <w:pPr>
              <w:pStyle w:val="TableText0"/>
              <w:jc w:val="center"/>
              <w:rPr>
                <w:color w:val="292929"/>
                <w:szCs w:val="20"/>
                <w:lang w:eastAsia="en-US"/>
              </w:rPr>
            </w:pPr>
            <w:r w:rsidRPr="00A86840">
              <w:rPr>
                <w:rFonts w:cs="Calibri"/>
                <w:color w:val="000000"/>
                <w:szCs w:val="20"/>
              </w:rPr>
              <w:t>-5%</w:t>
            </w:r>
          </w:p>
        </w:tc>
      </w:tr>
      <w:tr w:rsidR="00CC2233" w:rsidRPr="00C4404D" w14:paraId="1671D5AD" w14:textId="77777777" w:rsidTr="00700BF0">
        <w:tc>
          <w:tcPr>
            <w:tcW w:w="1665" w:type="pct"/>
            <w:vMerge/>
            <w:vAlign w:val="center"/>
          </w:tcPr>
          <w:p w14:paraId="4609E777" w14:textId="77777777" w:rsidR="00CC2233" w:rsidRPr="00A86840" w:rsidRDefault="00CC2233" w:rsidP="00700BF0">
            <w:pPr>
              <w:pStyle w:val="TableText0"/>
              <w:rPr>
                <w:color w:val="292929"/>
                <w:szCs w:val="20"/>
                <w:lang w:eastAsia="en-US"/>
              </w:rPr>
            </w:pPr>
          </w:p>
        </w:tc>
        <w:tc>
          <w:tcPr>
            <w:tcW w:w="859" w:type="pct"/>
            <w:vAlign w:val="center"/>
          </w:tcPr>
          <w:p w14:paraId="050196ED" w14:textId="77777777" w:rsidR="00CC2233" w:rsidRPr="00A86840" w:rsidRDefault="00CC2233" w:rsidP="00700BF0">
            <w:pPr>
              <w:pStyle w:val="TableText0"/>
              <w:rPr>
                <w:color w:val="292929"/>
                <w:szCs w:val="20"/>
                <w:lang w:eastAsia="en-US"/>
              </w:rPr>
            </w:pPr>
            <w:r w:rsidRPr="00A86840">
              <w:rPr>
                <w:color w:val="292929"/>
                <w:szCs w:val="20"/>
                <w:lang w:eastAsia="en-US"/>
              </w:rPr>
              <w:t>88.48</w:t>
            </w:r>
          </w:p>
        </w:tc>
        <w:tc>
          <w:tcPr>
            <w:tcW w:w="658" w:type="pct"/>
            <w:vAlign w:val="center"/>
          </w:tcPr>
          <w:p w14:paraId="2907BBA5" w14:textId="0CDDA02E"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p>
        </w:tc>
        <w:tc>
          <w:tcPr>
            <w:tcW w:w="638" w:type="pct"/>
            <w:vAlign w:val="center"/>
          </w:tcPr>
          <w:p w14:paraId="28B66F9A" w14:textId="77777777" w:rsidR="00CC2233" w:rsidRPr="00A86840" w:rsidRDefault="00CC2233" w:rsidP="00700BF0">
            <w:pPr>
              <w:pStyle w:val="TableText0"/>
              <w:jc w:val="center"/>
              <w:rPr>
                <w:color w:val="292929"/>
                <w:szCs w:val="20"/>
                <w:lang w:eastAsia="en-US"/>
              </w:rPr>
            </w:pPr>
            <w:r w:rsidRPr="00A86840">
              <w:rPr>
                <w:color w:val="292929"/>
                <w:szCs w:val="20"/>
                <w:lang w:eastAsia="en-US"/>
              </w:rPr>
              <w:t>0.83</w:t>
            </w:r>
          </w:p>
        </w:tc>
        <w:tc>
          <w:tcPr>
            <w:tcW w:w="692" w:type="pct"/>
            <w:vAlign w:val="center"/>
          </w:tcPr>
          <w:p w14:paraId="79E4256F" w14:textId="5142EA8F"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r w:rsidR="00CC3E45" w:rsidRPr="008E1071">
              <w:rPr>
                <w:color w:val="292929"/>
                <w:szCs w:val="20"/>
                <w:vertAlign w:val="superscript"/>
                <w:lang w:eastAsia="en-US"/>
              </w:rPr>
              <w:t>6</w:t>
            </w:r>
          </w:p>
        </w:tc>
        <w:tc>
          <w:tcPr>
            <w:tcW w:w="488" w:type="pct"/>
            <w:vAlign w:val="center"/>
          </w:tcPr>
          <w:p w14:paraId="407CFFE5" w14:textId="77777777" w:rsidR="00CC2233" w:rsidRPr="00A86840" w:rsidRDefault="00CC2233" w:rsidP="00700BF0">
            <w:pPr>
              <w:pStyle w:val="TableText0"/>
              <w:jc w:val="center"/>
              <w:rPr>
                <w:color w:val="292929"/>
                <w:szCs w:val="20"/>
                <w:lang w:eastAsia="en-US"/>
              </w:rPr>
            </w:pPr>
            <w:r w:rsidRPr="00A86840">
              <w:rPr>
                <w:rFonts w:cs="Calibri"/>
                <w:color w:val="000000"/>
                <w:szCs w:val="20"/>
              </w:rPr>
              <w:t>165%</w:t>
            </w:r>
          </w:p>
        </w:tc>
      </w:tr>
      <w:tr w:rsidR="00CC2233" w:rsidRPr="00C4404D" w14:paraId="04197239" w14:textId="77777777" w:rsidTr="00700BF0">
        <w:tc>
          <w:tcPr>
            <w:tcW w:w="1665" w:type="pct"/>
            <w:vMerge w:val="restart"/>
            <w:vAlign w:val="center"/>
          </w:tcPr>
          <w:p w14:paraId="281F0D63" w14:textId="77777777" w:rsidR="00CC2233" w:rsidRPr="00A86840" w:rsidRDefault="00CC2233" w:rsidP="00700BF0">
            <w:pPr>
              <w:pStyle w:val="TableText0"/>
              <w:rPr>
                <w:color w:val="292929"/>
                <w:szCs w:val="20"/>
                <w:lang w:eastAsia="en-US"/>
              </w:rPr>
            </w:pPr>
            <w:r w:rsidRPr="00A86840">
              <w:rPr>
                <w:color w:val="292929"/>
                <w:szCs w:val="20"/>
                <w:lang w:eastAsia="en-US"/>
              </w:rPr>
              <w:t>Viral load, LEN + OBR, exponential intercept, &lt;200 copies/mL (25.33)</w:t>
            </w:r>
          </w:p>
        </w:tc>
        <w:tc>
          <w:tcPr>
            <w:tcW w:w="859" w:type="pct"/>
            <w:vAlign w:val="center"/>
          </w:tcPr>
          <w:p w14:paraId="4A516A01" w14:textId="77777777" w:rsidR="00CC2233" w:rsidRPr="00A86840" w:rsidRDefault="00CC2233" w:rsidP="00700BF0">
            <w:pPr>
              <w:pStyle w:val="TableText0"/>
              <w:rPr>
                <w:color w:val="292929"/>
                <w:szCs w:val="20"/>
                <w:lang w:eastAsia="en-US"/>
              </w:rPr>
            </w:pPr>
            <w:r w:rsidRPr="00A86840">
              <w:rPr>
                <w:color w:val="292929"/>
                <w:szCs w:val="20"/>
                <w:lang w:eastAsia="en-US"/>
              </w:rPr>
              <w:t>-41.52</w:t>
            </w:r>
          </w:p>
        </w:tc>
        <w:tc>
          <w:tcPr>
            <w:tcW w:w="658" w:type="pct"/>
            <w:vAlign w:val="center"/>
          </w:tcPr>
          <w:p w14:paraId="305C7671" w14:textId="1CE31C3B"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p>
        </w:tc>
        <w:tc>
          <w:tcPr>
            <w:tcW w:w="638" w:type="pct"/>
            <w:vAlign w:val="center"/>
          </w:tcPr>
          <w:p w14:paraId="66388ADD" w14:textId="77777777" w:rsidR="00CC2233" w:rsidRPr="00A86840" w:rsidRDefault="00CC2233" w:rsidP="00700BF0">
            <w:pPr>
              <w:pStyle w:val="TableText0"/>
              <w:jc w:val="center"/>
              <w:rPr>
                <w:color w:val="292929"/>
                <w:szCs w:val="20"/>
                <w:lang w:eastAsia="en-US"/>
              </w:rPr>
            </w:pPr>
            <w:r w:rsidRPr="00A86840">
              <w:rPr>
                <w:color w:val="292929"/>
                <w:szCs w:val="20"/>
                <w:lang w:eastAsia="en-US"/>
              </w:rPr>
              <w:t>2.28</w:t>
            </w:r>
          </w:p>
        </w:tc>
        <w:tc>
          <w:tcPr>
            <w:tcW w:w="692" w:type="pct"/>
            <w:vAlign w:val="center"/>
          </w:tcPr>
          <w:p w14:paraId="22343ADF" w14:textId="7DA22005"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r w:rsidR="00CC3E45">
              <w:rPr>
                <w:vertAlign w:val="superscript"/>
              </w:rPr>
              <w:t>1</w:t>
            </w:r>
          </w:p>
        </w:tc>
        <w:tc>
          <w:tcPr>
            <w:tcW w:w="488" w:type="pct"/>
            <w:vAlign w:val="center"/>
          </w:tcPr>
          <w:p w14:paraId="48C336C8" w14:textId="77777777" w:rsidR="00CC2233" w:rsidRPr="00A86840" w:rsidRDefault="00CC2233" w:rsidP="00700BF0">
            <w:pPr>
              <w:pStyle w:val="TableText0"/>
              <w:jc w:val="center"/>
              <w:rPr>
                <w:color w:val="292929"/>
                <w:szCs w:val="20"/>
                <w:lang w:eastAsia="en-US"/>
              </w:rPr>
            </w:pPr>
            <w:r w:rsidRPr="00A86840">
              <w:rPr>
                <w:rFonts w:cs="Calibri"/>
                <w:color w:val="000000"/>
                <w:szCs w:val="20"/>
              </w:rPr>
              <w:t>-11%</w:t>
            </w:r>
          </w:p>
        </w:tc>
      </w:tr>
      <w:tr w:rsidR="00CC2233" w:rsidRPr="00C4404D" w14:paraId="5EA6220E" w14:textId="77777777" w:rsidTr="00700BF0">
        <w:tc>
          <w:tcPr>
            <w:tcW w:w="1665" w:type="pct"/>
            <w:vMerge/>
            <w:vAlign w:val="center"/>
          </w:tcPr>
          <w:p w14:paraId="5F3FA6D5" w14:textId="77777777" w:rsidR="00CC2233" w:rsidRPr="00A86840" w:rsidRDefault="00CC2233" w:rsidP="00700BF0">
            <w:pPr>
              <w:pStyle w:val="TableText0"/>
              <w:rPr>
                <w:color w:val="292929"/>
                <w:szCs w:val="20"/>
                <w:lang w:eastAsia="en-US"/>
              </w:rPr>
            </w:pPr>
          </w:p>
        </w:tc>
        <w:tc>
          <w:tcPr>
            <w:tcW w:w="859" w:type="pct"/>
            <w:vAlign w:val="center"/>
          </w:tcPr>
          <w:p w14:paraId="27F02713" w14:textId="77777777" w:rsidR="00CC2233" w:rsidRPr="00A86840" w:rsidRDefault="00CC2233" w:rsidP="00700BF0">
            <w:pPr>
              <w:pStyle w:val="TableText0"/>
              <w:rPr>
                <w:color w:val="292929"/>
                <w:szCs w:val="20"/>
                <w:lang w:eastAsia="en-US"/>
              </w:rPr>
            </w:pPr>
            <w:r w:rsidRPr="00A86840">
              <w:rPr>
                <w:color w:val="292929"/>
                <w:szCs w:val="20"/>
                <w:lang w:eastAsia="en-US"/>
              </w:rPr>
              <w:t>92.17</w:t>
            </w:r>
          </w:p>
        </w:tc>
        <w:tc>
          <w:tcPr>
            <w:tcW w:w="658" w:type="pct"/>
            <w:vAlign w:val="center"/>
          </w:tcPr>
          <w:p w14:paraId="4317DABF" w14:textId="48B50576"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p>
        </w:tc>
        <w:tc>
          <w:tcPr>
            <w:tcW w:w="638" w:type="pct"/>
            <w:vAlign w:val="center"/>
          </w:tcPr>
          <w:p w14:paraId="052F98DF" w14:textId="77777777" w:rsidR="00CC2233" w:rsidRPr="00A86840" w:rsidRDefault="00CC2233" w:rsidP="00700BF0">
            <w:pPr>
              <w:pStyle w:val="TableText0"/>
              <w:jc w:val="center"/>
              <w:rPr>
                <w:color w:val="292929"/>
                <w:szCs w:val="20"/>
                <w:lang w:eastAsia="en-US"/>
              </w:rPr>
            </w:pPr>
            <w:r w:rsidRPr="00A86840">
              <w:rPr>
                <w:color w:val="292929"/>
                <w:szCs w:val="20"/>
                <w:lang w:eastAsia="en-US"/>
              </w:rPr>
              <w:t>0.81</w:t>
            </w:r>
          </w:p>
        </w:tc>
        <w:tc>
          <w:tcPr>
            <w:tcW w:w="692" w:type="pct"/>
            <w:vAlign w:val="center"/>
          </w:tcPr>
          <w:p w14:paraId="0E08616E" w14:textId="3E29AF3D" w:rsidR="00CC2233" w:rsidRPr="008E1071" w:rsidRDefault="001328F0" w:rsidP="00700BF0">
            <w:pPr>
              <w:pStyle w:val="TableText0"/>
              <w:jc w:val="center"/>
              <w:rPr>
                <w:color w:val="292929"/>
                <w:szCs w:val="20"/>
                <w:highlight w:val="darkGray"/>
                <w:lang w:eastAsia="en-US"/>
              </w:rPr>
            </w:pPr>
            <w:r w:rsidRPr="001328F0">
              <w:rPr>
                <w:color w:val="292929"/>
                <w:szCs w:val="20"/>
                <w:shd w:val="solid" w:color="000000" w:fill="000000"/>
                <w:lang w:eastAsia="en-US"/>
                <w14:textFill>
                  <w14:solidFill>
                    <w14:srgbClr w14:val="292929">
                      <w14:alpha w14:val="100000"/>
                    </w14:srgbClr>
                  </w14:solidFill>
                </w14:textFill>
              </w:rPr>
              <w:t>|</w:t>
            </w:r>
            <w:r w:rsidR="000E333A" w:rsidRPr="000E333A">
              <w:rPr>
                <w:color w:val="292929"/>
                <w:szCs w:val="20"/>
                <w:lang w:eastAsia="en-US"/>
              </w:rPr>
              <w:t xml:space="preserve"> </w:t>
            </w:r>
            <w:r w:rsidR="00CC3E45" w:rsidRPr="0045628D">
              <w:rPr>
                <w:vertAlign w:val="superscript"/>
              </w:rPr>
              <w:t>5</w:t>
            </w:r>
          </w:p>
        </w:tc>
        <w:tc>
          <w:tcPr>
            <w:tcW w:w="488" w:type="pct"/>
            <w:vAlign w:val="center"/>
          </w:tcPr>
          <w:p w14:paraId="728E7833" w14:textId="77777777" w:rsidR="00CC2233" w:rsidRPr="00A86840" w:rsidRDefault="00CC2233" w:rsidP="00700BF0">
            <w:pPr>
              <w:pStyle w:val="TableText0"/>
              <w:jc w:val="center"/>
              <w:rPr>
                <w:color w:val="292929"/>
                <w:szCs w:val="20"/>
                <w:lang w:eastAsia="en-US"/>
              </w:rPr>
            </w:pPr>
            <w:r w:rsidRPr="00A86840">
              <w:rPr>
                <w:rFonts w:cs="Calibri"/>
                <w:color w:val="000000"/>
                <w:szCs w:val="20"/>
              </w:rPr>
              <w:t>155%</w:t>
            </w:r>
          </w:p>
        </w:tc>
      </w:tr>
      <w:tr w:rsidR="00CC2233" w:rsidRPr="00C4404D" w14:paraId="5765757A" w14:textId="77777777" w:rsidTr="00700BF0">
        <w:tc>
          <w:tcPr>
            <w:tcW w:w="1665" w:type="pct"/>
            <w:vAlign w:val="center"/>
          </w:tcPr>
          <w:p w14:paraId="267551B9" w14:textId="2C62240D" w:rsidR="00CC2233" w:rsidRPr="00A86840" w:rsidRDefault="00CC2233" w:rsidP="00700BF0">
            <w:pPr>
              <w:pStyle w:val="TableText0"/>
            </w:pPr>
            <w:r w:rsidRPr="00A86840">
              <w:t>Loading phase (simplified - 4 pill</w:t>
            </w:r>
            <w:r w:rsidR="006D53EF" w:rsidRPr="00A86840">
              <w:t>s</w:t>
            </w:r>
            <w:r w:rsidRPr="00A86840">
              <w:t>)</w:t>
            </w:r>
          </w:p>
        </w:tc>
        <w:tc>
          <w:tcPr>
            <w:tcW w:w="859" w:type="pct"/>
            <w:vAlign w:val="center"/>
          </w:tcPr>
          <w:p w14:paraId="7DCCE97D" w14:textId="5A5C9394" w:rsidR="00CC2233" w:rsidRPr="008103BF" w:rsidRDefault="00CC2233" w:rsidP="00700BF0">
            <w:pPr>
              <w:pStyle w:val="TableText0"/>
              <w:rPr>
                <w:vertAlign w:val="superscript"/>
              </w:rPr>
            </w:pPr>
            <w:r w:rsidRPr="00A86840">
              <w:t>Trial based – 5 pill</w:t>
            </w:r>
            <w:r w:rsidR="006D53EF" w:rsidRPr="00A86840">
              <w:t>s</w:t>
            </w:r>
            <w:r w:rsidR="007C7B07">
              <w:rPr>
                <w:vertAlign w:val="superscript"/>
              </w:rPr>
              <w:t>a</w:t>
            </w:r>
          </w:p>
        </w:tc>
        <w:tc>
          <w:tcPr>
            <w:tcW w:w="658" w:type="pct"/>
            <w:vAlign w:val="center"/>
          </w:tcPr>
          <w:p w14:paraId="392664F6" w14:textId="6D54F506"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38" w:type="pct"/>
            <w:vAlign w:val="center"/>
          </w:tcPr>
          <w:p w14:paraId="10FBF149" w14:textId="77777777" w:rsidR="00CC2233" w:rsidRPr="00A86840" w:rsidRDefault="00CC2233" w:rsidP="00700BF0">
            <w:pPr>
              <w:pStyle w:val="TableText0"/>
              <w:jc w:val="center"/>
            </w:pPr>
            <w:r w:rsidRPr="00A86840">
              <w:t>1.97</w:t>
            </w:r>
          </w:p>
        </w:tc>
        <w:tc>
          <w:tcPr>
            <w:tcW w:w="692" w:type="pct"/>
            <w:vAlign w:val="center"/>
          </w:tcPr>
          <w:p w14:paraId="2C642EAD" w14:textId="4E1D5EA6" w:rsidR="00CC2233" w:rsidRPr="008E1071" w:rsidRDefault="001328F0" w:rsidP="00700BF0">
            <w:pPr>
              <w:pStyle w:val="TableText0"/>
              <w:jc w:val="center"/>
              <w:rPr>
                <w:highlight w:val="darkGray"/>
              </w:rPr>
            </w:pPr>
            <w:r w:rsidRPr="001328F0">
              <w:rPr>
                <w:color w:val="000000"/>
                <w:shd w:val="solid" w:color="000000" w:fill="000000"/>
                <w14:textFill>
                  <w14:solidFill>
                    <w14:srgbClr w14:val="000000">
                      <w14:alpha w14:val="100000"/>
                    </w14:srgbClr>
                  </w14:solidFill>
                </w14:textFill>
              </w:rPr>
              <w:t>|</w:t>
            </w:r>
            <w:r w:rsidR="000E333A" w:rsidRPr="000E333A">
              <w:t xml:space="preserve"> </w:t>
            </w:r>
            <w:r w:rsidR="00CC3E45" w:rsidRPr="0045628D">
              <w:rPr>
                <w:vertAlign w:val="superscript"/>
              </w:rPr>
              <w:t>2</w:t>
            </w:r>
          </w:p>
        </w:tc>
        <w:tc>
          <w:tcPr>
            <w:tcW w:w="488" w:type="pct"/>
            <w:vAlign w:val="center"/>
          </w:tcPr>
          <w:p w14:paraId="1A5F5C52" w14:textId="77777777" w:rsidR="00CC2233" w:rsidRPr="00A86840" w:rsidRDefault="00CC2233" w:rsidP="00700BF0">
            <w:pPr>
              <w:pStyle w:val="TableText0"/>
              <w:jc w:val="center"/>
            </w:pPr>
            <w:r w:rsidRPr="00A86840">
              <w:rPr>
                <w:rFonts w:cs="Calibri"/>
                <w:color w:val="000000"/>
                <w:szCs w:val="20"/>
              </w:rPr>
              <w:t>2%</w:t>
            </w:r>
          </w:p>
        </w:tc>
      </w:tr>
    </w:tbl>
    <w:p w14:paraId="12BE6AA8" w14:textId="4B4FE922" w:rsidR="0026366E" w:rsidRDefault="00CC2233" w:rsidP="00CC2233">
      <w:pPr>
        <w:pStyle w:val="FooterTableFigure"/>
      </w:pPr>
      <w:r w:rsidRPr="00C4404D">
        <w:t xml:space="preserve">Source: </w:t>
      </w:r>
      <w:r w:rsidR="0026366E" w:rsidRPr="00C4404D">
        <w:t>LEN CEM – Final 6July22.xlsm</w:t>
      </w:r>
      <w:r w:rsidRPr="00C4404D">
        <w:t xml:space="preserve">. </w:t>
      </w:r>
    </w:p>
    <w:p w14:paraId="6A58B24B" w14:textId="21A7B5D8" w:rsidR="00CC2233" w:rsidRPr="00C4404D" w:rsidRDefault="00CC2233" w:rsidP="00CC2233">
      <w:pPr>
        <w:pStyle w:val="FooterTableFigure"/>
      </w:pPr>
      <w:r w:rsidRPr="00C4404D">
        <w:t>ARE = AIDS related event; ICER = incremental cost-effectiveness ratio; LEN = lenacapavir; mL = millilitre OBR = optimised QALY = Quality-adjusted life year; background regimen; RR = relative risk; TRAE = treatment related adverse event</w:t>
      </w:r>
    </w:p>
    <w:p w14:paraId="67BCD371" w14:textId="4458C5AD" w:rsidR="00CC2233" w:rsidRDefault="00474743" w:rsidP="00CC2233">
      <w:pPr>
        <w:pStyle w:val="FooterTableFigure"/>
      </w:pPr>
      <w:r>
        <w:t>a</w:t>
      </w:r>
      <w:r w:rsidR="00CC2233" w:rsidRPr="00C4404D">
        <w:t xml:space="preserve"> </w:t>
      </w:r>
      <w:r w:rsidR="007C7B07">
        <w:t>C</w:t>
      </w:r>
      <w:r w:rsidR="00CC2233" w:rsidRPr="00C4404D">
        <w:t>alculated during</w:t>
      </w:r>
      <w:r>
        <w:t xml:space="preserve"> the</w:t>
      </w:r>
      <w:r w:rsidR="00CC2233" w:rsidRPr="00C4404D">
        <w:t xml:space="preserve"> evaluation</w:t>
      </w:r>
    </w:p>
    <w:p w14:paraId="4ADBDB1A" w14:textId="74DA0EC5" w:rsidR="0065791C" w:rsidRPr="008103BF" w:rsidRDefault="0065791C" w:rsidP="0065791C">
      <w:pPr>
        <w:pStyle w:val="FooterTableFigure"/>
      </w:pPr>
      <w:r w:rsidRPr="008103BF">
        <w:t>a</w:t>
      </w:r>
      <w:r w:rsidRPr="007C7B07">
        <w:t xml:space="preserve"> Based on Simpson (2004): &lt;</w:t>
      </w:r>
      <w:r w:rsidR="00722B07">
        <w:t xml:space="preserve"> </w:t>
      </w:r>
      <w:r w:rsidRPr="007C7B07">
        <w:t>50: 0.781; 101-200: 0.853; 201-500: 0.932; &gt;</w:t>
      </w:r>
      <w:r w:rsidR="00722B07">
        <w:t xml:space="preserve"> </w:t>
      </w:r>
      <w:r w:rsidRPr="007C7B07">
        <w:t>500: 0.946</w:t>
      </w:r>
    </w:p>
    <w:p w14:paraId="0C24EA47" w14:textId="08021766" w:rsidR="0065791C" w:rsidRDefault="0065791C" w:rsidP="0065791C">
      <w:pPr>
        <w:pStyle w:val="FooterTableFigure"/>
      </w:pPr>
      <w:r w:rsidRPr="008103BF">
        <w:t>b</w:t>
      </w:r>
      <w:r>
        <w:rPr>
          <w:vertAlign w:val="superscript"/>
        </w:rPr>
        <w:t xml:space="preserve"> </w:t>
      </w:r>
      <w:r w:rsidRPr="0065791C">
        <w:t>Based on Tremblay (2018): &lt; 50: 0.822; 51-200: 0.852; 201-500: 0.8925; &gt;</w:t>
      </w:r>
      <w:r w:rsidR="00722B07">
        <w:t xml:space="preserve"> </w:t>
      </w:r>
      <w:r w:rsidRPr="0065791C">
        <w:t>500 0.896</w:t>
      </w:r>
    </w:p>
    <w:p w14:paraId="53485C7A" w14:textId="6BB1D72A" w:rsidR="005463E6" w:rsidRPr="000C242D" w:rsidRDefault="005463E6" w:rsidP="0065791C">
      <w:pPr>
        <w:pStyle w:val="FooterTableFigure"/>
        <w:rPr>
          <w:szCs w:val="18"/>
        </w:rPr>
      </w:pPr>
    </w:p>
    <w:p w14:paraId="2A039EB9" w14:textId="77777777" w:rsidR="005463E6" w:rsidRPr="008E1071" w:rsidRDefault="005463E6" w:rsidP="005463E6">
      <w:pPr>
        <w:pStyle w:val="FooterTableFigure"/>
        <w:rPr>
          <w:i/>
          <w:iCs/>
          <w:szCs w:val="18"/>
        </w:rPr>
      </w:pPr>
      <w:r w:rsidRPr="008E1071">
        <w:rPr>
          <w:i/>
          <w:iCs/>
          <w:szCs w:val="18"/>
        </w:rPr>
        <w:t xml:space="preserve">The redacted values correspond to the following ranges: </w:t>
      </w:r>
    </w:p>
    <w:p w14:paraId="67ECE87C" w14:textId="77777777" w:rsidR="005463E6" w:rsidRPr="008E1071" w:rsidRDefault="005463E6" w:rsidP="005463E6">
      <w:pPr>
        <w:pStyle w:val="FooterTableFigure"/>
        <w:rPr>
          <w:i/>
          <w:iCs/>
          <w:szCs w:val="18"/>
        </w:rPr>
      </w:pPr>
      <w:r w:rsidRPr="008E1071">
        <w:rPr>
          <w:i/>
          <w:iCs/>
          <w:szCs w:val="18"/>
          <w:vertAlign w:val="superscript"/>
        </w:rPr>
        <w:t xml:space="preserve">1 </w:t>
      </w:r>
      <w:r w:rsidRPr="008E1071">
        <w:rPr>
          <w:i/>
          <w:iCs/>
          <w:szCs w:val="18"/>
        </w:rPr>
        <w:t>$75,000 to &lt; $95,000</w:t>
      </w:r>
    </w:p>
    <w:p w14:paraId="453587E0" w14:textId="77777777" w:rsidR="00CC3E45" w:rsidRPr="008E1071" w:rsidRDefault="005463E6" w:rsidP="00CC3E45">
      <w:pPr>
        <w:pStyle w:val="FooterTableFigure"/>
        <w:rPr>
          <w:i/>
          <w:iCs/>
          <w:szCs w:val="18"/>
        </w:rPr>
      </w:pPr>
      <w:r w:rsidRPr="008E1071">
        <w:rPr>
          <w:i/>
          <w:iCs/>
          <w:szCs w:val="18"/>
          <w:vertAlign w:val="superscript"/>
        </w:rPr>
        <w:t xml:space="preserve">2 </w:t>
      </w:r>
      <w:r w:rsidRPr="008E1071">
        <w:rPr>
          <w:i/>
          <w:iCs/>
          <w:szCs w:val="18"/>
        </w:rPr>
        <w:t>$95,000 to &lt; $115,000</w:t>
      </w:r>
    </w:p>
    <w:p w14:paraId="6F1DD603" w14:textId="77777777" w:rsidR="00CC3E45" w:rsidRPr="008E1071" w:rsidRDefault="00CC3E45" w:rsidP="00CC3E45">
      <w:pPr>
        <w:pStyle w:val="FooterTableFigure"/>
        <w:rPr>
          <w:i/>
          <w:iCs/>
          <w:szCs w:val="18"/>
        </w:rPr>
      </w:pPr>
      <w:r w:rsidRPr="008E1071">
        <w:rPr>
          <w:i/>
          <w:iCs/>
          <w:szCs w:val="18"/>
          <w:vertAlign w:val="superscript"/>
        </w:rPr>
        <w:t xml:space="preserve">3 </w:t>
      </w:r>
      <w:r w:rsidRPr="008E1071">
        <w:rPr>
          <w:i/>
          <w:iCs/>
          <w:szCs w:val="18"/>
        </w:rPr>
        <w:t>$55,000 to &lt; $75,000</w:t>
      </w:r>
    </w:p>
    <w:p w14:paraId="44B1ECEE" w14:textId="797FC9D2" w:rsidR="00CC3E45" w:rsidRPr="008E1071" w:rsidRDefault="00CC3E45" w:rsidP="00CC3E45">
      <w:pPr>
        <w:pStyle w:val="FooterTableFigure"/>
        <w:rPr>
          <w:i/>
          <w:iCs/>
          <w:szCs w:val="18"/>
        </w:rPr>
      </w:pPr>
      <w:r w:rsidRPr="008E1071">
        <w:rPr>
          <w:i/>
          <w:iCs/>
          <w:szCs w:val="18"/>
          <w:vertAlign w:val="superscript"/>
        </w:rPr>
        <w:t xml:space="preserve">4 </w:t>
      </w:r>
      <w:r w:rsidRPr="008E1071">
        <w:rPr>
          <w:i/>
          <w:iCs/>
          <w:szCs w:val="18"/>
        </w:rPr>
        <w:t>$115,000 to &lt; $135,000</w:t>
      </w:r>
    </w:p>
    <w:p w14:paraId="51141710" w14:textId="20FE39DF" w:rsidR="00CC3E45" w:rsidRPr="008E1071" w:rsidRDefault="00CC3E45" w:rsidP="00CC3E45">
      <w:pPr>
        <w:pStyle w:val="FooterTableFigure"/>
        <w:rPr>
          <w:i/>
          <w:iCs/>
          <w:szCs w:val="18"/>
        </w:rPr>
      </w:pPr>
      <w:r w:rsidRPr="008E1071">
        <w:rPr>
          <w:i/>
          <w:iCs/>
          <w:szCs w:val="18"/>
          <w:vertAlign w:val="superscript"/>
        </w:rPr>
        <w:t xml:space="preserve">5 </w:t>
      </w:r>
      <w:r w:rsidRPr="008E1071">
        <w:rPr>
          <w:i/>
          <w:iCs/>
          <w:szCs w:val="18"/>
        </w:rPr>
        <w:t>$255,000 to &lt; $355,000</w:t>
      </w:r>
    </w:p>
    <w:p w14:paraId="4A9AFCA4" w14:textId="15C4CD74" w:rsidR="00CC3E45" w:rsidRPr="0045628D" w:rsidRDefault="00CC3E45" w:rsidP="005463E6">
      <w:pPr>
        <w:pStyle w:val="FooterTableFigure"/>
        <w:rPr>
          <w:i/>
          <w:iCs/>
          <w:sz w:val="20"/>
          <w:vertAlign w:val="superscript"/>
        </w:rPr>
      </w:pPr>
      <w:r w:rsidRPr="008E1071">
        <w:rPr>
          <w:i/>
          <w:iCs/>
          <w:szCs w:val="18"/>
          <w:vertAlign w:val="superscript"/>
        </w:rPr>
        <w:t xml:space="preserve">6 </w:t>
      </w:r>
      <w:r w:rsidRPr="008E1071">
        <w:rPr>
          <w:i/>
          <w:iCs/>
          <w:szCs w:val="18"/>
        </w:rPr>
        <w:t>$155,000 to &lt; $255,000</w:t>
      </w:r>
    </w:p>
    <w:p w14:paraId="52087AFA" w14:textId="29C80862" w:rsidR="00CC2233" w:rsidRPr="007F3195" w:rsidRDefault="00CC2233" w:rsidP="00CC2233">
      <w:pPr>
        <w:pStyle w:val="3-BodyText"/>
      </w:pPr>
      <w:r w:rsidRPr="007F3195">
        <w:t>The economic model was most sensitive to the assumed treatment effect of lenacapavir. Changing the RR applied in the base case (based on the submission’s comparison against OBR + placebo) to a RR based on the evaluation comparison with OBR that included more recent medicines (raltegravir and maraviroc</w:t>
      </w:r>
      <w:r w:rsidR="00822F80" w:rsidRPr="007F3195">
        <w:t xml:space="preserve"> – see </w:t>
      </w:r>
      <w:r w:rsidR="00822F80" w:rsidRPr="007F3195">
        <w:fldChar w:fldCharType="begin"/>
      </w:r>
      <w:r w:rsidR="00822F80" w:rsidRPr="007F3195">
        <w:instrText xml:space="preserve"> REF </w:instrText>
      </w:r>
      <w:r w:rsidR="00822F80" w:rsidRPr="007F3195">
        <w:lastRenderedPageBreak/>
        <w:instrText xml:space="preserve">_Ref112946763 \h  \* MERGEFORMAT </w:instrText>
      </w:r>
      <w:r w:rsidR="00822F80" w:rsidRPr="007F3195">
        <w:fldChar w:fldCharType="separate"/>
      </w:r>
      <w:r w:rsidR="0050086F" w:rsidRPr="0050086F">
        <w:t>Table 7</w:t>
      </w:r>
      <w:r w:rsidR="00822F80" w:rsidRPr="007F3195">
        <w:fldChar w:fldCharType="end"/>
      </w:r>
      <w:r w:rsidRPr="007F3195">
        <w:t xml:space="preserve">) led to an increase in the ICER of 186% to </w:t>
      </w:r>
      <w:r w:rsidR="00172507">
        <w:t>$</w:t>
      </w:r>
      <w:r w:rsidR="00172507" w:rsidRPr="00172507">
        <w:t>255,000 to &lt; $355,000</w:t>
      </w:r>
      <w:r w:rsidRPr="007F3195">
        <w:t xml:space="preserve">. Notably, the alternative relative risks estimated during evaluation remain highly uncertain and estimating long term clinical effect with no reliable estimates of clinical benefit </w:t>
      </w:r>
      <w:r w:rsidR="0060294C" w:rsidRPr="007F3195">
        <w:t xml:space="preserve">complicates </w:t>
      </w:r>
      <w:r w:rsidRPr="007F3195">
        <w:t>any attempt to estimate cost-effectiveness. Further, as the inclusion of fostemsavir and ibalizumab in the efficacy estimate of CAPELLA could not be adjusted for during the evaluation,</w:t>
      </w:r>
      <w:r w:rsidR="00962604">
        <w:t xml:space="preserve"> </w:t>
      </w:r>
      <w:r w:rsidRPr="007F3195">
        <w:t xml:space="preserve">it </w:t>
      </w:r>
      <w:r w:rsidRPr="00E52AC5">
        <w:t xml:space="preserve">was </w:t>
      </w:r>
      <w:r w:rsidR="00AB40C3" w:rsidRPr="00E52AC5">
        <w:t>uncertain if</w:t>
      </w:r>
      <w:r w:rsidRPr="007F3195">
        <w:t xml:space="preserve"> the incremental benefit of lenacapavir may be even lower and the ICER was even higher than what was estimated during the evaluation.</w:t>
      </w:r>
    </w:p>
    <w:p w14:paraId="2A62BC5D" w14:textId="4628A3E5" w:rsidR="00CC2233" w:rsidRPr="007F3195" w:rsidRDefault="00CC2233" w:rsidP="00CC2233">
      <w:pPr>
        <w:pStyle w:val="3-BodyText"/>
      </w:pPr>
      <w:r w:rsidRPr="007F3195">
        <w:t>As previously noted, the model only included exponential extrapolations for the proportion of patients achieving viral load &lt;</w:t>
      </w:r>
      <w:r w:rsidR="00962604">
        <w:t xml:space="preserve"> </w:t>
      </w:r>
      <w:r w:rsidRPr="007F3195">
        <w:t>50 and &lt;</w:t>
      </w:r>
      <w:r w:rsidR="00962604">
        <w:t xml:space="preserve"> </w:t>
      </w:r>
      <w:r w:rsidRPr="007F3195">
        <w:t>200 copies/mL over a life</w:t>
      </w:r>
      <w:r w:rsidR="00352EC5" w:rsidRPr="007F3195">
        <w:t>-time</w:t>
      </w:r>
      <w:r w:rsidRPr="007F3195">
        <w:t xml:space="preserve"> time horizon, and alternate extrapolation curves could not be tested. However, the model allowed for changing the intercepts and the coefficients of the extrapolated curves (viral </w:t>
      </w:r>
      <w:r w:rsidR="00AD0204" w:rsidRPr="007F3195">
        <w:t xml:space="preserve">load </w:t>
      </w:r>
      <w:r w:rsidRPr="007F3195">
        <w:t xml:space="preserve">suppression at &lt; 50 copies/ mL and viral </w:t>
      </w:r>
      <w:r w:rsidR="00AD0204" w:rsidRPr="007F3195">
        <w:t xml:space="preserve">load </w:t>
      </w:r>
      <w:r w:rsidRPr="007F3195">
        <w:t>suppression at &lt;</w:t>
      </w:r>
      <w:r w:rsidR="006A0B99" w:rsidRPr="007F3195">
        <w:t xml:space="preserve"> </w:t>
      </w:r>
      <w:r w:rsidRPr="007F3195">
        <w:t xml:space="preserve">200 copies/mL). Changing the intercepts to the upper bounds of 95% confidence intervals estimated in the model, led to extreme increases in the ICER. However, using the lower bounds of these estimates only moderately lowered the ICER, suggesting that the specification of the extrapolation curves may have favoured lenacapavir + OBR and that the parameters of the exponential function in the base case were among the more optimistic values. </w:t>
      </w:r>
    </w:p>
    <w:p w14:paraId="28E0F2B6" w14:textId="6E2ACA70" w:rsidR="00CC2233" w:rsidRPr="007F3195" w:rsidRDefault="00CC2233" w:rsidP="00CC2233">
      <w:pPr>
        <w:pStyle w:val="3-BodyText"/>
      </w:pPr>
      <w:r w:rsidRPr="007F3195">
        <w:t xml:space="preserve">The submission did not explain or justify its modification of </w:t>
      </w:r>
      <w:r w:rsidR="006A0B99" w:rsidRPr="007F3195">
        <w:t xml:space="preserve">the </w:t>
      </w:r>
      <w:r w:rsidRPr="007F3195">
        <w:t>CAPELLA-based viral</w:t>
      </w:r>
      <w:r w:rsidR="00AD0204" w:rsidRPr="007F3195">
        <w:t xml:space="preserve"> load</w:t>
      </w:r>
      <w:r w:rsidRPr="007F3195">
        <w:t xml:space="preserve"> suppression estimates. </w:t>
      </w:r>
      <w:r w:rsidR="006A0B99" w:rsidRPr="007F3195">
        <w:t>R</w:t>
      </w:r>
      <w:r w:rsidRPr="007F3195">
        <w:t>everting to CAPELLA trial</w:t>
      </w:r>
      <w:r w:rsidR="00FE7B05" w:rsidRPr="007F3195">
        <w:t>-</w:t>
      </w:r>
      <w:r w:rsidRPr="007F3195">
        <w:t>based estimates increased the ICER by 47</w:t>
      </w:r>
      <w:r w:rsidRPr="00E52AC5">
        <w:t>%</w:t>
      </w:r>
      <w:r w:rsidR="00D52573" w:rsidRPr="00E52AC5">
        <w:t xml:space="preserve"> (also discussed in paragraph</w:t>
      </w:r>
      <w:r w:rsidR="00991092">
        <w:t xml:space="preserve"> </w:t>
      </w:r>
      <w:r w:rsidR="00991092">
        <w:fldChar w:fldCharType="begin"/>
      </w:r>
      <w:r w:rsidR="00991092">
        <w:instrText xml:space="preserve"> REF _Ref113808375 \r \h </w:instrText>
      </w:r>
      <w:r w:rsidR="00991092">
        <w:fldChar w:fldCharType="separate"/>
      </w:r>
      <w:r w:rsidR="0050086F">
        <w:t>6.73</w:t>
      </w:r>
      <w:r w:rsidR="00991092">
        <w:fldChar w:fldCharType="end"/>
      </w:r>
      <w:r w:rsidR="00991092">
        <w:t>-</w:t>
      </w:r>
      <w:r w:rsidR="00991092">
        <w:fldChar w:fldCharType="begin"/>
      </w:r>
      <w:r w:rsidR="00991092">
        <w:instrText xml:space="preserve"> REF _Ref120532706 \r \h </w:instrText>
      </w:r>
      <w:r w:rsidR="00991092">
        <w:fldChar w:fldCharType="separate"/>
      </w:r>
      <w:r w:rsidR="0050086F">
        <w:t>6.74</w:t>
      </w:r>
      <w:r w:rsidR="00991092">
        <w:fldChar w:fldCharType="end"/>
      </w:r>
      <w:r w:rsidR="00E8326F" w:rsidRPr="00E52AC5">
        <w:t>)</w:t>
      </w:r>
      <w:r w:rsidR="004F0034">
        <w:rPr>
          <w:rStyle w:val="FootnoteReference"/>
        </w:rPr>
        <w:footnoteReference w:id="20"/>
      </w:r>
      <w:r w:rsidRPr="00E52AC5">
        <w:t>.</w:t>
      </w:r>
    </w:p>
    <w:p w14:paraId="4D6DA93C" w14:textId="155A522F" w:rsidR="00CC2233" w:rsidRPr="007F3195" w:rsidRDefault="00CC2233" w:rsidP="004A60E1">
      <w:pPr>
        <w:pStyle w:val="3-BodyText"/>
      </w:pPr>
      <w:r w:rsidRPr="007F3195">
        <w:t xml:space="preserve">The model was </w:t>
      </w:r>
      <w:r w:rsidR="004A60E1" w:rsidRPr="007F3195">
        <w:t xml:space="preserve">moderately sensitive </w:t>
      </w:r>
      <w:r w:rsidR="009A733C" w:rsidRPr="007F3195">
        <w:t xml:space="preserve">(~8-15% difference) </w:t>
      </w:r>
      <w:r w:rsidRPr="007F3195">
        <w:t xml:space="preserve">to </w:t>
      </w:r>
      <w:r w:rsidR="00E73809" w:rsidRPr="007F3195">
        <w:t xml:space="preserve">assumptions </w:t>
      </w:r>
      <w:r w:rsidR="004A60E1" w:rsidRPr="007F3195">
        <w:t>in time horizon</w:t>
      </w:r>
      <w:r w:rsidR="009A733C" w:rsidRPr="007F3195">
        <w:t xml:space="preserve">, </w:t>
      </w:r>
      <w:r w:rsidR="00BF327D" w:rsidRPr="007F3195">
        <w:t>the lack of vir</w:t>
      </w:r>
      <w:r w:rsidR="00250026" w:rsidRPr="007F3195">
        <w:t>a</w:t>
      </w:r>
      <w:r w:rsidR="00BF327D" w:rsidRPr="007F3195">
        <w:t>l</w:t>
      </w:r>
      <w:r w:rsidR="00250026" w:rsidRPr="007F3195">
        <w:t xml:space="preserve"> load</w:t>
      </w:r>
      <w:r w:rsidR="00BF327D" w:rsidRPr="007F3195">
        <w:t xml:space="preserve"> suppression </w:t>
      </w:r>
      <w:r w:rsidR="00250026" w:rsidRPr="007F3195">
        <w:t>to &lt;</w:t>
      </w:r>
      <w:r w:rsidR="006A0B99" w:rsidRPr="007F3195">
        <w:t xml:space="preserve"> </w:t>
      </w:r>
      <w:r w:rsidR="00250026" w:rsidRPr="007F3195">
        <w:t xml:space="preserve">200 copies/mL </w:t>
      </w:r>
      <w:r w:rsidR="00BF327D" w:rsidRPr="007F3195">
        <w:t xml:space="preserve">on </w:t>
      </w:r>
      <w:r w:rsidR="00E73809" w:rsidRPr="007F3195">
        <w:t>salvage therapy</w:t>
      </w:r>
      <w:r w:rsidR="00BF327D" w:rsidRPr="007F3195">
        <w:t>,</w:t>
      </w:r>
      <w:r w:rsidR="009A733C" w:rsidRPr="007F3195">
        <w:t xml:space="preserve"> and </w:t>
      </w:r>
      <w:r w:rsidR="0067395C" w:rsidRPr="007F3195">
        <w:t>inclusion of additional adherence benefits.</w:t>
      </w:r>
      <w:r w:rsidR="00E73809" w:rsidRPr="007F3195">
        <w:t xml:space="preserve"> </w:t>
      </w:r>
      <w:r w:rsidR="0067395C" w:rsidRPr="007F3195">
        <w:t xml:space="preserve">The model </w:t>
      </w:r>
      <w:r w:rsidR="004A60E1" w:rsidRPr="007F3195">
        <w:t xml:space="preserve">was </w:t>
      </w:r>
      <w:r w:rsidR="0067395C" w:rsidRPr="007F3195">
        <w:t xml:space="preserve">however </w:t>
      </w:r>
      <w:r w:rsidR="004A60E1" w:rsidRPr="007F3195">
        <w:t>insensitive to the source of utility estimates</w:t>
      </w:r>
      <w:r w:rsidR="0067395C" w:rsidRPr="007F3195">
        <w:t xml:space="preserve"> or </w:t>
      </w:r>
      <w:r w:rsidRPr="007F3195">
        <w:t>in any of the included cost inputs (except for drug acquisition costs). This was expected as drug acquisition costs made up nearly all of the incremental costs</w:t>
      </w:r>
      <w:r w:rsidR="00815FF2" w:rsidRPr="007F3195">
        <w:t>.</w:t>
      </w:r>
      <w:r w:rsidR="00EE280E" w:rsidRPr="007F3195">
        <w:t xml:space="preserve"> 97% of incremental costs</w:t>
      </w:r>
      <w:r w:rsidR="00815FF2" w:rsidRPr="007F3195">
        <w:t xml:space="preserve"> were </w:t>
      </w:r>
      <w:r w:rsidR="006A0B99" w:rsidRPr="007F3195">
        <w:t xml:space="preserve">associated with </w:t>
      </w:r>
      <w:r w:rsidR="00815FF2" w:rsidRPr="007F3195">
        <w:t>drug acquisition</w:t>
      </w:r>
      <w:r w:rsidR="00EE280E" w:rsidRPr="007F3195">
        <w:t>, of which 76% was from lenacapavir</w:t>
      </w:r>
      <w:r w:rsidR="00815FF2" w:rsidRPr="007F3195">
        <w:t xml:space="preserve"> and 21% from additional OBR and salvage therapy use (due to patients living longer than in the comparator arm)</w:t>
      </w:r>
      <w:r w:rsidR="001C5A77">
        <w:rPr>
          <w:rStyle w:val="FootnoteReference"/>
        </w:rPr>
        <w:footnoteReference w:id="21"/>
      </w:r>
      <w:r w:rsidR="00EE280E" w:rsidRPr="007F3195">
        <w:t>.</w:t>
      </w:r>
    </w:p>
    <w:p w14:paraId="170109F8" w14:textId="136B8E92" w:rsidR="00332057" w:rsidRPr="007F3195" w:rsidRDefault="00332057" w:rsidP="004A60E1">
      <w:pPr>
        <w:pStyle w:val="3-BodyText"/>
      </w:pPr>
      <w:r w:rsidRPr="007F3195">
        <w:lastRenderedPageBreak/>
        <w:t>Overall</w:t>
      </w:r>
      <w:r w:rsidR="00375E6E" w:rsidRPr="007F3195">
        <w:t>,</w:t>
      </w:r>
      <w:r w:rsidRPr="007F3195">
        <w:t xml:space="preserve"> </w:t>
      </w:r>
      <w:r w:rsidR="0010357D">
        <w:t xml:space="preserve">the evaluation considered </w:t>
      </w:r>
      <w:r w:rsidRPr="007F3195">
        <w:t xml:space="preserve">that the </w:t>
      </w:r>
      <w:r w:rsidR="0010357D">
        <w:t xml:space="preserve">primary driver of the economic model was the </w:t>
      </w:r>
      <w:r w:rsidRPr="007F3195">
        <w:t>estimation of differences in viral suppression between the lenacapavir + OBR and OBR arms</w:t>
      </w:r>
      <w:r w:rsidR="00B411CE" w:rsidRPr="007F3195">
        <w:t xml:space="preserve">. </w:t>
      </w:r>
      <w:r w:rsidR="001A101E" w:rsidRPr="007F3195">
        <w:t xml:space="preserve">This led to </w:t>
      </w:r>
      <w:r w:rsidRPr="007F3195">
        <w:t xml:space="preserve">a faster progression to low CD4 health states </w:t>
      </w:r>
      <w:r w:rsidR="00925E2A" w:rsidRPr="007F3195">
        <w:t xml:space="preserve">in </w:t>
      </w:r>
      <w:r w:rsidRPr="007F3195">
        <w:t>the OBR arm</w:t>
      </w:r>
      <w:r w:rsidR="006033D0" w:rsidRPr="007F3195">
        <w:t>,</w:t>
      </w:r>
      <w:r w:rsidRPr="007F3195">
        <w:t xml:space="preserve"> which w</w:t>
      </w:r>
      <w:r w:rsidR="00315613" w:rsidRPr="007F3195">
        <w:t>as</w:t>
      </w:r>
      <w:r w:rsidRPr="007F3195">
        <w:t xml:space="preserve"> associated with </w:t>
      </w:r>
      <w:r w:rsidR="00925E2A" w:rsidRPr="007F3195">
        <w:t xml:space="preserve">higher </w:t>
      </w:r>
      <w:r w:rsidRPr="007F3195">
        <w:t>mortality. This resulted in an improvement in modelled survival and utility benefit</w:t>
      </w:r>
      <w:r w:rsidR="006033D0" w:rsidRPr="007F3195">
        <w:t>. M</w:t>
      </w:r>
      <w:r w:rsidR="0017517D" w:rsidRPr="007F3195">
        <w:t xml:space="preserve">ore </w:t>
      </w:r>
      <w:r w:rsidR="00024863" w:rsidRPr="007F3195">
        <w:t xml:space="preserve">appropriate and conservative </w:t>
      </w:r>
      <w:r w:rsidR="0017517D" w:rsidRPr="007F3195">
        <w:t xml:space="preserve">estimates of </w:t>
      </w:r>
      <w:r w:rsidR="00B411CE" w:rsidRPr="007F3195">
        <w:t xml:space="preserve">the incremental </w:t>
      </w:r>
      <w:r w:rsidR="0017517D" w:rsidRPr="007F3195">
        <w:t xml:space="preserve">viral suppression benefit </w:t>
      </w:r>
      <w:r w:rsidR="00A8690C" w:rsidRPr="007F3195">
        <w:t xml:space="preserve">(e.g. </w:t>
      </w:r>
      <w:r w:rsidR="00024863" w:rsidRPr="007F3195">
        <w:t xml:space="preserve">with </w:t>
      </w:r>
      <w:r w:rsidR="00A8690C" w:rsidRPr="007F3195">
        <w:t xml:space="preserve">inclusion of INSTI and maraviroc in OBR arms, adjustments for </w:t>
      </w:r>
      <w:r w:rsidR="00AE086D" w:rsidRPr="007F3195">
        <w:t xml:space="preserve">ibalizumab and fostemsavir </w:t>
      </w:r>
      <w:r w:rsidR="00B411CE" w:rsidRPr="007F3195">
        <w:t>use in CAPELLA</w:t>
      </w:r>
      <w:r w:rsidR="00AE086D" w:rsidRPr="007F3195">
        <w:t xml:space="preserve">, </w:t>
      </w:r>
      <w:r w:rsidR="00B411CE" w:rsidRPr="007F3195">
        <w:t xml:space="preserve">and </w:t>
      </w:r>
      <w:r w:rsidR="00AE086D" w:rsidRPr="007F3195">
        <w:t xml:space="preserve">alignment of susceptibility of OBR between trials) </w:t>
      </w:r>
      <w:r w:rsidR="0017517D" w:rsidRPr="007F3195">
        <w:t xml:space="preserve">would be expected to </w:t>
      </w:r>
      <w:r w:rsidR="00024863" w:rsidRPr="007F3195">
        <w:t>provide</w:t>
      </w:r>
      <w:r w:rsidR="00C846F2" w:rsidRPr="007F3195">
        <w:t xml:space="preserve"> a smaller difference in </w:t>
      </w:r>
      <w:r w:rsidR="00315613" w:rsidRPr="007F3195">
        <w:t xml:space="preserve">the modelled </w:t>
      </w:r>
      <w:r w:rsidR="00C846F2" w:rsidRPr="007F3195">
        <w:t xml:space="preserve">mortality </w:t>
      </w:r>
      <w:r w:rsidR="00315613" w:rsidRPr="007F3195">
        <w:t xml:space="preserve">and the model would likely be </w:t>
      </w:r>
      <w:r w:rsidR="00C846F2" w:rsidRPr="007F3195">
        <w:t xml:space="preserve">more reflective of </w:t>
      </w:r>
      <w:r w:rsidR="00315613" w:rsidRPr="007F3195">
        <w:t xml:space="preserve">the true cost effectiveness in the Australian </w:t>
      </w:r>
      <w:r w:rsidR="00C846F2" w:rsidRPr="007F3195">
        <w:t>population</w:t>
      </w:r>
      <w:r w:rsidR="0031316F" w:rsidRPr="007F3195">
        <w:t>.</w:t>
      </w:r>
    </w:p>
    <w:p w14:paraId="03024C60" w14:textId="77777777" w:rsidR="00CC2233" w:rsidRPr="00C4404D" w:rsidRDefault="00CC2233" w:rsidP="00CC2233">
      <w:pPr>
        <w:pStyle w:val="4-SubsectionHeading"/>
      </w:pPr>
      <w:bookmarkStart w:id="73" w:name="_Toc22897646"/>
      <w:bookmarkStart w:id="74" w:name="_Toc114048774"/>
      <w:r w:rsidRPr="00C4404D">
        <w:t>Drug cost/patient/year</w:t>
      </w:r>
      <w:bookmarkStart w:id="75" w:name="_Ref104805102"/>
      <w:bookmarkEnd w:id="73"/>
      <w:bookmarkEnd w:id="74"/>
    </w:p>
    <w:p w14:paraId="0A38AFBB" w14:textId="1F2A4E22" w:rsidR="00CC2233" w:rsidRPr="00EE280E" w:rsidRDefault="00CC2233" w:rsidP="00CC0428">
      <w:pPr>
        <w:pStyle w:val="Caption"/>
        <w:rPr>
          <w:rStyle w:val="CommentReference"/>
          <w:b/>
          <w:szCs w:val="18"/>
        </w:rPr>
      </w:pPr>
      <w:r w:rsidRPr="00C4404D">
        <w:t xml:space="preserve">Table </w:t>
      </w:r>
      <w:fldSimple w:instr=" SEQ Table \* ARABIC ">
        <w:r w:rsidR="0050086F">
          <w:rPr>
            <w:noProof/>
          </w:rPr>
          <w:t>15</w:t>
        </w:r>
      </w:fldSimple>
      <w:bookmarkEnd w:id="75"/>
      <w:r w:rsidRPr="00C4404D">
        <w:t>:</w:t>
      </w:r>
      <w:r w:rsidRPr="00C4404D">
        <w:rPr>
          <w:rStyle w:val="CommentReference"/>
          <w:b/>
          <w:szCs w:val="24"/>
        </w:rPr>
        <w:t xml:space="preserve"> Drug cost per patient for Lenacapavir and OBR</w:t>
      </w:r>
      <w:r w:rsidRPr="00EE280E">
        <w:rPr>
          <w:rStyle w:val="CommentReference"/>
          <w:b/>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29"/>
        <w:gridCol w:w="1277"/>
        <w:gridCol w:w="1134"/>
        <w:gridCol w:w="1277"/>
        <w:gridCol w:w="1275"/>
        <w:gridCol w:w="1225"/>
      </w:tblGrid>
      <w:tr w:rsidR="006F3BCA" w:rsidRPr="00EE280E" w14:paraId="1EC4411E" w14:textId="77777777" w:rsidTr="00CC0428">
        <w:trPr>
          <w:cantSplit/>
          <w:tblHeader/>
          <w:jc w:val="center"/>
        </w:trPr>
        <w:tc>
          <w:tcPr>
            <w:tcW w:w="1569" w:type="pct"/>
            <w:vMerge w:val="restart"/>
            <w:shd w:val="clear" w:color="auto" w:fill="auto"/>
            <w:vAlign w:val="center"/>
          </w:tcPr>
          <w:p w14:paraId="3BBA5CE6" w14:textId="77777777" w:rsidR="006F3BCA" w:rsidRPr="00EE280E" w:rsidRDefault="006F3BCA" w:rsidP="00CC0428">
            <w:pPr>
              <w:pStyle w:val="In-tableHeading"/>
              <w:keepLines/>
              <w:jc w:val="center"/>
              <w:rPr>
                <w:lang w:val="en-AU"/>
              </w:rPr>
            </w:pPr>
          </w:p>
        </w:tc>
        <w:tc>
          <w:tcPr>
            <w:tcW w:w="1337" w:type="pct"/>
            <w:gridSpan w:val="2"/>
            <w:vAlign w:val="center"/>
          </w:tcPr>
          <w:p w14:paraId="778AA45B" w14:textId="77777777" w:rsidR="006F3BCA" w:rsidRPr="00EE280E" w:rsidRDefault="006F3BCA" w:rsidP="00CC0428">
            <w:pPr>
              <w:pStyle w:val="In-tableHeading"/>
              <w:keepLines/>
              <w:jc w:val="center"/>
              <w:rPr>
                <w:lang w:val="en-AU"/>
              </w:rPr>
            </w:pPr>
            <w:r w:rsidRPr="00EE280E">
              <w:rPr>
                <w:lang w:val="en-AU"/>
              </w:rPr>
              <w:t>Clinical evidence</w:t>
            </w:r>
          </w:p>
        </w:tc>
        <w:tc>
          <w:tcPr>
            <w:tcW w:w="1415" w:type="pct"/>
            <w:gridSpan w:val="2"/>
            <w:shd w:val="clear" w:color="auto" w:fill="auto"/>
            <w:vAlign w:val="center"/>
          </w:tcPr>
          <w:p w14:paraId="1CD02C8C" w14:textId="77777777" w:rsidR="006F3BCA" w:rsidRPr="00EE280E" w:rsidRDefault="006F3BCA" w:rsidP="00CC0428">
            <w:pPr>
              <w:pStyle w:val="In-tableHeading"/>
              <w:keepLines/>
              <w:jc w:val="center"/>
              <w:rPr>
                <w:lang w:val="en-AU"/>
              </w:rPr>
            </w:pPr>
            <w:r w:rsidRPr="00EE280E">
              <w:rPr>
                <w:lang w:val="en-AU"/>
              </w:rPr>
              <w:t>Economics</w:t>
            </w:r>
          </w:p>
        </w:tc>
        <w:tc>
          <w:tcPr>
            <w:tcW w:w="679" w:type="pct"/>
            <w:vAlign w:val="center"/>
          </w:tcPr>
          <w:p w14:paraId="7949C981" w14:textId="11AA18AA" w:rsidR="006F3BCA" w:rsidRPr="00EE280E" w:rsidRDefault="006F3BCA" w:rsidP="00CC0428">
            <w:pPr>
              <w:pStyle w:val="In-tableHeading"/>
              <w:keepLines/>
              <w:jc w:val="center"/>
              <w:rPr>
                <w:vertAlign w:val="superscript"/>
                <w:lang w:val="en-AU"/>
              </w:rPr>
            </w:pPr>
            <w:r w:rsidRPr="00EE280E">
              <w:rPr>
                <w:lang w:val="en-AU"/>
              </w:rPr>
              <w:t>Financial estimates</w:t>
            </w:r>
            <w:r w:rsidRPr="00EE280E">
              <w:rPr>
                <w:vertAlign w:val="superscript"/>
                <w:lang w:val="en-AU"/>
              </w:rPr>
              <w:t>a</w:t>
            </w:r>
          </w:p>
        </w:tc>
      </w:tr>
      <w:tr w:rsidR="006F3BCA" w:rsidRPr="00EE280E" w14:paraId="0C1C60DF" w14:textId="77777777" w:rsidTr="00CC0428">
        <w:trPr>
          <w:cantSplit/>
          <w:tblHeader/>
          <w:jc w:val="center"/>
        </w:trPr>
        <w:tc>
          <w:tcPr>
            <w:tcW w:w="1569" w:type="pct"/>
            <w:vMerge/>
            <w:tcBorders>
              <w:bottom w:val="single" w:sz="4" w:space="0" w:color="auto"/>
            </w:tcBorders>
            <w:shd w:val="clear" w:color="auto" w:fill="auto"/>
            <w:vAlign w:val="center"/>
          </w:tcPr>
          <w:p w14:paraId="6A02DB10" w14:textId="77777777" w:rsidR="006F3BCA" w:rsidRPr="00EE280E" w:rsidRDefault="006F3BCA" w:rsidP="00CC0428">
            <w:pPr>
              <w:pStyle w:val="In-tableHeading"/>
              <w:keepLines/>
              <w:jc w:val="center"/>
              <w:rPr>
                <w:lang w:val="en-AU"/>
              </w:rPr>
            </w:pPr>
          </w:p>
        </w:tc>
        <w:tc>
          <w:tcPr>
            <w:tcW w:w="708" w:type="pct"/>
            <w:tcBorders>
              <w:bottom w:val="single" w:sz="4" w:space="0" w:color="auto"/>
            </w:tcBorders>
            <w:vAlign w:val="center"/>
          </w:tcPr>
          <w:p w14:paraId="0A9AD360" w14:textId="77777777" w:rsidR="006F3BCA" w:rsidRPr="00EE280E" w:rsidRDefault="006F3BCA" w:rsidP="00CC0428">
            <w:pPr>
              <w:pStyle w:val="In-tableHeading"/>
              <w:keepLines/>
              <w:jc w:val="center"/>
              <w:rPr>
                <w:lang w:val="en-AU"/>
              </w:rPr>
            </w:pPr>
            <w:r w:rsidRPr="00EE280E">
              <w:rPr>
                <w:lang w:val="en-AU"/>
              </w:rPr>
              <w:t>Lenacapavir + OBR</w:t>
            </w:r>
          </w:p>
        </w:tc>
        <w:tc>
          <w:tcPr>
            <w:tcW w:w="629" w:type="pct"/>
            <w:tcBorders>
              <w:bottom w:val="single" w:sz="4" w:space="0" w:color="auto"/>
            </w:tcBorders>
            <w:vAlign w:val="center"/>
          </w:tcPr>
          <w:p w14:paraId="70ABC631" w14:textId="08B0CAB2" w:rsidR="006F3BCA" w:rsidRPr="00EE280E" w:rsidRDefault="006F3BCA" w:rsidP="00CC0428">
            <w:pPr>
              <w:pStyle w:val="In-tableHeading"/>
              <w:keepLines/>
              <w:jc w:val="center"/>
              <w:rPr>
                <w:lang w:val="en-AU"/>
              </w:rPr>
            </w:pPr>
            <w:r w:rsidRPr="00EE280E">
              <w:rPr>
                <w:lang w:val="en-AU"/>
              </w:rPr>
              <w:t xml:space="preserve">OBR </w:t>
            </w:r>
          </w:p>
        </w:tc>
        <w:tc>
          <w:tcPr>
            <w:tcW w:w="708" w:type="pct"/>
            <w:tcBorders>
              <w:bottom w:val="single" w:sz="4" w:space="0" w:color="auto"/>
            </w:tcBorders>
            <w:shd w:val="clear" w:color="auto" w:fill="auto"/>
            <w:vAlign w:val="center"/>
          </w:tcPr>
          <w:p w14:paraId="08DF281C" w14:textId="77777777" w:rsidR="006F3BCA" w:rsidRPr="00EE280E" w:rsidRDefault="006F3BCA" w:rsidP="00CC0428">
            <w:pPr>
              <w:pStyle w:val="In-tableHeading"/>
              <w:keepLines/>
              <w:jc w:val="center"/>
              <w:rPr>
                <w:lang w:val="en-AU"/>
              </w:rPr>
            </w:pPr>
            <w:r w:rsidRPr="00EE280E">
              <w:rPr>
                <w:lang w:val="en-AU"/>
              </w:rPr>
              <w:t>Lenacapavir + OBR</w:t>
            </w:r>
          </w:p>
        </w:tc>
        <w:tc>
          <w:tcPr>
            <w:tcW w:w="707" w:type="pct"/>
            <w:tcBorders>
              <w:bottom w:val="single" w:sz="4" w:space="0" w:color="auto"/>
            </w:tcBorders>
            <w:shd w:val="clear" w:color="auto" w:fill="auto"/>
            <w:vAlign w:val="center"/>
          </w:tcPr>
          <w:p w14:paraId="741279A2" w14:textId="015CD1A7" w:rsidR="006F3BCA" w:rsidRPr="00EE280E" w:rsidRDefault="006F3BCA" w:rsidP="00CC0428">
            <w:pPr>
              <w:pStyle w:val="In-tableHeading"/>
              <w:keepLines/>
              <w:jc w:val="center"/>
              <w:rPr>
                <w:lang w:val="en-AU"/>
              </w:rPr>
            </w:pPr>
            <w:r w:rsidRPr="00EE280E">
              <w:rPr>
                <w:lang w:val="en-AU"/>
              </w:rPr>
              <w:t xml:space="preserve">OBR </w:t>
            </w:r>
          </w:p>
        </w:tc>
        <w:tc>
          <w:tcPr>
            <w:tcW w:w="679" w:type="pct"/>
            <w:tcBorders>
              <w:bottom w:val="single" w:sz="4" w:space="0" w:color="auto"/>
            </w:tcBorders>
            <w:vAlign w:val="center"/>
          </w:tcPr>
          <w:p w14:paraId="03D1364A" w14:textId="77777777" w:rsidR="006F3BCA" w:rsidRPr="00EE280E" w:rsidRDefault="006F3BCA" w:rsidP="00CC0428">
            <w:pPr>
              <w:pStyle w:val="In-tableHeading"/>
              <w:keepLines/>
              <w:jc w:val="center"/>
              <w:rPr>
                <w:lang w:val="en-AU"/>
              </w:rPr>
            </w:pPr>
            <w:r w:rsidRPr="00EE280E">
              <w:rPr>
                <w:lang w:val="en-AU"/>
              </w:rPr>
              <w:t>Lenacapavir</w:t>
            </w:r>
          </w:p>
        </w:tc>
      </w:tr>
      <w:tr w:rsidR="00EE280E" w:rsidRPr="00EE280E" w14:paraId="345994B8" w14:textId="77777777" w:rsidTr="00CC0428">
        <w:trPr>
          <w:cantSplit/>
          <w:tblHeader/>
          <w:jc w:val="center"/>
        </w:trPr>
        <w:tc>
          <w:tcPr>
            <w:tcW w:w="1569" w:type="pct"/>
            <w:tcBorders>
              <w:right w:val="nil"/>
            </w:tcBorders>
            <w:shd w:val="clear" w:color="auto" w:fill="auto"/>
            <w:vAlign w:val="center"/>
          </w:tcPr>
          <w:p w14:paraId="37BCF007" w14:textId="77777777" w:rsidR="00CC2233" w:rsidRPr="00EE280E" w:rsidRDefault="00CC2233" w:rsidP="00CC0428">
            <w:pPr>
              <w:pStyle w:val="In-tableHeading"/>
              <w:keepLines/>
              <w:rPr>
                <w:lang w:val="en-AU"/>
              </w:rPr>
            </w:pPr>
            <w:r w:rsidRPr="00EE280E">
              <w:rPr>
                <w:lang w:val="en-AU"/>
              </w:rPr>
              <w:t>Initiation</w:t>
            </w:r>
          </w:p>
        </w:tc>
        <w:tc>
          <w:tcPr>
            <w:tcW w:w="708" w:type="pct"/>
            <w:tcBorders>
              <w:left w:val="nil"/>
              <w:right w:val="nil"/>
            </w:tcBorders>
          </w:tcPr>
          <w:p w14:paraId="66510C0A" w14:textId="77777777" w:rsidR="00CC2233" w:rsidRPr="00EE280E" w:rsidRDefault="00CC2233" w:rsidP="00CC0428">
            <w:pPr>
              <w:pStyle w:val="In-tableHeading"/>
              <w:keepLines/>
              <w:jc w:val="center"/>
              <w:rPr>
                <w:lang w:val="en-AU"/>
              </w:rPr>
            </w:pPr>
          </w:p>
        </w:tc>
        <w:tc>
          <w:tcPr>
            <w:tcW w:w="629" w:type="pct"/>
            <w:tcBorders>
              <w:left w:val="nil"/>
              <w:right w:val="nil"/>
            </w:tcBorders>
          </w:tcPr>
          <w:p w14:paraId="4E47D11F" w14:textId="77777777" w:rsidR="00CC2233" w:rsidRPr="00EE280E" w:rsidRDefault="00CC2233" w:rsidP="00CC0428">
            <w:pPr>
              <w:pStyle w:val="In-tableHeading"/>
              <w:keepLines/>
              <w:jc w:val="center"/>
              <w:rPr>
                <w:lang w:val="en-AU"/>
              </w:rPr>
            </w:pPr>
          </w:p>
        </w:tc>
        <w:tc>
          <w:tcPr>
            <w:tcW w:w="708" w:type="pct"/>
            <w:tcBorders>
              <w:left w:val="nil"/>
              <w:right w:val="nil"/>
            </w:tcBorders>
            <w:shd w:val="clear" w:color="auto" w:fill="auto"/>
            <w:vAlign w:val="center"/>
          </w:tcPr>
          <w:p w14:paraId="342E64E9" w14:textId="77777777" w:rsidR="00CC2233" w:rsidRPr="00EE280E" w:rsidRDefault="00CC2233" w:rsidP="00CC0428">
            <w:pPr>
              <w:pStyle w:val="In-tableHeading"/>
              <w:keepLines/>
              <w:jc w:val="center"/>
              <w:rPr>
                <w:lang w:val="en-AU"/>
              </w:rPr>
            </w:pPr>
          </w:p>
        </w:tc>
        <w:tc>
          <w:tcPr>
            <w:tcW w:w="707" w:type="pct"/>
            <w:tcBorders>
              <w:left w:val="nil"/>
              <w:right w:val="nil"/>
            </w:tcBorders>
            <w:shd w:val="clear" w:color="auto" w:fill="auto"/>
            <w:vAlign w:val="center"/>
          </w:tcPr>
          <w:p w14:paraId="72E1FF88" w14:textId="77777777" w:rsidR="00CC2233" w:rsidRPr="00EE280E" w:rsidRDefault="00CC2233" w:rsidP="00CC0428">
            <w:pPr>
              <w:pStyle w:val="In-tableHeading"/>
              <w:keepLines/>
              <w:jc w:val="center"/>
              <w:rPr>
                <w:lang w:val="en-AU"/>
              </w:rPr>
            </w:pPr>
          </w:p>
        </w:tc>
        <w:tc>
          <w:tcPr>
            <w:tcW w:w="679" w:type="pct"/>
            <w:tcBorders>
              <w:left w:val="nil"/>
            </w:tcBorders>
          </w:tcPr>
          <w:p w14:paraId="6314E9C8" w14:textId="77777777" w:rsidR="00CC2233" w:rsidRPr="00EE280E" w:rsidRDefault="00CC2233" w:rsidP="00CC0428">
            <w:pPr>
              <w:pStyle w:val="In-tableHeading"/>
              <w:keepLines/>
              <w:jc w:val="center"/>
              <w:rPr>
                <w:lang w:val="en-AU"/>
              </w:rPr>
            </w:pPr>
          </w:p>
        </w:tc>
      </w:tr>
      <w:tr w:rsidR="00EE280E" w:rsidRPr="00EE280E" w14:paraId="38297334" w14:textId="77777777" w:rsidTr="00CC0428">
        <w:trPr>
          <w:cantSplit/>
          <w:jc w:val="center"/>
        </w:trPr>
        <w:tc>
          <w:tcPr>
            <w:tcW w:w="1569" w:type="pct"/>
            <w:tcBorders>
              <w:bottom w:val="single" w:sz="4" w:space="0" w:color="auto"/>
            </w:tcBorders>
            <w:shd w:val="clear" w:color="auto" w:fill="auto"/>
            <w:vAlign w:val="center"/>
          </w:tcPr>
          <w:p w14:paraId="6BAB225E" w14:textId="77777777" w:rsidR="00CC2233" w:rsidRPr="00EE280E" w:rsidRDefault="00CC2233" w:rsidP="00CC0428">
            <w:pPr>
              <w:pStyle w:val="TableText0"/>
              <w:keepLines/>
            </w:pPr>
            <w:r w:rsidRPr="00EE280E">
              <w:t>600mg orally day 1 and 2</w:t>
            </w:r>
          </w:p>
        </w:tc>
        <w:tc>
          <w:tcPr>
            <w:tcW w:w="708" w:type="pct"/>
            <w:tcBorders>
              <w:bottom w:val="single" w:sz="4" w:space="0" w:color="auto"/>
            </w:tcBorders>
          </w:tcPr>
          <w:p w14:paraId="1F5273F3" w14:textId="695851A5" w:rsidR="00CC2233" w:rsidRPr="00EE280E" w:rsidRDefault="00CC2233" w:rsidP="00CC0428">
            <w:pPr>
              <w:pStyle w:val="TableText0"/>
              <w:keepLines/>
              <w:jc w:val="center"/>
              <w:rPr>
                <w:vertAlign w:val="superscript"/>
              </w:rP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r w:rsidRPr="000C242D">
              <w:rPr>
                <w:vertAlign w:val="superscript"/>
              </w:rPr>
              <w:t>b</w:t>
            </w:r>
          </w:p>
        </w:tc>
        <w:tc>
          <w:tcPr>
            <w:tcW w:w="629" w:type="pct"/>
            <w:tcBorders>
              <w:bottom w:val="single" w:sz="4" w:space="0" w:color="auto"/>
            </w:tcBorders>
          </w:tcPr>
          <w:p w14:paraId="3936F83C" w14:textId="77777777" w:rsidR="00CC2233" w:rsidRPr="00EE280E" w:rsidRDefault="00CC2233" w:rsidP="00CC0428">
            <w:pPr>
              <w:pStyle w:val="TableText0"/>
              <w:keepLines/>
              <w:jc w:val="center"/>
            </w:pPr>
            <w:r w:rsidRPr="00EE280E">
              <w:t>-</w:t>
            </w:r>
          </w:p>
        </w:tc>
        <w:tc>
          <w:tcPr>
            <w:tcW w:w="708" w:type="pct"/>
            <w:tcBorders>
              <w:bottom w:val="single" w:sz="4" w:space="0" w:color="auto"/>
            </w:tcBorders>
            <w:shd w:val="clear" w:color="auto" w:fill="auto"/>
            <w:vAlign w:val="center"/>
          </w:tcPr>
          <w:p w14:paraId="0CDDF02A" w14:textId="5937B6BC"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707" w:type="pct"/>
            <w:tcBorders>
              <w:bottom w:val="single" w:sz="4" w:space="0" w:color="auto"/>
            </w:tcBorders>
            <w:shd w:val="clear" w:color="auto" w:fill="auto"/>
            <w:vAlign w:val="center"/>
          </w:tcPr>
          <w:p w14:paraId="395330FB" w14:textId="77777777" w:rsidR="00CC2233" w:rsidRPr="00EE280E" w:rsidRDefault="00CC2233" w:rsidP="00CC0428">
            <w:pPr>
              <w:pStyle w:val="TableText0"/>
              <w:keepLines/>
              <w:jc w:val="center"/>
            </w:pPr>
            <w:r w:rsidRPr="00EE280E">
              <w:t>-</w:t>
            </w:r>
          </w:p>
        </w:tc>
        <w:tc>
          <w:tcPr>
            <w:tcW w:w="679" w:type="pct"/>
            <w:tcBorders>
              <w:bottom w:val="single" w:sz="4" w:space="0" w:color="auto"/>
            </w:tcBorders>
          </w:tcPr>
          <w:p w14:paraId="478AF017" w14:textId="7D2534A8"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r w:rsidR="009109F2" w:rsidRPr="008E1071">
              <w:rPr>
                <w:vertAlign w:val="superscript"/>
              </w:rPr>
              <w:t>1</w:t>
            </w:r>
          </w:p>
        </w:tc>
      </w:tr>
      <w:tr w:rsidR="00EE280E" w:rsidRPr="00EE280E" w14:paraId="4A1932BD" w14:textId="77777777" w:rsidTr="00CC0428">
        <w:trPr>
          <w:cantSplit/>
          <w:jc w:val="center"/>
        </w:trPr>
        <w:tc>
          <w:tcPr>
            <w:tcW w:w="1569" w:type="pct"/>
            <w:tcBorders>
              <w:right w:val="nil"/>
            </w:tcBorders>
            <w:shd w:val="clear" w:color="auto" w:fill="auto"/>
            <w:vAlign w:val="center"/>
          </w:tcPr>
          <w:p w14:paraId="29356B5B" w14:textId="77777777" w:rsidR="00CC2233" w:rsidRPr="00EE280E" w:rsidRDefault="00CC2233" w:rsidP="00CC0428">
            <w:pPr>
              <w:pStyle w:val="TableText0"/>
              <w:keepLines/>
              <w:rPr>
                <w:b/>
                <w:bCs w:val="0"/>
              </w:rPr>
            </w:pPr>
            <w:r w:rsidRPr="00EE280E">
              <w:rPr>
                <w:b/>
                <w:bCs w:val="0"/>
              </w:rPr>
              <w:t>Maintenance</w:t>
            </w:r>
          </w:p>
        </w:tc>
        <w:tc>
          <w:tcPr>
            <w:tcW w:w="708" w:type="pct"/>
            <w:tcBorders>
              <w:left w:val="nil"/>
              <w:right w:val="nil"/>
            </w:tcBorders>
          </w:tcPr>
          <w:p w14:paraId="01645742" w14:textId="77777777" w:rsidR="00CC2233" w:rsidRPr="00EE280E" w:rsidRDefault="00CC2233" w:rsidP="00CC0428">
            <w:pPr>
              <w:pStyle w:val="TableText0"/>
              <w:keepLines/>
              <w:jc w:val="center"/>
            </w:pPr>
          </w:p>
        </w:tc>
        <w:tc>
          <w:tcPr>
            <w:tcW w:w="629" w:type="pct"/>
            <w:tcBorders>
              <w:left w:val="nil"/>
              <w:right w:val="nil"/>
            </w:tcBorders>
          </w:tcPr>
          <w:p w14:paraId="01742040" w14:textId="77777777" w:rsidR="00CC2233" w:rsidRPr="00EE280E" w:rsidRDefault="00CC2233" w:rsidP="00CC0428">
            <w:pPr>
              <w:pStyle w:val="TableText0"/>
              <w:keepLines/>
              <w:jc w:val="center"/>
            </w:pPr>
          </w:p>
        </w:tc>
        <w:tc>
          <w:tcPr>
            <w:tcW w:w="708" w:type="pct"/>
            <w:tcBorders>
              <w:left w:val="nil"/>
              <w:right w:val="nil"/>
            </w:tcBorders>
            <w:shd w:val="clear" w:color="auto" w:fill="auto"/>
            <w:vAlign w:val="center"/>
          </w:tcPr>
          <w:p w14:paraId="5F05DD3D" w14:textId="77777777" w:rsidR="00CC2233" w:rsidRPr="00EE280E" w:rsidRDefault="00CC2233" w:rsidP="00CC0428">
            <w:pPr>
              <w:pStyle w:val="TableText0"/>
              <w:keepLines/>
              <w:jc w:val="center"/>
            </w:pPr>
          </w:p>
        </w:tc>
        <w:tc>
          <w:tcPr>
            <w:tcW w:w="707" w:type="pct"/>
            <w:tcBorders>
              <w:left w:val="nil"/>
              <w:right w:val="nil"/>
            </w:tcBorders>
            <w:shd w:val="clear" w:color="auto" w:fill="auto"/>
            <w:vAlign w:val="center"/>
          </w:tcPr>
          <w:p w14:paraId="7F055604" w14:textId="77777777" w:rsidR="00CC2233" w:rsidRPr="00EE280E" w:rsidRDefault="00CC2233" w:rsidP="00CC0428">
            <w:pPr>
              <w:pStyle w:val="TableText0"/>
              <w:keepLines/>
              <w:jc w:val="center"/>
            </w:pPr>
          </w:p>
        </w:tc>
        <w:tc>
          <w:tcPr>
            <w:tcW w:w="679" w:type="pct"/>
            <w:tcBorders>
              <w:left w:val="nil"/>
            </w:tcBorders>
          </w:tcPr>
          <w:p w14:paraId="0AC1DBC8" w14:textId="77777777" w:rsidR="00CC2233" w:rsidRPr="00EE280E" w:rsidRDefault="00CC2233" w:rsidP="00CC0428">
            <w:pPr>
              <w:pStyle w:val="TableText0"/>
              <w:keepLines/>
              <w:jc w:val="center"/>
            </w:pPr>
          </w:p>
        </w:tc>
      </w:tr>
      <w:tr w:rsidR="00EE280E" w:rsidRPr="00EE280E" w14:paraId="6365DDCE" w14:textId="77777777" w:rsidTr="00CC0428">
        <w:trPr>
          <w:cantSplit/>
          <w:jc w:val="center"/>
        </w:trPr>
        <w:tc>
          <w:tcPr>
            <w:tcW w:w="1569" w:type="pct"/>
            <w:shd w:val="clear" w:color="auto" w:fill="auto"/>
            <w:vAlign w:val="center"/>
          </w:tcPr>
          <w:p w14:paraId="43BC6782" w14:textId="77777777" w:rsidR="00CC2233" w:rsidRPr="00EE280E" w:rsidRDefault="00CC2233" w:rsidP="00CC0428">
            <w:pPr>
              <w:pStyle w:val="TableText0"/>
              <w:keepLines/>
            </w:pPr>
            <w:r w:rsidRPr="00EE280E">
              <w:t>Cost/ injection</w:t>
            </w:r>
          </w:p>
        </w:tc>
        <w:tc>
          <w:tcPr>
            <w:tcW w:w="708" w:type="pct"/>
          </w:tcPr>
          <w:p w14:paraId="2DDBC0D1" w14:textId="5A21D751"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29" w:type="pct"/>
          </w:tcPr>
          <w:p w14:paraId="6280DC8D" w14:textId="77777777" w:rsidR="00CC2233" w:rsidRPr="00EE280E" w:rsidRDefault="00CC2233" w:rsidP="00CC0428">
            <w:pPr>
              <w:pStyle w:val="TableText0"/>
              <w:keepLines/>
              <w:jc w:val="center"/>
            </w:pPr>
            <w:r w:rsidRPr="00EE280E">
              <w:t>-</w:t>
            </w:r>
          </w:p>
        </w:tc>
        <w:tc>
          <w:tcPr>
            <w:tcW w:w="708" w:type="pct"/>
            <w:shd w:val="clear" w:color="auto" w:fill="auto"/>
            <w:vAlign w:val="center"/>
          </w:tcPr>
          <w:p w14:paraId="049A0A22" w14:textId="457EE1D8"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707" w:type="pct"/>
            <w:shd w:val="clear" w:color="auto" w:fill="auto"/>
            <w:vAlign w:val="center"/>
          </w:tcPr>
          <w:p w14:paraId="248365F6" w14:textId="77777777" w:rsidR="00CC2233" w:rsidRPr="00EE280E" w:rsidRDefault="00CC2233" w:rsidP="00CC0428">
            <w:pPr>
              <w:pStyle w:val="TableText0"/>
              <w:keepLines/>
              <w:jc w:val="center"/>
            </w:pPr>
            <w:r w:rsidRPr="00EE280E">
              <w:t>-</w:t>
            </w:r>
          </w:p>
        </w:tc>
        <w:tc>
          <w:tcPr>
            <w:tcW w:w="679" w:type="pct"/>
          </w:tcPr>
          <w:p w14:paraId="5FEB5D44" w14:textId="248B46E0"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r w:rsidR="009109F2" w:rsidRPr="008E1071">
              <w:rPr>
                <w:vertAlign w:val="superscript"/>
              </w:rPr>
              <w:t>2</w:t>
            </w:r>
          </w:p>
        </w:tc>
      </w:tr>
      <w:tr w:rsidR="00EE280E" w:rsidRPr="00EE280E" w14:paraId="2175F76D" w14:textId="77777777" w:rsidTr="00CC0428">
        <w:trPr>
          <w:cantSplit/>
          <w:jc w:val="center"/>
        </w:trPr>
        <w:tc>
          <w:tcPr>
            <w:tcW w:w="1569" w:type="pct"/>
            <w:shd w:val="clear" w:color="auto" w:fill="auto"/>
            <w:vAlign w:val="center"/>
          </w:tcPr>
          <w:p w14:paraId="55FB1B73" w14:textId="77777777" w:rsidR="00CC2233" w:rsidRPr="00EE280E" w:rsidRDefault="00CC2233" w:rsidP="00CC0428">
            <w:pPr>
              <w:pStyle w:val="TableText0"/>
              <w:keepLines/>
            </w:pPr>
            <w:r w:rsidRPr="00EE280E">
              <w:t>Number of injections/ year</w:t>
            </w:r>
          </w:p>
        </w:tc>
        <w:tc>
          <w:tcPr>
            <w:tcW w:w="708" w:type="pct"/>
            <w:vAlign w:val="center"/>
          </w:tcPr>
          <w:p w14:paraId="1D58EF09" w14:textId="77777777" w:rsidR="00CC2233" w:rsidRPr="00EE280E" w:rsidRDefault="00CC2233" w:rsidP="00CC0428">
            <w:pPr>
              <w:pStyle w:val="TableText0"/>
              <w:keepLines/>
              <w:jc w:val="center"/>
            </w:pPr>
            <w:r w:rsidRPr="00EE280E">
              <w:t>2</w:t>
            </w:r>
          </w:p>
        </w:tc>
        <w:tc>
          <w:tcPr>
            <w:tcW w:w="629" w:type="pct"/>
          </w:tcPr>
          <w:p w14:paraId="77D6E117" w14:textId="77777777" w:rsidR="00CC2233" w:rsidRPr="00EE280E" w:rsidRDefault="00CC2233" w:rsidP="00CC0428">
            <w:pPr>
              <w:pStyle w:val="TableText0"/>
              <w:keepLines/>
              <w:jc w:val="center"/>
            </w:pPr>
            <w:r w:rsidRPr="00EE280E">
              <w:t>-</w:t>
            </w:r>
          </w:p>
        </w:tc>
        <w:tc>
          <w:tcPr>
            <w:tcW w:w="708" w:type="pct"/>
            <w:shd w:val="clear" w:color="auto" w:fill="auto"/>
            <w:vAlign w:val="center"/>
          </w:tcPr>
          <w:p w14:paraId="098631BC" w14:textId="77777777" w:rsidR="00CC2233" w:rsidRPr="00EE280E" w:rsidRDefault="00CC2233" w:rsidP="00CC0428">
            <w:pPr>
              <w:pStyle w:val="TableText0"/>
              <w:keepLines/>
              <w:jc w:val="center"/>
            </w:pPr>
            <w:r w:rsidRPr="00EE280E">
              <w:t>2</w:t>
            </w:r>
          </w:p>
        </w:tc>
        <w:tc>
          <w:tcPr>
            <w:tcW w:w="707" w:type="pct"/>
            <w:shd w:val="clear" w:color="auto" w:fill="auto"/>
            <w:vAlign w:val="center"/>
          </w:tcPr>
          <w:p w14:paraId="7C2EAEDE" w14:textId="77777777" w:rsidR="00CC2233" w:rsidRPr="00EE280E" w:rsidRDefault="00CC2233" w:rsidP="00CC0428">
            <w:pPr>
              <w:pStyle w:val="TableText0"/>
              <w:keepLines/>
              <w:jc w:val="center"/>
            </w:pPr>
            <w:r w:rsidRPr="00EE280E">
              <w:t>-</w:t>
            </w:r>
          </w:p>
        </w:tc>
        <w:tc>
          <w:tcPr>
            <w:tcW w:w="679" w:type="pct"/>
          </w:tcPr>
          <w:p w14:paraId="25F775FB" w14:textId="77777777" w:rsidR="00CC2233" w:rsidRPr="00EE280E" w:rsidRDefault="00CC2233" w:rsidP="00CC0428">
            <w:pPr>
              <w:pStyle w:val="TableText0"/>
              <w:keepLines/>
              <w:jc w:val="center"/>
            </w:pPr>
            <w:r w:rsidRPr="00EE280E">
              <w:t>2</w:t>
            </w:r>
          </w:p>
        </w:tc>
      </w:tr>
      <w:tr w:rsidR="00EE280E" w:rsidRPr="00EE280E" w14:paraId="20A9F884" w14:textId="77777777" w:rsidTr="00CC0428">
        <w:trPr>
          <w:cantSplit/>
          <w:jc w:val="center"/>
        </w:trPr>
        <w:tc>
          <w:tcPr>
            <w:tcW w:w="1569" w:type="pct"/>
            <w:shd w:val="clear" w:color="auto" w:fill="auto"/>
            <w:vAlign w:val="center"/>
          </w:tcPr>
          <w:p w14:paraId="45A1D0E3" w14:textId="77777777" w:rsidR="00CC2233" w:rsidRPr="00EE280E" w:rsidRDefault="00CC2233" w:rsidP="00CC0428">
            <w:pPr>
              <w:pStyle w:val="TableText0"/>
              <w:keepLines/>
            </w:pPr>
            <w:r w:rsidRPr="00EE280E">
              <w:t>Lenacapavir costs/ year</w:t>
            </w:r>
          </w:p>
        </w:tc>
        <w:tc>
          <w:tcPr>
            <w:tcW w:w="708" w:type="pct"/>
            <w:vAlign w:val="center"/>
          </w:tcPr>
          <w:p w14:paraId="6BD76875" w14:textId="44FB4E47"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29" w:type="pct"/>
          </w:tcPr>
          <w:p w14:paraId="41CF4218" w14:textId="77777777" w:rsidR="00CC2233" w:rsidRPr="00EE280E" w:rsidRDefault="00CC2233" w:rsidP="00CC0428">
            <w:pPr>
              <w:pStyle w:val="TableText0"/>
              <w:keepLines/>
              <w:jc w:val="center"/>
            </w:pPr>
            <w:r w:rsidRPr="00EE280E">
              <w:t>-</w:t>
            </w:r>
          </w:p>
        </w:tc>
        <w:tc>
          <w:tcPr>
            <w:tcW w:w="708" w:type="pct"/>
            <w:shd w:val="clear" w:color="auto" w:fill="auto"/>
            <w:vAlign w:val="center"/>
          </w:tcPr>
          <w:p w14:paraId="47277AA5" w14:textId="37E91993"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707" w:type="pct"/>
            <w:shd w:val="clear" w:color="auto" w:fill="auto"/>
            <w:vAlign w:val="center"/>
          </w:tcPr>
          <w:p w14:paraId="5098E34F" w14:textId="77777777" w:rsidR="00CC2233" w:rsidRPr="00EE280E" w:rsidRDefault="00CC2233" w:rsidP="00CC0428">
            <w:pPr>
              <w:pStyle w:val="TableText0"/>
              <w:keepLines/>
              <w:jc w:val="center"/>
            </w:pPr>
            <w:r w:rsidRPr="00EE280E">
              <w:t>-</w:t>
            </w:r>
          </w:p>
        </w:tc>
        <w:tc>
          <w:tcPr>
            <w:tcW w:w="679" w:type="pct"/>
          </w:tcPr>
          <w:p w14:paraId="14551F99" w14:textId="4A8FBAA0"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r w:rsidR="009109F2" w:rsidRPr="008E1071">
              <w:rPr>
                <w:vertAlign w:val="superscript"/>
              </w:rPr>
              <w:t>3</w:t>
            </w:r>
          </w:p>
        </w:tc>
      </w:tr>
      <w:tr w:rsidR="00EE280E" w:rsidRPr="00EE280E" w14:paraId="72C43BD8" w14:textId="77777777" w:rsidTr="00CC0428">
        <w:trPr>
          <w:cantSplit/>
          <w:jc w:val="center"/>
        </w:trPr>
        <w:tc>
          <w:tcPr>
            <w:tcW w:w="1569" w:type="pct"/>
            <w:shd w:val="clear" w:color="auto" w:fill="auto"/>
            <w:vAlign w:val="center"/>
          </w:tcPr>
          <w:p w14:paraId="33AFA1D1" w14:textId="4580E9A8" w:rsidR="00CC2233" w:rsidRPr="00EE280E" w:rsidRDefault="00CC2233" w:rsidP="00CC0428">
            <w:pPr>
              <w:pStyle w:val="TableText0"/>
              <w:keepLines/>
              <w:rPr>
                <w:vertAlign w:val="superscript"/>
              </w:rPr>
            </w:pPr>
            <w:r w:rsidRPr="00EE280E">
              <w:t>OBR cost/ 3 months</w:t>
            </w:r>
            <w:r w:rsidRPr="00EE280E">
              <w:rPr>
                <w:vertAlign w:val="superscript"/>
              </w:rPr>
              <w:t>c</w:t>
            </w:r>
          </w:p>
        </w:tc>
        <w:tc>
          <w:tcPr>
            <w:tcW w:w="708" w:type="pct"/>
            <w:vAlign w:val="center"/>
          </w:tcPr>
          <w:p w14:paraId="73DF9BCD" w14:textId="036CDC17"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29" w:type="pct"/>
            <w:vAlign w:val="center"/>
          </w:tcPr>
          <w:p w14:paraId="6468EF3F" w14:textId="77777777" w:rsidR="00CC2233" w:rsidRPr="001F7CF2" w:rsidRDefault="00CC2233" w:rsidP="00CC0428">
            <w:pPr>
              <w:pStyle w:val="TableText0"/>
              <w:keepLines/>
              <w:jc w:val="center"/>
            </w:pPr>
            <w:r w:rsidRPr="001F7CF2">
              <w:t>$4,667.38</w:t>
            </w:r>
          </w:p>
        </w:tc>
        <w:tc>
          <w:tcPr>
            <w:tcW w:w="708" w:type="pct"/>
            <w:shd w:val="clear" w:color="auto" w:fill="auto"/>
            <w:vAlign w:val="center"/>
          </w:tcPr>
          <w:p w14:paraId="28AF33C2" w14:textId="263C4F97"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707" w:type="pct"/>
            <w:shd w:val="clear" w:color="auto" w:fill="auto"/>
            <w:vAlign w:val="center"/>
          </w:tcPr>
          <w:p w14:paraId="64615438" w14:textId="77777777" w:rsidR="00CC2233" w:rsidRPr="001F7CF2" w:rsidRDefault="00CC2233" w:rsidP="00CC0428">
            <w:pPr>
              <w:pStyle w:val="TableText0"/>
              <w:keepLines/>
              <w:jc w:val="center"/>
            </w:pPr>
            <w:r w:rsidRPr="001F7CF2">
              <w:t>$4,667.38</w:t>
            </w:r>
          </w:p>
        </w:tc>
        <w:tc>
          <w:tcPr>
            <w:tcW w:w="679" w:type="pct"/>
            <w:vMerge w:val="restart"/>
            <w:vAlign w:val="center"/>
          </w:tcPr>
          <w:p w14:paraId="04E8D1C6" w14:textId="77777777" w:rsidR="00CC2233" w:rsidRPr="00EE280E" w:rsidRDefault="00CC2233" w:rsidP="00CC0428">
            <w:pPr>
              <w:pStyle w:val="TableText0"/>
              <w:keepLines/>
              <w:jc w:val="center"/>
            </w:pPr>
            <w:r w:rsidRPr="00EE280E">
              <w:t>Not included</w:t>
            </w:r>
          </w:p>
        </w:tc>
      </w:tr>
      <w:tr w:rsidR="00EE280E" w:rsidRPr="00EE280E" w14:paraId="361D5C35" w14:textId="77777777" w:rsidTr="00CC0428">
        <w:trPr>
          <w:cantSplit/>
          <w:jc w:val="center"/>
        </w:trPr>
        <w:tc>
          <w:tcPr>
            <w:tcW w:w="1569" w:type="pct"/>
            <w:shd w:val="clear" w:color="auto" w:fill="auto"/>
            <w:vAlign w:val="center"/>
          </w:tcPr>
          <w:p w14:paraId="6D38C008" w14:textId="77777777" w:rsidR="00CC2233" w:rsidRPr="00EE280E" w:rsidRDefault="00CC2233" w:rsidP="00CC0428">
            <w:pPr>
              <w:pStyle w:val="TableText0"/>
              <w:keepLines/>
            </w:pPr>
            <w:r w:rsidRPr="00EE280E">
              <w:t>OBR costs/ year</w:t>
            </w:r>
          </w:p>
        </w:tc>
        <w:tc>
          <w:tcPr>
            <w:tcW w:w="708" w:type="pct"/>
            <w:vAlign w:val="center"/>
          </w:tcPr>
          <w:p w14:paraId="352BE8C5" w14:textId="68A31835"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629" w:type="pct"/>
            <w:vAlign w:val="center"/>
          </w:tcPr>
          <w:p w14:paraId="708D9CC3" w14:textId="77777777" w:rsidR="00CC2233" w:rsidRPr="001F7CF2" w:rsidRDefault="00CC2233" w:rsidP="00CC0428">
            <w:pPr>
              <w:pStyle w:val="TableText0"/>
              <w:keepLines/>
              <w:jc w:val="center"/>
            </w:pPr>
            <w:r w:rsidRPr="001F7CF2">
              <w:t>$18,669.54</w:t>
            </w:r>
          </w:p>
        </w:tc>
        <w:tc>
          <w:tcPr>
            <w:tcW w:w="708" w:type="pct"/>
            <w:shd w:val="clear" w:color="auto" w:fill="auto"/>
            <w:vAlign w:val="center"/>
          </w:tcPr>
          <w:p w14:paraId="03C3E4D2" w14:textId="5C47BBAB" w:rsidR="00CC2233" w:rsidRPr="00EE280E" w:rsidRDefault="00CC2233" w:rsidP="00CC0428">
            <w:pPr>
              <w:pStyle w:val="TableText0"/>
              <w:keepLines/>
              <w:jc w:val="center"/>
            </w:pPr>
            <w:r w:rsidRPr="00EE280E">
              <w:t>$</w:t>
            </w:r>
            <w:r w:rsidR="001328F0" w:rsidRPr="001328F0">
              <w:rPr>
                <w:color w:val="000000"/>
                <w:shd w:val="solid" w:color="000000" w:fill="000000"/>
                <w14:textFill>
                  <w14:solidFill>
                    <w14:srgbClr w14:val="000000">
                      <w14:alpha w14:val="100000"/>
                    </w14:srgbClr>
                  </w14:solidFill>
                </w14:textFill>
              </w:rPr>
              <w:t>|</w:t>
            </w:r>
            <w:r w:rsidR="000E333A" w:rsidRPr="000E333A">
              <w:t xml:space="preserve"> </w:t>
            </w:r>
          </w:p>
        </w:tc>
        <w:tc>
          <w:tcPr>
            <w:tcW w:w="707" w:type="pct"/>
            <w:shd w:val="clear" w:color="auto" w:fill="auto"/>
            <w:vAlign w:val="center"/>
          </w:tcPr>
          <w:p w14:paraId="0D2E090F" w14:textId="77777777" w:rsidR="00CC2233" w:rsidRPr="001F7CF2" w:rsidRDefault="00CC2233" w:rsidP="00CC0428">
            <w:pPr>
              <w:pStyle w:val="TableText0"/>
              <w:keepLines/>
              <w:jc w:val="center"/>
            </w:pPr>
            <w:r w:rsidRPr="001F7CF2">
              <w:t>$18,669.54</w:t>
            </w:r>
          </w:p>
        </w:tc>
        <w:tc>
          <w:tcPr>
            <w:tcW w:w="679" w:type="pct"/>
            <w:vMerge/>
          </w:tcPr>
          <w:p w14:paraId="3A1E43D7" w14:textId="77777777" w:rsidR="00CC2233" w:rsidRPr="00EE280E" w:rsidRDefault="00CC2233" w:rsidP="00CC0428">
            <w:pPr>
              <w:pStyle w:val="TableText0"/>
              <w:keepLines/>
              <w:jc w:val="center"/>
            </w:pPr>
          </w:p>
        </w:tc>
      </w:tr>
      <w:tr w:rsidR="00EE280E" w:rsidRPr="00EE280E" w14:paraId="4053A255" w14:textId="77777777" w:rsidTr="00CC0428">
        <w:trPr>
          <w:cantSplit/>
          <w:jc w:val="center"/>
        </w:trPr>
        <w:tc>
          <w:tcPr>
            <w:tcW w:w="1569" w:type="pct"/>
            <w:shd w:val="clear" w:color="auto" w:fill="auto"/>
            <w:vAlign w:val="center"/>
          </w:tcPr>
          <w:p w14:paraId="1F673393" w14:textId="77777777" w:rsidR="00CC2233" w:rsidRPr="00EE280E" w:rsidRDefault="00CC2233" w:rsidP="00CC0428">
            <w:pPr>
              <w:pStyle w:val="TableText0"/>
              <w:keepLines/>
              <w:rPr>
                <w:b/>
                <w:bCs w:val="0"/>
              </w:rPr>
            </w:pPr>
            <w:r w:rsidRPr="00EE280E">
              <w:rPr>
                <w:b/>
                <w:bCs w:val="0"/>
              </w:rPr>
              <w:t>Cost/patient/year (maintenance)</w:t>
            </w:r>
          </w:p>
        </w:tc>
        <w:tc>
          <w:tcPr>
            <w:tcW w:w="708" w:type="pct"/>
            <w:vAlign w:val="center"/>
          </w:tcPr>
          <w:p w14:paraId="55324B78" w14:textId="1BF025E3" w:rsidR="00CC2233" w:rsidRPr="00EE280E" w:rsidRDefault="00CC2233" w:rsidP="00CC0428">
            <w:pPr>
              <w:pStyle w:val="TableText0"/>
              <w:keepLines/>
              <w:jc w:val="center"/>
              <w:rPr>
                <w:b/>
                <w:bCs w:val="0"/>
              </w:rPr>
            </w:pPr>
            <w:r w:rsidRPr="00EE280E">
              <w:rPr>
                <w:b/>
                <w:bCs w:val="0"/>
              </w:rPr>
              <w:t>$</w:t>
            </w:r>
            <w:r w:rsidR="001328F0" w:rsidRPr="001328F0">
              <w:rPr>
                <w:b/>
                <w:bCs w:val="0"/>
                <w:color w:val="000000"/>
                <w:shd w:val="solid" w:color="000000" w:fill="000000"/>
                <w14:textFill>
                  <w14:solidFill>
                    <w14:srgbClr w14:val="000000">
                      <w14:alpha w14:val="100000"/>
                    </w14:srgbClr>
                  </w14:solidFill>
                </w14:textFill>
              </w:rPr>
              <w:t>|</w:t>
            </w:r>
            <w:r w:rsidR="000E333A" w:rsidRPr="000E333A">
              <w:rPr>
                <w:b/>
                <w:bCs w:val="0"/>
              </w:rPr>
              <w:t xml:space="preserve"> </w:t>
            </w:r>
          </w:p>
        </w:tc>
        <w:tc>
          <w:tcPr>
            <w:tcW w:w="629" w:type="pct"/>
            <w:vAlign w:val="center"/>
          </w:tcPr>
          <w:p w14:paraId="058615DC" w14:textId="77777777" w:rsidR="00CC2233" w:rsidRPr="001F7CF2" w:rsidRDefault="00CC2233" w:rsidP="00CC0428">
            <w:pPr>
              <w:pStyle w:val="TableText0"/>
              <w:keepLines/>
              <w:jc w:val="center"/>
              <w:rPr>
                <w:b/>
                <w:bCs w:val="0"/>
              </w:rPr>
            </w:pPr>
            <w:r w:rsidRPr="001F7CF2">
              <w:rPr>
                <w:b/>
                <w:bCs w:val="0"/>
              </w:rPr>
              <w:t>$18,669.54</w:t>
            </w:r>
          </w:p>
        </w:tc>
        <w:tc>
          <w:tcPr>
            <w:tcW w:w="708" w:type="pct"/>
            <w:shd w:val="clear" w:color="auto" w:fill="auto"/>
            <w:vAlign w:val="center"/>
          </w:tcPr>
          <w:p w14:paraId="0401558B" w14:textId="23968593" w:rsidR="00CC2233" w:rsidRPr="00EE280E" w:rsidRDefault="00CC2233" w:rsidP="00CC0428">
            <w:pPr>
              <w:pStyle w:val="TableText0"/>
              <w:keepLines/>
              <w:jc w:val="center"/>
              <w:rPr>
                <w:b/>
                <w:bCs w:val="0"/>
              </w:rPr>
            </w:pPr>
            <w:r w:rsidRPr="00EE280E">
              <w:rPr>
                <w:b/>
                <w:bCs w:val="0"/>
              </w:rPr>
              <w:t>$</w:t>
            </w:r>
            <w:r w:rsidR="001328F0" w:rsidRPr="001328F0">
              <w:rPr>
                <w:b/>
                <w:bCs w:val="0"/>
                <w:color w:val="000000"/>
                <w:shd w:val="solid" w:color="000000" w:fill="000000"/>
                <w14:textFill>
                  <w14:solidFill>
                    <w14:srgbClr w14:val="000000">
                      <w14:alpha w14:val="100000"/>
                    </w14:srgbClr>
                  </w14:solidFill>
                </w14:textFill>
              </w:rPr>
              <w:t>|</w:t>
            </w:r>
            <w:r w:rsidR="000E333A" w:rsidRPr="000E333A">
              <w:rPr>
                <w:b/>
                <w:bCs w:val="0"/>
              </w:rPr>
              <w:t xml:space="preserve"> </w:t>
            </w:r>
          </w:p>
        </w:tc>
        <w:tc>
          <w:tcPr>
            <w:tcW w:w="707" w:type="pct"/>
            <w:shd w:val="clear" w:color="auto" w:fill="auto"/>
            <w:vAlign w:val="center"/>
          </w:tcPr>
          <w:p w14:paraId="423B66F3" w14:textId="77777777" w:rsidR="00CC2233" w:rsidRPr="001F7CF2" w:rsidRDefault="00CC2233" w:rsidP="00CC0428">
            <w:pPr>
              <w:pStyle w:val="TableText0"/>
              <w:keepLines/>
              <w:jc w:val="center"/>
              <w:rPr>
                <w:b/>
                <w:bCs w:val="0"/>
              </w:rPr>
            </w:pPr>
            <w:r w:rsidRPr="001F7CF2">
              <w:rPr>
                <w:b/>
                <w:bCs w:val="0"/>
              </w:rPr>
              <w:t>$18,669.54</w:t>
            </w:r>
          </w:p>
        </w:tc>
        <w:tc>
          <w:tcPr>
            <w:tcW w:w="679" w:type="pct"/>
          </w:tcPr>
          <w:p w14:paraId="7BE94D9E" w14:textId="0C7D8106" w:rsidR="00CC2233" w:rsidRPr="007D3651" w:rsidRDefault="007D3651" w:rsidP="00CC0428">
            <w:pPr>
              <w:pStyle w:val="TableText0"/>
              <w:keepLines/>
              <w:jc w:val="center"/>
              <w:rPr>
                <w:b/>
                <w:bCs w:val="0"/>
                <w:vertAlign w:val="superscript"/>
              </w:rPr>
            </w:pPr>
            <w:r>
              <w:rPr>
                <w:b/>
                <w:bCs w:val="0"/>
              </w:rPr>
              <w:t xml:space="preserve">- </w:t>
            </w:r>
            <w:r>
              <w:rPr>
                <w:b/>
                <w:bCs w:val="0"/>
                <w:vertAlign w:val="superscript"/>
              </w:rPr>
              <w:t>d</w:t>
            </w:r>
          </w:p>
        </w:tc>
      </w:tr>
    </w:tbl>
    <w:p w14:paraId="7B5C2F70" w14:textId="77777777" w:rsidR="0069434F" w:rsidRDefault="00CC2233" w:rsidP="00CC0428">
      <w:pPr>
        <w:pStyle w:val="FooterTableFigure"/>
        <w:keepNext/>
        <w:keepLines/>
      </w:pPr>
      <w:r w:rsidRPr="00EE280E">
        <w:t xml:space="preserve">Source: ‘Drug Acquisition costs’ worksheet of attached economic model. </w:t>
      </w:r>
    </w:p>
    <w:p w14:paraId="63875B23" w14:textId="73A0D018" w:rsidR="00CC2233" w:rsidRPr="00EE280E" w:rsidRDefault="00CC2233" w:rsidP="00CC0428">
      <w:pPr>
        <w:pStyle w:val="FooterTableFigure"/>
        <w:keepNext/>
        <w:keepLines/>
      </w:pPr>
      <w:r w:rsidRPr="00EE280E">
        <w:t xml:space="preserve">OBR = optimised background regimen </w:t>
      </w:r>
    </w:p>
    <w:p w14:paraId="5AC039C3" w14:textId="60E3B5FA" w:rsidR="00CC2233" w:rsidRPr="0010357D" w:rsidRDefault="00CC2233" w:rsidP="00413375">
      <w:pPr>
        <w:pStyle w:val="FooterTableFigure"/>
        <w:keepNext/>
        <w:keepLines/>
      </w:pPr>
      <w:r w:rsidRPr="008103BF">
        <w:t>a</w:t>
      </w:r>
      <w:r w:rsidR="00413375" w:rsidRPr="0010357D">
        <w:t xml:space="preserve"> </w:t>
      </w:r>
      <w:r w:rsidRPr="0010357D">
        <w:t xml:space="preserve">the financial estimates did not estimate costs of concomitant OBR or replaced therapies. </w:t>
      </w:r>
    </w:p>
    <w:p w14:paraId="1B74C4D6" w14:textId="678A2180" w:rsidR="00CC2233" w:rsidRPr="005847E9" w:rsidRDefault="00CC2233" w:rsidP="00413375">
      <w:pPr>
        <w:pStyle w:val="FooterTableFigure"/>
        <w:keepNext/>
        <w:keepLines/>
      </w:pPr>
      <w:r w:rsidRPr="008103BF">
        <w:t>b</w:t>
      </w:r>
      <w:r w:rsidR="00413375" w:rsidRPr="0010357D">
        <w:t xml:space="preserve"> </w:t>
      </w:r>
      <w:r w:rsidRPr="0010357D">
        <w:t xml:space="preserve">CAPELLA dosing differed from the </w:t>
      </w:r>
      <w:r w:rsidR="00D8139C" w:rsidRPr="0010357D">
        <w:t>draft product information</w:t>
      </w:r>
      <w:r w:rsidRPr="0010357D">
        <w:t>, and consequently economic and financial estimates in that a 5 tablet rather than 4 tablet loading phase was specified. This has been calculated by pro-rating the 4-tablet estimate of $</w:t>
      </w:r>
      <w:r w:rsidR="001328F0" w:rsidRPr="00732FB5">
        <w:rPr>
          <w:color w:val="000000"/>
          <w:spacing w:val="23"/>
          <w:shd w:val="solid" w:color="000000" w:fill="000000"/>
          <w:fitText w:val="230" w:id="-1290615796"/>
          <w14:textFill>
            <w14:solidFill>
              <w14:srgbClr w14:val="000000">
                <w14:alpha w14:val="100000"/>
              </w14:srgbClr>
            </w14:solidFill>
          </w14:textFill>
        </w:rPr>
        <w:t xml:space="preserve">|  </w:t>
      </w:r>
      <w:r w:rsidR="001328F0" w:rsidRPr="00732FB5">
        <w:rPr>
          <w:color w:val="000000"/>
          <w:spacing w:val="3"/>
          <w:shd w:val="solid" w:color="000000" w:fill="000000"/>
          <w:fitText w:val="230" w:id="-1290615796"/>
          <w14:textFill>
            <w14:solidFill>
              <w14:srgbClr w14:val="000000">
                <w14:alpha w14:val="100000"/>
              </w14:srgbClr>
            </w14:solidFill>
          </w14:textFill>
        </w:rPr>
        <w:t>|</w:t>
      </w:r>
      <w:r w:rsidR="009109F2" w:rsidRPr="008E1071">
        <w:rPr>
          <w:vertAlign w:val="superscript"/>
        </w:rPr>
        <w:t>1</w:t>
      </w:r>
      <w:r w:rsidRPr="0010357D">
        <w:t>.</w:t>
      </w:r>
    </w:p>
    <w:p w14:paraId="69AFF4CC" w14:textId="0FA8F174" w:rsidR="00CC2233" w:rsidRPr="005847E9" w:rsidRDefault="00CC2233" w:rsidP="00413375">
      <w:pPr>
        <w:pStyle w:val="FooterTableFigure"/>
        <w:keepNext/>
        <w:keepLines/>
      </w:pPr>
      <w:r w:rsidRPr="008103BF">
        <w:t>c</w:t>
      </w:r>
      <w:r w:rsidR="00413375" w:rsidRPr="0010357D">
        <w:t xml:space="preserve"> </w:t>
      </w:r>
      <w:r w:rsidRPr="0010357D">
        <w:t xml:space="preserve">OBR costs are a weighted average of </w:t>
      </w:r>
      <w:r w:rsidR="00352EC5" w:rsidRPr="0010357D">
        <w:t>3-month</w:t>
      </w:r>
      <w:r w:rsidRPr="0010357D">
        <w:t xml:space="preserve"> costs of individual components based on use in the CAPELLA trial with an adjustment to remove non-PBS-listed regimens. </w:t>
      </w:r>
    </w:p>
    <w:p w14:paraId="2C935A2D" w14:textId="23713BB0" w:rsidR="007D3651" w:rsidRPr="007D3651" w:rsidRDefault="007D3651" w:rsidP="00413375">
      <w:pPr>
        <w:pStyle w:val="FooterTableFigure"/>
        <w:keepNext/>
        <w:keepLines/>
      </w:pPr>
      <w:r w:rsidRPr="008103BF">
        <w:t>d</w:t>
      </w:r>
      <w:r w:rsidR="00413375" w:rsidRPr="0010357D">
        <w:t xml:space="preserve"> </w:t>
      </w:r>
      <w:r w:rsidRPr="0010357D">
        <w:t>Not</w:t>
      </w:r>
      <w:r>
        <w:t xml:space="preserve"> estimable as OBR costs were not include in financial estimates</w:t>
      </w:r>
    </w:p>
    <w:p w14:paraId="1682804C" w14:textId="77777777" w:rsidR="000C242D" w:rsidRDefault="000C242D" w:rsidP="000C242D">
      <w:pPr>
        <w:pStyle w:val="TableFigureFooter"/>
        <w:keepNext/>
        <w:spacing w:after="0"/>
        <w:contextualSpacing w:val="0"/>
        <w:rPr>
          <w:i/>
        </w:rPr>
      </w:pPr>
      <w:bookmarkStart w:id="76" w:name="_Hlk112839435"/>
      <w:r w:rsidRPr="0045628D">
        <w:rPr>
          <w:i/>
        </w:rPr>
        <w:t>The redacted values correspond to the following ranges:</w:t>
      </w:r>
      <w:bookmarkEnd w:id="76"/>
    </w:p>
    <w:p w14:paraId="49C5F97B" w14:textId="6ABAACC2" w:rsidR="000C242D" w:rsidRPr="000C242D" w:rsidRDefault="000C242D" w:rsidP="008E1071">
      <w:pPr>
        <w:pStyle w:val="TableFigureFooter"/>
        <w:keepNext/>
        <w:spacing w:after="0"/>
        <w:contextualSpacing w:val="0"/>
        <w:rPr>
          <w:i/>
        </w:rPr>
      </w:pPr>
      <w:r>
        <w:rPr>
          <w:i/>
          <w:szCs w:val="18"/>
          <w:vertAlign w:val="superscript"/>
        </w:rPr>
        <w:t>1</w:t>
      </w:r>
      <w:r w:rsidRPr="0045628D">
        <w:rPr>
          <w:i/>
          <w:szCs w:val="18"/>
        </w:rPr>
        <w:t xml:space="preserve"> $0 to &lt;$10 million</w:t>
      </w:r>
    </w:p>
    <w:p w14:paraId="1C9EF9E8" w14:textId="6B563994" w:rsidR="000C242D" w:rsidRPr="0045628D" w:rsidRDefault="000C242D" w:rsidP="000C242D">
      <w:pPr>
        <w:rPr>
          <w:rFonts w:ascii="Arial Narrow" w:hAnsi="Arial Narrow"/>
          <w:i/>
          <w:sz w:val="18"/>
          <w:szCs w:val="18"/>
          <w:vertAlign w:val="superscript"/>
        </w:rPr>
      </w:pPr>
      <w:r>
        <w:rPr>
          <w:rFonts w:ascii="Arial Narrow" w:hAnsi="Arial Narrow"/>
          <w:sz w:val="18"/>
          <w:szCs w:val="18"/>
          <w:vertAlign w:val="superscript"/>
        </w:rPr>
        <w:t>2</w:t>
      </w:r>
      <w:r w:rsidRPr="0045628D">
        <w:rPr>
          <w:rFonts w:ascii="Arial Narrow" w:hAnsi="Arial Narrow"/>
          <w:sz w:val="18"/>
          <w:szCs w:val="18"/>
          <w:vertAlign w:val="superscript"/>
        </w:rPr>
        <w:t xml:space="preserve"> </w:t>
      </w:r>
      <w:r w:rsidRPr="0045628D">
        <w:rPr>
          <w:rFonts w:ascii="Arial Narrow" w:hAnsi="Arial Narrow"/>
          <w:i/>
          <w:sz w:val="18"/>
          <w:szCs w:val="18"/>
        </w:rPr>
        <w:t>$20 million to &lt;$30 million</w:t>
      </w:r>
    </w:p>
    <w:p w14:paraId="19E60A48" w14:textId="6F2F21B1" w:rsidR="000C242D" w:rsidRPr="0045628D" w:rsidRDefault="000C242D" w:rsidP="008E1071">
      <w:pPr>
        <w:spacing w:after="120"/>
        <w:rPr>
          <w:rFonts w:ascii="Arial Narrow" w:hAnsi="Arial Narrow"/>
          <w:i/>
          <w:sz w:val="18"/>
          <w:szCs w:val="18"/>
        </w:rPr>
      </w:pPr>
      <w:r>
        <w:rPr>
          <w:rFonts w:ascii="Arial Narrow" w:hAnsi="Arial Narrow"/>
          <w:sz w:val="18"/>
          <w:szCs w:val="18"/>
          <w:vertAlign w:val="superscript"/>
        </w:rPr>
        <w:t xml:space="preserve">3 </w:t>
      </w:r>
      <w:r w:rsidRPr="0045628D">
        <w:rPr>
          <w:rFonts w:ascii="Arial Narrow" w:hAnsi="Arial Narrow"/>
          <w:i/>
          <w:sz w:val="18"/>
          <w:szCs w:val="18"/>
        </w:rPr>
        <w:t>$40 million to &lt;$50 million</w:t>
      </w:r>
    </w:p>
    <w:p w14:paraId="5A8B2A4B" w14:textId="7A0E9603" w:rsidR="00CC2233" w:rsidRDefault="00CC2233" w:rsidP="00CC2233">
      <w:pPr>
        <w:pStyle w:val="3-BodyText"/>
        <w:rPr>
          <w:snapToGrid/>
        </w:rPr>
      </w:pPr>
      <w:bookmarkStart w:id="77" w:name="_Hlk107307804"/>
      <w:r w:rsidRPr="00C4404D">
        <w:rPr>
          <w:snapToGrid/>
          <w:color w:val="000000" w:themeColor="text1"/>
        </w:rPr>
        <w:t xml:space="preserve">The total cost of lenacapavir + OBR for one year of maintenance treatment </w:t>
      </w:r>
      <w:r w:rsidR="007D3651">
        <w:rPr>
          <w:snapToGrid/>
          <w:color w:val="000000" w:themeColor="text1"/>
        </w:rPr>
        <w:t>wa</w:t>
      </w:r>
      <w:r w:rsidRPr="00C4404D">
        <w:rPr>
          <w:snapToGrid/>
          <w:color w:val="000000" w:themeColor="text1"/>
        </w:rPr>
        <w:t>s $</w:t>
      </w:r>
      <w:r w:rsidR="001328F0" w:rsidRPr="00732FB5">
        <w:rPr>
          <w:snapToGrid/>
          <w:color w:val="000000" w:themeColor="text1"/>
          <w:w w:val="61"/>
          <w:shd w:val="solid" w:color="000000" w:fill="000000"/>
          <w:fitText w:val="340" w:id="-1290615795"/>
          <w14:textFill>
            <w14:solidFill>
              <w14:schemeClr w14:val="tx1">
                <w14:alpha w14:val="100000"/>
              </w14:schemeClr>
            </w14:solidFill>
          </w14:textFill>
        </w:rPr>
        <w:t>||  |</w:t>
      </w:r>
      <w:r w:rsidR="001328F0" w:rsidRPr="00732FB5">
        <w:rPr>
          <w:snapToGrid/>
          <w:color w:val="000000" w:themeColor="text1"/>
          <w:spacing w:val="4"/>
          <w:w w:val="61"/>
          <w:shd w:val="solid" w:color="000000" w:fill="000000"/>
          <w:fitText w:val="340" w:id="-1290615795"/>
          <w14:textFill>
            <w14:solidFill>
              <w14:schemeClr w14:val="tx1">
                <w14:alpha w14:val="100000"/>
              </w14:schemeClr>
            </w14:solidFill>
          </w14:textFill>
        </w:rPr>
        <w:t>|</w:t>
      </w:r>
      <w:r w:rsidR="000E333A" w:rsidRPr="000E333A">
        <w:rPr>
          <w:snapToGrid/>
          <w:color w:val="000000" w:themeColor="text1"/>
        </w:rPr>
        <w:t xml:space="preserve"> </w:t>
      </w:r>
      <w:r w:rsidRPr="00C4404D">
        <w:rPr>
          <w:snapToGrid/>
          <w:color w:val="000000" w:themeColor="text1"/>
        </w:rPr>
        <w:t>based on a</w:t>
      </w:r>
      <w:r w:rsidR="003F2F86">
        <w:rPr>
          <w:snapToGrid/>
          <w:color w:val="000000" w:themeColor="text1"/>
        </w:rPr>
        <w:t>n effective</w:t>
      </w:r>
      <w:r w:rsidRPr="00C4404D">
        <w:rPr>
          <w:snapToGrid/>
          <w:color w:val="000000" w:themeColor="text1"/>
        </w:rPr>
        <w:t xml:space="preserve"> DMPQ </w:t>
      </w:r>
      <w:r w:rsidRPr="009109F2">
        <w:rPr>
          <w:snapToGrid/>
          <w:color w:val="000000" w:themeColor="text1"/>
        </w:rPr>
        <w:t>of $</w:t>
      </w:r>
      <w:r w:rsidR="001328F0" w:rsidRPr="0050086F">
        <w:rPr>
          <w:snapToGrid/>
          <w:color w:val="000000" w:themeColor="text1"/>
          <w:w w:val="15"/>
          <w:shd w:val="solid" w:color="000000" w:fill="000000"/>
          <w:fitText w:val="-20" w:id="-1290615794"/>
          <w14:textFill>
            <w14:solidFill>
              <w14:schemeClr w14:val="tx1">
                <w14:alpha w14:val="100000"/>
              </w14:schemeClr>
            </w14:solidFill>
          </w14:textFill>
        </w:rPr>
        <w:t xml:space="preserve">|  </w:t>
      </w:r>
      <w:r w:rsidR="001328F0" w:rsidRPr="0050086F">
        <w:rPr>
          <w:snapToGrid/>
          <w:color w:val="000000" w:themeColor="text1"/>
          <w:spacing w:val="-69"/>
          <w:w w:val="15"/>
          <w:shd w:val="solid" w:color="000000" w:fill="000000"/>
          <w:fitText w:val="-20" w:id="-1290615794"/>
          <w14:textFill>
            <w14:solidFill>
              <w14:schemeClr w14:val="tx1">
                <w14:alpha w14:val="100000"/>
              </w14:schemeClr>
            </w14:solidFill>
          </w14:textFill>
        </w:rPr>
        <w:t>|</w:t>
      </w:r>
      <w:r w:rsidR="000E333A" w:rsidRPr="000E333A">
        <w:rPr>
          <w:snapToGrid/>
          <w:color w:val="000000" w:themeColor="text1"/>
        </w:rPr>
        <w:t xml:space="preserve"> </w:t>
      </w:r>
      <w:r w:rsidRPr="00C4404D">
        <w:rPr>
          <w:snapToGrid/>
          <w:color w:val="000000" w:themeColor="text1"/>
        </w:rPr>
        <w:t>for lenacapavir and two injections per year</w:t>
      </w:r>
      <w:r w:rsidR="00E8326F">
        <w:rPr>
          <w:snapToGrid/>
          <w:color w:val="000000" w:themeColor="text1"/>
        </w:rPr>
        <w:t xml:space="preserve"> (requested effective AEMP of $</w:t>
      </w:r>
      <w:r w:rsidR="001328F0" w:rsidRPr="0050086F">
        <w:rPr>
          <w:snapToGrid/>
          <w:color w:val="000000" w:themeColor="text1"/>
          <w:w w:val="15"/>
          <w:shd w:val="solid" w:color="000000" w:fill="000000"/>
          <w:fitText w:val="-20" w:id="-1290615793"/>
          <w14:textFill>
            <w14:solidFill>
              <w14:schemeClr w14:val="tx1">
                <w14:alpha w14:val="100000"/>
              </w14:schemeClr>
            </w14:solidFill>
          </w14:textFill>
        </w:rPr>
        <w:t xml:space="preserve">|  </w:t>
      </w:r>
      <w:r w:rsidR="001328F0" w:rsidRPr="0050086F">
        <w:rPr>
          <w:snapToGrid/>
          <w:color w:val="000000" w:themeColor="text1"/>
          <w:spacing w:val="-69"/>
          <w:w w:val="15"/>
          <w:shd w:val="solid" w:color="000000" w:fill="000000"/>
          <w:fitText w:val="-20" w:id="-1290615793"/>
          <w14:textFill>
            <w14:solidFill>
              <w14:schemeClr w14:val="tx1">
                <w14:alpha w14:val="100000"/>
              </w14:schemeClr>
            </w14:solidFill>
          </w14:textFill>
        </w:rPr>
        <w:t>|</w:t>
      </w:r>
      <w:r w:rsidR="000E333A" w:rsidRPr="000E333A">
        <w:rPr>
          <w:snapToGrid/>
          <w:color w:val="000000" w:themeColor="text1"/>
        </w:rPr>
        <w:t xml:space="preserve"> </w:t>
      </w:r>
      <w:r w:rsidR="00E8326F">
        <w:rPr>
          <w:snapToGrid/>
          <w:color w:val="000000" w:themeColor="text1"/>
        </w:rPr>
        <w:t>per injection set and a maximum quantity of 2)</w:t>
      </w:r>
      <w:r w:rsidRPr="00C4404D">
        <w:rPr>
          <w:snapToGrid/>
          <w:color w:val="000000" w:themeColor="text1"/>
        </w:rPr>
        <w:t xml:space="preserve">, and total one-year costs of OBR </w:t>
      </w:r>
      <w:r w:rsidRPr="001F7CF2">
        <w:rPr>
          <w:snapToGrid/>
          <w:color w:val="000000" w:themeColor="text1"/>
        </w:rPr>
        <w:t>of $18,669.54</w:t>
      </w:r>
      <w:r w:rsidRPr="00C4404D">
        <w:rPr>
          <w:snapToGrid/>
          <w:color w:val="000000" w:themeColor="text1"/>
        </w:rPr>
        <w:t xml:space="preserve"> based on a </w:t>
      </w:r>
      <w:r w:rsidRPr="007D3651">
        <w:rPr>
          <w:snapToGrid/>
        </w:rPr>
        <w:t xml:space="preserve">weighted basket of OBR costs based on CAPELLA OBR use. </w:t>
      </w:r>
      <w:r w:rsidR="007D3651" w:rsidRPr="007D3651">
        <w:rPr>
          <w:snapToGrid/>
        </w:rPr>
        <w:t>T</w:t>
      </w:r>
      <w:r w:rsidRPr="007D3651">
        <w:rPr>
          <w:snapToGrid/>
        </w:rPr>
        <w:t>his compared to a cost of $</w:t>
      </w:r>
      <w:r w:rsidRPr="001F7CF2">
        <w:rPr>
          <w:snapToGrid/>
        </w:rPr>
        <w:t>18,669.54 for</w:t>
      </w:r>
      <w:r w:rsidRPr="007D3651">
        <w:rPr>
          <w:snapToGrid/>
        </w:rPr>
        <w:t xml:space="preserve"> OBR. The model and financial estimates of oral loading costs differed from those in the clinical evidence because the </w:t>
      </w:r>
      <w:r w:rsidR="00D8139C">
        <w:rPr>
          <w:snapToGrid/>
        </w:rPr>
        <w:t>product information</w:t>
      </w:r>
      <w:r w:rsidRPr="007D3651">
        <w:rPr>
          <w:snapToGrid/>
        </w:rPr>
        <w:t xml:space="preserve"> specified a total of </w:t>
      </w:r>
      <w:r w:rsidR="007B531A">
        <w:rPr>
          <w:snapToGrid/>
        </w:rPr>
        <w:t>four</w:t>
      </w:r>
      <w:r w:rsidRPr="007D3651">
        <w:rPr>
          <w:snapToGrid/>
        </w:rPr>
        <w:t xml:space="preserve"> tablets for initiation and the CAPELLA trial specified </w:t>
      </w:r>
      <w:r w:rsidR="007B531A">
        <w:rPr>
          <w:snapToGrid/>
        </w:rPr>
        <w:t xml:space="preserve">five (see paragraph </w:t>
      </w:r>
      <w:r w:rsidR="007B531A">
        <w:rPr>
          <w:snapToGrid/>
        </w:rPr>
        <w:fldChar w:fldCharType="begin"/>
      </w:r>
      <w:r w:rsidR="007B531A">
        <w:rPr>
          <w:snapToGrid/>
        </w:rPr>
        <w:instrText xml:space="preserve"> REF _Ref113292781 \r \h </w:instrText>
      </w:r>
      <w:r w:rsidR="007B531A">
        <w:rPr>
          <w:snapToGrid/>
        </w:rPr>
      </w:r>
      <w:r w:rsidR="007B531A">
        <w:rPr>
          <w:snapToGrid/>
        </w:rPr>
        <w:fldChar w:fldCharType="separate"/>
      </w:r>
      <w:r w:rsidR="0050086F">
        <w:rPr>
          <w:snapToGrid/>
        </w:rPr>
        <w:t>6.8</w:t>
      </w:r>
      <w:r w:rsidR="007B531A">
        <w:rPr>
          <w:snapToGrid/>
        </w:rPr>
        <w:fldChar w:fldCharType="end"/>
      </w:r>
      <w:r w:rsidR="007B531A">
        <w:rPr>
          <w:snapToGrid/>
        </w:rPr>
        <w:t>)</w:t>
      </w:r>
      <w:r w:rsidRPr="007D3651">
        <w:rPr>
          <w:snapToGrid/>
        </w:rPr>
        <w:t xml:space="preserve">. The financial estimates did not estimate OBR costs. </w:t>
      </w:r>
    </w:p>
    <w:p w14:paraId="51A29EA1" w14:textId="482254AC" w:rsidR="003F2F86" w:rsidRPr="007D3651" w:rsidRDefault="003F2F86" w:rsidP="00CC2233">
      <w:pPr>
        <w:pStyle w:val="3-BodyText"/>
        <w:rPr>
          <w:snapToGrid/>
        </w:rPr>
      </w:pPr>
      <w:r>
        <w:rPr>
          <w:snapToGrid/>
          <w:color w:val="000000" w:themeColor="text1"/>
        </w:rPr>
        <w:lastRenderedPageBreak/>
        <w:t>At the proposed published price, the annual cost of lenacapavir treatment was $</w:t>
      </w:r>
      <w:r w:rsidR="001328F0" w:rsidRPr="00732FB5">
        <w:rPr>
          <w:snapToGrid/>
          <w:color w:val="000000" w:themeColor="text1"/>
          <w:w w:val="61"/>
          <w:shd w:val="solid" w:color="000000" w:fill="000000"/>
          <w:fitText w:val="340" w:id="-1290615792"/>
          <w14:textFill>
            <w14:solidFill>
              <w14:schemeClr w14:val="tx1">
                <w14:alpha w14:val="100000"/>
              </w14:schemeClr>
            </w14:solidFill>
          </w14:textFill>
        </w:rPr>
        <w:t>||  |</w:t>
      </w:r>
      <w:r w:rsidR="001328F0" w:rsidRPr="00732FB5">
        <w:rPr>
          <w:snapToGrid/>
          <w:color w:val="000000" w:themeColor="text1"/>
          <w:spacing w:val="4"/>
          <w:w w:val="61"/>
          <w:shd w:val="solid" w:color="000000" w:fill="000000"/>
          <w:fitText w:val="340" w:id="-1290615792"/>
          <w14:textFill>
            <w14:solidFill>
              <w14:schemeClr w14:val="tx1">
                <w14:alpha w14:val="100000"/>
              </w14:schemeClr>
            </w14:solidFill>
          </w14:textFill>
        </w:rPr>
        <w:t>|</w:t>
      </w:r>
      <w:r w:rsidR="000E333A" w:rsidRPr="000E333A">
        <w:rPr>
          <w:snapToGrid/>
          <w:color w:val="000000" w:themeColor="text1"/>
        </w:rPr>
        <w:t xml:space="preserve"> </w:t>
      </w:r>
      <w:r>
        <w:rPr>
          <w:snapToGrid/>
          <w:color w:val="000000" w:themeColor="text1"/>
        </w:rPr>
        <w:t>(based on two injections per year at a published DPMQ of $</w:t>
      </w:r>
      <w:r w:rsidR="001328F0" w:rsidRPr="0050086F">
        <w:rPr>
          <w:snapToGrid/>
          <w:color w:val="000000" w:themeColor="text1"/>
          <w:w w:val="15"/>
          <w:shd w:val="solid" w:color="000000" w:fill="000000"/>
          <w:fitText w:val="-20" w:id="-1290615808"/>
          <w14:textFill>
            <w14:solidFill>
              <w14:schemeClr w14:val="tx1">
                <w14:alpha w14:val="100000"/>
              </w14:schemeClr>
            </w14:solidFill>
          </w14:textFill>
        </w:rPr>
        <w:t xml:space="preserve">|  </w:t>
      </w:r>
      <w:r w:rsidR="001328F0" w:rsidRPr="0050086F">
        <w:rPr>
          <w:snapToGrid/>
          <w:color w:val="000000" w:themeColor="text1"/>
          <w:spacing w:val="-69"/>
          <w:w w:val="15"/>
          <w:shd w:val="solid" w:color="000000" w:fill="000000"/>
          <w:fitText w:val="-20" w:id="-1290615808"/>
          <w14:textFill>
            <w14:solidFill>
              <w14:schemeClr w14:val="tx1">
                <w14:alpha w14:val="100000"/>
              </w14:schemeClr>
            </w14:solidFill>
          </w14:textFill>
        </w:rPr>
        <w:t>|</w:t>
      </w:r>
      <w:r>
        <w:rPr>
          <w:snapToGrid/>
          <w:color w:val="000000" w:themeColor="text1"/>
        </w:rPr>
        <w:t xml:space="preserve">), with an additional cost </w:t>
      </w:r>
      <w:r w:rsidRPr="001F7CF2">
        <w:rPr>
          <w:snapToGrid/>
          <w:color w:val="000000" w:themeColor="text1"/>
        </w:rPr>
        <w:t>of $</w:t>
      </w:r>
      <w:r w:rsidR="001328F0" w:rsidRPr="0050086F">
        <w:rPr>
          <w:snapToGrid/>
          <w:color w:val="000000" w:themeColor="text1"/>
          <w:w w:val="15"/>
          <w:shd w:val="solid" w:color="000000" w:fill="000000"/>
          <w:fitText w:val="-20" w:id="-1290615807"/>
          <w14:textFill>
            <w14:solidFill>
              <w14:schemeClr w14:val="tx1">
                <w14:alpha w14:val="100000"/>
              </w14:schemeClr>
            </w14:solidFill>
          </w14:textFill>
        </w:rPr>
        <w:t xml:space="preserve">|  </w:t>
      </w:r>
      <w:r w:rsidR="001328F0" w:rsidRPr="0050086F">
        <w:rPr>
          <w:snapToGrid/>
          <w:color w:val="000000" w:themeColor="text1"/>
          <w:spacing w:val="-69"/>
          <w:w w:val="15"/>
          <w:shd w:val="solid" w:color="000000" w:fill="000000"/>
          <w:fitText w:val="-20" w:id="-1290615807"/>
          <w14:textFill>
            <w14:solidFill>
              <w14:schemeClr w14:val="tx1">
                <w14:alpha w14:val="100000"/>
              </w14:schemeClr>
            </w14:solidFill>
          </w14:textFill>
        </w:rPr>
        <w:t>|</w:t>
      </w:r>
      <w:r w:rsidR="000E333A" w:rsidRPr="000E333A">
        <w:rPr>
          <w:snapToGrid/>
          <w:color w:val="000000" w:themeColor="text1"/>
        </w:rPr>
        <w:t xml:space="preserve"> </w:t>
      </w:r>
      <w:r w:rsidRPr="001F7CF2">
        <w:rPr>
          <w:snapToGrid/>
          <w:color w:val="000000" w:themeColor="text1"/>
        </w:rPr>
        <w:t>in the</w:t>
      </w:r>
      <w:r>
        <w:rPr>
          <w:snapToGrid/>
          <w:color w:val="000000" w:themeColor="text1"/>
        </w:rPr>
        <w:t xml:space="preserve"> first year of treatment for the oral loading dose</w:t>
      </w:r>
      <w:r w:rsidR="00E8326F">
        <w:rPr>
          <w:snapToGrid/>
          <w:color w:val="000000" w:themeColor="text1"/>
        </w:rPr>
        <w:t xml:space="preserve"> (at published prices) </w:t>
      </w:r>
      <w:r w:rsidR="00E8326F" w:rsidRPr="00E52AC5">
        <w:rPr>
          <w:snapToGrid/>
          <w:color w:val="000000" w:themeColor="text1"/>
        </w:rPr>
        <w:t>(clarified price for the oral tablets provided in the PSCR, Table 3)</w:t>
      </w:r>
      <w:r w:rsidRPr="00E52AC5">
        <w:rPr>
          <w:snapToGrid/>
          <w:color w:val="000000" w:themeColor="text1"/>
        </w:rPr>
        <w:t>.</w:t>
      </w:r>
    </w:p>
    <w:p w14:paraId="27E25DBC" w14:textId="77777777" w:rsidR="00CC2233" w:rsidRPr="00C4404D" w:rsidRDefault="00CC2233" w:rsidP="00CC2233">
      <w:pPr>
        <w:pStyle w:val="4-SubsectionHeading"/>
      </w:pPr>
      <w:bookmarkStart w:id="78" w:name="_Toc22897647"/>
      <w:bookmarkStart w:id="79" w:name="_Toc114048775"/>
      <w:bookmarkEnd w:id="77"/>
      <w:r w:rsidRPr="00C4404D">
        <w:t>Estimated PBS usage &amp; financial implications</w:t>
      </w:r>
      <w:bookmarkEnd w:id="78"/>
      <w:bookmarkEnd w:id="79"/>
    </w:p>
    <w:p w14:paraId="7A8AA9A3" w14:textId="7D76F1F2" w:rsidR="00735FA4" w:rsidRDefault="00735FA4" w:rsidP="00735FA4">
      <w:pPr>
        <w:pStyle w:val="3-BodyText"/>
      </w:pPr>
      <w:r>
        <w:t xml:space="preserve">This submission was considered by DUSC. The submission took an epidemiological approach to estimating use and financial implications. </w:t>
      </w:r>
    </w:p>
    <w:p w14:paraId="349ACD40" w14:textId="4BA50D0F" w:rsidR="0081132F" w:rsidRDefault="00735FA4" w:rsidP="00735FA4">
      <w:pPr>
        <w:pStyle w:val="3-BodyText"/>
        <w:snapToGrid w:val="0"/>
      </w:pPr>
      <w:r>
        <w:fldChar w:fldCharType="begin"/>
      </w:r>
      <w:r>
        <w:instrText xml:space="preserve"> REF _Ref104805262 \h  \* MERGEFORMAT </w:instrText>
      </w:r>
      <w:r>
        <w:fldChar w:fldCharType="separate"/>
      </w:r>
      <w:r w:rsidR="0050086F">
        <w:t>Table 16</w:t>
      </w:r>
      <w:r>
        <w:fldChar w:fldCharType="end"/>
      </w:r>
      <w:r>
        <w:t xml:space="preserve"> presents the key inputs for financial estimates. </w:t>
      </w:r>
    </w:p>
    <w:p w14:paraId="024E0404" w14:textId="6A64938C" w:rsidR="00735FA4" w:rsidRDefault="0081132F" w:rsidP="008E1071">
      <w:pPr>
        <w:jc w:val="left"/>
      </w:pPr>
      <w:r>
        <w:br w:type="page"/>
      </w:r>
    </w:p>
    <w:p w14:paraId="31C0CD9E" w14:textId="3BB1227B" w:rsidR="00735FA4" w:rsidRDefault="00735FA4" w:rsidP="00735FA4">
      <w:pPr>
        <w:pStyle w:val="Caption"/>
        <w:rPr>
          <w:rStyle w:val="CommentReference"/>
          <w:b/>
          <w:bCs w:val="0"/>
          <w:szCs w:val="24"/>
        </w:rPr>
      </w:pPr>
      <w:bookmarkStart w:id="80" w:name="_Ref104805262"/>
      <w:r>
        <w:lastRenderedPageBreak/>
        <w:t xml:space="preserve">Table </w:t>
      </w:r>
      <w:fldSimple w:instr=" SEQ Table \* ARABIC ">
        <w:r w:rsidR="0050086F">
          <w:rPr>
            <w:noProof/>
          </w:rPr>
          <w:t>16</w:t>
        </w:r>
      </w:fldSimple>
      <w:bookmarkEnd w:id="80"/>
      <w:r>
        <w:t>:</w:t>
      </w:r>
      <w:r>
        <w:rPr>
          <w:rStyle w:val="CommentReference"/>
          <w:szCs w:val="24"/>
        </w:rPr>
        <w:t xml:space="preserve"> </w:t>
      </w:r>
      <w:r w:rsidRPr="00B81B86">
        <w:rPr>
          <w:rStyle w:val="CommentReference"/>
          <w:b/>
          <w:bCs w:val="0"/>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936"/>
        <w:gridCol w:w="918"/>
        <w:gridCol w:w="1057"/>
        <w:gridCol w:w="6106"/>
      </w:tblGrid>
      <w:tr w:rsidR="00735FA4" w14:paraId="13B43FDA" w14:textId="77777777" w:rsidTr="00735FA4">
        <w:trPr>
          <w:tblHeader/>
        </w:trPr>
        <w:tc>
          <w:tcPr>
            <w:tcW w:w="519" w:type="pct"/>
            <w:tcBorders>
              <w:top w:val="single" w:sz="4" w:space="0" w:color="auto"/>
              <w:left w:val="single" w:sz="4" w:space="0" w:color="auto"/>
              <w:bottom w:val="single" w:sz="4" w:space="0" w:color="auto"/>
              <w:right w:val="single" w:sz="4" w:space="0" w:color="auto"/>
            </w:tcBorders>
            <w:vAlign w:val="center"/>
            <w:hideMark/>
          </w:tcPr>
          <w:p w14:paraId="4C9CF72C" w14:textId="77777777" w:rsidR="00735FA4" w:rsidRPr="00B81B86" w:rsidRDefault="00735FA4">
            <w:pPr>
              <w:pStyle w:val="In-tableHeading"/>
              <w:jc w:val="center"/>
              <w:rPr>
                <w:lang w:val="en-AU"/>
              </w:rPr>
            </w:pPr>
            <w:r w:rsidRPr="00B81B86">
              <w:rPr>
                <w:lang w:val="en-AU"/>
              </w:rPr>
              <w:t>Data</w:t>
            </w:r>
          </w:p>
        </w:tc>
        <w:tc>
          <w:tcPr>
            <w:tcW w:w="509" w:type="pct"/>
            <w:tcBorders>
              <w:top w:val="single" w:sz="4" w:space="0" w:color="auto"/>
              <w:left w:val="single" w:sz="4" w:space="0" w:color="auto"/>
              <w:bottom w:val="single" w:sz="4" w:space="0" w:color="auto"/>
              <w:right w:val="single" w:sz="4" w:space="0" w:color="auto"/>
            </w:tcBorders>
            <w:vAlign w:val="center"/>
            <w:hideMark/>
          </w:tcPr>
          <w:p w14:paraId="3CC3257B" w14:textId="77777777" w:rsidR="00735FA4" w:rsidRPr="00B81B86" w:rsidRDefault="00735FA4">
            <w:pPr>
              <w:pStyle w:val="In-tableHeading"/>
              <w:jc w:val="center"/>
              <w:rPr>
                <w:lang w:val="en-AU"/>
              </w:rPr>
            </w:pPr>
            <w:r w:rsidRPr="00B81B86">
              <w:rPr>
                <w:lang w:val="en-AU"/>
              </w:rPr>
              <w:t>Value</w:t>
            </w:r>
          </w:p>
        </w:tc>
        <w:tc>
          <w:tcPr>
            <w:tcW w:w="586" w:type="pct"/>
            <w:tcBorders>
              <w:top w:val="single" w:sz="4" w:space="0" w:color="auto"/>
              <w:left w:val="single" w:sz="4" w:space="0" w:color="auto"/>
              <w:bottom w:val="single" w:sz="4" w:space="0" w:color="auto"/>
              <w:right w:val="single" w:sz="4" w:space="0" w:color="auto"/>
            </w:tcBorders>
            <w:vAlign w:val="center"/>
            <w:hideMark/>
          </w:tcPr>
          <w:p w14:paraId="2581B900" w14:textId="77777777" w:rsidR="00735FA4" w:rsidRPr="00B81B86" w:rsidRDefault="00735FA4">
            <w:pPr>
              <w:pStyle w:val="In-tableHeading"/>
              <w:jc w:val="center"/>
              <w:rPr>
                <w:lang w:val="en-AU"/>
              </w:rPr>
            </w:pPr>
            <w:r w:rsidRPr="00B81B86">
              <w:rPr>
                <w:lang w:val="en-AU"/>
              </w:rPr>
              <w:t>Source</w:t>
            </w:r>
          </w:p>
        </w:tc>
        <w:tc>
          <w:tcPr>
            <w:tcW w:w="3387" w:type="pct"/>
            <w:tcBorders>
              <w:top w:val="single" w:sz="4" w:space="0" w:color="auto"/>
              <w:left w:val="single" w:sz="4" w:space="0" w:color="auto"/>
              <w:bottom w:val="single" w:sz="4" w:space="0" w:color="auto"/>
              <w:right w:val="single" w:sz="4" w:space="0" w:color="auto"/>
            </w:tcBorders>
            <w:vAlign w:val="center"/>
            <w:hideMark/>
          </w:tcPr>
          <w:p w14:paraId="7CA2FC41" w14:textId="77777777" w:rsidR="00735FA4" w:rsidRPr="00B81B86" w:rsidRDefault="00735FA4">
            <w:pPr>
              <w:pStyle w:val="In-tableHeading"/>
              <w:jc w:val="center"/>
              <w:rPr>
                <w:lang w:val="en-AU"/>
              </w:rPr>
            </w:pPr>
            <w:r w:rsidRPr="00B81B86">
              <w:rPr>
                <w:lang w:val="en-AU"/>
              </w:rPr>
              <w:t>Comment</w:t>
            </w:r>
          </w:p>
        </w:tc>
      </w:tr>
      <w:tr w:rsidR="00735FA4" w14:paraId="46418B41" w14:textId="77777777" w:rsidTr="00735F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50259F4" w14:textId="77777777" w:rsidR="00735FA4" w:rsidRPr="00B81B86" w:rsidRDefault="00735FA4">
            <w:pPr>
              <w:pStyle w:val="In-tableHeading"/>
              <w:rPr>
                <w:lang w:val="en-AU"/>
              </w:rPr>
            </w:pPr>
            <w:r w:rsidRPr="00B81B86">
              <w:rPr>
                <w:lang w:val="en-AU"/>
              </w:rPr>
              <w:t>Eligible population</w:t>
            </w:r>
          </w:p>
        </w:tc>
      </w:tr>
      <w:tr w:rsidR="00735FA4" w14:paraId="73066415" w14:textId="77777777" w:rsidTr="00735FA4">
        <w:tc>
          <w:tcPr>
            <w:tcW w:w="519" w:type="pct"/>
            <w:tcBorders>
              <w:top w:val="single" w:sz="4" w:space="0" w:color="auto"/>
              <w:left w:val="single" w:sz="4" w:space="0" w:color="auto"/>
              <w:bottom w:val="single" w:sz="4" w:space="0" w:color="auto"/>
              <w:right w:val="single" w:sz="4" w:space="0" w:color="auto"/>
            </w:tcBorders>
            <w:vAlign w:val="center"/>
            <w:hideMark/>
          </w:tcPr>
          <w:p w14:paraId="5B881D7F" w14:textId="77777777" w:rsidR="00735FA4" w:rsidRPr="00B81B86" w:rsidRDefault="00735FA4">
            <w:pPr>
              <w:pStyle w:val="TableText0"/>
            </w:pPr>
            <w:r w:rsidRPr="00B81B86">
              <w:t>Prevalent patients</w:t>
            </w:r>
          </w:p>
        </w:tc>
        <w:tc>
          <w:tcPr>
            <w:tcW w:w="509" w:type="pct"/>
            <w:tcBorders>
              <w:top w:val="single" w:sz="4" w:space="0" w:color="auto"/>
              <w:left w:val="single" w:sz="4" w:space="0" w:color="auto"/>
              <w:bottom w:val="single" w:sz="4" w:space="0" w:color="auto"/>
              <w:right w:val="single" w:sz="4" w:space="0" w:color="auto"/>
            </w:tcBorders>
            <w:vAlign w:val="center"/>
            <w:hideMark/>
          </w:tcPr>
          <w:p w14:paraId="0FE065A9" w14:textId="77777777" w:rsidR="00735FA4" w:rsidRPr="00B81B86" w:rsidRDefault="00735FA4">
            <w:pPr>
              <w:pStyle w:val="TableText0"/>
            </w:pPr>
            <w:r w:rsidRPr="00B81B86">
              <w:t>Year 1: 32,000</w:t>
            </w:r>
          </w:p>
        </w:tc>
        <w:tc>
          <w:tcPr>
            <w:tcW w:w="586" w:type="pct"/>
            <w:tcBorders>
              <w:top w:val="single" w:sz="4" w:space="0" w:color="auto"/>
              <w:left w:val="single" w:sz="4" w:space="0" w:color="auto"/>
              <w:bottom w:val="single" w:sz="4" w:space="0" w:color="auto"/>
              <w:right w:val="single" w:sz="4" w:space="0" w:color="auto"/>
            </w:tcBorders>
            <w:vAlign w:val="center"/>
            <w:hideMark/>
          </w:tcPr>
          <w:p w14:paraId="2EA8B3AD" w14:textId="77777777" w:rsidR="00735FA4" w:rsidRPr="00B81B86" w:rsidRDefault="00735FA4">
            <w:pPr>
              <w:pStyle w:val="TableText0"/>
            </w:pPr>
            <w:r w:rsidRPr="00B81B86">
              <w:t>Kirby Institute (King 2021)</w:t>
            </w:r>
          </w:p>
        </w:tc>
        <w:tc>
          <w:tcPr>
            <w:tcW w:w="3387" w:type="pct"/>
            <w:tcBorders>
              <w:top w:val="single" w:sz="4" w:space="0" w:color="auto"/>
              <w:left w:val="single" w:sz="4" w:space="0" w:color="auto"/>
              <w:bottom w:val="single" w:sz="4" w:space="0" w:color="auto"/>
              <w:right w:val="single" w:sz="4" w:space="0" w:color="auto"/>
            </w:tcBorders>
            <w:vAlign w:val="center"/>
            <w:hideMark/>
          </w:tcPr>
          <w:p w14:paraId="1901BEEE" w14:textId="2240E55B" w:rsidR="00735FA4" w:rsidRPr="00B81B86" w:rsidRDefault="00735FA4">
            <w:pPr>
              <w:pStyle w:val="TableText0"/>
            </w:pPr>
            <w:r w:rsidRPr="00B81B86">
              <w:t xml:space="preserve">Based on 29,090 PLWH in Australia in 2020, increasing by 1,000 every year. The submission also noted that a further 9% (2,610) of PLWH are undiagnosed. King (2021) specified that this estimate included the 9% undiagnosed.  </w:t>
            </w:r>
          </w:p>
        </w:tc>
      </w:tr>
      <w:tr w:rsidR="00735FA4" w14:paraId="799CFFBE" w14:textId="77777777" w:rsidTr="00735FA4">
        <w:trPr>
          <w:trHeight w:val="836"/>
        </w:trPr>
        <w:tc>
          <w:tcPr>
            <w:tcW w:w="519" w:type="pct"/>
            <w:tcBorders>
              <w:top w:val="single" w:sz="4" w:space="0" w:color="auto"/>
              <w:left w:val="single" w:sz="4" w:space="0" w:color="auto"/>
              <w:bottom w:val="single" w:sz="4" w:space="0" w:color="auto"/>
              <w:right w:val="single" w:sz="4" w:space="0" w:color="auto"/>
            </w:tcBorders>
            <w:vAlign w:val="center"/>
            <w:hideMark/>
          </w:tcPr>
          <w:p w14:paraId="573A7F99" w14:textId="77777777" w:rsidR="00735FA4" w:rsidRPr="00B81B86" w:rsidRDefault="00735FA4">
            <w:pPr>
              <w:pStyle w:val="TableText0"/>
            </w:pPr>
            <w:r w:rsidRPr="00B81B86">
              <w:t>% seeking care</w:t>
            </w:r>
          </w:p>
        </w:tc>
        <w:tc>
          <w:tcPr>
            <w:tcW w:w="509" w:type="pct"/>
            <w:tcBorders>
              <w:top w:val="single" w:sz="4" w:space="0" w:color="auto"/>
              <w:left w:val="single" w:sz="4" w:space="0" w:color="auto"/>
              <w:bottom w:val="single" w:sz="4" w:space="0" w:color="auto"/>
              <w:right w:val="single" w:sz="4" w:space="0" w:color="auto"/>
            </w:tcBorders>
            <w:vAlign w:val="center"/>
            <w:hideMark/>
          </w:tcPr>
          <w:p w14:paraId="7A3E0817" w14:textId="77777777" w:rsidR="00735FA4" w:rsidRPr="00B81B86" w:rsidRDefault="00735FA4">
            <w:pPr>
              <w:pStyle w:val="TableText0"/>
            </w:pPr>
            <w:r w:rsidRPr="00B81B86">
              <w:t>96%</w:t>
            </w:r>
          </w:p>
        </w:tc>
        <w:tc>
          <w:tcPr>
            <w:tcW w:w="586" w:type="pct"/>
            <w:vMerge w:val="restart"/>
            <w:tcBorders>
              <w:top w:val="single" w:sz="4" w:space="0" w:color="auto"/>
              <w:left w:val="single" w:sz="4" w:space="0" w:color="auto"/>
              <w:bottom w:val="single" w:sz="4" w:space="0" w:color="auto"/>
              <w:right w:val="single" w:sz="4" w:space="0" w:color="auto"/>
            </w:tcBorders>
            <w:vAlign w:val="center"/>
            <w:hideMark/>
          </w:tcPr>
          <w:p w14:paraId="38C94FB2" w14:textId="77777777" w:rsidR="00735FA4" w:rsidRPr="00B81B86" w:rsidRDefault="00735FA4">
            <w:pPr>
              <w:pStyle w:val="TableText0"/>
            </w:pPr>
            <w:r w:rsidRPr="00B81B86">
              <w:t>Kirby Institute (King 2021)</w:t>
            </w:r>
          </w:p>
        </w:tc>
        <w:tc>
          <w:tcPr>
            <w:tcW w:w="3387" w:type="pct"/>
            <w:vMerge w:val="restart"/>
            <w:tcBorders>
              <w:top w:val="single" w:sz="4" w:space="0" w:color="auto"/>
              <w:left w:val="single" w:sz="4" w:space="0" w:color="auto"/>
              <w:bottom w:val="single" w:sz="4" w:space="0" w:color="auto"/>
              <w:right w:val="single" w:sz="4" w:space="0" w:color="auto"/>
            </w:tcBorders>
            <w:vAlign w:val="center"/>
            <w:hideMark/>
          </w:tcPr>
          <w:p w14:paraId="1E032487" w14:textId="77777777" w:rsidR="00735FA4" w:rsidRPr="00B81B86" w:rsidRDefault="00735FA4">
            <w:pPr>
              <w:pStyle w:val="TableText0"/>
            </w:pPr>
            <w:r w:rsidRPr="00B81B86">
              <w:t>King 2021 stated that “there were an estimated 29 090 people living with HIV in Australia in 2020. Of those, an estimated 91% (25 490 people) had received a diagnosis. Of those diagnosed, 96% (24 220) were retained in care and 91% (24 220 people) were receiving antiretroviral therapy (ART).” Consequently, applying both of these percentages may not be accurate, and this appropriate estimate involved replacing the estimate of 96% seeking care with 91% being diagnosed, and retaining the 91% receiving antiretrovirals.</w:t>
            </w:r>
          </w:p>
        </w:tc>
      </w:tr>
      <w:tr w:rsidR="00735FA4" w14:paraId="497B9ACC" w14:textId="77777777" w:rsidTr="00735FA4">
        <w:trPr>
          <w:trHeight w:val="58"/>
        </w:trPr>
        <w:tc>
          <w:tcPr>
            <w:tcW w:w="519" w:type="pct"/>
            <w:tcBorders>
              <w:top w:val="single" w:sz="4" w:space="0" w:color="auto"/>
              <w:left w:val="single" w:sz="4" w:space="0" w:color="auto"/>
              <w:bottom w:val="single" w:sz="4" w:space="0" w:color="auto"/>
              <w:right w:val="single" w:sz="4" w:space="0" w:color="auto"/>
            </w:tcBorders>
            <w:vAlign w:val="center"/>
            <w:hideMark/>
          </w:tcPr>
          <w:p w14:paraId="170C1EC7" w14:textId="77777777" w:rsidR="00735FA4" w:rsidRPr="00B81B86" w:rsidRDefault="00735FA4">
            <w:pPr>
              <w:pStyle w:val="TableText0"/>
            </w:pPr>
            <w:r w:rsidRPr="00B81B86">
              <w:t>% Receiving ART</w:t>
            </w:r>
          </w:p>
        </w:tc>
        <w:tc>
          <w:tcPr>
            <w:tcW w:w="509" w:type="pct"/>
            <w:tcBorders>
              <w:top w:val="single" w:sz="4" w:space="0" w:color="auto"/>
              <w:left w:val="single" w:sz="4" w:space="0" w:color="auto"/>
              <w:bottom w:val="single" w:sz="4" w:space="0" w:color="auto"/>
              <w:right w:val="single" w:sz="4" w:space="0" w:color="auto"/>
            </w:tcBorders>
            <w:vAlign w:val="center"/>
            <w:hideMark/>
          </w:tcPr>
          <w:p w14:paraId="47056A6B" w14:textId="77777777" w:rsidR="00735FA4" w:rsidRPr="00B81B86" w:rsidRDefault="00735FA4">
            <w:pPr>
              <w:pStyle w:val="TableText0"/>
            </w:pPr>
            <w:r w:rsidRPr="00B81B86">
              <w:t>91%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07891" w14:textId="77777777" w:rsidR="00735FA4" w:rsidRPr="00B81B86" w:rsidRDefault="00735FA4">
            <w:pPr>
              <w:jc w:val="left"/>
              <w:rPr>
                <w:rFonts w:ascii="Arial Narrow" w:eastAsiaTheme="majorEastAsia" w:hAnsi="Arial Narrow" w:cstheme="majorBidi"/>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E2985" w14:textId="77777777" w:rsidR="00735FA4" w:rsidRPr="00B81B86" w:rsidRDefault="00735FA4">
            <w:pPr>
              <w:jc w:val="left"/>
              <w:rPr>
                <w:rFonts w:ascii="Arial Narrow" w:eastAsiaTheme="majorEastAsia" w:hAnsi="Arial Narrow" w:cstheme="majorBidi"/>
                <w:bCs/>
                <w:sz w:val="20"/>
              </w:rPr>
            </w:pPr>
          </w:p>
        </w:tc>
      </w:tr>
      <w:tr w:rsidR="00735FA4" w14:paraId="60838B4F" w14:textId="77777777" w:rsidTr="00735FA4">
        <w:tc>
          <w:tcPr>
            <w:tcW w:w="519" w:type="pct"/>
            <w:tcBorders>
              <w:top w:val="single" w:sz="4" w:space="0" w:color="auto"/>
              <w:left w:val="single" w:sz="4" w:space="0" w:color="auto"/>
              <w:bottom w:val="single" w:sz="4" w:space="0" w:color="auto"/>
              <w:right w:val="single" w:sz="4" w:space="0" w:color="auto"/>
            </w:tcBorders>
            <w:vAlign w:val="center"/>
            <w:hideMark/>
          </w:tcPr>
          <w:p w14:paraId="25EE68E4" w14:textId="77777777" w:rsidR="00735FA4" w:rsidRPr="00B81B86" w:rsidRDefault="00735FA4">
            <w:pPr>
              <w:pStyle w:val="TableText0"/>
            </w:pPr>
            <w:r w:rsidRPr="00B81B86">
              <w:t>% Highly MDR</w:t>
            </w:r>
          </w:p>
        </w:tc>
        <w:tc>
          <w:tcPr>
            <w:tcW w:w="509" w:type="pct"/>
            <w:tcBorders>
              <w:top w:val="single" w:sz="4" w:space="0" w:color="auto"/>
              <w:left w:val="single" w:sz="4" w:space="0" w:color="auto"/>
              <w:bottom w:val="single" w:sz="4" w:space="0" w:color="auto"/>
              <w:right w:val="single" w:sz="4" w:space="0" w:color="auto"/>
            </w:tcBorders>
            <w:vAlign w:val="center"/>
            <w:hideMark/>
          </w:tcPr>
          <w:p w14:paraId="463AB211" w14:textId="77777777" w:rsidR="00735FA4" w:rsidRPr="00B81B86" w:rsidRDefault="00735FA4">
            <w:pPr>
              <w:pStyle w:val="TableText0"/>
            </w:pPr>
            <w:r w:rsidRPr="00B81B86">
              <w:t>0.84%</w:t>
            </w:r>
          </w:p>
        </w:tc>
        <w:tc>
          <w:tcPr>
            <w:tcW w:w="586" w:type="pct"/>
            <w:tcBorders>
              <w:top w:val="single" w:sz="4" w:space="0" w:color="auto"/>
              <w:left w:val="single" w:sz="4" w:space="0" w:color="auto"/>
              <w:bottom w:val="single" w:sz="4" w:space="0" w:color="auto"/>
              <w:right w:val="single" w:sz="4" w:space="0" w:color="auto"/>
            </w:tcBorders>
            <w:vAlign w:val="center"/>
            <w:hideMark/>
          </w:tcPr>
          <w:p w14:paraId="54CE1BB4" w14:textId="77777777" w:rsidR="00735FA4" w:rsidRPr="00B81B86" w:rsidRDefault="00735FA4">
            <w:pPr>
              <w:pStyle w:val="TableText0"/>
            </w:pPr>
            <w:r w:rsidRPr="00B81B86">
              <w:t>Bajema, Nance et al. 2020</w:t>
            </w:r>
          </w:p>
        </w:tc>
        <w:tc>
          <w:tcPr>
            <w:tcW w:w="3387" w:type="pct"/>
            <w:tcBorders>
              <w:top w:val="single" w:sz="4" w:space="0" w:color="auto"/>
              <w:left w:val="single" w:sz="4" w:space="0" w:color="auto"/>
              <w:bottom w:val="single" w:sz="4" w:space="0" w:color="auto"/>
              <w:right w:val="single" w:sz="4" w:space="0" w:color="auto"/>
            </w:tcBorders>
            <w:vAlign w:val="center"/>
            <w:hideMark/>
          </w:tcPr>
          <w:p w14:paraId="0209A6F4" w14:textId="6EED95DE" w:rsidR="00735FA4" w:rsidRPr="00B81B86" w:rsidRDefault="00735FA4">
            <w:pPr>
              <w:pStyle w:val="TableText0"/>
            </w:pPr>
            <w:r w:rsidRPr="00B81B86">
              <w:t>This estimate was based on a US Cohort. It may be expected that, as high drug resistance may have a variety of socio-economic causes that may not be same between the Australian and US setting. Nevertheless, this likely represents the best available evidence.</w:t>
            </w:r>
          </w:p>
          <w:p w14:paraId="47569AF5" w14:textId="1FC16B17" w:rsidR="00735FA4" w:rsidRPr="00B81B86" w:rsidRDefault="00735FA4">
            <w:pPr>
              <w:pStyle w:val="TableText0"/>
            </w:pPr>
            <w:r w:rsidRPr="00B81B86">
              <w:t xml:space="preserve">The estimate was based on ART experienced patients, and consequently the prior application of % receiving ART was appropriate. Eligible patients and financial estimates are highly sensitive to this input. </w:t>
            </w:r>
          </w:p>
        </w:tc>
      </w:tr>
      <w:tr w:rsidR="00735FA4" w14:paraId="3C5EF669" w14:textId="77777777" w:rsidTr="00735F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1845288" w14:textId="77777777" w:rsidR="00735FA4" w:rsidRPr="00B81B86" w:rsidRDefault="00735FA4">
            <w:pPr>
              <w:pStyle w:val="TableText0"/>
              <w:rPr>
                <w:b/>
              </w:rPr>
            </w:pPr>
            <w:r w:rsidRPr="00B81B86">
              <w:rPr>
                <w:b/>
              </w:rPr>
              <w:t>Treatment utilisation</w:t>
            </w:r>
          </w:p>
        </w:tc>
      </w:tr>
      <w:tr w:rsidR="00735FA4" w14:paraId="19E854EE" w14:textId="77777777" w:rsidTr="00735FA4">
        <w:tc>
          <w:tcPr>
            <w:tcW w:w="519" w:type="pct"/>
            <w:tcBorders>
              <w:top w:val="single" w:sz="4" w:space="0" w:color="auto"/>
              <w:left w:val="single" w:sz="4" w:space="0" w:color="auto"/>
              <w:bottom w:val="single" w:sz="4" w:space="0" w:color="auto"/>
              <w:right w:val="single" w:sz="4" w:space="0" w:color="auto"/>
            </w:tcBorders>
            <w:vAlign w:val="center"/>
            <w:hideMark/>
          </w:tcPr>
          <w:p w14:paraId="221FED2B" w14:textId="77777777" w:rsidR="00735FA4" w:rsidRPr="00B81B86" w:rsidRDefault="00735FA4">
            <w:pPr>
              <w:pStyle w:val="TableText0"/>
            </w:pPr>
            <w:r w:rsidRPr="00B81B86">
              <w:t>Uptake</w:t>
            </w:r>
          </w:p>
        </w:tc>
        <w:tc>
          <w:tcPr>
            <w:tcW w:w="509" w:type="pct"/>
            <w:tcBorders>
              <w:top w:val="single" w:sz="4" w:space="0" w:color="auto"/>
              <w:left w:val="single" w:sz="4" w:space="0" w:color="auto"/>
              <w:bottom w:val="single" w:sz="4" w:space="0" w:color="auto"/>
              <w:right w:val="single" w:sz="4" w:space="0" w:color="auto"/>
            </w:tcBorders>
            <w:vAlign w:val="center"/>
            <w:hideMark/>
          </w:tcPr>
          <w:p w14:paraId="3DDA47FD" w14:textId="77777777" w:rsidR="00735FA4" w:rsidRPr="00B81B86" w:rsidRDefault="00735FA4">
            <w:pPr>
              <w:pStyle w:val="TableText0"/>
            </w:pPr>
            <w:r w:rsidRPr="00B81B86">
              <w:t>70-100%</w:t>
            </w:r>
          </w:p>
        </w:tc>
        <w:tc>
          <w:tcPr>
            <w:tcW w:w="586" w:type="pct"/>
            <w:tcBorders>
              <w:top w:val="single" w:sz="4" w:space="0" w:color="auto"/>
              <w:left w:val="single" w:sz="4" w:space="0" w:color="auto"/>
              <w:bottom w:val="single" w:sz="4" w:space="0" w:color="auto"/>
              <w:right w:val="single" w:sz="4" w:space="0" w:color="auto"/>
            </w:tcBorders>
            <w:vAlign w:val="center"/>
            <w:hideMark/>
          </w:tcPr>
          <w:p w14:paraId="7A0885AE" w14:textId="77777777" w:rsidR="00735FA4" w:rsidRPr="00B81B86" w:rsidRDefault="00735FA4">
            <w:pPr>
              <w:pStyle w:val="TableText0"/>
            </w:pPr>
            <w:r w:rsidRPr="00B81B86">
              <w:t>Sponsor estimate</w:t>
            </w:r>
          </w:p>
        </w:tc>
        <w:tc>
          <w:tcPr>
            <w:tcW w:w="3387" w:type="pct"/>
            <w:tcBorders>
              <w:top w:val="single" w:sz="4" w:space="0" w:color="auto"/>
              <w:left w:val="single" w:sz="4" w:space="0" w:color="auto"/>
              <w:bottom w:val="single" w:sz="4" w:space="0" w:color="auto"/>
              <w:right w:val="single" w:sz="4" w:space="0" w:color="auto"/>
            </w:tcBorders>
            <w:vAlign w:val="center"/>
            <w:hideMark/>
          </w:tcPr>
          <w:p w14:paraId="33FD5D12" w14:textId="3560E9B2" w:rsidR="00735FA4" w:rsidRPr="00B81B86" w:rsidRDefault="00735FA4">
            <w:pPr>
              <w:pStyle w:val="TableText0"/>
            </w:pPr>
            <w:r w:rsidRPr="00B81B86">
              <w:t xml:space="preserve">A 70% uptake in Year 1 is likely underestimated if this is the only remaining effective treatment for these patients and patients were willing to use ARV already. The submission then applied incremental uptake to initiating patients in subsequent years. However, this method had the end result of only estimating </w:t>
            </w:r>
            <w:r w:rsidR="001328F0" w:rsidRPr="001328F0">
              <w:rPr>
                <w:color w:val="000000" w:themeColor="text1"/>
                <w:spacing w:val="184"/>
                <w:shd w:val="solid" w:color="000000" w:fill="000000"/>
                <w:fitText w:val="270" w:id="-1290615806"/>
                <w14:textFill>
                  <w14:solidFill>
                    <w14:schemeClr w14:val="tx1">
                      <w14:alpha w14:val="100000"/>
                    </w14:schemeClr>
                  </w14:solidFill>
                </w14:textFill>
              </w:rPr>
              <w:t>|</w:t>
            </w:r>
            <w:r w:rsidR="001328F0" w:rsidRPr="001328F0">
              <w:rPr>
                <w:color w:val="000000" w:themeColor="text1"/>
                <w:spacing w:val="1"/>
                <w:shd w:val="solid" w:color="000000" w:fill="000000"/>
                <w:fitText w:val="270" w:id="-1290615806"/>
                <w14:textFill>
                  <w14:solidFill>
                    <w14:schemeClr w14:val="tx1">
                      <w14:alpha w14:val="100000"/>
                    </w14:schemeClr>
                  </w14:solidFill>
                </w14:textFill>
              </w:rPr>
              <w:t>|</w:t>
            </w:r>
            <w:r w:rsidR="008B2668" w:rsidRPr="00274DE9">
              <w:rPr>
                <w:color w:val="000000" w:themeColor="text1"/>
                <w:vertAlign w:val="superscript"/>
              </w:rPr>
              <w:t>1</w:t>
            </w:r>
            <w:r w:rsidRPr="00B81B86">
              <w:rPr>
                <w:color w:val="000000" w:themeColor="text1"/>
              </w:rPr>
              <w:t xml:space="preserve"> of </w:t>
            </w:r>
            <w:r w:rsidR="001328F0" w:rsidRPr="00732FB5">
              <w:rPr>
                <w:color w:val="000000" w:themeColor="text1"/>
                <w:spacing w:val="184"/>
                <w:shd w:val="solid" w:color="000000" w:fill="000000"/>
                <w:fitText w:val="270" w:id="-1290615805"/>
                <w14:textFill>
                  <w14:solidFill>
                    <w14:schemeClr w14:val="tx1">
                      <w14:alpha w14:val="100000"/>
                    </w14:schemeClr>
                  </w14:solidFill>
                </w14:textFill>
              </w:rPr>
              <w:t>|</w:t>
            </w:r>
            <w:r w:rsidR="001328F0" w:rsidRPr="00732FB5">
              <w:rPr>
                <w:color w:val="000000" w:themeColor="text1"/>
                <w:shd w:val="solid" w:color="000000" w:fill="000000"/>
                <w:fitText w:val="270" w:id="-1290615805"/>
                <w14:textFill>
                  <w14:solidFill>
                    <w14:schemeClr w14:val="tx1">
                      <w14:alpha w14:val="100000"/>
                    </w14:schemeClr>
                  </w14:solidFill>
                </w14:textFill>
              </w:rPr>
              <w:t>|</w:t>
            </w:r>
            <w:r w:rsidR="008B2668" w:rsidRPr="008E1071">
              <w:rPr>
                <w:color w:val="000000" w:themeColor="text1"/>
                <w:vertAlign w:val="superscript"/>
              </w:rPr>
              <w:t>1</w:t>
            </w:r>
            <w:r w:rsidRPr="00B81B86">
              <w:rPr>
                <w:color w:val="000000" w:themeColor="text1"/>
              </w:rPr>
              <w:t xml:space="preserve"> eligible patients will be treated (88%) by year 6. Consequently the method of applying uptake rates underestimated the uptake of lenacapavir. </w:t>
            </w:r>
          </w:p>
        </w:tc>
      </w:tr>
      <w:tr w:rsidR="00735FA4" w14:paraId="3700B7B1" w14:textId="77777777" w:rsidTr="00735F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10EFCB1" w14:textId="77777777" w:rsidR="00735FA4" w:rsidRPr="00B81B86" w:rsidRDefault="00735FA4">
            <w:pPr>
              <w:pStyle w:val="TableText0"/>
              <w:rPr>
                <w:b/>
              </w:rPr>
            </w:pPr>
            <w:r w:rsidRPr="00B81B86">
              <w:rPr>
                <w:b/>
              </w:rPr>
              <w:t>Costs</w:t>
            </w:r>
          </w:p>
        </w:tc>
      </w:tr>
      <w:tr w:rsidR="00735FA4" w14:paraId="1C15FEDA" w14:textId="77777777" w:rsidTr="00735FA4">
        <w:tc>
          <w:tcPr>
            <w:tcW w:w="519" w:type="pct"/>
            <w:tcBorders>
              <w:top w:val="single" w:sz="4" w:space="0" w:color="auto"/>
              <w:left w:val="single" w:sz="4" w:space="0" w:color="auto"/>
              <w:bottom w:val="single" w:sz="4" w:space="0" w:color="auto"/>
              <w:right w:val="single" w:sz="4" w:space="0" w:color="auto"/>
            </w:tcBorders>
            <w:vAlign w:val="center"/>
            <w:hideMark/>
          </w:tcPr>
          <w:p w14:paraId="3193CD48" w14:textId="77777777" w:rsidR="00735FA4" w:rsidRPr="00B81B86" w:rsidRDefault="00735FA4">
            <w:pPr>
              <w:pStyle w:val="TableText0"/>
            </w:pPr>
            <w:r w:rsidRPr="00B81B86">
              <w:t>OBR costs</w:t>
            </w:r>
          </w:p>
        </w:tc>
        <w:tc>
          <w:tcPr>
            <w:tcW w:w="509" w:type="pct"/>
            <w:tcBorders>
              <w:top w:val="single" w:sz="4" w:space="0" w:color="auto"/>
              <w:left w:val="single" w:sz="4" w:space="0" w:color="auto"/>
              <w:bottom w:val="single" w:sz="4" w:space="0" w:color="auto"/>
              <w:right w:val="single" w:sz="4" w:space="0" w:color="auto"/>
            </w:tcBorders>
            <w:vAlign w:val="center"/>
            <w:hideMark/>
          </w:tcPr>
          <w:p w14:paraId="0E370925" w14:textId="77777777" w:rsidR="00735FA4" w:rsidRPr="00B81B86" w:rsidRDefault="00735FA4">
            <w:pPr>
              <w:pStyle w:val="TableText0"/>
            </w:pPr>
            <w:r w:rsidRPr="00B81B86">
              <w:t>None</w:t>
            </w:r>
          </w:p>
        </w:tc>
        <w:tc>
          <w:tcPr>
            <w:tcW w:w="586" w:type="pct"/>
            <w:tcBorders>
              <w:top w:val="single" w:sz="4" w:space="0" w:color="auto"/>
              <w:left w:val="single" w:sz="4" w:space="0" w:color="auto"/>
              <w:bottom w:val="single" w:sz="4" w:space="0" w:color="auto"/>
              <w:right w:val="single" w:sz="4" w:space="0" w:color="auto"/>
            </w:tcBorders>
            <w:vAlign w:val="center"/>
            <w:hideMark/>
          </w:tcPr>
          <w:p w14:paraId="70667694" w14:textId="77777777" w:rsidR="00735FA4" w:rsidRPr="00B81B86" w:rsidRDefault="00735FA4">
            <w:pPr>
              <w:pStyle w:val="TableText0"/>
            </w:pPr>
            <w:r w:rsidRPr="00B81B86">
              <w:t>-</w:t>
            </w:r>
          </w:p>
        </w:tc>
        <w:tc>
          <w:tcPr>
            <w:tcW w:w="3387" w:type="pct"/>
            <w:tcBorders>
              <w:top w:val="single" w:sz="4" w:space="0" w:color="auto"/>
              <w:left w:val="single" w:sz="4" w:space="0" w:color="auto"/>
              <w:bottom w:val="single" w:sz="4" w:space="0" w:color="auto"/>
              <w:right w:val="single" w:sz="4" w:space="0" w:color="auto"/>
            </w:tcBorders>
            <w:vAlign w:val="center"/>
            <w:hideMark/>
          </w:tcPr>
          <w:p w14:paraId="25DFF711" w14:textId="77777777" w:rsidR="00735FA4" w:rsidRPr="00B81B86" w:rsidRDefault="00735FA4">
            <w:pPr>
              <w:pStyle w:val="TableText0"/>
            </w:pPr>
            <w:r w:rsidRPr="00B81B86">
              <w:t>This was inconsistent with the economic evaluation, requested restriction and clinical evaluation. Based on the economic evaluation, lenacapavir led to higher OBR costs due to patients being alive for longer, Therefore exclusion of OBR costs likely underestimated the financial estimates.</w:t>
            </w:r>
          </w:p>
        </w:tc>
      </w:tr>
      <w:tr w:rsidR="00735FA4" w14:paraId="1CA85F60" w14:textId="77777777" w:rsidTr="00735FA4">
        <w:tc>
          <w:tcPr>
            <w:tcW w:w="519" w:type="pct"/>
            <w:tcBorders>
              <w:top w:val="single" w:sz="4" w:space="0" w:color="auto"/>
              <w:left w:val="single" w:sz="4" w:space="0" w:color="auto"/>
              <w:bottom w:val="single" w:sz="4" w:space="0" w:color="auto"/>
              <w:right w:val="single" w:sz="4" w:space="0" w:color="auto"/>
            </w:tcBorders>
            <w:vAlign w:val="center"/>
            <w:hideMark/>
          </w:tcPr>
          <w:p w14:paraId="12DEA31A" w14:textId="77777777" w:rsidR="00735FA4" w:rsidRPr="00B81B86" w:rsidRDefault="00735FA4">
            <w:pPr>
              <w:pStyle w:val="TableText0"/>
            </w:pPr>
            <w:r w:rsidRPr="00B81B86">
              <w:t>MBS costs</w:t>
            </w:r>
          </w:p>
        </w:tc>
        <w:tc>
          <w:tcPr>
            <w:tcW w:w="509" w:type="pct"/>
            <w:tcBorders>
              <w:top w:val="single" w:sz="4" w:space="0" w:color="auto"/>
              <w:left w:val="single" w:sz="4" w:space="0" w:color="auto"/>
              <w:bottom w:val="single" w:sz="4" w:space="0" w:color="auto"/>
              <w:right w:val="single" w:sz="4" w:space="0" w:color="auto"/>
            </w:tcBorders>
            <w:vAlign w:val="center"/>
            <w:hideMark/>
          </w:tcPr>
          <w:p w14:paraId="0223CEE0" w14:textId="77777777" w:rsidR="00735FA4" w:rsidRPr="00B81B86" w:rsidRDefault="00735FA4">
            <w:pPr>
              <w:pStyle w:val="TableText0"/>
            </w:pPr>
            <w:r w:rsidRPr="00B81B86">
              <w:t>None</w:t>
            </w:r>
          </w:p>
        </w:tc>
        <w:tc>
          <w:tcPr>
            <w:tcW w:w="586" w:type="pct"/>
            <w:tcBorders>
              <w:top w:val="single" w:sz="4" w:space="0" w:color="auto"/>
              <w:left w:val="single" w:sz="4" w:space="0" w:color="auto"/>
              <w:bottom w:val="single" w:sz="4" w:space="0" w:color="auto"/>
              <w:right w:val="single" w:sz="4" w:space="0" w:color="auto"/>
            </w:tcBorders>
            <w:vAlign w:val="center"/>
            <w:hideMark/>
          </w:tcPr>
          <w:p w14:paraId="32C42438" w14:textId="77777777" w:rsidR="00735FA4" w:rsidRPr="00B81B86" w:rsidRDefault="00735FA4">
            <w:pPr>
              <w:pStyle w:val="TableText0"/>
            </w:pPr>
            <w:r w:rsidRPr="00B81B86">
              <w:t>-</w:t>
            </w:r>
          </w:p>
        </w:tc>
        <w:tc>
          <w:tcPr>
            <w:tcW w:w="3387" w:type="pct"/>
            <w:tcBorders>
              <w:top w:val="single" w:sz="4" w:space="0" w:color="auto"/>
              <w:left w:val="single" w:sz="4" w:space="0" w:color="auto"/>
              <w:bottom w:val="single" w:sz="4" w:space="0" w:color="auto"/>
              <w:right w:val="single" w:sz="4" w:space="0" w:color="auto"/>
            </w:tcBorders>
            <w:vAlign w:val="center"/>
            <w:hideMark/>
          </w:tcPr>
          <w:p w14:paraId="29AE3EB5" w14:textId="532FEF97" w:rsidR="00735FA4" w:rsidRPr="00B81B86" w:rsidRDefault="00735FA4">
            <w:pPr>
              <w:pStyle w:val="TableText0"/>
            </w:pPr>
            <w:r w:rsidRPr="00B81B86">
              <w:t xml:space="preserve">This was inconsistent with the economic evaluation, where administration costs (MBS item 116 - $79.75) were applied for each subcutaneous injection of lenacapavir. MBS item 116 was for a professional attendance at consulting rooms in the practice of the consultant </w:t>
            </w:r>
            <w:r w:rsidR="00EA71F7" w:rsidRPr="00B81B86">
              <w:t>physician’s</w:t>
            </w:r>
            <w:r w:rsidRPr="00B81B86">
              <w:t xml:space="preserve"> specialty. It was unclear if it was reasonable to assume that patients attend a specialist room for SC administration as opposed to general practice. If so, then the submission was reasonable in not including the MBS item in financial implications. Otherwise, this would lead to an underestimate of the impact on the MBS budget. Previously, MBS items 10997, 3, and 23 were all considered for injection of cabotegravir + rilpivirine long-acting injections (Paragraph 6.48, cabotegravir-rilpivirine PSD, March 2021 PBAC meeting and Table 15, cabotegravir-rilpivirine PSD, November 2021 PBAC meeting). For consistency, MBS item 116 was added to the financial estimates during the evaluation. </w:t>
            </w:r>
          </w:p>
        </w:tc>
      </w:tr>
    </w:tbl>
    <w:p w14:paraId="025FB381" w14:textId="77777777" w:rsidR="00735FA4" w:rsidRDefault="00735FA4" w:rsidP="00735FA4">
      <w:pPr>
        <w:pStyle w:val="FooterTableFigure"/>
      </w:pPr>
      <w:r>
        <w:t>Source: ‘Lenacapavir – Financials Base Case Final 6July22.xlsx’.</w:t>
      </w:r>
    </w:p>
    <w:p w14:paraId="2C76163C" w14:textId="79631244" w:rsidR="00735FA4" w:rsidRDefault="00735FA4" w:rsidP="00735FA4">
      <w:pPr>
        <w:pStyle w:val="FooterTableFigure"/>
        <w:contextualSpacing w:val="0"/>
      </w:pPr>
      <w:r>
        <w:t>ART</w:t>
      </w:r>
      <w:r w:rsidR="00F83C88">
        <w:t xml:space="preserve"> </w:t>
      </w:r>
      <w:r>
        <w:t>= antiretroviral therapy; DPMA/Q = dispensed price per maximum amount/ quantity; MBS = Medicare Benefits Schedule; MDR = multidrug resistance; OBR = optimised background regimen; PBS = Pharmaceutical Benefits Scheme; PLWH = people living with HIV</w:t>
      </w:r>
      <w:r w:rsidR="00967916">
        <w:t>; PSD = Public Summary Document</w:t>
      </w:r>
    </w:p>
    <w:p w14:paraId="3A8C5FBF" w14:textId="77777777" w:rsidR="008B2668" w:rsidRPr="008B2668" w:rsidRDefault="008B2668" w:rsidP="008B2668">
      <w:pPr>
        <w:pStyle w:val="FooterTableFigure"/>
        <w:rPr>
          <w:i/>
          <w:iCs/>
          <w:szCs w:val="18"/>
        </w:rPr>
      </w:pPr>
      <w:r w:rsidRPr="008B2668">
        <w:rPr>
          <w:i/>
          <w:iCs/>
          <w:szCs w:val="18"/>
        </w:rPr>
        <w:t xml:space="preserve">The redacted values correspond to the following ranges: </w:t>
      </w:r>
    </w:p>
    <w:p w14:paraId="68C0B728" w14:textId="3641E2E7" w:rsidR="008B2668" w:rsidRPr="008B2668" w:rsidRDefault="008B2668" w:rsidP="008B2668">
      <w:pPr>
        <w:pStyle w:val="FooterTableFigure"/>
        <w:rPr>
          <w:szCs w:val="18"/>
        </w:rPr>
      </w:pPr>
      <w:r w:rsidRPr="008B2668">
        <w:rPr>
          <w:szCs w:val="18"/>
          <w:vertAlign w:val="superscript"/>
        </w:rPr>
        <w:t>1</w:t>
      </w:r>
      <w:r w:rsidRPr="008B2668">
        <w:rPr>
          <w:szCs w:val="18"/>
        </w:rPr>
        <w:t xml:space="preserve"> &lt; 500</w:t>
      </w:r>
    </w:p>
    <w:p w14:paraId="493FC262" w14:textId="70C7F42F" w:rsidR="00735FA4" w:rsidRDefault="00735FA4" w:rsidP="00735FA4">
      <w:pPr>
        <w:pStyle w:val="3-BodyText"/>
        <w:snapToGrid w:val="0"/>
        <w:rPr>
          <w:color w:val="000000" w:themeColor="text1"/>
        </w:rPr>
      </w:pPr>
      <w:r>
        <w:rPr>
          <w:color w:val="000000" w:themeColor="text1"/>
        </w:rPr>
        <w:fldChar w:fldCharType="begin"/>
      </w:r>
      <w:r>
        <w:rPr>
          <w:color w:val="000000" w:themeColor="text1"/>
        </w:rPr>
        <w:instrText xml:space="preserve"> REF _Ref104805295 \h  \* MERGEFORMAT </w:instrText>
      </w:r>
      <w:r>
        <w:rPr>
          <w:color w:val="000000" w:themeColor="text1"/>
        </w:rPr>
      </w:r>
      <w:r>
        <w:rPr>
          <w:color w:val="000000" w:themeColor="text1"/>
        </w:rPr>
        <w:fldChar w:fldCharType="separate"/>
      </w:r>
      <w:r w:rsidR="0050086F" w:rsidRPr="0050086F">
        <w:rPr>
          <w:color w:val="000000" w:themeColor="text1"/>
        </w:rPr>
        <w:t>Table 17</w:t>
      </w:r>
      <w:r>
        <w:rPr>
          <w:color w:val="000000" w:themeColor="text1"/>
        </w:rPr>
        <w:fldChar w:fldCharType="end"/>
      </w:r>
      <w:r>
        <w:rPr>
          <w:color w:val="000000" w:themeColor="text1"/>
        </w:rPr>
        <w:t xml:space="preserve"> presents the estimated use and financial implications.</w:t>
      </w:r>
    </w:p>
    <w:p w14:paraId="2E10F821" w14:textId="6151FFDF" w:rsidR="00735FA4" w:rsidRDefault="00735FA4" w:rsidP="00735FA4">
      <w:pPr>
        <w:pStyle w:val="Caption"/>
      </w:pPr>
      <w:bookmarkStart w:id="81" w:name="_Ref104805295"/>
      <w:r>
        <w:lastRenderedPageBreak/>
        <w:t xml:space="preserve">Table </w:t>
      </w:r>
      <w:fldSimple w:instr=" SEQ Table \* ARABIC ">
        <w:r w:rsidR="0050086F">
          <w:rPr>
            <w:noProof/>
          </w:rPr>
          <w:t>17</w:t>
        </w:r>
      </w:fldSimple>
      <w:bookmarkEnd w:id="81"/>
      <w:r>
        <w:t>:</w:t>
      </w:r>
      <w:r>
        <w:rPr>
          <w:rStyle w:val="CommentReference"/>
          <w:szCs w:val="24"/>
        </w:rPr>
        <w:t xml:space="preserve"> </w:t>
      </w:r>
      <w:r w:rsidRPr="008274BB">
        <w:rPr>
          <w:rStyle w:val="CommentReference"/>
          <w:b/>
          <w:bCs w:val="0"/>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735FA4" w:rsidRPr="008D4F11" w14:paraId="4422BB05" w14:textId="77777777" w:rsidTr="00735FA4">
        <w:trPr>
          <w:tblHeader/>
        </w:trPr>
        <w:tc>
          <w:tcPr>
            <w:tcW w:w="1334" w:type="pct"/>
            <w:tcBorders>
              <w:top w:val="single" w:sz="4" w:space="0" w:color="auto"/>
              <w:left w:val="single" w:sz="4" w:space="0" w:color="auto"/>
              <w:bottom w:val="single" w:sz="4" w:space="0" w:color="auto"/>
              <w:right w:val="single" w:sz="4" w:space="0" w:color="auto"/>
            </w:tcBorders>
            <w:vAlign w:val="center"/>
          </w:tcPr>
          <w:p w14:paraId="5C0BCB40" w14:textId="77777777" w:rsidR="00735FA4" w:rsidRPr="008D4F11" w:rsidRDefault="00735FA4">
            <w:pPr>
              <w:pStyle w:val="In-tableHeading"/>
              <w:jc w:val="center"/>
              <w:rPr>
                <w:szCs w:val="20"/>
                <w:lang w:val="en-AU"/>
              </w:rPr>
            </w:pPr>
          </w:p>
        </w:tc>
        <w:tc>
          <w:tcPr>
            <w:tcW w:w="611" w:type="pct"/>
            <w:tcBorders>
              <w:top w:val="single" w:sz="4" w:space="0" w:color="auto"/>
              <w:left w:val="single" w:sz="4" w:space="0" w:color="auto"/>
              <w:bottom w:val="single" w:sz="4" w:space="0" w:color="auto"/>
              <w:right w:val="single" w:sz="4" w:space="0" w:color="auto"/>
            </w:tcBorders>
            <w:vAlign w:val="center"/>
            <w:hideMark/>
          </w:tcPr>
          <w:p w14:paraId="4B81381B" w14:textId="77777777" w:rsidR="00735FA4" w:rsidRPr="008D4F11" w:rsidRDefault="00735FA4">
            <w:pPr>
              <w:pStyle w:val="In-tableHeading"/>
              <w:jc w:val="center"/>
              <w:rPr>
                <w:szCs w:val="20"/>
                <w:lang w:val="en-AU"/>
              </w:rPr>
            </w:pPr>
            <w:r w:rsidRPr="008D4F11">
              <w:rPr>
                <w:szCs w:val="20"/>
                <w:lang w:val="en-AU"/>
              </w:rPr>
              <w:t>Year 1</w:t>
            </w:r>
          </w:p>
        </w:tc>
        <w:tc>
          <w:tcPr>
            <w:tcW w:w="611" w:type="pct"/>
            <w:tcBorders>
              <w:top w:val="single" w:sz="4" w:space="0" w:color="auto"/>
              <w:left w:val="single" w:sz="4" w:space="0" w:color="auto"/>
              <w:bottom w:val="single" w:sz="4" w:space="0" w:color="auto"/>
              <w:right w:val="single" w:sz="4" w:space="0" w:color="auto"/>
            </w:tcBorders>
            <w:vAlign w:val="center"/>
            <w:hideMark/>
          </w:tcPr>
          <w:p w14:paraId="37524631" w14:textId="77777777" w:rsidR="00735FA4" w:rsidRPr="008D4F11" w:rsidRDefault="00735FA4">
            <w:pPr>
              <w:pStyle w:val="In-tableHeading"/>
              <w:jc w:val="center"/>
              <w:rPr>
                <w:szCs w:val="20"/>
                <w:lang w:val="en-AU"/>
              </w:rPr>
            </w:pPr>
            <w:r w:rsidRPr="008D4F11">
              <w:rPr>
                <w:szCs w:val="20"/>
                <w:lang w:val="en-AU"/>
              </w:rPr>
              <w:t>Year 2</w:t>
            </w:r>
          </w:p>
        </w:tc>
        <w:tc>
          <w:tcPr>
            <w:tcW w:w="611" w:type="pct"/>
            <w:tcBorders>
              <w:top w:val="single" w:sz="4" w:space="0" w:color="auto"/>
              <w:left w:val="single" w:sz="4" w:space="0" w:color="auto"/>
              <w:bottom w:val="single" w:sz="4" w:space="0" w:color="auto"/>
              <w:right w:val="single" w:sz="4" w:space="0" w:color="auto"/>
            </w:tcBorders>
            <w:vAlign w:val="center"/>
            <w:hideMark/>
          </w:tcPr>
          <w:p w14:paraId="6A5B8C3B" w14:textId="77777777" w:rsidR="00735FA4" w:rsidRPr="008D4F11" w:rsidRDefault="00735FA4">
            <w:pPr>
              <w:pStyle w:val="In-tableHeading"/>
              <w:jc w:val="center"/>
              <w:rPr>
                <w:szCs w:val="20"/>
                <w:lang w:val="en-AU"/>
              </w:rPr>
            </w:pPr>
            <w:r w:rsidRPr="008D4F11">
              <w:rPr>
                <w:szCs w:val="20"/>
                <w:lang w:val="en-AU"/>
              </w:rPr>
              <w:t>Year 3</w:t>
            </w:r>
          </w:p>
        </w:tc>
        <w:tc>
          <w:tcPr>
            <w:tcW w:w="611" w:type="pct"/>
            <w:tcBorders>
              <w:top w:val="single" w:sz="4" w:space="0" w:color="auto"/>
              <w:left w:val="single" w:sz="4" w:space="0" w:color="auto"/>
              <w:bottom w:val="single" w:sz="4" w:space="0" w:color="auto"/>
              <w:right w:val="single" w:sz="4" w:space="0" w:color="auto"/>
            </w:tcBorders>
            <w:vAlign w:val="center"/>
            <w:hideMark/>
          </w:tcPr>
          <w:p w14:paraId="551FA9BF" w14:textId="77777777" w:rsidR="00735FA4" w:rsidRPr="008D4F11" w:rsidRDefault="00735FA4">
            <w:pPr>
              <w:pStyle w:val="In-tableHeading"/>
              <w:jc w:val="center"/>
              <w:rPr>
                <w:szCs w:val="20"/>
                <w:lang w:val="en-AU"/>
              </w:rPr>
            </w:pPr>
            <w:r w:rsidRPr="008D4F11">
              <w:rPr>
                <w:szCs w:val="20"/>
                <w:lang w:val="en-AU"/>
              </w:rPr>
              <w:t>Year 4</w:t>
            </w:r>
          </w:p>
        </w:tc>
        <w:tc>
          <w:tcPr>
            <w:tcW w:w="611" w:type="pct"/>
            <w:tcBorders>
              <w:top w:val="single" w:sz="4" w:space="0" w:color="auto"/>
              <w:left w:val="single" w:sz="4" w:space="0" w:color="auto"/>
              <w:bottom w:val="single" w:sz="4" w:space="0" w:color="auto"/>
              <w:right w:val="single" w:sz="4" w:space="0" w:color="auto"/>
            </w:tcBorders>
            <w:vAlign w:val="center"/>
            <w:hideMark/>
          </w:tcPr>
          <w:p w14:paraId="3ABFD6F5" w14:textId="77777777" w:rsidR="00735FA4" w:rsidRPr="008D4F11" w:rsidRDefault="00735FA4">
            <w:pPr>
              <w:pStyle w:val="In-tableHeading"/>
              <w:jc w:val="center"/>
              <w:rPr>
                <w:szCs w:val="20"/>
                <w:lang w:val="en-AU"/>
              </w:rPr>
            </w:pPr>
            <w:r w:rsidRPr="008D4F11">
              <w:rPr>
                <w:szCs w:val="20"/>
                <w:lang w:val="en-AU"/>
              </w:rPr>
              <w:t>Year 5</w:t>
            </w:r>
          </w:p>
        </w:tc>
        <w:tc>
          <w:tcPr>
            <w:tcW w:w="611" w:type="pct"/>
            <w:tcBorders>
              <w:top w:val="single" w:sz="4" w:space="0" w:color="auto"/>
              <w:left w:val="single" w:sz="4" w:space="0" w:color="auto"/>
              <w:bottom w:val="single" w:sz="4" w:space="0" w:color="auto"/>
              <w:right w:val="single" w:sz="4" w:space="0" w:color="auto"/>
            </w:tcBorders>
            <w:hideMark/>
          </w:tcPr>
          <w:p w14:paraId="6CA65549" w14:textId="77777777" w:rsidR="00735FA4" w:rsidRPr="008D4F11" w:rsidRDefault="00735FA4">
            <w:pPr>
              <w:pStyle w:val="In-tableHeading"/>
              <w:jc w:val="center"/>
              <w:rPr>
                <w:szCs w:val="20"/>
                <w:lang w:val="en-AU"/>
              </w:rPr>
            </w:pPr>
            <w:r w:rsidRPr="008D4F11">
              <w:rPr>
                <w:szCs w:val="20"/>
                <w:lang w:val="en-AU"/>
              </w:rPr>
              <w:t>Year 6</w:t>
            </w:r>
          </w:p>
        </w:tc>
      </w:tr>
      <w:tr w:rsidR="00735FA4" w:rsidRPr="008D4F11" w14:paraId="1AB07742" w14:textId="77777777" w:rsidTr="00735FA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36D7F12" w14:textId="77777777" w:rsidR="00735FA4" w:rsidRPr="008D4F11" w:rsidRDefault="00735FA4">
            <w:pPr>
              <w:pStyle w:val="In-tableHeading"/>
              <w:rPr>
                <w:bCs/>
                <w:color w:val="000000"/>
                <w:szCs w:val="20"/>
                <w:lang w:val="en-AU"/>
              </w:rPr>
            </w:pPr>
            <w:r w:rsidRPr="008D4F11">
              <w:rPr>
                <w:bCs/>
                <w:color w:val="000000"/>
                <w:szCs w:val="20"/>
                <w:lang w:val="en-AU"/>
              </w:rPr>
              <w:t>Estimated extent of use</w:t>
            </w:r>
          </w:p>
        </w:tc>
      </w:tr>
      <w:tr w:rsidR="00735FA4" w:rsidRPr="008D4F11" w14:paraId="3B0F91DB" w14:textId="77777777" w:rsidTr="00735FA4">
        <w:tc>
          <w:tcPr>
            <w:tcW w:w="1334" w:type="pct"/>
            <w:tcBorders>
              <w:top w:val="single" w:sz="4" w:space="0" w:color="auto"/>
              <w:left w:val="single" w:sz="4" w:space="0" w:color="auto"/>
              <w:bottom w:val="single" w:sz="4" w:space="0" w:color="auto"/>
              <w:right w:val="single" w:sz="4" w:space="0" w:color="auto"/>
            </w:tcBorders>
            <w:vAlign w:val="center"/>
            <w:hideMark/>
          </w:tcPr>
          <w:p w14:paraId="7EDBEEC6" w14:textId="77777777" w:rsidR="00735FA4" w:rsidRPr="008274BB" w:rsidRDefault="00735FA4">
            <w:pPr>
              <w:pStyle w:val="TableText0"/>
              <w:rPr>
                <w:szCs w:val="20"/>
              </w:rPr>
            </w:pPr>
            <w:r w:rsidRPr="008D4F11">
              <w:rPr>
                <w:szCs w:val="20"/>
              </w:rPr>
              <w:t>Number of patients treated</w:t>
            </w:r>
          </w:p>
        </w:tc>
        <w:tc>
          <w:tcPr>
            <w:tcW w:w="611" w:type="pct"/>
            <w:tcBorders>
              <w:top w:val="single" w:sz="4" w:space="0" w:color="auto"/>
              <w:left w:val="single" w:sz="4" w:space="0" w:color="auto"/>
              <w:bottom w:val="single" w:sz="4" w:space="0" w:color="auto"/>
              <w:right w:val="single" w:sz="4" w:space="0" w:color="auto"/>
            </w:tcBorders>
            <w:vAlign w:val="center"/>
            <w:hideMark/>
          </w:tcPr>
          <w:p w14:paraId="56640CED" w14:textId="2C56020B" w:rsidR="00735FA4" w:rsidRPr="008E1071" w:rsidRDefault="001328F0">
            <w:pPr>
              <w:pStyle w:val="TableText0"/>
              <w:jc w:val="center"/>
              <w:rPr>
                <w:bCs w:val="0"/>
                <w:color w:val="000000"/>
                <w:szCs w:val="20"/>
                <w:highlight w:val="darkGray"/>
              </w:rPr>
            </w:pPr>
            <w:r w:rsidRPr="001328F0">
              <w:rPr>
                <w:rFonts w:cs="Arial"/>
                <w:bCs w:val="0"/>
                <w:color w:val="000000"/>
                <w:szCs w:val="20"/>
                <w:shd w:val="solid" w:color="000000" w:fill="000000"/>
                <w14:textFill>
                  <w14:solidFill>
                    <w14:srgbClr w14:val="000000">
                      <w14:alpha w14:val="100000"/>
                    </w14:srgbClr>
                  </w14:solidFill>
                </w14:textFill>
              </w:rPr>
              <w:t>|</w:t>
            </w:r>
            <w:r w:rsidR="000E333A" w:rsidRPr="000E333A">
              <w:rPr>
                <w:rFonts w:cs="Arial"/>
                <w:bCs w:val="0"/>
                <w:color w:val="000000"/>
                <w:szCs w:val="20"/>
              </w:rPr>
              <w:t xml:space="preserve"> </w:t>
            </w:r>
            <w:r w:rsidR="004C3028" w:rsidRPr="008E1071">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5750C89F" w14:textId="6E93532E" w:rsidR="00735FA4" w:rsidRPr="008E1071" w:rsidRDefault="001328F0">
            <w:pPr>
              <w:pStyle w:val="TableText0"/>
              <w:jc w:val="center"/>
              <w:rPr>
                <w:bCs w:val="0"/>
                <w:color w:val="000000"/>
                <w:szCs w:val="20"/>
                <w:highlight w:val="darkGray"/>
              </w:rPr>
            </w:pPr>
            <w:r w:rsidRPr="001328F0">
              <w:rPr>
                <w:rFonts w:cs="Arial"/>
                <w:bCs w:val="0"/>
                <w:color w:val="000000"/>
                <w:szCs w:val="20"/>
                <w:shd w:val="solid" w:color="000000" w:fill="000000"/>
                <w14:textFill>
                  <w14:solidFill>
                    <w14:srgbClr w14:val="000000">
                      <w14:alpha w14:val="100000"/>
                    </w14:srgbClr>
                  </w14:solidFill>
                </w14:textFill>
              </w:rPr>
              <w:t>|</w:t>
            </w:r>
            <w:r w:rsidR="000E333A" w:rsidRPr="000E333A">
              <w:rPr>
                <w:rFonts w:cs="Arial"/>
                <w:bCs w:val="0"/>
                <w:color w:val="000000"/>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512D6483" w14:textId="27E29539" w:rsidR="00735FA4" w:rsidRPr="008E1071" w:rsidRDefault="001328F0">
            <w:pPr>
              <w:pStyle w:val="TableText0"/>
              <w:jc w:val="center"/>
              <w:rPr>
                <w:bCs w:val="0"/>
                <w:color w:val="000000"/>
                <w:szCs w:val="20"/>
                <w:highlight w:val="darkGray"/>
              </w:rPr>
            </w:pPr>
            <w:r w:rsidRPr="001328F0">
              <w:rPr>
                <w:rFonts w:cs="Arial"/>
                <w:bCs w:val="0"/>
                <w:color w:val="000000"/>
                <w:szCs w:val="20"/>
                <w:shd w:val="solid" w:color="000000" w:fill="000000"/>
                <w14:textFill>
                  <w14:solidFill>
                    <w14:srgbClr w14:val="000000">
                      <w14:alpha w14:val="100000"/>
                    </w14:srgbClr>
                  </w14:solidFill>
                </w14:textFill>
              </w:rPr>
              <w:t>|</w:t>
            </w:r>
            <w:r w:rsidR="000E333A" w:rsidRPr="000E333A">
              <w:rPr>
                <w:rFonts w:cs="Arial"/>
                <w:bCs w:val="0"/>
                <w:color w:val="000000"/>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5575CCE1" w14:textId="4BA473B5" w:rsidR="00735FA4" w:rsidRPr="008E1071" w:rsidRDefault="001328F0">
            <w:pPr>
              <w:pStyle w:val="TableText0"/>
              <w:jc w:val="center"/>
              <w:rPr>
                <w:bCs w:val="0"/>
                <w:color w:val="000000"/>
                <w:szCs w:val="20"/>
                <w:highlight w:val="darkGray"/>
              </w:rPr>
            </w:pPr>
            <w:r w:rsidRPr="001328F0">
              <w:rPr>
                <w:rFonts w:cs="Arial"/>
                <w:bCs w:val="0"/>
                <w:color w:val="000000"/>
                <w:szCs w:val="20"/>
                <w:shd w:val="solid" w:color="000000" w:fill="000000"/>
                <w14:textFill>
                  <w14:solidFill>
                    <w14:srgbClr w14:val="000000">
                      <w14:alpha w14:val="100000"/>
                    </w14:srgbClr>
                  </w14:solidFill>
                </w14:textFill>
              </w:rPr>
              <w:t>|</w:t>
            </w:r>
            <w:r w:rsidR="000E333A" w:rsidRPr="000E333A">
              <w:rPr>
                <w:rFonts w:cs="Arial"/>
                <w:bCs w:val="0"/>
                <w:color w:val="000000"/>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2341C508" w14:textId="56A6846B" w:rsidR="00735FA4" w:rsidRPr="008E1071" w:rsidRDefault="001328F0">
            <w:pPr>
              <w:pStyle w:val="TableText0"/>
              <w:jc w:val="center"/>
              <w:rPr>
                <w:bCs w:val="0"/>
                <w:color w:val="000000"/>
                <w:szCs w:val="20"/>
                <w:highlight w:val="darkGray"/>
              </w:rPr>
            </w:pPr>
            <w:r w:rsidRPr="001328F0">
              <w:rPr>
                <w:rFonts w:cs="Arial"/>
                <w:bCs w:val="0"/>
                <w:color w:val="000000"/>
                <w:szCs w:val="20"/>
                <w:shd w:val="solid" w:color="000000" w:fill="000000"/>
                <w14:textFill>
                  <w14:solidFill>
                    <w14:srgbClr w14:val="000000">
                      <w14:alpha w14:val="100000"/>
                    </w14:srgbClr>
                  </w14:solidFill>
                </w14:textFill>
              </w:rPr>
              <w:t>|</w:t>
            </w:r>
            <w:r w:rsidR="000E333A" w:rsidRPr="000E333A">
              <w:rPr>
                <w:rFonts w:cs="Arial"/>
                <w:bCs w:val="0"/>
                <w:color w:val="000000"/>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2D308FF6" w14:textId="53EA4BC7" w:rsidR="00735FA4" w:rsidRPr="008E1071" w:rsidRDefault="001328F0">
            <w:pPr>
              <w:pStyle w:val="TableText0"/>
              <w:jc w:val="center"/>
              <w:rPr>
                <w:bCs w:val="0"/>
                <w:color w:val="000000"/>
                <w:szCs w:val="20"/>
                <w:highlight w:val="darkGray"/>
              </w:rPr>
            </w:pPr>
            <w:r w:rsidRPr="001328F0">
              <w:rPr>
                <w:rFonts w:cs="Arial"/>
                <w:bCs w:val="0"/>
                <w:color w:val="000000"/>
                <w:szCs w:val="20"/>
                <w:shd w:val="solid" w:color="000000" w:fill="000000"/>
                <w14:textFill>
                  <w14:solidFill>
                    <w14:srgbClr w14:val="000000">
                      <w14:alpha w14:val="100000"/>
                    </w14:srgbClr>
                  </w14:solidFill>
                </w14:textFill>
              </w:rPr>
              <w:t>|</w:t>
            </w:r>
            <w:r w:rsidR="000E333A" w:rsidRPr="000E333A">
              <w:rPr>
                <w:rFonts w:cs="Arial"/>
                <w:bCs w:val="0"/>
                <w:color w:val="000000"/>
                <w:szCs w:val="20"/>
              </w:rPr>
              <w:t xml:space="preserve"> </w:t>
            </w:r>
            <w:r w:rsidR="004C3028" w:rsidRPr="0045628D">
              <w:rPr>
                <w:rFonts w:cs="Arial"/>
                <w:bCs w:val="0"/>
                <w:color w:val="000000"/>
                <w:szCs w:val="20"/>
                <w:vertAlign w:val="superscript"/>
              </w:rPr>
              <w:t>1</w:t>
            </w:r>
          </w:p>
        </w:tc>
      </w:tr>
      <w:tr w:rsidR="00735FA4" w:rsidRPr="008D4F11" w14:paraId="73FECB76" w14:textId="77777777" w:rsidTr="00735FA4">
        <w:tc>
          <w:tcPr>
            <w:tcW w:w="1334" w:type="pct"/>
            <w:tcBorders>
              <w:top w:val="single" w:sz="4" w:space="0" w:color="auto"/>
              <w:left w:val="single" w:sz="4" w:space="0" w:color="auto"/>
              <w:bottom w:val="single" w:sz="4" w:space="0" w:color="auto"/>
              <w:right w:val="single" w:sz="4" w:space="0" w:color="auto"/>
            </w:tcBorders>
            <w:vAlign w:val="center"/>
            <w:hideMark/>
          </w:tcPr>
          <w:p w14:paraId="5F5B4EF4" w14:textId="61467AA1" w:rsidR="00735FA4" w:rsidRPr="008274BB" w:rsidRDefault="00735FA4">
            <w:pPr>
              <w:pStyle w:val="TableText0"/>
              <w:rPr>
                <w:szCs w:val="20"/>
              </w:rPr>
            </w:pPr>
            <w:r w:rsidRPr="008D4F11">
              <w:rPr>
                <w:szCs w:val="20"/>
              </w:rPr>
              <w:t>Number of scripts dispensed</w:t>
            </w:r>
            <w:r w:rsidRPr="008D4F11">
              <w:rPr>
                <w:szCs w:val="20"/>
                <w:vertAlign w:val="superscript"/>
              </w:rPr>
              <w:t>a</w:t>
            </w:r>
          </w:p>
        </w:tc>
        <w:tc>
          <w:tcPr>
            <w:tcW w:w="611" w:type="pct"/>
            <w:tcBorders>
              <w:top w:val="single" w:sz="4" w:space="0" w:color="auto"/>
              <w:left w:val="single" w:sz="4" w:space="0" w:color="auto"/>
              <w:bottom w:val="single" w:sz="4" w:space="0" w:color="auto"/>
              <w:right w:val="single" w:sz="4" w:space="0" w:color="auto"/>
            </w:tcBorders>
            <w:vAlign w:val="center"/>
            <w:hideMark/>
          </w:tcPr>
          <w:p w14:paraId="4CF0E305" w14:textId="004B5AF6" w:rsidR="00735FA4" w:rsidRPr="008E1071" w:rsidRDefault="001328F0">
            <w:pPr>
              <w:pStyle w:val="TableText0"/>
              <w:jc w:val="center"/>
              <w:rPr>
                <w:color w:val="000000"/>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504224BC" w14:textId="38C9C117" w:rsidR="00735FA4" w:rsidRPr="008E1071" w:rsidRDefault="001328F0">
            <w:pPr>
              <w:pStyle w:val="TableText0"/>
              <w:jc w:val="center"/>
              <w:rPr>
                <w:color w:val="000000"/>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14882C0C" w14:textId="5AE4FBE4" w:rsidR="00735FA4" w:rsidRPr="008E1071" w:rsidRDefault="001328F0">
            <w:pPr>
              <w:pStyle w:val="TableText0"/>
              <w:jc w:val="center"/>
              <w:rPr>
                <w:color w:val="000000"/>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470E837A" w14:textId="50AA2156" w:rsidR="00735FA4" w:rsidRPr="008E1071" w:rsidRDefault="001328F0">
            <w:pPr>
              <w:pStyle w:val="TableText0"/>
              <w:jc w:val="center"/>
              <w:rPr>
                <w:color w:val="000000"/>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12D6C53A" w14:textId="66522654" w:rsidR="00735FA4" w:rsidRPr="008E1071" w:rsidRDefault="001328F0">
            <w:pPr>
              <w:pStyle w:val="TableText0"/>
              <w:jc w:val="center"/>
              <w:rPr>
                <w:color w:val="000000"/>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4C3028" w:rsidRPr="0045628D">
              <w:rPr>
                <w:rFonts w:cs="Arial"/>
                <w:bCs w:val="0"/>
                <w:color w:val="000000"/>
                <w:szCs w:val="20"/>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hideMark/>
          </w:tcPr>
          <w:p w14:paraId="5458F6BE" w14:textId="41791790" w:rsidR="00735FA4" w:rsidRPr="008E1071" w:rsidRDefault="001328F0">
            <w:pPr>
              <w:pStyle w:val="TableText0"/>
              <w:jc w:val="center"/>
              <w:rPr>
                <w:color w:val="000000"/>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4C3028" w:rsidRPr="0045628D">
              <w:rPr>
                <w:rFonts w:cs="Arial"/>
                <w:bCs w:val="0"/>
                <w:color w:val="000000"/>
                <w:szCs w:val="20"/>
                <w:vertAlign w:val="superscript"/>
              </w:rPr>
              <w:t>1</w:t>
            </w:r>
          </w:p>
        </w:tc>
      </w:tr>
      <w:tr w:rsidR="00735FA4" w:rsidRPr="008D4F11" w14:paraId="22E86AA8" w14:textId="77777777" w:rsidTr="00735FA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0D0520D" w14:textId="77777777" w:rsidR="00735FA4" w:rsidRPr="008D4F11" w:rsidRDefault="00735FA4">
            <w:pPr>
              <w:pStyle w:val="In-tableHeading"/>
              <w:rPr>
                <w:szCs w:val="20"/>
                <w:lang w:val="en-AU"/>
              </w:rPr>
            </w:pPr>
            <w:r w:rsidRPr="008D4F11">
              <w:rPr>
                <w:szCs w:val="20"/>
                <w:lang w:val="en-AU"/>
              </w:rPr>
              <w:t>Estimated financial implications of lenacapavir</w:t>
            </w:r>
          </w:p>
        </w:tc>
      </w:tr>
      <w:tr w:rsidR="00735FA4" w:rsidRPr="008D4F11" w14:paraId="24C4EF76" w14:textId="77777777" w:rsidTr="00735FA4">
        <w:tc>
          <w:tcPr>
            <w:tcW w:w="1334" w:type="pct"/>
            <w:tcBorders>
              <w:top w:val="single" w:sz="4" w:space="0" w:color="auto"/>
              <w:left w:val="single" w:sz="4" w:space="0" w:color="auto"/>
              <w:bottom w:val="single" w:sz="4" w:space="0" w:color="auto"/>
              <w:right w:val="single" w:sz="4" w:space="0" w:color="auto"/>
            </w:tcBorders>
            <w:vAlign w:val="center"/>
            <w:hideMark/>
          </w:tcPr>
          <w:p w14:paraId="49506FC5" w14:textId="4B65FDE7" w:rsidR="00735FA4" w:rsidRPr="008274BB" w:rsidRDefault="00735FA4">
            <w:pPr>
              <w:pStyle w:val="TableText0"/>
              <w:rPr>
                <w:szCs w:val="20"/>
              </w:rPr>
            </w:pPr>
            <w:r w:rsidRPr="008274BB">
              <w:rPr>
                <w:szCs w:val="20"/>
              </w:rPr>
              <w:t>Cost to PBS/RPBS less copayments</w:t>
            </w:r>
            <w:r w:rsidR="004C3028">
              <w:rPr>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center"/>
            <w:hideMark/>
          </w:tcPr>
          <w:p w14:paraId="2DDCB002" w14:textId="76A32305" w:rsidR="00735FA4" w:rsidRPr="008E1071" w:rsidRDefault="001328F0">
            <w:pPr>
              <w:pStyle w:val="TableText0"/>
              <w:jc w:val="center"/>
              <w:rPr>
                <w:bCs w:val="0"/>
                <w:szCs w:val="20"/>
                <w:highlight w:val="darkGray"/>
              </w:rPr>
            </w:pPr>
            <w:r w:rsidRPr="001328F0">
              <w:rPr>
                <w:bCs w:val="0"/>
                <w:color w:val="000000"/>
                <w:szCs w:val="20"/>
                <w:shd w:val="solid" w:color="000000" w:fill="000000"/>
                <w14:textFill>
                  <w14:solidFill>
                    <w14:srgbClr w14:val="000000">
                      <w14:alpha w14:val="100000"/>
                    </w14:srgbClr>
                  </w14:solidFill>
                </w14:textFill>
              </w:rPr>
              <w:t>|</w:t>
            </w:r>
            <w:r w:rsidR="000E333A" w:rsidRPr="000E333A">
              <w:rPr>
                <w:bCs w:val="0"/>
                <w:szCs w:val="20"/>
              </w:rPr>
              <w:t xml:space="preserve"> </w:t>
            </w:r>
            <w:r w:rsidR="00110006">
              <w:rPr>
                <w:rFonts w:cs="Arial"/>
                <w:bCs w:val="0"/>
                <w:color w:val="00000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06591598" w14:textId="135B4F49" w:rsidR="00735FA4" w:rsidRPr="008E1071" w:rsidRDefault="001328F0">
            <w:pPr>
              <w:pStyle w:val="TableText0"/>
              <w:jc w:val="center"/>
              <w:rPr>
                <w:bCs w:val="0"/>
                <w:szCs w:val="20"/>
                <w:highlight w:val="darkGray"/>
              </w:rPr>
            </w:pPr>
            <w:r w:rsidRPr="001328F0">
              <w:rPr>
                <w:bCs w:val="0"/>
                <w:color w:val="000000"/>
                <w:szCs w:val="20"/>
                <w:shd w:val="solid" w:color="000000" w:fill="000000"/>
                <w14:textFill>
                  <w14:solidFill>
                    <w14:srgbClr w14:val="000000">
                      <w14:alpha w14:val="100000"/>
                    </w14:srgbClr>
                  </w14:solidFill>
                </w14:textFill>
              </w:rPr>
              <w:t>|</w:t>
            </w:r>
            <w:r w:rsidR="000E333A" w:rsidRPr="000E333A">
              <w:rPr>
                <w:bCs w:val="0"/>
                <w:szCs w:val="20"/>
              </w:rPr>
              <w:t xml:space="preserve"> </w:t>
            </w:r>
            <w:r w:rsidR="00110006">
              <w:rPr>
                <w:rFonts w:cs="Arial"/>
                <w:bCs w:val="0"/>
                <w:color w:val="00000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229E2C08" w14:textId="6CC9FB9C" w:rsidR="00735FA4" w:rsidRPr="008E1071" w:rsidRDefault="001328F0">
            <w:pPr>
              <w:pStyle w:val="TableText0"/>
              <w:jc w:val="center"/>
              <w:rPr>
                <w:bCs w:val="0"/>
                <w:szCs w:val="20"/>
                <w:highlight w:val="darkGray"/>
              </w:rPr>
            </w:pPr>
            <w:r w:rsidRPr="001328F0">
              <w:rPr>
                <w:bCs w:val="0"/>
                <w:color w:val="000000"/>
                <w:szCs w:val="20"/>
                <w:shd w:val="solid" w:color="000000" w:fill="000000"/>
                <w14:textFill>
                  <w14:solidFill>
                    <w14:srgbClr w14:val="000000">
                      <w14:alpha w14:val="100000"/>
                    </w14:srgbClr>
                  </w14:solidFill>
                </w14:textFill>
              </w:rPr>
              <w:t>|</w:t>
            </w:r>
            <w:r w:rsidR="000E333A" w:rsidRPr="000E333A">
              <w:rPr>
                <w:bCs w:val="0"/>
                <w:szCs w:val="20"/>
              </w:rPr>
              <w:t xml:space="preserve"> </w:t>
            </w:r>
            <w:r w:rsidR="00110006">
              <w:rPr>
                <w:rFonts w:cs="Arial"/>
                <w:bCs w:val="0"/>
                <w:color w:val="00000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290BF125" w14:textId="4F1C970D" w:rsidR="00735FA4" w:rsidRPr="008E1071" w:rsidRDefault="001328F0">
            <w:pPr>
              <w:pStyle w:val="TableText0"/>
              <w:jc w:val="center"/>
              <w:rPr>
                <w:bCs w:val="0"/>
                <w:szCs w:val="20"/>
                <w:highlight w:val="darkGray"/>
              </w:rPr>
            </w:pPr>
            <w:r w:rsidRPr="001328F0">
              <w:rPr>
                <w:bCs w:val="0"/>
                <w:color w:val="000000"/>
                <w:szCs w:val="20"/>
                <w:shd w:val="solid" w:color="000000" w:fill="000000"/>
                <w14:textFill>
                  <w14:solidFill>
                    <w14:srgbClr w14:val="000000">
                      <w14:alpha w14:val="100000"/>
                    </w14:srgbClr>
                  </w14:solidFill>
                </w14:textFill>
              </w:rPr>
              <w:t>|</w:t>
            </w:r>
            <w:r w:rsidR="000E333A" w:rsidRPr="000E333A">
              <w:rPr>
                <w:bCs w:val="0"/>
                <w:szCs w:val="20"/>
              </w:rPr>
              <w:t xml:space="preserve"> </w:t>
            </w:r>
            <w:r w:rsidR="00110006">
              <w:rPr>
                <w:rFonts w:cs="Arial"/>
                <w:bCs w:val="0"/>
                <w:color w:val="00000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4A2EE1CC" w14:textId="72D1124B" w:rsidR="00735FA4" w:rsidRPr="008E1071" w:rsidRDefault="001328F0">
            <w:pPr>
              <w:pStyle w:val="TableText0"/>
              <w:jc w:val="center"/>
              <w:rPr>
                <w:bCs w:val="0"/>
                <w:szCs w:val="20"/>
                <w:highlight w:val="darkGray"/>
              </w:rPr>
            </w:pPr>
            <w:r w:rsidRPr="001328F0">
              <w:rPr>
                <w:bCs w:val="0"/>
                <w:color w:val="000000"/>
                <w:szCs w:val="20"/>
                <w:shd w:val="solid" w:color="000000" w:fill="000000"/>
                <w14:textFill>
                  <w14:solidFill>
                    <w14:srgbClr w14:val="000000">
                      <w14:alpha w14:val="100000"/>
                    </w14:srgbClr>
                  </w14:solidFill>
                </w14:textFill>
              </w:rPr>
              <w:t>|</w:t>
            </w:r>
            <w:r w:rsidR="000E333A" w:rsidRPr="000E333A">
              <w:rPr>
                <w:bCs w:val="0"/>
                <w:szCs w:val="20"/>
              </w:rPr>
              <w:t xml:space="preserve"> </w:t>
            </w:r>
            <w:r w:rsidR="00110006">
              <w:rPr>
                <w:rFonts w:cs="Arial"/>
                <w:bCs w:val="0"/>
                <w:color w:val="000000"/>
                <w:szCs w:val="20"/>
                <w:vertAlign w:val="superscript"/>
              </w:rPr>
              <w:t>3</w:t>
            </w:r>
          </w:p>
        </w:tc>
        <w:tc>
          <w:tcPr>
            <w:tcW w:w="611" w:type="pct"/>
            <w:tcBorders>
              <w:top w:val="single" w:sz="4" w:space="0" w:color="auto"/>
              <w:left w:val="single" w:sz="4" w:space="0" w:color="auto"/>
              <w:bottom w:val="single" w:sz="4" w:space="0" w:color="auto"/>
              <w:right w:val="single" w:sz="4" w:space="0" w:color="auto"/>
            </w:tcBorders>
            <w:vAlign w:val="center"/>
            <w:hideMark/>
          </w:tcPr>
          <w:p w14:paraId="03992249" w14:textId="584C9280" w:rsidR="00735FA4" w:rsidRPr="008E1071" w:rsidRDefault="001328F0">
            <w:pPr>
              <w:pStyle w:val="TableText0"/>
              <w:jc w:val="center"/>
              <w:rPr>
                <w:bCs w:val="0"/>
                <w:szCs w:val="20"/>
                <w:highlight w:val="darkGray"/>
              </w:rPr>
            </w:pPr>
            <w:r w:rsidRPr="001328F0">
              <w:rPr>
                <w:bCs w:val="0"/>
                <w:color w:val="000000"/>
                <w:szCs w:val="20"/>
                <w:shd w:val="solid" w:color="000000" w:fill="000000"/>
                <w14:textFill>
                  <w14:solidFill>
                    <w14:srgbClr w14:val="000000">
                      <w14:alpha w14:val="100000"/>
                    </w14:srgbClr>
                  </w14:solidFill>
                </w14:textFill>
              </w:rPr>
              <w:t>|</w:t>
            </w:r>
            <w:r w:rsidR="000E333A" w:rsidRPr="000E333A">
              <w:rPr>
                <w:bCs w:val="0"/>
                <w:szCs w:val="20"/>
              </w:rPr>
              <w:t xml:space="preserve"> </w:t>
            </w:r>
            <w:r w:rsidR="00110006">
              <w:rPr>
                <w:rFonts w:cs="Arial"/>
                <w:bCs w:val="0"/>
                <w:color w:val="000000"/>
                <w:szCs w:val="20"/>
                <w:vertAlign w:val="superscript"/>
              </w:rPr>
              <w:t>3</w:t>
            </w:r>
          </w:p>
        </w:tc>
      </w:tr>
      <w:tr w:rsidR="00735FA4" w:rsidRPr="008D4F11" w14:paraId="0EE9FE4E" w14:textId="77777777" w:rsidTr="00735FA4">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2234A66" w14:textId="77777777" w:rsidR="00735FA4" w:rsidRPr="008D4F11" w:rsidRDefault="00735FA4">
            <w:pPr>
              <w:pStyle w:val="In-tableHeading"/>
              <w:rPr>
                <w:szCs w:val="20"/>
                <w:lang w:val="en-AU"/>
              </w:rPr>
            </w:pPr>
            <w:r w:rsidRPr="008D4F11">
              <w:rPr>
                <w:szCs w:val="20"/>
                <w:lang w:val="en-AU"/>
              </w:rPr>
              <w:t>Net financial implications</w:t>
            </w:r>
            <w:r w:rsidRPr="008D4F11">
              <w:rPr>
                <w:color w:val="4BACC6" w:themeColor="accent5"/>
                <w:szCs w:val="20"/>
                <w:lang w:val="en-AU"/>
              </w:rPr>
              <w:t xml:space="preserve"> </w:t>
            </w:r>
          </w:p>
        </w:tc>
      </w:tr>
      <w:tr w:rsidR="00735FA4" w:rsidRPr="008D4F11" w14:paraId="5207123C" w14:textId="77777777" w:rsidTr="00735FA4">
        <w:tc>
          <w:tcPr>
            <w:tcW w:w="1334" w:type="pct"/>
            <w:tcBorders>
              <w:top w:val="single" w:sz="4" w:space="0" w:color="auto"/>
              <w:left w:val="single" w:sz="4" w:space="0" w:color="auto"/>
              <w:bottom w:val="single" w:sz="4" w:space="0" w:color="auto"/>
              <w:right w:val="single" w:sz="4" w:space="0" w:color="auto"/>
            </w:tcBorders>
            <w:hideMark/>
          </w:tcPr>
          <w:p w14:paraId="41CDA23E" w14:textId="6680E677" w:rsidR="00735FA4" w:rsidRPr="008274BB" w:rsidRDefault="00735FA4">
            <w:pPr>
              <w:pStyle w:val="TableText0"/>
              <w:rPr>
                <w:szCs w:val="20"/>
              </w:rPr>
            </w:pPr>
            <w:r w:rsidRPr="008274BB">
              <w:rPr>
                <w:bCs w:val="0"/>
                <w:szCs w:val="20"/>
              </w:rPr>
              <w:t>Total MBS costs</w:t>
            </w:r>
            <w:r w:rsidRPr="008274BB">
              <w:rPr>
                <w:bCs w:val="0"/>
                <w:szCs w:val="20"/>
                <w:vertAlign w:val="superscript"/>
              </w:rPr>
              <w:t>b</w:t>
            </w:r>
            <w:r w:rsidR="004C3028" w:rsidRPr="008E1071">
              <w:rPr>
                <w:bCs w:val="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center"/>
            <w:hideMark/>
          </w:tcPr>
          <w:p w14:paraId="08D60F4D" w14:textId="5CACA425" w:rsidR="00735FA4" w:rsidRPr="008E1071" w:rsidRDefault="001328F0">
            <w:pPr>
              <w:pStyle w:val="TableText0"/>
              <w:jc w:val="center"/>
              <w:rPr>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110006">
              <w:rPr>
                <w:rFonts w:cs="Arial"/>
                <w:bCs w:val="0"/>
                <w:color w:val="00000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1715AA3B" w14:textId="259D227A" w:rsidR="00735FA4" w:rsidRPr="008E1071" w:rsidRDefault="001328F0">
            <w:pPr>
              <w:pStyle w:val="TableText0"/>
              <w:jc w:val="center"/>
              <w:rPr>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110006">
              <w:rPr>
                <w:rFonts w:cs="Arial"/>
                <w:bCs w:val="0"/>
                <w:color w:val="00000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3530682F" w14:textId="54613F48" w:rsidR="00735FA4" w:rsidRPr="008E1071" w:rsidRDefault="001328F0">
            <w:pPr>
              <w:pStyle w:val="TableText0"/>
              <w:jc w:val="center"/>
              <w:rPr>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110006">
              <w:rPr>
                <w:rFonts w:cs="Arial"/>
                <w:bCs w:val="0"/>
                <w:color w:val="00000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1D19A93F" w14:textId="0A11B99F" w:rsidR="00735FA4" w:rsidRPr="008E1071" w:rsidRDefault="001328F0">
            <w:pPr>
              <w:pStyle w:val="TableText0"/>
              <w:jc w:val="center"/>
              <w:rPr>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110006">
              <w:rPr>
                <w:rFonts w:cs="Arial"/>
                <w:bCs w:val="0"/>
                <w:color w:val="00000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7C7E8503" w14:textId="343EFA16" w:rsidR="00735FA4" w:rsidRPr="008E1071" w:rsidRDefault="001328F0">
            <w:pPr>
              <w:pStyle w:val="TableText0"/>
              <w:jc w:val="center"/>
              <w:rPr>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110006">
              <w:rPr>
                <w:rFonts w:cs="Arial"/>
                <w:bCs w:val="0"/>
                <w:color w:val="000000"/>
                <w:szCs w:val="20"/>
                <w:vertAlign w:val="superscript"/>
              </w:rPr>
              <w:t>2</w:t>
            </w:r>
          </w:p>
        </w:tc>
        <w:tc>
          <w:tcPr>
            <w:tcW w:w="611" w:type="pct"/>
            <w:tcBorders>
              <w:top w:val="single" w:sz="4" w:space="0" w:color="auto"/>
              <w:left w:val="single" w:sz="4" w:space="0" w:color="auto"/>
              <w:bottom w:val="single" w:sz="4" w:space="0" w:color="auto"/>
              <w:right w:val="single" w:sz="4" w:space="0" w:color="auto"/>
            </w:tcBorders>
            <w:vAlign w:val="center"/>
            <w:hideMark/>
          </w:tcPr>
          <w:p w14:paraId="1CC1CDF6" w14:textId="22716BF1" w:rsidR="00735FA4" w:rsidRPr="008E1071" w:rsidRDefault="001328F0">
            <w:pPr>
              <w:pStyle w:val="TableText0"/>
              <w:jc w:val="center"/>
              <w:rPr>
                <w:szCs w:val="20"/>
                <w:highlight w:val="darkGray"/>
              </w:rPr>
            </w:pPr>
            <w:r w:rsidRPr="001328F0">
              <w:rPr>
                <w:color w:val="000000"/>
                <w:szCs w:val="20"/>
                <w:shd w:val="solid" w:color="000000" w:fill="000000"/>
                <w14:textFill>
                  <w14:solidFill>
                    <w14:srgbClr w14:val="000000">
                      <w14:alpha w14:val="100000"/>
                    </w14:srgbClr>
                  </w14:solidFill>
                </w14:textFill>
              </w:rPr>
              <w:t>|</w:t>
            </w:r>
            <w:r w:rsidR="000E333A" w:rsidRPr="000E333A">
              <w:rPr>
                <w:szCs w:val="20"/>
              </w:rPr>
              <w:t xml:space="preserve"> </w:t>
            </w:r>
            <w:r w:rsidR="00110006">
              <w:rPr>
                <w:rFonts w:cs="Arial"/>
                <w:bCs w:val="0"/>
                <w:color w:val="000000"/>
                <w:szCs w:val="20"/>
                <w:vertAlign w:val="superscript"/>
              </w:rPr>
              <w:t>2</w:t>
            </w:r>
          </w:p>
        </w:tc>
      </w:tr>
      <w:tr w:rsidR="00735FA4" w:rsidRPr="008D4F11" w14:paraId="79E90188" w14:textId="77777777" w:rsidTr="00735FA4">
        <w:tc>
          <w:tcPr>
            <w:tcW w:w="1334" w:type="pct"/>
            <w:tcBorders>
              <w:top w:val="single" w:sz="4" w:space="0" w:color="auto"/>
              <w:left w:val="single" w:sz="4" w:space="0" w:color="auto"/>
              <w:bottom w:val="single" w:sz="4" w:space="0" w:color="auto"/>
              <w:right w:val="single" w:sz="4" w:space="0" w:color="auto"/>
            </w:tcBorders>
            <w:hideMark/>
          </w:tcPr>
          <w:p w14:paraId="745366A7" w14:textId="5D302A8E" w:rsidR="00735FA4" w:rsidRPr="008274BB" w:rsidRDefault="00735FA4">
            <w:pPr>
              <w:pStyle w:val="TableText0"/>
              <w:rPr>
                <w:szCs w:val="20"/>
              </w:rPr>
            </w:pPr>
            <w:r w:rsidRPr="008274BB">
              <w:rPr>
                <w:b/>
                <w:szCs w:val="20"/>
              </w:rPr>
              <w:t>Total cost to Government</w:t>
            </w:r>
            <w:r w:rsidR="004C3028" w:rsidRPr="0045628D">
              <w:rPr>
                <w:bCs w:val="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hideMark/>
          </w:tcPr>
          <w:p w14:paraId="3E961339" w14:textId="2A2E8971" w:rsidR="00735FA4" w:rsidRPr="008E1071" w:rsidRDefault="001328F0">
            <w:pPr>
              <w:pStyle w:val="TableText0"/>
              <w:jc w:val="center"/>
              <w:rPr>
                <w:szCs w:val="20"/>
                <w:highlight w:val="darkGray"/>
              </w:rPr>
            </w:pPr>
            <w:r w:rsidRPr="001328F0">
              <w:rPr>
                <w:rFonts w:cs="Calibri"/>
                <w:bCs w:val="0"/>
                <w:color w:val="000000"/>
                <w:szCs w:val="20"/>
                <w:shd w:val="solid" w:color="000000" w:fill="000000"/>
                <w14:textFill>
                  <w14:solidFill>
                    <w14:srgbClr w14:val="000000">
                      <w14:alpha w14:val="100000"/>
                    </w14:srgbClr>
                  </w14:solidFill>
                </w14:textFill>
              </w:rPr>
              <w:t>|</w:t>
            </w:r>
            <w:r w:rsidR="000E333A" w:rsidRPr="000E333A">
              <w:rPr>
                <w:rFonts w:cs="Calibri"/>
                <w:bCs w:val="0"/>
                <w:color w:val="000000"/>
                <w:szCs w:val="20"/>
              </w:rPr>
              <w:t xml:space="preserve"> </w:t>
            </w:r>
            <w:r w:rsidR="00110006">
              <w:rPr>
                <w:rFonts w:cs="Arial"/>
                <w:bCs w:val="0"/>
                <w:color w:val="000000"/>
                <w:szCs w:val="20"/>
                <w:vertAlign w:val="superscript"/>
              </w:rPr>
              <w:t>2</w:t>
            </w:r>
            <w:r w:rsidR="000E333A" w:rsidRPr="000E333A">
              <w:rPr>
                <w:rFonts w:cs="Calibri"/>
                <w:bCs w:val="0"/>
                <w:color w:val="00000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hideMark/>
          </w:tcPr>
          <w:p w14:paraId="1E6C439B" w14:textId="030F2AA7" w:rsidR="00735FA4" w:rsidRPr="008E1071" w:rsidRDefault="001328F0">
            <w:pPr>
              <w:pStyle w:val="TableText0"/>
              <w:jc w:val="center"/>
              <w:rPr>
                <w:szCs w:val="20"/>
                <w:highlight w:val="darkGray"/>
              </w:rPr>
            </w:pPr>
            <w:r w:rsidRPr="001328F0">
              <w:rPr>
                <w:rFonts w:cs="Calibri"/>
                <w:bCs w:val="0"/>
                <w:color w:val="000000"/>
                <w:szCs w:val="20"/>
                <w:shd w:val="solid" w:color="000000" w:fill="000000"/>
                <w14:textFill>
                  <w14:solidFill>
                    <w14:srgbClr w14:val="000000">
                      <w14:alpha w14:val="100000"/>
                    </w14:srgbClr>
                  </w14:solidFill>
                </w14:textFill>
              </w:rPr>
              <w:t>|</w:t>
            </w:r>
            <w:r w:rsidR="000E333A" w:rsidRPr="000E333A">
              <w:rPr>
                <w:rFonts w:cs="Calibri"/>
                <w:bCs w:val="0"/>
                <w:color w:val="000000"/>
                <w:szCs w:val="20"/>
              </w:rPr>
              <w:t xml:space="preserve"> </w:t>
            </w:r>
            <w:r w:rsidR="00110006">
              <w:rPr>
                <w:rFonts w:cs="Arial"/>
                <w:bCs w:val="0"/>
                <w:color w:val="000000"/>
                <w:szCs w:val="20"/>
                <w:vertAlign w:val="superscript"/>
              </w:rPr>
              <w:t>3</w:t>
            </w:r>
            <w:r w:rsidR="000E333A" w:rsidRPr="000E333A">
              <w:rPr>
                <w:rFonts w:cs="Calibri"/>
                <w:bCs w:val="0"/>
                <w:color w:val="00000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hideMark/>
          </w:tcPr>
          <w:p w14:paraId="3A6A593E" w14:textId="527F8964" w:rsidR="00735FA4" w:rsidRPr="008E1071" w:rsidRDefault="001328F0">
            <w:pPr>
              <w:pStyle w:val="TableText0"/>
              <w:jc w:val="center"/>
              <w:rPr>
                <w:szCs w:val="20"/>
                <w:highlight w:val="darkGray"/>
              </w:rPr>
            </w:pPr>
            <w:r w:rsidRPr="001328F0">
              <w:rPr>
                <w:rFonts w:cs="Calibri"/>
                <w:bCs w:val="0"/>
                <w:color w:val="000000"/>
                <w:szCs w:val="20"/>
                <w:shd w:val="solid" w:color="000000" w:fill="000000"/>
                <w14:textFill>
                  <w14:solidFill>
                    <w14:srgbClr w14:val="000000">
                      <w14:alpha w14:val="100000"/>
                    </w14:srgbClr>
                  </w14:solidFill>
                </w14:textFill>
              </w:rPr>
              <w:t>|</w:t>
            </w:r>
            <w:r w:rsidR="000E333A" w:rsidRPr="000E333A">
              <w:rPr>
                <w:rFonts w:cs="Calibri"/>
                <w:bCs w:val="0"/>
                <w:color w:val="000000"/>
                <w:szCs w:val="20"/>
              </w:rPr>
              <w:t xml:space="preserve"> </w:t>
            </w:r>
            <w:r w:rsidR="00110006">
              <w:rPr>
                <w:rFonts w:cs="Arial"/>
                <w:bCs w:val="0"/>
                <w:color w:val="000000"/>
                <w:szCs w:val="20"/>
                <w:vertAlign w:val="superscript"/>
              </w:rPr>
              <w:t>3</w:t>
            </w:r>
            <w:r w:rsidR="000E333A" w:rsidRPr="000E333A">
              <w:rPr>
                <w:rFonts w:cs="Calibri"/>
                <w:bCs w:val="0"/>
                <w:color w:val="00000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hideMark/>
          </w:tcPr>
          <w:p w14:paraId="1CEE6163" w14:textId="554F1261" w:rsidR="00735FA4" w:rsidRPr="008E1071" w:rsidRDefault="001328F0">
            <w:pPr>
              <w:pStyle w:val="TableText0"/>
              <w:jc w:val="center"/>
              <w:rPr>
                <w:szCs w:val="20"/>
                <w:highlight w:val="darkGray"/>
              </w:rPr>
            </w:pPr>
            <w:r w:rsidRPr="001328F0">
              <w:rPr>
                <w:rFonts w:cs="Calibri"/>
                <w:bCs w:val="0"/>
                <w:color w:val="000000"/>
                <w:szCs w:val="20"/>
                <w:shd w:val="solid" w:color="000000" w:fill="000000"/>
                <w14:textFill>
                  <w14:solidFill>
                    <w14:srgbClr w14:val="000000">
                      <w14:alpha w14:val="100000"/>
                    </w14:srgbClr>
                  </w14:solidFill>
                </w14:textFill>
              </w:rPr>
              <w:t>|</w:t>
            </w:r>
            <w:r w:rsidR="000E333A" w:rsidRPr="000E333A">
              <w:rPr>
                <w:rFonts w:cs="Calibri"/>
                <w:bCs w:val="0"/>
                <w:color w:val="000000"/>
                <w:szCs w:val="20"/>
              </w:rPr>
              <w:t xml:space="preserve"> </w:t>
            </w:r>
            <w:r w:rsidR="00110006">
              <w:rPr>
                <w:rFonts w:cs="Arial"/>
                <w:bCs w:val="0"/>
                <w:color w:val="000000"/>
                <w:szCs w:val="20"/>
                <w:vertAlign w:val="superscript"/>
              </w:rPr>
              <w:t>3</w:t>
            </w:r>
            <w:r w:rsidR="000E333A" w:rsidRPr="000E333A">
              <w:rPr>
                <w:rFonts w:cs="Calibri"/>
                <w:bCs w:val="0"/>
                <w:color w:val="00000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hideMark/>
          </w:tcPr>
          <w:p w14:paraId="001ADFD8" w14:textId="381C4E8F" w:rsidR="00735FA4" w:rsidRPr="008E1071" w:rsidRDefault="001328F0">
            <w:pPr>
              <w:pStyle w:val="TableText0"/>
              <w:jc w:val="center"/>
              <w:rPr>
                <w:szCs w:val="20"/>
                <w:highlight w:val="darkGray"/>
              </w:rPr>
            </w:pPr>
            <w:r w:rsidRPr="001328F0">
              <w:rPr>
                <w:rFonts w:cs="Calibri"/>
                <w:bCs w:val="0"/>
                <w:color w:val="000000"/>
                <w:szCs w:val="20"/>
                <w:shd w:val="solid" w:color="000000" w:fill="000000"/>
                <w14:textFill>
                  <w14:solidFill>
                    <w14:srgbClr w14:val="000000">
                      <w14:alpha w14:val="100000"/>
                    </w14:srgbClr>
                  </w14:solidFill>
                </w14:textFill>
              </w:rPr>
              <w:t>|</w:t>
            </w:r>
            <w:r w:rsidR="000E333A" w:rsidRPr="000E333A">
              <w:rPr>
                <w:rFonts w:cs="Calibri"/>
                <w:bCs w:val="0"/>
                <w:color w:val="000000"/>
                <w:szCs w:val="20"/>
              </w:rPr>
              <w:t xml:space="preserve"> </w:t>
            </w:r>
            <w:r w:rsidR="00110006">
              <w:rPr>
                <w:rFonts w:cs="Arial"/>
                <w:bCs w:val="0"/>
                <w:color w:val="000000"/>
                <w:szCs w:val="20"/>
                <w:vertAlign w:val="superscript"/>
              </w:rPr>
              <w:t>3</w:t>
            </w:r>
            <w:r w:rsidR="000E333A" w:rsidRPr="000E333A">
              <w:rPr>
                <w:rFonts w:cs="Calibri"/>
                <w:bCs w:val="0"/>
                <w:color w:val="000000"/>
                <w:szCs w:val="20"/>
              </w:rPr>
              <w:t xml:space="preserve"> </w:t>
            </w:r>
          </w:p>
        </w:tc>
        <w:tc>
          <w:tcPr>
            <w:tcW w:w="611" w:type="pct"/>
            <w:tcBorders>
              <w:top w:val="single" w:sz="4" w:space="0" w:color="auto"/>
              <w:left w:val="single" w:sz="4" w:space="0" w:color="auto"/>
              <w:bottom w:val="single" w:sz="4" w:space="0" w:color="auto"/>
              <w:right w:val="single" w:sz="4" w:space="0" w:color="auto"/>
            </w:tcBorders>
            <w:vAlign w:val="bottom"/>
            <w:hideMark/>
          </w:tcPr>
          <w:p w14:paraId="220A22E2" w14:textId="53F95028" w:rsidR="00735FA4" w:rsidRPr="008E1071" w:rsidRDefault="001328F0">
            <w:pPr>
              <w:pStyle w:val="TableText0"/>
              <w:jc w:val="center"/>
              <w:rPr>
                <w:szCs w:val="20"/>
                <w:highlight w:val="darkGray"/>
              </w:rPr>
            </w:pPr>
            <w:r w:rsidRPr="001328F0">
              <w:rPr>
                <w:rFonts w:cs="Calibri"/>
                <w:bCs w:val="0"/>
                <w:color w:val="000000"/>
                <w:szCs w:val="20"/>
                <w:shd w:val="solid" w:color="000000" w:fill="000000"/>
                <w14:textFill>
                  <w14:solidFill>
                    <w14:srgbClr w14:val="000000">
                      <w14:alpha w14:val="100000"/>
                    </w14:srgbClr>
                  </w14:solidFill>
                </w14:textFill>
              </w:rPr>
              <w:t>|</w:t>
            </w:r>
            <w:r w:rsidR="000E333A" w:rsidRPr="000E333A">
              <w:rPr>
                <w:rFonts w:cs="Calibri"/>
                <w:bCs w:val="0"/>
                <w:color w:val="000000"/>
                <w:szCs w:val="20"/>
              </w:rPr>
              <w:t xml:space="preserve"> </w:t>
            </w:r>
            <w:r w:rsidR="00110006">
              <w:rPr>
                <w:rFonts w:cs="Arial"/>
                <w:bCs w:val="0"/>
                <w:color w:val="000000"/>
                <w:szCs w:val="20"/>
                <w:vertAlign w:val="superscript"/>
              </w:rPr>
              <w:t>3</w:t>
            </w:r>
            <w:r w:rsidR="000E333A" w:rsidRPr="000E333A">
              <w:rPr>
                <w:rFonts w:cs="Calibri"/>
                <w:bCs w:val="0"/>
                <w:color w:val="000000"/>
                <w:szCs w:val="20"/>
              </w:rPr>
              <w:t xml:space="preserve"> </w:t>
            </w:r>
          </w:p>
        </w:tc>
      </w:tr>
    </w:tbl>
    <w:p w14:paraId="7AECA6EE" w14:textId="77777777" w:rsidR="00735FA4" w:rsidRDefault="00735FA4" w:rsidP="00735FA4">
      <w:pPr>
        <w:pStyle w:val="FooterTableFigure"/>
        <w:rPr>
          <w:rStyle w:val="CommentReference"/>
        </w:rPr>
      </w:pPr>
      <w:r>
        <w:t>Source: Table 4-7, p196 of the submission. MBS costs calculated during the evaluation from ‘Lenacapavir Financials Base Case Final 6July22.xlsx’</w:t>
      </w:r>
    </w:p>
    <w:p w14:paraId="63CCE149" w14:textId="7F25764E" w:rsidR="00735FA4" w:rsidRPr="00EE3155" w:rsidRDefault="00735FA4" w:rsidP="00735FA4">
      <w:pPr>
        <w:pStyle w:val="FooterTableFigure"/>
      </w:pPr>
      <w:r w:rsidRPr="008274BB">
        <w:t>a</w:t>
      </w:r>
      <w:r w:rsidRPr="00F83C88">
        <w:t xml:space="preserve"> Assuming 1 script per year for initiating tablets, 1 script per year for initiating injection and two scripts per year for maintenance as estimated by the submission.</w:t>
      </w:r>
    </w:p>
    <w:p w14:paraId="45EB8BDB" w14:textId="653C8AF8" w:rsidR="00735FA4" w:rsidRDefault="00735FA4" w:rsidP="00735FA4">
      <w:pPr>
        <w:pStyle w:val="FooterTableFigure"/>
        <w:contextualSpacing w:val="0"/>
      </w:pPr>
      <w:r w:rsidRPr="008274BB">
        <w:rPr>
          <w:szCs w:val="18"/>
        </w:rPr>
        <w:t>b</w:t>
      </w:r>
      <w:r w:rsidRPr="00F83C88">
        <w:rPr>
          <w:szCs w:val="18"/>
        </w:rPr>
        <w:t xml:space="preserve"> </w:t>
      </w:r>
      <w:r w:rsidR="00F83C88" w:rsidRPr="00F83C88">
        <w:rPr>
          <w:szCs w:val="18"/>
        </w:rPr>
        <w:t>C</w:t>
      </w:r>
      <w:r w:rsidRPr="00F83C88">
        <w:rPr>
          <w:szCs w:val="18"/>
        </w:rPr>
        <w:t>alculated</w:t>
      </w:r>
      <w:r>
        <w:rPr>
          <w:szCs w:val="18"/>
        </w:rPr>
        <w:t xml:space="preserve"> during the evaluation based on total injection scripts multiplied by $79.75 (MBS Item 116)</w:t>
      </w:r>
      <w:r w:rsidR="008D4F11">
        <w:rPr>
          <w:szCs w:val="18"/>
        </w:rPr>
        <w:t>.</w:t>
      </w:r>
    </w:p>
    <w:p w14:paraId="429772E2" w14:textId="77777777" w:rsidR="004C3028" w:rsidRPr="008E1071" w:rsidRDefault="004C3028" w:rsidP="004C3028">
      <w:pPr>
        <w:pStyle w:val="FooterTableFigure"/>
        <w:rPr>
          <w:i/>
          <w:iCs/>
          <w:szCs w:val="20"/>
        </w:rPr>
      </w:pPr>
      <w:r w:rsidRPr="008E1071">
        <w:rPr>
          <w:i/>
          <w:iCs/>
          <w:szCs w:val="20"/>
        </w:rPr>
        <w:t xml:space="preserve">The redacted values correspond to the following ranges: </w:t>
      </w:r>
    </w:p>
    <w:p w14:paraId="471F126E" w14:textId="008A2BE2" w:rsidR="004C3028" w:rsidRPr="008E1071" w:rsidRDefault="004C3028" w:rsidP="004C3028">
      <w:pPr>
        <w:pStyle w:val="FooterTableFigure"/>
        <w:rPr>
          <w:i/>
          <w:iCs/>
          <w:szCs w:val="20"/>
        </w:rPr>
      </w:pPr>
      <w:r w:rsidRPr="008E1071">
        <w:rPr>
          <w:i/>
          <w:iCs/>
          <w:szCs w:val="20"/>
          <w:vertAlign w:val="superscript"/>
        </w:rPr>
        <w:t xml:space="preserve">1 </w:t>
      </w:r>
      <w:r w:rsidRPr="008E1071">
        <w:rPr>
          <w:i/>
          <w:iCs/>
          <w:szCs w:val="20"/>
        </w:rPr>
        <w:t>&lt; 500</w:t>
      </w:r>
    </w:p>
    <w:p w14:paraId="0E12E6FF" w14:textId="319FD6D0" w:rsidR="004C3028" w:rsidRPr="008E1071" w:rsidRDefault="004C3028" w:rsidP="004C3028">
      <w:pPr>
        <w:pStyle w:val="FooterTableFigure"/>
        <w:rPr>
          <w:i/>
          <w:iCs/>
          <w:szCs w:val="20"/>
        </w:rPr>
      </w:pPr>
      <w:r w:rsidRPr="008E1071">
        <w:rPr>
          <w:i/>
          <w:iCs/>
          <w:szCs w:val="20"/>
          <w:vertAlign w:val="superscript"/>
        </w:rPr>
        <w:t xml:space="preserve">2 </w:t>
      </w:r>
      <w:r w:rsidRPr="008E1071">
        <w:rPr>
          <w:i/>
          <w:iCs/>
          <w:szCs w:val="20"/>
        </w:rPr>
        <w:t>$0 to &lt; $10 million</w:t>
      </w:r>
    </w:p>
    <w:p w14:paraId="78611E55" w14:textId="15FDEE70" w:rsidR="00735FA4" w:rsidRDefault="004C3028" w:rsidP="00735FA4">
      <w:pPr>
        <w:pStyle w:val="FooterTableFigure"/>
      </w:pPr>
      <w:r w:rsidRPr="008E1071">
        <w:rPr>
          <w:i/>
          <w:iCs/>
          <w:szCs w:val="20"/>
          <w:vertAlign w:val="superscript"/>
        </w:rPr>
        <w:t xml:space="preserve">3 </w:t>
      </w:r>
      <w:bookmarkStart w:id="82" w:name="_Hlk124862757"/>
      <w:r w:rsidR="00110006" w:rsidRPr="008E1071">
        <w:rPr>
          <w:i/>
          <w:iCs/>
          <w:szCs w:val="20"/>
        </w:rPr>
        <w:t>$10 million to &lt; $20 million</w:t>
      </w:r>
      <w:bookmarkEnd w:id="82"/>
    </w:p>
    <w:p w14:paraId="40D5918C" w14:textId="4699DC70" w:rsidR="00735FA4" w:rsidRDefault="00735FA4" w:rsidP="00735FA4">
      <w:pPr>
        <w:pStyle w:val="3-BodyText"/>
        <w:snapToGrid w:val="0"/>
      </w:pPr>
      <w:r>
        <w:t xml:space="preserve">The total cost to the PBS/RPBS of listing lenacapavir was estimated to be </w:t>
      </w:r>
      <w:r w:rsidR="0010412A" w:rsidRPr="0010412A">
        <w:t>$0 to &lt; $10 million</w:t>
      </w:r>
      <w:r w:rsidR="0010412A" w:rsidRPr="0010412A" w:rsidDel="0010412A">
        <w:t xml:space="preserve"> </w:t>
      </w:r>
      <w:r>
        <w:t xml:space="preserve">in Year 1, increasing to </w:t>
      </w:r>
      <w:r w:rsidR="0010412A" w:rsidRPr="0010412A">
        <w:t>$10 million to &lt; $20 million</w:t>
      </w:r>
      <w:r w:rsidR="0010412A" w:rsidRPr="0010412A" w:rsidDel="0010412A">
        <w:t xml:space="preserve"> </w:t>
      </w:r>
      <w:r>
        <w:t xml:space="preserve">in Year 6, and a total of </w:t>
      </w:r>
      <w:r w:rsidR="0010412A" w:rsidRPr="0010412A">
        <w:t>$60 million to &lt; $70 million</w:t>
      </w:r>
      <w:r w:rsidR="0010412A">
        <w:t xml:space="preserve"> </w:t>
      </w:r>
      <w:r>
        <w:t xml:space="preserve">in the first 6 years of listing. </w:t>
      </w:r>
    </w:p>
    <w:p w14:paraId="5C3D8CA3" w14:textId="77777777" w:rsidR="00735FA4" w:rsidRPr="00B81B86" w:rsidRDefault="00735FA4" w:rsidP="00735FA4">
      <w:pPr>
        <w:pStyle w:val="3-BodyText"/>
        <w:snapToGrid w:val="0"/>
        <w:rPr>
          <w:color w:val="000000" w:themeColor="text1"/>
        </w:rPr>
      </w:pPr>
      <w:r w:rsidRPr="00B81B86">
        <w:rPr>
          <w:color w:val="000000" w:themeColor="text1"/>
        </w:rPr>
        <w:t>The submission’s financial estimates were sensitive to the input used for proportion of HIV patients who are highly MDR (0.84% in base case). While the selected value appeared reasonable, even small differences in this input could have a substantial impact on financial estimates.</w:t>
      </w:r>
    </w:p>
    <w:p w14:paraId="40492ED1" w14:textId="77777777" w:rsidR="00735FA4" w:rsidRPr="00B81B86" w:rsidRDefault="00735FA4" w:rsidP="00735FA4">
      <w:pPr>
        <w:pStyle w:val="3-BodyText"/>
        <w:snapToGrid w:val="0"/>
        <w:rPr>
          <w:color w:val="000000" w:themeColor="text1"/>
        </w:rPr>
      </w:pPr>
      <w:r w:rsidRPr="00B81B86">
        <w:rPr>
          <w:color w:val="000000" w:themeColor="text1"/>
        </w:rPr>
        <w:t xml:space="preserve">Relatedly, given the relatively small population of highly MDR patients compared to the greater population of PLWH, </w:t>
      </w:r>
      <w:r w:rsidRPr="00B81B86">
        <w:t>there may be a risk of usage outside the requested population to the non MDR HIV patients due to potential convenience benefits associated with six monthly injections.</w:t>
      </w:r>
    </w:p>
    <w:p w14:paraId="5295ED74" w14:textId="2682E408" w:rsidR="00735FA4" w:rsidRPr="00B81B86" w:rsidRDefault="00735FA4" w:rsidP="00735FA4">
      <w:pPr>
        <w:pStyle w:val="3-BodyText"/>
        <w:snapToGrid w:val="0"/>
        <w:rPr>
          <w:color w:val="000000" w:themeColor="text1"/>
        </w:rPr>
      </w:pPr>
      <w:r w:rsidRPr="00B81B86">
        <w:rPr>
          <w:color w:val="000000" w:themeColor="text1"/>
        </w:rPr>
        <w:t>Furthermore, given the ambiguity in the requested restriction in terms of the number of prior trialled (and failed), or the number of fully active ARVs remaining in order to access lenacapavir, there is a substantial amount of uncertainty regarding this input.</w:t>
      </w:r>
    </w:p>
    <w:p w14:paraId="5CC359B3" w14:textId="77777777" w:rsidR="00735FA4" w:rsidRPr="00B81B86" w:rsidRDefault="00735FA4" w:rsidP="00735FA4">
      <w:pPr>
        <w:pStyle w:val="3-BodyText"/>
        <w:snapToGrid w:val="0"/>
        <w:rPr>
          <w:color w:val="000000" w:themeColor="text1"/>
        </w:rPr>
      </w:pPr>
      <w:r w:rsidRPr="00B81B86">
        <w:rPr>
          <w:color w:val="000000" w:themeColor="text1"/>
        </w:rPr>
        <w:t xml:space="preserve">Uptake rates appeared to be both incorrectly calculated and underestimated. This likely underestimated the treated population. </w:t>
      </w:r>
    </w:p>
    <w:p w14:paraId="7DA10B13" w14:textId="09885C1A" w:rsidR="001E19D2" w:rsidRDefault="00735FA4" w:rsidP="001E19D2">
      <w:pPr>
        <w:pStyle w:val="3-BodyText"/>
        <w:snapToGrid w:val="0"/>
        <w:rPr>
          <w:color w:val="000000" w:themeColor="text1"/>
        </w:rPr>
      </w:pPr>
      <w:r w:rsidRPr="00B81B86">
        <w:rPr>
          <w:color w:val="000000" w:themeColor="text1"/>
        </w:rPr>
        <w:t xml:space="preserve">The submission did not include estimates of change in </w:t>
      </w:r>
      <w:r w:rsidR="00E91719">
        <w:rPr>
          <w:color w:val="000000" w:themeColor="text1"/>
        </w:rPr>
        <w:t>OBR use due to lenacapavir treatment</w:t>
      </w:r>
      <w:r w:rsidRPr="00B81B86">
        <w:rPr>
          <w:color w:val="000000" w:themeColor="text1"/>
        </w:rPr>
        <w:t>. T</w:t>
      </w:r>
      <w:r w:rsidR="00E91719">
        <w:rPr>
          <w:color w:val="000000" w:themeColor="text1"/>
        </w:rPr>
        <w:t>he evaluation considered that this</w:t>
      </w:r>
      <w:r w:rsidRPr="00B81B86">
        <w:rPr>
          <w:color w:val="000000" w:themeColor="text1"/>
        </w:rPr>
        <w:t xml:space="preserve"> was unreasonable. The results from the economic evaluation indicate that patients treated with lenacapavir + OBR will have a higher cost associated with other ARVs as part of OBR and salvage therapy. Based on the estimates from the economic model, the additional incremental cost of other ARVs (from OBR and salvage) was 27% of the incremental cost of lenacapavir </w:t>
      </w:r>
      <w:r w:rsidRPr="00B81B86">
        <w:rPr>
          <w:color w:val="000000" w:themeColor="text1"/>
        </w:rPr>
        <w:lastRenderedPageBreak/>
        <w:t>over a patients’ lifetime</w:t>
      </w:r>
      <w:r w:rsidR="001C5A77">
        <w:rPr>
          <w:rStyle w:val="FootnoteReference"/>
          <w:color w:val="000000" w:themeColor="text1"/>
        </w:rPr>
        <w:footnoteReference w:id="22"/>
      </w:r>
      <w:r w:rsidRPr="00B81B86">
        <w:rPr>
          <w:color w:val="000000" w:themeColor="text1"/>
        </w:rPr>
        <w:t xml:space="preserve">. Using this as a rough guide for adjusting the annual cost, this would increase the annual cost by </w:t>
      </w:r>
      <w:r w:rsidR="00E91719">
        <w:rPr>
          <w:color w:val="000000" w:themeColor="text1"/>
        </w:rPr>
        <w:t>approximately</w:t>
      </w:r>
      <w:r w:rsidR="00E91719" w:rsidRPr="00B81B86">
        <w:rPr>
          <w:color w:val="000000" w:themeColor="text1"/>
        </w:rPr>
        <w:t xml:space="preserve"> </w:t>
      </w:r>
      <w:r w:rsidR="00172507" w:rsidRPr="00172507">
        <w:rPr>
          <w:color w:val="000000" w:themeColor="text1"/>
        </w:rPr>
        <w:t>$0 to &lt; $10 million</w:t>
      </w:r>
      <w:r w:rsidR="00172507" w:rsidRPr="00172507" w:rsidDel="00172507">
        <w:rPr>
          <w:color w:val="000000" w:themeColor="text1"/>
        </w:rPr>
        <w:t xml:space="preserve"> </w:t>
      </w:r>
      <w:r w:rsidRPr="00B81B86">
        <w:rPr>
          <w:color w:val="000000" w:themeColor="text1"/>
        </w:rPr>
        <w:t xml:space="preserve">in the first year and </w:t>
      </w:r>
      <w:r w:rsidR="00172507" w:rsidRPr="00172507">
        <w:rPr>
          <w:color w:val="000000" w:themeColor="text1"/>
        </w:rPr>
        <w:t>$0 to &lt; $10 million</w:t>
      </w:r>
      <w:r w:rsidR="00172507" w:rsidRPr="00172507" w:rsidDel="00172507">
        <w:rPr>
          <w:color w:val="000000" w:themeColor="text1"/>
        </w:rPr>
        <w:t xml:space="preserve"> </w:t>
      </w:r>
      <w:r w:rsidRPr="00B81B86">
        <w:rPr>
          <w:color w:val="000000" w:themeColor="text1"/>
        </w:rPr>
        <w:t xml:space="preserve">by year 6 of listing. Nevertheless, it is acknowledged that estimating changes in other ARVs </w:t>
      </w:r>
      <w:r w:rsidR="00E91719">
        <w:rPr>
          <w:color w:val="000000" w:themeColor="text1"/>
        </w:rPr>
        <w:t>is</w:t>
      </w:r>
      <w:r w:rsidR="00E91719" w:rsidRPr="00B81B86">
        <w:rPr>
          <w:color w:val="000000" w:themeColor="text1"/>
        </w:rPr>
        <w:t xml:space="preserve"> </w:t>
      </w:r>
      <w:r w:rsidRPr="00B81B86">
        <w:rPr>
          <w:color w:val="000000" w:themeColor="text1"/>
        </w:rPr>
        <w:t>complex and highly uncertain given the heterogenous nature of highly MDR patients and their regimens</w:t>
      </w:r>
      <w:r w:rsidR="00E91719">
        <w:rPr>
          <w:color w:val="000000" w:themeColor="text1"/>
        </w:rPr>
        <w:t xml:space="preserve">. However, </w:t>
      </w:r>
      <w:r w:rsidRPr="00B81B86">
        <w:rPr>
          <w:color w:val="000000" w:themeColor="text1"/>
        </w:rPr>
        <w:t>it was likely that the submission’s financial estimates were underestimated due to the omission of costing of other ARVs as the cost of other ARVs was likely to increase based on the longer time on treatment associated with lenacapavir estimated in the economic evaluation.</w:t>
      </w:r>
    </w:p>
    <w:p w14:paraId="5B775AFE" w14:textId="04086864" w:rsidR="00735FA4" w:rsidRPr="00424888" w:rsidRDefault="00735FA4" w:rsidP="00C80793">
      <w:pPr>
        <w:pStyle w:val="3-BodyText"/>
        <w:snapToGrid w:val="0"/>
        <w:rPr>
          <w:bCs/>
        </w:rPr>
      </w:pPr>
      <w:r w:rsidRPr="00722B07">
        <w:rPr>
          <w:bCs/>
        </w:rPr>
        <w:t xml:space="preserve">DUSC </w:t>
      </w:r>
      <w:r w:rsidRPr="00424888">
        <w:rPr>
          <w:bCs/>
        </w:rPr>
        <w:t>consider</w:t>
      </w:r>
      <w:r w:rsidR="00A10E1E" w:rsidRPr="00424888">
        <w:rPr>
          <w:bCs/>
        </w:rPr>
        <w:t>ed</w:t>
      </w:r>
      <w:r w:rsidRPr="00424888">
        <w:rPr>
          <w:bCs/>
        </w:rPr>
        <w:t xml:space="preserve"> the </w:t>
      </w:r>
      <w:r w:rsidR="00E91719" w:rsidRPr="00424888">
        <w:rPr>
          <w:bCs/>
        </w:rPr>
        <w:t xml:space="preserve">financial </w:t>
      </w:r>
      <w:r w:rsidRPr="00424888">
        <w:rPr>
          <w:bCs/>
        </w:rPr>
        <w:t>estimates presented in the submission to be uncertain and potentially underestimated. The main issues</w:t>
      </w:r>
      <w:r w:rsidR="00A10E1E" w:rsidRPr="00424888">
        <w:rPr>
          <w:bCs/>
        </w:rPr>
        <w:t xml:space="preserve"> identified</w:t>
      </w:r>
      <w:r w:rsidRPr="00424888">
        <w:rPr>
          <w:bCs/>
        </w:rPr>
        <w:t xml:space="preserve"> </w:t>
      </w:r>
      <w:r w:rsidR="00A10E1E" w:rsidRPr="00424888">
        <w:rPr>
          <w:bCs/>
        </w:rPr>
        <w:t>were</w:t>
      </w:r>
      <w:r w:rsidRPr="00424888">
        <w:rPr>
          <w:bCs/>
        </w:rPr>
        <w:t>:</w:t>
      </w:r>
    </w:p>
    <w:p w14:paraId="0CEA9932" w14:textId="0836E445" w:rsidR="00735FA4" w:rsidRPr="00B81B86" w:rsidRDefault="00735FA4" w:rsidP="00FD6EB1">
      <w:pPr>
        <w:pStyle w:val="ListParagraph"/>
        <w:numPr>
          <w:ilvl w:val="0"/>
          <w:numId w:val="16"/>
        </w:numPr>
        <w:snapToGrid w:val="0"/>
        <w:spacing w:after="0"/>
        <w:ind w:left="1134"/>
        <w:contextualSpacing/>
        <w:rPr>
          <w:bCs/>
        </w:rPr>
      </w:pPr>
      <w:r w:rsidRPr="00B81B86">
        <w:rPr>
          <w:bCs/>
        </w:rPr>
        <w:t>The submission’s financial estimates were sensitive to the assumption for the proportion of HIV patients who are hMDR (0.84% in the base case). While the selected value appeared reasonable, even a small change in this input could have a substantial impact on</w:t>
      </w:r>
      <w:r w:rsidR="00E91719">
        <w:rPr>
          <w:bCs/>
        </w:rPr>
        <w:t xml:space="preserve"> the</w:t>
      </w:r>
      <w:r w:rsidRPr="00B81B86">
        <w:rPr>
          <w:bCs/>
        </w:rPr>
        <w:t xml:space="preserve"> financial estimates.</w:t>
      </w:r>
    </w:p>
    <w:p w14:paraId="1F03BB41" w14:textId="77777777" w:rsidR="00735FA4" w:rsidRPr="00B81B86" w:rsidRDefault="00735FA4" w:rsidP="00FD6EB1">
      <w:pPr>
        <w:pStyle w:val="ListParagraph"/>
        <w:numPr>
          <w:ilvl w:val="0"/>
          <w:numId w:val="16"/>
        </w:numPr>
        <w:snapToGrid w:val="0"/>
        <w:spacing w:after="0"/>
        <w:ind w:left="1134"/>
        <w:contextualSpacing/>
        <w:rPr>
          <w:bCs/>
        </w:rPr>
      </w:pPr>
      <w:r w:rsidRPr="00B81B86">
        <w:rPr>
          <w:bCs/>
        </w:rPr>
        <w:t xml:space="preserve">Treatment uptake rates appeared to be both incorrectly calculated and underestimated. </w:t>
      </w:r>
    </w:p>
    <w:p w14:paraId="6D3366E8" w14:textId="73410DFA" w:rsidR="00735FA4" w:rsidRPr="00B81B86" w:rsidRDefault="00735FA4" w:rsidP="00FD6EB1">
      <w:pPr>
        <w:pStyle w:val="ListParagraph"/>
        <w:numPr>
          <w:ilvl w:val="0"/>
          <w:numId w:val="16"/>
        </w:numPr>
        <w:snapToGrid w:val="0"/>
        <w:spacing w:after="0"/>
        <w:ind w:left="1134"/>
        <w:contextualSpacing/>
        <w:rPr>
          <w:bCs/>
        </w:rPr>
      </w:pPr>
      <w:r w:rsidRPr="00B81B86">
        <w:rPr>
          <w:bCs/>
        </w:rPr>
        <w:t xml:space="preserve">The omission of OBR costs from the financial estimates may also have led to an underestimate in overall financial impact. </w:t>
      </w:r>
    </w:p>
    <w:p w14:paraId="67FFB842" w14:textId="77777777" w:rsidR="00735FA4" w:rsidRPr="00B81B86" w:rsidRDefault="00735FA4" w:rsidP="00FD6EB1">
      <w:pPr>
        <w:pStyle w:val="ListParagraph"/>
        <w:numPr>
          <w:ilvl w:val="0"/>
          <w:numId w:val="17"/>
        </w:numPr>
        <w:snapToGrid w:val="0"/>
        <w:ind w:left="1134" w:right="172"/>
        <w:contextualSpacing/>
        <w:rPr>
          <w:color w:val="000000" w:themeColor="text1"/>
        </w:rPr>
      </w:pPr>
      <w:r w:rsidRPr="00B81B86">
        <w:rPr>
          <w:color w:val="000000" w:themeColor="text1"/>
        </w:rPr>
        <w:t>There may be a risk of usage outside the requested population to the non hMDR HIV patients due to potential convenience benefits associated with six monthly injections. DUSC noted that it considers the risk of use beyond the restriction to be modest.</w:t>
      </w:r>
    </w:p>
    <w:p w14:paraId="76D64E42" w14:textId="0E772230" w:rsidR="00A10E1E" w:rsidRPr="001E19D2" w:rsidRDefault="00A10E1E" w:rsidP="00A10E1E">
      <w:pPr>
        <w:pStyle w:val="3-BodyText"/>
        <w:snapToGrid w:val="0"/>
        <w:rPr>
          <w:color w:val="000000" w:themeColor="text1"/>
        </w:rPr>
      </w:pPr>
      <w:r>
        <w:rPr>
          <w:color w:val="000000" w:themeColor="text1"/>
        </w:rPr>
        <w:t xml:space="preserve">The Pre-PBAC Response disagreed that the omission of OBR costs from the estimates was </w:t>
      </w:r>
      <w:r w:rsidR="00F83C88">
        <w:rPr>
          <w:color w:val="000000" w:themeColor="text1"/>
        </w:rPr>
        <w:t>not appropriate</w:t>
      </w:r>
      <w:r>
        <w:rPr>
          <w:color w:val="000000" w:themeColor="text1"/>
        </w:rPr>
        <w:t>, and argued it was both practical (by avoiding significant computational complexity given the large number of medications) and reasonable because any incremental survival gain is unlikely to become apparent in the first 2-3 years</w:t>
      </w:r>
      <w:r w:rsidR="00F83C88">
        <w:rPr>
          <w:color w:val="000000" w:themeColor="text1"/>
        </w:rPr>
        <w:t xml:space="preserve"> of treatment</w:t>
      </w:r>
      <w:r>
        <w:rPr>
          <w:color w:val="000000" w:themeColor="text1"/>
        </w:rPr>
        <w:t>, and therefore the additional OBR costs in the outer years for 5-10% of patients who would have otherwise died would have a negligible impact on the overall cost to the PBS.</w:t>
      </w:r>
    </w:p>
    <w:p w14:paraId="5288A40F" w14:textId="356C5684" w:rsidR="00735FA4" w:rsidRDefault="00735FA4" w:rsidP="00735FA4">
      <w:pPr>
        <w:pStyle w:val="4-SubsectionHeading"/>
        <w:rPr>
          <w:color w:val="365F91" w:themeColor="accent1" w:themeShade="BF"/>
        </w:rPr>
      </w:pPr>
      <w:bookmarkStart w:id="83" w:name="_Toc22897648"/>
      <w:bookmarkStart w:id="84" w:name="_Toc114048776"/>
      <w:r>
        <w:t>Quality Use of Medicines</w:t>
      </w:r>
      <w:bookmarkEnd w:id="83"/>
      <w:bookmarkEnd w:id="84"/>
    </w:p>
    <w:p w14:paraId="5F0AB946" w14:textId="04B7C770" w:rsidR="00735FA4" w:rsidRDefault="00735FA4" w:rsidP="00735FA4">
      <w:pPr>
        <w:pStyle w:val="3-BodyText"/>
        <w:snapToGrid w:val="0"/>
      </w:pPr>
      <w:r>
        <w:t>The submission identified the following Quality use of medicines (QUM) activities</w:t>
      </w:r>
      <w:r w:rsidR="00F83C88">
        <w:t>:</w:t>
      </w:r>
    </w:p>
    <w:p w14:paraId="3972ACDD" w14:textId="77777777" w:rsidR="00735FA4" w:rsidRDefault="00735FA4" w:rsidP="009A280E">
      <w:pPr>
        <w:pStyle w:val="ListParagraph"/>
        <w:numPr>
          <w:ilvl w:val="0"/>
          <w:numId w:val="15"/>
        </w:numPr>
        <w:snapToGrid w:val="0"/>
        <w:spacing w:after="0"/>
        <w:ind w:left="1134"/>
        <w:rPr>
          <w:color w:val="000000" w:themeColor="text1"/>
        </w:rPr>
      </w:pPr>
      <w:r>
        <w:rPr>
          <w:color w:val="000000" w:themeColor="text1"/>
        </w:rPr>
        <w:t>A TGA compliant risk management plan will be implemented and will be agreed through the registration process.</w:t>
      </w:r>
    </w:p>
    <w:p w14:paraId="7F5E6C7A" w14:textId="5FBC93CC" w:rsidR="00735FA4" w:rsidRDefault="00735FA4" w:rsidP="00424888">
      <w:pPr>
        <w:pStyle w:val="ListParagraph"/>
        <w:numPr>
          <w:ilvl w:val="0"/>
          <w:numId w:val="15"/>
        </w:numPr>
        <w:snapToGrid w:val="0"/>
        <w:spacing w:after="0"/>
        <w:ind w:left="1134"/>
        <w:rPr>
          <w:color w:val="000000" w:themeColor="text1"/>
        </w:rPr>
      </w:pPr>
      <w:r>
        <w:rPr>
          <w:color w:val="000000" w:themeColor="text1"/>
        </w:rPr>
        <w:lastRenderedPageBreak/>
        <w:t xml:space="preserve">Comprehensive training </w:t>
      </w:r>
      <w:r w:rsidR="00F83C88">
        <w:rPr>
          <w:color w:val="000000" w:themeColor="text1"/>
        </w:rPr>
        <w:t>for</w:t>
      </w:r>
      <w:r>
        <w:rPr>
          <w:color w:val="000000" w:themeColor="text1"/>
        </w:rPr>
        <w:t xml:space="preserve"> </w:t>
      </w:r>
      <w:r w:rsidR="00F83C88">
        <w:rPr>
          <w:color w:val="000000" w:themeColor="text1"/>
        </w:rPr>
        <w:t>health care professionals (</w:t>
      </w:r>
      <w:r>
        <w:rPr>
          <w:color w:val="000000" w:themeColor="text1"/>
        </w:rPr>
        <w:t>HCPs</w:t>
      </w:r>
      <w:r w:rsidR="00F83C88">
        <w:rPr>
          <w:color w:val="000000" w:themeColor="text1"/>
        </w:rPr>
        <w:t>)</w:t>
      </w:r>
      <w:r>
        <w:rPr>
          <w:color w:val="000000" w:themeColor="text1"/>
        </w:rPr>
        <w:t xml:space="preserve"> on injection procedures.</w:t>
      </w:r>
    </w:p>
    <w:p w14:paraId="64748E7C" w14:textId="607EE8D3" w:rsidR="00735FA4" w:rsidRDefault="00735FA4" w:rsidP="00424888">
      <w:pPr>
        <w:pStyle w:val="ListParagraph"/>
        <w:numPr>
          <w:ilvl w:val="0"/>
          <w:numId w:val="15"/>
        </w:numPr>
        <w:snapToGrid w:val="0"/>
        <w:spacing w:after="0"/>
        <w:ind w:left="1134"/>
        <w:rPr>
          <w:color w:val="000000" w:themeColor="text1"/>
        </w:rPr>
      </w:pPr>
      <w:r>
        <w:rPr>
          <w:color w:val="000000" w:themeColor="text1"/>
        </w:rPr>
        <w:t>Instructions for the injection technique</w:t>
      </w:r>
      <w:r w:rsidR="00F83C88">
        <w:rPr>
          <w:color w:val="000000" w:themeColor="text1"/>
        </w:rPr>
        <w:t>.</w:t>
      </w:r>
    </w:p>
    <w:p w14:paraId="03B68B8C" w14:textId="6CA8D352" w:rsidR="00735FA4" w:rsidRDefault="00735FA4" w:rsidP="00424888">
      <w:pPr>
        <w:pStyle w:val="3-BodyText"/>
        <w:snapToGrid w:val="0"/>
        <w:spacing w:before="120"/>
      </w:pPr>
      <w:r>
        <w:t>The submission also claimed that lenacapavir provides a unique six-monthly dosing interval, avoiding the daily pill burden, which ensures a high level of compliance.</w:t>
      </w:r>
    </w:p>
    <w:p w14:paraId="6BE2DE4A" w14:textId="2A9E3C7A" w:rsidR="00A10E1E" w:rsidRDefault="00A10E1E" w:rsidP="00735FA4">
      <w:pPr>
        <w:pStyle w:val="3-BodyText"/>
        <w:snapToGrid w:val="0"/>
      </w:pPr>
      <w:r>
        <w:t>The DUSC advised the following regarding QUM issues:</w:t>
      </w:r>
    </w:p>
    <w:p w14:paraId="4075D8CD" w14:textId="77777777" w:rsidR="00A10E1E" w:rsidRPr="00B81B86" w:rsidRDefault="00A10E1E" w:rsidP="00424888">
      <w:pPr>
        <w:pStyle w:val="ListParagraph"/>
        <w:numPr>
          <w:ilvl w:val="0"/>
          <w:numId w:val="16"/>
        </w:numPr>
        <w:snapToGrid w:val="0"/>
        <w:spacing w:after="0"/>
        <w:ind w:left="1134"/>
        <w:contextualSpacing/>
        <w:rPr>
          <w:bCs/>
        </w:rPr>
      </w:pPr>
      <w:r w:rsidRPr="00B81B86">
        <w:rPr>
          <w:bCs/>
        </w:rPr>
        <w:t>The risk of lenacapavir resistance is present, even after only 26 weeks of treatment.</w:t>
      </w:r>
    </w:p>
    <w:p w14:paraId="040B134F" w14:textId="77777777" w:rsidR="00A10E1E" w:rsidRPr="00B81B86" w:rsidRDefault="00A10E1E" w:rsidP="00424888">
      <w:pPr>
        <w:pStyle w:val="ListParagraph"/>
        <w:numPr>
          <w:ilvl w:val="0"/>
          <w:numId w:val="16"/>
        </w:numPr>
        <w:snapToGrid w:val="0"/>
        <w:spacing w:after="0"/>
        <w:ind w:left="1134"/>
        <w:contextualSpacing/>
        <w:rPr>
          <w:bCs/>
        </w:rPr>
      </w:pPr>
      <w:r w:rsidRPr="00B81B86">
        <w:rPr>
          <w:bCs/>
        </w:rPr>
        <w:t xml:space="preserve">The benefits of the long-acting injection mode of administration on adherence and consequent viral load suppression may not be realised in practice since the submission has identified adherence to OBR as a potential cause of lenacapavir resistance. </w:t>
      </w:r>
    </w:p>
    <w:p w14:paraId="37F06137" w14:textId="77777777" w:rsidR="00A10E1E" w:rsidRPr="00B81B86" w:rsidRDefault="00A10E1E" w:rsidP="00424888">
      <w:pPr>
        <w:pStyle w:val="ListParagraph"/>
        <w:numPr>
          <w:ilvl w:val="0"/>
          <w:numId w:val="16"/>
        </w:numPr>
        <w:snapToGrid w:val="0"/>
        <w:spacing w:after="0"/>
        <w:ind w:left="1134"/>
        <w:contextualSpacing/>
        <w:rPr>
          <w:bCs/>
        </w:rPr>
      </w:pPr>
      <w:r w:rsidRPr="00B81B86">
        <w:rPr>
          <w:bCs/>
        </w:rPr>
        <w:t>DUSC noted an increase in injection site reactions, though no major safety signals were identified.</w:t>
      </w:r>
    </w:p>
    <w:p w14:paraId="0D142D30" w14:textId="34B7D3BA" w:rsidR="00735FA4" w:rsidRDefault="00735FA4" w:rsidP="00735FA4">
      <w:pPr>
        <w:pStyle w:val="4-SubsectionHeading"/>
      </w:pPr>
      <w:bookmarkStart w:id="85" w:name="_Toc22897649"/>
      <w:bookmarkStart w:id="86" w:name="_Toc114048777"/>
      <w:r>
        <w:t>Financial Management – Risk Sharing Arrangements</w:t>
      </w:r>
      <w:bookmarkEnd w:id="85"/>
      <w:bookmarkEnd w:id="86"/>
    </w:p>
    <w:p w14:paraId="5A164E2C" w14:textId="61ED4491" w:rsidR="00735FA4" w:rsidRDefault="00735FA4" w:rsidP="00735FA4">
      <w:pPr>
        <w:pStyle w:val="3-BodyText"/>
        <w:snapToGrid w:val="0"/>
      </w:pPr>
      <w:r>
        <w:t xml:space="preserve"> The submission did not propose a risk </w:t>
      </w:r>
      <w:r w:rsidR="003F1D58">
        <w:t xml:space="preserve">sharing </w:t>
      </w:r>
      <w:r>
        <w:t xml:space="preserve">arrangement. </w:t>
      </w:r>
    </w:p>
    <w:p w14:paraId="648034AE" w14:textId="77777777" w:rsidR="00735FA4" w:rsidRDefault="00735FA4" w:rsidP="00735FA4">
      <w:pPr>
        <w:ind w:firstLine="709"/>
        <w:rPr>
          <w:rFonts w:asciiTheme="minorHAnsi" w:hAnsiTheme="minorHAnsi" w:cs="Times New Roman"/>
          <w:i/>
        </w:rPr>
      </w:pPr>
      <w:r>
        <w:rPr>
          <w:rFonts w:asciiTheme="minorHAnsi" w:hAnsiTheme="minorHAnsi"/>
          <w:i/>
        </w:rPr>
        <w:t>For more detail on PBAC’s view, see section 7 PBAC outcome.</w:t>
      </w:r>
    </w:p>
    <w:p w14:paraId="259EB2F4" w14:textId="77777777" w:rsidR="00735FA4" w:rsidRDefault="00735FA4" w:rsidP="00EE3336">
      <w:pPr>
        <w:pStyle w:val="2-SectionHeading"/>
      </w:pPr>
      <w:bookmarkStart w:id="87" w:name="_Hlk76381249"/>
      <w:bookmarkStart w:id="88" w:name="_Hlk76377955"/>
      <w:r>
        <w:t>PBAC Outcome</w:t>
      </w:r>
    </w:p>
    <w:p w14:paraId="5443F529" w14:textId="4F754BE4" w:rsidR="00735FA4" w:rsidRPr="007A4AA8" w:rsidRDefault="007B7F42" w:rsidP="007A4AA8">
      <w:pPr>
        <w:pStyle w:val="3-BodyText"/>
        <w:widowControl w:val="0"/>
        <w:numPr>
          <w:ilvl w:val="1"/>
          <w:numId w:val="29"/>
        </w:numPr>
        <w:rPr>
          <w:lang w:val="en-GB"/>
        </w:rPr>
      </w:pPr>
      <w:bookmarkStart w:id="89" w:name="_Hlk111543188"/>
      <w:r w:rsidRPr="007A4AA8">
        <w:rPr>
          <w:lang w:val="en-GB"/>
        </w:rPr>
        <w:t>The PBAC did not recommend the listing of lenacapavir for the treatment of highly multi-drug resistant (hMDR</w:t>
      </w:r>
      <w:r w:rsidRPr="00732BC0">
        <w:rPr>
          <w:lang w:val="en-GB"/>
        </w:rPr>
        <w:t>) human immunodeficiency virus type 1 (HIV-1) infection. The PBAC considered that</w:t>
      </w:r>
      <w:r w:rsidRPr="007A4AA8">
        <w:rPr>
          <w:lang w:val="en-GB"/>
        </w:rPr>
        <w:t xml:space="preserve"> the composition of the nominated comparator of optimised</w:t>
      </w:r>
      <w:r w:rsidRPr="00CF017E">
        <w:rPr>
          <w:lang w:val="en-GB"/>
        </w:rPr>
        <w:t xml:space="preserve"> background regimen (OBR) </w:t>
      </w:r>
      <w:r w:rsidR="000D6132" w:rsidRPr="00CF017E">
        <w:rPr>
          <w:lang w:val="en-GB"/>
        </w:rPr>
        <w:t>was not reflective of contemporary Australian practice</w:t>
      </w:r>
      <w:r w:rsidR="00EE3155" w:rsidRPr="00CF017E">
        <w:rPr>
          <w:lang w:val="en-GB"/>
        </w:rPr>
        <w:t xml:space="preserve"> and</w:t>
      </w:r>
      <w:r w:rsidR="000D6132" w:rsidRPr="00CF017E">
        <w:rPr>
          <w:lang w:val="en-GB"/>
        </w:rPr>
        <w:t xml:space="preserve"> the</w:t>
      </w:r>
      <w:r w:rsidR="007A4AA8" w:rsidRPr="00CF017E">
        <w:rPr>
          <w:lang w:val="en-GB"/>
        </w:rPr>
        <w:t>refore the</w:t>
      </w:r>
      <w:r w:rsidR="000D6132" w:rsidRPr="00CF017E">
        <w:rPr>
          <w:lang w:val="en-GB"/>
        </w:rPr>
        <w:t xml:space="preserve"> comparative effectiveness of lenacapavir +</w:t>
      </w:r>
      <w:r w:rsidR="00C67150" w:rsidRPr="00CF017E">
        <w:rPr>
          <w:lang w:val="en-GB"/>
        </w:rPr>
        <w:t xml:space="preserve"> </w:t>
      </w:r>
      <w:r w:rsidR="000D6132" w:rsidRPr="00CF017E">
        <w:rPr>
          <w:lang w:val="en-GB"/>
        </w:rPr>
        <w:t>OBR to OBR alone was uncertain</w:t>
      </w:r>
      <w:r w:rsidR="003E69BB">
        <w:rPr>
          <w:lang w:val="en-GB"/>
        </w:rPr>
        <w:t xml:space="preserve">, although noted </w:t>
      </w:r>
      <w:r w:rsidR="007A4AA8" w:rsidRPr="00CF017E">
        <w:rPr>
          <w:lang w:val="en-GB"/>
        </w:rPr>
        <w:t xml:space="preserve">lenacapavir appears to be effective for some patients for the treatment of HIV-1 infection when used in combination with OBR. </w:t>
      </w:r>
      <w:r w:rsidR="00EE3155" w:rsidRPr="00CF017E">
        <w:rPr>
          <w:lang w:val="en-GB"/>
        </w:rPr>
        <w:t xml:space="preserve">The PBAC considered </w:t>
      </w:r>
      <w:r w:rsidR="000D6132" w:rsidRPr="00CF017E">
        <w:rPr>
          <w:lang w:val="en-GB"/>
        </w:rPr>
        <w:t>the economic model was highly uncertain due to</w:t>
      </w:r>
      <w:r w:rsidR="007A03FA" w:rsidRPr="00CF017E">
        <w:rPr>
          <w:lang w:val="en-GB"/>
        </w:rPr>
        <w:t xml:space="preserve"> the</w:t>
      </w:r>
      <w:r w:rsidR="000D6132" w:rsidRPr="00CF017E">
        <w:rPr>
          <w:lang w:val="en-GB"/>
        </w:rPr>
        <w:t xml:space="preserve"> extremely limited amount of data to inform </w:t>
      </w:r>
      <w:r w:rsidR="00EE3155" w:rsidRPr="00CF017E">
        <w:rPr>
          <w:lang w:val="en-GB"/>
        </w:rPr>
        <w:t xml:space="preserve">the transitions </w:t>
      </w:r>
      <w:r w:rsidR="009B0AA2" w:rsidRPr="00CF017E">
        <w:rPr>
          <w:lang w:val="en-GB"/>
        </w:rPr>
        <w:t>between</w:t>
      </w:r>
      <w:r w:rsidR="003E69BB">
        <w:rPr>
          <w:lang w:val="en-GB"/>
        </w:rPr>
        <w:t xml:space="preserve"> a large number of</w:t>
      </w:r>
      <w:r w:rsidR="009B0AA2" w:rsidRPr="00CF017E">
        <w:rPr>
          <w:lang w:val="en-GB"/>
        </w:rPr>
        <w:t xml:space="preserve"> health states</w:t>
      </w:r>
      <w:r w:rsidR="000D6132" w:rsidRPr="00CF017E">
        <w:rPr>
          <w:lang w:val="en-GB"/>
        </w:rPr>
        <w:t>.</w:t>
      </w:r>
      <w:r w:rsidR="00075B56" w:rsidRPr="00CF017E">
        <w:rPr>
          <w:lang w:val="en-GB"/>
        </w:rPr>
        <w:t xml:space="preserve"> </w:t>
      </w:r>
      <w:r w:rsidR="00CF017E" w:rsidRPr="00CF017E">
        <w:rPr>
          <w:lang w:val="en-GB"/>
        </w:rPr>
        <w:t>Overall</w:t>
      </w:r>
      <w:r w:rsidR="000D6132" w:rsidRPr="007A4AA8">
        <w:rPr>
          <w:lang w:val="en-GB"/>
        </w:rPr>
        <w:t xml:space="preserve">, the PBAC considered </w:t>
      </w:r>
      <w:r w:rsidR="00CF017E">
        <w:rPr>
          <w:lang w:val="en-GB"/>
        </w:rPr>
        <w:t xml:space="preserve">the economic model </w:t>
      </w:r>
      <w:r w:rsidR="000D6132" w:rsidRPr="007A4AA8">
        <w:rPr>
          <w:lang w:val="en-GB"/>
        </w:rPr>
        <w:t xml:space="preserve">was </w:t>
      </w:r>
      <w:r w:rsidR="00CF017E">
        <w:rPr>
          <w:lang w:val="en-GB"/>
        </w:rPr>
        <w:t xml:space="preserve">largely uninformative and </w:t>
      </w:r>
      <w:r w:rsidR="00CF017E" w:rsidRPr="007A4AA8">
        <w:rPr>
          <w:lang w:val="en-GB"/>
        </w:rPr>
        <w:t xml:space="preserve">the </w:t>
      </w:r>
      <w:r w:rsidR="00CF017E">
        <w:rPr>
          <w:lang w:val="en-GB"/>
        </w:rPr>
        <w:t xml:space="preserve">incremental </w:t>
      </w:r>
      <w:r w:rsidR="00CF017E" w:rsidRPr="007A4AA8">
        <w:rPr>
          <w:lang w:val="en-GB"/>
        </w:rPr>
        <w:t>cost-effectiveness</w:t>
      </w:r>
      <w:r w:rsidR="003E69BB">
        <w:rPr>
          <w:lang w:val="en-GB"/>
        </w:rPr>
        <w:t xml:space="preserve"> ratio</w:t>
      </w:r>
      <w:r w:rsidR="00CF017E" w:rsidRPr="007A4AA8">
        <w:rPr>
          <w:lang w:val="en-GB"/>
        </w:rPr>
        <w:t xml:space="preserve"> </w:t>
      </w:r>
      <w:r w:rsidR="000D6132" w:rsidRPr="007A4AA8">
        <w:rPr>
          <w:lang w:val="en-GB"/>
        </w:rPr>
        <w:t>unacceptably high at the proposed price.</w:t>
      </w:r>
    </w:p>
    <w:bookmarkEnd w:id="89"/>
    <w:p w14:paraId="4E20FA6A" w14:textId="0CB92C6E" w:rsidR="00735FA4" w:rsidRPr="00CF017E" w:rsidRDefault="000D6132" w:rsidP="00297C66">
      <w:pPr>
        <w:pStyle w:val="3-BodyText"/>
        <w:rPr>
          <w:lang w:val="en-GB"/>
        </w:rPr>
      </w:pPr>
      <w:r w:rsidRPr="00CF017E">
        <w:rPr>
          <w:lang w:val="en-GB"/>
        </w:rPr>
        <w:t xml:space="preserve">The PBAC acknowledged there was a clinical need for new and effective classes of </w:t>
      </w:r>
      <w:r w:rsidR="00F468C7">
        <w:rPr>
          <w:lang w:val="en-GB"/>
        </w:rPr>
        <w:t>antiretrovirals (</w:t>
      </w:r>
      <w:r w:rsidRPr="00CF017E">
        <w:rPr>
          <w:lang w:val="en-GB"/>
        </w:rPr>
        <w:t>ARVs</w:t>
      </w:r>
      <w:r w:rsidR="00F468C7">
        <w:rPr>
          <w:lang w:val="en-GB"/>
        </w:rPr>
        <w:t>)</w:t>
      </w:r>
      <w:r w:rsidR="005F4F81">
        <w:rPr>
          <w:lang w:val="en-GB"/>
        </w:rPr>
        <w:t xml:space="preserve"> for </w:t>
      </w:r>
      <w:r w:rsidR="005F4F81" w:rsidRPr="005F4F81">
        <w:t>patients who develop multidrug resistance, and/or have difficulty maintaining adequate viral suppression over time</w:t>
      </w:r>
      <w:r w:rsidR="005F4F81">
        <w:t>.</w:t>
      </w:r>
      <w:r w:rsidR="006D0E8B" w:rsidRPr="00CF017E">
        <w:rPr>
          <w:lang w:val="en-GB"/>
        </w:rPr>
        <w:t xml:space="preserve"> </w:t>
      </w:r>
      <w:r w:rsidR="005E0ECA" w:rsidRPr="005F4F81">
        <w:rPr>
          <w:lang w:val="en-GB"/>
        </w:rPr>
        <w:t>The Committee</w:t>
      </w:r>
      <w:r w:rsidRPr="005F4F81">
        <w:rPr>
          <w:lang w:val="en-GB"/>
        </w:rPr>
        <w:t xml:space="preserve"> </w:t>
      </w:r>
      <w:r w:rsidR="005E0ECA" w:rsidRPr="005F4F81">
        <w:rPr>
          <w:lang w:val="en-GB"/>
        </w:rPr>
        <w:t>also</w:t>
      </w:r>
      <w:r w:rsidRPr="005F4F81">
        <w:rPr>
          <w:lang w:val="en-GB"/>
        </w:rPr>
        <w:t xml:space="preserve"> noted that the level of enga</w:t>
      </w:r>
      <w:r w:rsidR="005E0ECA" w:rsidRPr="005F4F81">
        <w:rPr>
          <w:lang w:val="en-GB"/>
        </w:rPr>
        <w:t>gement with care and treatment for people living with HIV (PLWH</w:t>
      </w:r>
      <w:r w:rsidR="005E0ECA" w:rsidRPr="00CF017E">
        <w:rPr>
          <w:lang w:val="en-GB"/>
        </w:rPr>
        <w:t xml:space="preserve">) was one of Australia’s most positive public health successes, </w:t>
      </w:r>
      <w:r w:rsidR="005E0ECA" w:rsidRPr="005F4F81">
        <w:rPr>
          <w:lang w:val="en-GB"/>
        </w:rPr>
        <w:t xml:space="preserve">and considered there was a very </w:t>
      </w:r>
      <w:r w:rsidR="00F468C7">
        <w:rPr>
          <w:lang w:val="en-GB"/>
        </w:rPr>
        <w:t xml:space="preserve">small </w:t>
      </w:r>
      <w:r w:rsidR="005E0ECA" w:rsidRPr="005F4F81">
        <w:rPr>
          <w:lang w:val="en-GB"/>
        </w:rPr>
        <w:t>number of patients who were likely to meet the</w:t>
      </w:r>
      <w:r w:rsidR="005E0ECA" w:rsidRPr="00CF017E">
        <w:rPr>
          <w:lang w:val="en-GB"/>
        </w:rPr>
        <w:t xml:space="preserve"> definition of hMDR HIV infection as defined in the requested listing</w:t>
      </w:r>
      <w:r w:rsidR="00870DD7">
        <w:rPr>
          <w:lang w:val="en-GB"/>
        </w:rPr>
        <w:t>:</w:t>
      </w:r>
      <w:r w:rsidR="005E0ECA" w:rsidRPr="00CF017E">
        <w:rPr>
          <w:lang w:val="en-GB"/>
        </w:rPr>
        <w:t xml:space="preserve"> a patient having only tw</w:t>
      </w:r>
      <w:r w:rsidR="005E0ECA" w:rsidRPr="005F4F81">
        <w:rPr>
          <w:lang w:val="en-GB"/>
        </w:rPr>
        <w:t>o remaining fully or partially active therapies across the four main classes of ARVs</w:t>
      </w:r>
      <w:r w:rsidR="00870DD7">
        <w:rPr>
          <w:lang w:val="en-GB"/>
        </w:rPr>
        <w:t>,</w:t>
      </w:r>
      <w:r w:rsidR="005E0ECA" w:rsidRPr="005F4F81">
        <w:rPr>
          <w:lang w:val="en-GB"/>
        </w:rPr>
        <w:t xml:space="preserve"> including the nucleotide/nucleoside reverse transcriptase inhibitors (NRTIs), non-</w:t>
      </w:r>
      <w:r w:rsidR="005E0ECA" w:rsidRPr="005F4F81">
        <w:rPr>
          <w:lang w:val="en-GB"/>
        </w:rPr>
        <w:lastRenderedPageBreak/>
        <w:t xml:space="preserve">nucleotide reverse transcriptase inhibitors (NNRTIs), protease inhibitors (PIs) and integrase strand transfer inhibitors (INSTIs). The PBAC considered it was unclear how many of these patients were achieving </w:t>
      </w:r>
      <w:r w:rsidR="001B1C7D" w:rsidRPr="005F4F81">
        <w:rPr>
          <w:lang w:val="en-GB"/>
        </w:rPr>
        <w:t>a clinically meaningful</w:t>
      </w:r>
      <w:r w:rsidR="005E0ECA" w:rsidRPr="005F4F81">
        <w:rPr>
          <w:lang w:val="en-GB"/>
        </w:rPr>
        <w:t xml:space="preserve"> treatment</w:t>
      </w:r>
      <w:r w:rsidR="001B1C7D" w:rsidRPr="005F4F81">
        <w:rPr>
          <w:lang w:val="en-GB"/>
        </w:rPr>
        <w:t xml:space="preserve"> benefit</w:t>
      </w:r>
      <w:r w:rsidR="005E0ECA" w:rsidRPr="005F4F81">
        <w:rPr>
          <w:lang w:val="en-GB"/>
        </w:rPr>
        <w:t xml:space="preserve"> (in terms of maintaining a stable viral load and/or CD4 cell count) through highly individualised combinations of ARVs, including with therapies outside these four main classes or other therapies often reserved for salvage or later line therapy</w:t>
      </w:r>
      <w:r w:rsidR="00F22EC7" w:rsidRPr="00CF017E">
        <w:rPr>
          <w:lang w:val="en-GB"/>
        </w:rPr>
        <w:t>.</w:t>
      </w:r>
    </w:p>
    <w:p w14:paraId="2C47B7FA" w14:textId="200CE81E" w:rsidR="00193C4C" w:rsidRPr="00D5353A" w:rsidRDefault="00D5353A" w:rsidP="00297C66">
      <w:pPr>
        <w:pStyle w:val="3-BodyText"/>
        <w:rPr>
          <w:lang w:val="en-GB"/>
        </w:rPr>
      </w:pPr>
      <w:bookmarkStart w:id="90" w:name="_Ref120872793"/>
      <w:r w:rsidRPr="00D5353A">
        <w:rPr>
          <w:lang w:val="en-GB"/>
        </w:rPr>
        <w:t>With regards to the requested restriction, the PBAC</w:t>
      </w:r>
      <w:r w:rsidR="0028490B">
        <w:rPr>
          <w:lang w:val="en-GB"/>
        </w:rPr>
        <w:t xml:space="preserve"> </w:t>
      </w:r>
      <w:r w:rsidR="0028490B">
        <w:t>considered that a simpler restriction, similar to maraviroc’s restriction, would be more practical as it frames the number of past treatments in an affirmative manner, whereas the proposed restriction requires a complex exercise of deduction involving a large number of permutations</w:t>
      </w:r>
      <w:r w:rsidRPr="00D5353A">
        <w:rPr>
          <w:lang w:val="en-GB"/>
        </w:rPr>
        <w:t>.</w:t>
      </w:r>
      <w:bookmarkEnd w:id="90"/>
    </w:p>
    <w:p w14:paraId="2AAB86B1" w14:textId="6E75F3F0" w:rsidR="005F4F81" w:rsidRPr="00C07139" w:rsidRDefault="005F4F81" w:rsidP="00297C66">
      <w:pPr>
        <w:pStyle w:val="3-BodyText"/>
        <w:rPr>
          <w:lang w:val="en-GB"/>
        </w:rPr>
      </w:pPr>
      <w:r>
        <w:rPr>
          <w:lang w:val="en-GB"/>
        </w:rPr>
        <w:t>The PBAC considered the nominated comparator of OBR, as a basket of therapies and regimens which may be used in the hMDR population, was reasonable</w:t>
      </w:r>
      <w:r w:rsidR="00BB04A0">
        <w:rPr>
          <w:lang w:val="en-GB"/>
        </w:rPr>
        <w:t>;</w:t>
      </w:r>
      <w:r>
        <w:rPr>
          <w:lang w:val="en-GB"/>
        </w:rPr>
        <w:t xml:space="preserve"> </w:t>
      </w:r>
      <w:r w:rsidR="00EA71F7">
        <w:rPr>
          <w:lang w:val="en-GB"/>
        </w:rPr>
        <w:t>however,</w:t>
      </w:r>
      <w:r>
        <w:rPr>
          <w:lang w:val="en-GB"/>
        </w:rPr>
        <w:t xml:space="preserve"> the composition of the OBR comparator </w:t>
      </w:r>
      <w:r w:rsidR="00BB04A0">
        <w:rPr>
          <w:lang w:val="en-GB"/>
        </w:rPr>
        <w:t>should be</w:t>
      </w:r>
      <w:r>
        <w:rPr>
          <w:lang w:val="en-GB"/>
        </w:rPr>
        <w:t xml:space="preserve"> reflective of contemporary Australian clinical practice.</w:t>
      </w:r>
      <w:r w:rsidR="000518BB">
        <w:rPr>
          <w:lang w:val="en-GB"/>
        </w:rPr>
        <w:t xml:space="preserve"> The </w:t>
      </w:r>
      <w:r w:rsidR="000518BB" w:rsidRPr="00E52AC5">
        <w:t xml:space="preserve">OBR in the submission did not include some agents and classes that are frequently used in current practice, such as raltegravir (and the INSTI class more broadly) and </w:t>
      </w:r>
      <w:r w:rsidR="00EA71F7" w:rsidRPr="00E52AC5">
        <w:t>maraviroc but</w:t>
      </w:r>
      <w:r w:rsidR="000518BB" w:rsidRPr="00E52AC5">
        <w:t xml:space="preserve"> included others that are not currently available on the PBS, such as fostemsavir (a first-in-class HIV entry inhibitor).</w:t>
      </w:r>
      <w:r>
        <w:rPr>
          <w:lang w:val="en-GB"/>
        </w:rPr>
        <w:t xml:space="preserve"> The PBAC noted the arguments in the Pre-PBAC Response and accepted that some evidence for raltegravir was included in the OBR arm of the BENCHMRK trials</w:t>
      </w:r>
      <w:r w:rsidR="00247C95">
        <w:rPr>
          <w:lang w:val="en-GB"/>
        </w:rPr>
        <w:t xml:space="preserve"> (see paragraph </w:t>
      </w:r>
      <w:r w:rsidR="00247C95">
        <w:rPr>
          <w:lang w:val="en-GB"/>
        </w:rPr>
        <w:fldChar w:fldCharType="begin"/>
      </w:r>
      <w:r w:rsidR="00247C95">
        <w:rPr>
          <w:lang w:val="en-GB"/>
        </w:rPr>
        <w:instrText xml:space="preserve"> REF _Ref120775091 \r \h </w:instrText>
      </w:r>
      <w:r w:rsidR="00247C95">
        <w:rPr>
          <w:lang w:val="en-GB"/>
        </w:rPr>
      </w:r>
      <w:r w:rsidR="00247C95">
        <w:rPr>
          <w:lang w:val="en-GB"/>
        </w:rPr>
        <w:fldChar w:fldCharType="separate"/>
      </w:r>
      <w:r w:rsidR="0050086F">
        <w:rPr>
          <w:lang w:val="en-GB"/>
        </w:rPr>
        <w:t>6.35</w:t>
      </w:r>
      <w:r w:rsidR="00247C95">
        <w:rPr>
          <w:lang w:val="en-GB"/>
        </w:rPr>
        <w:fldChar w:fldCharType="end"/>
      </w:r>
      <w:r w:rsidR="00247C95">
        <w:rPr>
          <w:lang w:val="en-GB"/>
        </w:rPr>
        <w:t>)</w:t>
      </w:r>
      <w:r>
        <w:rPr>
          <w:lang w:val="en-GB"/>
        </w:rPr>
        <w:t>, however considered some other treatments included in the basket such as fostemsavir, which is not PBS listed, were inappropriately included.</w:t>
      </w:r>
      <w:r w:rsidRPr="00C07139">
        <w:rPr>
          <w:lang w:val="en-GB"/>
        </w:rPr>
        <w:t xml:space="preserve"> </w:t>
      </w:r>
    </w:p>
    <w:p w14:paraId="4F0E000F" w14:textId="57B88BF1" w:rsidR="00735FA4" w:rsidRDefault="008A77B3" w:rsidP="00297C66">
      <w:pPr>
        <w:pStyle w:val="3-BodyText"/>
        <w:rPr>
          <w:lang w:val="en-GB"/>
        </w:rPr>
      </w:pPr>
      <w:r w:rsidRPr="00C4404D">
        <w:t xml:space="preserve">The </w:t>
      </w:r>
      <w:r>
        <w:t>clinical claim</w:t>
      </w:r>
      <w:r w:rsidRPr="00C4404D">
        <w:t xml:space="preserve"> was based on a</w:t>
      </w:r>
      <w:r>
        <w:t>n</w:t>
      </w:r>
      <w:r w:rsidRPr="00C4404D">
        <w:t xml:space="preserve"> </w:t>
      </w:r>
      <w:r>
        <w:t>unanchored</w:t>
      </w:r>
      <w:r w:rsidRPr="00C4404D">
        <w:t xml:space="preserve"> indirect comparison between lenacapavir + OBR (informed by </w:t>
      </w:r>
      <w:r>
        <w:t xml:space="preserve">the </w:t>
      </w:r>
      <w:r w:rsidRPr="00C4404D">
        <w:t>CAPELLA</w:t>
      </w:r>
      <w:r>
        <w:t xml:space="preserve"> trial</w:t>
      </w:r>
      <w:r w:rsidRPr="00C4404D">
        <w:t xml:space="preserve"> [N= </w:t>
      </w:r>
      <w:r>
        <w:t>72</w:t>
      </w:r>
      <w:r w:rsidRPr="00C4404D">
        <w:t>]) and placebo + OBR (informed by a meta-analysis of placebo + OBR arms of five separate trials).</w:t>
      </w:r>
      <w:r>
        <w:t xml:space="preserve"> </w:t>
      </w:r>
      <w:r w:rsidRPr="00C4404D">
        <w:t xml:space="preserve">These trials were BENCHMRK 1 &amp; 2 (n= 352 and n=353, respectively), MOTIVATE 1 &amp; 2 (n=601 and n=474, respectively) and VICTOR-E (n= 114). </w:t>
      </w:r>
      <w:r w:rsidR="002924F1" w:rsidRPr="00C07139">
        <w:rPr>
          <w:lang w:val="en-GB"/>
        </w:rPr>
        <w:t>The PBAC</w:t>
      </w:r>
      <w:r w:rsidR="00AE2DC8" w:rsidRPr="00C07139">
        <w:rPr>
          <w:lang w:val="en-GB"/>
        </w:rPr>
        <w:t xml:space="preserve"> noted</w:t>
      </w:r>
      <w:r w:rsidR="007A03FA" w:rsidRPr="00C07139">
        <w:rPr>
          <w:lang w:val="en-GB"/>
        </w:rPr>
        <w:t xml:space="preserve"> the design of the pivotal clinical trial of lenacapavir (CAPELLA)</w:t>
      </w:r>
      <w:r w:rsidR="00C07139">
        <w:rPr>
          <w:lang w:val="en-GB"/>
        </w:rPr>
        <w:t xml:space="preserve"> </w:t>
      </w:r>
      <w:r w:rsidR="007A03FA" w:rsidRPr="00C07139">
        <w:rPr>
          <w:lang w:val="en-GB"/>
        </w:rPr>
        <w:t>included a 14-day randomised</w:t>
      </w:r>
      <w:r w:rsidR="007A03FA">
        <w:rPr>
          <w:lang w:val="en-GB"/>
        </w:rPr>
        <w:t xml:space="preserve"> ‘functional monotherapy period’ in which participants received either an existing failing ARV regimen or an existing failing ARV regimen plus lenacapavir</w:t>
      </w:r>
      <w:r w:rsidR="00253733">
        <w:rPr>
          <w:lang w:val="en-GB"/>
        </w:rPr>
        <w:t xml:space="preserve"> (</w:t>
      </w:r>
      <w:r w:rsidR="00AE2DC8">
        <w:rPr>
          <w:lang w:val="en-GB"/>
        </w:rPr>
        <w:t>N = 36)</w:t>
      </w:r>
      <w:r w:rsidR="00253733">
        <w:rPr>
          <w:lang w:val="en-GB"/>
        </w:rPr>
        <w:t xml:space="preserve"> followed by </w:t>
      </w:r>
      <w:r w:rsidR="00AE2DC8">
        <w:rPr>
          <w:lang w:val="en-GB"/>
        </w:rPr>
        <w:t>open label treatment with lenacapavir + OBR</w:t>
      </w:r>
      <w:r w:rsidR="00B355B9">
        <w:rPr>
          <w:lang w:val="en-GB"/>
        </w:rPr>
        <w:t>. The PBAC</w:t>
      </w:r>
      <w:r w:rsidR="00AE2DC8">
        <w:rPr>
          <w:lang w:val="en-GB"/>
        </w:rPr>
        <w:t xml:space="preserve"> considered the data from the randomised period was of uncertain applicability to the proposed population because the comparator during that time was a known failing regimen, rather than OBR.</w:t>
      </w:r>
      <w:r w:rsidR="009630B6">
        <w:rPr>
          <w:lang w:val="en-GB"/>
        </w:rPr>
        <w:t xml:space="preserve"> </w:t>
      </w:r>
      <w:r w:rsidR="00AE2DC8">
        <w:rPr>
          <w:lang w:val="en-GB"/>
        </w:rPr>
        <w:t xml:space="preserve">Further, the PBAC noted the submission claim that patients </w:t>
      </w:r>
      <w:r w:rsidR="00AE2DC8" w:rsidRPr="00AE2DC8">
        <w:rPr>
          <w:lang w:val="en-GB"/>
        </w:rPr>
        <w:t xml:space="preserve">enrolled in CAPELLA were a harder to treat </w:t>
      </w:r>
      <w:r w:rsidR="001B1C7D">
        <w:rPr>
          <w:lang w:val="en-GB"/>
        </w:rPr>
        <w:t>h</w:t>
      </w:r>
      <w:r w:rsidR="00AE2DC8" w:rsidRPr="00AE2DC8">
        <w:rPr>
          <w:lang w:val="en-GB"/>
        </w:rPr>
        <w:t>MDR population compared to the placebo + OBR patients from the included trials</w:t>
      </w:r>
      <w:r w:rsidR="00072E10">
        <w:rPr>
          <w:lang w:val="en-GB"/>
        </w:rPr>
        <w:t xml:space="preserve"> of raltegravir and maraviroc</w:t>
      </w:r>
      <w:r w:rsidR="00AE2DC8">
        <w:rPr>
          <w:lang w:val="en-GB"/>
        </w:rPr>
        <w:t>, given the median number of prior ARVs was lower than that observed in the nominated OBR comparator trials</w:t>
      </w:r>
      <w:r w:rsidR="00AE2DC8" w:rsidRPr="00AE2DC8">
        <w:rPr>
          <w:lang w:val="en-GB"/>
        </w:rPr>
        <w:t xml:space="preserve"> </w:t>
      </w:r>
      <w:r w:rsidR="00AE2DC8">
        <w:rPr>
          <w:lang w:val="en-GB"/>
        </w:rPr>
        <w:t>(</w:t>
      </w:r>
      <w:r w:rsidR="00B3597C">
        <w:rPr>
          <w:lang w:val="en-GB"/>
        </w:rPr>
        <w:t xml:space="preserve">see </w:t>
      </w:r>
      <w:r w:rsidR="00AE2DC8">
        <w:rPr>
          <w:lang w:val="en-GB"/>
        </w:rPr>
        <w:t xml:space="preserve">paragraph </w:t>
      </w:r>
      <w:r w:rsidR="00AE2DC8">
        <w:rPr>
          <w:lang w:val="en-GB"/>
        </w:rPr>
        <w:fldChar w:fldCharType="begin"/>
      </w:r>
      <w:r w:rsidR="00AE2DC8">
        <w:rPr>
          <w:lang w:val="en-GB"/>
        </w:rPr>
        <w:instrText xml:space="preserve"> REF _Ref119491508 \r \h </w:instrText>
      </w:r>
      <w:r w:rsidR="00AE2DC8">
        <w:rPr>
          <w:lang w:val="en-GB"/>
        </w:rPr>
      </w:r>
      <w:r w:rsidR="00AE2DC8">
        <w:rPr>
          <w:lang w:val="en-GB"/>
        </w:rPr>
        <w:fldChar w:fldCharType="separate"/>
      </w:r>
      <w:r w:rsidR="0050086F">
        <w:rPr>
          <w:lang w:val="en-GB"/>
        </w:rPr>
        <w:t>6.13</w:t>
      </w:r>
      <w:r w:rsidR="00AE2DC8">
        <w:rPr>
          <w:lang w:val="en-GB"/>
        </w:rPr>
        <w:fldChar w:fldCharType="end"/>
      </w:r>
      <w:r w:rsidR="00AE2DC8">
        <w:rPr>
          <w:lang w:val="en-GB"/>
        </w:rPr>
        <w:t>). Given these issues, the PBAC was uncertain about the applicability of the evidence to the proposed PBS population</w:t>
      </w:r>
      <w:r w:rsidR="00C07139">
        <w:rPr>
          <w:lang w:val="en-GB"/>
        </w:rPr>
        <w:t>. The PBAC noted that based on the randomised phase of CAPELLA and the open-label extension phase, l</w:t>
      </w:r>
      <w:r w:rsidR="00C07139" w:rsidRPr="00C07139">
        <w:rPr>
          <w:lang w:val="en-GB"/>
        </w:rPr>
        <w:t>enacapavir</w:t>
      </w:r>
      <w:r w:rsidR="00C07139">
        <w:rPr>
          <w:lang w:val="en-GB"/>
        </w:rPr>
        <w:t xml:space="preserve"> was</w:t>
      </w:r>
      <w:r w:rsidR="00C07139" w:rsidRPr="00C07139">
        <w:rPr>
          <w:lang w:val="en-GB"/>
        </w:rPr>
        <w:t xml:space="preserve"> effective </w:t>
      </w:r>
      <w:r w:rsidR="00C07139">
        <w:rPr>
          <w:lang w:val="en-GB"/>
        </w:rPr>
        <w:t xml:space="preserve">at achieving viral load suppression </w:t>
      </w:r>
      <w:r w:rsidR="00C07139" w:rsidRPr="00C07139">
        <w:rPr>
          <w:lang w:val="en-GB"/>
        </w:rPr>
        <w:t>for some patients for the treatment of HIV-1 infection when used in combination with OBR</w:t>
      </w:r>
      <w:r w:rsidR="00C07139">
        <w:rPr>
          <w:lang w:val="en-GB"/>
        </w:rPr>
        <w:t xml:space="preserve">. However, there </w:t>
      </w:r>
      <w:r w:rsidR="00C07139">
        <w:rPr>
          <w:lang w:val="en-GB"/>
        </w:rPr>
        <w:lastRenderedPageBreak/>
        <w:t>remained</w:t>
      </w:r>
      <w:r w:rsidR="009630B6">
        <w:rPr>
          <w:lang w:val="en-GB"/>
        </w:rPr>
        <w:t xml:space="preserve"> substantial uncertainty in comparator selection and assessing the comparative effectiveness of lenacapavir.</w:t>
      </w:r>
    </w:p>
    <w:p w14:paraId="1505E088" w14:textId="4600A9EC" w:rsidR="00735FA4" w:rsidRDefault="005D05AA" w:rsidP="00297C66">
      <w:pPr>
        <w:pStyle w:val="3-BodyText"/>
        <w:rPr>
          <w:lang w:val="en-GB"/>
        </w:rPr>
      </w:pPr>
      <w:r>
        <w:t>The uncertainty in the</w:t>
      </w:r>
      <w:r w:rsidRPr="005D05AA">
        <w:t xml:space="preserve"> indirect treatment comparison</w:t>
      </w:r>
      <w:r>
        <w:t xml:space="preserve"> was increased by</w:t>
      </w:r>
      <w:r w:rsidRPr="005D05AA">
        <w:t xml:space="preserve"> </w:t>
      </w:r>
      <w:r w:rsidR="006145E5" w:rsidRPr="007F3195">
        <w:t>inconsistencies and transitivity issues</w:t>
      </w:r>
      <w:r w:rsidR="006145E5">
        <w:t xml:space="preserve"> </w:t>
      </w:r>
      <w:r w:rsidR="004C38D3">
        <w:t xml:space="preserve">as </w:t>
      </w:r>
      <w:r w:rsidR="006145E5">
        <w:t xml:space="preserve">described in the ESC advice including </w:t>
      </w:r>
      <w:r>
        <w:t>t</w:t>
      </w:r>
      <w:r w:rsidR="007F3E0D" w:rsidRPr="00EA74A2">
        <w:t xml:space="preserve">he small patient numbers in CAPELLA, the lack of a common comparator, and differences in the trial populations (e.g. differences in </w:t>
      </w:r>
      <w:r w:rsidR="006145E5">
        <w:t xml:space="preserve">susceptibility of </w:t>
      </w:r>
      <w:r w:rsidR="007F3E0D" w:rsidRPr="00EA74A2">
        <w:t>OBR regimen or agents used)</w:t>
      </w:r>
      <w:r w:rsidR="00AE5E9A">
        <w:rPr>
          <w:lang w:val="en-GB"/>
        </w:rPr>
        <w:t xml:space="preserve">. </w:t>
      </w:r>
    </w:p>
    <w:p w14:paraId="3398DF2B" w14:textId="67C7EC06" w:rsidR="00193C4C" w:rsidRPr="00193C4C" w:rsidRDefault="00193C4C" w:rsidP="00297C66">
      <w:pPr>
        <w:pStyle w:val="3-BodyText"/>
        <w:numPr>
          <w:ilvl w:val="1"/>
          <w:numId w:val="37"/>
        </w:numPr>
        <w:rPr>
          <w:lang w:val="en-GB"/>
        </w:rPr>
      </w:pPr>
      <w:r w:rsidRPr="00193C4C">
        <w:rPr>
          <w:lang w:val="en-GB"/>
        </w:rPr>
        <w:t xml:space="preserve">The </w:t>
      </w:r>
      <w:r>
        <w:rPr>
          <w:lang w:val="en-GB"/>
        </w:rPr>
        <w:t>PBAC agreed with the ESC and</w:t>
      </w:r>
      <w:r w:rsidRPr="00193C4C">
        <w:rPr>
          <w:lang w:val="en-GB"/>
        </w:rPr>
        <w:t xml:space="preserve"> considered</w:t>
      </w:r>
      <w:r>
        <w:rPr>
          <w:lang w:val="en-GB"/>
        </w:rPr>
        <w:t xml:space="preserve"> that while lenacapavir was associated with increased injection site reactions and nausea compared to OBR, the</w:t>
      </w:r>
      <w:r w:rsidRPr="00193C4C">
        <w:rPr>
          <w:lang w:val="en-GB"/>
        </w:rPr>
        <w:t xml:space="preserve"> submission’s claim of non-inferior safety was</w:t>
      </w:r>
      <w:r>
        <w:rPr>
          <w:lang w:val="en-GB"/>
        </w:rPr>
        <w:t xml:space="preserve"> overall likely to be</w:t>
      </w:r>
      <w:r w:rsidRPr="00193C4C">
        <w:rPr>
          <w:lang w:val="en-GB"/>
        </w:rPr>
        <w:t xml:space="preserve"> reasonable</w:t>
      </w:r>
      <w:r>
        <w:rPr>
          <w:lang w:val="en-GB"/>
        </w:rPr>
        <w:t xml:space="preserve">. </w:t>
      </w:r>
      <w:r w:rsidRPr="00193C4C">
        <w:rPr>
          <w:lang w:val="en-GB"/>
        </w:rPr>
        <w:t>However,</w:t>
      </w:r>
      <w:r>
        <w:rPr>
          <w:lang w:val="en-GB"/>
        </w:rPr>
        <w:t xml:space="preserve"> the Committee </w:t>
      </w:r>
      <w:r w:rsidR="000E1464">
        <w:rPr>
          <w:lang w:val="en-GB"/>
        </w:rPr>
        <w:t>considered this claim remained somewhat uncertain due to</w:t>
      </w:r>
      <w:r w:rsidR="000E1464" w:rsidRPr="00193C4C">
        <w:rPr>
          <w:lang w:val="en-GB"/>
        </w:rPr>
        <w:t xml:space="preserve"> </w:t>
      </w:r>
      <w:r w:rsidRPr="00193C4C">
        <w:rPr>
          <w:lang w:val="en-GB"/>
        </w:rPr>
        <w:t>the small sample size of CAPELLA and the absence of long-term safety data</w:t>
      </w:r>
      <w:r>
        <w:rPr>
          <w:lang w:val="en-GB"/>
        </w:rPr>
        <w:t>.</w:t>
      </w:r>
    </w:p>
    <w:p w14:paraId="36744D58" w14:textId="4E4DDE2A" w:rsidR="00735FA4" w:rsidRDefault="00752EDD" w:rsidP="00297C66">
      <w:pPr>
        <w:pStyle w:val="3-BodyText"/>
        <w:rPr>
          <w:lang w:val="en-GB"/>
        </w:rPr>
      </w:pPr>
      <w:r>
        <w:rPr>
          <w:lang w:val="en-GB"/>
        </w:rPr>
        <w:t xml:space="preserve">The PBAC agreed with the ESC and considered the economic model was not informative for decision-making on that basis that, while consistent with economic model structures </w:t>
      </w:r>
      <w:r w:rsidR="002A0F6F">
        <w:rPr>
          <w:lang w:val="en-GB"/>
        </w:rPr>
        <w:t xml:space="preserve">previously </w:t>
      </w:r>
      <w:r>
        <w:rPr>
          <w:lang w:val="en-GB"/>
        </w:rPr>
        <w:t>used to model cost-effectiveness in HIV infection, there was insufficient data in the CAPELLA study (given its small size</w:t>
      </w:r>
      <w:r w:rsidR="008103BF">
        <w:rPr>
          <w:lang w:val="en-GB"/>
        </w:rPr>
        <w:t xml:space="preserve"> and limited randomised data</w:t>
      </w:r>
      <w:r>
        <w:rPr>
          <w:lang w:val="en-GB"/>
        </w:rPr>
        <w:t>) to inform a 16-health state model</w:t>
      </w:r>
      <w:r w:rsidR="008103BF">
        <w:rPr>
          <w:lang w:val="en-GB"/>
        </w:rPr>
        <w:t xml:space="preserve"> with extrapolated benefits over a lifetime</w:t>
      </w:r>
      <w:r>
        <w:rPr>
          <w:lang w:val="en-GB"/>
        </w:rPr>
        <w:t>.</w:t>
      </w:r>
      <w:r w:rsidR="003E69BB" w:rsidRPr="003E69BB">
        <w:rPr>
          <w:lang w:val="en-GB"/>
        </w:rPr>
        <w:t xml:space="preserve"> </w:t>
      </w:r>
      <w:r w:rsidR="000A3290">
        <w:rPr>
          <w:lang w:val="en-GB"/>
        </w:rPr>
        <w:t xml:space="preserve">However, despite this the PBAC considered </w:t>
      </w:r>
      <w:r w:rsidR="003E69BB" w:rsidRPr="007A4AA8">
        <w:rPr>
          <w:lang w:val="en-GB"/>
        </w:rPr>
        <w:t xml:space="preserve">the </w:t>
      </w:r>
      <w:r w:rsidR="003E69BB">
        <w:rPr>
          <w:lang w:val="en-GB"/>
        </w:rPr>
        <w:t xml:space="preserve">incremental </w:t>
      </w:r>
      <w:r w:rsidR="003E69BB" w:rsidRPr="007A4AA8">
        <w:rPr>
          <w:lang w:val="en-GB"/>
        </w:rPr>
        <w:t xml:space="preserve">cost-effectiveness </w:t>
      </w:r>
      <w:r w:rsidR="003E69BB">
        <w:rPr>
          <w:lang w:val="en-GB"/>
        </w:rPr>
        <w:t xml:space="preserve">ratio </w:t>
      </w:r>
      <w:r w:rsidR="003E69BB" w:rsidRPr="007A4AA8">
        <w:rPr>
          <w:lang w:val="en-GB"/>
        </w:rPr>
        <w:t>unacceptably high at the proposed price</w:t>
      </w:r>
      <w:r w:rsidR="00A716CF">
        <w:rPr>
          <w:lang w:val="en-GB"/>
        </w:rPr>
        <w:t>.</w:t>
      </w:r>
    </w:p>
    <w:p w14:paraId="26C8067B" w14:textId="75D80BA3" w:rsidR="00735FA4" w:rsidRDefault="009F604A" w:rsidP="00297C66">
      <w:pPr>
        <w:pStyle w:val="3-BodyText"/>
        <w:rPr>
          <w:rFonts w:ascii="Times New Roman" w:hAnsi="Times New Roman" w:cs="Times New Roman"/>
        </w:rPr>
      </w:pPr>
      <w:r>
        <w:rPr>
          <w:lang w:val="en-GB"/>
        </w:rPr>
        <w:t>The PBAC noted the advice of the DUSC and considered the utilisation and financial estimates were uncertain</w:t>
      </w:r>
      <w:r w:rsidR="00DA3960">
        <w:rPr>
          <w:lang w:val="en-GB"/>
        </w:rPr>
        <w:t xml:space="preserve"> given that</w:t>
      </w:r>
      <w:r>
        <w:rPr>
          <w:lang w:val="en-GB"/>
        </w:rPr>
        <w:t xml:space="preserve"> the likely uptake in practice was unclear. The PBAC agreed with the DUSC and considered the estimates of the Australian hMDR population of 0.84% of PLWH based on</w:t>
      </w:r>
      <w:r w:rsidR="00DA3960">
        <w:rPr>
          <w:lang w:val="en-GB"/>
        </w:rPr>
        <w:t xml:space="preserve"> an</w:t>
      </w:r>
      <w:r>
        <w:rPr>
          <w:lang w:val="en-GB"/>
        </w:rPr>
        <w:t xml:space="preserve"> analysis by the Kirby Institute was likely to be reasonable. However, the PBAC considered the uptake in practice was highly uncertain, as it was unclear how many hMDR patients are </w:t>
      </w:r>
      <w:r w:rsidR="001B1C7D">
        <w:rPr>
          <w:lang w:val="en-GB"/>
        </w:rPr>
        <w:t>realising a clinical benefit</w:t>
      </w:r>
      <w:r>
        <w:rPr>
          <w:lang w:val="en-GB"/>
        </w:rPr>
        <w:t xml:space="preserve"> on their current regimen, (i.e., even if not fully virologically suppressed, </w:t>
      </w:r>
      <w:r w:rsidR="002318FF">
        <w:rPr>
          <w:lang w:val="en-GB"/>
        </w:rPr>
        <w:t xml:space="preserve">but </w:t>
      </w:r>
      <w:r>
        <w:rPr>
          <w:lang w:val="en-GB"/>
        </w:rPr>
        <w:t>have stable viral load and/or CD4 cell counts) and whether patients and prescribers in this group would seek to switch patients to a lenacapavir</w:t>
      </w:r>
      <w:r w:rsidR="004D6947">
        <w:rPr>
          <w:lang w:val="en-GB"/>
        </w:rPr>
        <w:t xml:space="preserve"> based</w:t>
      </w:r>
      <w:r>
        <w:rPr>
          <w:lang w:val="en-GB"/>
        </w:rPr>
        <w:t xml:space="preserve"> regimen. </w:t>
      </w:r>
      <w:r w:rsidR="00B81B86">
        <w:rPr>
          <w:lang w:val="en-GB"/>
        </w:rPr>
        <w:t>The PBAC also agreed with the evaluation and the DUSC that the financial estimates appeared to exclude OBR costs, and given the economic model indicated an additional incremental cost for other ARVs in the lenacapavir arm, considered this was inappropriate.</w:t>
      </w:r>
    </w:p>
    <w:p w14:paraId="77B2016F" w14:textId="3D18F9D4" w:rsidR="00735FA4" w:rsidRPr="00B81B86" w:rsidRDefault="00735FA4" w:rsidP="00297C66">
      <w:pPr>
        <w:pStyle w:val="3-BodyText"/>
        <w:rPr>
          <w:u w:val="single"/>
          <w:lang w:val="en-GB"/>
        </w:rPr>
      </w:pPr>
      <w:r w:rsidRPr="00B81B86">
        <w:rPr>
          <w:bCs/>
          <w:lang w:val="en-GB"/>
        </w:rPr>
        <w:t xml:space="preserve">The PBAC considered a resubmission </w:t>
      </w:r>
      <w:r w:rsidR="00272525">
        <w:rPr>
          <w:bCs/>
          <w:lang w:val="en-GB"/>
        </w:rPr>
        <w:t>for lenacapavir</w:t>
      </w:r>
      <w:r w:rsidRPr="00B81B86">
        <w:rPr>
          <w:bCs/>
          <w:lang w:val="en-GB"/>
        </w:rPr>
        <w:t xml:space="preserve"> should address the following issues:</w:t>
      </w:r>
    </w:p>
    <w:p w14:paraId="496F6CAE" w14:textId="1763A5DA" w:rsidR="00B93E60" w:rsidRDefault="00B93E60" w:rsidP="00B81B86">
      <w:pPr>
        <w:pStyle w:val="ListParagraph"/>
        <w:widowControl w:val="0"/>
        <w:numPr>
          <w:ilvl w:val="0"/>
          <w:numId w:val="30"/>
        </w:numPr>
        <w:rPr>
          <w:lang w:val="en-GB"/>
        </w:rPr>
      </w:pPr>
      <w:r>
        <w:rPr>
          <w:lang w:val="en-GB"/>
        </w:rPr>
        <w:t xml:space="preserve">Revise restriction as specified in paragraph </w:t>
      </w:r>
      <w:r>
        <w:rPr>
          <w:lang w:val="en-GB"/>
        </w:rPr>
        <w:fldChar w:fldCharType="begin"/>
      </w:r>
      <w:r>
        <w:rPr>
          <w:lang w:val="en-GB"/>
        </w:rPr>
        <w:instrText xml:space="preserve"> REF _Ref120872793 \r \h </w:instrText>
      </w:r>
      <w:r>
        <w:rPr>
          <w:lang w:val="en-GB"/>
        </w:rPr>
      </w:r>
      <w:r>
        <w:rPr>
          <w:lang w:val="en-GB"/>
        </w:rPr>
        <w:fldChar w:fldCharType="separate"/>
      </w:r>
      <w:r w:rsidR="0050086F">
        <w:rPr>
          <w:lang w:val="en-GB"/>
        </w:rPr>
        <w:t>7.3</w:t>
      </w:r>
      <w:r>
        <w:rPr>
          <w:lang w:val="en-GB"/>
        </w:rPr>
        <w:fldChar w:fldCharType="end"/>
      </w:r>
      <w:r>
        <w:rPr>
          <w:lang w:val="en-GB"/>
        </w:rPr>
        <w:t>;</w:t>
      </w:r>
    </w:p>
    <w:p w14:paraId="7010D5E1" w14:textId="2A31895D" w:rsidR="00B81B86" w:rsidRDefault="0011043B" w:rsidP="00B81B86">
      <w:pPr>
        <w:pStyle w:val="ListParagraph"/>
        <w:widowControl w:val="0"/>
        <w:numPr>
          <w:ilvl w:val="0"/>
          <w:numId w:val="30"/>
        </w:numPr>
        <w:rPr>
          <w:lang w:val="en-GB"/>
        </w:rPr>
      </w:pPr>
      <w:r>
        <w:rPr>
          <w:lang w:val="en-GB"/>
        </w:rPr>
        <w:t>Revise the OBR comparator to better reflect current Australian practice</w:t>
      </w:r>
      <w:r w:rsidR="00D8328A">
        <w:rPr>
          <w:lang w:val="en-GB"/>
        </w:rPr>
        <w:t>; and</w:t>
      </w:r>
    </w:p>
    <w:p w14:paraId="58FD8780" w14:textId="4F367442" w:rsidR="00B81B86" w:rsidRPr="00B81B86" w:rsidRDefault="000A3290" w:rsidP="0011043B">
      <w:pPr>
        <w:pStyle w:val="ListParagraph"/>
        <w:widowControl w:val="0"/>
        <w:numPr>
          <w:ilvl w:val="0"/>
          <w:numId w:val="30"/>
        </w:numPr>
        <w:rPr>
          <w:lang w:val="en-GB"/>
        </w:rPr>
      </w:pPr>
      <w:r>
        <w:rPr>
          <w:lang w:val="en-GB"/>
        </w:rPr>
        <w:t xml:space="preserve">Adjust </w:t>
      </w:r>
      <w:r w:rsidR="0011043B">
        <w:rPr>
          <w:lang w:val="en-GB"/>
        </w:rPr>
        <w:t xml:space="preserve">the cost-effectiveness analysis </w:t>
      </w:r>
      <w:r>
        <w:rPr>
          <w:lang w:val="en-GB"/>
        </w:rPr>
        <w:t>using</w:t>
      </w:r>
      <w:r w:rsidR="00882CF2">
        <w:rPr>
          <w:lang w:val="en-GB"/>
        </w:rPr>
        <w:t xml:space="preserve"> </w:t>
      </w:r>
      <w:r w:rsidR="0011043B">
        <w:rPr>
          <w:lang w:val="en-GB"/>
        </w:rPr>
        <w:t>more conservative treatment effects</w:t>
      </w:r>
      <w:r w:rsidR="007E23D1">
        <w:rPr>
          <w:lang w:val="en-GB"/>
        </w:rPr>
        <w:t xml:space="preserve"> and present an analysis which enables a frame of reference </w:t>
      </w:r>
      <w:r w:rsidR="00F10259">
        <w:rPr>
          <w:lang w:val="en-GB"/>
        </w:rPr>
        <w:t>with the cost of other therapies that were originally (or remain) listed as later-line or salvage therapies</w:t>
      </w:r>
      <w:r w:rsidR="00432271">
        <w:rPr>
          <w:lang w:val="en-GB"/>
        </w:rPr>
        <w:t>,</w:t>
      </w:r>
      <w:r w:rsidR="00F10259">
        <w:rPr>
          <w:lang w:val="en-GB"/>
        </w:rPr>
        <w:t xml:space="preserve"> such as maraviroc</w:t>
      </w:r>
      <w:r w:rsidR="00B81B86">
        <w:rPr>
          <w:lang w:val="en-GB"/>
        </w:rPr>
        <w:t xml:space="preserve">. </w:t>
      </w:r>
    </w:p>
    <w:p w14:paraId="5A756CD7" w14:textId="34F49350" w:rsidR="00735FA4" w:rsidRPr="00B81B86" w:rsidRDefault="00735FA4" w:rsidP="00B81B86">
      <w:pPr>
        <w:widowControl w:val="0"/>
        <w:spacing w:after="120"/>
        <w:ind w:left="720"/>
        <w:rPr>
          <w:rFonts w:asciiTheme="minorHAnsi" w:hAnsiTheme="minorHAnsi"/>
          <w:snapToGrid w:val="0"/>
          <w:lang w:val="en-GB"/>
        </w:rPr>
      </w:pPr>
      <w:r w:rsidRPr="00B81B86">
        <w:rPr>
          <w:rFonts w:asciiTheme="minorHAnsi" w:hAnsiTheme="minorHAnsi"/>
          <w:snapToGrid w:val="0"/>
          <w:lang w:val="en-GB"/>
        </w:rPr>
        <w:lastRenderedPageBreak/>
        <w:t>The resubmission may be lodged at any future standard due date for PBAC submissions using the standard re-entry pathway.</w:t>
      </w:r>
    </w:p>
    <w:p w14:paraId="462DD4F0" w14:textId="2CD2B57E" w:rsidR="00735FA4" w:rsidRDefault="00735FA4" w:rsidP="00297C66">
      <w:pPr>
        <w:pStyle w:val="3-BodyText"/>
        <w:rPr>
          <w:lang w:val="en-GB"/>
        </w:rPr>
      </w:pPr>
      <w:r w:rsidRPr="00B81B86">
        <w:rPr>
          <w:lang w:val="en-GB"/>
        </w:rPr>
        <w:t xml:space="preserve">The PBAC noted that this submission is eligible for an Independent Review. </w:t>
      </w:r>
    </w:p>
    <w:p w14:paraId="53CB5C2F" w14:textId="77777777" w:rsidR="00735FA4" w:rsidRDefault="00735FA4" w:rsidP="00735FA4">
      <w:pPr>
        <w:spacing w:before="240"/>
        <w:rPr>
          <w:rFonts w:asciiTheme="minorHAnsi" w:hAnsiTheme="minorHAnsi"/>
          <w:b/>
          <w:bCs/>
          <w:snapToGrid w:val="0"/>
          <w:lang w:val="en-GB"/>
        </w:rPr>
      </w:pPr>
      <w:r>
        <w:rPr>
          <w:rFonts w:asciiTheme="minorHAnsi" w:hAnsiTheme="minorHAnsi"/>
          <w:b/>
          <w:bCs/>
          <w:snapToGrid w:val="0"/>
          <w:lang w:val="en-GB"/>
        </w:rPr>
        <w:t>Outcome:</w:t>
      </w:r>
    </w:p>
    <w:p w14:paraId="3B9C52DD" w14:textId="76129823" w:rsidR="00735FA4" w:rsidRDefault="00735FA4" w:rsidP="00735FA4">
      <w:pPr>
        <w:rPr>
          <w:rFonts w:asciiTheme="minorHAnsi" w:hAnsiTheme="minorHAnsi"/>
          <w:bCs/>
          <w:snapToGrid w:val="0"/>
          <w:lang w:val="en-GB"/>
        </w:rPr>
      </w:pPr>
      <w:r>
        <w:rPr>
          <w:rFonts w:asciiTheme="minorHAnsi" w:hAnsiTheme="minorHAnsi"/>
          <w:bCs/>
          <w:snapToGrid w:val="0"/>
          <w:lang w:val="en-GB"/>
        </w:rPr>
        <w:t xml:space="preserve">Not </w:t>
      </w:r>
      <w:r w:rsidR="00B81B86">
        <w:rPr>
          <w:rFonts w:asciiTheme="minorHAnsi" w:hAnsiTheme="minorHAnsi"/>
          <w:bCs/>
          <w:snapToGrid w:val="0"/>
          <w:lang w:val="en-GB"/>
        </w:rPr>
        <w:t>recommended</w:t>
      </w:r>
    </w:p>
    <w:bookmarkEnd w:id="1"/>
    <w:bookmarkEnd w:id="2"/>
    <w:bookmarkEnd w:id="3"/>
    <w:bookmarkEnd w:id="87"/>
    <w:bookmarkEnd w:id="88"/>
    <w:p w14:paraId="7667D521" w14:textId="566B028D" w:rsidR="00153A30" w:rsidRDefault="00153A30" w:rsidP="00862EC2">
      <w:pPr>
        <w:widowControl w:val="0"/>
        <w:rPr>
          <w:rFonts w:asciiTheme="minorHAnsi" w:hAnsiTheme="minorHAnsi"/>
          <w:b/>
          <w:bCs/>
          <w:snapToGrid w:val="0"/>
        </w:rPr>
      </w:pPr>
    </w:p>
    <w:p w14:paraId="401808F5" w14:textId="4CB74E1B" w:rsidR="000014D1" w:rsidRPr="000014D1" w:rsidRDefault="000014D1" w:rsidP="000014D1">
      <w:pPr>
        <w:pStyle w:val="2-SectionHeading"/>
      </w:pPr>
      <w:r w:rsidRPr="00C07617">
        <w:t>Context for Decision</w:t>
      </w:r>
    </w:p>
    <w:p w14:paraId="751C7D8F" w14:textId="77777777" w:rsidR="000014D1" w:rsidRPr="007129F2" w:rsidRDefault="000014D1" w:rsidP="00E30033">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09DFFE" w14:textId="7DA0BFCF" w:rsidR="000014D1" w:rsidRPr="000014D1" w:rsidRDefault="000014D1" w:rsidP="000014D1">
      <w:pPr>
        <w:pStyle w:val="2-SectionHeading"/>
      </w:pPr>
      <w:r>
        <w:t>Sponsor’s Comment</w:t>
      </w:r>
    </w:p>
    <w:p w14:paraId="67F6F476" w14:textId="77777777" w:rsidR="000014D1" w:rsidRPr="001179AC" w:rsidRDefault="000014D1" w:rsidP="00E30033">
      <w:pPr>
        <w:spacing w:after="120"/>
        <w:ind w:left="426" w:firstLine="294"/>
        <w:rPr>
          <w:rFonts w:asciiTheme="minorHAnsi" w:hAnsiTheme="minorHAnsi"/>
          <w:bCs/>
        </w:rPr>
      </w:pPr>
      <w:r w:rsidRPr="00C07617">
        <w:rPr>
          <w:rFonts w:asciiTheme="minorHAnsi" w:hAnsiTheme="minorHAnsi"/>
          <w:bCs/>
        </w:rPr>
        <w:t>The sponsor had no comment.</w:t>
      </w:r>
    </w:p>
    <w:p w14:paraId="624DD1E8" w14:textId="77777777" w:rsidR="000014D1" w:rsidRPr="00862EC2" w:rsidRDefault="000014D1" w:rsidP="00862EC2">
      <w:pPr>
        <w:widowControl w:val="0"/>
        <w:rPr>
          <w:rFonts w:asciiTheme="minorHAnsi" w:hAnsiTheme="minorHAnsi"/>
          <w:b/>
          <w:bCs/>
          <w:snapToGrid w:val="0"/>
        </w:rPr>
      </w:pPr>
    </w:p>
    <w:sectPr w:rsidR="000014D1" w:rsidRPr="00862EC2" w:rsidSect="002B2755">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37C08" w14:textId="77777777" w:rsidR="00F43B8A" w:rsidRDefault="00F43B8A" w:rsidP="00124A51">
      <w:r>
        <w:separator/>
      </w:r>
    </w:p>
    <w:p w14:paraId="03BA11DB" w14:textId="77777777" w:rsidR="00F43B8A" w:rsidRDefault="00F43B8A"/>
    <w:p w14:paraId="144BB4F6" w14:textId="77777777" w:rsidR="00F43B8A" w:rsidRDefault="00F43B8A"/>
  </w:endnote>
  <w:endnote w:type="continuationSeparator" w:id="0">
    <w:p w14:paraId="76251CAC" w14:textId="77777777" w:rsidR="00F43B8A" w:rsidRDefault="00F43B8A" w:rsidP="00124A51">
      <w:r>
        <w:continuationSeparator/>
      </w:r>
    </w:p>
    <w:p w14:paraId="08C9F5B0" w14:textId="77777777" w:rsidR="00F43B8A" w:rsidRDefault="00F43B8A"/>
    <w:p w14:paraId="46E31683" w14:textId="77777777" w:rsidR="00F43B8A" w:rsidRDefault="00F43B8A"/>
  </w:endnote>
  <w:endnote w:type="continuationNotice" w:id="1">
    <w:p w14:paraId="00FB6B0B" w14:textId="77777777" w:rsidR="00F43B8A" w:rsidRDefault="00F43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4CCF1" w14:textId="77777777" w:rsidR="001328F0" w:rsidRDefault="00132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036156457"/>
      <w:docPartObj>
        <w:docPartGallery w:val="Page Numbers (Bottom of Page)"/>
        <w:docPartUnique/>
      </w:docPartObj>
    </w:sdtPr>
    <w:sdtEndPr>
      <w:rPr>
        <w:noProof/>
      </w:rPr>
    </w:sdtEndPr>
    <w:sdtContent>
      <w:p w14:paraId="64DBE1EA" w14:textId="77777777" w:rsidR="00602CB0" w:rsidRDefault="00602CB0" w:rsidP="002B2755">
        <w:pPr>
          <w:pStyle w:val="Footer"/>
          <w:jc w:val="center"/>
          <w:rPr>
            <w:b/>
            <w:bCs/>
          </w:rPr>
        </w:pPr>
      </w:p>
      <w:p w14:paraId="3C57DA92" w14:textId="70115AF8" w:rsidR="002B2755" w:rsidRPr="00C0018C" w:rsidRDefault="002B2755" w:rsidP="002B2755">
        <w:pPr>
          <w:pStyle w:val="Footer"/>
          <w:jc w:val="center"/>
          <w:rPr>
            <w:b/>
            <w:bCs/>
          </w:rPr>
        </w:pPr>
        <w:r w:rsidRPr="00C0018C">
          <w:rPr>
            <w:b/>
            <w:bCs/>
          </w:rPr>
          <w:fldChar w:fldCharType="begin"/>
        </w:r>
        <w:r w:rsidRPr="00C0018C">
          <w:rPr>
            <w:b/>
            <w:bCs/>
          </w:rPr>
          <w:instrText xml:space="preserve"> PAGE   \* MERGEFORMAT </w:instrText>
        </w:r>
        <w:r w:rsidRPr="00C0018C">
          <w:rPr>
            <w:b/>
            <w:bCs/>
          </w:rPr>
          <w:fldChar w:fldCharType="separate"/>
        </w:r>
        <w:r w:rsidRPr="00C0018C">
          <w:rPr>
            <w:b/>
            <w:bCs/>
          </w:rPr>
          <w:t>1</w:t>
        </w:r>
        <w:r w:rsidRPr="00C0018C">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BBBA" w14:textId="77777777" w:rsidR="001328F0" w:rsidRDefault="00132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5EBA" w14:textId="77777777" w:rsidR="00F43B8A" w:rsidRDefault="00F43B8A" w:rsidP="00124A51">
      <w:r>
        <w:separator/>
      </w:r>
    </w:p>
    <w:p w14:paraId="1CF10001" w14:textId="77777777" w:rsidR="00F43B8A" w:rsidRDefault="00F43B8A"/>
    <w:p w14:paraId="6499F88F" w14:textId="77777777" w:rsidR="00F43B8A" w:rsidRDefault="00F43B8A"/>
  </w:footnote>
  <w:footnote w:type="continuationSeparator" w:id="0">
    <w:p w14:paraId="3FA2E8DB" w14:textId="77777777" w:rsidR="00F43B8A" w:rsidRDefault="00F43B8A" w:rsidP="00124A51">
      <w:r>
        <w:continuationSeparator/>
      </w:r>
    </w:p>
    <w:p w14:paraId="67CBE7EF" w14:textId="77777777" w:rsidR="00F43B8A" w:rsidRDefault="00F43B8A"/>
    <w:p w14:paraId="148DAC85" w14:textId="77777777" w:rsidR="00F43B8A" w:rsidRDefault="00F43B8A"/>
  </w:footnote>
  <w:footnote w:type="continuationNotice" w:id="1">
    <w:p w14:paraId="5E37BA00" w14:textId="77777777" w:rsidR="00F43B8A" w:rsidRDefault="00F43B8A"/>
  </w:footnote>
  <w:footnote w:id="2">
    <w:p w14:paraId="27B0F2DB" w14:textId="5BE45245" w:rsidR="00CC2233" w:rsidRDefault="00CC2233" w:rsidP="00CC2233">
      <w:pPr>
        <w:pStyle w:val="FootnoteText"/>
        <w:jc w:val="left"/>
      </w:pPr>
      <w:r>
        <w:rPr>
          <w:rStyle w:val="FootnoteReference"/>
        </w:rPr>
        <w:footnoteRef/>
      </w:r>
      <w:r>
        <w:t xml:space="preserve"> ASHM (2019), </w:t>
      </w:r>
      <w:hyperlink r:id="rId1" w:history="1">
        <w:r>
          <w:rPr>
            <w:rStyle w:val="Hyperlink"/>
          </w:rPr>
          <w:t xml:space="preserve">Antiretroviral drugs - HIV Management Guidelines </w:t>
        </w:r>
      </w:hyperlink>
      <w:r w:rsidRPr="00476625">
        <w:t>https://hivmanagement.ashm.org.au/antiretroviral-drugs/</w:t>
      </w:r>
      <w:r>
        <w:t xml:space="preserve"> </w:t>
      </w:r>
    </w:p>
  </w:footnote>
  <w:footnote w:id="3">
    <w:p w14:paraId="4A618417" w14:textId="77777777" w:rsidR="00CC2233" w:rsidRPr="0036358E" w:rsidRDefault="00CC2233" w:rsidP="00CC2233">
      <w:pPr>
        <w:pStyle w:val="FootnoteText"/>
        <w:rPr>
          <w:lang w:val="en-US"/>
        </w:rPr>
      </w:pPr>
      <w:r>
        <w:rPr>
          <w:rStyle w:val="FootnoteReference"/>
        </w:rPr>
        <w:footnoteRef/>
      </w:r>
      <w:r>
        <w:t xml:space="preserve"> </w:t>
      </w:r>
      <w:r w:rsidRPr="0036358E">
        <w:t>FDA 2015. Human Immunodeficiency Virus-1 Infection: Developing Antiretroviral Drugs for Treatment Guidance for Industry. U.S. Department of Health and Human Services Food and Drug Administration</w:t>
      </w:r>
    </w:p>
  </w:footnote>
  <w:footnote w:id="4">
    <w:p w14:paraId="1A15399A" w14:textId="77777777" w:rsidR="00CC2233" w:rsidRPr="0036358E" w:rsidRDefault="00CC2233" w:rsidP="00CC2233">
      <w:pPr>
        <w:pStyle w:val="FootnoteText"/>
        <w:rPr>
          <w:lang w:val="en-US"/>
        </w:rPr>
      </w:pPr>
      <w:r>
        <w:rPr>
          <w:rStyle w:val="FootnoteReference"/>
        </w:rPr>
        <w:footnoteRef/>
      </w:r>
      <w:r>
        <w:t xml:space="preserve"> </w:t>
      </w:r>
      <w:r w:rsidRPr="0036358E">
        <w:t>EUROPEAN MEDICINES AGENCY. 2017. Guideline on the clinical development of medicinal products for the treatment of HIV infection [Online]. Available: https://www.ema.europa.eu/en/documents/scientific-guideline/guideline-clinical-development-medicinal-products-treatment-hiv-infection_en.pdf</w:t>
      </w:r>
    </w:p>
  </w:footnote>
  <w:footnote w:id="5">
    <w:p w14:paraId="49049CE8" w14:textId="77777777" w:rsidR="00A5249C" w:rsidRDefault="00A5249C" w:rsidP="00A5249C">
      <w:pPr>
        <w:pStyle w:val="FootnoteText"/>
      </w:pPr>
      <w:r>
        <w:rPr>
          <w:rStyle w:val="FootnoteReference"/>
        </w:rPr>
        <w:footnoteRef/>
      </w:r>
      <w:r>
        <w:t xml:space="preserve"> </w:t>
      </w:r>
      <w:r w:rsidRPr="00C1274A">
        <w:t>Svärd, J., &amp; Sönnerborg, A. (2012). Optimizing background therapy in treatment-experienced HIV-1 patients by rules-based algorithms and bioinformatics. Future Virology, 7(8), 749-757. doi:https://doi.org/10.2217/fvl.12.66</w:t>
      </w:r>
    </w:p>
  </w:footnote>
  <w:footnote w:id="6">
    <w:p w14:paraId="0077CD0D" w14:textId="13463C7A" w:rsidR="00CC2233" w:rsidRPr="00873F39" w:rsidRDefault="00CC2233" w:rsidP="00CC2233">
      <w:pPr>
        <w:pStyle w:val="FootnoteText"/>
        <w:rPr>
          <w:lang w:val="en-US"/>
        </w:rPr>
      </w:pPr>
      <w:r>
        <w:rPr>
          <w:rStyle w:val="FootnoteReference"/>
        </w:rPr>
        <w:footnoteRef/>
      </w:r>
      <w:r>
        <w:t xml:space="preserve"> Ghadessi M, Tang R, Zhou J, Liu R, Wang C, Toyoizumi K, Mei C, Zhang L, Deng CQ,</w:t>
      </w:r>
      <w:r w:rsidR="002E757E">
        <w:t xml:space="preserve"> </w:t>
      </w:r>
      <w:r>
        <w:t>Beckman RA. A roadmap to using historical controls in clinical trials–by Drug Information</w:t>
      </w:r>
      <w:r w:rsidR="002E757E">
        <w:t xml:space="preserve"> </w:t>
      </w:r>
      <w:r>
        <w:t>Association Adaptive Design Scientific Working Group (DIA-ADSWG). Orphanet Journal of</w:t>
      </w:r>
      <w:r w:rsidR="002E757E">
        <w:t xml:space="preserve"> </w:t>
      </w:r>
      <w:r>
        <w:t>Rare Diseases. 2020 Dec;15(1):1-9.</w:t>
      </w:r>
    </w:p>
  </w:footnote>
  <w:footnote w:id="7">
    <w:p w14:paraId="786922DD" w14:textId="04E96B86" w:rsidR="004F3F49" w:rsidRDefault="004F3F49">
      <w:pPr>
        <w:pStyle w:val="FootnoteText"/>
      </w:pPr>
      <w:r>
        <w:rPr>
          <w:rStyle w:val="FootnoteReference"/>
        </w:rPr>
        <w:footnoteRef/>
      </w:r>
      <w:r>
        <w:t xml:space="preserve"> </w:t>
      </w:r>
      <w:r w:rsidRPr="004F3F49">
        <w:t>Note</w:t>
      </w:r>
      <w:r>
        <w:t>:</w:t>
      </w:r>
      <w:r w:rsidRPr="004F3F49">
        <w:t xml:space="preserve"> </w:t>
      </w:r>
      <w:r>
        <w:t>T</w:t>
      </w:r>
      <w:r w:rsidRPr="004F3F49">
        <w:t>he results presented in paragraph 6.41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8">
    <w:p w14:paraId="0ACEC11A" w14:textId="309D572F" w:rsidR="004F3F49" w:rsidRDefault="004F3F49">
      <w:pPr>
        <w:pStyle w:val="FootnoteText"/>
      </w:pPr>
      <w:r w:rsidRPr="00E660CD">
        <w:rPr>
          <w:rStyle w:val="FootnoteReference"/>
        </w:rPr>
        <w:footnoteRef/>
      </w:r>
      <w:r w:rsidRPr="003E70C0">
        <w:rPr>
          <w:rStyle w:val="FootnoteReference"/>
        </w:rPr>
        <w:t xml:space="preserve"> </w:t>
      </w:r>
      <w:r w:rsidRPr="004F3F49">
        <w:t>Note</w:t>
      </w:r>
      <w:r>
        <w:t>:</w:t>
      </w:r>
      <w:r w:rsidRPr="004F3F49">
        <w:t xml:space="preserve"> </w:t>
      </w:r>
      <w:r>
        <w:t>T</w:t>
      </w:r>
      <w:r w:rsidRPr="004F3F49">
        <w:t>he results presented in paragraph 6.42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9">
    <w:p w14:paraId="4FE69774" w14:textId="0B566DEB" w:rsidR="008C7AED" w:rsidRDefault="008C7AED">
      <w:pPr>
        <w:pStyle w:val="FootnoteText"/>
      </w:pPr>
      <w:r>
        <w:rPr>
          <w:rStyle w:val="FootnoteReference"/>
        </w:rPr>
        <w:footnoteRef/>
      </w:r>
      <w:r>
        <w:t xml:space="preserve"> </w:t>
      </w:r>
      <w:r w:rsidRPr="008C7AED">
        <w:t>Note</w:t>
      </w:r>
      <w:r>
        <w:t>:</w:t>
      </w:r>
      <w:r w:rsidRPr="008C7AED">
        <w:t xml:space="preserve"> </w:t>
      </w:r>
      <w:r>
        <w:t>T</w:t>
      </w:r>
      <w:r w:rsidRPr="008C7AED">
        <w:t>he results presented in paragraph 6.56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10">
    <w:p w14:paraId="4A0B6356" w14:textId="58272CC7" w:rsidR="008C7AED" w:rsidRDefault="008C7AED">
      <w:pPr>
        <w:pStyle w:val="FootnoteText"/>
      </w:pPr>
      <w:r>
        <w:rPr>
          <w:rStyle w:val="FootnoteReference"/>
        </w:rPr>
        <w:footnoteRef/>
      </w:r>
      <w:r>
        <w:t xml:space="preserve"> </w:t>
      </w:r>
      <w:r w:rsidRPr="008C7AED">
        <w:t xml:space="preserve">Note </w:t>
      </w:r>
      <w:r>
        <w:t>:T</w:t>
      </w:r>
      <w:r w:rsidRPr="008C7AED">
        <w:t>he results presented in paragraph 6.57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11">
    <w:p w14:paraId="0682FA60" w14:textId="5EA34C18" w:rsidR="008C7AED" w:rsidRDefault="008C7AED">
      <w:pPr>
        <w:pStyle w:val="FootnoteText"/>
      </w:pPr>
      <w:r>
        <w:rPr>
          <w:rStyle w:val="FootnoteReference"/>
        </w:rPr>
        <w:footnoteRef/>
      </w:r>
      <w:r>
        <w:t xml:space="preserve"> </w:t>
      </w:r>
      <w:r w:rsidRPr="008C7AED">
        <w:t>Note</w:t>
      </w:r>
      <w:r>
        <w:t>:</w:t>
      </w:r>
      <w:r w:rsidRPr="008C7AED">
        <w:t xml:space="preserve"> </w:t>
      </w:r>
      <w:r>
        <w:t>T</w:t>
      </w:r>
      <w:r w:rsidRPr="008C7AED">
        <w:t>he results presented in paragraph 6.68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12">
    <w:p w14:paraId="38AE4DD3" w14:textId="2B6951D9" w:rsidR="00B968F1" w:rsidRDefault="00B968F1">
      <w:pPr>
        <w:pStyle w:val="FootnoteText"/>
      </w:pPr>
      <w:r>
        <w:rPr>
          <w:rStyle w:val="FootnoteReference"/>
        </w:rPr>
        <w:footnoteRef/>
      </w:r>
      <w:r>
        <w:t xml:space="preserve"> </w:t>
      </w:r>
      <w:r w:rsidRPr="00B968F1">
        <w:t>Note</w:t>
      </w:r>
      <w:r>
        <w:t>:</w:t>
      </w:r>
      <w:r w:rsidRPr="00B968F1">
        <w:t xml:space="preserve"> </w:t>
      </w:r>
      <w:r>
        <w:t>T</w:t>
      </w:r>
      <w:r w:rsidRPr="00B968F1">
        <w:t>he results presented in paragraph 6.73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13">
    <w:p w14:paraId="72BE15F8" w14:textId="1BAF54B4" w:rsidR="00C22F47" w:rsidRDefault="00C22F47">
      <w:pPr>
        <w:pStyle w:val="FootnoteText"/>
      </w:pPr>
      <w:r>
        <w:rPr>
          <w:rStyle w:val="FootnoteReference"/>
        </w:rPr>
        <w:footnoteRef/>
      </w:r>
      <w:r>
        <w:t xml:space="preserve"> </w:t>
      </w:r>
      <w:r w:rsidRPr="00C22F47">
        <w:t>Note</w:t>
      </w:r>
      <w:r>
        <w:t>:</w:t>
      </w:r>
      <w:r w:rsidRPr="00C22F47">
        <w:t xml:space="preserve"> </w:t>
      </w:r>
      <w:r>
        <w:t>T</w:t>
      </w:r>
      <w:r w:rsidRPr="00C22F47">
        <w:t>he results presented in paragraph 6.7</w:t>
      </w:r>
      <w:r>
        <w:t>5</w:t>
      </w:r>
      <w:r w:rsidRPr="00C22F47">
        <w:t xml:space="preserve">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r>
        <w:t>.</w:t>
      </w:r>
    </w:p>
  </w:footnote>
  <w:footnote w:id="14">
    <w:p w14:paraId="4A40837B" w14:textId="041ABE1A" w:rsidR="00C22F47" w:rsidRDefault="00C22F47">
      <w:pPr>
        <w:pStyle w:val="FootnoteText"/>
      </w:pPr>
      <w:r>
        <w:rPr>
          <w:rStyle w:val="FootnoteReference"/>
        </w:rPr>
        <w:footnoteRef/>
      </w:r>
      <w:r>
        <w:t xml:space="preserve"> </w:t>
      </w:r>
      <w:r w:rsidRPr="00C22F47">
        <w:t>Note</w:t>
      </w:r>
      <w:r>
        <w:t>:</w:t>
      </w:r>
      <w:r w:rsidRPr="00C22F47">
        <w:t xml:space="preserve"> </w:t>
      </w:r>
      <w:r>
        <w:t>T</w:t>
      </w:r>
      <w:r w:rsidRPr="00C22F47">
        <w:t xml:space="preserve">he results presented in paragraph 6.76 are derived from post-hoc analyses conducted by the evaluation specifically for the purposes of informing the PBAC consideration. These analyses were not part of the pre-specified statistical plan for these studies. </w:t>
      </w:r>
      <w:r>
        <w:t>I</w:t>
      </w:r>
      <w:r w:rsidRPr="00C22F47">
        <w:t>nterpretation of the results and their application should therefore be limited to seeking to understand the basis for the PBAC outcome and should not be used for any other purpose.</w:t>
      </w:r>
    </w:p>
  </w:footnote>
  <w:footnote w:id="15">
    <w:p w14:paraId="78196003" w14:textId="53CE7D45" w:rsidR="00E660CD" w:rsidRDefault="00E660CD">
      <w:pPr>
        <w:pStyle w:val="FootnoteText"/>
      </w:pPr>
      <w:r>
        <w:rPr>
          <w:rStyle w:val="FootnoteReference"/>
        </w:rPr>
        <w:footnoteRef/>
      </w:r>
      <w:r>
        <w:t xml:space="preserve"> </w:t>
      </w:r>
      <w:r w:rsidRPr="00E660CD">
        <w:t>Note</w:t>
      </w:r>
      <w:r>
        <w:t>: T</w:t>
      </w:r>
      <w:r w:rsidRPr="00E660CD">
        <w:t>he results presented in paragraph 6.79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16">
    <w:p w14:paraId="5EE6DF89" w14:textId="32487B1C" w:rsidR="00CC2233" w:rsidRPr="00722B07" w:rsidRDefault="00CC2233" w:rsidP="00CC2233">
      <w:pPr>
        <w:pStyle w:val="FootnoteText"/>
      </w:pPr>
      <w:r>
        <w:rPr>
          <w:rStyle w:val="FootnoteReference"/>
        </w:rPr>
        <w:footnoteRef/>
      </w:r>
      <w:r>
        <w:t xml:space="preserve"> Tengs TO, Lin TH. A meta-analysis of utility estimates for HIV/AIDS.</w:t>
      </w:r>
      <w:r w:rsidR="00722B07">
        <w:t xml:space="preserve"> </w:t>
      </w:r>
      <w:r>
        <w:t>Med Decis Making 2002; 22:475–81.</w:t>
      </w:r>
    </w:p>
  </w:footnote>
  <w:footnote w:id="17">
    <w:p w14:paraId="3739B157" w14:textId="156304B2" w:rsidR="00760970" w:rsidRDefault="00760970">
      <w:pPr>
        <w:pStyle w:val="FootnoteText"/>
      </w:pPr>
      <w:r>
        <w:rPr>
          <w:rStyle w:val="FootnoteReference"/>
        </w:rPr>
        <w:footnoteRef/>
      </w:r>
      <w:r>
        <w:t xml:space="preserve"> </w:t>
      </w:r>
      <w:r w:rsidRPr="00760970">
        <w:t>Note</w:t>
      </w:r>
      <w:r>
        <w:t>:</w:t>
      </w:r>
      <w:r w:rsidRPr="00760970">
        <w:t xml:space="preserve"> </w:t>
      </w:r>
      <w:r>
        <w:t>T</w:t>
      </w:r>
      <w:r w:rsidRPr="00760970">
        <w:t>he results presented in paragraph 6.83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r>
        <w:t>.</w:t>
      </w:r>
    </w:p>
  </w:footnote>
  <w:footnote w:id="18">
    <w:p w14:paraId="5955DE5D" w14:textId="7269DCD7" w:rsidR="00760970" w:rsidRDefault="00760970">
      <w:pPr>
        <w:pStyle w:val="FootnoteText"/>
      </w:pPr>
      <w:r>
        <w:rPr>
          <w:rStyle w:val="FootnoteReference"/>
        </w:rPr>
        <w:footnoteRef/>
      </w:r>
      <w:r>
        <w:t xml:space="preserve"> </w:t>
      </w:r>
      <w:r w:rsidRPr="00760970">
        <w:t>Note</w:t>
      </w:r>
      <w:r>
        <w:t>:</w:t>
      </w:r>
      <w:r w:rsidRPr="00760970">
        <w:t xml:space="preserve"> </w:t>
      </w:r>
      <w:r>
        <w:t>T</w:t>
      </w:r>
      <w:r w:rsidRPr="00760970">
        <w:t>he results presented in paragraph 6.85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19">
    <w:p w14:paraId="0141AA20" w14:textId="55B235D5" w:rsidR="004256B9" w:rsidRDefault="004256B9">
      <w:pPr>
        <w:pStyle w:val="FootnoteText"/>
      </w:pPr>
      <w:r>
        <w:rPr>
          <w:rStyle w:val="FootnoteReference"/>
        </w:rPr>
        <w:footnoteRef/>
      </w:r>
      <w:r>
        <w:t xml:space="preserve"> </w:t>
      </w:r>
      <w:r w:rsidRPr="004256B9">
        <w:t>Brogan, Anita J., Sandra E. Talbird, Ashley E. Davis, Elizabeth M. La, and Princy N. Kumar. 2021. The Cost</w:t>
      </w:r>
      <w:r w:rsidRPr="004256B9">
        <w:rPr>
          <w:rFonts w:ascii="Cambria Math" w:hAnsi="Cambria Math" w:cs="Cambria Math"/>
        </w:rPr>
        <w:t>‑</w:t>
      </w:r>
      <w:r w:rsidRPr="004256B9">
        <w:t>Effectiveness and budget impact of Ibalizumab</w:t>
      </w:r>
      <w:r w:rsidRPr="004256B9">
        <w:rPr>
          <w:rFonts w:ascii="Cambria Math" w:hAnsi="Cambria Math" w:cs="Cambria Math"/>
        </w:rPr>
        <w:t>‑</w:t>
      </w:r>
      <w:r w:rsidRPr="004256B9">
        <w:t>uiyk for adults with Multidrug</w:t>
      </w:r>
      <w:r w:rsidRPr="004256B9">
        <w:rPr>
          <w:rFonts w:ascii="Cambria Math" w:hAnsi="Cambria Math" w:cs="Cambria Math"/>
        </w:rPr>
        <w:t>‑</w:t>
      </w:r>
      <w:r w:rsidRPr="004256B9">
        <w:t>Resistant HIV</w:t>
      </w:r>
      <w:r w:rsidRPr="004256B9">
        <w:rPr>
          <w:rFonts w:ascii="Cambria Math" w:hAnsi="Cambria Math" w:cs="Cambria Math"/>
        </w:rPr>
        <w:t>‑</w:t>
      </w:r>
      <w:r w:rsidRPr="004256B9">
        <w:t>1 infection in the united states. PharmacoEconomics 39, no. 4: 421-432</w:t>
      </w:r>
      <w:r>
        <w:t>.</w:t>
      </w:r>
    </w:p>
  </w:footnote>
  <w:footnote w:id="20">
    <w:p w14:paraId="0EC8A4B6" w14:textId="3E79ED06" w:rsidR="004F0034" w:rsidRDefault="004F0034">
      <w:pPr>
        <w:pStyle w:val="FootnoteText"/>
      </w:pPr>
      <w:r>
        <w:rPr>
          <w:rStyle w:val="FootnoteReference"/>
        </w:rPr>
        <w:footnoteRef/>
      </w:r>
      <w:r>
        <w:t xml:space="preserve"> </w:t>
      </w:r>
      <w:r w:rsidR="001C5A77" w:rsidRPr="001C5A77">
        <w:t>Note</w:t>
      </w:r>
      <w:r w:rsidR="001C5A77">
        <w:t>: T</w:t>
      </w:r>
      <w:r w:rsidR="001C5A77" w:rsidRPr="001C5A77">
        <w:t>he results presented in paragraph 6.93 are derived from post-hoc analyses conducted by the evaluation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r w:rsidR="001C5A77">
        <w:t>.</w:t>
      </w:r>
    </w:p>
  </w:footnote>
  <w:footnote w:id="21">
    <w:p w14:paraId="450F9F07" w14:textId="387D61A3" w:rsidR="001C5A77" w:rsidRDefault="001C5A77">
      <w:pPr>
        <w:pStyle w:val="FootnoteText"/>
      </w:pPr>
      <w:r>
        <w:rPr>
          <w:rStyle w:val="FootnoteReference"/>
        </w:rPr>
        <w:footnoteRef/>
      </w:r>
      <w:r>
        <w:t xml:space="preserve"> </w:t>
      </w:r>
      <w:r w:rsidRPr="001C5A77">
        <w:t>Note</w:t>
      </w:r>
      <w:r>
        <w:t>: T</w:t>
      </w:r>
      <w:r w:rsidRPr="001C5A77">
        <w:t>he results presented in paragraph 6.94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 w:id="22">
    <w:p w14:paraId="70BE657E" w14:textId="369BAF03" w:rsidR="001C5A77" w:rsidRDefault="001C5A77">
      <w:pPr>
        <w:pStyle w:val="FootnoteText"/>
      </w:pPr>
      <w:r>
        <w:rPr>
          <w:rStyle w:val="FootnoteReference"/>
        </w:rPr>
        <w:footnoteRef/>
      </w:r>
      <w:r>
        <w:t xml:space="preserve"> </w:t>
      </w:r>
      <w:r w:rsidRPr="001C5A77">
        <w:t>Note</w:t>
      </w:r>
      <w:r>
        <w:t>:</w:t>
      </w:r>
      <w:r w:rsidRPr="001C5A77">
        <w:t xml:space="preserve"> </w:t>
      </w:r>
      <w:r>
        <w:t>T</w:t>
      </w:r>
      <w:r w:rsidRPr="001C5A77">
        <w:t>he results presented in paragraph 6.106 are derived from post-hoc analyses conducted by the applicant specifically for the purposes of informing the PBAC consideration. These analyses were not part of the pre-specified statistical plan for these studies.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CC5A" w14:textId="77777777" w:rsidR="001328F0" w:rsidRDefault="00132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CB32" w14:textId="7315C7BC" w:rsidR="00C0018C" w:rsidRDefault="00E76F34" w:rsidP="00E30033">
    <w:pPr>
      <w:pStyle w:val="Header"/>
      <w:ind w:left="360"/>
      <w:rPr>
        <w:rFonts w:asciiTheme="minorHAnsi" w:hAnsiTheme="minorHAnsi"/>
        <w:i/>
        <w:color w:val="808080"/>
      </w:rPr>
    </w:pPr>
    <w:r>
      <w:rPr>
        <w:rFonts w:asciiTheme="minorHAnsi" w:hAnsiTheme="minorHAnsi"/>
        <w:i/>
        <w:color w:val="808080"/>
      </w:rPr>
      <w:t>Public Summary Document</w:t>
    </w:r>
    <w:r w:rsidR="00C0018C">
      <w:rPr>
        <w:rFonts w:asciiTheme="minorHAnsi" w:hAnsiTheme="minorHAnsi"/>
        <w:i/>
        <w:color w:val="808080"/>
      </w:rPr>
      <w:t xml:space="preserve"> – November 2022 PBAC Meeting</w:t>
    </w:r>
  </w:p>
  <w:p w14:paraId="1BAB5B5B" w14:textId="77777777" w:rsidR="002B2755" w:rsidRDefault="002B27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1FBC" w14:textId="77777777" w:rsidR="001328F0" w:rsidRDefault="00132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E7001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A943E3"/>
    <w:multiLevelType w:val="hybridMultilevel"/>
    <w:tmpl w:val="30CEA234"/>
    <w:lvl w:ilvl="0" w:tplc="4044BA74">
      <w:start w:val="1"/>
      <w:numFmt w:val="bullet"/>
      <w:lvlText w:val=""/>
      <w:lvlJc w:val="left"/>
      <w:pPr>
        <w:tabs>
          <w:tab w:val="num" w:pos="720"/>
        </w:tabs>
        <w:ind w:left="720" w:hanging="360"/>
      </w:pPr>
      <w:rPr>
        <w:rFonts w:ascii="Symbol" w:hAnsi="Symbol" w:hint="default"/>
      </w:rPr>
    </w:lvl>
    <w:lvl w:ilvl="1" w:tplc="87B81798" w:tentative="1">
      <w:start w:val="1"/>
      <w:numFmt w:val="bullet"/>
      <w:lvlText w:val=""/>
      <w:lvlJc w:val="left"/>
      <w:pPr>
        <w:tabs>
          <w:tab w:val="num" w:pos="1440"/>
        </w:tabs>
        <w:ind w:left="1440" w:hanging="360"/>
      </w:pPr>
      <w:rPr>
        <w:rFonts w:ascii="Symbol" w:hAnsi="Symbol" w:hint="default"/>
      </w:rPr>
    </w:lvl>
    <w:lvl w:ilvl="2" w:tplc="79764B08" w:tentative="1">
      <w:start w:val="1"/>
      <w:numFmt w:val="bullet"/>
      <w:lvlText w:val=""/>
      <w:lvlJc w:val="left"/>
      <w:pPr>
        <w:tabs>
          <w:tab w:val="num" w:pos="2160"/>
        </w:tabs>
        <w:ind w:left="2160" w:hanging="360"/>
      </w:pPr>
      <w:rPr>
        <w:rFonts w:ascii="Symbol" w:hAnsi="Symbol" w:hint="default"/>
      </w:rPr>
    </w:lvl>
    <w:lvl w:ilvl="3" w:tplc="F66E5C5A" w:tentative="1">
      <w:start w:val="1"/>
      <w:numFmt w:val="bullet"/>
      <w:lvlText w:val=""/>
      <w:lvlJc w:val="left"/>
      <w:pPr>
        <w:tabs>
          <w:tab w:val="num" w:pos="2880"/>
        </w:tabs>
        <w:ind w:left="2880" w:hanging="360"/>
      </w:pPr>
      <w:rPr>
        <w:rFonts w:ascii="Symbol" w:hAnsi="Symbol" w:hint="default"/>
      </w:rPr>
    </w:lvl>
    <w:lvl w:ilvl="4" w:tplc="56DA4642" w:tentative="1">
      <w:start w:val="1"/>
      <w:numFmt w:val="bullet"/>
      <w:lvlText w:val=""/>
      <w:lvlJc w:val="left"/>
      <w:pPr>
        <w:tabs>
          <w:tab w:val="num" w:pos="3600"/>
        </w:tabs>
        <w:ind w:left="3600" w:hanging="360"/>
      </w:pPr>
      <w:rPr>
        <w:rFonts w:ascii="Symbol" w:hAnsi="Symbol" w:hint="default"/>
      </w:rPr>
    </w:lvl>
    <w:lvl w:ilvl="5" w:tplc="BF4EB932" w:tentative="1">
      <w:start w:val="1"/>
      <w:numFmt w:val="bullet"/>
      <w:lvlText w:val=""/>
      <w:lvlJc w:val="left"/>
      <w:pPr>
        <w:tabs>
          <w:tab w:val="num" w:pos="4320"/>
        </w:tabs>
        <w:ind w:left="4320" w:hanging="360"/>
      </w:pPr>
      <w:rPr>
        <w:rFonts w:ascii="Symbol" w:hAnsi="Symbol" w:hint="default"/>
      </w:rPr>
    </w:lvl>
    <w:lvl w:ilvl="6" w:tplc="25B6018E" w:tentative="1">
      <w:start w:val="1"/>
      <w:numFmt w:val="bullet"/>
      <w:lvlText w:val=""/>
      <w:lvlJc w:val="left"/>
      <w:pPr>
        <w:tabs>
          <w:tab w:val="num" w:pos="5040"/>
        </w:tabs>
        <w:ind w:left="5040" w:hanging="360"/>
      </w:pPr>
      <w:rPr>
        <w:rFonts w:ascii="Symbol" w:hAnsi="Symbol" w:hint="default"/>
      </w:rPr>
    </w:lvl>
    <w:lvl w:ilvl="7" w:tplc="0AFCDF94" w:tentative="1">
      <w:start w:val="1"/>
      <w:numFmt w:val="bullet"/>
      <w:lvlText w:val=""/>
      <w:lvlJc w:val="left"/>
      <w:pPr>
        <w:tabs>
          <w:tab w:val="num" w:pos="5760"/>
        </w:tabs>
        <w:ind w:left="5760" w:hanging="360"/>
      </w:pPr>
      <w:rPr>
        <w:rFonts w:ascii="Symbol" w:hAnsi="Symbol" w:hint="default"/>
      </w:rPr>
    </w:lvl>
    <w:lvl w:ilvl="8" w:tplc="C55A872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0327B94"/>
    <w:multiLevelType w:val="hybridMultilevel"/>
    <w:tmpl w:val="6CA2EA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15E645D7"/>
    <w:multiLevelType w:val="hybridMultilevel"/>
    <w:tmpl w:val="2292852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BF84E476"/>
    <w:lvl w:ilvl="0" w:tplc="04090001">
      <w:start w:val="1"/>
      <w:numFmt w:val="bullet"/>
      <w:lvlText w:val=""/>
      <w:lvlJc w:val="left"/>
      <w:pPr>
        <w:ind w:left="720" w:hanging="360"/>
      </w:pPr>
      <w:rPr>
        <w:rFonts w:ascii="Symbol" w:hAnsi="Symbol" w:hint="default"/>
      </w:rPr>
    </w:lvl>
    <w:lvl w:ilvl="1" w:tplc="C750051C">
      <w:start w:val="16"/>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A303AF8"/>
    <w:multiLevelType w:val="multilevel"/>
    <w:tmpl w:val="45FC285E"/>
    <w:styleLink w:val="CurrentList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6018A2"/>
    <w:multiLevelType w:val="hybridMultilevel"/>
    <w:tmpl w:val="6FD0D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3D23F06"/>
    <w:multiLevelType w:val="hybridMultilevel"/>
    <w:tmpl w:val="2D42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cs="Times New Roman"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AF22442"/>
    <w:multiLevelType w:val="hybridMultilevel"/>
    <w:tmpl w:val="E07ED4C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3564AE70"/>
    <w:lvl w:ilvl="0">
      <w:start w:val="1"/>
      <w:numFmt w:val="decimal"/>
      <w:pStyle w:val="2-SectionHeading"/>
      <w:lvlText w:val="%1"/>
      <w:lvlJc w:val="left"/>
      <w:pPr>
        <w:ind w:left="720" w:hanging="720"/>
      </w:pPr>
      <w:rPr>
        <w:rFonts w:hint="default"/>
        <w:b/>
      </w:rPr>
    </w:lvl>
    <w:lvl w:ilvl="1">
      <w:start w:val="6"/>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E91FA0"/>
    <w:multiLevelType w:val="multilevel"/>
    <w:tmpl w:val="45FC285E"/>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2E1BFF"/>
    <w:multiLevelType w:val="hybridMultilevel"/>
    <w:tmpl w:val="74CE814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7541D0"/>
    <w:multiLevelType w:val="hybridMultilevel"/>
    <w:tmpl w:val="0E2C34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11"/>
  </w:num>
  <w:num w:numId="4">
    <w:abstractNumId w:val="0"/>
  </w:num>
  <w:num w:numId="5">
    <w:abstractNumId w:val="9"/>
  </w:num>
  <w:num w:numId="6">
    <w:abstractNumId w:val="19"/>
  </w:num>
  <w:num w:numId="7">
    <w:abstractNumId w:val="25"/>
  </w:num>
  <w:num w:numId="8">
    <w:abstractNumId w:val="17"/>
  </w:num>
  <w:num w:numId="9">
    <w:abstractNumId w:val="24"/>
  </w:num>
  <w:num w:numId="10">
    <w:abstractNumId w:val="14"/>
  </w:num>
  <w:num w:numId="11">
    <w:abstractNumId w:val="5"/>
  </w:num>
  <w:num w:numId="12">
    <w:abstractNumId w:val="4"/>
  </w:num>
  <w:num w:numId="13">
    <w:abstractNumId w:val="20"/>
  </w:num>
  <w:num w:numId="14">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1"/>
  </w:num>
  <w:num w:numId="17">
    <w:abstractNumId w:val="18"/>
  </w:num>
  <w:num w:numId="18">
    <w:abstractNumId w:val="26"/>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3"/>
  </w:num>
  <w:num w:numId="32">
    <w:abstractNumId w:val="2"/>
  </w:num>
  <w:num w:numId="33">
    <w:abstractNumId w:val="23"/>
  </w:num>
  <w:num w:numId="34">
    <w:abstractNumId w:val="23"/>
  </w:num>
  <w:num w:numId="35">
    <w:abstractNumId w:val="2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23"/>
  </w:num>
  <w:num w:numId="40">
    <w:abstractNumId w:val="23"/>
    <w:lvlOverride w:ilvl="0">
      <w:startOverride w:val="1"/>
    </w:lvlOverride>
    <w:lvlOverride w:ilvl="1">
      <w:startOverride w:val="1"/>
    </w:lvlOverride>
  </w:num>
  <w:num w:numId="41">
    <w:abstractNumId w:val="23"/>
    <w:lvlOverride w:ilvl="0">
      <w:startOverride w:val="2"/>
    </w:lvlOverride>
    <w:lvlOverride w:ilvl="1">
      <w:startOverride w:val="1"/>
    </w:lvlOverride>
  </w:num>
  <w:num w:numId="42">
    <w:abstractNumId w:val="23"/>
    <w:lvlOverride w:ilvl="0">
      <w:startOverride w:val="3"/>
    </w:lvlOverride>
    <w:lvlOverride w:ilvl="1">
      <w:startOverride w:val="1"/>
    </w:lvlOverride>
  </w:num>
  <w:num w:numId="43">
    <w:abstractNumId w:val="23"/>
    <w:lvlOverride w:ilvl="0">
      <w:startOverride w:val="4"/>
    </w:lvlOverride>
    <w:lvlOverride w:ilvl="1">
      <w:startOverride w:val="1"/>
    </w:lvlOverride>
  </w:num>
  <w:num w:numId="44">
    <w:abstractNumId w:val="23"/>
    <w:lvlOverride w:ilvl="0">
      <w:startOverride w:val="5"/>
    </w:lvlOverride>
    <w:lvlOverride w:ilvl="1">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122"/>
    <w:rsid w:val="000014D1"/>
    <w:rsid w:val="00001988"/>
    <w:rsid w:val="000020F4"/>
    <w:rsid w:val="00002944"/>
    <w:rsid w:val="00002A32"/>
    <w:rsid w:val="00003499"/>
    <w:rsid w:val="000039B7"/>
    <w:rsid w:val="00003CF2"/>
    <w:rsid w:val="00004741"/>
    <w:rsid w:val="000056B9"/>
    <w:rsid w:val="00005DED"/>
    <w:rsid w:val="0000639A"/>
    <w:rsid w:val="000068BA"/>
    <w:rsid w:val="0000701B"/>
    <w:rsid w:val="000073F3"/>
    <w:rsid w:val="00007C47"/>
    <w:rsid w:val="000108B8"/>
    <w:rsid w:val="00010C7E"/>
    <w:rsid w:val="00013247"/>
    <w:rsid w:val="00014FAB"/>
    <w:rsid w:val="000154C9"/>
    <w:rsid w:val="000154E5"/>
    <w:rsid w:val="00015886"/>
    <w:rsid w:val="000162EF"/>
    <w:rsid w:val="000169AA"/>
    <w:rsid w:val="00017DF7"/>
    <w:rsid w:val="000207C9"/>
    <w:rsid w:val="0002218A"/>
    <w:rsid w:val="0002225F"/>
    <w:rsid w:val="00022867"/>
    <w:rsid w:val="00022AB1"/>
    <w:rsid w:val="00023763"/>
    <w:rsid w:val="00024037"/>
    <w:rsid w:val="00024558"/>
    <w:rsid w:val="00024863"/>
    <w:rsid w:val="00024EB5"/>
    <w:rsid w:val="000253DE"/>
    <w:rsid w:val="00026584"/>
    <w:rsid w:val="000265F7"/>
    <w:rsid w:val="00026BC4"/>
    <w:rsid w:val="00026E17"/>
    <w:rsid w:val="00027002"/>
    <w:rsid w:val="000274B8"/>
    <w:rsid w:val="00030271"/>
    <w:rsid w:val="0003129D"/>
    <w:rsid w:val="000327E0"/>
    <w:rsid w:val="0003293D"/>
    <w:rsid w:val="00033863"/>
    <w:rsid w:val="000359A4"/>
    <w:rsid w:val="00035DC0"/>
    <w:rsid w:val="0003626A"/>
    <w:rsid w:val="00036829"/>
    <w:rsid w:val="0003684B"/>
    <w:rsid w:val="00037CF9"/>
    <w:rsid w:val="00040284"/>
    <w:rsid w:val="00040895"/>
    <w:rsid w:val="00040F51"/>
    <w:rsid w:val="000410A0"/>
    <w:rsid w:val="000414DC"/>
    <w:rsid w:val="000414EA"/>
    <w:rsid w:val="00041DBD"/>
    <w:rsid w:val="00041DD1"/>
    <w:rsid w:val="00042B55"/>
    <w:rsid w:val="000432FF"/>
    <w:rsid w:val="000435EE"/>
    <w:rsid w:val="00043C37"/>
    <w:rsid w:val="00044199"/>
    <w:rsid w:val="00045017"/>
    <w:rsid w:val="0004564B"/>
    <w:rsid w:val="00045A2B"/>
    <w:rsid w:val="00045C20"/>
    <w:rsid w:val="000462AB"/>
    <w:rsid w:val="0004698F"/>
    <w:rsid w:val="00046D64"/>
    <w:rsid w:val="000472A7"/>
    <w:rsid w:val="00047A17"/>
    <w:rsid w:val="00050753"/>
    <w:rsid w:val="000508C2"/>
    <w:rsid w:val="000518BB"/>
    <w:rsid w:val="00051F9F"/>
    <w:rsid w:val="00052325"/>
    <w:rsid w:val="000529C1"/>
    <w:rsid w:val="000539D0"/>
    <w:rsid w:val="00053BEA"/>
    <w:rsid w:val="00054621"/>
    <w:rsid w:val="000546D7"/>
    <w:rsid w:val="00054A8D"/>
    <w:rsid w:val="00054D89"/>
    <w:rsid w:val="0005556B"/>
    <w:rsid w:val="00055FE9"/>
    <w:rsid w:val="00056ECF"/>
    <w:rsid w:val="00057E79"/>
    <w:rsid w:val="00057FC6"/>
    <w:rsid w:val="000604DF"/>
    <w:rsid w:val="0006076B"/>
    <w:rsid w:val="00062324"/>
    <w:rsid w:val="00063ABB"/>
    <w:rsid w:val="000653B5"/>
    <w:rsid w:val="00065E1D"/>
    <w:rsid w:val="00065F33"/>
    <w:rsid w:val="00066360"/>
    <w:rsid w:val="00066AF8"/>
    <w:rsid w:val="0006790C"/>
    <w:rsid w:val="00067E9E"/>
    <w:rsid w:val="00067FAE"/>
    <w:rsid w:val="000702A5"/>
    <w:rsid w:val="00070855"/>
    <w:rsid w:val="00071248"/>
    <w:rsid w:val="0007161B"/>
    <w:rsid w:val="000720B9"/>
    <w:rsid w:val="00072B87"/>
    <w:rsid w:val="00072E10"/>
    <w:rsid w:val="00072E67"/>
    <w:rsid w:val="000737F7"/>
    <w:rsid w:val="00073E97"/>
    <w:rsid w:val="000745DC"/>
    <w:rsid w:val="00074806"/>
    <w:rsid w:val="00075B56"/>
    <w:rsid w:val="0007603E"/>
    <w:rsid w:val="00076362"/>
    <w:rsid w:val="0007672F"/>
    <w:rsid w:val="00076B54"/>
    <w:rsid w:val="00076CAE"/>
    <w:rsid w:val="000774F0"/>
    <w:rsid w:val="00080837"/>
    <w:rsid w:val="00080909"/>
    <w:rsid w:val="000812CA"/>
    <w:rsid w:val="00081E63"/>
    <w:rsid w:val="0008258D"/>
    <w:rsid w:val="00083E99"/>
    <w:rsid w:val="00084FA8"/>
    <w:rsid w:val="0008540A"/>
    <w:rsid w:val="000856C5"/>
    <w:rsid w:val="00085C31"/>
    <w:rsid w:val="00085D29"/>
    <w:rsid w:val="00086168"/>
    <w:rsid w:val="0009005C"/>
    <w:rsid w:val="000902D9"/>
    <w:rsid w:val="000907DF"/>
    <w:rsid w:val="00090C7E"/>
    <w:rsid w:val="000911AC"/>
    <w:rsid w:val="000925CC"/>
    <w:rsid w:val="00092600"/>
    <w:rsid w:val="0009262B"/>
    <w:rsid w:val="00092A6E"/>
    <w:rsid w:val="00093310"/>
    <w:rsid w:val="00093862"/>
    <w:rsid w:val="00093CD3"/>
    <w:rsid w:val="0009445C"/>
    <w:rsid w:val="00095200"/>
    <w:rsid w:val="00095911"/>
    <w:rsid w:val="00095FE5"/>
    <w:rsid w:val="00096284"/>
    <w:rsid w:val="00096332"/>
    <w:rsid w:val="000971C8"/>
    <w:rsid w:val="000A1BC0"/>
    <w:rsid w:val="000A2F9E"/>
    <w:rsid w:val="000A314D"/>
    <w:rsid w:val="000A3290"/>
    <w:rsid w:val="000A3E47"/>
    <w:rsid w:val="000A522B"/>
    <w:rsid w:val="000A598D"/>
    <w:rsid w:val="000A5E21"/>
    <w:rsid w:val="000A6039"/>
    <w:rsid w:val="000A7453"/>
    <w:rsid w:val="000A7BA3"/>
    <w:rsid w:val="000A7D08"/>
    <w:rsid w:val="000B0121"/>
    <w:rsid w:val="000B0208"/>
    <w:rsid w:val="000B0670"/>
    <w:rsid w:val="000B0E75"/>
    <w:rsid w:val="000B14E6"/>
    <w:rsid w:val="000B2476"/>
    <w:rsid w:val="000B2DCB"/>
    <w:rsid w:val="000B5CE0"/>
    <w:rsid w:val="000B6999"/>
    <w:rsid w:val="000B6CAC"/>
    <w:rsid w:val="000B6EB1"/>
    <w:rsid w:val="000B7612"/>
    <w:rsid w:val="000B78AE"/>
    <w:rsid w:val="000C07AB"/>
    <w:rsid w:val="000C080F"/>
    <w:rsid w:val="000C0869"/>
    <w:rsid w:val="000C1D3C"/>
    <w:rsid w:val="000C242D"/>
    <w:rsid w:val="000C310A"/>
    <w:rsid w:val="000C3DF9"/>
    <w:rsid w:val="000C41DA"/>
    <w:rsid w:val="000C423B"/>
    <w:rsid w:val="000C4CF2"/>
    <w:rsid w:val="000C52B6"/>
    <w:rsid w:val="000C6713"/>
    <w:rsid w:val="000C68AD"/>
    <w:rsid w:val="000C6B08"/>
    <w:rsid w:val="000C714E"/>
    <w:rsid w:val="000C7ECA"/>
    <w:rsid w:val="000C7F2F"/>
    <w:rsid w:val="000D122A"/>
    <w:rsid w:val="000D15C8"/>
    <w:rsid w:val="000D1BFC"/>
    <w:rsid w:val="000D1C2C"/>
    <w:rsid w:val="000D1D5D"/>
    <w:rsid w:val="000D1D84"/>
    <w:rsid w:val="000D281A"/>
    <w:rsid w:val="000D2848"/>
    <w:rsid w:val="000D29BC"/>
    <w:rsid w:val="000D2F2F"/>
    <w:rsid w:val="000D326A"/>
    <w:rsid w:val="000D4FA1"/>
    <w:rsid w:val="000D51FB"/>
    <w:rsid w:val="000D6078"/>
    <w:rsid w:val="000D6132"/>
    <w:rsid w:val="000D628E"/>
    <w:rsid w:val="000D6C3F"/>
    <w:rsid w:val="000D6EAE"/>
    <w:rsid w:val="000D703E"/>
    <w:rsid w:val="000E0425"/>
    <w:rsid w:val="000E0640"/>
    <w:rsid w:val="000E0BF1"/>
    <w:rsid w:val="000E10F4"/>
    <w:rsid w:val="000E135D"/>
    <w:rsid w:val="000E1464"/>
    <w:rsid w:val="000E2E47"/>
    <w:rsid w:val="000E2E4B"/>
    <w:rsid w:val="000E2EC1"/>
    <w:rsid w:val="000E333A"/>
    <w:rsid w:val="000E3E18"/>
    <w:rsid w:val="000E3FAD"/>
    <w:rsid w:val="000E51E8"/>
    <w:rsid w:val="000E5C1F"/>
    <w:rsid w:val="000E7ADD"/>
    <w:rsid w:val="000F00BA"/>
    <w:rsid w:val="000F0653"/>
    <w:rsid w:val="000F0B15"/>
    <w:rsid w:val="000F1F18"/>
    <w:rsid w:val="000F316A"/>
    <w:rsid w:val="000F39DA"/>
    <w:rsid w:val="000F3C74"/>
    <w:rsid w:val="000F42BF"/>
    <w:rsid w:val="000F48BC"/>
    <w:rsid w:val="000F4BB8"/>
    <w:rsid w:val="000F4FA9"/>
    <w:rsid w:val="000F53FB"/>
    <w:rsid w:val="000F5564"/>
    <w:rsid w:val="000F7127"/>
    <w:rsid w:val="000F7B54"/>
    <w:rsid w:val="001000B3"/>
    <w:rsid w:val="00100642"/>
    <w:rsid w:val="00100F8A"/>
    <w:rsid w:val="0010357D"/>
    <w:rsid w:val="0010412A"/>
    <w:rsid w:val="001044C1"/>
    <w:rsid w:val="0010452E"/>
    <w:rsid w:val="00104A33"/>
    <w:rsid w:val="00104A4D"/>
    <w:rsid w:val="00104AA5"/>
    <w:rsid w:val="00105AE2"/>
    <w:rsid w:val="00105CEF"/>
    <w:rsid w:val="001060C6"/>
    <w:rsid w:val="00106B80"/>
    <w:rsid w:val="0010739A"/>
    <w:rsid w:val="0010783E"/>
    <w:rsid w:val="0010789B"/>
    <w:rsid w:val="00110006"/>
    <w:rsid w:val="0011032E"/>
    <w:rsid w:val="00110412"/>
    <w:rsid w:val="0011043B"/>
    <w:rsid w:val="001108E3"/>
    <w:rsid w:val="00110F4A"/>
    <w:rsid w:val="0011348B"/>
    <w:rsid w:val="0011385C"/>
    <w:rsid w:val="00115982"/>
    <w:rsid w:val="00116C53"/>
    <w:rsid w:val="00116E14"/>
    <w:rsid w:val="00116E3B"/>
    <w:rsid w:val="001213C6"/>
    <w:rsid w:val="00121799"/>
    <w:rsid w:val="001222FC"/>
    <w:rsid w:val="00122C18"/>
    <w:rsid w:val="00122E80"/>
    <w:rsid w:val="001230EB"/>
    <w:rsid w:val="00123902"/>
    <w:rsid w:val="00124251"/>
    <w:rsid w:val="00124A51"/>
    <w:rsid w:val="00125D06"/>
    <w:rsid w:val="00126621"/>
    <w:rsid w:val="00126B1D"/>
    <w:rsid w:val="001279C0"/>
    <w:rsid w:val="001301E9"/>
    <w:rsid w:val="00130BD3"/>
    <w:rsid w:val="00130F34"/>
    <w:rsid w:val="00131D82"/>
    <w:rsid w:val="001328F0"/>
    <w:rsid w:val="00132B22"/>
    <w:rsid w:val="00132B36"/>
    <w:rsid w:val="00133D36"/>
    <w:rsid w:val="00133FA6"/>
    <w:rsid w:val="0013424A"/>
    <w:rsid w:val="001345B3"/>
    <w:rsid w:val="001357A4"/>
    <w:rsid w:val="001367AD"/>
    <w:rsid w:val="00137645"/>
    <w:rsid w:val="00137AB5"/>
    <w:rsid w:val="00137F63"/>
    <w:rsid w:val="0014015A"/>
    <w:rsid w:val="00140E99"/>
    <w:rsid w:val="00142A45"/>
    <w:rsid w:val="00142C42"/>
    <w:rsid w:val="00143F67"/>
    <w:rsid w:val="00144081"/>
    <w:rsid w:val="0014489E"/>
    <w:rsid w:val="00144A84"/>
    <w:rsid w:val="00145234"/>
    <w:rsid w:val="00145540"/>
    <w:rsid w:val="001456B0"/>
    <w:rsid w:val="0014602F"/>
    <w:rsid w:val="0014640E"/>
    <w:rsid w:val="00146DB9"/>
    <w:rsid w:val="00146DCA"/>
    <w:rsid w:val="001477D2"/>
    <w:rsid w:val="00147CF6"/>
    <w:rsid w:val="00150040"/>
    <w:rsid w:val="001504FC"/>
    <w:rsid w:val="00151D44"/>
    <w:rsid w:val="00153A30"/>
    <w:rsid w:val="001547AB"/>
    <w:rsid w:val="001567D9"/>
    <w:rsid w:val="00156EAD"/>
    <w:rsid w:val="00156F8F"/>
    <w:rsid w:val="00157130"/>
    <w:rsid w:val="001576B1"/>
    <w:rsid w:val="00160115"/>
    <w:rsid w:val="0016047B"/>
    <w:rsid w:val="00160A4C"/>
    <w:rsid w:val="00161AFA"/>
    <w:rsid w:val="00162913"/>
    <w:rsid w:val="00163771"/>
    <w:rsid w:val="00163D30"/>
    <w:rsid w:val="00163EFF"/>
    <w:rsid w:val="00163F66"/>
    <w:rsid w:val="00164446"/>
    <w:rsid w:val="00164566"/>
    <w:rsid w:val="0016478E"/>
    <w:rsid w:val="001659F3"/>
    <w:rsid w:val="00165DD6"/>
    <w:rsid w:val="00165EC4"/>
    <w:rsid w:val="001661FB"/>
    <w:rsid w:val="00166815"/>
    <w:rsid w:val="001671A0"/>
    <w:rsid w:val="0016767F"/>
    <w:rsid w:val="00167BB9"/>
    <w:rsid w:val="00167C47"/>
    <w:rsid w:val="00171EB9"/>
    <w:rsid w:val="00172507"/>
    <w:rsid w:val="00172997"/>
    <w:rsid w:val="00172C7A"/>
    <w:rsid w:val="0017310F"/>
    <w:rsid w:val="001733A1"/>
    <w:rsid w:val="00173565"/>
    <w:rsid w:val="00173B07"/>
    <w:rsid w:val="00173E88"/>
    <w:rsid w:val="001740CE"/>
    <w:rsid w:val="00174257"/>
    <w:rsid w:val="0017517D"/>
    <w:rsid w:val="001751FA"/>
    <w:rsid w:val="00175D50"/>
    <w:rsid w:val="00176873"/>
    <w:rsid w:val="001770CA"/>
    <w:rsid w:val="00177466"/>
    <w:rsid w:val="001819C8"/>
    <w:rsid w:val="00181C10"/>
    <w:rsid w:val="00181D9C"/>
    <w:rsid w:val="001835B8"/>
    <w:rsid w:val="001837FF"/>
    <w:rsid w:val="0018381D"/>
    <w:rsid w:val="001839A8"/>
    <w:rsid w:val="00183ABF"/>
    <w:rsid w:val="00183D9E"/>
    <w:rsid w:val="00184B0E"/>
    <w:rsid w:val="0018752F"/>
    <w:rsid w:val="0018771A"/>
    <w:rsid w:val="00187B99"/>
    <w:rsid w:val="001901CE"/>
    <w:rsid w:val="001908F9"/>
    <w:rsid w:val="00191497"/>
    <w:rsid w:val="001926D6"/>
    <w:rsid w:val="00193838"/>
    <w:rsid w:val="00193984"/>
    <w:rsid w:val="00193C4C"/>
    <w:rsid w:val="00194433"/>
    <w:rsid w:val="00194AD8"/>
    <w:rsid w:val="00194DC3"/>
    <w:rsid w:val="001950A1"/>
    <w:rsid w:val="00195222"/>
    <w:rsid w:val="00195452"/>
    <w:rsid w:val="00195AA4"/>
    <w:rsid w:val="001975D8"/>
    <w:rsid w:val="001976D3"/>
    <w:rsid w:val="001A0224"/>
    <w:rsid w:val="001A05F3"/>
    <w:rsid w:val="001A101E"/>
    <w:rsid w:val="001A178E"/>
    <w:rsid w:val="001A19B2"/>
    <w:rsid w:val="001A2B51"/>
    <w:rsid w:val="001A43FA"/>
    <w:rsid w:val="001A47C5"/>
    <w:rsid w:val="001A4C0C"/>
    <w:rsid w:val="001A4E66"/>
    <w:rsid w:val="001A529F"/>
    <w:rsid w:val="001A59FB"/>
    <w:rsid w:val="001A5E3B"/>
    <w:rsid w:val="001A5E9E"/>
    <w:rsid w:val="001A5EA4"/>
    <w:rsid w:val="001A6131"/>
    <w:rsid w:val="001A6354"/>
    <w:rsid w:val="001A6366"/>
    <w:rsid w:val="001A647A"/>
    <w:rsid w:val="001A6502"/>
    <w:rsid w:val="001A754D"/>
    <w:rsid w:val="001A7938"/>
    <w:rsid w:val="001A7AE8"/>
    <w:rsid w:val="001B0F47"/>
    <w:rsid w:val="001B1C7D"/>
    <w:rsid w:val="001B204E"/>
    <w:rsid w:val="001B2372"/>
    <w:rsid w:val="001B3443"/>
    <w:rsid w:val="001B39CF"/>
    <w:rsid w:val="001B4D20"/>
    <w:rsid w:val="001B542E"/>
    <w:rsid w:val="001B7F84"/>
    <w:rsid w:val="001C0C60"/>
    <w:rsid w:val="001C1C7A"/>
    <w:rsid w:val="001C260B"/>
    <w:rsid w:val="001C2A9B"/>
    <w:rsid w:val="001C3DD6"/>
    <w:rsid w:val="001C4299"/>
    <w:rsid w:val="001C4874"/>
    <w:rsid w:val="001C5139"/>
    <w:rsid w:val="001C52CC"/>
    <w:rsid w:val="001C5A77"/>
    <w:rsid w:val="001C5B1D"/>
    <w:rsid w:val="001C5F94"/>
    <w:rsid w:val="001C6E66"/>
    <w:rsid w:val="001C7DBB"/>
    <w:rsid w:val="001D0BD5"/>
    <w:rsid w:val="001D1100"/>
    <w:rsid w:val="001D1391"/>
    <w:rsid w:val="001D195F"/>
    <w:rsid w:val="001D1E88"/>
    <w:rsid w:val="001D25D7"/>
    <w:rsid w:val="001D30DF"/>
    <w:rsid w:val="001D3D51"/>
    <w:rsid w:val="001D44B4"/>
    <w:rsid w:val="001D4F89"/>
    <w:rsid w:val="001D50B2"/>
    <w:rsid w:val="001D5D28"/>
    <w:rsid w:val="001D5D68"/>
    <w:rsid w:val="001D5F92"/>
    <w:rsid w:val="001D71F4"/>
    <w:rsid w:val="001D75F5"/>
    <w:rsid w:val="001D7645"/>
    <w:rsid w:val="001E009C"/>
    <w:rsid w:val="001E0981"/>
    <w:rsid w:val="001E0C8B"/>
    <w:rsid w:val="001E19D2"/>
    <w:rsid w:val="001E1E86"/>
    <w:rsid w:val="001E238E"/>
    <w:rsid w:val="001E2483"/>
    <w:rsid w:val="001E2B1E"/>
    <w:rsid w:val="001E2CFF"/>
    <w:rsid w:val="001E2F24"/>
    <w:rsid w:val="001E30D4"/>
    <w:rsid w:val="001E30F9"/>
    <w:rsid w:val="001E34DF"/>
    <w:rsid w:val="001E3A9A"/>
    <w:rsid w:val="001E4840"/>
    <w:rsid w:val="001E48F3"/>
    <w:rsid w:val="001E4DF9"/>
    <w:rsid w:val="001E52EB"/>
    <w:rsid w:val="001E61D2"/>
    <w:rsid w:val="001E62DD"/>
    <w:rsid w:val="001E688D"/>
    <w:rsid w:val="001E6F9C"/>
    <w:rsid w:val="001E740C"/>
    <w:rsid w:val="001F1235"/>
    <w:rsid w:val="001F1741"/>
    <w:rsid w:val="001F17A2"/>
    <w:rsid w:val="001F1A34"/>
    <w:rsid w:val="001F1CB3"/>
    <w:rsid w:val="001F2E47"/>
    <w:rsid w:val="001F3330"/>
    <w:rsid w:val="001F3593"/>
    <w:rsid w:val="001F38B5"/>
    <w:rsid w:val="001F4081"/>
    <w:rsid w:val="001F4469"/>
    <w:rsid w:val="001F44D6"/>
    <w:rsid w:val="001F46EB"/>
    <w:rsid w:val="001F4DAC"/>
    <w:rsid w:val="001F61C9"/>
    <w:rsid w:val="001F7361"/>
    <w:rsid w:val="001F73A6"/>
    <w:rsid w:val="001F7A2A"/>
    <w:rsid w:val="001F7CF2"/>
    <w:rsid w:val="002001C4"/>
    <w:rsid w:val="00200AFD"/>
    <w:rsid w:val="002011B0"/>
    <w:rsid w:val="00201761"/>
    <w:rsid w:val="00201E10"/>
    <w:rsid w:val="0020282E"/>
    <w:rsid w:val="00203181"/>
    <w:rsid w:val="00203763"/>
    <w:rsid w:val="00203783"/>
    <w:rsid w:val="0020385F"/>
    <w:rsid w:val="00203C8F"/>
    <w:rsid w:val="00205237"/>
    <w:rsid w:val="002052FA"/>
    <w:rsid w:val="0020624C"/>
    <w:rsid w:val="002068A0"/>
    <w:rsid w:val="00207021"/>
    <w:rsid w:val="0020732F"/>
    <w:rsid w:val="00207D00"/>
    <w:rsid w:val="0021006B"/>
    <w:rsid w:val="002105C1"/>
    <w:rsid w:val="002116FD"/>
    <w:rsid w:val="00212D14"/>
    <w:rsid w:val="00213025"/>
    <w:rsid w:val="00213EF5"/>
    <w:rsid w:val="00215246"/>
    <w:rsid w:val="002161D5"/>
    <w:rsid w:val="00216BF5"/>
    <w:rsid w:val="0022026B"/>
    <w:rsid w:val="00220855"/>
    <w:rsid w:val="00220F7C"/>
    <w:rsid w:val="0022118A"/>
    <w:rsid w:val="002211AD"/>
    <w:rsid w:val="00221B1E"/>
    <w:rsid w:val="00221EEC"/>
    <w:rsid w:val="002230AA"/>
    <w:rsid w:val="0022351E"/>
    <w:rsid w:val="00223987"/>
    <w:rsid w:val="00223B49"/>
    <w:rsid w:val="00223D5A"/>
    <w:rsid w:val="00223E34"/>
    <w:rsid w:val="002246AF"/>
    <w:rsid w:val="0022470A"/>
    <w:rsid w:val="00224DD4"/>
    <w:rsid w:val="00225C58"/>
    <w:rsid w:val="002278A0"/>
    <w:rsid w:val="00227AA9"/>
    <w:rsid w:val="00227C95"/>
    <w:rsid w:val="0023066D"/>
    <w:rsid w:val="002309CC"/>
    <w:rsid w:val="002312E1"/>
    <w:rsid w:val="002318FF"/>
    <w:rsid w:val="00231BA9"/>
    <w:rsid w:val="0023209F"/>
    <w:rsid w:val="002326AF"/>
    <w:rsid w:val="002327A8"/>
    <w:rsid w:val="00233B6F"/>
    <w:rsid w:val="00233C01"/>
    <w:rsid w:val="0023413C"/>
    <w:rsid w:val="002346F0"/>
    <w:rsid w:val="00234B1E"/>
    <w:rsid w:val="002354A1"/>
    <w:rsid w:val="002356B2"/>
    <w:rsid w:val="0023629D"/>
    <w:rsid w:val="002363DF"/>
    <w:rsid w:val="00236945"/>
    <w:rsid w:val="00236BC9"/>
    <w:rsid w:val="00237255"/>
    <w:rsid w:val="002416E3"/>
    <w:rsid w:val="00241776"/>
    <w:rsid w:val="0024192F"/>
    <w:rsid w:val="00241A2D"/>
    <w:rsid w:val="00241FF5"/>
    <w:rsid w:val="002424AF"/>
    <w:rsid w:val="002426D0"/>
    <w:rsid w:val="00242BF4"/>
    <w:rsid w:val="002439DC"/>
    <w:rsid w:val="002441D2"/>
    <w:rsid w:val="002442C6"/>
    <w:rsid w:val="00244DC8"/>
    <w:rsid w:val="002458BA"/>
    <w:rsid w:val="00245CE9"/>
    <w:rsid w:val="0024636C"/>
    <w:rsid w:val="00247925"/>
    <w:rsid w:val="00247C95"/>
    <w:rsid w:val="00247DE8"/>
    <w:rsid w:val="00250026"/>
    <w:rsid w:val="002503CB"/>
    <w:rsid w:val="00250C57"/>
    <w:rsid w:val="00251006"/>
    <w:rsid w:val="002512E6"/>
    <w:rsid w:val="00252464"/>
    <w:rsid w:val="002524D5"/>
    <w:rsid w:val="00252D1F"/>
    <w:rsid w:val="002530F0"/>
    <w:rsid w:val="00253733"/>
    <w:rsid w:val="00253B1D"/>
    <w:rsid w:val="00254CDE"/>
    <w:rsid w:val="00254DCF"/>
    <w:rsid w:val="0025534B"/>
    <w:rsid w:val="0025583E"/>
    <w:rsid w:val="00255A28"/>
    <w:rsid w:val="00255BB7"/>
    <w:rsid w:val="0025634C"/>
    <w:rsid w:val="00256B93"/>
    <w:rsid w:val="00256FF8"/>
    <w:rsid w:val="00257541"/>
    <w:rsid w:val="0025786F"/>
    <w:rsid w:val="00257A39"/>
    <w:rsid w:val="00257AC4"/>
    <w:rsid w:val="00257BBE"/>
    <w:rsid w:val="002610AC"/>
    <w:rsid w:val="0026174A"/>
    <w:rsid w:val="00261EEF"/>
    <w:rsid w:val="002628A9"/>
    <w:rsid w:val="00262A1A"/>
    <w:rsid w:val="00262A87"/>
    <w:rsid w:val="0026366E"/>
    <w:rsid w:val="00264D26"/>
    <w:rsid w:val="00264D92"/>
    <w:rsid w:val="002654A5"/>
    <w:rsid w:val="00265DB0"/>
    <w:rsid w:val="00266AB7"/>
    <w:rsid w:val="00267642"/>
    <w:rsid w:val="00267AEA"/>
    <w:rsid w:val="002700E6"/>
    <w:rsid w:val="00270C2A"/>
    <w:rsid w:val="002712AD"/>
    <w:rsid w:val="002715CC"/>
    <w:rsid w:val="00271650"/>
    <w:rsid w:val="00272525"/>
    <w:rsid w:val="0027294B"/>
    <w:rsid w:val="00272F75"/>
    <w:rsid w:val="002733E0"/>
    <w:rsid w:val="00273EB4"/>
    <w:rsid w:val="00274682"/>
    <w:rsid w:val="00274955"/>
    <w:rsid w:val="00274ADA"/>
    <w:rsid w:val="00275158"/>
    <w:rsid w:val="00275A1B"/>
    <w:rsid w:val="00275C5A"/>
    <w:rsid w:val="00276A9A"/>
    <w:rsid w:val="00277670"/>
    <w:rsid w:val="0028029F"/>
    <w:rsid w:val="002803FC"/>
    <w:rsid w:val="00281014"/>
    <w:rsid w:val="002814B4"/>
    <w:rsid w:val="00281CCF"/>
    <w:rsid w:val="00282525"/>
    <w:rsid w:val="00283336"/>
    <w:rsid w:val="002844FF"/>
    <w:rsid w:val="0028490B"/>
    <w:rsid w:val="00284C08"/>
    <w:rsid w:val="00284E41"/>
    <w:rsid w:val="00285858"/>
    <w:rsid w:val="00285BCE"/>
    <w:rsid w:val="0028665D"/>
    <w:rsid w:val="00286DCA"/>
    <w:rsid w:val="002878FA"/>
    <w:rsid w:val="0029060E"/>
    <w:rsid w:val="00291C05"/>
    <w:rsid w:val="002924F1"/>
    <w:rsid w:val="0029279E"/>
    <w:rsid w:val="00293858"/>
    <w:rsid w:val="00296DCF"/>
    <w:rsid w:val="00297BFB"/>
    <w:rsid w:val="00297C66"/>
    <w:rsid w:val="002A0589"/>
    <w:rsid w:val="002A0F6F"/>
    <w:rsid w:val="002A14AB"/>
    <w:rsid w:val="002A2615"/>
    <w:rsid w:val="002A2ADE"/>
    <w:rsid w:val="002A2F50"/>
    <w:rsid w:val="002A3339"/>
    <w:rsid w:val="002A3579"/>
    <w:rsid w:val="002A3732"/>
    <w:rsid w:val="002A3E62"/>
    <w:rsid w:val="002A409A"/>
    <w:rsid w:val="002A4225"/>
    <w:rsid w:val="002A45AE"/>
    <w:rsid w:val="002A4D3A"/>
    <w:rsid w:val="002A539B"/>
    <w:rsid w:val="002A5F37"/>
    <w:rsid w:val="002A7169"/>
    <w:rsid w:val="002A7943"/>
    <w:rsid w:val="002B05A1"/>
    <w:rsid w:val="002B09A4"/>
    <w:rsid w:val="002B0E39"/>
    <w:rsid w:val="002B1C1F"/>
    <w:rsid w:val="002B2755"/>
    <w:rsid w:val="002B28A1"/>
    <w:rsid w:val="002B2BD4"/>
    <w:rsid w:val="002B3785"/>
    <w:rsid w:val="002B4037"/>
    <w:rsid w:val="002B432F"/>
    <w:rsid w:val="002B4C3F"/>
    <w:rsid w:val="002B62B3"/>
    <w:rsid w:val="002B6754"/>
    <w:rsid w:val="002B68E1"/>
    <w:rsid w:val="002B6CCE"/>
    <w:rsid w:val="002C05E3"/>
    <w:rsid w:val="002C077A"/>
    <w:rsid w:val="002C07AB"/>
    <w:rsid w:val="002C08CC"/>
    <w:rsid w:val="002C0E96"/>
    <w:rsid w:val="002C0FC2"/>
    <w:rsid w:val="002C2510"/>
    <w:rsid w:val="002C2775"/>
    <w:rsid w:val="002C27C1"/>
    <w:rsid w:val="002C2D6D"/>
    <w:rsid w:val="002C317A"/>
    <w:rsid w:val="002C33E5"/>
    <w:rsid w:val="002C3517"/>
    <w:rsid w:val="002C36E3"/>
    <w:rsid w:val="002C37C5"/>
    <w:rsid w:val="002C3811"/>
    <w:rsid w:val="002C3998"/>
    <w:rsid w:val="002C3AB8"/>
    <w:rsid w:val="002C3C71"/>
    <w:rsid w:val="002C4158"/>
    <w:rsid w:val="002C4E34"/>
    <w:rsid w:val="002C5099"/>
    <w:rsid w:val="002C5889"/>
    <w:rsid w:val="002C6B8A"/>
    <w:rsid w:val="002C71CE"/>
    <w:rsid w:val="002C7A5D"/>
    <w:rsid w:val="002C7C81"/>
    <w:rsid w:val="002C7DDF"/>
    <w:rsid w:val="002D0742"/>
    <w:rsid w:val="002D0859"/>
    <w:rsid w:val="002D08F8"/>
    <w:rsid w:val="002D0AAA"/>
    <w:rsid w:val="002D0FA3"/>
    <w:rsid w:val="002D252D"/>
    <w:rsid w:val="002D2B5F"/>
    <w:rsid w:val="002D2DC3"/>
    <w:rsid w:val="002D577C"/>
    <w:rsid w:val="002D6DDD"/>
    <w:rsid w:val="002D7198"/>
    <w:rsid w:val="002D7832"/>
    <w:rsid w:val="002E04A1"/>
    <w:rsid w:val="002E0FBD"/>
    <w:rsid w:val="002E1071"/>
    <w:rsid w:val="002E13EC"/>
    <w:rsid w:val="002E15B9"/>
    <w:rsid w:val="002E2158"/>
    <w:rsid w:val="002E219A"/>
    <w:rsid w:val="002E312A"/>
    <w:rsid w:val="002E38E2"/>
    <w:rsid w:val="002E4DDE"/>
    <w:rsid w:val="002E4EF4"/>
    <w:rsid w:val="002E4F02"/>
    <w:rsid w:val="002E757E"/>
    <w:rsid w:val="002E7722"/>
    <w:rsid w:val="002E7B68"/>
    <w:rsid w:val="002F07BA"/>
    <w:rsid w:val="002F0DA9"/>
    <w:rsid w:val="002F1014"/>
    <w:rsid w:val="002F1E3B"/>
    <w:rsid w:val="002F29CE"/>
    <w:rsid w:val="002F3872"/>
    <w:rsid w:val="002F40B4"/>
    <w:rsid w:val="002F517B"/>
    <w:rsid w:val="002F643C"/>
    <w:rsid w:val="002F71C0"/>
    <w:rsid w:val="002F73A0"/>
    <w:rsid w:val="002F74F1"/>
    <w:rsid w:val="002F77E6"/>
    <w:rsid w:val="0030012C"/>
    <w:rsid w:val="00301017"/>
    <w:rsid w:val="0030155F"/>
    <w:rsid w:val="003021A7"/>
    <w:rsid w:val="003028AA"/>
    <w:rsid w:val="00303807"/>
    <w:rsid w:val="003040E7"/>
    <w:rsid w:val="00304769"/>
    <w:rsid w:val="00304B0B"/>
    <w:rsid w:val="0030561A"/>
    <w:rsid w:val="0030587B"/>
    <w:rsid w:val="0030647B"/>
    <w:rsid w:val="00306D98"/>
    <w:rsid w:val="0030786C"/>
    <w:rsid w:val="00307F98"/>
    <w:rsid w:val="0031031A"/>
    <w:rsid w:val="00310981"/>
    <w:rsid w:val="00311D9B"/>
    <w:rsid w:val="003124D9"/>
    <w:rsid w:val="00312594"/>
    <w:rsid w:val="00312BAC"/>
    <w:rsid w:val="0031305C"/>
    <w:rsid w:val="0031316F"/>
    <w:rsid w:val="00315498"/>
    <w:rsid w:val="00315613"/>
    <w:rsid w:val="00315E8F"/>
    <w:rsid w:val="00316474"/>
    <w:rsid w:val="00316ED8"/>
    <w:rsid w:val="003206DA"/>
    <w:rsid w:val="00320CA8"/>
    <w:rsid w:val="0032109B"/>
    <w:rsid w:val="00322107"/>
    <w:rsid w:val="00322355"/>
    <w:rsid w:val="0032235C"/>
    <w:rsid w:val="003224A7"/>
    <w:rsid w:val="00322846"/>
    <w:rsid w:val="00322B77"/>
    <w:rsid w:val="00322C33"/>
    <w:rsid w:val="003243ED"/>
    <w:rsid w:val="00325B3D"/>
    <w:rsid w:val="00325D66"/>
    <w:rsid w:val="00326311"/>
    <w:rsid w:val="0032657B"/>
    <w:rsid w:val="00326B87"/>
    <w:rsid w:val="00326DA7"/>
    <w:rsid w:val="003270E4"/>
    <w:rsid w:val="00327625"/>
    <w:rsid w:val="00330DAA"/>
    <w:rsid w:val="00330F5C"/>
    <w:rsid w:val="0033123F"/>
    <w:rsid w:val="00332057"/>
    <w:rsid w:val="003325E9"/>
    <w:rsid w:val="003338D3"/>
    <w:rsid w:val="00333F8D"/>
    <w:rsid w:val="00334927"/>
    <w:rsid w:val="0033510B"/>
    <w:rsid w:val="00335758"/>
    <w:rsid w:val="003366C9"/>
    <w:rsid w:val="00336B71"/>
    <w:rsid w:val="003371B0"/>
    <w:rsid w:val="0033745C"/>
    <w:rsid w:val="00340979"/>
    <w:rsid w:val="00340DF1"/>
    <w:rsid w:val="0034120A"/>
    <w:rsid w:val="00342993"/>
    <w:rsid w:val="003436D2"/>
    <w:rsid w:val="0034389D"/>
    <w:rsid w:val="00344191"/>
    <w:rsid w:val="00344696"/>
    <w:rsid w:val="003446C7"/>
    <w:rsid w:val="0034597B"/>
    <w:rsid w:val="0034735E"/>
    <w:rsid w:val="00347E77"/>
    <w:rsid w:val="003502E6"/>
    <w:rsid w:val="003517F9"/>
    <w:rsid w:val="00351BA9"/>
    <w:rsid w:val="00352EC5"/>
    <w:rsid w:val="00353494"/>
    <w:rsid w:val="00353C18"/>
    <w:rsid w:val="00353F97"/>
    <w:rsid w:val="003544B6"/>
    <w:rsid w:val="003549B3"/>
    <w:rsid w:val="00354F64"/>
    <w:rsid w:val="00355DB6"/>
    <w:rsid w:val="0035620E"/>
    <w:rsid w:val="003565C0"/>
    <w:rsid w:val="00356650"/>
    <w:rsid w:val="00357447"/>
    <w:rsid w:val="003575BE"/>
    <w:rsid w:val="00360345"/>
    <w:rsid w:val="00360938"/>
    <w:rsid w:val="0036106F"/>
    <w:rsid w:val="00361A05"/>
    <w:rsid w:val="00361E4E"/>
    <w:rsid w:val="003624C4"/>
    <w:rsid w:val="00363B00"/>
    <w:rsid w:val="003654AC"/>
    <w:rsid w:val="00366913"/>
    <w:rsid w:val="0037036F"/>
    <w:rsid w:val="00370E91"/>
    <w:rsid w:val="003710CF"/>
    <w:rsid w:val="00372471"/>
    <w:rsid w:val="0037327D"/>
    <w:rsid w:val="0037358A"/>
    <w:rsid w:val="003743F4"/>
    <w:rsid w:val="003750F6"/>
    <w:rsid w:val="003751D5"/>
    <w:rsid w:val="00375A90"/>
    <w:rsid w:val="00375E6E"/>
    <w:rsid w:val="003760FC"/>
    <w:rsid w:val="00376B9A"/>
    <w:rsid w:val="00377203"/>
    <w:rsid w:val="003772B4"/>
    <w:rsid w:val="003773E5"/>
    <w:rsid w:val="00380759"/>
    <w:rsid w:val="0038197A"/>
    <w:rsid w:val="00382741"/>
    <w:rsid w:val="0038365C"/>
    <w:rsid w:val="0038369B"/>
    <w:rsid w:val="00383B37"/>
    <w:rsid w:val="00383B78"/>
    <w:rsid w:val="00384BF6"/>
    <w:rsid w:val="003853BC"/>
    <w:rsid w:val="00385A9D"/>
    <w:rsid w:val="00386444"/>
    <w:rsid w:val="003864C2"/>
    <w:rsid w:val="00386BA6"/>
    <w:rsid w:val="00387121"/>
    <w:rsid w:val="003902B1"/>
    <w:rsid w:val="0039063C"/>
    <w:rsid w:val="00390D99"/>
    <w:rsid w:val="00391573"/>
    <w:rsid w:val="0039179C"/>
    <w:rsid w:val="0039203D"/>
    <w:rsid w:val="003923F4"/>
    <w:rsid w:val="00392D1C"/>
    <w:rsid w:val="00394506"/>
    <w:rsid w:val="00394CFE"/>
    <w:rsid w:val="003956E7"/>
    <w:rsid w:val="00395EDD"/>
    <w:rsid w:val="00396896"/>
    <w:rsid w:val="00396FD0"/>
    <w:rsid w:val="0039771E"/>
    <w:rsid w:val="00397C09"/>
    <w:rsid w:val="003A0E77"/>
    <w:rsid w:val="003A1A7A"/>
    <w:rsid w:val="003A2392"/>
    <w:rsid w:val="003A2655"/>
    <w:rsid w:val="003A2831"/>
    <w:rsid w:val="003A291A"/>
    <w:rsid w:val="003A31D4"/>
    <w:rsid w:val="003A3287"/>
    <w:rsid w:val="003A3CB6"/>
    <w:rsid w:val="003A3ED1"/>
    <w:rsid w:val="003A44DB"/>
    <w:rsid w:val="003A4919"/>
    <w:rsid w:val="003A4AC9"/>
    <w:rsid w:val="003A4C14"/>
    <w:rsid w:val="003A5385"/>
    <w:rsid w:val="003A6049"/>
    <w:rsid w:val="003A7078"/>
    <w:rsid w:val="003A7445"/>
    <w:rsid w:val="003B06B4"/>
    <w:rsid w:val="003B07DB"/>
    <w:rsid w:val="003B1C47"/>
    <w:rsid w:val="003B2F32"/>
    <w:rsid w:val="003B3843"/>
    <w:rsid w:val="003B3971"/>
    <w:rsid w:val="003B4ACC"/>
    <w:rsid w:val="003B529A"/>
    <w:rsid w:val="003B53E0"/>
    <w:rsid w:val="003B55D1"/>
    <w:rsid w:val="003B5B61"/>
    <w:rsid w:val="003B5D49"/>
    <w:rsid w:val="003B6D84"/>
    <w:rsid w:val="003C1654"/>
    <w:rsid w:val="003C1BA1"/>
    <w:rsid w:val="003C2553"/>
    <w:rsid w:val="003C25C2"/>
    <w:rsid w:val="003C2705"/>
    <w:rsid w:val="003C31F2"/>
    <w:rsid w:val="003C3463"/>
    <w:rsid w:val="003C3F76"/>
    <w:rsid w:val="003C3F91"/>
    <w:rsid w:val="003C3FFA"/>
    <w:rsid w:val="003C4379"/>
    <w:rsid w:val="003C4C07"/>
    <w:rsid w:val="003C5542"/>
    <w:rsid w:val="003C597B"/>
    <w:rsid w:val="003C6641"/>
    <w:rsid w:val="003C68FC"/>
    <w:rsid w:val="003C712E"/>
    <w:rsid w:val="003C7A47"/>
    <w:rsid w:val="003C7B0A"/>
    <w:rsid w:val="003C7C15"/>
    <w:rsid w:val="003C7D19"/>
    <w:rsid w:val="003C7D2F"/>
    <w:rsid w:val="003D023E"/>
    <w:rsid w:val="003D0C3B"/>
    <w:rsid w:val="003D0C5A"/>
    <w:rsid w:val="003D13CA"/>
    <w:rsid w:val="003D1828"/>
    <w:rsid w:val="003D1DE4"/>
    <w:rsid w:val="003D1E9A"/>
    <w:rsid w:val="003D1FFC"/>
    <w:rsid w:val="003D2422"/>
    <w:rsid w:val="003D39A1"/>
    <w:rsid w:val="003D3FBF"/>
    <w:rsid w:val="003D4725"/>
    <w:rsid w:val="003D4812"/>
    <w:rsid w:val="003D4A30"/>
    <w:rsid w:val="003D6DB0"/>
    <w:rsid w:val="003D732D"/>
    <w:rsid w:val="003D7452"/>
    <w:rsid w:val="003D76FB"/>
    <w:rsid w:val="003D79BB"/>
    <w:rsid w:val="003D7C98"/>
    <w:rsid w:val="003D7CA6"/>
    <w:rsid w:val="003D7D9D"/>
    <w:rsid w:val="003E003F"/>
    <w:rsid w:val="003E0543"/>
    <w:rsid w:val="003E3761"/>
    <w:rsid w:val="003E37EC"/>
    <w:rsid w:val="003E3884"/>
    <w:rsid w:val="003E3CD3"/>
    <w:rsid w:val="003E4DF8"/>
    <w:rsid w:val="003E5603"/>
    <w:rsid w:val="003E5CCA"/>
    <w:rsid w:val="003E69BB"/>
    <w:rsid w:val="003E6CFD"/>
    <w:rsid w:val="003E70C0"/>
    <w:rsid w:val="003E749E"/>
    <w:rsid w:val="003F0798"/>
    <w:rsid w:val="003F07C4"/>
    <w:rsid w:val="003F1B78"/>
    <w:rsid w:val="003F1D58"/>
    <w:rsid w:val="003F2772"/>
    <w:rsid w:val="003F2F86"/>
    <w:rsid w:val="003F407B"/>
    <w:rsid w:val="003F4156"/>
    <w:rsid w:val="003F4B05"/>
    <w:rsid w:val="003F5902"/>
    <w:rsid w:val="003F5ADF"/>
    <w:rsid w:val="003F6076"/>
    <w:rsid w:val="003F70F4"/>
    <w:rsid w:val="00400B29"/>
    <w:rsid w:val="00402499"/>
    <w:rsid w:val="00402812"/>
    <w:rsid w:val="00403BC9"/>
    <w:rsid w:val="0040494B"/>
    <w:rsid w:val="0040504B"/>
    <w:rsid w:val="004054B9"/>
    <w:rsid w:val="00405556"/>
    <w:rsid w:val="004059F4"/>
    <w:rsid w:val="00407FE5"/>
    <w:rsid w:val="004101B0"/>
    <w:rsid w:val="00410326"/>
    <w:rsid w:val="00410708"/>
    <w:rsid w:val="00410EC7"/>
    <w:rsid w:val="00411B39"/>
    <w:rsid w:val="004127A7"/>
    <w:rsid w:val="00413375"/>
    <w:rsid w:val="00413777"/>
    <w:rsid w:val="00413A1E"/>
    <w:rsid w:val="0041414D"/>
    <w:rsid w:val="00414476"/>
    <w:rsid w:val="004144CE"/>
    <w:rsid w:val="00414B57"/>
    <w:rsid w:val="00414C2E"/>
    <w:rsid w:val="00414F02"/>
    <w:rsid w:val="004151CF"/>
    <w:rsid w:val="00415F3E"/>
    <w:rsid w:val="00416364"/>
    <w:rsid w:val="00416C39"/>
    <w:rsid w:val="00416D7D"/>
    <w:rsid w:val="00417EFA"/>
    <w:rsid w:val="0042047F"/>
    <w:rsid w:val="00420AA6"/>
    <w:rsid w:val="00420B9F"/>
    <w:rsid w:val="0042116E"/>
    <w:rsid w:val="0042192C"/>
    <w:rsid w:val="00421D6F"/>
    <w:rsid w:val="00421FE8"/>
    <w:rsid w:val="00422260"/>
    <w:rsid w:val="00422F00"/>
    <w:rsid w:val="0042413F"/>
    <w:rsid w:val="00424888"/>
    <w:rsid w:val="00424EA9"/>
    <w:rsid w:val="0042519D"/>
    <w:rsid w:val="004256B9"/>
    <w:rsid w:val="00430878"/>
    <w:rsid w:val="004319F8"/>
    <w:rsid w:val="00431E55"/>
    <w:rsid w:val="004321F6"/>
    <w:rsid w:val="00432271"/>
    <w:rsid w:val="00433044"/>
    <w:rsid w:val="00433761"/>
    <w:rsid w:val="00434088"/>
    <w:rsid w:val="00434506"/>
    <w:rsid w:val="004350EF"/>
    <w:rsid w:val="00435472"/>
    <w:rsid w:val="00436C1F"/>
    <w:rsid w:val="004375B9"/>
    <w:rsid w:val="004428D0"/>
    <w:rsid w:val="00443040"/>
    <w:rsid w:val="0044357F"/>
    <w:rsid w:val="00444185"/>
    <w:rsid w:val="004443A7"/>
    <w:rsid w:val="0044442C"/>
    <w:rsid w:val="00444724"/>
    <w:rsid w:val="00445941"/>
    <w:rsid w:val="004462DF"/>
    <w:rsid w:val="004464EB"/>
    <w:rsid w:val="00446D59"/>
    <w:rsid w:val="00446E0B"/>
    <w:rsid w:val="00447305"/>
    <w:rsid w:val="004474F6"/>
    <w:rsid w:val="00447D26"/>
    <w:rsid w:val="00447DF4"/>
    <w:rsid w:val="00447DFC"/>
    <w:rsid w:val="00447ED6"/>
    <w:rsid w:val="00450BC6"/>
    <w:rsid w:val="00452721"/>
    <w:rsid w:val="00455D45"/>
    <w:rsid w:val="00457B5B"/>
    <w:rsid w:val="00460DB9"/>
    <w:rsid w:val="004620C3"/>
    <w:rsid w:val="004623C5"/>
    <w:rsid w:val="004625BA"/>
    <w:rsid w:val="00462A77"/>
    <w:rsid w:val="0046389C"/>
    <w:rsid w:val="00464595"/>
    <w:rsid w:val="00465342"/>
    <w:rsid w:val="004657D4"/>
    <w:rsid w:val="004658B5"/>
    <w:rsid w:val="00466BC3"/>
    <w:rsid w:val="004703E5"/>
    <w:rsid w:val="00471691"/>
    <w:rsid w:val="00471EA5"/>
    <w:rsid w:val="004723A7"/>
    <w:rsid w:val="00472A79"/>
    <w:rsid w:val="004736A5"/>
    <w:rsid w:val="00473AAD"/>
    <w:rsid w:val="00473D4C"/>
    <w:rsid w:val="00473F19"/>
    <w:rsid w:val="00474743"/>
    <w:rsid w:val="00474849"/>
    <w:rsid w:val="004755B1"/>
    <w:rsid w:val="00475E22"/>
    <w:rsid w:val="00476625"/>
    <w:rsid w:val="00476E55"/>
    <w:rsid w:val="004801F0"/>
    <w:rsid w:val="0048054B"/>
    <w:rsid w:val="0048088E"/>
    <w:rsid w:val="00480D20"/>
    <w:rsid w:val="00480F2B"/>
    <w:rsid w:val="00482720"/>
    <w:rsid w:val="00483056"/>
    <w:rsid w:val="004835E7"/>
    <w:rsid w:val="00483DA3"/>
    <w:rsid w:val="004840DD"/>
    <w:rsid w:val="004859E1"/>
    <w:rsid w:val="004867E2"/>
    <w:rsid w:val="00487B2A"/>
    <w:rsid w:val="00490B17"/>
    <w:rsid w:val="00490CDA"/>
    <w:rsid w:val="0049117C"/>
    <w:rsid w:val="00491B3A"/>
    <w:rsid w:val="00492CFD"/>
    <w:rsid w:val="00492F49"/>
    <w:rsid w:val="00493262"/>
    <w:rsid w:val="00494207"/>
    <w:rsid w:val="004949DE"/>
    <w:rsid w:val="00494D27"/>
    <w:rsid w:val="00494DD5"/>
    <w:rsid w:val="00495DF7"/>
    <w:rsid w:val="004961F4"/>
    <w:rsid w:val="004962D2"/>
    <w:rsid w:val="004969F3"/>
    <w:rsid w:val="00496A86"/>
    <w:rsid w:val="00496BCB"/>
    <w:rsid w:val="004A00C5"/>
    <w:rsid w:val="004A0DA1"/>
    <w:rsid w:val="004A0DE6"/>
    <w:rsid w:val="004A13D6"/>
    <w:rsid w:val="004A1D19"/>
    <w:rsid w:val="004A3179"/>
    <w:rsid w:val="004A3550"/>
    <w:rsid w:val="004A52E9"/>
    <w:rsid w:val="004A5E2F"/>
    <w:rsid w:val="004A6040"/>
    <w:rsid w:val="004A60E1"/>
    <w:rsid w:val="004A61AE"/>
    <w:rsid w:val="004A6597"/>
    <w:rsid w:val="004A6604"/>
    <w:rsid w:val="004A6EBD"/>
    <w:rsid w:val="004A7848"/>
    <w:rsid w:val="004A793B"/>
    <w:rsid w:val="004A7EE2"/>
    <w:rsid w:val="004B0695"/>
    <w:rsid w:val="004B08EA"/>
    <w:rsid w:val="004B1CB4"/>
    <w:rsid w:val="004B1E90"/>
    <w:rsid w:val="004B2F18"/>
    <w:rsid w:val="004B32C5"/>
    <w:rsid w:val="004B3730"/>
    <w:rsid w:val="004B3DDB"/>
    <w:rsid w:val="004B44FD"/>
    <w:rsid w:val="004B4D79"/>
    <w:rsid w:val="004B5CFC"/>
    <w:rsid w:val="004B5FA7"/>
    <w:rsid w:val="004B66FF"/>
    <w:rsid w:val="004B69F2"/>
    <w:rsid w:val="004B6F79"/>
    <w:rsid w:val="004B7583"/>
    <w:rsid w:val="004B774D"/>
    <w:rsid w:val="004B7C3A"/>
    <w:rsid w:val="004C027A"/>
    <w:rsid w:val="004C0566"/>
    <w:rsid w:val="004C0BBE"/>
    <w:rsid w:val="004C127A"/>
    <w:rsid w:val="004C2132"/>
    <w:rsid w:val="004C2AC2"/>
    <w:rsid w:val="004C2FFD"/>
    <w:rsid w:val="004C3028"/>
    <w:rsid w:val="004C37B5"/>
    <w:rsid w:val="004C38D3"/>
    <w:rsid w:val="004C3957"/>
    <w:rsid w:val="004C3B44"/>
    <w:rsid w:val="004C3B89"/>
    <w:rsid w:val="004C4489"/>
    <w:rsid w:val="004C4AED"/>
    <w:rsid w:val="004C5A29"/>
    <w:rsid w:val="004C6109"/>
    <w:rsid w:val="004C6514"/>
    <w:rsid w:val="004C6D63"/>
    <w:rsid w:val="004C6E7F"/>
    <w:rsid w:val="004C78F0"/>
    <w:rsid w:val="004C7DCA"/>
    <w:rsid w:val="004D01E8"/>
    <w:rsid w:val="004D04E5"/>
    <w:rsid w:val="004D16F4"/>
    <w:rsid w:val="004D20BB"/>
    <w:rsid w:val="004D234E"/>
    <w:rsid w:val="004D2C2D"/>
    <w:rsid w:val="004D470E"/>
    <w:rsid w:val="004D6947"/>
    <w:rsid w:val="004D69B5"/>
    <w:rsid w:val="004D7227"/>
    <w:rsid w:val="004D7B5E"/>
    <w:rsid w:val="004E0A6E"/>
    <w:rsid w:val="004E0E7F"/>
    <w:rsid w:val="004E0EB8"/>
    <w:rsid w:val="004E15EA"/>
    <w:rsid w:val="004E18E9"/>
    <w:rsid w:val="004E2ADC"/>
    <w:rsid w:val="004E2E46"/>
    <w:rsid w:val="004E3244"/>
    <w:rsid w:val="004E3530"/>
    <w:rsid w:val="004E43B2"/>
    <w:rsid w:val="004E5160"/>
    <w:rsid w:val="004E6271"/>
    <w:rsid w:val="004E6809"/>
    <w:rsid w:val="004E7738"/>
    <w:rsid w:val="004F0034"/>
    <w:rsid w:val="004F1D02"/>
    <w:rsid w:val="004F24AE"/>
    <w:rsid w:val="004F2679"/>
    <w:rsid w:val="004F28B3"/>
    <w:rsid w:val="004F2F21"/>
    <w:rsid w:val="004F3876"/>
    <w:rsid w:val="004F3A79"/>
    <w:rsid w:val="004F3DE5"/>
    <w:rsid w:val="004F3F49"/>
    <w:rsid w:val="004F438C"/>
    <w:rsid w:val="004F49B9"/>
    <w:rsid w:val="004F5438"/>
    <w:rsid w:val="004F6183"/>
    <w:rsid w:val="004F6913"/>
    <w:rsid w:val="004F6BCA"/>
    <w:rsid w:val="004F6C33"/>
    <w:rsid w:val="004F768E"/>
    <w:rsid w:val="004F7865"/>
    <w:rsid w:val="004F7A6D"/>
    <w:rsid w:val="0050086F"/>
    <w:rsid w:val="00500DD7"/>
    <w:rsid w:val="00500EDC"/>
    <w:rsid w:val="0050174E"/>
    <w:rsid w:val="00501854"/>
    <w:rsid w:val="0050219B"/>
    <w:rsid w:val="00503034"/>
    <w:rsid w:val="00503188"/>
    <w:rsid w:val="00503F17"/>
    <w:rsid w:val="00503F3A"/>
    <w:rsid w:val="00505410"/>
    <w:rsid w:val="00505777"/>
    <w:rsid w:val="00506882"/>
    <w:rsid w:val="00506928"/>
    <w:rsid w:val="00506A83"/>
    <w:rsid w:val="00506B88"/>
    <w:rsid w:val="00506FE3"/>
    <w:rsid w:val="005077EF"/>
    <w:rsid w:val="00507B36"/>
    <w:rsid w:val="0051136B"/>
    <w:rsid w:val="00511AD5"/>
    <w:rsid w:val="00511AEE"/>
    <w:rsid w:val="00511DC7"/>
    <w:rsid w:val="005142B8"/>
    <w:rsid w:val="005142C5"/>
    <w:rsid w:val="0051438B"/>
    <w:rsid w:val="00514E6F"/>
    <w:rsid w:val="0051501B"/>
    <w:rsid w:val="005152B5"/>
    <w:rsid w:val="00515886"/>
    <w:rsid w:val="0051739E"/>
    <w:rsid w:val="00517860"/>
    <w:rsid w:val="00520522"/>
    <w:rsid w:val="00520AD4"/>
    <w:rsid w:val="00520C7E"/>
    <w:rsid w:val="00520E10"/>
    <w:rsid w:val="0052123C"/>
    <w:rsid w:val="00521319"/>
    <w:rsid w:val="00522BC8"/>
    <w:rsid w:val="00522FB6"/>
    <w:rsid w:val="00523C28"/>
    <w:rsid w:val="00523ED5"/>
    <w:rsid w:val="00523F6D"/>
    <w:rsid w:val="00523FC8"/>
    <w:rsid w:val="00524B8D"/>
    <w:rsid w:val="00525933"/>
    <w:rsid w:val="00526105"/>
    <w:rsid w:val="00526BCA"/>
    <w:rsid w:val="00526F14"/>
    <w:rsid w:val="00527D1F"/>
    <w:rsid w:val="0053006C"/>
    <w:rsid w:val="00530107"/>
    <w:rsid w:val="005305F7"/>
    <w:rsid w:val="0053073F"/>
    <w:rsid w:val="0053082E"/>
    <w:rsid w:val="005308D3"/>
    <w:rsid w:val="0053109C"/>
    <w:rsid w:val="0053176B"/>
    <w:rsid w:val="00531E64"/>
    <w:rsid w:val="00531ECD"/>
    <w:rsid w:val="00532629"/>
    <w:rsid w:val="005341B3"/>
    <w:rsid w:val="00535A6C"/>
    <w:rsid w:val="00536F42"/>
    <w:rsid w:val="00537182"/>
    <w:rsid w:val="00537226"/>
    <w:rsid w:val="00541EDD"/>
    <w:rsid w:val="00542743"/>
    <w:rsid w:val="005427B8"/>
    <w:rsid w:val="00542C2D"/>
    <w:rsid w:val="00542D6B"/>
    <w:rsid w:val="005437D9"/>
    <w:rsid w:val="00543D27"/>
    <w:rsid w:val="005454AE"/>
    <w:rsid w:val="00545607"/>
    <w:rsid w:val="005463E6"/>
    <w:rsid w:val="00546CD8"/>
    <w:rsid w:val="005477A1"/>
    <w:rsid w:val="005478BD"/>
    <w:rsid w:val="005479E3"/>
    <w:rsid w:val="00550406"/>
    <w:rsid w:val="00550D80"/>
    <w:rsid w:val="00551985"/>
    <w:rsid w:val="005526D0"/>
    <w:rsid w:val="00552BD3"/>
    <w:rsid w:val="005530C2"/>
    <w:rsid w:val="005532A0"/>
    <w:rsid w:val="00553BAE"/>
    <w:rsid w:val="00555109"/>
    <w:rsid w:val="00555239"/>
    <w:rsid w:val="00556B35"/>
    <w:rsid w:val="00556BBD"/>
    <w:rsid w:val="0055741A"/>
    <w:rsid w:val="005574E9"/>
    <w:rsid w:val="00557739"/>
    <w:rsid w:val="00557B57"/>
    <w:rsid w:val="005611B7"/>
    <w:rsid w:val="00561460"/>
    <w:rsid w:val="005618D4"/>
    <w:rsid w:val="00562B8A"/>
    <w:rsid w:val="00564867"/>
    <w:rsid w:val="00564E98"/>
    <w:rsid w:val="00565008"/>
    <w:rsid w:val="0056514A"/>
    <w:rsid w:val="005659D0"/>
    <w:rsid w:val="00565B20"/>
    <w:rsid w:val="00565C79"/>
    <w:rsid w:val="00565DF0"/>
    <w:rsid w:val="005663FD"/>
    <w:rsid w:val="0056696F"/>
    <w:rsid w:val="00567F65"/>
    <w:rsid w:val="005714DD"/>
    <w:rsid w:val="00572269"/>
    <w:rsid w:val="0057244A"/>
    <w:rsid w:val="00572BDE"/>
    <w:rsid w:val="00572D60"/>
    <w:rsid w:val="00572F26"/>
    <w:rsid w:val="00573A2D"/>
    <w:rsid w:val="00574DF3"/>
    <w:rsid w:val="00574DFA"/>
    <w:rsid w:val="005750C5"/>
    <w:rsid w:val="0057527F"/>
    <w:rsid w:val="005752DE"/>
    <w:rsid w:val="0057588D"/>
    <w:rsid w:val="0057599F"/>
    <w:rsid w:val="00575D60"/>
    <w:rsid w:val="00575D8D"/>
    <w:rsid w:val="00576972"/>
    <w:rsid w:val="00576F7E"/>
    <w:rsid w:val="00577248"/>
    <w:rsid w:val="0057726B"/>
    <w:rsid w:val="005774A6"/>
    <w:rsid w:val="00580E5C"/>
    <w:rsid w:val="00581641"/>
    <w:rsid w:val="00583699"/>
    <w:rsid w:val="00583908"/>
    <w:rsid w:val="005847E9"/>
    <w:rsid w:val="00584DDD"/>
    <w:rsid w:val="00585CDD"/>
    <w:rsid w:val="00587058"/>
    <w:rsid w:val="0058705E"/>
    <w:rsid w:val="005878C3"/>
    <w:rsid w:val="00587946"/>
    <w:rsid w:val="00587A18"/>
    <w:rsid w:val="00590297"/>
    <w:rsid w:val="005905CD"/>
    <w:rsid w:val="00590B1C"/>
    <w:rsid w:val="00591957"/>
    <w:rsid w:val="00591C8B"/>
    <w:rsid w:val="00591EC0"/>
    <w:rsid w:val="005931EC"/>
    <w:rsid w:val="00596130"/>
    <w:rsid w:val="005965B0"/>
    <w:rsid w:val="00596C87"/>
    <w:rsid w:val="00597230"/>
    <w:rsid w:val="005975B2"/>
    <w:rsid w:val="00597BF9"/>
    <w:rsid w:val="005A0230"/>
    <w:rsid w:val="005A0238"/>
    <w:rsid w:val="005A0C11"/>
    <w:rsid w:val="005A12E0"/>
    <w:rsid w:val="005A1CBC"/>
    <w:rsid w:val="005A2593"/>
    <w:rsid w:val="005A309A"/>
    <w:rsid w:val="005A3608"/>
    <w:rsid w:val="005A373D"/>
    <w:rsid w:val="005A4AB4"/>
    <w:rsid w:val="005A5D45"/>
    <w:rsid w:val="005A60DE"/>
    <w:rsid w:val="005A784E"/>
    <w:rsid w:val="005B0B58"/>
    <w:rsid w:val="005B1A4E"/>
    <w:rsid w:val="005B1CE7"/>
    <w:rsid w:val="005B2A31"/>
    <w:rsid w:val="005B34CE"/>
    <w:rsid w:val="005B3565"/>
    <w:rsid w:val="005B3616"/>
    <w:rsid w:val="005B4B2B"/>
    <w:rsid w:val="005B4E53"/>
    <w:rsid w:val="005B5857"/>
    <w:rsid w:val="005B5F4D"/>
    <w:rsid w:val="005B7FC1"/>
    <w:rsid w:val="005C06C2"/>
    <w:rsid w:val="005C0B6D"/>
    <w:rsid w:val="005C1347"/>
    <w:rsid w:val="005C19C4"/>
    <w:rsid w:val="005C1B83"/>
    <w:rsid w:val="005C1ED8"/>
    <w:rsid w:val="005C20E3"/>
    <w:rsid w:val="005C25FF"/>
    <w:rsid w:val="005C2D55"/>
    <w:rsid w:val="005C346B"/>
    <w:rsid w:val="005C3FA5"/>
    <w:rsid w:val="005C4341"/>
    <w:rsid w:val="005C4550"/>
    <w:rsid w:val="005C4B17"/>
    <w:rsid w:val="005C4D79"/>
    <w:rsid w:val="005C51A0"/>
    <w:rsid w:val="005C59B3"/>
    <w:rsid w:val="005C5ABC"/>
    <w:rsid w:val="005C5BB6"/>
    <w:rsid w:val="005C70D7"/>
    <w:rsid w:val="005C7201"/>
    <w:rsid w:val="005C7EBA"/>
    <w:rsid w:val="005D00AD"/>
    <w:rsid w:val="005D032B"/>
    <w:rsid w:val="005D044D"/>
    <w:rsid w:val="005D05AA"/>
    <w:rsid w:val="005D0ABD"/>
    <w:rsid w:val="005D18AD"/>
    <w:rsid w:val="005D26B4"/>
    <w:rsid w:val="005D4881"/>
    <w:rsid w:val="005D4CB9"/>
    <w:rsid w:val="005D4D0B"/>
    <w:rsid w:val="005D53FF"/>
    <w:rsid w:val="005D6819"/>
    <w:rsid w:val="005D6A76"/>
    <w:rsid w:val="005D7E1B"/>
    <w:rsid w:val="005E03A1"/>
    <w:rsid w:val="005E0ECA"/>
    <w:rsid w:val="005E1995"/>
    <w:rsid w:val="005E2186"/>
    <w:rsid w:val="005E2632"/>
    <w:rsid w:val="005E3649"/>
    <w:rsid w:val="005E54A4"/>
    <w:rsid w:val="005E5E51"/>
    <w:rsid w:val="005E6CBC"/>
    <w:rsid w:val="005E72FF"/>
    <w:rsid w:val="005E73C0"/>
    <w:rsid w:val="005E7FD5"/>
    <w:rsid w:val="005F07ED"/>
    <w:rsid w:val="005F0850"/>
    <w:rsid w:val="005F0FC5"/>
    <w:rsid w:val="005F2706"/>
    <w:rsid w:val="005F382A"/>
    <w:rsid w:val="005F3B14"/>
    <w:rsid w:val="005F4F81"/>
    <w:rsid w:val="005F5F11"/>
    <w:rsid w:val="005F6A8F"/>
    <w:rsid w:val="005F6B75"/>
    <w:rsid w:val="005F6BB7"/>
    <w:rsid w:val="005F7588"/>
    <w:rsid w:val="006002E6"/>
    <w:rsid w:val="00600E23"/>
    <w:rsid w:val="00602115"/>
    <w:rsid w:val="0060294C"/>
    <w:rsid w:val="00602CB0"/>
    <w:rsid w:val="006033D0"/>
    <w:rsid w:val="00603DB9"/>
    <w:rsid w:val="00604696"/>
    <w:rsid w:val="006052A3"/>
    <w:rsid w:val="00605AD8"/>
    <w:rsid w:val="00606480"/>
    <w:rsid w:val="00606FBA"/>
    <w:rsid w:val="00607669"/>
    <w:rsid w:val="006076F4"/>
    <w:rsid w:val="00607AFD"/>
    <w:rsid w:val="00607FBA"/>
    <w:rsid w:val="00610660"/>
    <w:rsid w:val="006117DC"/>
    <w:rsid w:val="006119C7"/>
    <w:rsid w:val="00611B12"/>
    <w:rsid w:val="00611E3D"/>
    <w:rsid w:val="00612483"/>
    <w:rsid w:val="00612C18"/>
    <w:rsid w:val="00612F97"/>
    <w:rsid w:val="0061345D"/>
    <w:rsid w:val="00613BFE"/>
    <w:rsid w:val="00614129"/>
    <w:rsid w:val="006145E5"/>
    <w:rsid w:val="00614986"/>
    <w:rsid w:val="00614FCB"/>
    <w:rsid w:val="0061549B"/>
    <w:rsid w:val="006159FB"/>
    <w:rsid w:val="00616502"/>
    <w:rsid w:val="00616802"/>
    <w:rsid w:val="00617E12"/>
    <w:rsid w:val="006206F0"/>
    <w:rsid w:val="00620C25"/>
    <w:rsid w:val="00620D9C"/>
    <w:rsid w:val="00621477"/>
    <w:rsid w:val="006218AD"/>
    <w:rsid w:val="00621ADA"/>
    <w:rsid w:val="00623F7B"/>
    <w:rsid w:val="00624951"/>
    <w:rsid w:val="00624BD4"/>
    <w:rsid w:val="0062503D"/>
    <w:rsid w:val="00627FA4"/>
    <w:rsid w:val="0063158F"/>
    <w:rsid w:val="00631980"/>
    <w:rsid w:val="00631D6B"/>
    <w:rsid w:val="00632146"/>
    <w:rsid w:val="00632183"/>
    <w:rsid w:val="006330A1"/>
    <w:rsid w:val="0063338F"/>
    <w:rsid w:val="006343C2"/>
    <w:rsid w:val="0063479F"/>
    <w:rsid w:val="00634848"/>
    <w:rsid w:val="006353F0"/>
    <w:rsid w:val="006357B5"/>
    <w:rsid w:val="006364A1"/>
    <w:rsid w:val="0063678E"/>
    <w:rsid w:val="00637412"/>
    <w:rsid w:val="00637BFD"/>
    <w:rsid w:val="00637C5C"/>
    <w:rsid w:val="00640D74"/>
    <w:rsid w:val="00641031"/>
    <w:rsid w:val="00641281"/>
    <w:rsid w:val="00641B43"/>
    <w:rsid w:val="00641C4E"/>
    <w:rsid w:val="00641FB3"/>
    <w:rsid w:val="006423F9"/>
    <w:rsid w:val="00642C45"/>
    <w:rsid w:val="00643BCB"/>
    <w:rsid w:val="0064434C"/>
    <w:rsid w:val="00644FBE"/>
    <w:rsid w:val="00645226"/>
    <w:rsid w:val="00645834"/>
    <w:rsid w:val="00645CE8"/>
    <w:rsid w:val="00645CFF"/>
    <w:rsid w:val="00645DDF"/>
    <w:rsid w:val="0064611E"/>
    <w:rsid w:val="006471CC"/>
    <w:rsid w:val="006472FE"/>
    <w:rsid w:val="0064771B"/>
    <w:rsid w:val="00647A29"/>
    <w:rsid w:val="0065079F"/>
    <w:rsid w:val="006515B7"/>
    <w:rsid w:val="0065180D"/>
    <w:rsid w:val="00652A28"/>
    <w:rsid w:val="00652F7D"/>
    <w:rsid w:val="00653165"/>
    <w:rsid w:val="0065379F"/>
    <w:rsid w:val="00654ECC"/>
    <w:rsid w:val="006550B8"/>
    <w:rsid w:val="00656188"/>
    <w:rsid w:val="00657105"/>
    <w:rsid w:val="0065715A"/>
    <w:rsid w:val="0065791C"/>
    <w:rsid w:val="006610F1"/>
    <w:rsid w:val="0066130A"/>
    <w:rsid w:val="006617B1"/>
    <w:rsid w:val="00661C6B"/>
    <w:rsid w:val="00662D3E"/>
    <w:rsid w:val="00663712"/>
    <w:rsid w:val="00663FF8"/>
    <w:rsid w:val="00664811"/>
    <w:rsid w:val="0066619D"/>
    <w:rsid w:val="00666511"/>
    <w:rsid w:val="00667BE3"/>
    <w:rsid w:val="00670C21"/>
    <w:rsid w:val="00671004"/>
    <w:rsid w:val="00671792"/>
    <w:rsid w:val="00671AB8"/>
    <w:rsid w:val="00672390"/>
    <w:rsid w:val="00672646"/>
    <w:rsid w:val="0067395C"/>
    <w:rsid w:val="00674E42"/>
    <w:rsid w:val="00675339"/>
    <w:rsid w:val="006755D2"/>
    <w:rsid w:val="00675E01"/>
    <w:rsid w:val="00676563"/>
    <w:rsid w:val="0067687B"/>
    <w:rsid w:val="00677FB5"/>
    <w:rsid w:val="006813A4"/>
    <w:rsid w:val="006813F8"/>
    <w:rsid w:val="00681A05"/>
    <w:rsid w:val="00682112"/>
    <w:rsid w:val="0068235B"/>
    <w:rsid w:val="006823E2"/>
    <w:rsid w:val="006826D5"/>
    <w:rsid w:val="00682836"/>
    <w:rsid w:val="00682A80"/>
    <w:rsid w:val="00682BA6"/>
    <w:rsid w:val="00683A76"/>
    <w:rsid w:val="00684DAE"/>
    <w:rsid w:val="00684EB8"/>
    <w:rsid w:val="00685D79"/>
    <w:rsid w:val="00686957"/>
    <w:rsid w:val="00686C2F"/>
    <w:rsid w:val="006871D2"/>
    <w:rsid w:val="006872BA"/>
    <w:rsid w:val="00687950"/>
    <w:rsid w:val="00687D83"/>
    <w:rsid w:val="00690795"/>
    <w:rsid w:val="006908E9"/>
    <w:rsid w:val="00690E60"/>
    <w:rsid w:val="006912BF"/>
    <w:rsid w:val="00691648"/>
    <w:rsid w:val="006917D7"/>
    <w:rsid w:val="0069268D"/>
    <w:rsid w:val="0069434C"/>
    <w:rsid w:val="0069434F"/>
    <w:rsid w:val="00694F44"/>
    <w:rsid w:val="00695A3F"/>
    <w:rsid w:val="00696072"/>
    <w:rsid w:val="00696B9B"/>
    <w:rsid w:val="00696EF9"/>
    <w:rsid w:val="00696F51"/>
    <w:rsid w:val="006970BC"/>
    <w:rsid w:val="00697469"/>
    <w:rsid w:val="006979A5"/>
    <w:rsid w:val="006A016F"/>
    <w:rsid w:val="006A028F"/>
    <w:rsid w:val="006A03AC"/>
    <w:rsid w:val="006A072D"/>
    <w:rsid w:val="006A0B99"/>
    <w:rsid w:val="006A0DF7"/>
    <w:rsid w:val="006A2125"/>
    <w:rsid w:val="006A297F"/>
    <w:rsid w:val="006A4321"/>
    <w:rsid w:val="006A43D9"/>
    <w:rsid w:val="006A454D"/>
    <w:rsid w:val="006A4A6A"/>
    <w:rsid w:val="006A5B66"/>
    <w:rsid w:val="006A5F90"/>
    <w:rsid w:val="006A6323"/>
    <w:rsid w:val="006A6AC7"/>
    <w:rsid w:val="006A6B99"/>
    <w:rsid w:val="006A7E5F"/>
    <w:rsid w:val="006B0943"/>
    <w:rsid w:val="006B097D"/>
    <w:rsid w:val="006B0C1D"/>
    <w:rsid w:val="006B18C1"/>
    <w:rsid w:val="006B1D11"/>
    <w:rsid w:val="006B1D8E"/>
    <w:rsid w:val="006B1F58"/>
    <w:rsid w:val="006B261B"/>
    <w:rsid w:val="006B2C90"/>
    <w:rsid w:val="006B2D04"/>
    <w:rsid w:val="006B2FC0"/>
    <w:rsid w:val="006B35E6"/>
    <w:rsid w:val="006B39DE"/>
    <w:rsid w:val="006B41E6"/>
    <w:rsid w:val="006B465A"/>
    <w:rsid w:val="006B4D6E"/>
    <w:rsid w:val="006B5A8D"/>
    <w:rsid w:val="006B6DD0"/>
    <w:rsid w:val="006B7C40"/>
    <w:rsid w:val="006C0399"/>
    <w:rsid w:val="006C1195"/>
    <w:rsid w:val="006C1420"/>
    <w:rsid w:val="006C2A81"/>
    <w:rsid w:val="006C2A8E"/>
    <w:rsid w:val="006C2E64"/>
    <w:rsid w:val="006C3255"/>
    <w:rsid w:val="006C3F26"/>
    <w:rsid w:val="006C59DE"/>
    <w:rsid w:val="006D0D17"/>
    <w:rsid w:val="006D0E8B"/>
    <w:rsid w:val="006D12D0"/>
    <w:rsid w:val="006D2FB5"/>
    <w:rsid w:val="006D3C70"/>
    <w:rsid w:val="006D3C7D"/>
    <w:rsid w:val="006D4659"/>
    <w:rsid w:val="006D53EF"/>
    <w:rsid w:val="006D5730"/>
    <w:rsid w:val="006D5D5F"/>
    <w:rsid w:val="006D6828"/>
    <w:rsid w:val="006D68FB"/>
    <w:rsid w:val="006D72C2"/>
    <w:rsid w:val="006D7521"/>
    <w:rsid w:val="006E065B"/>
    <w:rsid w:val="006E25BD"/>
    <w:rsid w:val="006E2868"/>
    <w:rsid w:val="006E2F28"/>
    <w:rsid w:val="006E42C4"/>
    <w:rsid w:val="006E4452"/>
    <w:rsid w:val="006E5D03"/>
    <w:rsid w:val="006E7BA6"/>
    <w:rsid w:val="006E7D70"/>
    <w:rsid w:val="006F00BD"/>
    <w:rsid w:val="006F011A"/>
    <w:rsid w:val="006F1EA1"/>
    <w:rsid w:val="006F2703"/>
    <w:rsid w:val="006F2954"/>
    <w:rsid w:val="006F306C"/>
    <w:rsid w:val="006F3BCA"/>
    <w:rsid w:val="006F47F9"/>
    <w:rsid w:val="006F49D2"/>
    <w:rsid w:val="006F500F"/>
    <w:rsid w:val="006F63A5"/>
    <w:rsid w:val="0070142B"/>
    <w:rsid w:val="0070222E"/>
    <w:rsid w:val="0070276E"/>
    <w:rsid w:val="00702C3E"/>
    <w:rsid w:val="00702F8F"/>
    <w:rsid w:val="007038E4"/>
    <w:rsid w:val="00705126"/>
    <w:rsid w:val="007079FC"/>
    <w:rsid w:val="00707F30"/>
    <w:rsid w:val="00707F66"/>
    <w:rsid w:val="00710045"/>
    <w:rsid w:val="007106FB"/>
    <w:rsid w:val="00711577"/>
    <w:rsid w:val="00711A36"/>
    <w:rsid w:val="00711F95"/>
    <w:rsid w:val="007125D3"/>
    <w:rsid w:val="007126D0"/>
    <w:rsid w:val="00713812"/>
    <w:rsid w:val="00714C26"/>
    <w:rsid w:val="0071516A"/>
    <w:rsid w:val="0071529C"/>
    <w:rsid w:val="00715727"/>
    <w:rsid w:val="007170DA"/>
    <w:rsid w:val="007172AD"/>
    <w:rsid w:val="00717546"/>
    <w:rsid w:val="00717B27"/>
    <w:rsid w:val="00720068"/>
    <w:rsid w:val="00720801"/>
    <w:rsid w:val="00722257"/>
    <w:rsid w:val="007226B3"/>
    <w:rsid w:val="00722892"/>
    <w:rsid w:val="00722B07"/>
    <w:rsid w:val="00722B1B"/>
    <w:rsid w:val="00723A0B"/>
    <w:rsid w:val="0072416F"/>
    <w:rsid w:val="00724CD1"/>
    <w:rsid w:val="007259D3"/>
    <w:rsid w:val="00725AF8"/>
    <w:rsid w:val="00726514"/>
    <w:rsid w:val="007270B6"/>
    <w:rsid w:val="00727C94"/>
    <w:rsid w:val="00730C07"/>
    <w:rsid w:val="00731627"/>
    <w:rsid w:val="00731834"/>
    <w:rsid w:val="00731B0A"/>
    <w:rsid w:val="00731C10"/>
    <w:rsid w:val="00731EAE"/>
    <w:rsid w:val="00732BC0"/>
    <w:rsid w:val="00732E1B"/>
    <w:rsid w:val="00732FB5"/>
    <w:rsid w:val="00733073"/>
    <w:rsid w:val="007330AA"/>
    <w:rsid w:val="007336B7"/>
    <w:rsid w:val="00734C67"/>
    <w:rsid w:val="00735033"/>
    <w:rsid w:val="00735328"/>
    <w:rsid w:val="00735A56"/>
    <w:rsid w:val="00735FA4"/>
    <w:rsid w:val="00736092"/>
    <w:rsid w:val="0073685B"/>
    <w:rsid w:val="007371B2"/>
    <w:rsid w:val="00740829"/>
    <w:rsid w:val="007417B0"/>
    <w:rsid w:val="0074194E"/>
    <w:rsid w:val="007426EE"/>
    <w:rsid w:val="00743307"/>
    <w:rsid w:val="007438D5"/>
    <w:rsid w:val="00743B69"/>
    <w:rsid w:val="007449BF"/>
    <w:rsid w:val="00745BBD"/>
    <w:rsid w:val="007463FE"/>
    <w:rsid w:val="00746BC0"/>
    <w:rsid w:val="00747A03"/>
    <w:rsid w:val="007510B4"/>
    <w:rsid w:val="00751E5B"/>
    <w:rsid w:val="00752142"/>
    <w:rsid w:val="007523F9"/>
    <w:rsid w:val="00752578"/>
    <w:rsid w:val="00752EDD"/>
    <w:rsid w:val="00752FC8"/>
    <w:rsid w:val="00753373"/>
    <w:rsid w:val="0075357E"/>
    <w:rsid w:val="00753B29"/>
    <w:rsid w:val="00753EC9"/>
    <w:rsid w:val="00755517"/>
    <w:rsid w:val="00756CDD"/>
    <w:rsid w:val="00757217"/>
    <w:rsid w:val="007573E8"/>
    <w:rsid w:val="00757401"/>
    <w:rsid w:val="007574AE"/>
    <w:rsid w:val="00760970"/>
    <w:rsid w:val="00760C4E"/>
    <w:rsid w:val="00760F9E"/>
    <w:rsid w:val="00761660"/>
    <w:rsid w:val="007616E6"/>
    <w:rsid w:val="007619CD"/>
    <w:rsid w:val="00762250"/>
    <w:rsid w:val="00762605"/>
    <w:rsid w:val="007627BE"/>
    <w:rsid w:val="00763307"/>
    <w:rsid w:val="0076382B"/>
    <w:rsid w:val="00764F03"/>
    <w:rsid w:val="0076501D"/>
    <w:rsid w:val="00765812"/>
    <w:rsid w:val="00765B1A"/>
    <w:rsid w:val="00765DC1"/>
    <w:rsid w:val="00767B07"/>
    <w:rsid w:val="00767E7F"/>
    <w:rsid w:val="00772284"/>
    <w:rsid w:val="0077326D"/>
    <w:rsid w:val="00773F3E"/>
    <w:rsid w:val="00775755"/>
    <w:rsid w:val="007768EF"/>
    <w:rsid w:val="00777335"/>
    <w:rsid w:val="00780937"/>
    <w:rsid w:val="00783454"/>
    <w:rsid w:val="0078428F"/>
    <w:rsid w:val="007843F2"/>
    <w:rsid w:val="007846FA"/>
    <w:rsid w:val="00785584"/>
    <w:rsid w:val="007858A1"/>
    <w:rsid w:val="00785A9F"/>
    <w:rsid w:val="007863D2"/>
    <w:rsid w:val="00786785"/>
    <w:rsid w:val="007868D1"/>
    <w:rsid w:val="007871D9"/>
    <w:rsid w:val="007872E2"/>
    <w:rsid w:val="00790016"/>
    <w:rsid w:val="007901D3"/>
    <w:rsid w:val="007925DF"/>
    <w:rsid w:val="00793120"/>
    <w:rsid w:val="0079340D"/>
    <w:rsid w:val="007965C4"/>
    <w:rsid w:val="00796ECF"/>
    <w:rsid w:val="007A03FA"/>
    <w:rsid w:val="007A082E"/>
    <w:rsid w:val="007A08AA"/>
    <w:rsid w:val="007A0A12"/>
    <w:rsid w:val="007A0F89"/>
    <w:rsid w:val="007A132D"/>
    <w:rsid w:val="007A1345"/>
    <w:rsid w:val="007A155E"/>
    <w:rsid w:val="007A223C"/>
    <w:rsid w:val="007A2DDB"/>
    <w:rsid w:val="007A3107"/>
    <w:rsid w:val="007A472C"/>
    <w:rsid w:val="007A4AA8"/>
    <w:rsid w:val="007A50EF"/>
    <w:rsid w:val="007A53AD"/>
    <w:rsid w:val="007A5400"/>
    <w:rsid w:val="007A5EB1"/>
    <w:rsid w:val="007A5FFB"/>
    <w:rsid w:val="007A6624"/>
    <w:rsid w:val="007A6C08"/>
    <w:rsid w:val="007A6D49"/>
    <w:rsid w:val="007A70BA"/>
    <w:rsid w:val="007A733B"/>
    <w:rsid w:val="007A7919"/>
    <w:rsid w:val="007B043D"/>
    <w:rsid w:val="007B06F1"/>
    <w:rsid w:val="007B08AD"/>
    <w:rsid w:val="007B09DF"/>
    <w:rsid w:val="007B0C4F"/>
    <w:rsid w:val="007B0D68"/>
    <w:rsid w:val="007B164B"/>
    <w:rsid w:val="007B17D1"/>
    <w:rsid w:val="007B1ABE"/>
    <w:rsid w:val="007B251D"/>
    <w:rsid w:val="007B2674"/>
    <w:rsid w:val="007B2B88"/>
    <w:rsid w:val="007B3533"/>
    <w:rsid w:val="007B3964"/>
    <w:rsid w:val="007B3C63"/>
    <w:rsid w:val="007B4B3A"/>
    <w:rsid w:val="007B4F58"/>
    <w:rsid w:val="007B528D"/>
    <w:rsid w:val="007B531A"/>
    <w:rsid w:val="007B553F"/>
    <w:rsid w:val="007B63CA"/>
    <w:rsid w:val="007B6F54"/>
    <w:rsid w:val="007B72FC"/>
    <w:rsid w:val="007B77D1"/>
    <w:rsid w:val="007B7F42"/>
    <w:rsid w:val="007C01A4"/>
    <w:rsid w:val="007C07C7"/>
    <w:rsid w:val="007C0C28"/>
    <w:rsid w:val="007C10EC"/>
    <w:rsid w:val="007C1CD9"/>
    <w:rsid w:val="007C1E95"/>
    <w:rsid w:val="007C30E2"/>
    <w:rsid w:val="007C3169"/>
    <w:rsid w:val="007C31D7"/>
    <w:rsid w:val="007C32EF"/>
    <w:rsid w:val="007C361D"/>
    <w:rsid w:val="007C3840"/>
    <w:rsid w:val="007C3FD6"/>
    <w:rsid w:val="007C4947"/>
    <w:rsid w:val="007C4B84"/>
    <w:rsid w:val="007C70FF"/>
    <w:rsid w:val="007C73BE"/>
    <w:rsid w:val="007C7B07"/>
    <w:rsid w:val="007C7C25"/>
    <w:rsid w:val="007C7DD8"/>
    <w:rsid w:val="007D004F"/>
    <w:rsid w:val="007D035F"/>
    <w:rsid w:val="007D06B2"/>
    <w:rsid w:val="007D0B38"/>
    <w:rsid w:val="007D1C97"/>
    <w:rsid w:val="007D1F25"/>
    <w:rsid w:val="007D3310"/>
    <w:rsid w:val="007D3651"/>
    <w:rsid w:val="007D3764"/>
    <w:rsid w:val="007D3C05"/>
    <w:rsid w:val="007D5440"/>
    <w:rsid w:val="007D55C1"/>
    <w:rsid w:val="007D5E47"/>
    <w:rsid w:val="007D62BE"/>
    <w:rsid w:val="007D69EB"/>
    <w:rsid w:val="007D6B0A"/>
    <w:rsid w:val="007D6C71"/>
    <w:rsid w:val="007D751F"/>
    <w:rsid w:val="007E128F"/>
    <w:rsid w:val="007E23D1"/>
    <w:rsid w:val="007E42C9"/>
    <w:rsid w:val="007E7FA6"/>
    <w:rsid w:val="007F1017"/>
    <w:rsid w:val="007F210E"/>
    <w:rsid w:val="007F3195"/>
    <w:rsid w:val="007F3E0D"/>
    <w:rsid w:val="007F4A3F"/>
    <w:rsid w:val="007F4A61"/>
    <w:rsid w:val="007F5255"/>
    <w:rsid w:val="007F56CC"/>
    <w:rsid w:val="007F61C2"/>
    <w:rsid w:val="007F671D"/>
    <w:rsid w:val="007F74A9"/>
    <w:rsid w:val="00800BCF"/>
    <w:rsid w:val="00801164"/>
    <w:rsid w:val="00802968"/>
    <w:rsid w:val="00804DEC"/>
    <w:rsid w:val="00805142"/>
    <w:rsid w:val="00805810"/>
    <w:rsid w:val="00805FCE"/>
    <w:rsid w:val="00806223"/>
    <w:rsid w:val="00807341"/>
    <w:rsid w:val="00807A8B"/>
    <w:rsid w:val="008101D6"/>
    <w:rsid w:val="008103BF"/>
    <w:rsid w:val="0081132F"/>
    <w:rsid w:val="00811383"/>
    <w:rsid w:val="00811A51"/>
    <w:rsid w:val="00812149"/>
    <w:rsid w:val="00812CAC"/>
    <w:rsid w:val="00815632"/>
    <w:rsid w:val="00815D43"/>
    <w:rsid w:val="00815FF2"/>
    <w:rsid w:val="008162FA"/>
    <w:rsid w:val="00816361"/>
    <w:rsid w:val="00816498"/>
    <w:rsid w:val="008166EF"/>
    <w:rsid w:val="0081670D"/>
    <w:rsid w:val="00816DE9"/>
    <w:rsid w:val="00816FEF"/>
    <w:rsid w:val="00817486"/>
    <w:rsid w:val="00820035"/>
    <w:rsid w:val="00820A8C"/>
    <w:rsid w:val="00820EBA"/>
    <w:rsid w:val="0082101C"/>
    <w:rsid w:val="00821316"/>
    <w:rsid w:val="008215FB"/>
    <w:rsid w:val="00821E64"/>
    <w:rsid w:val="008220CC"/>
    <w:rsid w:val="00822678"/>
    <w:rsid w:val="00822F80"/>
    <w:rsid w:val="00823174"/>
    <w:rsid w:val="00823322"/>
    <w:rsid w:val="00823D10"/>
    <w:rsid w:val="008249AE"/>
    <w:rsid w:val="00825359"/>
    <w:rsid w:val="00825751"/>
    <w:rsid w:val="0082596D"/>
    <w:rsid w:val="00825EA4"/>
    <w:rsid w:val="008264EB"/>
    <w:rsid w:val="008268CE"/>
    <w:rsid w:val="008274BB"/>
    <w:rsid w:val="00827C23"/>
    <w:rsid w:val="00827FF7"/>
    <w:rsid w:val="008312BE"/>
    <w:rsid w:val="00831F8F"/>
    <w:rsid w:val="00833B05"/>
    <w:rsid w:val="008340C3"/>
    <w:rsid w:val="008348CF"/>
    <w:rsid w:val="00834D53"/>
    <w:rsid w:val="008350BE"/>
    <w:rsid w:val="008352FA"/>
    <w:rsid w:val="008362B4"/>
    <w:rsid w:val="00836B39"/>
    <w:rsid w:val="008374A1"/>
    <w:rsid w:val="00837B94"/>
    <w:rsid w:val="00840C8E"/>
    <w:rsid w:val="00840CA2"/>
    <w:rsid w:val="008416C2"/>
    <w:rsid w:val="008423F4"/>
    <w:rsid w:val="0084374F"/>
    <w:rsid w:val="00843D1D"/>
    <w:rsid w:val="00843E7C"/>
    <w:rsid w:val="00843F7D"/>
    <w:rsid w:val="0084429B"/>
    <w:rsid w:val="008448FF"/>
    <w:rsid w:val="00844A22"/>
    <w:rsid w:val="0084559E"/>
    <w:rsid w:val="008469AF"/>
    <w:rsid w:val="00846FD5"/>
    <w:rsid w:val="00847703"/>
    <w:rsid w:val="00847C3B"/>
    <w:rsid w:val="00847DF5"/>
    <w:rsid w:val="00850485"/>
    <w:rsid w:val="0085073E"/>
    <w:rsid w:val="00851E5A"/>
    <w:rsid w:val="0085309D"/>
    <w:rsid w:val="0085326A"/>
    <w:rsid w:val="00853875"/>
    <w:rsid w:val="00854702"/>
    <w:rsid w:val="0085645E"/>
    <w:rsid w:val="008566A3"/>
    <w:rsid w:val="00856897"/>
    <w:rsid w:val="00856E9A"/>
    <w:rsid w:val="0086075D"/>
    <w:rsid w:val="00861310"/>
    <w:rsid w:val="00862502"/>
    <w:rsid w:val="00862CC1"/>
    <w:rsid w:val="00862EC2"/>
    <w:rsid w:val="008642A7"/>
    <w:rsid w:val="00864A9C"/>
    <w:rsid w:val="00865491"/>
    <w:rsid w:val="008660D4"/>
    <w:rsid w:val="00867089"/>
    <w:rsid w:val="00867389"/>
    <w:rsid w:val="00867886"/>
    <w:rsid w:val="00867D37"/>
    <w:rsid w:val="00867FDD"/>
    <w:rsid w:val="00870218"/>
    <w:rsid w:val="00870901"/>
    <w:rsid w:val="00870DD7"/>
    <w:rsid w:val="00871902"/>
    <w:rsid w:val="00871FA9"/>
    <w:rsid w:val="008728E9"/>
    <w:rsid w:val="00873F39"/>
    <w:rsid w:val="00874DFD"/>
    <w:rsid w:val="0087635D"/>
    <w:rsid w:val="00876F54"/>
    <w:rsid w:val="00877D5E"/>
    <w:rsid w:val="00880257"/>
    <w:rsid w:val="0088136D"/>
    <w:rsid w:val="008826A3"/>
    <w:rsid w:val="00882874"/>
    <w:rsid w:val="00882B5E"/>
    <w:rsid w:val="00882CF2"/>
    <w:rsid w:val="00882E3C"/>
    <w:rsid w:val="0088308A"/>
    <w:rsid w:val="00883592"/>
    <w:rsid w:val="00883787"/>
    <w:rsid w:val="008847CE"/>
    <w:rsid w:val="00884828"/>
    <w:rsid w:val="00884907"/>
    <w:rsid w:val="0088551B"/>
    <w:rsid w:val="008855E4"/>
    <w:rsid w:val="00886560"/>
    <w:rsid w:val="00886CD2"/>
    <w:rsid w:val="0089147F"/>
    <w:rsid w:val="00891D31"/>
    <w:rsid w:val="00891E6F"/>
    <w:rsid w:val="0089275D"/>
    <w:rsid w:val="00892A36"/>
    <w:rsid w:val="00893222"/>
    <w:rsid w:val="00893239"/>
    <w:rsid w:val="00893CA8"/>
    <w:rsid w:val="00894489"/>
    <w:rsid w:val="00894CD6"/>
    <w:rsid w:val="008959A3"/>
    <w:rsid w:val="00895CAF"/>
    <w:rsid w:val="008963A5"/>
    <w:rsid w:val="00896841"/>
    <w:rsid w:val="00896D5D"/>
    <w:rsid w:val="00897124"/>
    <w:rsid w:val="00897B17"/>
    <w:rsid w:val="008A0485"/>
    <w:rsid w:val="008A1C79"/>
    <w:rsid w:val="008A2EC6"/>
    <w:rsid w:val="008A3158"/>
    <w:rsid w:val="008A3363"/>
    <w:rsid w:val="008A3371"/>
    <w:rsid w:val="008A34FA"/>
    <w:rsid w:val="008A380C"/>
    <w:rsid w:val="008A3C3E"/>
    <w:rsid w:val="008A4CBD"/>
    <w:rsid w:val="008A4DA6"/>
    <w:rsid w:val="008A5814"/>
    <w:rsid w:val="008A5D37"/>
    <w:rsid w:val="008A621F"/>
    <w:rsid w:val="008A65BE"/>
    <w:rsid w:val="008A6EC8"/>
    <w:rsid w:val="008A72C8"/>
    <w:rsid w:val="008A7342"/>
    <w:rsid w:val="008A734F"/>
    <w:rsid w:val="008A77B3"/>
    <w:rsid w:val="008A79DE"/>
    <w:rsid w:val="008A7B6F"/>
    <w:rsid w:val="008B0728"/>
    <w:rsid w:val="008B1757"/>
    <w:rsid w:val="008B1C33"/>
    <w:rsid w:val="008B2668"/>
    <w:rsid w:val="008B2A21"/>
    <w:rsid w:val="008B2CA2"/>
    <w:rsid w:val="008B2FE7"/>
    <w:rsid w:val="008B379C"/>
    <w:rsid w:val="008B4403"/>
    <w:rsid w:val="008B4860"/>
    <w:rsid w:val="008B4B6F"/>
    <w:rsid w:val="008B5BDC"/>
    <w:rsid w:val="008B7992"/>
    <w:rsid w:val="008B7D7E"/>
    <w:rsid w:val="008C0DF9"/>
    <w:rsid w:val="008C2069"/>
    <w:rsid w:val="008C2314"/>
    <w:rsid w:val="008C29EC"/>
    <w:rsid w:val="008C3EEE"/>
    <w:rsid w:val="008C4451"/>
    <w:rsid w:val="008C5610"/>
    <w:rsid w:val="008C5700"/>
    <w:rsid w:val="008C5739"/>
    <w:rsid w:val="008C6CF2"/>
    <w:rsid w:val="008C7282"/>
    <w:rsid w:val="008C7AED"/>
    <w:rsid w:val="008C7ECB"/>
    <w:rsid w:val="008D0A0F"/>
    <w:rsid w:val="008D1363"/>
    <w:rsid w:val="008D17C9"/>
    <w:rsid w:val="008D245A"/>
    <w:rsid w:val="008D2DB6"/>
    <w:rsid w:val="008D3B86"/>
    <w:rsid w:val="008D419C"/>
    <w:rsid w:val="008D43FD"/>
    <w:rsid w:val="008D4755"/>
    <w:rsid w:val="008D4C3D"/>
    <w:rsid w:val="008D4F11"/>
    <w:rsid w:val="008D6583"/>
    <w:rsid w:val="008D6F25"/>
    <w:rsid w:val="008D743C"/>
    <w:rsid w:val="008D7D31"/>
    <w:rsid w:val="008E0D3C"/>
    <w:rsid w:val="008E1071"/>
    <w:rsid w:val="008E1B9E"/>
    <w:rsid w:val="008E2870"/>
    <w:rsid w:val="008E2AB4"/>
    <w:rsid w:val="008E37EA"/>
    <w:rsid w:val="008E55AB"/>
    <w:rsid w:val="008E5A91"/>
    <w:rsid w:val="008E6CE2"/>
    <w:rsid w:val="008E6D5C"/>
    <w:rsid w:val="008E7243"/>
    <w:rsid w:val="008F0FF0"/>
    <w:rsid w:val="008F120A"/>
    <w:rsid w:val="008F27E0"/>
    <w:rsid w:val="008F2F34"/>
    <w:rsid w:val="008F2F3C"/>
    <w:rsid w:val="008F3A4F"/>
    <w:rsid w:val="008F3EDB"/>
    <w:rsid w:val="008F44A5"/>
    <w:rsid w:val="008F48EB"/>
    <w:rsid w:val="008F4CF5"/>
    <w:rsid w:val="008F4F0B"/>
    <w:rsid w:val="008F5377"/>
    <w:rsid w:val="008F59C5"/>
    <w:rsid w:val="008F5A99"/>
    <w:rsid w:val="008F71CE"/>
    <w:rsid w:val="008F74A9"/>
    <w:rsid w:val="008F7546"/>
    <w:rsid w:val="008F76EA"/>
    <w:rsid w:val="008F7948"/>
    <w:rsid w:val="008F7A35"/>
    <w:rsid w:val="00900235"/>
    <w:rsid w:val="00900539"/>
    <w:rsid w:val="0090171A"/>
    <w:rsid w:val="00901BAB"/>
    <w:rsid w:val="009023F0"/>
    <w:rsid w:val="009043E8"/>
    <w:rsid w:val="009044B7"/>
    <w:rsid w:val="0090461D"/>
    <w:rsid w:val="009046C4"/>
    <w:rsid w:val="009052D6"/>
    <w:rsid w:val="009062A5"/>
    <w:rsid w:val="00906F16"/>
    <w:rsid w:val="00907699"/>
    <w:rsid w:val="009109F2"/>
    <w:rsid w:val="00910FA7"/>
    <w:rsid w:val="00911272"/>
    <w:rsid w:val="00911339"/>
    <w:rsid w:val="00911D56"/>
    <w:rsid w:val="00913073"/>
    <w:rsid w:val="009132B2"/>
    <w:rsid w:val="009135D6"/>
    <w:rsid w:val="009141C1"/>
    <w:rsid w:val="00914C77"/>
    <w:rsid w:val="00915682"/>
    <w:rsid w:val="00915A4C"/>
    <w:rsid w:val="00915A8E"/>
    <w:rsid w:val="00915CEA"/>
    <w:rsid w:val="00916224"/>
    <w:rsid w:val="009174B3"/>
    <w:rsid w:val="00921433"/>
    <w:rsid w:val="009217B7"/>
    <w:rsid w:val="00921ACB"/>
    <w:rsid w:val="00922B0A"/>
    <w:rsid w:val="0092369B"/>
    <w:rsid w:val="00923ADB"/>
    <w:rsid w:val="00924163"/>
    <w:rsid w:val="00924838"/>
    <w:rsid w:val="00925632"/>
    <w:rsid w:val="009257E3"/>
    <w:rsid w:val="00925E2A"/>
    <w:rsid w:val="009263F0"/>
    <w:rsid w:val="00926A8B"/>
    <w:rsid w:val="00926CA5"/>
    <w:rsid w:val="00927955"/>
    <w:rsid w:val="0093096A"/>
    <w:rsid w:val="00931923"/>
    <w:rsid w:val="00931EFC"/>
    <w:rsid w:val="0093212D"/>
    <w:rsid w:val="00934988"/>
    <w:rsid w:val="00936506"/>
    <w:rsid w:val="009369F3"/>
    <w:rsid w:val="00937089"/>
    <w:rsid w:val="00941BD9"/>
    <w:rsid w:val="00944F8A"/>
    <w:rsid w:val="009451C9"/>
    <w:rsid w:val="00945390"/>
    <w:rsid w:val="009458E0"/>
    <w:rsid w:val="00945B91"/>
    <w:rsid w:val="00946CDF"/>
    <w:rsid w:val="00950439"/>
    <w:rsid w:val="00950728"/>
    <w:rsid w:val="009510A2"/>
    <w:rsid w:val="009530F0"/>
    <w:rsid w:val="00953257"/>
    <w:rsid w:val="009532CB"/>
    <w:rsid w:val="0095474C"/>
    <w:rsid w:val="0095480B"/>
    <w:rsid w:val="009572D7"/>
    <w:rsid w:val="0095736F"/>
    <w:rsid w:val="00957D92"/>
    <w:rsid w:val="0096074C"/>
    <w:rsid w:val="00960F14"/>
    <w:rsid w:val="009619F8"/>
    <w:rsid w:val="00961FE5"/>
    <w:rsid w:val="00962474"/>
    <w:rsid w:val="00962604"/>
    <w:rsid w:val="00962CB9"/>
    <w:rsid w:val="009630B6"/>
    <w:rsid w:val="009640C7"/>
    <w:rsid w:val="00964312"/>
    <w:rsid w:val="0096444D"/>
    <w:rsid w:val="00965B8A"/>
    <w:rsid w:val="009663E7"/>
    <w:rsid w:val="00967916"/>
    <w:rsid w:val="009703C7"/>
    <w:rsid w:val="0097071F"/>
    <w:rsid w:val="00970DBF"/>
    <w:rsid w:val="009717AC"/>
    <w:rsid w:val="009719AA"/>
    <w:rsid w:val="00972242"/>
    <w:rsid w:val="0097317D"/>
    <w:rsid w:val="009734EA"/>
    <w:rsid w:val="009737C7"/>
    <w:rsid w:val="009751C1"/>
    <w:rsid w:val="0097552F"/>
    <w:rsid w:val="00975A60"/>
    <w:rsid w:val="00976955"/>
    <w:rsid w:val="00977A09"/>
    <w:rsid w:val="009811F1"/>
    <w:rsid w:val="009829F9"/>
    <w:rsid w:val="00982A05"/>
    <w:rsid w:val="00982E50"/>
    <w:rsid w:val="00983464"/>
    <w:rsid w:val="00983E57"/>
    <w:rsid w:val="00985DBB"/>
    <w:rsid w:val="00985DE2"/>
    <w:rsid w:val="0098675D"/>
    <w:rsid w:val="00987BA4"/>
    <w:rsid w:val="00991092"/>
    <w:rsid w:val="0099190C"/>
    <w:rsid w:val="009921DB"/>
    <w:rsid w:val="009926E0"/>
    <w:rsid w:val="00993350"/>
    <w:rsid w:val="009935E2"/>
    <w:rsid w:val="009940F1"/>
    <w:rsid w:val="0099451E"/>
    <w:rsid w:val="00994A06"/>
    <w:rsid w:val="00994E3A"/>
    <w:rsid w:val="00995362"/>
    <w:rsid w:val="009954E7"/>
    <w:rsid w:val="00995819"/>
    <w:rsid w:val="00995FD2"/>
    <w:rsid w:val="00996184"/>
    <w:rsid w:val="00996459"/>
    <w:rsid w:val="0099664A"/>
    <w:rsid w:val="00996B1A"/>
    <w:rsid w:val="00996CFD"/>
    <w:rsid w:val="00997EE6"/>
    <w:rsid w:val="009A0232"/>
    <w:rsid w:val="009A129E"/>
    <w:rsid w:val="009A18F6"/>
    <w:rsid w:val="009A219C"/>
    <w:rsid w:val="009A280E"/>
    <w:rsid w:val="009A2DCC"/>
    <w:rsid w:val="009A2EF6"/>
    <w:rsid w:val="009A3163"/>
    <w:rsid w:val="009A5ABC"/>
    <w:rsid w:val="009A5CEA"/>
    <w:rsid w:val="009A61B2"/>
    <w:rsid w:val="009A733C"/>
    <w:rsid w:val="009A7F10"/>
    <w:rsid w:val="009B0524"/>
    <w:rsid w:val="009B0AA2"/>
    <w:rsid w:val="009B103C"/>
    <w:rsid w:val="009B1454"/>
    <w:rsid w:val="009B29D7"/>
    <w:rsid w:val="009B3CB2"/>
    <w:rsid w:val="009B3E26"/>
    <w:rsid w:val="009B5231"/>
    <w:rsid w:val="009B54FA"/>
    <w:rsid w:val="009B561E"/>
    <w:rsid w:val="009B63B9"/>
    <w:rsid w:val="009B6F18"/>
    <w:rsid w:val="009B7DA8"/>
    <w:rsid w:val="009C1213"/>
    <w:rsid w:val="009C1271"/>
    <w:rsid w:val="009C1E04"/>
    <w:rsid w:val="009C3191"/>
    <w:rsid w:val="009C3706"/>
    <w:rsid w:val="009C3A3A"/>
    <w:rsid w:val="009C3CAE"/>
    <w:rsid w:val="009C4A8D"/>
    <w:rsid w:val="009C63F8"/>
    <w:rsid w:val="009C69AD"/>
    <w:rsid w:val="009C6C14"/>
    <w:rsid w:val="009C6CEA"/>
    <w:rsid w:val="009C73B1"/>
    <w:rsid w:val="009C7B85"/>
    <w:rsid w:val="009C7EDB"/>
    <w:rsid w:val="009D0254"/>
    <w:rsid w:val="009D0BB6"/>
    <w:rsid w:val="009D0C04"/>
    <w:rsid w:val="009D11A8"/>
    <w:rsid w:val="009D17C6"/>
    <w:rsid w:val="009D1A64"/>
    <w:rsid w:val="009D1C89"/>
    <w:rsid w:val="009D3066"/>
    <w:rsid w:val="009D3A26"/>
    <w:rsid w:val="009D3A7B"/>
    <w:rsid w:val="009D3AD7"/>
    <w:rsid w:val="009D56CF"/>
    <w:rsid w:val="009D5B91"/>
    <w:rsid w:val="009D63BB"/>
    <w:rsid w:val="009D6953"/>
    <w:rsid w:val="009D7455"/>
    <w:rsid w:val="009D792E"/>
    <w:rsid w:val="009D7F46"/>
    <w:rsid w:val="009D7FE8"/>
    <w:rsid w:val="009E074C"/>
    <w:rsid w:val="009E0DFE"/>
    <w:rsid w:val="009E211D"/>
    <w:rsid w:val="009E2782"/>
    <w:rsid w:val="009E280A"/>
    <w:rsid w:val="009E31F6"/>
    <w:rsid w:val="009E4294"/>
    <w:rsid w:val="009E4C07"/>
    <w:rsid w:val="009E4D59"/>
    <w:rsid w:val="009E51C4"/>
    <w:rsid w:val="009E777F"/>
    <w:rsid w:val="009F0119"/>
    <w:rsid w:val="009F0D98"/>
    <w:rsid w:val="009F2224"/>
    <w:rsid w:val="009F23C1"/>
    <w:rsid w:val="009F2A24"/>
    <w:rsid w:val="009F2A44"/>
    <w:rsid w:val="009F4CA0"/>
    <w:rsid w:val="009F4F5D"/>
    <w:rsid w:val="009F5241"/>
    <w:rsid w:val="009F5EE6"/>
    <w:rsid w:val="009F604A"/>
    <w:rsid w:val="009F6120"/>
    <w:rsid w:val="009F746C"/>
    <w:rsid w:val="009F7B19"/>
    <w:rsid w:val="009F7F08"/>
    <w:rsid w:val="00A0024B"/>
    <w:rsid w:val="00A00652"/>
    <w:rsid w:val="00A0093F"/>
    <w:rsid w:val="00A00D76"/>
    <w:rsid w:val="00A01184"/>
    <w:rsid w:val="00A01449"/>
    <w:rsid w:val="00A02B1F"/>
    <w:rsid w:val="00A037C2"/>
    <w:rsid w:val="00A03D43"/>
    <w:rsid w:val="00A04133"/>
    <w:rsid w:val="00A04380"/>
    <w:rsid w:val="00A04786"/>
    <w:rsid w:val="00A04CBC"/>
    <w:rsid w:val="00A04E2F"/>
    <w:rsid w:val="00A05250"/>
    <w:rsid w:val="00A05472"/>
    <w:rsid w:val="00A05B16"/>
    <w:rsid w:val="00A05C32"/>
    <w:rsid w:val="00A0653F"/>
    <w:rsid w:val="00A065B4"/>
    <w:rsid w:val="00A065B6"/>
    <w:rsid w:val="00A072D5"/>
    <w:rsid w:val="00A07730"/>
    <w:rsid w:val="00A104CA"/>
    <w:rsid w:val="00A10E1E"/>
    <w:rsid w:val="00A11CD0"/>
    <w:rsid w:val="00A131C0"/>
    <w:rsid w:val="00A133CD"/>
    <w:rsid w:val="00A135D5"/>
    <w:rsid w:val="00A13948"/>
    <w:rsid w:val="00A14529"/>
    <w:rsid w:val="00A14BF6"/>
    <w:rsid w:val="00A14C09"/>
    <w:rsid w:val="00A14CB9"/>
    <w:rsid w:val="00A1555B"/>
    <w:rsid w:val="00A155C5"/>
    <w:rsid w:val="00A159C2"/>
    <w:rsid w:val="00A16AD8"/>
    <w:rsid w:val="00A16B28"/>
    <w:rsid w:val="00A2021E"/>
    <w:rsid w:val="00A20511"/>
    <w:rsid w:val="00A2174D"/>
    <w:rsid w:val="00A21C95"/>
    <w:rsid w:val="00A21CF3"/>
    <w:rsid w:val="00A220BA"/>
    <w:rsid w:val="00A23473"/>
    <w:rsid w:val="00A23772"/>
    <w:rsid w:val="00A24813"/>
    <w:rsid w:val="00A24C34"/>
    <w:rsid w:val="00A25514"/>
    <w:rsid w:val="00A264B0"/>
    <w:rsid w:val="00A2680E"/>
    <w:rsid w:val="00A27AEC"/>
    <w:rsid w:val="00A27F8B"/>
    <w:rsid w:val="00A3030F"/>
    <w:rsid w:val="00A3090B"/>
    <w:rsid w:val="00A320DB"/>
    <w:rsid w:val="00A33E06"/>
    <w:rsid w:val="00A345E1"/>
    <w:rsid w:val="00A3527A"/>
    <w:rsid w:val="00A35D16"/>
    <w:rsid w:val="00A36081"/>
    <w:rsid w:val="00A36CBB"/>
    <w:rsid w:val="00A370E6"/>
    <w:rsid w:val="00A37208"/>
    <w:rsid w:val="00A37B95"/>
    <w:rsid w:val="00A37BCD"/>
    <w:rsid w:val="00A37DCD"/>
    <w:rsid w:val="00A402A1"/>
    <w:rsid w:val="00A40B08"/>
    <w:rsid w:val="00A41689"/>
    <w:rsid w:val="00A42568"/>
    <w:rsid w:val="00A42592"/>
    <w:rsid w:val="00A43A1A"/>
    <w:rsid w:val="00A43C59"/>
    <w:rsid w:val="00A44061"/>
    <w:rsid w:val="00A4449F"/>
    <w:rsid w:val="00A460B8"/>
    <w:rsid w:val="00A47AB5"/>
    <w:rsid w:val="00A50BBA"/>
    <w:rsid w:val="00A50D54"/>
    <w:rsid w:val="00A50ECD"/>
    <w:rsid w:val="00A51341"/>
    <w:rsid w:val="00A518F3"/>
    <w:rsid w:val="00A5249C"/>
    <w:rsid w:val="00A52729"/>
    <w:rsid w:val="00A53675"/>
    <w:rsid w:val="00A53ED4"/>
    <w:rsid w:val="00A55A58"/>
    <w:rsid w:val="00A55D8F"/>
    <w:rsid w:val="00A564D7"/>
    <w:rsid w:val="00A56B6A"/>
    <w:rsid w:val="00A56CB3"/>
    <w:rsid w:val="00A56D62"/>
    <w:rsid w:val="00A571D1"/>
    <w:rsid w:val="00A578DC"/>
    <w:rsid w:val="00A57EB6"/>
    <w:rsid w:val="00A63233"/>
    <w:rsid w:val="00A63BD8"/>
    <w:rsid w:val="00A640E2"/>
    <w:rsid w:val="00A64D65"/>
    <w:rsid w:val="00A65360"/>
    <w:rsid w:val="00A6725B"/>
    <w:rsid w:val="00A70605"/>
    <w:rsid w:val="00A70B1A"/>
    <w:rsid w:val="00A716CF"/>
    <w:rsid w:val="00A7242E"/>
    <w:rsid w:val="00A7270F"/>
    <w:rsid w:val="00A72F5F"/>
    <w:rsid w:val="00A73134"/>
    <w:rsid w:val="00A7365A"/>
    <w:rsid w:val="00A7374A"/>
    <w:rsid w:val="00A74FD8"/>
    <w:rsid w:val="00A75526"/>
    <w:rsid w:val="00A75F81"/>
    <w:rsid w:val="00A75FA8"/>
    <w:rsid w:val="00A76001"/>
    <w:rsid w:val="00A76166"/>
    <w:rsid w:val="00A76B24"/>
    <w:rsid w:val="00A777B2"/>
    <w:rsid w:val="00A77B43"/>
    <w:rsid w:val="00A80FE3"/>
    <w:rsid w:val="00A8176C"/>
    <w:rsid w:val="00A825D4"/>
    <w:rsid w:val="00A828F6"/>
    <w:rsid w:val="00A829AD"/>
    <w:rsid w:val="00A82B73"/>
    <w:rsid w:val="00A83CA6"/>
    <w:rsid w:val="00A84CB2"/>
    <w:rsid w:val="00A86442"/>
    <w:rsid w:val="00A86840"/>
    <w:rsid w:val="00A8690C"/>
    <w:rsid w:val="00A86E8B"/>
    <w:rsid w:val="00A86EC3"/>
    <w:rsid w:val="00A86F97"/>
    <w:rsid w:val="00A86FBB"/>
    <w:rsid w:val="00A87164"/>
    <w:rsid w:val="00A871A9"/>
    <w:rsid w:val="00A8726A"/>
    <w:rsid w:val="00A87FB4"/>
    <w:rsid w:val="00A90509"/>
    <w:rsid w:val="00A90DD0"/>
    <w:rsid w:val="00A91163"/>
    <w:rsid w:val="00A9128A"/>
    <w:rsid w:val="00A91E79"/>
    <w:rsid w:val="00A92258"/>
    <w:rsid w:val="00A92337"/>
    <w:rsid w:val="00A93072"/>
    <w:rsid w:val="00A930F4"/>
    <w:rsid w:val="00A931A9"/>
    <w:rsid w:val="00A933A7"/>
    <w:rsid w:val="00A938BD"/>
    <w:rsid w:val="00A93953"/>
    <w:rsid w:val="00A939E8"/>
    <w:rsid w:val="00A94EAA"/>
    <w:rsid w:val="00A95502"/>
    <w:rsid w:val="00A95688"/>
    <w:rsid w:val="00A957E1"/>
    <w:rsid w:val="00A9580C"/>
    <w:rsid w:val="00A958EC"/>
    <w:rsid w:val="00A959D8"/>
    <w:rsid w:val="00A96285"/>
    <w:rsid w:val="00A978CE"/>
    <w:rsid w:val="00A97AF2"/>
    <w:rsid w:val="00AA04EC"/>
    <w:rsid w:val="00AA0C98"/>
    <w:rsid w:val="00AA0FAC"/>
    <w:rsid w:val="00AA113D"/>
    <w:rsid w:val="00AA2764"/>
    <w:rsid w:val="00AA303D"/>
    <w:rsid w:val="00AA309B"/>
    <w:rsid w:val="00AA3428"/>
    <w:rsid w:val="00AA3AA5"/>
    <w:rsid w:val="00AA47B1"/>
    <w:rsid w:val="00AA6358"/>
    <w:rsid w:val="00AA6BD5"/>
    <w:rsid w:val="00AA6BD8"/>
    <w:rsid w:val="00AA6C7D"/>
    <w:rsid w:val="00AA6FD0"/>
    <w:rsid w:val="00AA7190"/>
    <w:rsid w:val="00AA73A3"/>
    <w:rsid w:val="00AA79D8"/>
    <w:rsid w:val="00AA7FD6"/>
    <w:rsid w:val="00AB02E5"/>
    <w:rsid w:val="00AB042A"/>
    <w:rsid w:val="00AB0CC2"/>
    <w:rsid w:val="00AB11AD"/>
    <w:rsid w:val="00AB19EF"/>
    <w:rsid w:val="00AB2495"/>
    <w:rsid w:val="00AB2656"/>
    <w:rsid w:val="00AB2B9A"/>
    <w:rsid w:val="00AB2D34"/>
    <w:rsid w:val="00AB301F"/>
    <w:rsid w:val="00AB3430"/>
    <w:rsid w:val="00AB360B"/>
    <w:rsid w:val="00AB37B9"/>
    <w:rsid w:val="00AB38ED"/>
    <w:rsid w:val="00AB3BFB"/>
    <w:rsid w:val="00AB3F30"/>
    <w:rsid w:val="00AB40C3"/>
    <w:rsid w:val="00AB4AD1"/>
    <w:rsid w:val="00AB4B72"/>
    <w:rsid w:val="00AB5E07"/>
    <w:rsid w:val="00AB65D5"/>
    <w:rsid w:val="00AB6D90"/>
    <w:rsid w:val="00AB7CFA"/>
    <w:rsid w:val="00AC07E1"/>
    <w:rsid w:val="00AC07ED"/>
    <w:rsid w:val="00AC0BCD"/>
    <w:rsid w:val="00AC10DF"/>
    <w:rsid w:val="00AC2C5A"/>
    <w:rsid w:val="00AC343C"/>
    <w:rsid w:val="00AC36AA"/>
    <w:rsid w:val="00AC5B42"/>
    <w:rsid w:val="00AC5B48"/>
    <w:rsid w:val="00AC6060"/>
    <w:rsid w:val="00AC6E52"/>
    <w:rsid w:val="00AC7452"/>
    <w:rsid w:val="00AC77C3"/>
    <w:rsid w:val="00AC7955"/>
    <w:rsid w:val="00AD0204"/>
    <w:rsid w:val="00AD1450"/>
    <w:rsid w:val="00AD15E8"/>
    <w:rsid w:val="00AD170B"/>
    <w:rsid w:val="00AD2B1F"/>
    <w:rsid w:val="00AD3443"/>
    <w:rsid w:val="00AD356D"/>
    <w:rsid w:val="00AD3727"/>
    <w:rsid w:val="00AD3F2D"/>
    <w:rsid w:val="00AD4F1C"/>
    <w:rsid w:val="00AD502C"/>
    <w:rsid w:val="00AD504A"/>
    <w:rsid w:val="00AD558B"/>
    <w:rsid w:val="00AD5CB5"/>
    <w:rsid w:val="00AD6502"/>
    <w:rsid w:val="00AD7E62"/>
    <w:rsid w:val="00AD7F37"/>
    <w:rsid w:val="00AE0695"/>
    <w:rsid w:val="00AE086D"/>
    <w:rsid w:val="00AE12DA"/>
    <w:rsid w:val="00AE14C8"/>
    <w:rsid w:val="00AE19A4"/>
    <w:rsid w:val="00AE243E"/>
    <w:rsid w:val="00AE2BF8"/>
    <w:rsid w:val="00AE2DC8"/>
    <w:rsid w:val="00AE30EE"/>
    <w:rsid w:val="00AE361E"/>
    <w:rsid w:val="00AE3E7E"/>
    <w:rsid w:val="00AE44C7"/>
    <w:rsid w:val="00AE513D"/>
    <w:rsid w:val="00AE5E9A"/>
    <w:rsid w:val="00AE6582"/>
    <w:rsid w:val="00AE6D5F"/>
    <w:rsid w:val="00AE7707"/>
    <w:rsid w:val="00AE7AC7"/>
    <w:rsid w:val="00AE7E53"/>
    <w:rsid w:val="00AF1315"/>
    <w:rsid w:val="00AF19BF"/>
    <w:rsid w:val="00AF293E"/>
    <w:rsid w:val="00AF2DC3"/>
    <w:rsid w:val="00AF47D2"/>
    <w:rsid w:val="00AF63E9"/>
    <w:rsid w:val="00AF76F1"/>
    <w:rsid w:val="00B033E5"/>
    <w:rsid w:val="00B03A63"/>
    <w:rsid w:val="00B04F49"/>
    <w:rsid w:val="00B05817"/>
    <w:rsid w:val="00B06F69"/>
    <w:rsid w:val="00B105CC"/>
    <w:rsid w:val="00B10751"/>
    <w:rsid w:val="00B12557"/>
    <w:rsid w:val="00B129A4"/>
    <w:rsid w:val="00B12BAD"/>
    <w:rsid w:val="00B14F1F"/>
    <w:rsid w:val="00B16D78"/>
    <w:rsid w:val="00B16F91"/>
    <w:rsid w:val="00B17D83"/>
    <w:rsid w:val="00B20195"/>
    <w:rsid w:val="00B201A4"/>
    <w:rsid w:val="00B201D1"/>
    <w:rsid w:val="00B2023C"/>
    <w:rsid w:val="00B20359"/>
    <w:rsid w:val="00B2039F"/>
    <w:rsid w:val="00B213A6"/>
    <w:rsid w:val="00B21AFD"/>
    <w:rsid w:val="00B21F6A"/>
    <w:rsid w:val="00B23403"/>
    <w:rsid w:val="00B235B0"/>
    <w:rsid w:val="00B23C74"/>
    <w:rsid w:val="00B24774"/>
    <w:rsid w:val="00B24DF6"/>
    <w:rsid w:val="00B253A0"/>
    <w:rsid w:val="00B26CF0"/>
    <w:rsid w:val="00B27A61"/>
    <w:rsid w:val="00B27D3F"/>
    <w:rsid w:val="00B27FCD"/>
    <w:rsid w:val="00B30868"/>
    <w:rsid w:val="00B30DFA"/>
    <w:rsid w:val="00B31491"/>
    <w:rsid w:val="00B32C5D"/>
    <w:rsid w:val="00B34637"/>
    <w:rsid w:val="00B34887"/>
    <w:rsid w:val="00B34FE2"/>
    <w:rsid w:val="00B35166"/>
    <w:rsid w:val="00B355B9"/>
    <w:rsid w:val="00B357D8"/>
    <w:rsid w:val="00B3597C"/>
    <w:rsid w:val="00B360F4"/>
    <w:rsid w:val="00B36A00"/>
    <w:rsid w:val="00B37505"/>
    <w:rsid w:val="00B377CF"/>
    <w:rsid w:val="00B3792B"/>
    <w:rsid w:val="00B37BFC"/>
    <w:rsid w:val="00B40358"/>
    <w:rsid w:val="00B403EE"/>
    <w:rsid w:val="00B411CE"/>
    <w:rsid w:val="00B41353"/>
    <w:rsid w:val="00B41614"/>
    <w:rsid w:val="00B41896"/>
    <w:rsid w:val="00B41A5A"/>
    <w:rsid w:val="00B42851"/>
    <w:rsid w:val="00B42F80"/>
    <w:rsid w:val="00B435CB"/>
    <w:rsid w:val="00B44554"/>
    <w:rsid w:val="00B45B17"/>
    <w:rsid w:val="00B45DB6"/>
    <w:rsid w:val="00B465EC"/>
    <w:rsid w:val="00B505C8"/>
    <w:rsid w:val="00B50DB8"/>
    <w:rsid w:val="00B53654"/>
    <w:rsid w:val="00B53905"/>
    <w:rsid w:val="00B540BE"/>
    <w:rsid w:val="00B54577"/>
    <w:rsid w:val="00B546DB"/>
    <w:rsid w:val="00B54B5B"/>
    <w:rsid w:val="00B551CB"/>
    <w:rsid w:val="00B5532B"/>
    <w:rsid w:val="00B5562E"/>
    <w:rsid w:val="00B55862"/>
    <w:rsid w:val="00B55D65"/>
    <w:rsid w:val="00B55F9A"/>
    <w:rsid w:val="00B560B4"/>
    <w:rsid w:val="00B56305"/>
    <w:rsid w:val="00B57000"/>
    <w:rsid w:val="00B57C2A"/>
    <w:rsid w:val="00B60939"/>
    <w:rsid w:val="00B60AFD"/>
    <w:rsid w:val="00B62715"/>
    <w:rsid w:val="00B638AC"/>
    <w:rsid w:val="00B63E4A"/>
    <w:rsid w:val="00B648EB"/>
    <w:rsid w:val="00B65026"/>
    <w:rsid w:val="00B6535B"/>
    <w:rsid w:val="00B65611"/>
    <w:rsid w:val="00B6725A"/>
    <w:rsid w:val="00B70DC9"/>
    <w:rsid w:val="00B70E8E"/>
    <w:rsid w:val="00B731D8"/>
    <w:rsid w:val="00B7330B"/>
    <w:rsid w:val="00B74027"/>
    <w:rsid w:val="00B74647"/>
    <w:rsid w:val="00B748E5"/>
    <w:rsid w:val="00B74FD4"/>
    <w:rsid w:val="00B76C92"/>
    <w:rsid w:val="00B77EE8"/>
    <w:rsid w:val="00B80EFD"/>
    <w:rsid w:val="00B818A4"/>
    <w:rsid w:val="00B81B86"/>
    <w:rsid w:val="00B81F90"/>
    <w:rsid w:val="00B82C1A"/>
    <w:rsid w:val="00B82D1E"/>
    <w:rsid w:val="00B83739"/>
    <w:rsid w:val="00B84117"/>
    <w:rsid w:val="00B85008"/>
    <w:rsid w:val="00B858F0"/>
    <w:rsid w:val="00B85AA2"/>
    <w:rsid w:val="00B8649C"/>
    <w:rsid w:val="00B8695D"/>
    <w:rsid w:val="00B86B64"/>
    <w:rsid w:val="00B87F0A"/>
    <w:rsid w:val="00B91C56"/>
    <w:rsid w:val="00B9264B"/>
    <w:rsid w:val="00B92D0B"/>
    <w:rsid w:val="00B93207"/>
    <w:rsid w:val="00B93360"/>
    <w:rsid w:val="00B9373C"/>
    <w:rsid w:val="00B93E60"/>
    <w:rsid w:val="00B93E8A"/>
    <w:rsid w:val="00B93FEC"/>
    <w:rsid w:val="00B94742"/>
    <w:rsid w:val="00B94945"/>
    <w:rsid w:val="00B94DD6"/>
    <w:rsid w:val="00B956E4"/>
    <w:rsid w:val="00B9575E"/>
    <w:rsid w:val="00B968F1"/>
    <w:rsid w:val="00B96C3A"/>
    <w:rsid w:val="00BA150F"/>
    <w:rsid w:val="00BA22D2"/>
    <w:rsid w:val="00BA2FD3"/>
    <w:rsid w:val="00BA322D"/>
    <w:rsid w:val="00BA616C"/>
    <w:rsid w:val="00BA63FA"/>
    <w:rsid w:val="00BA696E"/>
    <w:rsid w:val="00BB00B3"/>
    <w:rsid w:val="00BB04A0"/>
    <w:rsid w:val="00BB0820"/>
    <w:rsid w:val="00BB0BDD"/>
    <w:rsid w:val="00BB176C"/>
    <w:rsid w:val="00BB2A73"/>
    <w:rsid w:val="00BB2BC4"/>
    <w:rsid w:val="00BB2DB2"/>
    <w:rsid w:val="00BB3A45"/>
    <w:rsid w:val="00BB4ACC"/>
    <w:rsid w:val="00BB4CC1"/>
    <w:rsid w:val="00BB4CD2"/>
    <w:rsid w:val="00BB5A45"/>
    <w:rsid w:val="00BB5B2C"/>
    <w:rsid w:val="00BB5BE6"/>
    <w:rsid w:val="00BB5EC5"/>
    <w:rsid w:val="00BB703E"/>
    <w:rsid w:val="00BB732A"/>
    <w:rsid w:val="00BB732D"/>
    <w:rsid w:val="00BB7405"/>
    <w:rsid w:val="00BB74B2"/>
    <w:rsid w:val="00BC1D5C"/>
    <w:rsid w:val="00BC1E4A"/>
    <w:rsid w:val="00BC231C"/>
    <w:rsid w:val="00BC3631"/>
    <w:rsid w:val="00BC54BA"/>
    <w:rsid w:val="00BC567A"/>
    <w:rsid w:val="00BC591F"/>
    <w:rsid w:val="00BC6171"/>
    <w:rsid w:val="00BC7435"/>
    <w:rsid w:val="00BC7D6D"/>
    <w:rsid w:val="00BD05B8"/>
    <w:rsid w:val="00BD0C72"/>
    <w:rsid w:val="00BD0DB7"/>
    <w:rsid w:val="00BD142C"/>
    <w:rsid w:val="00BD1A65"/>
    <w:rsid w:val="00BD1F95"/>
    <w:rsid w:val="00BD2108"/>
    <w:rsid w:val="00BD2255"/>
    <w:rsid w:val="00BD2608"/>
    <w:rsid w:val="00BD37A3"/>
    <w:rsid w:val="00BD55A4"/>
    <w:rsid w:val="00BD6664"/>
    <w:rsid w:val="00BD68A3"/>
    <w:rsid w:val="00BD691B"/>
    <w:rsid w:val="00BD6938"/>
    <w:rsid w:val="00BD6CF3"/>
    <w:rsid w:val="00BD7F72"/>
    <w:rsid w:val="00BE010C"/>
    <w:rsid w:val="00BE0E8C"/>
    <w:rsid w:val="00BE0ECA"/>
    <w:rsid w:val="00BE18FC"/>
    <w:rsid w:val="00BE2180"/>
    <w:rsid w:val="00BE21F2"/>
    <w:rsid w:val="00BE2336"/>
    <w:rsid w:val="00BE4275"/>
    <w:rsid w:val="00BE4AD2"/>
    <w:rsid w:val="00BE4DB6"/>
    <w:rsid w:val="00BE548B"/>
    <w:rsid w:val="00BE6103"/>
    <w:rsid w:val="00BF06AE"/>
    <w:rsid w:val="00BF07B3"/>
    <w:rsid w:val="00BF0E1C"/>
    <w:rsid w:val="00BF0F95"/>
    <w:rsid w:val="00BF14B0"/>
    <w:rsid w:val="00BF1ECA"/>
    <w:rsid w:val="00BF213B"/>
    <w:rsid w:val="00BF2433"/>
    <w:rsid w:val="00BF2A79"/>
    <w:rsid w:val="00BF2E6E"/>
    <w:rsid w:val="00BF327D"/>
    <w:rsid w:val="00BF3EDD"/>
    <w:rsid w:val="00BF42F1"/>
    <w:rsid w:val="00BF4A88"/>
    <w:rsid w:val="00BF4D7C"/>
    <w:rsid w:val="00BF61C9"/>
    <w:rsid w:val="00BF69F3"/>
    <w:rsid w:val="00BF6C94"/>
    <w:rsid w:val="00BF71B3"/>
    <w:rsid w:val="00BF7E79"/>
    <w:rsid w:val="00C0018C"/>
    <w:rsid w:val="00C00417"/>
    <w:rsid w:val="00C00424"/>
    <w:rsid w:val="00C00BB0"/>
    <w:rsid w:val="00C01E2C"/>
    <w:rsid w:val="00C021EC"/>
    <w:rsid w:val="00C043A9"/>
    <w:rsid w:val="00C045EC"/>
    <w:rsid w:val="00C06A9B"/>
    <w:rsid w:val="00C07139"/>
    <w:rsid w:val="00C07D9A"/>
    <w:rsid w:val="00C11677"/>
    <w:rsid w:val="00C1179F"/>
    <w:rsid w:val="00C1274A"/>
    <w:rsid w:val="00C127B9"/>
    <w:rsid w:val="00C128FA"/>
    <w:rsid w:val="00C12C14"/>
    <w:rsid w:val="00C14F06"/>
    <w:rsid w:val="00C15F04"/>
    <w:rsid w:val="00C15F23"/>
    <w:rsid w:val="00C15FAB"/>
    <w:rsid w:val="00C16A2B"/>
    <w:rsid w:val="00C16BB6"/>
    <w:rsid w:val="00C16E3A"/>
    <w:rsid w:val="00C179B3"/>
    <w:rsid w:val="00C17B4B"/>
    <w:rsid w:val="00C17E2D"/>
    <w:rsid w:val="00C17E3F"/>
    <w:rsid w:val="00C200AA"/>
    <w:rsid w:val="00C21CB1"/>
    <w:rsid w:val="00C2264D"/>
    <w:rsid w:val="00C22F47"/>
    <w:rsid w:val="00C237ED"/>
    <w:rsid w:val="00C2421B"/>
    <w:rsid w:val="00C24632"/>
    <w:rsid w:val="00C25418"/>
    <w:rsid w:val="00C25D9C"/>
    <w:rsid w:val="00C26E5B"/>
    <w:rsid w:val="00C27556"/>
    <w:rsid w:val="00C2778B"/>
    <w:rsid w:val="00C3003E"/>
    <w:rsid w:val="00C30416"/>
    <w:rsid w:val="00C312C2"/>
    <w:rsid w:val="00C31649"/>
    <w:rsid w:val="00C33F5B"/>
    <w:rsid w:val="00C341B6"/>
    <w:rsid w:val="00C3434C"/>
    <w:rsid w:val="00C34D8C"/>
    <w:rsid w:val="00C350E2"/>
    <w:rsid w:val="00C35BC3"/>
    <w:rsid w:val="00C363D1"/>
    <w:rsid w:val="00C36CEA"/>
    <w:rsid w:val="00C40385"/>
    <w:rsid w:val="00C40654"/>
    <w:rsid w:val="00C40DFC"/>
    <w:rsid w:val="00C41768"/>
    <w:rsid w:val="00C41CE0"/>
    <w:rsid w:val="00C421DD"/>
    <w:rsid w:val="00C42B13"/>
    <w:rsid w:val="00C43CB7"/>
    <w:rsid w:val="00C4404D"/>
    <w:rsid w:val="00C44BCA"/>
    <w:rsid w:val="00C45C26"/>
    <w:rsid w:val="00C475AA"/>
    <w:rsid w:val="00C47DFB"/>
    <w:rsid w:val="00C51A77"/>
    <w:rsid w:val="00C5223E"/>
    <w:rsid w:val="00C527C7"/>
    <w:rsid w:val="00C52D29"/>
    <w:rsid w:val="00C538F3"/>
    <w:rsid w:val="00C53AC5"/>
    <w:rsid w:val="00C53C98"/>
    <w:rsid w:val="00C549E4"/>
    <w:rsid w:val="00C55097"/>
    <w:rsid w:val="00C555B8"/>
    <w:rsid w:val="00C56246"/>
    <w:rsid w:val="00C56FCF"/>
    <w:rsid w:val="00C57B6C"/>
    <w:rsid w:val="00C618D9"/>
    <w:rsid w:val="00C61A59"/>
    <w:rsid w:val="00C61CE5"/>
    <w:rsid w:val="00C625FD"/>
    <w:rsid w:val="00C628A6"/>
    <w:rsid w:val="00C63235"/>
    <w:rsid w:val="00C64344"/>
    <w:rsid w:val="00C65108"/>
    <w:rsid w:val="00C6534C"/>
    <w:rsid w:val="00C65576"/>
    <w:rsid w:val="00C66165"/>
    <w:rsid w:val="00C6628C"/>
    <w:rsid w:val="00C67150"/>
    <w:rsid w:val="00C7056C"/>
    <w:rsid w:val="00C7060A"/>
    <w:rsid w:val="00C706D0"/>
    <w:rsid w:val="00C70903"/>
    <w:rsid w:val="00C7151A"/>
    <w:rsid w:val="00C715B6"/>
    <w:rsid w:val="00C717E3"/>
    <w:rsid w:val="00C71F60"/>
    <w:rsid w:val="00C72241"/>
    <w:rsid w:val="00C7228E"/>
    <w:rsid w:val="00C7334A"/>
    <w:rsid w:val="00C750C8"/>
    <w:rsid w:val="00C751A9"/>
    <w:rsid w:val="00C752F5"/>
    <w:rsid w:val="00C7560F"/>
    <w:rsid w:val="00C761A0"/>
    <w:rsid w:val="00C761BE"/>
    <w:rsid w:val="00C76F85"/>
    <w:rsid w:val="00C77180"/>
    <w:rsid w:val="00C80793"/>
    <w:rsid w:val="00C80A0E"/>
    <w:rsid w:val="00C80F61"/>
    <w:rsid w:val="00C816E9"/>
    <w:rsid w:val="00C8213F"/>
    <w:rsid w:val="00C82937"/>
    <w:rsid w:val="00C8303F"/>
    <w:rsid w:val="00C846F2"/>
    <w:rsid w:val="00C85154"/>
    <w:rsid w:val="00C85A70"/>
    <w:rsid w:val="00C86D9F"/>
    <w:rsid w:val="00C8797A"/>
    <w:rsid w:val="00C900B8"/>
    <w:rsid w:val="00C90194"/>
    <w:rsid w:val="00C90197"/>
    <w:rsid w:val="00C90686"/>
    <w:rsid w:val="00C90857"/>
    <w:rsid w:val="00C90C71"/>
    <w:rsid w:val="00C90FC0"/>
    <w:rsid w:val="00C918F6"/>
    <w:rsid w:val="00C91FD1"/>
    <w:rsid w:val="00C92235"/>
    <w:rsid w:val="00C9232C"/>
    <w:rsid w:val="00C931CF"/>
    <w:rsid w:val="00C93849"/>
    <w:rsid w:val="00C938CF"/>
    <w:rsid w:val="00C93C2B"/>
    <w:rsid w:val="00C94053"/>
    <w:rsid w:val="00C9483E"/>
    <w:rsid w:val="00C94BE2"/>
    <w:rsid w:val="00C9624D"/>
    <w:rsid w:val="00C96689"/>
    <w:rsid w:val="00C969DA"/>
    <w:rsid w:val="00C96F73"/>
    <w:rsid w:val="00C976CC"/>
    <w:rsid w:val="00C976DC"/>
    <w:rsid w:val="00CA02F6"/>
    <w:rsid w:val="00CA17C2"/>
    <w:rsid w:val="00CA2268"/>
    <w:rsid w:val="00CA2C77"/>
    <w:rsid w:val="00CA346B"/>
    <w:rsid w:val="00CA3585"/>
    <w:rsid w:val="00CA3965"/>
    <w:rsid w:val="00CA444F"/>
    <w:rsid w:val="00CA4587"/>
    <w:rsid w:val="00CA497B"/>
    <w:rsid w:val="00CA5245"/>
    <w:rsid w:val="00CA6020"/>
    <w:rsid w:val="00CA7040"/>
    <w:rsid w:val="00CA71F4"/>
    <w:rsid w:val="00CA7B09"/>
    <w:rsid w:val="00CA7B56"/>
    <w:rsid w:val="00CB0690"/>
    <w:rsid w:val="00CB12A5"/>
    <w:rsid w:val="00CB19DD"/>
    <w:rsid w:val="00CB1CAC"/>
    <w:rsid w:val="00CB2A56"/>
    <w:rsid w:val="00CB2F2A"/>
    <w:rsid w:val="00CB3071"/>
    <w:rsid w:val="00CB3A1F"/>
    <w:rsid w:val="00CB50C4"/>
    <w:rsid w:val="00CB5B1A"/>
    <w:rsid w:val="00CB6644"/>
    <w:rsid w:val="00CB690C"/>
    <w:rsid w:val="00CB6B22"/>
    <w:rsid w:val="00CB6E58"/>
    <w:rsid w:val="00CB7F5F"/>
    <w:rsid w:val="00CC0428"/>
    <w:rsid w:val="00CC0647"/>
    <w:rsid w:val="00CC08B5"/>
    <w:rsid w:val="00CC11A0"/>
    <w:rsid w:val="00CC1B39"/>
    <w:rsid w:val="00CC1BFA"/>
    <w:rsid w:val="00CC1DE8"/>
    <w:rsid w:val="00CC2233"/>
    <w:rsid w:val="00CC2BCB"/>
    <w:rsid w:val="00CC2E9F"/>
    <w:rsid w:val="00CC35EA"/>
    <w:rsid w:val="00CC3848"/>
    <w:rsid w:val="00CC395C"/>
    <w:rsid w:val="00CC3E45"/>
    <w:rsid w:val="00CC4339"/>
    <w:rsid w:val="00CC5FD4"/>
    <w:rsid w:val="00CC6D5E"/>
    <w:rsid w:val="00CC7F35"/>
    <w:rsid w:val="00CD00D1"/>
    <w:rsid w:val="00CD0200"/>
    <w:rsid w:val="00CD1441"/>
    <w:rsid w:val="00CD1984"/>
    <w:rsid w:val="00CD2804"/>
    <w:rsid w:val="00CD339F"/>
    <w:rsid w:val="00CD3F55"/>
    <w:rsid w:val="00CD3F77"/>
    <w:rsid w:val="00CD48F1"/>
    <w:rsid w:val="00CD4FAB"/>
    <w:rsid w:val="00CD503B"/>
    <w:rsid w:val="00CD56D6"/>
    <w:rsid w:val="00CD577B"/>
    <w:rsid w:val="00CD5A30"/>
    <w:rsid w:val="00CD6ADC"/>
    <w:rsid w:val="00CD6C7E"/>
    <w:rsid w:val="00CD7193"/>
    <w:rsid w:val="00CE00BD"/>
    <w:rsid w:val="00CE0C4D"/>
    <w:rsid w:val="00CE38C8"/>
    <w:rsid w:val="00CE3E5E"/>
    <w:rsid w:val="00CE407A"/>
    <w:rsid w:val="00CE4B56"/>
    <w:rsid w:val="00CE524F"/>
    <w:rsid w:val="00CE58CC"/>
    <w:rsid w:val="00CE59AA"/>
    <w:rsid w:val="00CE6274"/>
    <w:rsid w:val="00CE6321"/>
    <w:rsid w:val="00CE77B6"/>
    <w:rsid w:val="00CE7CE3"/>
    <w:rsid w:val="00CF017E"/>
    <w:rsid w:val="00CF02EB"/>
    <w:rsid w:val="00CF0821"/>
    <w:rsid w:val="00CF0D51"/>
    <w:rsid w:val="00CF13C5"/>
    <w:rsid w:val="00CF1731"/>
    <w:rsid w:val="00CF19A8"/>
    <w:rsid w:val="00CF2B8D"/>
    <w:rsid w:val="00CF3A1B"/>
    <w:rsid w:val="00CF456B"/>
    <w:rsid w:val="00CF492F"/>
    <w:rsid w:val="00CF4DF0"/>
    <w:rsid w:val="00CF5227"/>
    <w:rsid w:val="00CF5A22"/>
    <w:rsid w:val="00D02106"/>
    <w:rsid w:val="00D0262E"/>
    <w:rsid w:val="00D03679"/>
    <w:rsid w:val="00D036F7"/>
    <w:rsid w:val="00D04629"/>
    <w:rsid w:val="00D050B2"/>
    <w:rsid w:val="00D05E3D"/>
    <w:rsid w:val="00D06139"/>
    <w:rsid w:val="00D061C2"/>
    <w:rsid w:val="00D06591"/>
    <w:rsid w:val="00D06C08"/>
    <w:rsid w:val="00D06C8F"/>
    <w:rsid w:val="00D07145"/>
    <w:rsid w:val="00D071A6"/>
    <w:rsid w:val="00D07940"/>
    <w:rsid w:val="00D07E1D"/>
    <w:rsid w:val="00D10F61"/>
    <w:rsid w:val="00D110BD"/>
    <w:rsid w:val="00D112CF"/>
    <w:rsid w:val="00D128F4"/>
    <w:rsid w:val="00D12E63"/>
    <w:rsid w:val="00D12F3C"/>
    <w:rsid w:val="00D13675"/>
    <w:rsid w:val="00D13C18"/>
    <w:rsid w:val="00D141E1"/>
    <w:rsid w:val="00D15067"/>
    <w:rsid w:val="00D15314"/>
    <w:rsid w:val="00D15B48"/>
    <w:rsid w:val="00D15E4D"/>
    <w:rsid w:val="00D17C3B"/>
    <w:rsid w:val="00D17D6C"/>
    <w:rsid w:val="00D20920"/>
    <w:rsid w:val="00D21168"/>
    <w:rsid w:val="00D2155B"/>
    <w:rsid w:val="00D216FA"/>
    <w:rsid w:val="00D21D4E"/>
    <w:rsid w:val="00D21FE3"/>
    <w:rsid w:val="00D230D2"/>
    <w:rsid w:val="00D23D11"/>
    <w:rsid w:val="00D23D6A"/>
    <w:rsid w:val="00D23E86"/>
    <w:rsid w:val="00D244B6"/>
    <w:rsid w:val="00D2754D"/>
    <w:rsid w:val="00D27B27"/>
    <w:rsid w:val="00D30D5B"/>
    <w:rsid w:val="00D313FB"/>
    <w:rsid w:val="00D31743"/>
    <w:rsid w:val="00D31B6E"/>
    <w:rsid w:val="00D33113"/>
    <w:rsid w:val="00D3320B"/>
    <w:rsid w:val="00D33BE9"/>
    <w:rsid w:val="00D33CD8"/>
    <w:rsid w:val="00D33F93"/>
    <w:rsid w:val="00D34C68"/>
    <w:rsid w:val="00D355AE"/>
    <w:rsid w:val="00D357FF"/>
    <w:rsid w:val="00D36292"/>
    <w:rsid w:val="00D36E50"/>
    <w:rsid w:val="00D4009A"/>
    <w:rsid w:val="00D40391"/>
    <w:rsid w:val="00D41EC3"/>
    <w:rsid w:val="00D42148"/>
    <w:rsid w:val="00D424C7"/>
    <w:rsid w:val="00D43B2A"/>
    <w:rsid w:val="00D43CF1"/>
    <w:rsid w:val="00D43D7E"/>
    <w:rsid w:val="00D43D83"/>
    <w:rsid w:val="00D44BD1"/>
    <w:rsid w:val="00D47575"/>
    <w:rsid w:val="00D50BFA"/>
    <w:rsid w:val="00D5239C"/>
    <w:rsid w:val="00D5243B"/>
    <w:rsid w:val="00D52573"/>
    <w:rsid w:val="00D530E0"/>
    <w:rsid w:val="00D533EC"/>
    <w:rsid w:val="00D5353A"/>
    <w:rsid w:val="00D54964"/>
    <w:rsid w:val="00D54A2D"/>
    <w:rsid w:val="00D54F6D"/>
    <w:rsid w:val="00D55745"/>
    <w:rsid w:val="00D56524"/>
    <w:rsid w:val="00D5669C"/>
    <w:rsid w:val="00D56A95"/>
    <w:rsid w:val="00D56C0C"/>
    <w:rsid w:val="00D570A8"/>
    <w:rsid w:val="00D6076E"/>
    <w:rsid w:val="00D611F0"/>
    <w:rsid w:val="00D63AEE"/>
    <w:rsid w:val="00D64F79"/>
    <w:rsid w:val="00D66934"/>
    <w:rsid w:val="00D66A3C"/>
    <w:rsid w:val="00D70AE5"/>
    <w:rsid w:val="00D70E6C"/>
    <w:rsid w:val="00D70F16"/>
    <w:rsid w:val="00D71571"/>
    <w:rsid w:val="00D72617"/>
    <w:rsid w:val="00D72C10"/>
    <w:rsid w:val="00D72F57"/>
    <w:rsid w:val="00D73314"/>
    <w:rsid w:val="00D75B5B"/>
    <w:rsid w:val="00D767F6"/>
    <w:rsid w:val="00D76A44"/>
    <w:rsid w:val="00D80016"/>
    <w:rsid w:val="00D80EE9"/>
    <w:rsid w:val="00D8139C"/>
    <w:rsid w:val="00D815EF"/>
    <w:rsid w:val="00D81949"/>
    <w:rsid w:val="00D81F26"/>
    <w:rsid w:val="00D820CC"/>
    <w:rsid w:val="00D822E2"/>
    <w:rsid w:val="00D8328A"/>
    <w:rsid w:val="00D83CC9"/>
    <w:rsid w:val="00D842D2"/>
    <w:rsid w:val="00D843F2"/>
    <w:rsid w:val="00D84DEE"/>
    <w:rsid w:val="00D8555C"/>
    <w:rsid w:val="00D85A63"/>
    <w:rsid w:val="00D86231"/>
    <w:rsid w:val="00D87241"/>
    <w:rsid w:val="00D90212"/>
    <w:rsid w:val="00D902DF"/>
    <w:rsid w:val="00D912AB"/>
    <w:rsid w:val="00D91571"/>
    <w:rsid w:val="00D915DC"/>
    <w:rsid w:val="00D91923"/>
    <w:rsid w:val="00D92318"/>
    <w:rsid w:val="00D92803"/>
    <w:rsid w:val="00D93753"/>
    <w:rsid w:val="00D93D30"/>
    <w:rsid w:val="00D94095"/>
    <w:rsid w:val="00D94B23"/>
    <w:rsid w:val="00DA0232"/>
    <w:rsid w:val="00DA0AE2"/>
    <w:rsid w:val="00DA2AB6"/>
    <w:rsid w:val="00DA3167"/>
    <w:rsid w:val="00DA3960"/>
    <w:rsid w:val="00DA41DD"/>
    <w:rsid w:val="00DA4DC3"/>
    <w:rsid w:val="00DA77A5"/>
    <w:rsid w:val="00DB0E36"/>
    <w:rsid w:val="00DB1EB6"/>
    <w:rsid w:val="00DB3DBF"/>
    <w:rsid w:val="00DB4108"/>
    <w:rsid w:val="00DB484F"/>
    <w:rsid w:val="00DB55D4"/>
    <w:rsid w:val="00DB5894"/>
    <w:rsid w:val="00DB5CD5"/>
    <w:rsid w:val="00DB7AE8"/>
    <w:rsid w:val="00DC04F6"/>
    <w:rsid w:val="00DC0690"/>
    <w:rsid w:val="00DC0DBA"/>
    <w:rsid w:val="00DC1708"/>
    <w:rsid w:val="00DC1D65"/>
    <w:rsid w:val="00DC25B6"/>
    <w:rsid w:val="00DC3068"/>
    <w:rsid w:val="00DC3C57"/>
    <w:rsid w:val="00DC5310"/>
    <w:rsid w:val="00DC5501"/>
    <w:rsid w:val="00DC5637"/>
    <w:rsid w:val="00DC59D0"/>
    <w:rsid w:val="00DC5B0A"/>
    <w:rsid w:val="00DC5DDB"/>
    <w:rsid w:val="00DC5DE4"/>
    <w:rsid w:val="00DC7154"/>
    <w:rsid w:val="00DC7DB5"/>
    <w:rsid w:val="00DC7E8A"/>
    <w:rsid w:val="00DD0369"/>
    <w:rsid w:val="00DD0F78"/>
    <w:rsid w:val="00DD0FD4"/>
    <w:rsid w:val="00DD1B91"/>
    <w:rsid w:val="00DD21D8"/>
    <w:rsid w:val="00DD232E"/>
    <w:rsid w:val="00DD2634"/>
    <w:rsid w:val="00DD2728"/>
    <w:rsid w:val="00DD273C"/>
    <w:rsid w:val="00DD2E9A"/>
    <w:rsid w:val="00DD3B46"/>
    <w:rsid w:val="00DD3CBB"/>
    <w:rsid w:val="00DD3F28"/>
    <w:rsid w:val="00DD4446"/>
    <w:rsid w:val="00DD4472"/>
    <w:rsid w:val="00DD4537"/>
    <w:rsid w:val="00DD4E15"/>
    <w:rsid w:val="00DD56E9"/>
    <w:rsid w:val="00DD5898"/>
    <w:rsid w:val="00DD6C5A"/>
    <w:rsid w:val="00DE155F"/>
    <w:rsid w:val="00DE1BAF"/>
    <w:rsid w:val="00DE2304"/>
    <w:rsid w:val="00DE3138"/>
    <w:rsid w:val="00DE37F8"/>
    <w:rsid w:val="00DE4273"/>
    <w:rsid w:val="00DE4FCB"/>
    <w:rsid w:val="00DE524A"/>
    <w:rsid w:val="00DE576F"/>
    <w:rsid w:val="00DE5D07"/>
    <w:rsid w:val="00DE6BAA"/>
    <w:rsid w:val="00DE6D0E"/>
    <w:rsid w:val="00DE716D"/>
    <w:rsid w:val="00DE72A7"/>
    <w:rsid w:val="00DE7832"/>
    <w:rsid w:val="00DE78F0"/>
    <w:rsid w:val="00DE7BA8"/>
    <w:rsid w:val="00DF00F9"/>
    <w:rsid w:val="00DF0DA6"/>
    <w:rsid w:val="00DF0E90"/>
    <w:rsid w:val="00DF18FC"/>
    <w:rsid w:val="00DF3A6F"/>
    <w:rsid w:val="00DF3E95"/>
    <w:rsid w:val="00DF42E0"/>
    <w:rsid w:val="00DF5019"/>
    <w:rsid w:val="00DF55FC"/>
    <w:rsid w:val="00DF5D2B"/>
    <w:rsid w:val="00DF6341"/>
    <w:rsid w:val="00DF74EB"/>
    <w:rsid w:val="00E00686"/>
    <w:rsid w:val="00E00AC8"/>
    <w:rsid w:val="00E00E8E"/>
    <w:rsid w:val="00E015E0"/>
    <w:rsid w:val="00E01F2B"/>
    <w:rsid w:val="00E029DB"/>
    <w:rsid w:val="00E046FB"/>
    <w:rsid w:val="00E04D3D"/>
    <w:rsid w:val="00E05630"/>
    <w:rsid w:val="00E06906"/>
    <w:rsid w:val="00E06DBB"/>
    <w:rsid w:val="00E10149"/>
    <w:rsid w:val="00E109D2"/>
    <w:rsid w:val="00E10D8F"/>
    <w:rsid w:val="00E11340"/>
    <w:rsid w:val="00E11492"/>
    <w:rsid w:val="00E11771"/>
    <w:rsid w:val="00E122A1"/>
    <w:rsid w:val="00E13FAA"/>
    <w:rsid w:val="00E1553F"/>
    <w:rsid w:val="00E16372"/>
    <w:rsid w:val="00E1670E"/>
    <w:rsid w:val="00E16AD8"/>
    <w:rsid w:val="00E17199"/>
    <w:rsid w:val="00E175B9"/>
    <w:rsid w:val="00E17DA2"/>
    <w:rsid w:val="00E17FFA"/>
    <w:rsid w:val="00E20121"/>
    <w:rsid w:val="00E20358"/>
    <w:rsid w:val="00E20E4D"/>
    <w:rsid w:val="00E20ED6"/>
    <w:rsid w:val="00E212B5"/>
    <w:rsid w:val="00E21358"/>
    <w:rsid w:val="00E2249B"/>
    <w:rsid w:val="00E226E5"/>
    <w:rsid w:val="00E22A0D"/>
    <w:rsid w:val="00E22EE7"/>
    <w:rsid w:val="00E2367A"/>
    <w:rsid w:val="00E2392D"/>
    <w:rsid w:val="00E244F6"/>
    <w:rsid w:val="00E24A2A"/>
    <w:rsid w:val="00E24E50"/>
    <w:rsid w:val="00E25006"/>
    <w:rsid w:val="00E25691"/>
    <w:rsid w:val="00E258DB"/>
    <w:rsid w:val="00E262C9"/>
    <w:rsid w:val="00E27698"/>
    <w:rsid w:val="00E2771E"/>
    <w:rsid w:val="00E27B56"/>
    <w:rsid w:val="00E30033"/>
    <w:rsid w:val="00E304C8"/>
    <w:rsid w:val="00E30553"/>
    <w:rsid w:val="00E311EF"/>
    <w:rsid w:val="00E31EE6"/>
    <w:rsid w:val="00E32180"/>
    <w:rsid w:val="00E324F3"/>
    <w:rsid w:val="00E3256C"/>
    <w:rsid w:val="00E34317"/>
    <w:rsid w:val="00E34948"/>
    <w:rsid w:val="00E34CD4"/>
    <w:rsid w:val="00E35983"/>
    <w:rsid w:val="00E359EB"/>
    <w:rsid w:val="00E36844"/>
    <w:rsid w:val="00E37569"/>
    <w:rsid w:val="00E401B2"/>
    <w:rsid w:val="00E40AB3"/>
    <w:rsid w:val="00E41E30"/>
    <w:rsid w:val="00E4255B"/>
    <w:rsid w:val="00E42DE9"/>
    <w:rsid w:val="00E42F73"/>
    <w:rsid w:val="00E43D70"/>
    <w:rsid w:val="00E443A0"/>
    <w:rsid w:val="00E44635"/>
    <w:rsid w:val="00E44B07"/>
    <w:rsid w:val="00E45442"/>
    <w:rsid w:val="00E457E3"/>
    <w:rsid w:val="00E4618E"/>
    <w:rsid w:val="00E466F3"/>
    <w:rsid w:val="00E47AC5"/>
    <w:rsid w:val="00E47B2C"/>
    <w:rsid w:val="00E47B94"/>
    <w:rsid w:val="00E50EAE"/>
    <w:rsid w:val="00E51226"/>
    <w:rsid w:val="00E51560"/>
    <w:rsid w:val="00E51821"/>
    <w:rsid w:val="00E5204D"/>
    <w:rsid w:val="00E52AC5"/>
    <w:rsid w:val="00E533BE"/>
    <w:rsid w:val="00E538ED"/>
    <w:rsid w:val="00E53FC8"/>
    <w:rsid w:val="00E54279"/>
    <w:rsid w:val="00E54347"/>
    <w:rsid w:val="00E54FFB"/>
    <w:rsid w:val="00E5509A"/>
    <w:rsid w:val="00E55424"/>
    <w:rsid w:val="00E55915"/>
    <w:rsid w:val="00E55BB5"/>
    <w:rsid w:val="00E57AD6"/>
    <w:rsid w:val="00E609B5"/>
    <w:rsid w:val="00E611DF"/>
    <w:rsid w:val="00E61A29"/>
    <w:rsid w:val="00E62EA2"/>
    <w:rsid w:val="00E63809"/>
    <w:rsid w:val="00E65E79"/>
    <w:rsid w:val="00E660CD"/>
    <w:rsid w:val="00E666AC"/>
    <w:rsid w:val="00E66868"/>
    <w:rsid w:val="00E66BA2"/>
    <w:rsid w:val="00E66EB2"/>
    <w:rsid w:val="00E67047"/>
    <w:rsid w:val="00E67416"/>
    <w:rsid w:val="00E703DF"/>
    <w:rsid w:val="00E703E8"/>
    <w:rsid w:val="00E718B6"/>
    <w:rsid w:val="00E71F0E"/>
    <w:rsid w:val="00E723BA"/>
    <w:rsid w:val="00E7245C"/>
    <w:rsid w:val="00E73581"/>
    <w:rsid w:val="00E73809"/>
    <w:rsid w:val="00E73A09"/>
    <w:rsid w:val="00E75307"/>
    <w:rsid w:val="00E76D39"/>
    <w:rsid w:val="00E76F34"/>
    <w:rsid w:val="00E802E8"/>
    <w:rsid w:val="00E809F9"/>
    <w:rsid w:val="00E80D4A"/>
    <w:rsid w:val="00E81509"/>
    <w:rsid w:val="00E8326F"/>
    <w:rsid w:val="00E833F7"/>
    <w:rsid w:val="00E8382E"/>
    <w:rsid w:val="00E83BDF"/>
    <w:rsid w:val="00E83E4C"/>
    <w:rsid w:val="00E83F08"/>
    <w:rsid w:val="00E8440F"/>
    <w:rsid w:val="00E84CAF"/>
    <w:rsid w:val="00E85A7B"/>
    <w:rsid w:val="00E86114"/>
    <w:rsid w:val="00E8634E"/>
    <w:rsid w:val="00E86FCC"/>
    <w:rsid w:val="00E87A1D"/>
    <w:rsid w:val="00E9094A"/>
    <w:rsid w:val="00E915E2"/>
    <w:rsid w:val="00E91719"/>
    <w:rsid w:val="00E91D35"/>
    <w:rsid w:val="00E926A5"/>
    <w:rsid w:val="00E9399B"/>
    <w:rsid w:val="00E939CD"/>
    <w:rsid w:val="00E93D3C"/>
    <w:rsid w:val="00E941BA"/>
    <w:rsid w:val="00E94E4D"/>
    <w:rsid w:val="00E95781"/>
    <w:rsid w:val="00E962CC"/>
    <w:rsid w:val="00E962D3"/>
    <w:rsid w:val="00E963A1"/>
    <w:rsid w:val="00EA0C4B"/>
    <w:rsid w:val="00EA17C3"/>
    <w:rsid w:val="00EA2CAA"/>
    <w:rsid w:val="00EA2F68"/>
    <w:rsid w:val="00EA3864"/>
    <w:rsid w:val="00EA3A7B"/>
    <w:rsid w:val="00EA608B"/>
    <w:rsid w:val="00EA6113"/>
    <w:rsid w:val="00EA71F7"/>
    <w:rsid w:val="00EA74A2"/>
    <w:rsid w:val="00EA756F"/>
    <w:rsid w:val="00EA7A46"/>
    <w:rsid w:val="00EA7F1C"/>
    <w:rsid w:val="00EB15B6"/>
    <w:rsid w:val="00EB3D06"/>
    <w:rsid w:val="00EB4139"/>
    <w:rsid w:val="00EB4916"/>
    <w:rsid w:val="00EB5A5E"/>
    <w:rsid w:val="00EB74B8"/>
    <w:rsid w:val="00EB798E"/>
    <w:rsid w:val="00EC00C9"/>
    <w:rsid w:val="00EC0AB1"/>
    <w:rsid w:val="00EC0DD9"/>
    <w:rsid w:val="00EC2649"/>
    <w:rsid w:val="00EC28E5"/>
    <w:rsid w:val="00EC2919"/>
    <w:rsid w:val="00EC31ED"/>
    <w:rsid w:val="00EC3240"/>
    <w:rsid w:val="00EC48A7"/>
    <w:rsid w:val="00EC5836"/>
    <w:rsid w:val="00EC5BE0"/>
    <w:rsid w:val="00EC5C0F"/>
    <w:rsid w:val="00EC664B"/>
    <w:rsid w:val="00EC688C"/>
    <w:rsid w:val="00EC7C8F"/>
    <w:rsid w:val="00ED12E3"/>
    <w:rsid w:val="00ED1E67"/>
    <w:rsid w:val="00ED2539"/>
    <w:rsid w:val="00ED2C9C"/>
    <w:rsid w:val="00ED3019"/>
    <w:rsid w:val="00ED432D"/>
    <w:rsid w:val="00ED4B04"/>
    <w:rsid w:val="00ED57EA"/>
    <w:rsid w:val="00ED5BD4"/>
    <w:rsid w:val="00ED5D42"/>
    <w:rsid w:val="00ED5E27"/>
    <w:rsid w:val="00ED5ED2"/>
    <w:rsid w:val="00ED6BB8"/>
    <w:rsid w:val="00ED6CB7"/>
    <w:rsid w:val="00ED6F0B"/>
    <w:rsid w:val="00ED76C5"/>
    <w:rsid w:val="00ED76CE"/>
    <w:rsid w:val="00ED7A51"/>
    <w:rsid w:val="00EE07D3"/>
    <w:rsid w:val="00EE1996"/>
    <w:rsid w:val="00EE1C01"/>
    <w:rsid w:val="00EE22AF"/>
    <w:rsid w:val="00EE280E"/>
    <w:rsid w:val="00EE3155"/>
    <w:rsid w:val="00EE3336"/>
    <w:rsid w:val="00EE411F"/>
    <w:rsid w:val="00EE459A"/>
    <w:rsid w:val="00EE53BD"/>
    <w:rsid w:val="00EE563F"/>
    <w:rsid w:val="00EE58D8"/>
    <w:rsid w:val="00EE58E6"/>
    <w:rsid w:val="00EE748E"/>
    <w:rsid w:val="00EF0004"/>
    <w:rsid w:val="00EF0171"/>
    <w:rsid w:val="00EF0308"/>
    <w:rsid w:val="00EF1B25"/>
    <w:rsid w:val="00EF1DA0"/>
    <w:rsid w:val="00EF27BB"/>
    <w:rsid w:val="00EF27BC"/>
    <w:rsid w:val="00EF3EF5"/>
    <w:rsid w:val="00EF4747"/>
    <w:rsid w:val="00EF4798"/>
    <w:rsid w:val="00EF4BF8"/>
    <w:rsid w:val="00EF5160"/>
    <w:rsid w:val="00EF61DE"/>
    <w:rsid w:val="00EF7475"/>
    <w:rsid w:val="00F00405"/>
    <w:rsid w:val="00F007A7"/>
    <w:rsid w:val="00F00CF0"/>
    <w:rsid w:val="00F012D5"/>
    <w:rsid w:val="00F02060"/>
    <w:rsid w:val="00F02253"/>
    <w:rsid w:val="00F03C2E"/>
    <w:rsid w:val="00F04A66"/>
    <w:rsid w:val="00F04B4B"/>
    <w:rsid w:val="00F0516C"/>
    <w:rsid w:val="00F057FD"/>
    <w:rsid w:val="00F067A2"/>
    <w:rsid w:val="00F07B9E"/>
    <w:rsid w:val="00F10259"/>
    <w:rsid w:val="00F10D8D"/>
    <w:rsid w:val="00F1116F"/>
    <w:rsid w:val="00F116A0"/>
    <w:rsid w:val="00F1263A"/>
    <w:rsid w:val="00F12C22"/>
    <w:rsid w:val="00F139C5"/>
    <w:rsid w:val="00F1413C"/>
    <w:rsid w:val="00F159D5"/>
    <w:rsid w:val="00F15B21"/>
    <w:rsid w:val="00F15B77"/>
    <w:rsid w:val="00F1638E"/>
    <w:rsid w:val="00F17D66"/>
    <w:rsid w:val="00F21236"/>
    <w:rsid w:val="00F22343"/>
    <w:rsid w:val="00F22EC7"/>
    <w:rsid w:val="00F234F7"/>
    <w:rsid w:val="00F23736"/>
    <w:rsid w:val="00F239DF"/>
    <w:rsid w:val="00F23D4F"/>
    <w:rsid w:val="00F2477C"/>
    <w:rsid w:val="00F24837"/>
    <w:rsid w:val="00F24A55"/>
    <w:rsid w:val="00F252E3"/>
    <w:rsid w:val="00F2575F"/>
    <w:rsid w:val="00F2623A"/>
    <w:rsid w:val="00F27565"/>
    <w:rsid w:val="00F310D4"/>
    <w:rsid w:val="00F3125A"/>
    <w:rsid w:val="00F31920"/>
    <w:rsid w:val="00F31D5A"/>
    <w:rsid w:val="00F32070"/>
    <w:rsid w:val="00F32731"/>
    <w:rsid w:val="00F33975"/>
    <w:rsid w:val="00F33DE9"/>
    <w:rsid w:val="00F34687"/>
    <w:rsid w:val="00F34A8D"/>
    <w:rsid w:val="00F35E6D"/>
    <w:rsid w:val="00F3619A"/>
    <w:rsid w:val="00F3661F"/>
    <w:rsid w:val="00F3670E"/>
    <w:rsid w:val="00F36B17"/>
    <w:rsid w:val="00F37A4C"/>
    <w:rsid w:val="00F37E99"/>
    <w:rsid w:val="00F40AAA"/>
    <w:rsid w:val="00F40BA7"/>
    <w:rsid w:val="00F40F9D"/>
    <w:rsid w:val="00F417D4"/>
    <w:rsid w:val="00F41ACD"/>
    <w:rsid w:val="00F41B90"/>
    <w:rsid w:val="00F41F7E"/>
    <w:rsid w:val="00F42216"/>
    <w:rsid w:val="00F43B8A"/>
    <w:rsid w:val="00F44B92"/>
    <w:rsid w:val="00F468C7"/>
    <w:rsid w:val="00F46CB6"/>
    <w:rsid w:val="00F4756D"/>
    <w:rsid w:val="00F47DE8"/>
    <w:rsid w:val="00F506CF"/>
    <w:rsid w:val="00F51DDF"/>
    <w:rsid w:val="00F53052"/>
    <w:rsid w:val="00F53144"/>
    <w:rsid w:val="00F542A3"/>
    <w:rsid w:val="00F542C1"/>
    <w:rsid w:val="00F550E3"/>
    <w:rsid w:val="00F55492"/>
    <w:rsid w:val="00F55E73"/>
    <w:rsid w:val="00F55EDA"/>
    <w:rsid w:val="00F56C80"/>
    <w:rsid w:val="00F60092"/>
    <w:rsid w:val="00F60DC9"/>
    <w:rsid w:val="00F61C18"/>
    <w:rsid w:val="00F628CD"/>
    <w:rsid w:val="00F629C7"/>
    <w:rsid w:val="00F63F0F"/>
    <w:rsid w:val="00F64412"/>
    <w:rsid w:val="00F65F4B"/>
    <w:rsid w:val="00F66811"/>
    <w:rsid w:val="00F66D5A"/>
    <w:rsid w:val="00F67586"/>
    <w:rsid w:val="00F6787E"/>
    <w:rsid w:val="00F67A69"/>
    <w:rsid w:val="00F67DF9"/>
    <w:rsid w:val="00F70BFF"/>
    <w:rsid w:val="00F70C9D"/>
    <w:rsid w:val="00F72BE2"/>
    <w:rsid w:val="00F735E3"/>
    <w:rsid w:val="00F73C20"/>
    <w:rsid w:val="00F73E08"/>
    <w:rsid w:val="00F74CD9"/>
    <w:rsid w:val="00F74CE9"/>
    <w:rsid w:val="00F74F29"/>
    <w:rsid w:val="00F7512B"/>
    <w:rsid w:val="00F75183"/>
    <w:rsid w:val="00F75D21"/>
    <w:rsid w:val="00F7637F"/>
    <w:rsid w:val="00F779A9"/>
    <w:rsid w:val="00F77A0D"/>
    <w:rsid w:val="00F80A7B"/>
    <w:rsid w:val="00F80E5D"/>
    <w:rsid w:val="00F81242"/>
    <w:rsid w:val="00F81E78"/>
    <w:rsid w:val="00F82407"/>
    <w:rsid w:val="00F83916"/>
    <w:rsid w:val="00F83AF8"/>
    <w:rsid w:val="00F83C88"/>
    <w:rsid w:val="00F83DE8"/>
    <w:rsid w:val="00F84971"/>
    <w:rsid w:val="00F851CE"/>
    <w:rsid w:val="00F85307"/>
    <w:rsid w:val="00F8533E"/>
    <w:rsid w:val="00F858FC"/>
    <w:rsid w:val="00F91219"/>
    <w:rsid w:val="00F91F70"/>
    <w:rsid w:val="00F92444"/>
    <w:rsid w:val="00F92BB7"/>
    <w:rsid w:val="00F92BBB"/>
    <w:rsid w:val="00F9365A"/>
    <w:rsid w:val="00F9393E"/>
    <w:rsid w:val="00F9450E"/>
    <w:rsid w:val="00F94863"/>
    <w:rsid w:val="00F9551E"/>
    <w:rsid w:val="00F96F43"/>
    <w:rsid w:val="00F96FD0"/>
    <w:rsid w:val="00F971D4"/>
    <w:rsid w:val="00F97898"/>
    <w:rsid w:val="00F97A78"/>
    <w:rsid w:val="00FA02B6"/>
    <w:rsid w:val="00FA0B20"/>
    <w:rsid w:val="00FA0BCF"/>
    <w:rsid w:val="00FA1012"/>
    <w:rsid w:val="00FA24E7"/>
    <w:rsid w:val="00FA3D54"/>
    <w:rsid w:val="00FA3DBC"/>
    <w:rsid w:val="00FA4DDA"/>
    <w:rsid w:val="00FA5EE6"/>
    <w:rsid w:val="00FA7956"/>
    <w:rsid w:val="00FA7980"/>
    <w:rsid w:val="00FA7DAB"/>
    <w:rsid w:val="00FB00FC"/>
    <w:rsid w:val="00FB0824"/>
    <w:rsid w:val="00FB090A"/>
    <w:rsid w:val="00FB0AF9"/>
    <w:rsid w:val="00FB0D88"/>
    <w:rsid w:val="00FB1FA7"/>
    <w:rsid w:val="00FB2FCB"/>
    <w:rsid w:val="00FB422E"/>
    <w:rsid w:val="00FB4C9C"/>
    <w:rsid w:val="00FB74C8"/>
    <w:rsid w:val="00FB7C55"/>
    <w:rsid w:val="00FC07DB"/>
    <w:rsid w:val="00FC1074"/>
    <w:rsid w:val="00FC1884"/>
    <w:rsid w:val="00FC2567"/>
    <w:rsid w:val="00FC31E8"/>
    <w:rsid w:val="00FC371D"/>
    <w:rsid w:val="00FC38A1"/>
    <w:rsid w:val="00FC4569"/>
    <w:rsid w:val="00FC4A18"/>
    <w:rsid w:val="00FC5145"/>
    <w:rsid w:val="00FC5AE8"/>
    <w:rsid w:val="00FC5F0B"/>
    <w:rsid w:val="00FD1447"/>
    <w:rsid w:val="00FD2100"/>
    <w:rsid w:val="00FD254C"/>
    <w:rsid w:val="00FD3218"/>
    <w:rsid w:val="00FD436C"/>
    <w:rsid w:val="00FD446D"/>
    <w:rsid w:val="00FD4891"/>
    <w:rsid w:val="00FD4F2C"/>
    <w:rsid w:val="00FD6394"/>
    <w:rsid w:val="00FD6EB1"/>
    <w:rsid w:val="00FE0E6C"/>
    <w:rsid w:val="00FE1CDC"/>
    <w:rsid w:val="00FE5C5D"/>
    <w:rsid w:val="00FE5D57"/>
    <w:rsid w:val="00FE5E4F"/>
    <w:rsid w:val="00FE6017"/>
    <w:rsid w:val="00FE6A58"/>
    <w:rsid w:val="00FE70C3"/>
    <w:rsid w:val="00FE7B05"/>
    <w:rsid w:val="00FE7F90"/>
    <w:rsid w:val="00FF112E"/>
    <w:rsid w:val="00FF1A8B"/>
    <w:rsid w:val="00FF2AD9"/>
    <w:rsid w:val="00FF359F"/>
    <w:rsid w:val="00FF39D9"/>
    <w:rsid w:val="00FF3D00"/>
    <w:rsid w:val="00FF3DCF"/>
    <w:rsid w:val="00FF41DE"/>
    <w:rsid w:val="00FF492C"/>
    <w:rsid w:val="00FF4A21"/>
    <w:rsid w:val="00FF521B"/>
    <w:rsid w:val="00FF5AA3"/>
    <w:rsid w:val="00FF5AD8"/>
    <w:rsid w:val="00FF5DF5"/>
    <w:rsid w:val="00FF6FFB"/>
    <w:rsid w:val="00FF73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KMC16-Caption">
    <w:name w:val="KMC16 - Caption"/>
    <w:basedOn w:val="Normal"/>
    <w:qFormat/>
    <w:rsid w:val="0011385C"/>
    <w:pPr>
      <w:keepNext/>
      <w:tabs>
        <w:tab w:val="left" w:pos="567"/>
      </w:tabs>
      <w:spacing w:before="240" w:after="40"/>
      <w:ind w:left="992" w:hanging="992"/>
      <w:contextualSpacing/>
      <w:jc w:val="left"/>
    </w:pPr>
    <w:rPr>
      <w:rFonts w:ascii="Arial" w:hAnsi="Arial" w:cs="Times New Roman"/>
      <w:b/>
      <w:color w:val="000000"/>
      <w:sz w:val="20"/>
      <w:szCs w:val="20"/>
    </w:rPr>
  </w:style>
  <w:style w:type="paragraph" w:customStyle="1" w:styleId="KMC16-Tablecontent">
    <w:name w:val="KMC16 - Table content"/>
    <w:basedOn w:val="Normal"/>
    <w:link w:val="KMC16-TablecontentChar"/>
    <w:qFormat/>
    <w:rsid w:val="0011385C"/>
    <w:pPr>
      <w:spacing w:before="40" w:after="40"/>
      <w:jc w:val="left"/>
    </w:pPr>
    <w:rPr>
      <w:rFonts w:ascii="Arial Narrow" w:hAnsi="Arial Narrow"/>
      <w:color w:val="000000"/>
      <w:sz w:val="20"/>
      <w:lang w:val="en-GB" w:eastAsia="en-GB"/>
    </w:rPr>
  </w:style>
  <w:style w:type="character" w:customStyle="1" w:styleId="KMC16-TablecontentChar">
    <w:name w:val="KMC16 - Table content Char"/>
    <w:basedOn w:val="DefaultParagraphFont"/>
    <w:link w:val="KMC16-Tablecontent"/>
    <w:rsid w:val="0011385C"/>
    <w:rPr>
      <w:rFonts w:ascii="Arial Narrow" w:hAnsi="Arial Narrow" w:cs="Arial"/>
      <w:color w:val="000000"/>
      <w:szCs w:val="24"/>
      <w:lang w:val="en-GB" w:eastAsia="en-GB"/>
    </w:rPr>
  </w:style>
  <w:style w:type="paragraph" w:customStyle="1" w:styleId="KMC16-TableHeading">
    <w:name w:val="KMC16 - Table Heading"/>
    <w:basedOn w:val="Normal"/>
    <w:qFormat/>
    <w:rsid w:val="0011385C"/>
    <w:pPr>
      <w:spacing w:before="40" w:after="40"/>
      <w:jc w:val="center"/>
    </w:pPr>
    <w:rPr>
      <w:rFonts w:ascii="Arial Narrow" w:hAnsi="Arial Narrow"/>
      <w:b/>
      <w:color w:val="000000"/>
      <w:sz w:val="20"/>
      <w:lang w:eastAsia="en-GB"/>
    </w:rPr>
  </w:style>
  <w:style w:type="character" w:customStyle="1" w:styleId="UnresolvedMention3">
    <w:name w:val="Unresolved Mention3"/>
    <w:basedOn w:val="DefaultParagraphFont"/>
    <w:uiPriority w:val="99"/>
    <w:semiHidden/>
    <w:unhideWhenUsed/>
    <w:locked/>
    <w:rsid w:val="00F94863"/>
    <w:rPr>
      <w:color w:val="808080"/>
      <w:shd w:val="clear" w:color="auto" w:fill="E6E6E6"/>
    </w:rPr>
  </w:style>
  <w:style w:type="paragraph" w:customStyle="1" w:styleId="KMC-text">
    <w:name w:val="KMC- text"/>
    <w:basedOn w:val="Normal"/>
    <w:link w:val="KMC-textChar"/>
    <w:semiHidden/>
    <w:qFormat/>
    <w:locked/>
    <w:rsid w:val="00950439"/>
    <w:pPr>
      <w:widowControl w:val="0"/>
      <w:spacing w:before="120" w:after="240" w:line="360" w:lineRule="auto"/>
    </w:pPr>
    <w:rPr>
      <w:rFonts w:ascii="Arial" w:hAnsi="Arial" w:cs="Times New Roman"/>
      <w:color w:val="000000"/>
      <w:lang w:val="en-GB" w:eastAsia="en-GB"/>
    </w:rPr>
  </w:style>
  <w:style w:type="character" w:customStyle="1" w:styleId="KMC-textChar">
    <w:name w:val="KMC- text Char"/>
    <w:basedOn w:val="DefaultParagraphFont"/>
    <w:link w:val="KMC-text"/>
    <w:semiHidden/>
    <w:rsid w:val="00950439"/>
    <w:rPr>
      <w:rFonts w:ascii="Arial" w:hAnsi="Arial"/>
      <w:color w:val="000000"/>
      <w:sz w:val="24"/>
      <w:szCs w:val="24"/>
      <w:lang w:val="en-GB" w:eastAsia="en-GB"/>
    </w:rPr>
  </w:style>
  <w:style w:type="paragraph" w:customStyle="1" w:styleId="KMC16-TFNotes">
    <w:name w:val="KMC16 - TF Notes"/>
    <w:basedOn w:val="Normal"/>
    <w:qFormat/>
    <w:rsid w:val="000E3FAD"/>
    <w:pPr>
      <w:spacing w:before="45" w:after="240"/>
      <w:contextualSpacing/>
    </w:pPr>
    <w:rPr>
      <w:color w:val="000000" w:themeColor="text1"/>
      <w:sz w:val="16"/>
      <w:lang w:eastAsia="en-GB"/>
    </w:rPr>
  </w:style>
  <w:style w:type="paragraph" w:customStyle="1" w:styleId="KMC16-Text">
    <w:name w:val="KMC16 - Text"/>
    <w:basedOn w:val="Normal"/>
    <w:link w:val="KMC16-TextChar"/>
    <w:rsid w:val="00AC77C3"/>
    <w:pPr>
      <w:spacing w:before="120" w:after="240" w:line="360" w:lineRule="auto"/>
    </w:pPr>
    <w:rPr>
      <w:rFonts w:ascii="Arial" w:hAnsi="Arial"/>
      <w:color w:val="000000" w:themeColor="text1"/>
      <w:lang w:eastAsia="en-GB"/>
    </w:rPr>
  </w:style>
  <w:style w:type="character" w:customStyle="1" w:styleId="KMC16-TextChar">
    <w:name w:val="KMC16 - Text Char"/>
    <w:basedOn w:val="DefaultParagraphFont"/>
    <w:link w:val="KMC16-Text"/>
    <w:rsid w:val="00AC77C3"/>
    <w:rPr>
      <w:rFonts w:ascii="Arial" w:hAnsi="Arial" w:cs="Arial"/>
      <w:color w:val="000000" w:themeColor="text1"/>
      <w:sz w:val="24"/>
      <w:szCs w:val="24"/>
      <w:lang w:eastAsia="en-GB"/>
    </w:rPr>
  </w:style>
  <w:style w:type="paragraph" w:styleId="FootnoteText">
    <w:name w:val="footnote text"/>
    <w:basedOn w:val="Normal"/>
    <w:link w:val="FootnoteTextChar"/>
    <w:semiHidden/>
    <w:unhideWhenUsed/>
    <w:rsid w:val="00DF3A6F"/>
    <w:rPr>
      <w:sz w:val="20"/>
      <w:szCs w:val="20"/>
    </w:rPr>
  </w:style>
  <w:style w:type="character" w:customStyle="1" w:styleId="FootnoteTextChar">
    <w:name w:val="Footnote Text Char"/>
    <w:basedOn w:val="DefaultParagraphFont"/>
    <w:link w:val="FootnoteText"/>
    <w:semiHidden/>
    <w:rsid w:val="00DF3A6F"/>
    <w:rPr>
      <w:rFonts w:ascii="Calibri" w:hAnsi="Calibri" w:cs="Arial"/>
    </w:rPr>
  </w:style>
  <w:style w:type="character" w:styleId="FootnoteReference">
    <w:name w:val="footnote reference"/>
    <w:aliases w:val="KMC16 - Footnote Reference"/>
    <w:basedOn w:val="DefaultParagraphFont"/>
    <w:uiPriority w:val="99"/>
    <w:unhideWhenUsed/>
    <w:rsid w:val="00DF3A6F"/>
    <w:rPr>
      <w:vertAlign w:val="superscript"/>
    </w:rPr>
  </w:style>
  <w:style w:type="table" w:customStyle="1" w:styleId="Tabela-Siatka12">
    <w:name w:val="Tabela - Siatka12"/>
    <w:basedOn w:val="TableNormal"/>
    <w:next w:val="TableGrid"/>
    <w:rsid w:val="00695A3F"/>
    <w:rPr>
      <w:rFonts w:eastAsia="SimSun"/>
      <w:lang w:val="pl-PL" w:eastAsia="pl-PL"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773E5"/>
    <w:rPr>
      <w:rFonts w:ascii="Segoe UI" w:hAnsi="Segoe UI" w:cs="Segoe UI" w:hint="default"/>
      <w:sz w:val="18"/>
      <w:szCs w:val="18"/>
    </w:rPr>
  </w:style>
  <w:style w:type="paragraph" w:customStyle="1" w:styleId="KMC16-Footnotes">
    <w:name w:val="KMC16 - Footnotes"/>
    <w:basedOn w:val="Normal"/>
    <w:rsid w:val="000E10F4"/>
    <w:pPr>
      <w:spacing w:before="40" w:after="40"/>
      <w:jc w:val="left"/>
    </w:pPr>
    <w:rPr>
      <w:rFonts w:ascii="Arial" w:hAnsi="Arial" w:cs="Times New Roman"/>
      <w:sz w:val="18"/>
      <w:lang w:eastAsia="en-GB"/>
    </w:rPr>
  </w:style>
  <w:style w:type="table" w:customStyle="1" w:styleId="Tabela-Siatka121">
    <w:name w:val="Tabela - Siatka121"/>
    <w:basedOn w:val="TableNormal"/>
    <w:next w:val="TableGrid"/>
    <w:rsid w:val="004A5E2F"/>
    <w:rPr>
      <w:rFonts w:eastAsia="SimSun"/>
      <w:lang w:val="pl-PL" w:eastAsia="pl-PL"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D1C2C"/>
    <w:pPr>
      <w:spacing w:before="100" w:beforeAutospacing="1" w:after="100" w:afterAutospacing="1"/>
      <w:jc w:val="left"/>
    </w:pPr>
    <w:rPr>
      <w:rFonts w:ascii="Times New Roman" w:hAnsi="Times New Roman" w:cs="Times New Roman"/>
      <w:lang w:val="en-US" w:eastAsia="en-US"/>
    </w:rPr>
  </w:style>
  <w:style w:type="paragraph" w:customStyle="1" w:styleId="xl72">
    <w:name w:val="xl72"/>
    <w:basedOn w:val="Normal"/>
    <w:rsid w:val="000D1C2C"/>
    <w:pP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3">
    <w:name w:val="xl73"/>
    <w:basedOn w:val="Normal"/>
    <w:rsid w:val="000D1C2C"/>
    <w:pPr>
      <w:pBdr>
        <w:lef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4">
    <w:name w:val="xl74"/>
    <w:basedOn w:val="Normal"/>
    <w:rsid w:val="000D1C2C"/>
    <w:pPr>
      <w:pBdr>
        <w:top w:val="single" w:sz="4" w:space="0" w:color="auto"/>
        <w:lef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5">
    <w:name w:val="xl75"/>
    <w:basedOn w:val="Normal"/>
    <w:rsid w:val="000D1C2C"/>
    <w:pPr>
      <w:pBdr>
        <w:top w:val="single" w:sz="4" w:space="0" w:color="auto"/>
        <w:righ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6">
    <w:name w:val="xl76"/>
    <w:basedOn w:val="Normal"/>
    <w:rsid w:val="000D1C2C"/>
    <w:pPr>
      <w:pBdr>
        <w:right w:val="single" w:sz="4" w:space="0" w:color="auto"/>
      </w:pBdr>
      <w:shd w:val="clear" w:color="000000" w:fill="FFFFFF"/>
      <w:spacing w:before="100" w:beforeAutospacing="1" w:after="100" w:afterAutospacing="1"/>
      <w:jc w:val="left"/>
    </w:pPr>
    <w:rPr>
      <w:rFonts w:ascii="Times New Roman" w:hAnsi="Times New Roman" w:cs="Times New Roman"/>
      <w:lang w:val="en-US" w:eastAsia="en-US"/>
    </w:rPr>
  </w:style>
  <w:style w:type="paragraph" w:customStyle="1" w:styleId="xl77">
    <w:name w:val="xl77"/>
    <w:basedOn w:val="Normal"/>
    <w:rsid w:val="000D1C2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78">
    <w:name w:val="xl78"/>
    <w:basedOn w:val="Normal"/>
    <w:rsid w:val="000D1C2C"/>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79">
    <w:name w:val="xl79"/>
    <w:basedOn w:val="Normal"/>
    <w:rsid w:val="000D1C2C"/>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paragraph" w:customStyle="1" w:styleId="xl80">
    <w:name w:val="xl80"/>
    <w:basedOn w:val="Normal"/>
    <w:rsid w:val="000D1C2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eastAsia="en-US"/>
    </w:rPr>
  </w:style>
  <w:style w:type="numbering" w:customStyle="1" w:styleId="CurrentList1">
    <w:name w:val="Current List1"/>
    <w:uiPriority w:val="99"/>
    <w:rsid w:val="001F3593"/>
    <w:pPr>
      <w:numPr>
        <w:numId w:val="9"/>
      </w:numPr>
    </w:pPr>
  </w:style>
  <w:style w:type="numbering" w:customStyle="1" w:styleId="CurrentList2">
    <w:name w:val="Current List2"/>
    <w:uiPriority w:val="99"/>
    <w:rsid w:val="001F3593"/>
    <w:pPr>
      <w:numPr>
        <w:numId w:val="10"/>
      </w:numPr>
    </w:pPr>
  </w:style>
  <w:style w:type="character" w:styleId="UnresolvedMention">
    <w:name w:val="Unresolved Mention"/>
    <w:basedOn w:val="DefaultParagraphFont"/>
    <w:uiPriority w:val="99"/>
    <w:semiHidden/>
    <w:unhideWhenUsed/>
    <w:rsid w:val="00336B71"/>
    <w:rPr>
      <w:color w:val="605E5C"/>
      <w:shd w:val="clear" w:color="auto" w:fill="E1DFDD"/>
    </w:rPr>
  </w:style>
  <w:style w:type="paragraph" w:customStyle="1" w:styleId="xl64">
    <w:name w:val="xl64"/>
    <w:basedOn w:val="Normal"/>
    <w:rsid w:val="004D234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left"/>
    </w:pPr>
    <w:rPr>
      <w:rFonts w:ascii="Arial Narrow" w:hAnsi="Arial Narrow" w:cs="Times New Roman"/>
      <w:b/>
      <w:bCs/>
      <w:sz w:val="20"/>
      <w:szCs w:val="20"/>
      <w:lang w:val="en-US" w:eastAsia="en-US"/>
    </w:rPr>
  </w:style>
  <w:style w:type="paragraph" w:customStyle="1" w:styleId="xl65">
    <w:name w:val="xl65"/>
    <w:basedOn w:val="Normal"/>
    <w:rsid w:val="004D23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hAnsi="Arial Narrow" w:cs="Times New Roman"/>
      <w:sz w:val="20"/>
      <w:szCs w:val="20"/>
      <w:lang w:val="en-US" w:eastAsia="en-US"/>
    </w:rPr>
  </w:style>
  <w:style w:type="paragraph" w:customStyle="1" w:styleId="xl66">
    <w:name w:val="xl66"/>
    <w:basedOn w:val="Normal"/>
    <w:rsid w:val="004D23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hAnsi="Arial Narrow" w:cs="Times New Roman"/>
      <w:sz w:val="20"/>
      <w:szCs w:val="20"/>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C2233"/>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153A30"/>
    <w:rPr>
      <w:rFonts w:ascii="Calibri" w:hAnsi="Calibri" w:cs="Arial"/>
      <w:b/>
      <w:caps/>
      <w:sz w:val="32"/>
      <w:szCs w:val="24"/>
    </w:rPr>
  </w:style>
  <w:style w:type="character" w:customStyle="1" w:styleId="3-SubsectionHeadingChar">
    <w:name w:val="3-Subsection Heading Char"/>
    <w:basedOn w:val="DefaultParagraphFont"/>
    <w:link w:val="3-SubsectionHeading"/>
    <w:locked/>
    <w:rsid w:val="00735FA4"/>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735FA4"/>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paragraph" w:customStyle="1" w:styleId="TableFigureFooter">
    <w:name w:val="Table/Figure Footer"/>
    <w:basedOn w:val="Normal"/>
    <w:link w:val="TableFigureFooterChar"/>
    <w:qFormat/>
    <w:rsid w:val="000C242D"/>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C242D"/>
    <w:rPr>
      <w:rFonts w:ascii="Arial Narrow" w:hAnsi="Arial Narrow" w:cs="Arial"/>
      <w:snapToGrid w:val="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6503">
      <w:bodyDiv w:val="1"/>
      <w:marLeft w:val="0"/>
      <w:marRight w:val="0"/>
      <w:marTop w:val="0"/>
      <w:marBottom w:val="0"/>
      <w:divBdr>
        <w:top w:val="none" w:sz="0" w:space="0" w:color="auto"/>
        <w:left w:val="none" w:sz="0" w:space="0" w:color="auto"/>
        <w:bottom w:val="none" w:sz="0" w:space="0" w:color="auto"/>
        <w:right w:val="none" w:sz="0" w:space="0" w:color="auto"/>
      </w:divBdr>
    </w:div>
    <w:div w:id="29844185">
      <w:bodyDiv w:val="1"/>
      <w:marLeft w:val="0"/>
      <w:marRight w:val="0"/>
      <w:marTop w:val="0"/>
      <w:marBottom w:val="0"/>
      <w:divBdr>
        <w:top w:val="none" w:sz="0" w:space="0" w:color="auto"/>
        <w:left w:val="none" w:sz="0" w:space="0" w:color="auto"/>
        <w:bottom w:val="none" w:sz="0" w:space="0" w:color="auto"/>
        <w:right w:val="none" w:sz="0" w:space="0" w:color="auto"/>
      </w:divBdr>
    </w:div>
    <w:div w:id="50736376">
      <w:bodyDiv w:val="1"/>
      <w:marLeft w:val="0"/>
      <w:marRight w:val="0"/>
      <w:marTop w:val="0"/>
      <w:marBottom w:val="0"/>
      <w:divBdr>
        <w:top w:val="none" w:sz="0" w:space="0" w:color="auto"/>
        <w:left w:val="none" w:sz="0" w:space="0" w:color="auto"/>
        <w:bottom w:val="none" w:sz="0" w:space="0" w:color="auto"/>
        <w:right w:val="none" w:sz="0" w:space="0" w:color="auto"/>
      </w:divBdr>
    </w:div>
    <w:div w:id="54279421">
      <w:bodyDiv w:val="1"/>
      <w:marLeft w:val="0"/>
      <w:marRight w:val="0"/>
      <w:marTop w:val="0"/>
      <w:marBottom w:val="0"/>
      <w:divBdr>
        <w:top w:val="none" w:sz="0" w:space="0" w:color="auto"/>
        <w:left w:val="none" w:sz="0" w:space="0" w:color="auto"/>
        <w:bottom w:val="none" w:sz="0" w:space="0" w:color="auto"/>
        <w:right w:val="none" w:sz="0" w:space="0" w:color="auto"/>
      </w:divBdr>
    </w:div>
    <w:div w:id="64114119">
      <w:bodyDiv w:val="1"/>
      <w:marLeft w:val="0"/>
      <w:marRight w:val="0"/>
      <w:marTop w:val="0"/>
      <w:marBottom w:val="0"/>
      <w:divBdr>
        <w:top w:val="none" w:sz="0" w:space="0" w:color="auto"/>
        <w:left w:val="none" w:sz="0" w:space="0" w:color="auto"/>
        <w:bottom w:val="none" w:sz="0" w:space="0" w:color="auto"/>
        <w:right w:val="none" w:sz="0" w:space="0" w:color="auto"/>
      </w:divBdr>
    </w:div>
    <w:div w:id="66807119">
      <w:bodyDiv w:val="1"/>
      <w:marLeft w:val="0"/>
      <w:marRight w:val="0"/>
      <w:marTop w:val="0"/>
      <w:marBottom w:val="0"/>
      <w:divBdr>
        <w:top w:val="none" w:sz="0" w:space="0" w:color="auto"/>
        <w:left w:val="none" w:sz="0" w:space="0" w:color="auto"/>
        <w:bottom w:val="none" w:sz="0" w:space="0" w:color="auto"/>
        <w:right w:val="none" w:sz="0" w:space="0" w:color="auto"/>
      </w:divBdr>
    </w:div>
    <w:div w:id="74399256">
      <w:bodyDiv w:val="1"/>
      <w:marLeft w:val="0"/>
      <w:marRight w:val="0"/>
      <w:marTop w:val="0"/>
      <w:marBottom w:val="0"/>
      <w:divBdr>
        <w:top w:val="none" w:sz="0" w:space="0" w:color="auto"/>
        <w:left w:val="none" w:sz="0" w:space="0" w:color="auto"/>
        <w:bottom w:val="none" w:sz="0" w:space="0" w:color="auto"/>
        <w:right w:val="none" w:sz="0" w:space="0" w:color="auto"/>
      </w:divBdr>
    </w:div>
    <w:div w:id="92943860">
      <w:bodyDiv w:val="1"/>
      <w:marLeft w:val="0"/>
      <w:marRight w:val="0"/>
      <w:marTop w:val="0"/>
      <w:marBottom w:val="0"/>
      <w:divBdr>
        <w:top w:val="none" w:sz="0" w:space="0" w:color="auto"/>
        <w:left w:val="none" w:sz="0" w:space="0" w:color="auto"/>
        <w:bottom w:val="none" w:sz="0" w:space="0" w:color="auto"/>
        <w:right w:val="none" w:sz="0" w:space="0" w:color="auto"/>
      </w:divBdr>
      <w:divsChild>
        <w:div w:id="1298560912">
          <w:marLeft w:val="547"/>
          <w:marRight w:val="0"/>
          <w:marTop w:val="200"/>
          <w:marBottom w:val="120"/>
          <w:divBdr>
            <w:top w:val="none" w:sz="0" w:space="0" w:color="auto"/>
            <w:left w:val="none" w:sz="0" w:space="0" w:color="auto"/>
            <w:bottom w:val="none" w:sz="0" w:space="0" w:color="auto"/>
            <w:right w:val="none" w:sz="0" w:space="0" w:color="auto"/>
          </w:divBdr>
        </w:div>
      </w:divsChild>
    </w:div>
    <w:div w:id="9617369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740466">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8983861">
      <w:bodyDiv w:val="1"/>
      <w:marLeft w:val="0"/>
      <w:marRight w:val="0"/>
      <w:marTop w:val="0"/>
      <w:marBottom w:val="0"/>
      <w:divBdr>
        <w:top w:val="none" w:sz="0" w:space="0" w:color="auto"/>
        <w:left w:val="none" w:sz="0" w:space="0" w:color="auto"/>
        <w:bottom w:val="none" w:sz="0" w:space="0" w:color="auto"/>
        <w:right w:val="none" w:sz="0" w:space="0" w:color="auto"/>
      </w:divBdr>
    </w:div>
    <w:div w:id="164172175">
      <w:bodyDiv w:val="1"/>
      <w:marLeft w:val="0"/>
      <w:marRight w:val="0"/>
      <w:marTop w:val="0"/>
      <w:marBottom w:val="0"/>
      <w:divBdr>
        <w:top w:val="none" w:sz="0" w:space="0" w:color="auto"/>
        <w:left w:val="none" w:sz="0" w:space="0" w:color="auto"/>
        <w:bottom w:val="none" w:sz="0" w:space="0" w:color="auto"/>
        <w:right w:val="none" w:sz="0" w:space="0" w:color="auto"/>
      </w:divBdr>
    </w:div>
    <w:div w:id="176965238">
      <w:bodyDiv w:val="1"/>
      <w:marLeft w:val="0"/>
      <w:marRight w:val="0"/>
      <w:marTop w:val="0"/>
      <w:marBottom w:val="0"/>
      <w:divBdr>
        <w:top w:val="none" w:sz="0" w:space="0" w:color="auto"/>
        <w:left w:val="none" w:sz="0" w:space="0" w:color="auto"/>
        <w:bottom w:val="none" w:sz="0" w:space="0" w:color="auto"/>
        <w:right w:val="none" w:sz="0" w:space="0" w:color="auto"/>
      </w:divBdr>
    </w:div>
    <w:div w:id="188302703">
      <w:bodyDiv w:val="1"/>
      <w:marLeft w:val="0"/>
      <w:marRight w:val="0"/>
      <w:marTop w:val="0"/>
      <w:marBottom w:val="0"/>
      <w:divBdr>
        <w:top w:val="none" w:sz="0" w:space="0" w:color="auto"/>
        <w:left w:val="none" w:sz="0" w:space="0" w:color="auto"/>
        <w:bottom w:val="none" w:sz="0" w:space="0" w:color="auto"/>
        <w:right w:val="none" w:sz="0" w:space="0" w:color="auto"/>
      </w:divBdr>
    </w:div>
    <w:div w:id="216942453">
      <w:bodyDiv w:val="1"/>
      <w:marLeft w:val="0"/>
      <w:marRight w:val="0"/>
      <w:marTop w:val="0"/>
      <w:marBottom w:val="0"/>
      <w:divBdr>
        <w:top w:val="none" w:sz="0" w:space="0" w:color="auto"/>
        <w:left w:val="none" w:sz="0" w:space="0" w:color="auto"/>
        <w:bottom w:val="none" w:sz="0" w:space="0" w:color="auto"/>
        <w:right w:val="none" w:sz="0" w:space="0" w:color="auto"/>
      </w:divBdr>
    </w:div>
    <w:div w:id="249432377">
      <w:bodyDiv w:val="1"/>
      <w:marLeft w:val="0"/>
      <w:marRight w:val="0"/>
      <w:marTop w:val="0"/>
      <w:marBottom w:val="0"/>
      <w:divBdr>
        <w:top w:val="none" w:sz="0" w:space="0" w:color="auto"/>
        <w:left w:val="none" w:sz="0" w:space="0" w:color="auto"/>
        <w:bottom w:val="none" w:sz="0" w:space="0" w:color="auto"/>
        <w:right w:val="none" w:sz="0" w:space="0" w:color="auto"/>
      </w:divBdr>
    </w:div>
    <w:div w:id="306516538">
      <w:bodyDiv w:val="1"/>
      <w:marLeft w:val="0"/>
      <w:marRight w:val="0"/>
      <w:marTop w:val="0"/>
      <w:marBottom w:val="0"/>
      <w:divBdr>
        <w:top w:val="none" w:sz="0" w:space="0" w:color="auto"/>
        <w:left w:val="none" w:sz="0" w:space="0" w:color="auto"/>
        <w:bottom w:val="none" w:sz="0" w:space="0" w:color="auto"/>
        <w:right w:val="none" w:sz="0" w:space="0" w:color="auto"/>
      </w:divBdr>
    </w:div>
    <w:div w:id="31445202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0639971">
      <w:bodyDiv w:val="1"/>
      <w:marLeft w:val="0"/>
      <w:marRight w:val="0"/>
      <w:marTop w:val="0"/>
      <w:marBottom w:val="0"/>
      <w:divBdr>
        <w:top w:val="none" w:sz="0" w:space="0" w:color="auto"/>
        <w:left w:val="none" w:sz="0" w:space="0" w:color="auto"/>
        <w:bottom w:val="none" w:sz="0" w:space="0" w:color="auto"/>
        <w:right w:val="none" w:sz="0" w:space="0" w:color="auto"/>
      </w:divBdr>
    </w:div>
    <w:div w:id="389041870">
      <w:bodyDiv w:val="1"/>
      <w:marLeft w:val="0"/>
      <w:marRight w:val="0"/>
      <w:marTop w:val="0"/>
      <w:marBottom w:val="0"/>
      <w:divBdr>
        <w:top w:val="none" w:sz="0" w:space="0" w:color="auto"/>
        <w:left w:val="none" w:sz="0" w:space="0" w:color="auto"/>
        <w:bottom w:val="none" w:sz="0" w:space="0" w:color="auto"/>
        <w:right w:val="none" w:sz="0" w:space="0" w:color="auto"/>
      </w:divBdr>
    </w:div>
    <w:div w:id="410544621">
      <w:bodyDiv w:val="1"/>
      <w:marLeft w:val="0"/>
      <w:marRight w:val="0"/>
      <w:marTop w:val="0"/>
      <w:marBottom w:val="0"/>
      <w:divBdr>
        <w:top w:val="none" w:sz="0" w:space="0" w:color="auto"/>
        <w:left w:val="none" w:sz="0" w:space="0" w:color="auto"/>
        <w:bottom w:val="none" w:sz="0" w:space="0" w:color="auto"/>
        <w:right w:val="none" w:sz="0" w:space="0" w:color="auto"/>
      </w:divBdr>
    </w:div>
    <w:div w:id="459887752">
      <w:bodyDiv w:val="1"/>
      <w:marLeft w:val="0"/>
      <w:marRight w:val="0"/>
      <w:marTop w:val="0"/>
      <w:marBottom w:val="0"/>
      <w:divBdr>
        <w:top w:val="none" w:sz="0" w:space="0" w:color="auto"/>
        <w:left w:val="none" w:sz="0" w:space="0" w:color="auto"/>
        <w:bottom w:val="none" w:sz="0" w:space="0" w:color="auto"/>
        <w:right w:val="none" w:sz="0" w:space="0" w:color="auto"/>
      </w:divBdr>
    </w:div>
    <w:div w:id="479538660">
      <w:bodyDiv w:val="1"/>
      <w:marLeft w:val="0"/>
      <w:marRight w:val="0"/>
      <w:marTop w:val="0"/>
      <w:marBottom w:val="0"/>
      <w:divBdr>
        <w:top w:val="none" w:sz="0" w:space="0" w:color="auto"/>
        <w:left w:val="none" w:sz="0" w:space="0" w:color="auto"/>
        <w:bottom w:val="none" w:sz="0" w:space="0" w:color="auto"/>
        <w:right w:val="none" w:sz="0" w:space="0" w:color="auto"/>
      </w:divBdr>
    </w:div>
    <w:div w:id="484586622">
      <w:bodyDiv w:val="1"/>
      <w:marLeft w:val="0"/>
      <w:marRight w:val="0"/>
      <w:marTop w:val="0"/>
      <w:marBottom w:val="0"/>
      <w:divBdr>
        <w:top w:val="none" w:sz="0" w:space="0" w:color="auto"/>
        <w:left w:val="none" w:sz="0" w:space="0" w:color="auto"/>
        <w:bottom w:val="none" w:sz="0" w:space="0" w:color="auto"/>
        <w:right w:val="none" w:sz="0" w:space="0" w:color="auto"/>
      </w:divBdr>
    </w:div>
    <w:div w:id="494305139">
      <w:bodyDiv w:val="1"/>
      <w:marLeft w:val="0"/>
      <w:marRight w:val="0"/>
      <w:marTop w:val="0"/>
      <w:marBottom w:val="0"/>
      <w:divBdr>
        <w:top w:val="none" w:sz="0" w:space="0" w:color="auto"/>
        <w:left w:val="none" w:sz="0" w:space="0" w:color="auto"/>
        <w:bottom w:val="none" w:sz="0" w:space="0" w:color="auto"/>
        <w:right w:val="none" w:sz="0" w:space="0" w:color="auto"/>
      </w:divBdr>
    </w:div>
    <w:div w:id="535890757">
      <w:bodyDiv w:val="1"/>
      <w:marLeft w:val="0"/>
      <w:marRight w:val="0"/>
      <w:marTop w:val="0"/>
      <w:marBottom w:val="0"/>
      <w:divBdr>
        <w:top w:val="none" w:sz="0" w:space="0" w:color="auto"/>
        <w:left w:val="none" w:sz="0" w:space="0" w:color="auto"/>
        <w:bottom w:val="none" w:sz="0" w:space="0" w:color="auto"/>
        <w:right w:val="none" w:sz="0" w:space="0" w:color="auto"/>
      </w:divBdr>
    </w:div>
    <w:div w:id="562758206">
      <w:bodyDiv w:val="1"/>
      <w:marLeft w:val="0"/>
      <w:marRight w:val="0"/>
      <w:marTop w:val="0"/>
      <w:marBottom w:val="0"/>
      <w:divBdr>
        <w:top w:val="none" w:sz="0" w:space="0" w:color="auto"/>
        <w:left w:val="none" w:sz="0" w:space="0" w:color="auto"/>
        <w:bottom w:val="none" w:sz="0" w:space="0" w:color="auto"/>
        <w:right w:val="none" w:sz="0" w:space="0" w:color="auto"/>
      </w:divBdr>
    </w:div>
    <w:div w:id="563178909">
      <w:bodyDiv w:val="1"/>
      <w:marLeft w:val="0"/>
      <w:marRight w:val="0"/>
      <w:marTop w:val="0"/>
      <w:marBottom w:val="0"/>
      <w:divBdr>
        <w:top w:val="none" w:sz="0" w:space="0" w:color="auto"/>
        <w:left w:val="none" w:sz="0" w:space="0" w:color="auto"/>
        <w:bottom w:val="none" w:sz="0" w:space="0" w:color="auto"/>
        <w:right w:val="none" w:sz="0" w:space="0" w:color="auto"/>
      </w:divBdr>
    </w:div>
    <w:div w:id="595674743">
      <w:bodyDiv w:val="1"/>
      <w:marLeft w:val="0"/>
      <w:marRight w:val="0"/>
      <w:marTop w:val="0"/>
      <w:marBottom w:val="0"/>
      <w:divBdr>
        <w:top w:val="none" w:sz="0" w:space="0" w:color="auto"/>
        <w:left w:val="none" w:sz="0" w:space="0" w:color="auto"/>
        <w:bottom w:val="none" w:sz="0" w:space="0" w:color="auto"/>
        <w:right w:val="none" w:sz="0" w:space="0" w:color="auto"/>
      </w:divBdr>
      <w:divsChild>
        <w:div w:id="1799909468">
          <w:marLeft w:val="360"/>
          <w:marRight w:val="0"/>
          <w:marTop w:val="200"/>
          <w:marBottom w:val="0"/>
          <w:divBdr>
            <w:top w:val="none" w:sz="0" w:space="0" w:color="auto"/>
            <w:left w:val="none" w:sz="0" w:space="0" w:color="auto"/>
            <w:bottom w:val="none" w:sz="0" w:space="0" w:color="auto"/>
            <w:right w:val="none" w:sz="0" w:space="0" w:color="auto"/>
          </w:divBdr>
        </w:div>
        <w:div w:id="1358509058">
          <w:marLeft w:val="360"/>
          <w:marRight w:val="0"/>
          <w:marTop w:val="200"/>
          <w:marBottom w:val="0"/>
          <w:divBdr>
            <w:top w:val="none" w:sz="0" w:space="0" w:color="auto"/>
            <w:left w:val="none" w:sz="0" w:space="0" w:color="auto"/>
            <w:bottom w:val="none" w:sz="0" w:space="0" w:color="auto"/>
            <w:right w:val="none" w:sz="0" w:space="0" w:color="auto"/>
          </w:divBdr>
        </w:div>
        <w:div w:id="196506633">
          <w:marLeft w:val="360"/>
          <w:marRight w:val="0"/>
          <w:marTop w:val="200"/>
          <w:marBottom w:val="0"/>
          <w:divBdr>
            <w:top w:val="none" w:sz="0" w:space="0" w:color="auto"/>
            <w:left w:val="none" w:sz="0" w:space="0" w:color="auto"/>
            <w:bottom w:val="none" w:sz="0" w:space="0" w:color="auto"/>
            <w:right w:val="none" w:sz="0" w:space="0" w:color="auto"/>
          </w:divBdr>
        </w:div>
      </w:divsChild>
    </w:div>
    <w:div w:id="602151970">
      <w:bodyDiv w:val="1"/>
      <w:marLeft w:val="0"/>
      <w:marRight w:val="0"/>
      <w:marTop w:val="0"/>
      <w:marBottom w:val="0"/>
      <w:divBdr>
        <w:top w:val="none" w:sz="0" w:space="0" w:color="auto"/>
        <w:left w:val="none" w:sz="0" w:space="0" w:color="auto"/>
        <w:bottom w:val="none" w:sz="0" w:space="0" w:color="auto"/>
        <w:right w:val="none" w:sz="0" w:space="0" w:color="auto"/>
      </w:divBdr>
    </w:div>
    <w:div w:id="607734033">
      <w:bodyDiv w:val="1"/>
      <w:marLeft w:val="0"/>
      <w:marRight w:val="0"/>
      <w:marTop w:val="0"/>
      <w:marBottom w:val="0"/>
      <w:divBdr>
        <w:top w:val="none" w:sz="0" w:space="0" w:color="auto"/>
        <w:left w:val="none" w:sz="0" w:space="0" w:color="auto"/>
        <w:bottom w:val="none" w:sz="0" w:space="0" w:color="auto"/>
        <w:right w:val="none" w:sz="0" w:space="0" w:color="auto"/>
      </w:divBdr>
    </w:div>
    <w:div w:id="616445352">
      <w:bodyDiv w:val="1"/>
      <w:marLeft w:val="0"/>
      <w:marRight w:val="0"/>
      <w:marTop w:val="0"/>
      <w:marBottom w:val="0"/>
      <w:divBdr>
        <w:top w:val="none" w:sz="0" w:space="0" w:color="auto"/>
        <w:left w:val="none" w:sz="0" w:space="0" w:color="auto"/>
        <w:bottom w:val="none" w:sz="0" w:space="0" w:color="auto"/>
        <w:right w:val="none" w:sz="0" w:space="0" w:color="auto"/>
      </w:divBdr>
    </w:div>
    <w:div w:id="674763797">
      <w:bodyDiv w:val="1"/>
      <w:marLeft w:val="0"/>
      <w:marRight w:val="0"/>
      <w:marTop w:val="0"/>
      <w:marBottom w:val="0"/>
      <w:divBdr>
        <w:top w:val="none" w:sz="0" w:space="0" w:color="auto"/>
        <w:left w:val="none" w:sz="0" w:space="0" w:color="auto"/>
        <w:bottom w:val="none" w:sz="0" w:space="0" w:color="auto"/>
        <w:right w:val="none" w:sz="0" w:space="0" w:color="auto"/>
      </w:divBdr>
    </w:div>
    <w:div w:id="700860169">
      <w:bodyDiv w:val="1"/>
      <w:marLeft w:val="0"/>
      <w:marRight w:val="0"/>
      <w:marTop w:val="0"/>
      <w:marBottom w:val="0"/>
      <w:divBdr>
        <w:top w:val="none" w:sz="0" w:space="0" w:color="auto"/>
        <w:left w:val="none" w:sz="0" w:space="0" w:color="auto"/>
        <w:bottom w:val="none" w:sz="0" w:space="0" w:color="auto"/>
        <w:right w:val="none" w:sz="0" w:space="0" w:color="auto"/>
      </w:divBdr>
    </w:div>
    <w:div w:id="718437873">
      <w:bodyDiv w:val="1"/>
      <w:marLeft w:val="0"/>
      <w:marRight w:val="0"/>
      <w:marTop w:val="0"/>
      <w:marBottom w:val="0"/>
      <w:divBdr>
        <w:top w:val="none" w:sz="0" w:space="0" w:color="auto"/>
        <w:left w:val="none" w:sz="0" w:space="0" w:color="auto"/>
        <w:bottom w:val="none" w:sz="0" w:space="0" w:color="auto"/>
        <w:right w:val="none" w:sz="0" w:space="0" w:color="auto"/>
      </w:divBdr>
    </w:div>
    <w:div w:id="723913690">
      <w:bodyDiv w:val="1"/>
      <w:marLeft w:val="0"/>
      <w:marRight w:val="0"/>
      <w:marTop w:val="0"/>
      <w:marBottom w:val="0"/>
      <w:divBdr>
        <w:top w:val="none" w:sz="0" w:space="0" w:color="auto"/>
        <w:left w:val="none" w:sz="0" w:space="0" w:color="auto"/>
        <w:bottom w:val="none" w:sz="0" w:space="0" w:color="auto"/>
        <w:right w:val="none" w:sz="0" w:space="0" w:color="auto"/>
      </w:divBdr>
    </w:div>
    <w:div w:id="746608289">
      <w:bodyDiv w:val="1"/>
      <w:marLeft w:val="0"/>
      <w:marRight w:val="0"/>
      <w:marTop w:val="0"/>
      <w:marBottom w:val="0"/>
      <w:divBdr>
        <w:top w:val="none" w:sz="0" w:space="0" w:color="auto"/>
        <w:left w:val="none" w:sz="0" w:space="0" w:color="auto"/>
        <w:bottom w:val="none" w:sz="0" w:space="0" w:color="auto"/>
        <w:right w:val="none" w:sz="0" w:space="0" w:color="auto"/>
      </w:divBdr>
    </w:div>
    <w:div w:id="751201776">
      <w:bodyDiv w:val="1"/>
      <w:marLeft w:val="0"/>
      <w:marRight w:val="0"/>
      <w:marTop w:val="0"/>
      <w:marBottom w:val="0"/>
      <w:divBdr>
        <w:top w:val="none" w:sz="0" w:space="0" w:color="auto"/>
        <w:left w:val="none" w:sz="0" w:space="0" w:color="auto"/>
        <w:bottom w:val="none" w:sz="0" w:space="0" w:color="auto"/>
        <w:right w:val="none" w:sz="0" w:space="0" w:color="auto"/>
      </w:divBdr>
    </w:div>
    <w:div w:id="752825498">
      <w:bodyDiv w:val="1"/>
      <w:marLeft w:val="0"/>
      <w:marRight w:val="0"/>
      <w:marTop w:val="0"/>
      <w:marBottom w:val="0"/>
      <w:divBdr>
        <w:top w:val="none" w:sz="0" w:space="0" w:color="auto"/>
        <w:left w:val="none" w:sz="0" w:space="0" w:color="auto"/>
        <w:bottom w:val="none" w:sz="0" w:space="0" w:color="auto"/>
        <w:right w:val="none" w:sz="0" w:space="0" w:color="auto"/>
      </w:divBdr>
      <w:divsChild>
        <w:div w:id="991836729">
          <w:marLeft w:val="547"/>
          <w:marRight w:val="0"/>
          <w:marTop w:val="200"/>
          <w:marBottom w:val="120"/>
          <w:divBdr>
            <w:top w:val="none" w:sz="0" w:space="0" w:color="auto"/>
            <w:left w:val="none" w:sz="0" w:space="0" w:color="auto"/>
            <w:bottom w:val="none" w:sz="0" w:space="0" w:color="auto"/>
            <w:right w:val="none" w:sz="0" w:space="0" w:color="auto"/>
          </w:divBdr>
        </w:div>
      </w:divsChild>
    </w:div>
    <w:div w:id="75787418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8082076">
      <w:bodyDiv w:val="1"/>
      <w:marLeft w:val="0"/>
      <w:marRight w:val="0"/>
      <w:marTop w:val="0"/>
      <w:marBottom w:val="0"/>
      <w:divBdr>
        <w:top w:val="none" w:sz="0" w:space="0" w:color="auto"/>
        <w:left w:val="none" w:sz="0" w:space="0" w:color="auto"/>
        <w:bottom w:val="none" w:sz="0" w:space="0" w:color="auto"/>
        <w:right w:val="none" w:sz="0" w:space="0" w:color="auto"/>
      </w:divBdr>
    </w:div>
    <w:div w:id="884561505">
      <w:bodyDiv w:val="1"/>
      <w:marLeft w:val="0"/>
      <w:marRight w:val="0"/>
      <w:marTop w:val="0"/>
      <w:marBottom w:val="0"/>
      <w:divBdr>
        <w:top w:val="none" w:sz="0" w:space="0" w:color="auto"/>
        <w:left w:val="none" w:sz="0" w:space="0" w:color="auto"/>
        <w:bottom w:val="none" w:sz="0" w:space="0" w:color="auto"/>
        <w:right w:val="none" w:sz="0" w:space="0" w:color="auto"/>
      </w:divBdr>
    </w:div>
    <w:div w:id="899558714">
      <w:bodyDiv w:val="1"/>
      <w:marLeft w:val="0"/>
      <w:marRight w:val="0"/>
      <w:marTop w:val="0"/>
      <w:marBottom w:val="0"/>
      <w:divBdr>
        <w:top w:val="none" w:sz="0" w:space="0" w:color="auto"/>
        <w:left w:val="none" w:sz="0" w:space="0" w:color="auto"/>
        <w:bottom w:val="none" w:sz="0" w:space="0" w:color="auto"/>
        <w:right w:val="none" w:sz="0" w:space="0" w:color="auto"/>
      </w:divBdr>
    </w:div>
    <w:div w:id="939870357">
      <w:bodyDiv w:val="1"/>
      <w:marLeft w:val="0"/>
      <w:marRight w:val="0"/>
      <w:marTop w:val="0"/>
      <w:marBottom w:val="0"/>
      <w:divBdr>
        <w:top w:val="none" w:sz="0" w:space="0" w:color="auto"/>
        <w:left w:val="none" w:sz="0" w:space="0" w:color="auto"/>
        <w:bottom w:val="none" w:sz="0" w:space="0" w:color="auto"/>
        <w:right w:val="none" w:sz="0" w:space="0" w:color="auto"/>
      </w:divBdr>
    </w:div>
    <w:div w:id="945039928">
      <w:bodyDiv w:val="1"/>
      <w:marLeft w:val="0"/>
      <w:marRight w:val="0"/>
      <w:marTop w:val="0"/>
      <w:marBottom w:val="0"/>
      <w:divBdr>
        <w:top w:val="none" w:sz="0" w:space="0" w:color="auto"/>
        <w:left w:val="none" w:sz="0" w:space="0" w:color="auto"/>
        <w:bottom w:val="none" w:sz="0" w:space="0" w:color="auto"/>
        <w:right w:val="none" w:sz="0" w:space="0" w:color="auto"/>
      </w:divBdr>
    </w:div>
    <w:div w:id="952639453">
      <w:bodyDiv w:val="1"/>
      <w:marLeft w:val="0"/>
      <w:marRight w:val="0"/>
      <w:marTop w:val="0"/>
      <w:marBottom w:val="0"/>
      <w:divBdr>
        <w:top w:val="none" w:sz="0" w:space="0" w:color="auto"/>
        <w:left w:val="none" w:sz="0" w:space="0" w:color="auto"/>
        <w:bottom w:val="none" w:sz="0" w:space="0" w:color="auto"/>
        <w:right w:val="none" w:sz="0" w:space="0" w:color="auto"/>
      </w:divBdr>
    </w:div>
    <w:div w:id="983850655">
      <w:bodyDiv w:val="1"/>
      <w:marLeft w:val="0"/>
      <w:marRight w:val="0"/>
      <w:marTop w:val="0"/>
      <w:marBottom w:val="0"/>
      <w:divBdr>
        <w:top w:val="none" w:sz="0" w:space="0" w:color="auto"/>
        <w:left w:val="none" w:sz="0" w:space="0" w:color="auto"/>
        <w:bottom w:val="none" w:sz="0" w:space="0" w:color="auto"/>
        <w:right w:val="none" w:sz="0" w:space="0" w:color="auto"/>
      </w:divBdr>
    </w:div>
    <w:div w:id="999116459">
      <w:bodyDiv w:val="1"/>
      <w:marLeft w:val="0"/>
      <w:marRight w:val="0"/>
      <w:marTop w:val="0"/>
      <w:marBottom w:val="0"/>
      <w:divBdr>
        <w:top w:val="none" w:sz="0" w:space="0" w:color="auto"/>
        <w:left w:val="none" w:sz="0" w:space="0" w:color="auto"/>
        <w:bottom w:val="none" w:sz="0" w:space="0" w:color="auto"/>
        <w:right w:val="none" w:sz="0" w:space="0" w:color="auto"/>
      </w:divBdr>
    </w:div>
    <w:div w:id="1004210442">
      <w:bodyDiv w:val="1"/>
      <w:marLeft w:val="0"/>
      <w:marRight w:val="0"/>
      <w:marTop w:val="0"/>
      <w:marBottom w:val="0"/>
      <w:divBdr>
        <w:top w:val="none" w:sz="0" w:space="0" w:color="auto"/>
        <w:left w:val="none" w:sz="0" w:space="0" w:color="auto"/>
        <w:bottom w:val="none" w:sz="0" w:space="0" w:color="auto"/>
        <w:right w:val="none" w:sz="0" w:space="0" w:color="auto"/>
      </w:divBdr>
    </w:div>
    <w:div w:id="1017805833">
      <w:bodyDiv w:val="1"/>
      <w:marLeft w:val="0"/>
      <w:marRight w:val="0"/>
      <w:marTop w:val="0"/>
      <w:marBottom w:val="0"/>
      <w:divBdr>
        <w:top w:val="none" w:sz="0" w:space="0" w:color="auto"/>
        <w:left w:val="none" w:sz="0" w:space="0" w:color="auto"/>
        <w:bottom w:val="none" w:sz="0" w:space="0" w:color="auto"/>
        <w:right w:val="none" w:sz="0" w:space="0" w:color="auto"/>
      </w:divBdr>
    </w:div>
    <w:div w:id="1017854114">
      <w:bodyDiv w:val="1"/>
      <w:marLeft w:val="0"/>
      <w:marRight w:val="0"/>
      <w:marTop w:val="0"/>
      <w:marBottom w:val="0"/>
      <w:divBdr>
        <w:top w:val="none" w:sz="0" w:space="0" w:color="auto"/>
        <w:left w:val="none" w:sz="0" w:space="0" w:color="auto"/>
        <w:bottom w:val="none" w:sz="0" w:space="0" w:color="auto"/>
        <w:right w:val="none" w:sz="0" w:space="0" w:color="auto"/>
      </w:divBdr>
    </w:div>
    <w:div w:id="1023095707">
      <w:bodyDiv w:val="1"/>
      <w:marLeft w:val="0"/>
      <w:marRight w:val="0"/>
      <w:marTop w:val="0"/>
      <w:marBottom w:val="0"/>
      <w:divBdr>
        <w:top w:val="none" w:sz="0" w:space="0" w:color="auto"/>
        <w:left w:val="none" w:sz="0" w:space="0" w:color="auto"/>
        <w:bottom w:val="none" w:sz="0" w:space="0" w:color="auto"/>
        <w:right w:val="none" w:sz="0" w:space="0" w:color="auto"/>
      </w:divBdr>
    </w:div>
    <w:div w:id="1056930319">
      <w:bodyDiv w:val="1"/>
      <w:marLeft w:val="0"/>
      <w:marRight w:val="0"/>
      <w:marTop w:val="0"/>
      <w:marBottom w:val="0"/>
      <w:divBdr>
        <w:top w:val="none" w:sz="0" w:space="0" w:color="auto"/>
        <w:left w:val="none" w:sz="0" w:space="0" w:color="auto"/>
        <w:bottom w:val="none" w:sz="0" w:space="0" w:color="auto"/>
        <w:right w:val="none" w:sz="0" w:space="0" w:color="auto"/>
      </w:divBdr>
    </w:div>
    <w:div w:id="1095051266">
      <w:bodyDiv w:val="1"/>
      <w:marLeft w:val="0"/>
      <w:marRight w:val="0"/>
      <w:marTop w:val="0"/>
      <w:marBottom w:val="0"/>
      <w:divBdr>
        <w:top w:val="none" w:sz="0" w:space="0" w:color="auto"/>
        <w:left w:val="none" w:sz="0" w:space="0" w:color="auto"/>
        <w:bottom w:val="none" w:sz="0" w:space="0" w:color="auto"/>
        <w:right w:val="none" w:sz="0" w:space="0" w:color="auto"/>
      </w:divBdr>
    </w:div>
    <w:div w:id="1102651821">
      <w:bodyDiv w:val="1"/>
      <w:marLeft w:val="0"/>
      <w:marRight w:val="0"/>
      <w:marTop w:val="0"/>
      <w:marBottom w:val="0"/>
      <w:divBdr>
        <w:top w:val="none" w:sz="0" w:space="0" w:color="auto"/>
        <w:left w:val="none" w:sz="0" w:space="0" w:color="auto"/>
        <w:bottom w:val="none" w:sz="0" w:space="0" w:color="auto"/>
        <w:right w:val="none" w:sz="0" w:space="0" w:color="auto"/>
      </w:divBdr>
    </w:div>
    <w:div w:id="1110395556">
      <w:bodyDiv w:val="1"/>
      <w:marLeft w:val="0"/>
      <w:marRight w:val="0"/>
      <w:marTop w:val="0"/>
      <w:marBottom w:val="0"/>
      <w:divBdr>
        <w:top w:val="none" w:sz="0" w:space="0" w:color="auto"/>
        <w:left w:val="none" w:sz="0" w:space="0" w:color="auto"/>
        <w:bottom w:val="none" w:sz="0" w:space="0" w:color="auto"/>
        <w:right w:val="none" w:sz="0" w:space="0" w:color="auto"/>
      </w:divBdr>
    </w:div>
    <w:div w:id="1124733410">
      <w:bodyDiv w:val="1"/>
      <w:marLeft w:val="0"/>
      <w:marRight w:val="0"/>
      <w:marTop w:val="0"/>
      <w:marBottom w:val="0"/>
      <w:divBdr>
        <w:top w:val="none" w:sz="0" w:space="0" w:color="auto"/>
        <w:left w:val="none" w:sz="0" w:space="0" w:color="auto"/>
        <w:bottom w:val="none" w:sz="0" w:space="0" w:color="auto"/>
        <w:right w:val="none" w:sz="0" w:space="0" w:color="auto"/>
      </w:divBdr>
    </w:div>
    <w:div w:id="1125732418">
      <w:bodyDiv w:val="1"/>
      <w:marLeft w:val="0"/>
      <w:marRight w:val="0"/>
      <w:marTop w:val="0"/>
      <w:marBottom w:val="0"/>
      <w:divBdr>
        <w:top w:val="none" w:sz="0" w:space="0" w:color="auto"/>
        <w:left w:val="none" w:sz="0" w:space="0" w:color="auto"/>
        <w:bottom w:val="none" w:sz="0" w:space="0" w:color="auto"/>
        <w:right w:val="none" w:sz="0" w:space="0" w:color="auto"/>
      </w:divBdr>
    </w:div>
    <w:div w:id="1125778510">
      <w:bodyDiv w:val="1"/>
      <w:marLeft w:val="0"/>
      <w:marRight w:val="0"/>
      <w:marTop w:val="0"/>
      <w:marBottom w:val="0"/>
      <w:divBdr>
        <w:top w:val="none" w:sz="0" w:space="0" w:color="auto"/>
        <w:left w:val="none" w:sz="0" w:space="0" w:color="auto"/>
        <w:bottom w:val="none" w:sz="0" w:space="0" w:color="auto"/>
        <w:right w:val="none" w:sz="0" w:space="0" w:color="auto"/>
      </w:divBdr>
    </w:div>
    <w:div w:id="112855000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694">
      <w:bodyDiv w:val="1"/>
      <w:marLeft w:val="0"/>
      <w:marRight w:val="0"/>
      <w:marTop w:val="0"/>
      <w:marBottom w:val="0"/>
      <w:divBdr>
        <w:top w:val="none" w:sz="0" w:space="0" w:color="auto"/>
        <w:left w:val="none" w:sz="0" w:space="0" w:color="auto"/>
        <w:bottom w:val="none" w:sz="0" w:space="0" w:color="auto"/>
        <w:right w:val="none" w:sz="0" w:space="0" w:color="auto"/>
      </w:divBdr>
    </w:div>
    <w:div w:id="1175459716">
      <w:bodyDiv w:val="1"/>
      <w:marLeft w:val="0"/>
      <w:marRight w:val="0"/>
      <w:marTop w:val="0"/>
      <w:marBottom w:val="0"/>
      <w:divBdr>
        <w:top w:val="none" w:sz="0" w:space="0" w:color="auto"/>
        <w:left w:val="none" w:sz="0" w:space="0" w:color="auto"/>
        <w:bottom w:val="none" w:sz="0" w:space="0" w:color="auto"/>
        <w:right w:val="none" w:sz="0" w:space="0" w:color="auto"/>
      </w:divBdr>
    </w:div>
    <w:div w:id="1180966524">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9855903">
      <w:bodyDiv w:val="1"/>
      <w:marLeft w:val="0"/>
      <w:marRight w:val="0"/>
      <w:marTop w:val="0"/>
      <w:marBottom w:val="0"/>
      <w:divBdr>
        <w:top w:val="none" w:sz="0" w:space="0" w:color="auto"/>
        <w:left w:val="none" w:sz="0" w:space="0" w:color="auto"/>
        <w:bottom w:val="none" w:sz="0" w:space="0" w:color="auto"/>
        <w:right w:val="none" w:sz="0" w:space="0" w:color="auto"/>
      </w:divBdr>
    </w:div>
    <w:div w:id="1209609630">
      <w:bodyDiv w:val="1"/>
      <w:marLeft w:val="0"/>
      <w:marRight w:val="0"/>
      <w:marTop w:val="0"/>
      <w:marBottom w:val="0"/>
      <w:divBdr>
        <w:top w:val="none" w:sz="0" w:space="0" w:color="auto"/>
        <w:left w:val="none" w:sz="0" w:space="0" w:color="auto"/>
        <w:bottom w:val="none" w:sz="0" w:space="0" w:color="auto"/>
        <w:right w:val="none" w:sz="0" w:space="0" w:color="auto"/>
      </w:divBdr>
    </w:div>
    <w:div w:id="1218979190">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9773177">
      <w:bodyDiv w:val="1"/>
      <w:marLeft w:val="0"/>
      <w:marRight w:val="0"/>
      <w:marTop w:val="0"/>
      <w:marBottom w:val="0"/>
      <w:divBdr>
        <w:top w:val="none" w:sz="0" w:space="0" w:color="auto"/>
        <w:left w:val="none" w:sz="0" w:space="0" w:color="auto"/>
        <w:bottom w:val="none" w:sz="0" w:space="0" w:color="auto"/>
        <w:right w:val="none" w:sz="0" w:space="0" w:color="auto"/>
      </w:divBdr>
    </w:div>
    <w:div w:id="1282690069">
      <w:bodyDiv w:val="1"/>
      <w:marLeft w:val="0"/>
      <w:marRight w:val="0"/>
      <w:marTop w:val="0"/>
      <w:marBottom w:val="0"/>
      <w:divBdr>
        <w:top w:val="none" w:sz="0" w:space="0" w:color="auto"/>
        <w:left w:val="none" w:sz="0" w:space="0" w:color="auto"/>
        <w:bottom w:val="none" w:sz="0" w:space="0" w:color="auto"/>
        <w:right w:val="none" w:sz="0" w:space="0" w:color="auto"/>
      </w:divBdr>
    </w:div>
    <w:div w:id="1314796829">
      <w:bodyDiv w:val="1"/>
      <w:marLeft w:val="0"/>
      <w:marRight w:val="0"/>
      <w:marTop w:val="0"/>
      <w:marBottom w:val="0"/>
      <w:divBdr>
        <w:top w:val="none" w:sz="0" w:space="0" w:color="auto"/>
        <w:left w:val="none" w:sz="0" w:space="0" w:color="auto"/>
        <w:bottom w:val="none" w:sz="0" w:space="0" w:color="auto"/>
        <w:right w:val="none" w:sz="0" w:space="0" w:color="auto"/>
      </w:divBdr>
    </w:div>
    <w:div w:id="1318459070">
      <w:bodyDiv w:val="1"/>
      <w:marLeft w:val="0"/>
      <w:marRight w:val="0"/>
      <w:marTop w:val="0"/>
      <w:marBottom w:val="0"/>
      <w:divBdr>
        <w:top w:val="none" w:sz="0" w:space="0" w:color="auto"/>
        <w:left w:val="none" w:sz="0" w:space="0" w:color="auto"/>
        <w:bottom w:val="none" w:sz="0" w:space="0" w:color="auto"/>
        <w:right w:val="none" w:sz="0" w:space="0" w:color="auto"/>
      </w:divBdr>
    </w:div>
    <w:div w:id="1336498508">
      <w:bodyDiv w:val="1"/>
      <w:marLeft w:val="0"/>
      <w:marRight w:val="0"/>
      <w:marTop w:val="0"/>
      <w:marBottom w:val="0"/>
      <w:divBdr>
        <w:top w:val="none" w:sz="0" w:space="0" w:color="auto"/>
        <w:left w:val="none" w:sz="0" w:space="0" w:color="auto"/>
        <w:bottom w:val="none" w:sz="0" w:space="0" w:color="auto"/>
        <w:right w:val="none" w:sz="0" w:space="0" w:color="auto"/>
      </w:divBdr>
    </w:div>
    <w:div w:id="1367826018">
      <w:bodyDiv w:val="1"/>
      <w:marLeft w:val="0"/>
      <w:marRight w:val="0"/>
      <w:marTop w:val="0"/>
      <w:marBottom w:val="0"/>
      <w:divBdr>
        <w:top w:val="none" w:sz="0" w:space="0" w:color="auto"/>
        <w:left w:val="none" w:sz="0" w:space="0" w:color="auto"/>
        <w:bottom w:val="none" w:sz="0" w:space="0" w:color="auto"/>
        <w:right w:val="none" w:sz="0" w:space="0" w:color="auto"/>
      </w:divBdr>
    </w:div>
    <w:div w:id="1401291198">
      <w:bodyDiv w:val="1"/>
      <w:marLeft w:val="0"/>
      <w:marRight w:val="0"/>
      <w:marTop w:val="0"/>
      <w:marBottom w:val="0"/>
      <w:divBdr>
        <w:top w:val="none" w:sz="0" w:space="0" w:color="auto"/>
        <w:left w:val="none" w:sz="0" w:space="0" w:color="auto"/>
        <w:bottom w:val="none" w:sz="0" w:space="0" w:color="auto"/>
        <w:right w:val="none" w:sz="0" w:space="0" w:color="auto"/>
      </w:divBdr>
    </w:div>
    <w:div w:id="1430615550">
      <w:bodyDiv w:val="1"/>
      <w:marLeft w:val="0"/>
      <w:marRight w:val="0"/>
      <w:marTop w:val="0"/>
      <w:marBottom w:val="0"/>
      <w:divBdr>
        <w:top w:val="none" w:sz="0" w:space="0" w:color="auto"/>
        <w:left w:val="none" w:sz="0" w:space="0" w:color="auto"/>
        <w:bottom w:val="none" w:sz="0" w:space="0" w:color="auto"/>
        <w:right w:val="none" w:sz="0" w:space="0" w:color="auto"/>
      </w:divBdr>
    </w:div>
    <w:div w:id="1467166819">
      <w:bodyDiv w:val="1"/>
      <w:marLeft w:val="0"/>
      <w:marRight w:val="0"/>
      <w:marTop w:val="0"/>
      <w:marBottom w:val="0"/>
      <w:divBdr>
        <w:top w:val="none" w:sz="0" w:space="0" w:color="auto"/>
        <w:left w:val="none" w:sz="0" w:space="0" w:color="auto"/>
        <w:bottom w:val="none" w:sz="0" w:space="0" w:color="auto"/>
        <w:right w:val="none" w:sz="0" w:space="0" w:color="auto"/>
      </w:divBdr>
    </w:div>
    <w:div w:id="1488470503">
      <w:bodyDiv w:val="1"/>
      <w:marLeft w:val="0"/>
      <w:marRight w:val="0"/>
      <w:marTop w:val="0"/>
      <w:marBottom w:val="0"/>
      <w:divBdr>
        <w:top w:val="none" w:sz="0" w:space="0" w:color="auto"/>
        <w:left w:val="none" w:sz="0" w:space="0" w:color="auto"/>
        <w:bottom w:val="none" w:sz="0" w:space="0" w:color="auto"/>
        <w:right w:val="none" w:sz="0" w:space="0" w:color="auto"/>
      </w:divBdr>
    </w:div>
    <w:div w:id="1521044948">
      <w:bodyDiv w:val="1"/>
      <w:marLeft w:val="0"/>
      <w:marRight w:val="0"/>
      <w:marTop w:val="0"/>
      <w:marBottom w:val="0"/>
      <w:divBdr>
        <w:top w:val="none" w:sz="0" w:space="0" w:color="auto"/>
        <w:left w:val="none" w:sz="0" w:space="0" w:color="auto"/>
        <w:bottom w:val="none" w:sz="0" w:space="0" w:color="auto"/>
        <w:right w:val="none" w:sz="0" w:space="0" w:color="auto"/>
      </w:divBdr>
    </w:div>
    <w:div w:id="1554998445">
      <w:bodyDiv w:val="1"/>
      <w:marLeft w:val="0"/>
      <w:marRight w:val="0"/>
      <w:marTop w:val="0"/>
      <w:marBottom w:val="0"/>
      <w:divBdr>
        <w:top w:val="none" w:sz="0" w:space="0" w:color="auto"/>
        <w:left w:val="none" w:sz="0" w:space="0" w:color="auto"/>
        <w:bottom w:val="none" w:sz="0" w:space="0" w:color="auto"/>
        <w:right w:val="none" w:sz="0" w:space="0" w:color="auto"/>
      </w:divBdr>
    </w:div>
    <w:div w:id="1564296057">
      <w:bodyDiv w:val="1"/>
      <w:marLeft w:val="0"/>
      <w:marRight w:val="0"/>
      <w:marTop w:val="0"/>
      <w:marBottom w:val="0"/>
      <w:divBdr>
        <w:top w:val="none" w:sz="0" w:space="0" w:color="auto"/>
        <w:left w:val="none" w:sz="0" w:space="0" w:color="auto"/>
        <w:bottom w:val="none" w:sz="0" w:space="0" w:color="auto"/>
        <w:right w:val="none" w:sz="0" w:space="0" w:color="auto"/>
      </w:divBdr>
    </w:div>
    <w:div w:id="1616670144">
      <w:bodyDiv w:val="1"/>
      <w:marLeft w:val="0"/>
      <w:marRight w:val="0"/>
      <w:marTop w:val="0"/>
      <w:marBottom w:val="0"/>
      <w:divBdr>
        <w:top w:val="none" w:sz="0" w:space="0" w:color="auto"/>
        <w:left w:val="none" w:sz="0" w:space="0" w:color="auto"/>
        <w:bottom w:val="none" w:sz="0" w:space="0" w:color="auto"/>
        <w:right w:val="none" w:sz="0" w:space="0" w:color="auto"/>
      </w:divBdr>
    </w:div>
    <w:div w:id="1650861909">
      <w:bodyDiv w:val="1"/>
      <w:marLeft w:val="0"/>
      <w:marRight w:val="0"/>
      <w:marTop w:val="0"/>
      <w:marBottom w:val="0"/>
      <w:divBdr>
        <w:top w:val="none" w:sz="0" w:space="0" w:color="auto"/>
        <w:left w:val="none" w:sz="0" w:space="0" w:color="auto"/>
        <w:bottom w:val="none" w:sz="0" w:space="0" w:color="auto"/>
        <w:right w:val="none" w:sz="0" w:space="0" w:color="auto"/>
      </w:divBdr>
    </w:div>
    <w:div w:id="1718511441">
      <w:bodyDiv w:val="1"/>
      <w:marLeft w:val="0"/>
      <w:marRight w:val="0"/>
      <w:marTop w:val="0"/>
      <w:marBottom w:val="0"/>
      <w:divBdr>
        <w:top w:val="none" w:sz="0" w:space="0" w:color="auto"/>
        <w:left w:val="none" w:sz="0" w:space="0" w:color="auto"/>
        <w:bottom w:val="none" w:sz="0" w:space="0" w:color="auto"/>
        <w:right w:val="none" w:sz="0" w:space="0" w:color="auto"/>
      </w:divBdr>
    </w:div>
    <w:div w:id="1772386112">
      <w:bodyDiv w:val="1"/>
      <w:marLeft w:val="0"/>
      <w:marRight w:val="0"/>
      <w:marTop w:val="0"/>
      <w:marBottom w:val="0"/>
      <w:divBdr>
        <w:top w:val="none" w:sz="0" w:space="0" w:color="auto"/>
        <w:left w:val="none" w:sz="0" w:space="0" w:color="auto"/>
        <w:bottom w:val="none" w:sz="0" w:space="0" w:color="auto"/>
        <w:right w:val="none" w:sz="0" w:space="0" w:color="auto"/>
      </w:divBdr>
    </w:div>
    <w:div w:id="1808935693">
      <w:bodyDiv w:val="1"/>
      <w:marLeft w:val="0"/>
      <w:marRight w:val="0"/>
      <w:marTop w:val="0"/>
      <w:marBottom w:val="0"/>
      <w:divBdr>
        <w:top w:val="none" w:sz="0" w:space="0" w:color="auto"/>
        <w:left w:val="none" w:sz="0" w:space="0" w:color="auto"/>
        <w:bottom w:val="none" w:sz="0" w:space="0" w:color="auto"/>
        <w:right w:val="none" w:sz="0" w:space="0" w:color="auto"/>
      </w:divBdr>
    </w:div>
    <w:div w:id="1816754550">
      <w:bodyDiv w:val="1"/>
      <w:marLeft w:val="0"/>
      <w:marRight w:val="0"/>
      <w:marTop w:val="0"/>
      <w:marBottom w:val="0"/>
      <w:divBdr>
        <w:top w:val="none" w:sz="0" w:space="0" w:color="auto"/>
        <w:left w:val="none" w:sz="0" w:space="0" w:color="auto"/>
        <w:bottom w:val="none" w:sz="0" w:space="0" w:color="auto"/>
        <w:right w:val="none" w:sz="0" w:space="0" w:color="auto"/>
      </w:divBdr>
    </w:div>
    <w:div w:id="1857845494">
      <w:bodyDiv w:val="1"/>
      <w:marLeft w:val="0"/>
      <w:marRight w:val="0"/>
      <w:marTop w:val="0"/>
      <w:marBottom w:val="0"/>
      <w:divBdr>
        <w:top w:val="none" w:sz="0" w:space="0" w:color="auto"/>
        <w:left w:val="none" w:sz="0" w:space="0" w:color="auto"/>
        <w:bottom w:val="none" w:sz="0" w:space="0" w:color="auto"/>
        <w:right w:val="none" w:sz="0" w:space="0" w:color="auto"/>
      </w:divBdr>
    </w:div>
    <w:div w:id="1920556409">
      <w:bodyDiv w:val="1"/>
      <w:marLeft w:val="0"/>
      <w:marRight w:val="0"/>
      <w:marTop w:val="0"/>
      <w:marBottom w:val="0"/>
      <w:divBdr>
        <w:top w:val="none" w:sz="0" w:space="0" w:color="auto"/>
        <w:left w:val="none" w:sz="0" w:space="0" w:color="auto"/>
        <w:bottom w:val="none" w:sz="0" w:space="0" w:color="auto"/>
        <w:right w:val="none" w:sz="0" w:space="0" w:color="auto"/>
      </w:divBdr>
    </w:div>
    <w:div w:id="192749363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2737401">
      <w:bodyDiv w:val="1"/>
      <w:marLeft w:val="0"/>
      <w:marRight w:val="0"/>
      <w:marTop w:val="0"/>
      <w:marBottom w:val="0"/>
      <w:divBdr>
        <w:top w:val="none" w:sz="0" w:space="0" w:color="auto"/>
        <w:left w:val="none" w:sz="0" w:space="0" w:color="auto"/>
        <w:bottom w:val="none" w:sz="0" w:space="0" w:color="auto"/>
        <w:right w:val="none" w:sz="0" w:space="0" w:color="auto"/>
      </w:divBdr>
    </w:div>
    <w:div w:id="2010671942">
      <w:bodyDiv w:val="1"/>
      <w:marLeft w:val="0"/>
      <w:marRight w:val="0"/>
      <w:marTop w:val="0"/>
      <w:marBottom w:val="0"/>
      <w:divBdr>
        <w:top w:val="none" w:sz="0" w:space="0" w:color="auto"/>
        <w:left w:val="none" w:sz="0" w:space="0" w:color="auto"/>
        <w:bottom w:val="none" w:sz="0" w:space="0" w:color="auto"/>
        <w:right w:val="none" w:sz="0" w:space="0" w:color="auto"/>
      </w:divBdr>
    </w:div>
    <w:div w:id="2024285375">
      <w:bodyDiv w:val="1"/>
      <w:marLeft w:val="0"/>
      <w:marRight w:val="0"/>
      <w:marTop w:val="0"/>
      <w:marBottom w:val="0"/>
      <w:divBdr>
        <w:top w:val="none" w:sz="0" w:space="0" w:color="auto"/>
        <w:left w:val="none" w:sz="0" w:space="0" w:color="auto"/>
        <w:bottom w:val="none" w:sz="0" w:space="0" w:color="auto"/>
        <w:right w:val="none" w:sz="0" w:space="0" w:color="auto"/>
      </w:divBdr>
    </w:div>
    <w:div w:id="2059164676">
      <w:bodyDiv w:val="1"/>
      <w:marLeft w:val="0"/>
      <w:marRight w:val="0"/>
      <w:marTop w:val="0"/>
      <w:marBottom w:val="0"/>
      <w:divBdr>
        <w:top w:val="none" w:sz="0" w:space="0" w:color="auto"/>
        <w:left w:val="none" w:sz="0" w:space="0" w:color="auto"/>
        <w:bottom w:val="none" w:sz="0" w:space="0" w:color="auto"/>
        <w:right w:val="none" w:sz="0" w:space="0" w:color="auto"/>
      </w:divBdr>
    </w:div>
    <w:div w:id="2069567186">
      <w:bodyDiv w:val="1"/>
      <w:marLeft w:val="0"/>
      <w:marRight w:val="0"/>
      <w:marTop w:val="0"/>
      <w:marBottom w:val="0"/>
      <w:divBdr>
        <w:top w:val="none" w:sz="0" w:space="0" w:color="auto"/>
        <w:left w:val="none" w:sz="0" w:space="0" w:color="auto"/>
        <w:bottom w:val="none" w:sz="0" w:space="0" w:color="auto"/>
        <w:right w:val="none" w:sz="0" w:space="0" w:color="auto"/>
      </w:divBdr>
    </w:div>
    <w:div w:id="210718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hivmanagement.ashm.org.au/antiretroviral-dru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46</Pages>
  <Words>18067</Words>
  <Characters>97801</Characters>
  <Application>Microsoft Office Word</Application>
  <DocSecurity>0</DocSecurity>
  <Lines>815</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2023-03-07T00:52:00Z</dcterms:created>
  <dcterms:modified xsi:type="dcterms:W3CDTF">2023-03-07T00:53:00Z</dcterms:modified>
</cp:coreProperties>
</file>