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FFAC8" w14:textId="7E969D3F" w:rsidR="00F04147" w:rsidRDefault="00F04147" w:rsidP="00F04147">
      <w:bookmarkStart w:id="0" w:name="_Toc114047876"/>
      <w:r w:rsidRPr="001E1ED1">
        <w:rPr>
          <w:rFonts w:cs="Calibri"/>
          <w:color w:val="FF0000"/>
        </w:rPr>
        <w:t xml:space="preserve">An addendum to </w:t>
      </w:r>
      <w:r w:rsidR="00E06E7B">
        <w:rPr>
          <w:rFonts w:cs="Calibri"/>
          <w:color w:val="FF0000"/>
        </w:rPr>
        <w:t>this Public Summary Document (PSD)</w:t>
      </w:r>
      <w:r w:rsidRPr="001E1ED1">
        <w:rPr>
          <w:rFonts w:cs="Calibri"/>
          <w:color w:val="FF0000"/>
        </w:rPr>
        <w:t xml:space="preserve"> has been included at the end of the document</w:t>
      </w:r>
    </w:p>
    <w:p w14:paraId="51C6701A" w14:textId="47840DBE" w:rsidR="00B60939" w:rsidRPr="003A235D" w:rsidRDefault="000A2FB6" w:rsidP="004A6040">
      <w:pPr>
        <w:pStyle w:val="COMH1-non-numbered"/>
      </w:pPr>
      <w:r w:rsidRPr="003A235D">
        <w:t>6</w:t>
      </w:r>
      <w:r w:rsidR="00433044" w:rsidRPr="003A235D">
        <w:t>.</w:t>
      </w:r>
      <w:r w:rsidRPr="003A235D">
        <w:t>02</w:t>
      </w:r>
      <w:r w:rsidR="00163F66" w:rsidRPr="003A235D">
        <w:tab/>
      </w:r>
      <w:r w:rsidR="00F01F30" w:rsidRPr="003A235D">
        <w:t>EMPAGLIFLOZIN</w:t>
      </w:r>
      <w:r w:rsidR="00163F66" w:rsidRPr="003A235D">
        <w:t>,</w:t>
      </w:r>
      <w:r w:rsidR="00163F66" w:rsidRPr="003A235D">
        <w:br/>
      </w:r>
      <w:r w:rsidR="009539E6" w:rsidRPr="003A235D">
        <w:t>T</w:t>
      </w:r>
      <w:r w:rsidR="00490CBF" w:rsidRPr="003A235D">
        <w:t>ablet</w:t>
      </w:r>
      <w:r w:rsidR="00D5581F" w:rsidRPr="003A235D">
        <w:t xml:space="preserve"> 10 mg</w:t>
      </w:r>
      <w:r w:rsidR="00163F66" w:rsidRPr="003A235D">
        <w:t>,</w:t>
      </w:r>
      <w:r w:rsidR="00163F66" w:rsidRPr="003A235D">
        <w:br/>
      </w:r>
      <w:r w:rsidR="00F01F30" w:rsidRPr="003A235D">
        <w:t>Jardiance</w:t>
      </w:r>
      <w:r w:rsidR="00B60939" w:rsidRPr="003A235D">
        <w:rPr>
          <w:vertAlign w:val="superscript"/>
        </w:rPr>
        <w:t>®</w:t>
      </w:r>
      <w:r w:rsidR="004A6040" w:rsidRPr="003A235D">
        <w:t>,</w:t>
      </w:r>
      <w:r w:rsidR="004A6040" w:rsidRPr="003A235D">
        <w:br/>
      </w:r>
      <w:r w:rsidR="00F01F30" w:rsidRPr="003A235D">
        <w:t>Boehringer Ingelheim Pty Ltd</w:t>
      </w:r>
      <w:r w:rsidR="00B60939" w:rsidRPr="003A235D">
        <w:t>.</w:t>
      </w:r>
      <w:bookmarkEnd w:id="0"/>
      <w:r w:rsidR="00F73E08" w:rsidRPr="003A235D">
        <w:t xml:space="preserve"> </w:t>
      </w:r>
    </w:p>
    <w:p w14:paraId="11C00795" w14:textId="3DFB6D23" w:rsidR="00B50DB8" w:rsidRPr="003A235D" w:rsidRDefault="00B50DB8" w:rsidP="004A6040">
      <w:pPr>
        <w:pStyle w:val="COMH1numbered"/>
      </w:pPr>
      <w:bookmarkStart w:id="1" w:name="_Toc114047878"/>
      <w:r w:rsidRPr="003A235D">
        <w:t xml:space="preserve">Purpose of </w:t>
      </w:r>
      <w:r w:rsidR="00CD7193" w:rsidRPr="003A235D">
        <w:t>s</w:t>
      </w:r>
      <w:r w:rsidR="00BB3A45" w:rsidRPr="003A235D">
        <w:t>ubmission</w:t>
      </w:r>
      <w:bookmarkEnd w:id="1"/>
    </w:p>
    <w:p w14:paraId="7953E85A" w14:textId="77777777" w:rsidR="00614B3D" w:rsidRPr="003A235D" w:rsidRDefault="00614B3D" w:rsidP="00FA0815">
      <w:pPr>
        <w:pStyle w:val="ExecSumBodyText"/>
        <w:numPr>
          <w:ilvl w:val="1"/>
          <w:numId w:val="1"/>
        </w:numPr>
      </w:pPr>
      <w:r w:rsidRPr="003A235D">
        <w:t xml:space="preserve">The Category 2 submission requested a General Schedule Authority Required (Streamlined) listing for empagliflozin for the treatment of chronic heart failure (NYHA classes II, III, or IV) in patients with a left ventricular ejection fraction greater than 40%. </w:t>
      </w:r>
    </w:p>
    <w:p w14:paraId="2305C6A0" w14:textId="7C0CC089" w:rsidR="00614B3D" w:rsidRPr="003A235D" w:rsidRDefault="00614B3D" w:rsidP="00FA0815">
      <w:pPr>
        <w:pStyle w:val="ExecSumBodyText"/>
        <w:numPr>
          <w:ilvl w:val="1"/>
          <w:numId w:val="1"/>
        </w:numPr>
      </w:pPr>
      <w:r w:rsidRPr="003A235D">
        <w:t>Listing was requested on the basis of a cost-effectiveness analysis versus standard care.</w:t>
      </w:r>
    </w:p>
    <w:p w14:paraId="2FA19A67" w14:textId="744299AC" w:rsidR="00614B3D" w:rsidRPr="003A235D" w:rsidRDefault="00614B3D" w:rsidP="00614B3D">
      <w:pPr>
        <w:pStyle w:val="COMtablefigcaption"/>
      </w:pPr>
      <w:r w:rsidRPr="003A235D">
        <w:t xml:space="preserve">Table </w:t>
      </w:r>
      <w:fldSimple w:instr=" SEQ Table \* ARABIC " w:fldLock="1">
        <w:r w:rsidR="004646F5" w:rsidRPr="003A235D">
          <w:t>1</w:t>
        </w:r>
      </w:fldSimple>
      <w:r w:rsidRPr="003A235D">
        <w:t>: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Pr>
      <w:tblGrid>
        <w:gridCol w:w="1666"/>
        <w:gridCol w:w="7351"/>
      </w:tblGrid>
      <w:tr w:rsidR="00614B3D" w:rsidRPr="003A235D" w14:paraId="490E925D" w14:textId="77777777" w:rsidTr="00AE14F4">
        <w:trPr>
          <w:cantSplit/>
          <w:tblHeader/>
        </w:trPr>
        <w:tc>
          <w:tcPr>
            <w:tcW w:w="924" w:type="pct"/>
            <w:shd w:val="clear" w:color="auto" w:fill="auto"/>
          </w:tcPr>
          <w:p w14:paraId="65AD36AF" w14:textId="77777777" w:rsidR="00614B3D" w:rsidRPr="003A235D" w:rsidRDefault="00614B3D" w:rsidP="00AE14F4">
            <w:pPr>
              <w:pStyle w:val="COMTableheadingrow"/>
              <w:rPr>
                <w:szCs w:val="20"/>
                <w:lang w:val="en-AU"/>
              </w:rPr>
            </w:pPr>
            <w:r w:rsidRPr="003A235D">
              <w:rPr>
                <w:lang w:val="en-AU"/>
              </w:rPr>
              <w:t>Component</w:t>
            </w:r>
          </w:p>
        </w:tc>
        <w:tc>
          <w:tcPr>
            <w:tcW w:w="4076" w:type="pct"/>
            <w:shd w:val="clear" w:color="auto" w:fill="auto"/>
          </w:tcPr>
          <w:p w14:paraId="4117CC8A" w14:textId="77777777" w:rsidR="00614B3D" w:rsidRPr="003A235D" w:rsidRDefault="00614B3D" w:rsidP="00AE14F4">
            <w:pPr>
              <w:pStyle w:val="COMTableheadingrow"/>
              <w:rPr>
                <w:lang w:val="en-AU"/>
              </w:rPr>
            </w:pPr>
            <w:r w:rsidRPr="003A235D">
              <w:rPr>
                <w:lang w:val="en-AU"/>
              </w:rPr>
              <w:t>Description</w:t>
            </w:r>
          </w:p>
        </w:tc>
      </w:tr>
      <w:tr w:rsidR="00614B3D" w:rsidRPr="003A235D" w14:paraId="7EBE57CF" w14:textId="77777777" w:rsidTr="00AE14F4">
        <w:trPr>
          <w:cantSplit/>
        </w:trPr>
        <w:tc>
          <w:tcPr>
            <w:tcW w:w="924" w:type="pct"/>
            <w:shd w:val="clear" w:color="auto" w:fill="auto"/>
          </w:tcPr>
          <w:p w14:paraId="4F11D785" w14:textId="77777777" w:rsidR="00614B3D" w:rsidRPr="003A235D" w:rsidRDefault="00614B3D" w:rsidP="00AE14F4">
            <w:pPr>
              <w:pStyle w:val="COMTabletext"/>
            </w:pPr>
            <w:r w:rsidRPr="003A235D">
              <w:t>Population</w:t>
            </w:r>
          </w:p>
        </w:tc>
        <w:tc>
          <w:tcPr>
            <w:tcW w:w="4076" w:type="pct"/>
            <w:shd w:val="clear" w:color="auto" w:fill="auto"/>
            <w:vAlign w:val="center"/>
          </w:tcPr>
          <w:p w14:paraId="7A85EC12" w14:textId="77777777" w:rsidR="00614B3D" w:rsidRPr="003A235D" w:rsidRDefault="00614B3D" w:rsidP="00AE14F4">
            <w:pPr>
              <w:pStyle w:val="COMTabletext"/>
              <w:rPr>
                <w:szCs w:val="20"/>
              </w:rPr>
            </w:pPr>
            <w:r w:rsidRPr="003A235D">
              <w:rPr>
                <w:szCs w:val="20"/>
              </w:rPr>
              <w:t>Adult patients with chronic heart failure (NYHA Class II-IV) and LVEF &gt;40%</w:t>
            </w:r>
          </w:p>
        </w:tc>
      </w:tr>
      <w:tr w:rsidR="00614B3D" w:rsidRPr="003A235D" w14:paraId="42154107" w14:textId="77777777" w:rsidTr="00AE14F4">
        <w:trPr>
          <w:cantSplit/>
        </w:trPr>
        <w:tc>
          <w:tcPr>
            <w:tcW w:w="924" w:type="pct"/>
            <w:shd w:val="clear" w:color="auto" w:fill="auto"/>
          </w:tcPr>
          <w:p w14:paraId="673BA858" w14:textId="77777777" w:rsidR="00614B3D" w:rsidRPr="003A235D" w:rsidRDefault="00614B3D" w:rsidP="00AE14F4">
            <w:pPr>
              <w:pStyle w:val="COMTabletext"/>
            </w:pPr>
            <w:r w:rsidRPr="003A235D">
              <w:t>Intervention</w:t>
            </w:r>
          </w:p>
        </w:tc>
        <w:tc>
          <w:tcPr>
            <w:tcW w:w="4076" w:type="pct"/>
            <w:shd w:val="clear" w:color="auto" w:fill="auto"/>
            <w:vAlign w:val="center"/>
          </w:tcPr>
          <w:p w14:paraId="76B61374" w14:textId="1A605AAA" w:rsidR="00614B3D" w:rsidRPr="003A235D" w:rsidRDefault="00614B3D" w:rsidP="00AE14F4">
            <w:pPr>
              <w:pStyle w:val="COMTabletext"/>
            </w:pPr>
            <w:r w:rsidRPr="003A235D">
              <w:rPr>
                <w:szCs w:val="20"/>
              </w:rPr>
              <w:t xml:space="preserve">Empagliflozin </w:t>
            </w:r>
            <w:r w:rsidR="00F935BC" w:rsidRPr="003A235D">
              <w:rPr>
                <w:szCs w:val="20"/>
              </w:rPr>
              <w:t>10 mg</w:t>
            </w:r>
            <w:r w:rsidRPr="003A235D">
              <w:rPr>
                <w:szCs w:val="20"/>
              </w:rPr>
              <w:t xml:space="preserve"> once daily in addition to standard care</w:t>
            </w:r>
          </w:p>
        </w:tc>
      </w:tr>
      <w:tr w:rsidR="00614B3D" w:rsidRPr="003A235D" w14:paraId="6755A3CF" w14:textId="77777777" w:rsidTr="00AE14F4">
        <w:trPr>
          <w:cantSplit/>
        </w:trPr>
        <w:tc>
          <w:tcPr>
            <w:tcW w:w="924" w:type="pct"/>
            <w:shd w:val="clear" w:color="auto" w:fill="auto"/>
          </w:tcPr>
          <w:p w14:paraId="446C74FF" w14:textId="77777777" w:rsidR="00614B3D" w:rsidRPr="003A235D" w:rsidRDefault="00614B3D" w:rsidP="00AE14F4">
            <w:pPr>
              <w:pStyle w:val="COMTabletext"/>
            </w:pPr>
            <w:r w:rsidRPr="003A235D">
              <w:t>Comparator</w:t>
            </w:r>
          </w:p>
        </w:tc>
        <w:tc>
          <w:tcPr>
            <w:tcW w:w="4076" w:type="pct"/>
            <w:shd w:val="clear" w:color="auto" w:fill="auto"/>
            <w:vAlign w:val="center"/>
          </w:tcPr>
          <w:p w14:paraId="0FD1311B" w14:textId="77777777" w:rsidR="00614B3D" w:rsidRPr="003A235D" w:rsidRDefault="00614B3D" w:rsidP="00AE14F4">
            <w:pPr>
              <w:pStyle w:val="COMTabletext"/>
            </w:pPr>
            <w:r w:rsidRPr="003A235D">
              <w:t>Placebo, used in conjunction with standard care including diuretics for symptom relief and other concomitant medications to manage related comorbidities.</w:t>
            </w:r>
          </w:p>
        </w:tc>
      </w:tr>
      <w:tr w:rsidR="00614B3D" w:rsidRPr="003A235D" w14:paraId="483760B2" w14:textId="77777777" w:rsidTr="00AE14F4">
        <w:trPr>
          <w:cantSplit/>
        </w:trPr>
        <w:tc>
          <w:tcPr>
            <w:tcW w:w="924" w:type="pct"/>
            <w:shd w:val="clear" w:color="auto" w:fill="auto"/>
          </w:tcPr>
          <w:p w14:paraId="5B7A3595" w14:textId="77777777" w:rsidR="00614B3D" w:rsidRPr="003A235D" w:rsidRDefault="00614B3D" w:rsidP="00AE14F4">
            <w:pPr>
              <w:pStyle w:val="COMTabletext"/>
            </w:pPr>
            <w:r w:rsidRPr="003A235D">
              <w:t>Outcomes</w:t>
            </w:r>
          </w:p>
        </w:tc>
        <w:tc>
          <w:tcPr>
            <w:tcW w:w="4076" w:type="pct"/>
            <w:shd w:val="clear" w:color="auto" w:fill="auto"/>
            <w:vAlign w:val="center"/>
          </w:tcPr>
          <w:p w14:paraId="7A6678DB" w14:textId="77777777" w:rsidR="00614B3D" w:rsidRPr="003A235D" w:rsidRDefault="00614B3D" w:rsidP="00AE14F4">
            <w:pPr>
              <w:pStyle w:val="COMTabletext"/>
              <w:rPr>
                <w:rFonts w:eastAsia="Times New Roman" w:cs="Arial"/>
                <w:bCs w:val="0"/>
                <w:snapToGrid w:val="0"/>
                <w:color w:val="0066FF"/>
                <w:szCs w:val="20"/>
              </w:rPr>
            </w:pPr>
            <w:r w:rsidRPr="003A235D">
              <w:rPr>
                <w:rFonts w:cstheme="minorHAnsi"/>
                <w:szCs w:val="20"/>
              </w:rPr>
              <w:t>Composite of cardiovascular death and hospitalisation for heart failure, all-cause mortality, renal function decline, heart failure related quality of life, adverse events</w:t>
            </w:r>
          </w:p>
        </w:tc>
      </w:tr>
      <w:tr w:rsidR="00614B3D" w:rsidRPr="003A235D" w14:paraId="27168FA8" w14:textId="77777777" w:rsidTr="00AE14F4">
        <w:trPr>
          <w:cantSplit/>
        </w:trPr>
        <w:tc>
          <w:tcPr>
            <w:tcW w:w="924" w:type="pct"/>
            <w:shd w:val="clear" w:color="auto" w:fill="auto"/>
          </w:tcPr>
          <w:p w14:paraId="0F855F50" w14:textId="77777777" w:rsidR="00614B3D" w:rsidRPr="003A235D" w:rsidRDefault="00614B3D" w:rsidP="00AE14F4">
            <w:pPr>
              <w:pStyle w:val="COMTabletext"/>
            </w:pPr>
            <w:r w:rsidRPr="003A235D">
              <w:t>Clinical claim</w:t>
            </w:r>
          </w:p>
        </w:tc>
        <w:tc>
          <w:tcPr>
            <w:tcW w:w="4076" w:type="pct"/>
            <w:shd w:val="clear" w:color="auto" w:fill="auto"/>
            <w:vAlign w:val="center"/>
          </w:tcPr>
          <w:p w14:paraId="0AA640F4" w14:textId="77777777" w:rsidR="00614B3D" w:rsidRPr="003A235D" w:rsidRDefault="00614B3D" w:rsidP="00AE14F4">
            <w:pPr>
              <w:pStyle w:val="COMTabletext"/>
              <w:rPr>
                <w:rFonts w:eastAsia="Times New Roman" w:cs="Arial"/>
                <w:bCs w:val="0"/>
                <w:snapToGrid w:val="0"/>
                <w:color w:val="0066FF"/>
                <w:szCs w:val="20"/>
              </w:rPr>
            </w:pPr>
            <w:r w:rsidRPr="003A235D">
              <w:t>Empagliflozin (add-on to standard care) is superior in terms of efficacy and non-inferior in terms of safety compared to placebo (add-on to standard care).</w:t>
            </w:r>
          </w:p>
        </w:tc>
      </w:tr>
    </w:tbl>
    <w:p w14:paraId="2791F0A8" w14:textId="77777777" w:rsidR="00614B3D" w:rsidRPr="003A235D" w:rsidRDefault="00614B3D" w:rsidP="00614B3D">
      <w:pPr>
        <w:pStyle w:val="TableFooter"/>
      </w:pPr>
      <w:r w:rsidRPr="003A235D">
        <w:t>Source: Table 1.1, p2 of the submission.</w:t>
      </w:r>
    </w:p>
    <w:p w14:paraId="24CA2198" w14:textId="77777777" w:rsidR="00614B3D" w:rsidRPr="003A235D" w:rsidRDefault="00614B3D" w:rsidP="00614B3D">
      <w:pPr>
        <w:pStyle w:val="TableFooter"/>
      </w:pPr>
      <w:r w:rsidRPr="003A235D">
        <w:t>Abbreviations: HF, heart failure; LVEF, left ventricular ejection fraction; NYHA, New York Heart Association</w:t>
      </w:r>
    </w:p>
    <w:p w14:paraId="79777F69" w14:textId="77777777" w:rsidR="00614B3D" w:rsidRPr="003A235D" w:rsidRDefault="00614B3D" w:rsidP="00614B3D">
      <w:pPr>
        <w:pStyle w:val="COMH1numbered"/>
      </w:pPr>
      <w:bookmarkStart w:id="2" w:name="_Toc114047879"/>
      <w:r w:rsidRPr="003A235D">
        <w:t>Background</w:t>
      </w:r>
      <w:bookmarkEnd w:id="2"/>
    </w:p>
    <w:p w14:paraId="785FCC03" w14:textId="77777777" w:rsidR="00614B3D" w:rsidRPr="003A235D" w:rsidRDefault="00614B3D" w:rsidP="00614B3D">
      <w:pPr>
        <w:pStyle w:val="COMH2-non-numbered"/>
      </w:pPr>
      <w:bookmarkStart w:id="3" w:name="_Toc114047880"/>
      <w:r w:rsidRPr="003A235D">
        <w:t>Registration status</w:t>
      </w:r>
      <w:bookmarkEnd w:id="3"/>
    </w:p>
    <w:p w14:paraId="2D351982" w14:textId="41FBD05E" w:rsidR="008863D9" w:rsidRPr="003A235D" w:rsidRDefault="00F41CDE" w:rsidP="008863D9">
      <w:pPr>
        <w:pStyle w:val="ExecSumBodyText"/>
        <w:numPr>
          <w:ilvl w:val="1"/>
          <w:numId w:val="1"/>
        </w:numPr>
      </w:pPr>
      <w:r w:rsidRPr="003A235D">
        <w:rPr>
          <w:rFonts w:ascii="Calibri" w:eastAsia="Calibri" w:hAnsi="Calibri"/>
          <w:b/>
          <w:iCs/>
          <w:szCs w:val="22"/>
        </w:rPr>
        <w:t xml:space="preserve">TGA status at time of </w:t>
      </w:r>
      <w:r w:rsidR="00EB093F" w:rsidRPr="003A235D">
        <w:rPr>
          <w:rFonts w:ascii="Calibri" w:eastAsia="Calibri" w:hAnsi="Calibri"/>
          <w:b/>
          <w:iCs/>
          <w:szCs w:val="22"/>
        </w:rPr>
        <w:t>PBAC consideration</w:t>
      </w:r>
      <w:r w:rsidRPr="003A235D">
        <w:rPr>
          <w:rFonts w:ascii="Calibri" w:eastAsia="Calibri" w:hAnsi="Calibri"/>
          <w:iCs/>
          <w:szCs w:val="22"/>
        </w:rPr>
        <w:t xml:space="preserve">: </w:t>
      </w:r>
      <w:r w:rsidR="00614B3D" w:rsidRPr="003A235D">
        <w:t xml:space="preserve">The submission was </w:t>
      </w:r>
      <w:r w:rsidR="00975724" w:rsidRPr="003A235D">
        <w:t xml:space="preserve">lodged </w:t>
      </w:r>
      <w:r w:rsidR="00614B3D" w:rsidRPr="003A235D">
        <w:t xml:space="preserve">under the TGA/PBAC parallel process. At the time of evaluation, the TGA Clinical Evaluator’s Round 1 Report (30 April 2022) </w:t>
      </w:r>
      <w:r w:rsidR="00C528EF" w:rsidRPr="003A235D">
        <w:t xml:space="preserve">and Round 2 report (31 July 2022) </w:t>
      </w:r>
      <w:r w:rsidR="00614B3D" w:rsidRPr="003A235D">
        <w:t>w</w:t>
      </w:r>
      <w:r w:rsidR="00C528EF" w:rsidRPr="003A235D">
        <w:t>ere</w:t>
      </w:r>
      <w:r w:rsidR="00614B3D" w:rsidRPr="003A235D">
        <w:t xml:space="preserve"> available. </w:t>
      </w:r>
      <w:r w:rsidR="00413067" w:rsidRPr="003A235D">
        <w:rPr>
          <w:iCs/>
        </w:rPr>
        <w:t>The Delegates Overview (6 September 2022) was received prior to the ESC meeting.</w:t>
      </w:r>
      <w:r w:rsidR="00413067" w:rsidRPr="003A235D">
        <w:t xml:space="preserve">  </w:t>
      </w:r>
      <w:r w:rsidR="008863D9" w:rsidRPr="003A235D">
        <w:t>The Minutes of the TGA Advisory Committee on Medicines (ACM) w</w:t>
      </w:r>
      <w:r w:rsidR="00B03F99" w:rsidRPr="003A235D">
        <w:t>ere</w:t>
      </w:r>
      <w:r w:rsidR="008863D9" w:rsidRPr="003A235D">
        <w:t xml:space="preserve"> received prior to the PBAC meeting. The ACM considered empagliflozin to have an overall positive benefit-risk profile for use in adult patients for the treatment of symptomatic heart failure independent of left ventricular ejection fraction, as an adjunct to standard of care therapy.</w:t>
      </w:r>
    </w:p>
    <w:p w14:paraId="5E72C6E8" w14:textId="33DB24EE" w:rsidR="00614B3D" w:rsidRPr="003A235D" w:rsidRDefault="00614B3D" w:rsidP="00614B3D">
      <w:pPr>
        <w:pStyle w:val="ExecSumBodyText"/>
        <w:numPr>
          <w:ilvl w:val="1"/>
          <w:numId w:val="1"/>
        </w:numPr>
      </w:pPr>
      <w:r w:rsidRPr="003A235D">
        <w:t xml:space="preserve">The proposed extension of the TGA indication for empagliflozin </w:t>
      </w:r>
      <w:r w:rsidR="00F935BC" w:rsidRPr="003A235D">
        <w:t>10 mg</w:t>
      </w:r>
      <w:r w:rsidRPr="003A235D">
        <w:t xml:space="preserve"> tablets </w:t>
      </w:r>
      <w:r w:rsidR="00B03F99" w:rsidRPr="003A235D">
        <w:t>wa</w:t>
      </w:r>
      <w:r w:rsidRPr="003A235D">
        <w:t>s:</w:t>
      </w:r>
    </w:p>
    <w:p w14:paraId="744595C8" w14:textId="25FB7706" w:rsidR="00614B3D" w:rsidRPr="003A235D" w:rsidRDefault="00614B3D" w:rsidP="00B03F99">
      <w:pPr>
        <w:pStyle w:val="COMexecsummbulletlist"/>
        <w:numPr>
          <w:ilvl w:val="0"/>
          <w:numId w:val="0"/>
        </w:numPr>
        <w:ind w:left="720"/>
        <w:rPr>
          <w:i/>
          <w:iCs/>
        </w:rPr>
      </w:pPr>
      <w:r w:rsidRPr="003A235D">
        <w:rPr>
          <w:i/>
          <w:iCs/>
        </w:rPr>
        <w:lastRenderedPageBreak/>
        <w:t>Adults for the treatment of symptomatic heart failure independent of left ventricular ejection fraction, as an adjunct to standard of care therapy.</w:t>
      </w:r>
    </w:p>
    <w:p w14:paraId="2C902241" w14:textId="628C8E59" w:rsidR="00614B3D" w:rsidRPr="003A235D" w:rsidRDefault="00614B3D" w:rsidP="00614B3D">
      <w:pPr>
        <w:pStyle w:val="ExecSumBodyText"/>
        <w:numPr>
          <w:ilvl w:val="1"/>
          <w:numId w:val="1"/>
        </w:numPr>
      </w:pPr>
      <w:r w:rsidRPr="003A235D">
        <w:t xml:space="preserve">Empagliflozin </w:t>
      </w:r>
      <w:r w:rsidR="00F935BC" w:rsidRPr="003A235D">
        <w:t>25 mg</w:t>
      </w:r>
      <w:r w:rsidRPr="003A235D">
        <w:t xml:space="preserve"> and </w:t>
      </w:r>
      <w:r w:rsidR="00F935BC" w:rsidRPr="003A235D">
        <w:t>10 mg</w:t>
      </w:r>
      <w:r w:rsidRPr="003A235D">
        <w:t xml:space="preserve"> tablets are listed on the Australian Register of Therapeutic Goods (ARTG) for type 2 diabetes as monotherapy, add-on combination therapies with other diabetes medicines including insulin, when diet and exercise alone do not provide adequate glycaemic control; to reduce the risk of cardiovascular death in patients with type 2 diabetes and established cardiovascular disease in conjunction with other measures to reduce cardiovascular risk in line with the current standard of care; and for the treatment of symptomatic heart failure  (NYHA class II-IV) with reduced ejection fraction, as an adjunct to standard of care therapy (</w:t>
      </w:r>
      <w:r w:rsidR="00F935BC" w:rsidRPr="003A235D">
        <w:t>10 mg</w:t>
      </w:r>
      <w:r w:rsidRPr="003A235D">
        <w:t xml:space="preserve"> dose only).</w:t>
      </w:r>
    </w:p>
    <w:p w14:paraId="307ED02F" w14:textId="77777777" w:rsidR="00614B3D" w:rsidRPr="003A235D" w:rsidRDefault="00614B3D" w:rsidP="00614B3D">
      <w:pPr>
        <w:pStyle w:val="ExecSumBodyText"/>
        <w:numPr>
          <w:ilvl w:val="1"/>
          <w:numId w:val="1"/>
        </w:numPr>
      </w:pPr>
      <w:r w:rsidRPr="003A235D">
        <w:t>Empagliflozin was FDA approved for reducing the risk of cardiovascular death and hospitalisation for heart failure in adults with heart failure in February 2022; and was approved by the EMA for treatment of adults with symptomatic chronic heart failure in March 2022. Both FDA and EMA indications are for adults with heart failure independent of LVEF level.</w:t>
      </w:r>
    </w:p>
    <w:p w14:paraId="0C057A3D" w14:textId="77777777" w:rsidR="00614B3D" w:rsidRPr="003A235D" w:rsidRDefault="00614B3D" w:rsidP="00614B3D">
      <w:pPr>
        <w:pStyle w:val="COMH2-non-numbered"/>
      </w:pPr>
      <w:bookmarkStart w:id="4" w:name="_Toc114047881"/>
      <w:r w:rsidRPr="003A235D">
        <w:t>Previous PBAC consideration</w:t>
      </w:r>
      <w:bookmarkEnd w:id="4"/>
    </w:p>
    <w:p w14:paraId="492F1D7F" w14:textId="77F8F49E" w:rsidR="00614B3D" w:rsidRPr="003A235D" w:rsidRDefault="00B93938" w:rsidP="00EC0735">
      <w:pPr>
        <w:pStyle w:val="ExecSumBodyText"/>
        <w:numPr>
          <w:ilvl w:val="1"/>
          <w:numId w:val="1"/>
        </w:numPr>
      </w:pPr>
      <w:r w:rsidRPr="003A235D">
        <w:t xml:space="preserve">Empagliflozin has </w:t>
      </w:r>
      <w:r w:rsidR="008A6772" w:rsidRPr="003A235D">
        <w:t xml:space="preserve">existing </w:t>
      </w:r>
      <w:r w:rsidRPr="003A235D">
        <w:t xml:space="preserve">PBS listings for </w:t>
      </w:r>
      <w:r w:rsidR="00151566" w:rsidRPr="003A235D">
        <w:t xml:space="preserve">the </w:t>
      </w:r>
      <w:r w:rsidRPr="003A235D">
        <w:t xml:space="preserve">treatment of type 2 diabetes. In addition, empagliflozin was listed on the PBS for </w:t>
      </w:r>
      <w:r w:rsidR="00512564" w:rsidRPr="003A235D">
        <w:t>the treatment of patients with chronic heart failure with reduced ejection fraction</w:t>
      </w:r>
      <w:r w:rsidR="00CC59EE" w:rsidRPr="003A235D">
        <w:t xml:space="preserve"> (LVEF </w:t>
      </w:r>
      <w:r w:rsidR="00F465B5" w:rsidRPr="003A235D">
        <w:t>≤</w:t>
      </w:r>
      <w:r w:rsidR="00CC59EE" w:rsidRPr="003A235D">
        <w:t>40%)</w:t>
      </w:r>
      <w:r w:rsidRPr="003A235D">
        <w:t xml:space="preserve"> on </w:t>
      </w:r>
      <w:r w:rsidR="00E46168" w:rsidRPr="003A235D">
        <w:t>1 April 2022,</w:t>
      </w:r>
      <w:r w:rsidRPr="003A235D">
        <w:t xml:space="preserve"> following a submission to the PBAC in November 2021. The PBAC has not previously considered empagliflozin or any other </w:t>
      </w:r>
      <w:r w:rsidR="005E5913" w:rsidRPr="003A235D">
        <w:t>sodium glucose co transporter 2 (</w:t>
      </w:r>
      <w:r w:rsidRPr="003A235D">
        <w:t>SGLT2</w:t>
      </w:r>
      <w:r w:rsidR="005E5913" w:rsidRPr="003A235D">
        <w:t>)</w:t>
      </w:r>
      <w:r w:rsidRPr="003A235D">
        <w:t xml:space="preserve"> inhibitor for </w:t>
      </w:r>
      <w:r w:rsidR="008E7206" w:rsidRPr="003A235D">
        <w:t xml:space="preserve">patients with </w:t>
      </w:r>
      <w:r w:rsidR="00FC31CA" w:rsidRPr="003A235D">
        <w:t xml:space="preserve">chronic heart failure </w:t>
      </w:r>
      <w:r w:rsidR="008E7206" w:rsidRPr="003A235D">
        <w:t xml:space="preserve">and </w:t>
      </w:r>
      <w:r w:rsidR="00FC31CA" w:rsidRPr="003A235D">
        <w:t>LVEF&gt;40%.</w:t>
      </w:r>
      <w:r w:rsidR="00ED2461" w:rsidRPr="003A235D">
        <w:t xml:space="preserve"> </w:t>
      </w:r>
    </w:p>
    <w:p w14:paraId="6A4C98B5" w14:textId="77777777" w:rsidR="00E1373C" w:rsidRPr="003A235D" w:rsidRDefault="00E1373C" w:rsidP="00E1373C">
      <w:pPr>
        <w:ind w:firstLine="709"/>
        <w:rPr>
          <w:rFonts w:asciiTheme="minorHAnsi" w:hAnsiTheme="minorHAnsi"/>
          <w:i/>
        </w:rPr>
      </w:pPr>
      <w:bookmarkStart w:id="5" w:name="_Hlk76375324"/>
      <w:r w:rsidRPr="003A235D">
        <w:rPr>
          <w:rFonts w:asciiTheme="minorHAnsi" w:hAnsiTheme="minorHAnsi"/>
          <w:i/>
        </w:rPr>
        <w:t>For more detail on PBAC’s view, see section 7 PBAC outcome.</w:t>
      </w:r>
    </w:p>
    <w:p w14:paraId="2F8B78D7" w14:textId="692E63B1" w:rsidR="00614B3D" w:rsidRPr="003A235D" w:rsidRDefault="00614B3D" w:rsidP="00614B3D">
      <w:pPr>
        <w:pStyle w:val="COMH1numbered"/>
      </w:pPr>
      <w:bookmarkStart w:id="6" w:name="_Toc114047882"/>
      <w:bookmarkEnd w:id="5"/>
      <w:r w:rsidRPr="003A235D">
        <w:t>Requested listing</w:t>
      </w:r>
      <w:bookmarkEnd w:id="6"/>
    </w:p>
    <w:p w14:paraId="26A49423" w14:textId="4B7D3ABD" w:rsidR="00A20AED" w:rsidRPr="003A235D" w:rsidRDefault="00A20AED" w:rsidP="00A20AED">
      <w:pPr>
        <w:pStyle w:val="ExecSumBodyText"/>
        <w:numPr>
          <w:ilvl w:val="1"/>
          <w:numId w:val="1"/>
        </w:numPr>
      </w:pPr>
      <w:r w:rsidRPr="003A235D">
        <w:t xml:space="preserve">Suggestions and additions proposed by the Secretariat </w:t>
      </w:r>
      <w:r w:rsidR="00816B64" w:rsidRPr="003A235D">
        <w:t xml:space="preserve">and the ESC </w:t>
      </w:r>
      <w:r w:rsidRPr="003A235D">
        <w:t>are added in italics and suggested deletions are crossed out with strikethrough.</w:t>
      </w:r>
    </w:p>
    <w:p w14:paraId="12B02E0B" w14:textId="3DD724B1" w:rsidR="00A20AED" w:rsidRDefault="00A20AED" w:rsidP="00F41CDE"/>
    <w:p w14:paraId="01A77185" w14:textId="0FBABF48" w:rsidR="007D32BC" w:rsidRDefault="007D32BC" w:rsidP="00F41CDE"/>
    <w:p w14:paraId="0A48D6F9" w14:textId="276BB4B6" w:rsidR="007D32BC" w:rsidRDefault="007D32BC" w:rsidP="00F41CDE"/>
    <w:p w14:paraId="6A006652" w14:textId="2C6242D3" w:rsidR="007D32BC" w:rsidRDefault="007D32BC" w:rsidP="00F41CDE"/>
    <w:p w14:paraId="50AA7184" w14:textId="35D1BF21" w:rsidR="007D32BC" w:rsidRDefault="007D32BC" w:rsidP="00F41CDE"/>
    <w:p w14:paraId="4A9E1739" w14:textId="2DEDD56D" w:rsidR="007D32BC" w:rsidRDefault="007D32BC" w:rsidP="00F41CDE"/>
    <w:p w14:paraId="182189C5" w14:textId="59AF15DE" w:rsidR="007D32BC" w:rsidRDefault="007D32BC" w:rsidP="00F41CDE"/>
    <w:p w14:paraId="2CE6D48B" w14:textId="2E74ABBE" w:rsidR="007D32BC" w:rsidRDefault="007D32BC" w:rsidP="00F41CDE"/>
    <w:p w14:paraId="4CED6A4B" w14:textId="4B13AA05" w:rsidR="007D32BC" w:rsidRDefault="007D32BC" w:rsidP="00F41CDE"/>
    <w:p w14:paraId="4C6E5570" w14:textId="3FD07870" w:rsidR="007D32BC" w:rsidRDefault="007D32BC" w:rsidP="00F41CDE"/>
    <w:p w14:paraId="3BA936DB" w14:textId="65AA450D" w:rsidR="007D32BC" w:rsidRDefault="007D32BC" w:rsidP="00F41CDE"/>
    <w:p w14:paraId="5027E73A" w14:textId="77777777" w:rsidR="007D32BC" w:rsidRPr="003A235D" w:rsidRDefault="007D32BC" w:rsidP="00F41CD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4"/>
        <w:gridCol w:w="1637"/>
        <w:gridCol w:w="812"/>
        <w:gridCol w:w="811"/>
        <w:gridCol w:w="812"/>
        <w:gridCol w:w="1831"/>
      </w:tblGrid>
      <w:tr w:rsidR="00A20AED" w:rsidRPr="003A235D" w14:paraId="2027BACF" w14:textId="77777777" w:rsidTr="00B7497B">
        <w:trPr>
          <w:cantSplit/>
          <w:trHeight w:val="20"/>
        </w:trPr>
        <w:tc>
          <w:tcPr>
            <w:tcW w:w="3114" w:type="dxa"/>
            <w:vAlign w:val="center"/>
          </w:tcPr>
          <w:p w14:paraId="7EB47B50" w14:textId="77777777" w:rsidR="00A20AED" w:rsidRPr="003A235D" w:rsidRDefault="00A20AED" w:rsidP="00B7497B">
            <w:pPr>
              <w:keepLines/>
              <w:rPr>
                <w:rFonts w:ascii="Arial Narrow" w:hAnsi="Arial Narrow"/>
                <w:b/>
                <w:bCs/>
                <w:sz w:val="20"/>
                <w:szCs w:val="20"/>
              </w:rPr>
            </w:pPr>
            <w:r w:rsidRPr="003A235D">
              <w:rPr>
                <w:rFonts w:ascii="Arial Narrow" w:hAnsi="Arial Narrow"/>
                <w:b/>
                <w:bCs/>
                <w:sz w:val="20"/>
                <w:szCs w:val="20"/>
              </w:rPr>
              <w:t>MEDICINAL PRODUCT</w:t>
            </w:r>
          </w:p>
          <w:p w14:paraId="6CEB9CC1" w14:textId="77777777" w:rsidR="00A20AED" w:rsidRPr="003A235D" w:rsidRDefault="00A20AED" w:rsidP="00B7497B">
            <w:pPr>
              <w:keepLines/>
              <w:rPr>
                <w:rFonts w:ascii="Arial Narrow" w:hAnsi="Arial Narrow"/>
                <w:b/>
                <w:sz w:val="20"/>
                <w:szCs w:val="20"/>
              </w:rPr>
            </w:pPr>
            <w:r w:rsidRPr="003A235D">
              <w:rPr>
                <w:rFonts w:ascii="Arial Narrow" w:hAnsi="Arial Narrow"/>
                <w:b/>
                <w:bCs/>
                <w:sz w:val="20"/>
                <w:szCs w:val="20"/>
              </w:rPr>
              <w:t>medicinal product pack</w:t>
            </w:r>
          </w:p>
        </w:tc>
        <w:tc>
          <w:tcPr>
            <w:tcW w:w="1637" w:type="dxa"/>
            <w:vAlign w:val="center"/>
          </w:tcPr>
          <w:p w14:paraId="25E97926" w14:textId="491B993C" w:rsidR="00A20AED" w:rsidRPr="003A235D" w:rsidRDefault="00A20AED" w:rsidP="00B7497B">
            <w:pPr>
              <w:keepLines/>
              <w:jc w:val="center"/>
              <w:rPr>
                <w:rFonts w:ascii="Arial Narrow" w:hAnsi="Arial Narrow"/>
                <w:b/>
                <w:sz w:val="20"/>
                <w:szCs w:val="20"/>
              </w:rPr>
            </w:pPr>
            <w:r w:rsidRPr="003A235D">
              <w:rPr>
                <w:rFonts w:ascii="Arial Narrow" w:hAnsi="Arial Narrow"/>
                <w:b/>
                <w:sz w:val="20"/>
                <w:szCs w:val="20"/>
              </w:rPr>
              <w:t>Dispensed Price for Max. Qty</w:t>
            </w:r>
          </w:p>
        </w:tc>
        <w:tc>
          <w:tcPr>
            <w:tcW w:w="812" w:type="dxa"/>
            <w:vAlign w:val="center"/>
          </w:tcPr>
          <w:p w14:paraId="08D962FA" w14:textId="77777777" w:rsidR="00A20AED" w:rsidRPr="003A235D" w:rsidRDefault="00A20AED" w:rsidP="00B7497B">
            <w:pPr>
              <w:keepLines/>
              <w:jc w:val="center"/>
              <w:rPr>
                <w:rFonts w:ascii="Arial Narrow" w:hAnsi="Arial Narrow"/>
                <w:b/>
                <w:sz w:val="20"/>
                <w:szCs w:val="20"/>
              </w:rPr>
            </w:pPr>
            <w:r w:rsidRPr="003A235D">
              <w:rPr>
                <w:rFonts w:ascii="Arial Narrow" w:hAnsi="Arial Narrow"/>
                <w:b/>
                <w:sz w:val="20"/>
                <w:szCs w:val="20"/>
              </w:rPr>
              <w:t>Max. qty packs</w:t>
            </w:r>
          </w:p>
        </w:tc>
        <w:tc>
          <w:tcPr>
            <w:tcW w:w="811" w:type="dxa"/>
            <w:vAlign w:val="center"/>
          </w:tcPr>
          <w:p w14:paraId="16B6BED4" w14:textId="77777777" w:rsidR="00A20AED" w:rsidRPr="003A235D" w:rsidRDefault="00A20AED" w:rsidP="00B7497B">
            <w:pPr>
              <w:keepLines/>
              <w:jc w:val="center"/>
              <w:rPr>
                <w:rFonts w:ascii="Arial Narrow" w:hAnsi="Arial Narrow"/>
                <w:b/>
                <w:sz w:val="20"/>
                <w:szCs w:val="20"/>
              </w:rPr>
            </w:pPr>
            <w:r w:rsidRPr="003A235D">
              <w:rPr>
                <w:rFonts w:ascii="Arial Narrow" w:hAnsi="Arial Narrow"/>
                <w:b/>
                <w:sz w:val="20"/>
                <w:szCs w:val="20"/>
              </w:rPr>
              <w:t>Max. qty units</w:t>
            </w:r>
          </w:p>
        </w:tc>
        <w:tc>
          <w:tcPr>
            <w:tcW w:w="812" w:type="dxa"/>
            <w:vAlign w:val="center"/>
          </w:tcPr>
          <w:p w14:paraId="7BC392B8" w14:textId="77777777" w:rsidR="00A20AED" w:rsidRPr="003A235D" w:rsidRDefault="00A20AED" w:rsidP="00B7497B">
            <w:pPr>
              <w:keepLines/>
              <w:jc w:val="center"/>
              <w:rPr>
                <w:rFonts w:ascii="Arial Narrow" w:hAnsi="Arial Narrow"/>
                <w:b/>
                <w:sz w:val="20"/>
                <w:szCs w:val="20"/>
              </w:rPr>
            </w:pPr>
            <w:r w:rsidRPr="003A235D">
              <w:rPr>
                <w:rFonts w:ascii="Arial Narrow" w:hAnsi="Arial Narrow"/>
                <w:b/>
                <w:sz w:val="20"/>
                <w:szCs w:val="20"/>
              </w:rPr>
              <w:t>№.of</w:t>
            </w:r>
          </w:p>
          <w:p w14:paraId="18E09688" w14:textId="77777777" w:rsidR="00A20AED" w:rsidRPr="003A235D" w:rsidRDefault="00A20AED" w:rsidP="00B7497B">
            <w:pPr>
              <w:keepLines/>
              <w:jc w:val="center"/>
              <w:rPr>
                <w:rFonts w:ascii="Arial Narrow" w:hAnsi="Arial Narrow"/>
                <w:b/>
                <w:sz w:val="20"/>
                <w:szCs w:val="20"/>
              </w:rPr>
            </w:pPr>
            <w:r w:rsidRPr="003A235D">
              <w:rPr>
                <w:rFonts w:ascii="Arial Narrow" w:hAnsi="Arial Narrow"/>
                <w:b/>
                <w:sz w:val="20"/>
                <w:szCs w:val="20"/>
              </w:rPr>
              <w:t>Rpts</w:t>
            </w:r>
          </w:p>
        </w:tc>
        <w:tc>
          <w:tcPr>
            <w:tcW w:w="1831" w:type="dxa"/>
            <w:vAlign w:val="center"/>
          </w:tcPr>
          <w:p w14:paraId="7AFB9247" w14:textId="77777777" w:rsidR="00A20AED" w:rsidRPr="003A235D" w:rsidRDefault="00A20AED" w:rsidP="00B7497B">
            <w:pPr>
              <w:keepLines/>
              <w:rPr>
                <w:rFonts w:ascii="Arial Narrow" w:hAnsi="Arial Narrow"/>
                <w:b/>
                <w:sz w:val="20"/>
                <w:szCs w:val="20"/>
              </w:rPr>
            </w:pPr>
            <w:r w:rsidRPr="003A235D">
              <w:rPr>
                <w:rFonts w:ascii="Arial Narrow" w:hAnsi="Arial Narrow"/>
                <w:b/>
                <w:sz w:val="20"/>
                <w:szCs w:val="20"/>
              </w:rPr>
              <w:t>Available brands</w:t>
            </w:r>
          </w:p>
        </w:tc>
      </w:tr>
      <w:tr w:rsidR="00A20AED" w:rsidRPr="003A235D" w14:paraId="55C0E822" w14:textId="77777777" w:rsidTr="00B7497B">
        <w:trPr>
          <w:cantSplit/>
          <w:trHeight w:val="20"/>
        </w:trPr>
        <w:tc>
          <w:tcPr>
            <w:tcW w:w="9017" w:type="dxa"/>
            <w:gridSpan w:val="6"/>
            <w:vAlign w:val="center"/>
          </w:tcPr>
          <w:p w14:paraId="2F366B58" w14:textId="77777777" w:rsidR="00A20AED" w:rsidRPr="003A235D" w:rsidRDefault="00A20AED" w:rsidP="00B7497B">
            <w:pPr>
              <w:keepLines/>
              <w:rPr>
                <w:rFonts w:ascii="Arial Narrow" w:hAnsi="Arial Narrow"/>
                <w:sz w:val="20"/>
                <w:szCs w:val="20"/>
              </w:rPr>
            </w:pPr>
            <w:r w:rsidRPr="003A235D">
              <w:rPr>
                <w:rFonts w:ascii="Arial Narrow" w:hAnsi="Arial Narrow"/>
                <w:sz w:val="20"/>
                <w:szCs w:val="20"/>
              </w:rPr>
              <w:t>EMPAGLIFLOZIN</w:t>
            </w:r>
          </w:p>
        </w:tc>
      </w:tr>
      <w:tr w:rsidR="00A20AED" w:rsidRPr="003A235D" w14:paraId="58E02305" w14:textId="77777777" w:rsidTr="00B7497B">
        <w:trPr>
          <w:cantSplit/>
          <w:trHeight w:val="20"/>
        </w:trPr>
        <w:tc>
          <w:tcPr>
            <w:tcW w:w="3114" w:type="dxa"/>
            <w:vAlign w:val="center"/>
          </w:tcPr>
          <w:p w14:paraId="64964008" w14:textId="77777777" w:rsidR="00A20AED" w:rsidRPr="003A235D" w:rsidRDefault="00A20AED" w:rsidP="00B7497B">
            <w:pPr>
              <w:keepLines/>
              <w:rPr>
                <w:rFonts w:ascii="Arial Narrow" w:hAnsi="Arial Narrow"/>
                <w:sz w:val="20"/>
                <w:szCs w:val="20"/>
              </w:rPr>
            </w:pPr>
            <w:r w:rsidRPr="003A235D">
              <w:rPr>
                <w:rFonts w:ascii="Arial Narrow" w:hAnsi="Arial Narrow"/>
                <w:sz w:val="20"/>
                <w:szCs w:val="20"/>
              </w:rPr>
              <w:t>empagliflozin 10 mg tablet, 30 </w:t>
            </w:r>
          </w:p>
        </w:tc>
        <w:tc>
          <w:tcPr>
            <w:tcW w:w="1637" w:type="dxa"/>
            <w:vAlign w:val="center"/>
          </w:tcPr>
          <w:p w14:paraId="73237162" w14:textId="6E680CEE" w:rsidR="00A20AED" w:rsidRPr="003A235D" w:rsidRDefault="00A20AED" w:rsidP="00B7497B">
            <w:pPr>
              <w:rPr>
                <w:rFonts w:ascii="Arial Narrow" w:hAnsi="Arial Narrow"/>
                <w:sz w:val="20"/>
                <w:szCs w:val="20"/>
                <w:highlight w:val="yellow"/>
              </w:rPr>
            </w:pPr>
            <w:r w:rsidRPr="003A235D">
              <w:rPr>
                <w:rFonts w:ascii="Arial Narrow" w:hAnsi="Arial Narrow"/>
                <w:sz w:val="20"/>
                <w:szCs w:val="20"/>
              </w:rPr>
              <w:t>$</w:t>
            </w:r>
            <w:r w:rsidRPr="00F514F0">
              <w:rPr>
                <w:rFonts w:ascii="Arial Narrow" w:hAnsi="Arial Narrow"/>
                <w:sz w:val="20"/>
                <w:szCs w:val="20"/>
              </w:rPr>
              <w:t>60.16</w:t>
            </w:r>
          </w:p>
        </w:tc>
        <w:tc>
          <w:tcPr>
            <w:tcW w:w="812" w:type="dxa"/>
            <w:vAlign w:val="center"/>
          </w:tcPr>
          <w:p w14:paraId="31C1ADD2" w14:textId="77777777" w:rsidR="00A20AED" w:rsidRPr="003A235D" w:rsidRDefault="00A20AED" w:rsidP="00B7497B">
            <w:pPr>
              <w:keepLines/>
              <w:jc w:val="center"/>
              <w:rPr>
                <w:rFonts w:ascii="Arial Narrow" w:hAnsi="Arial Narrow"/>
                <w:sz w:val="20"/>
                <w:szCs w:val="20"/>
              </w:rPr>
            </w:pPr>
            <w:r w:rsidRPr="003A235D">
              <w:rPr>
                <w:rFonts w:ascii="Arial Narrow" w:hAnsi="Arial Narrow"/>
                <w:sz w:val="20"/>
                <w:szCs w:val="20"/>
              </w:rPr>
              <w:t>1</w:t>
            </w:r>
          </w:p>
        </w:tc>
        <w:tc>
          <w:tcPr>
            <w:tcW w:w="811" w:type="dxa"/>
            <w:vAlign w:val="center"/>
          </w:tcPr>
          <w:p w14:paraId="6E361672" w14:textId="77777777" w:rsidR="00A20AED" w:rsidRPr="003A235D" w:rsidRDefault="00A20AED" w:rsidP="00B7497B">
            <w:pPr>
              <w:keepLines/>
              <w:jc w:val="center"/>
              <w:rPr>
                <w:rFonts w:ascii="Arial Narrow" w:hAnsi="Arial Narrow"/>
                <w:sz w:val="20"/>
                <w:szCs w:val="20"/>
              </w:rPr>
            </w:pPr>
            <w:r w:rsidRPr="003A235D">
              <w:rPr>
                <w:rFonts w:ascii="Arial Narrow" w:hAnsi="Arial Narrow"/>
                <w:sz w:val="20"/>
                <w:szCs w:val="20"/>
              </w:rPr>
              <w:t>30</w:t>
            </w:r>
          </w:p>
        </w:tc>
        <w:tc>
          <w:tcPr>
            <w:tcW w:w="812" w:type="dxa"/>
            <w:vAlign w:val="center"/>
          </w:tcPr>
          <w:p w14:paraId="2C08065B" w14:textId="77777777" w:rsidR="00A20AED" w:rsidRPr="003A235D" w:rsidRDefault="00A20AED" w:rsidP="00B7497B">
            <w:pPr>
              <w:keepLines/>
              <w:jc w:val="center"/>
              <w:rPr>
                <w:rFonts w:ascii="Arial Narrow" w:hAnsi="Arial Narrow"/>
                <w:sz w:val="20"/>
                <w:szCs w:val="20"/>
              </w:rPr>
            </w:pPr>
            <w:r w:rsidRPr="003A235D">
              <w:rPr>
                <w:rFonts w:ascii="Arial Narrow" w:hAnsi="Arial Narrow"/>
                <w:sz w:val="20"/>
                <w:szCs w:val="20"/>
              </w:rPr>
              <w:t>5</w:t>
            </w:r>
          </w:p>
        </w:tc>
        <w:tc>
          <w:tcPr>
            <w:tcW w:w="1831" w:type="dxa"/>
            <w:vAlign w:val="center"/>
          </w:tcPr>
          <w:p w14:paraId="4AE89D1C" w14:textId="77777777" w:rsidR="00A20AED" w:rsidRPr="003A235D" w:rsidRDefault="00A20AED" w:rsidP="00B7497B">
            <w:pPr>
              <w:keepLines/>
              <w:rPr>
                <w:rFonts w:ascii="Arial Narrow" w:hAnsi="Arial Narrow"/>
                <w:sz w:val="20"/>
                <w:szCs w:val="20"/>
              </w:rPr>
            </w:pPr>
            <w:r w:rsidRPr="003A235D">
              <w:rPr>
                <w:rFonts w:ascii="Arial Narrow" w:hAnsi="Arial Narrow"/>
                <w:sz w:val="20"/>
                <w:szCs w:val="20"/>
              </w:rPr>
              <w:t>Jardiance</w:t>
            </w:r>
          </w:p>
        </w:tc>
      </w:tr>
      <w:tr w:rsidR="00A20AED" w:rsidRPr="003A235D" w14:paraId="56F49CC8" w14:textId="77777777" w:rsidTr="00B7497B">
        <w:tblPrEx>
          <w:tblCellMar>
            <w:top w:w="15" w:type="dxa"/>
            <w:bottom w:w="15" w:type="dxa"/>
          </w:tblCellMar>
          <w:tblLook w:val="04A0" w:firstRow="1" w:lastRow="0" w:firstColumn="1" w:lastColumn="0" w:noHBand="0" w:noVBand="1"/>
        </w:tblPrEx>
        <w:trPr>
          <w:trHeight w:val="20"/>
        </w:trPr>
        <w:tc>
          <w:tcPr>
            <w:tcW w:w="9017" w:type="dxa"/>
            <w:gridSpan w:val="6"/>
            <w:tcBorders>
              <w:top w:val="single" w:sz="4" w:space="0" w:color="auto"/>
              <w:left w:val="single" w:sz="4" w:space="0" w:color="auto"/>
              <w:right w:val="single" w:sz="4" w:space="0" w:color="auto"/>
            </w:tcBorders>
            <w:vAlign w:val="center"/>
          </w:tcPr>
          <w:p w14:paraId="29AC6D94" w14:textId="77777777" w:rsidR="00A20AED" w:rsidRPr="003A235D" w:rsidRDefault="00A20AED" w:rsidP="00B7497B">
            <w:pPr>
              <w:rPr>
                <w:rFonts w:ascii="Arial Narrow" w:hAnsi="Arial Narrow"/>
                <w:sz w:val="20"/>
                <w:szCs w:val="20"/>
              </w:rPr>
            </w:pPr>
          </w:p>
        </w:tc>
      </w:tr>
      <w:tr w:rsidR="00A20AED" w:rsidRPr="003A235D" w14:paraId="1916FD27" w14:textId="77777777" w:rsidTr="00B7497B">
        <w:tblPrEx>
          <w:tblCellMar>
            <w:top w:w="15" w:type="dxa"/>
            <w:bottom w:w="15" w:type="dxa"/>
          </w:tblCellMar>
          <w:tblLook w:val="04A0" w:firstRow="1" w:lastRow="0" w:firstColumn="1" w:lastColumn="0" w:noHBand="0" w:noVBand="1"/>
        </w:tblPrEx>
        <w:trPr>
          <w:trHeight w:val="20"/>
        </w:trPr>
        <w:tc>
          <w:tcPr>
            <w:tcW w:w="9017" w:type="dxa"/>
            <w:gridSpan w:val="6"/>
            <w:tcBorders>
              <w:top w:val="single" w:sz="4" w:space="0" w:color="auto"/>
              <w:left w:val="single" w:sz="4" w:space="0" w:color="auto"/>
              <w:right w:val="single" w:sz="4" w:space="0" w:color="auto"/>
            </w:tcBorders>
            <w:vAlign w:val="center"/>
          </w:tcPr>
          <w:p w14:paraId="012F9295" w14:textId="7CC4B79B" w:rsidR="00A20AED" w:rsidRPr="003A235D" w:rsidRDefault="00A20AED" w:rsidP="00B7497B">
            <w:pPr>
              <w:keepLines/>
              <w:rPr>
                <w:rFonts w:ascii="Arial Narrow" w:hAnsi="Arial Narrow"/>
                <w:b/>
                <w:sz w:val="20"/>
                <w:szCs w:val="20"/>
              </w:rPr>
            </w:pPr>
            <w:r w:rsidRPr="003A235D">
              <w:rPr>
                <w:rFonts w:ascii="Arial Narrow" w:hAnsi="Arial Narrow"/>
                <w:b/>
                <w:sz w:val="20"/>
                <w:szCs w:val="20"/>
              </w:rPr>
              <w:t xml:space="preserve">Restriction Summary  / Treatment of Concept: </w:t>
            </w:r>
          </w:p>
        </w:tc>
      </w:tr>
      <w:tr w:rsidR="00A20AED" w:rsidRPr="003A235D" w14:paraId="1D7A606C" w14:textId="77777777" w:rsidTr="00A20AED">
        <w:tblPrEx>
          <w:tblCellMar>
            <w:top w:w="15" w:type="dxa"/>
            <w:bottom w:w="15" w:type="dxa"/>
          </w:tblCellMar>
          <w:tblLook w:val="04A0" w:firstRow="1" w:lastRow="0" w:firstColumn="1" w:lastColumn="0" w:noHBand="0" w:noVBand="1"/>
        </w:tblPrEx>
        <w:trPr>
          <w:trHeight w:val="20"/>
        </w:trPr>
        <w:tc>
          <w:tcPr>
            <w:tcW w:w="9017" w:type="dxa"/>
            <w:gridSpan w:val="6"/>
            <w:tcBorders>
              <w:top w:val="single" w:sz="4" w:space="0" w:color="auto"/>
              <w:left w:val="single" w:sz="4" w:space="0" w:color="auto"/>
              <w:bottom w:val="single" w:sz="4" w:space="0" w:color="auto"/>
              <w:right w:val="single" w:sz="4" w:space="0" w:color="auto"/>
            </w:tcBorders>
            <w:vAlign w:val="center"/>
          </w:tcPr>
          <w:p w14:paraId="217EEDED" w14:textId="77777777" w:rsidR="00A20AED" w:rsidRPr="003A235D" w:rsidRDefault="00A20AED" w:rsidP="00B7497B">
            <w:pPr>
              <w:keepLines/>
              <w:rPr>
                <w:rFonts w:ascii="Arial Narrow" w:hAnsi="Arial Narrow"/>
                <w:sz w:val="20"/>
                <w:szCs w:val="20"/>
              </w:rPr>
            </w:pPr>
            <w:r w:rsidRPr="003A235D">
              <w:rPr>
                <w:rFonts w:ascii="Arial Narrow" w:hAnsi="Arial Narrow"/>
                <w:b/>
                <w:sz w:val="20"/>
                <w:szCs w:val="20"/>
              </w:rPr>
              <w:t xml:space="preserve">Category / Program: </w:t>
            </w:r>
            <w:r w:rsidRPr="003A235D">
              <w:rPr>
                <w:rFonts w:ascii="Arial Narrow" w:hAnsi="Arial Narrow"/>
                <w:sz w:val="20"/>
                <w:szCs w:val="20"/>
              </w:rPr>
              <w:t>GENERAL – General Schedule (Code GE)</w:t>
            </w:r>
            <w:r w:rsidRPr="003A235D">
              <w:rPr>
                <w:rFonts w:ascii="Arial Narrow" w:hAnsi="Arial Narrow"/>
                <w:color w:val="FF0000"/>
                <w:sz w:val="20"/>
                <w:szCs w:val="20"/>
              </w:rPr>
              <w:t xml:space="preserve"> </w:t>
            </w:r>
          </w:p>
        </w:tc>
      </w:tr>
      <w:tr w:rsidR="00A20AED" w:rsidRPr="003A235D" w14:paraId="3F38E978" w14:textId="77777777" w:rsidTr="00A20AED">
        <w:tblPrEx>
          <w:tblCellMar>
            <w:top w:w="15" w:type="dxa"/>
            <w:bottom w:w="15" w:type="dxa"/>
          </w:tblCellMar>
          <w:tblLook w:val="04A0" w:firstRow="1" w:lastRow="0" w:firstColumn="1" w:lastColumn="0" w:noHBand="0" w:noVBand="1"/>
        </w:tblPrEx>
        <w:trPr>
          <w:trHeight w:val="20"/>
        </w:trPr>
        <w:tc>
          <w:tcPr>
            <w:tcW w:w="9017" w:type="dxa"/>
            <w:gridSpan w:val="6"/>
            <w:tcBorders>
              <w:top w:val="single" w:sz="4" w:space="0" w:color="auto"/>
              <w:left w:val="single" w:sz="4" w:space="0" w:color="auto"/>
              <w:bottom w:val="single" w:sz="4" w:space="0" w:color="auto"/>
              <w:right w:val="single" w:sz="4" w:space="0" w:color="auto"/>
            </w:tcBorders>
            <w:vAlign w:val="center"/>
          </w:tcPr>
          <w:p w14:paraId="6033D32A" w14:textId="77777777" w:rsidR="00A20AED" w:rsidRPr="003A235D" w:rsidRDefault="00A20AED" w:rsidP="00B7497B">
            <w:pPr>
              <w:keepLines/>
              <w:rPr>
                <w:rFonts w:ascii="Arial Narrow" w:hAnsi="Arial Narrow"/>
                <w:b/>
                <w:sz w:val="20"/>
                <w:szCs w:val="20"/>
              </w:rPr>
            </w:pPr>
            <w:r w:rsidRPr="003A235D">
              <w:rPr>
                <w:rFonts w:ascii="Arial Narrow" w:hAnsi="Arial Narrow"/>
                <w:b/>
                <w:sz w:val="20"/>
                <w:szCs w:val="20"/>
              </w:rPr>
              <w:t xml:space="preserve">Prescriber type: </w:t>
            </w:r>
            <w:r w:rsidRPr="003A235D">
              <w:rPr>
                <w:rFonts w:ascii="Arial Narrow" w:hAnsi="Arial Narrow"/>
                <w:sz w:val="20"/>
                <w:szCs w:val="20"/>
              </w:rPr>
              <w:fldChar w:fldCharType="begin" w:fldLock="1">
                <w:ffData>
                  <w:name w:val="Check1"/>
                  <w:enabled/>
                  <w:calcOnExit w:val="0"/>
                  <w:checkBox>
                    <w:sizeAuto/>
                    <w:default w:val="0"/>
                  </w:checkBox>
                </w:ffData>
              </w:fldChar>
            </w:r>
            <w:r w:rsidRPr="003A235D">
              <w:rPr>
                <w:rFonts w:ascii="Arial Narrow" w:hAnsi="Arial Narrow"/>
                <w:sz w:val="20"/>
                <w:szCs w:val="20"/>
              </w:rPr>
              <w:instrText xml:space="preserve"> FORMCHECKBOX </w:instrText>
            </w:r>
            <w:r w:rsidR="00A46B28">
              <w:rPr>
                <w:rFonts w:ascii="Arial Narrow" w:hAnsi="Arial Narrow"/>
                <w:sz w:val="20"/>
                <w:szCs w:val="20"/>
              </w:rPr>
            </w:r>
            <w:r w:rsidR="00A46B28">
              <w:rPr>
                <w:rFonts w:ascii="Arial Narrow" w:hAnsi="Arial Narrow"/>
                <w:sz w:val="20"/>
                <w:szCs w:val="20"/>
              </w:rPr>
              <w:fldChar w:fldCharType="separate"/>
            </w:r>
            <w:r w:rsidRPr="003A235D">
              <w:rPr>
                <w:rFonts w:ascii="Arial Narrow" w:hAnsi="Arial Narrow"/>
                <w:sz w:val="20"/>
                <w:szCs w:val="20"/>
              </w:rPr>
              <w:fldChar w:fldCharType="end"/>
            </w:r>
            <w:r w:rsidRPr="003A235D">
              <w:rPr>
                <w:rFonts w:ascii="Arial Narrow" w:hAnsi="Arial Narrow"/>
                <w:sz w:val="20"/>
                <w:szCs w:val="20"/>
              </w:rPr>
              <w:t xml:space="preserve">Dental </w:t>
            </w:r>
            <w:r w:rsidRPr="003A235D">
              <w:rPr>
                <w:rFonts w:ascii="Arial Narrow" w:hAnsi="Arial Narrow"/>
                <w:sz w:val="20"/>
                <w:szCs w:val="20"/>
              </w:rPr>
              <w:fldChar w:fldCharType="begin" w:fldLock="1">
                <w:ffData>
                  <w:name w:val=""/>
                  <w:enabled/>
                  <w:calcOnExit w:val="0"/>
                  <w:checkBox>
                    <w:sizeAuto/>
                    <w:default w:val="1"/>
                  </w:checkBox>
                </w:ffData>
              </w:fldChar>
            </w:r>
            <w:r w:rsidRPr="003A235D">
              <w:rPr>
                <w:rFonts w:ascii="Arial Narrow" w:hAnsi="Arial Narrow"/>
                <w:sz w:val="20"/>
                <w:szCs w:val="20"/>
              </w:rPr>
              <w:instrText xml:space="preserve"> FORMCHECKBOX </w:instrText>
            </w:r>
            <w:r w:rsidR="00A46B28">
              <w:rPr>
                <w:rFonts w:ascii="Arial Narrow" w:hAnsi="Arial Narrow"/>
                <w:sz w:val="20"/>
                <w:szCs w:val="20"/>
              </w:rPr>
            </w:r>
            <w:r w:rsidR="00A46B28">
              <w:rPr>
                <w:rFonts w:ascii="Arial Narrow" w:hAnsi="Arial Narrow"/>
                <w:sz w:val="20"/>
                <w:szCs w:val="20"/>
              </w:rPr>
              <w:fldChar w:fldCharType="separate"/>
            </w:r>
            <w:r w:rsidRPr="003A235D">
              <w:rPr>
                <w:rFonts w:ascii="Arial Narrow" w:hAnsi="Arial Narrow"/>
                <w:sz w:val="20"/>
                <w:szCs w:val="20"/>
              </w:rPr>
              <w:fldChar w:fldCharType="end"/>
            </w:r>
            <w:r w:rsidRPr="003A235D">
              <w:rPr>
                <w:rFonts w:ascii="Arial Narrow" w:hAnsi="Arial Narrow"/>
                <w:sz w:val="20"/>
                <w:szCs w:val="20"/>
              </w:rPr>
              <w:t xml:space="preserve">Medical Practitioners </w:t>
            </w:r>
            <w:r w:rsidRPr="003A235D">
              <w:rPr>
                <w:rFonts w:ascii="Arial Narrow" w:hAnsi="Arial Narrow"/>
                <w:sz w:val="20"/>
                <w:szCs w:val="20"/>
              </w:rPr>
              <w:fldChar w:fldCharType="begin" w:fldLock="1">
                <w:ffData>
                  <w:name w:val="Check3"/>
                  <w:enabled/>
                  <w:calcOnExit w:val="0"/>
                  <w:checkBox>
                    <w:sizeAuto/>
                    <w:default w:val="1"/>
                  </w:checkBox>
                </w:ffData>
              </w:fldChar>
            </w:r>
            <w:r w:rsidRPr="003A235D">
              <w:rPr>
                <w:rFonts w:ascii="Arial Narrow" w:hAnsi="Arial Narrow"/>
                <w:sz w:val="20"/>
                <w:szCs w:val="20"/>
              </w:rPr>
              <w:instrText xml:space="preserve"> FORMCHECKBOX </w:instrText>
            </w:r>
            <w:r w:rsidR="00A46B28">
              <w:rPr>
                <w:rFonts w:ascii="Arial Narrow" w:hAnsi="Arial Narrow"/>
                <w:sz w:val="20"/>
                <w:szCs w:val="20"/>
              </w:rPr>
            </w:r>
            <w:r w:rsidR="00A46B28">
              <w:rPr>
                <w:rFonts w:ascii="Arial Narrow" w:hAnsi="Arial Narrow"/>
                <w:sz w:val="20"/>
                <w:szCs w:val="20"/>
              </w:rPr>
              <w:fldChar w:fldCharType="separate"/>
            </w:r>
            <w:r w:rsidRPr="003A235D">
              <w:rPr>
                <w:rFonts w:ascii="Arial Narrow" w:hAnsi="Arial Narrow"/>
                <w:sz w:val="20"/>
                <w:szCs w:val="20"/>
              </w:rPr>
              <w:fldChar w:fldCharType="end"/>
            </w:r>
            <w:r w:rsidRPr="003A235D">
              <w:rPr>
                <w:rFonts w:ascii="Arial Narrow" w:hAnsi="Arial Narrow"/>
                <w:sz w:val="20"/>
                <w:szCs w:val="20"/>
              </w:rPr>
              <w:t xml:space="preserve">Nurse practitioners </w:t>
            </w:r>
            <w:r w:rsidRPr="003A235D">
              <w:rPr>
                <w:rFonts w:ascii="Arial Narrow" w:hAnsi="Arial Narrow"/>
                <w:sz w:val="20"/>
                <w:szCs w:val="20"/>
              </w:rPr>
              <w:fldChar w:fldCharType="begin" w:fldLock="1">
                <w:ffData>
                  <w:name w:val=""/>
                  <w:enabled/>
                  <w:calcOnExit w:val="0"/>
                  <w:checkBox>
                    <w:sizeAuto/>
                    <w:default w:val="0"/>
                  </w:checkBox>
                </w:ffData>
              </w:fldChar>
            </w:r>
            <w:r w:rsidRPr="003A235D">
              <w:rPr>
                <w:rFonts w:ascii="Arial Narrow" w:hAnsi="Arial Narrow"/>
                <w:sz w:val="20"/>
                <w:szCs w:val="20"/>
              </w:rPr>
              <w:instrText xml:space="preserve"> FORMCHECKBOX </w:instrText>
            </w:r>
            <w:r w:rsidR="00A46B28">
              <w:rPr>
                <w:rFonts w:ascii="Arial Narrow" w:hAnsi="Arial Narrow"/>
                <w:sz w:val="20"/>
                <w:szCs w:val="20"/>
              </w:rPr>
            </w:r>
            <w:r w:rsidR="00A46B28">
              <w:rPr>
                <w:rFonts w:ascii="Arial Narrow" w:hAnsi="Arial Narrow"/>
                <w:sz w:val="20"/>
                <w:szCs w:val="20"/>
              </w:rPr>
              <w:fldChar w:fldCharType="separate"/>
            </w:r>
            <w:r w:rsidRPr="003A235D">
              <w:rPr>
                <w:rFonts w:ascii="Arial Narrow" w:hAnsi="Arial Narrow"/>
                <w:sz w:val="20"/>
                <w:szCs w:val="20"/>
              </w:rPr>
              <w:fldChar w:fldCharType="end"/>
            </w:r>
            <w:r w:rsidRPr="003A235D">
              <w:rPr>
                <w:rFonts w:ascii="Arial Narrow" w:hAnsi="Arial Narrow"/>
                <w:sz w:val="20"/>
                <w:szCs w:val="20"/>
              </w:rPr>
              <w:t xml:space="preserve">Optometrists </w:t>
            </w:r>
            <w:r w:rsidRPr="003A235D">
              <w:rPr>
                <w:rFonts w:ascii="Arial Narrow" w:hAnsi="Arial Narrow"/>
                <w:sz w:val="20"/>
                <w:szCs w:val="20"/>
              </w:rPr>
              <w:fldChar w:fldCharType="begin" w:fldLock="1">
                <w:ffData>
                  <w:name w:val="Check5"/>
                  <w:enabled/>
                  <w:calcOnExit w:val="0"/>
                  <w:checkBox>
                    <w:sizeAuto/>
                    <w:default w:val="0"/>
                  </w:checkBox>
                </w:ffData>
              </w:fldChar>
            </w:r>
            <w:r w:rsidRPr="003A235D">
              <w:rPr>
                <w:rFonts w:ascii="Arial Narrow" w:hAnsi="Arial Narrow"/>
                <w:sz w:val="20"/>
                <w:szCs w:val="20"/>
              </w:rPr>
              <w:instrText xml:space="preserve"> FORMCHECKBOX </w:instrText>
            </w:r>
            <w:r w:rsidR="00A46B28">
              <w:rPr>
                <w:rFonts w:ascii="Arial Narrow" w:hAnsi="Arial Narrow"/>
                <w:sz w:val="20"/>
                <w:szCs w:val="20"/>
              </w:rPr>
            </w:r>
            <w:r w:rsidR="00A46B28">
              <w:rPr>
                <w:rFonts w:ascii="Arial Narrow" w:hAnsi="Arial Narrow"/>
                <w:sz w:val="20"/>
                <w:szCs w:val="20"/>
              </w:rPr>
              <w:fldChar w:fldCharType="separate"/>
            </w:r>
            <w:r w:rsidRPr="003A235D">
              <w:rPr>
                <w:rFonts w:ascii="Arial Narrow" w:hAnsi="Arial Narrow"/>
                <w:sz w:val="20"/>
                <w:szCs w:val="20"/>
              </w:rPr>
              <w:fldChar w:fldCharType="end"/>
            </w:r>
            <w:r w:rsidRPr="003A235D">
              <w:rPr>
                <w:rFonts w:ascii="Arial Narrow" w:hAnsi="Arial Narrow"/>
                <w:sz w:val="20"/>
                <w:szCs w:val="20"/>
              </w:rPr>
              <w:t>Midwives</w:t>
            </w:r>
            <w:r w:rsidRPr="003A235D">
              <w:rPr>
                <w:rFonts w:ascii="Arial Narrow" w:hAnsi="Arial Narrow"/>
                <w:color w:val="FF0000"/>
                <w:sz w:val="20"/>
                <w:szCs w:val="20"/>
              </w:rPr>
              <w:t xml:space="preserve"> </w:t>
            </w:r>
          </w:p>
        </w:tc>
      </w:tr>
      <w:tr w:rsidR="00A20AED" w:rsidRPr="003A235D" w14:paraId="63328F92" w14:textId="77777777" w:rsidTr="00A20AED">
        <w:tblPrEx>
          <w:tblCellMar>
            <w:top w:w="15" w:type="dxa"/>
            <w:bottom w:w="15" w:type="dxa"/>
          </w:tblCellMar>
          <w:tblLook w:val="04A0" w:firstRow="1" w:lastRow="0" w:firstColumn="1" w:lastColumn="0" w:noHBand="0" w:noVBand="1"/>
        </w:tblPrEx>
        <w:trPr>
          <w:trHeight w:val="20"/>
        </w:trPr>
        <w:tc>
          <w:tcPr>
            <w:tcW w:w="9017" w:type="dxa"/>
            <w:gridSpan w:val="6"/>
            <w:tcBorders>
              <w:top w:val="single" w:sz="4" w:space="0" w:color="auto"/>
              <w:left w:val="single" w:sz="4" w:space="0" w:color="auto"/>
              <w:bottom w:val="single" w:sz="4" w:space="0" w:color="auto"/>
              <w:right w:val="single" w:sz="4" w:space="0" w:color="auto"/>
            </w:tcBorders>
            <w:vAlign w:val="center"/>
          </w:tcPr>
          <w:p w14:paraId="079466A5" w14:textId="0BE3171E" w:rsidR="00A20AED" w:rsidRPr="003A235D" w:rsidRDefault="00A20AED" w:rsidP="00B7497B">
            <w:pPr>
              <w:keepLines/>
              <w:rPr>
                <w:rFonts w:ascii="Arial Narrow" w:eastAsia="Calibri" w:hAnsi="Arial Narrow"/>
                <w:color w:val="FF0000"/>
                <w:sz w:val="20"/>
                <w:szCs w:val="20"/>
              </w:rPr>
            </w:pPr>
            <w:r w:rsidRPr="003A235D">
              <w:rPr>
                <w:rFonts w:ascii="Arial Narrow" w:hAnsi="Arial Narrow"/>
                <w:b/>
                <w:sz w:val="20"/>
                <w:szCs w:val="20"/>
              </w:rPr>
              <w:t xml:space="preserve">Restriction type: </w:t>
            </w:r>
            <w:r w:rsidRPr="003A235D">
              <w:rPr>
                <w:rFonts w:ascii="Arial Narrow" w:eastAsia="Calibri" w:hAnsi="Arial Narrow"/>
                <w:sz w:val="20"/>
                <w:szCs w:val="20"/>
              </w:rPr>
              <w:fldChar w:fldCharType="begin" w:fldLock="1">
                <w:ffData>
                  <w:name w:val=""/>
                  <w:enabled/>
                  <w:calcOnExit w:val="0"/>
                  <w:checkBox>
                    <w:sizeAuto/>
                    <w:default w:val="1"/>
                  </w:checkBox>
                </w:ffData>
              </w:fldChar>
            </w:r>
            <w:r w:rsidRPr="003A235D">
              <w:rPr>
                <w:rFonts w:ascii="Arial Narrow" w:eastAsia="Calibri" w:hAnsi="Arial Narrow"/>
                <w:sz w:val="20"/>
                <w:szCs w:val="20"/>
              </w:rPr>
              <w:instrText xml:space="preserve"> FORMCHECKBOX </w:instrText>
            </w:r>
            <w:r w:rsidR="00A46B28">
              <w:rPr>
                <w:rFonts w:ascii="Arial Narrow" w:eastAsia="Calibri" w:hAnsi="Arial Narrow"/>
                <w:sz w:val="20"/>
                <w:szCs w:val="20"/>
              </w:rPr>
            </w:r>
            <w:r w:rsidR="00A46B28">
              <w:rPr>
                <w:rFonts w:ascii="Arial Narrow" w:eastAsia="Calibri" w:hAnsi="Arial Narrow"/>
                <w:sz w:val="20"/>
                <w:szCs w:val="20"/>
              </w:rPr>
              <w:fldChar w:fldCharType="separate"/>
            </w:r>
            <w:r w:rsidRPr="003A235D">
              <w:rPr>
                <w:rFonts w:ascii="Arial Narrow" w:eastAsia="Calibri" w:hAnsi="Arial Narrow"/>
                <w:sz w:val="20"/>
                <w:szCs w:val="20"/>
              </w:rPr>
              <w:fldChar w:fldCharType="end"/>
            </w:r>
            <w:r w:rsidRPr="003A235D">
              <w:rPr>
                <w:rFonts w:ascii="Arial Narrow" w:eastAsia="Calibri" w:hAnsi="Arial Narrow"/>
                <w:sz w:val="20"/>
                <w:szCs w:val="20"/>
              </w:rPr>
              <w:t xml:space="preserve">Authority Required (Streamlined) </w:t>
            </w:r>
          </w:p>
        </w:tc>
      </w:tr>
      <w:tr w:rsidR="00A20AED" w:rsidRPr="003A235D" w14:paraId="176CEF3F" w14:textId="77777777" w:rsidTr="00A20AED">
        <w:tblPrEx>
          <w:tblCellMar>
            <w:top w:w="15" w:type="dxa"/>
            <w:bottom w:w="15" w:type="dxa"/>
          </w:tblCellMar>
          <w:tblLook w:val="04A0" w:firstRow="1" w:lastRow="0" w:firstColumn="1" w:lastColumn="0" w:noHBand="0" w:noVBand="1"/>
        </w:tblPrEx>
        <w:trPr>
          <w:trHeight w:val="20"/>
        </w:trPr>
        <w:tc>
          <w:tcPr>
            <w:tcW w:w="9017" w:type="dxa"/>
            <w:gridSpan w:val="6"/>
            <w:vAlign w:val="center"/>
          </w:tcPr>
          <w:p w14:paraId="6AF6833B" w14:textId="77777777" w:rsidR="00A20AED" w:rsidRPr="003A235D" w:rsidRDefault="00A20AED" w:rsidP="00B7497B">
            <w:pPr>
              <w:rPr>
                <w:rFonts w:ascii="Arial Narrow" w:hAnsi="Arial Narrow"/>
                <w:color w:val="333333"/>
                <w:sz w:val="20"/>
                <w:szCs w:val="20"/>
              </w:rPr>
            </w:pPr>
            <w:r w:rsidRPr="003A235D">
              <w:rPr>
                <w:rFonts w:ascii="Arial Narrow" w:hAnsi="Arial Narrow"/>
                <w:b/>
                <w:bCs/>
                <w:color w:val="333333"/>
                <w:sz w:val="20"/>
                <w:szCs w:val="20"/>
              </w:rPr>
              <w:t>Administrative Advice:</w:t>
            </w:r>
          </w:p>
          <w:p w14:paraId="0E156C51" w14:textId="77777777" w:rsidR="00A20AED" w:rsidRPr="003A235D" w:rsidRDefault="00A20AED" w:rsidP="00B7497B">
            <w:pPr>
              <w:rPr>
                <w:rFonts w:ascii="Arial Narrow" w:hAnsi="Arial Narrow"/>
                <w:b/>
                <w:bCs/>
                <w:sz w:val="20"/>
                <w:szCs w:val="20"/>
              </w:rPr>
            </w:pPr>
            <w:r w:rsidRPr="003A235D">
              <w:rPr>
                <w:rFonts w:ascii="Arial Narrow" w:hAnsi="Arial Narrow"/>
                <w:b/>
                <w:bCs/>
                <w:sz w:val="20"/>
                <w:szCs w:val="20"/>
              </w:rPr>
              <w:t>Continuing Therapy Only:</w:t>
            </w:r>
          </w:p>
          <w:p w14:paraId="66E918E5" w14:textId="77777777" w:rsidR="00A20AED" w:rsidRPr="003A235D" w:rsidRDefault="00A20AED" w:rsidP="00B7497B">
            <w:pPr>
              <w:rPr>
                <w:rFonts w:ascii="Arial Narrow" w:hAnsi="Arial Narrow"/>
                <w:sz w:val="20"/>
                <w:szCs w:val="20"/>
              </w:rPr>
            </w:pPr>
            <w:r w:rsidRPr="003A235D">
              <w:rPr>
                <w:rFonts w:ascii="Arial Narrow" w:hAnsi="Arial Narrow"/>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A20AED" w:rsidRPr="003A235D" w14:paraId="6CFB015F" w14:textId="77777777" w:rsidTr="00A20AED">
        <w:tblPrEx>
          <w:tblCellMar>
            <w:top w:w="15" w:type="dxa"/>
            <w:bottom w:w="15" w:type="dxa"/>
          </w:tblCellMar>
          <w:tblLook w:val="04A0" w:firstRow="1" w:lastRow="0" w:firstColumn="1" w:lastColumn="0" w:noHBand="0" w:noVBand="1"/>
        </w:tblPrEx>
        <w:trPr>
          <w:trHeight w:val="20"/>
        </w:trPr>
        <w:tc>
          <w:tcPr>
            <w:tcW w:w="9017" w:type="dxa"/>
            <w:gridSpan w:val="6"/>
            <w:vAlign w:val="center"/>
          </w:tcPr>
          <w:p w14:paraId="75DAFBCE" w14:textId="77777777" w:rsidR="00A20AED" w:rsidRPr="003A235D" w:rsidRDefault="00A20AED" w:rsidP="00B7497B">
            <w:pPr>
              <w:rPr>
                <w:rFonts w:ascii="Arial Narrow" w:hAnsi="Arial Narrow"/>
                <w:b/>
                <w:bCs/>
                <w:color w:val="333333"/>
                <w:sz w:val="20"/>
                <w:szCs w:val="20"/>
              </w:rPr>
            </w:pPr>
            <w:r w:rsidRPr="003A235D">
              <w:rPr>
                <w:rFonts w:ascii="Arial Narrow" w:hAnsi="Arial Narrow"/>
                <w:b/>
                <w:bCs/>
                <w:color w:val="333333"/>
                <w:sz w:val="20"/>
                <w:szCs w:val="20"/>
              </w:rPr>
              <w:t xml:space="preserve">Administrative Advice: </w:t>
            </w:r>
            <w:r w:rsidRPr="003A235D">
              <w:rPr>
                <w:rFonts w:ascii="Arial Narrow" w:hAnsi="Arial Narrow"/>
                <w:i/>
                <w:iCs/>
                <w:color w:val="333333"/>
                <w:sz w:val="20"/>
                <w:szCs w:val="20"/>
              </w:rPr>
              <w:t>No increase in the maximum quantity or number of units may be authorised.</w:t>
            </w:r>
          </w:p>
        </w:tc>
      </w:tr>
      <w:tr w:rsidR="00A20AED" w:rsidRPr="003A235D" w14:paraId="66E487AB" w14:textId="77777777" w:rsidTr="00A20AED">
        <w:tblPrEx>
          <w:tblCellMar>
            <w:top w:w="15" w:type="dxa"/>
            <w:bottom w:w="15" w:type="dxa"/>
          </w:tblCellMar>
          <w:tblLook w:val="04A0" w:firstRow="1" w:lastRow="0" w:firstColumn="1" w:lastColumn="0" w:noHBand="0" w:noVBand="1"/>
        </w:tblPrEx>
        <w:trPr>
          <w:trHeight w:val="20"/>
        </w:trPr>
        <w:tc>
          <w:tcPr>
            <w:tcW w:w="9017" w:type="dxa"/>
            <w:gridSpan w:val="6"/>
            <w:vAlign w:val="center"/>
          </w:tcPr>
          <w:p w14:paraId="53791341" w14:textId="77777777" w:rsidR="00A20AED" w:rsidRPr="003A235D" w:rsidRDefault="00A20AED" w:rsidP="00B7497B">
            <w:pPr>
              <w:rPr>
                <w:rFonts w:ascii="Arial Narrow" w:hAnsi="Arial Narrow"/>
                <w:b/>
                <w:bCs/>
                <w:color w:val="333333"/>
                <w:sz w:val="20"/>
                <w:szCs w:val="20"/>
              </w:rPr>
            </w:pPr>
            <w:r w:rsidRPr="003A235D">
              <w:rPr>
                <w:rFonts w:ascii="Arial Narrow" w:hAnsi="Arial Narrow"/>
                <w:b/>
                <w:bCs/>
                <w:color w:val="333333"/>
                <w:sz w:val="20"/>
                <w:szCs w:val="20"/>
              </w:rPr>
              <w:t xml:space="preserve">Administrative Advice: </w:t>
            </w:r>
            <w:r w:rsidRPr="003A235D">
              <w:rPr>
                <w:rFonts w:ascii="Arial Narrow" w:hAnsi="Arial Narrow"/>
                <w:i/>
                <w:iCs/>
                <w:color w:val="333333"/>
                <w:sz w:val="20"/>
                <w:szCs w:val="20"/>
              </w:rPr>
              <w:t>No increase in the maximum number of repeats may be authorised.</w:t>
            </w:r>
          </w:p>
        </w:tc>
      </w:tr>
      <w:tr w:rsidR="00A20AED" w:rsidRPr="003A235D" w14:paraId="1BBC5BE4" w14:textId="77777777" w:rsidTr="00A20AED">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2787B1CA" w14:textId="77777777" w:rsidR="00A20AED" w:rsidRPr="003A235D" w:rsidRDefault="00A20AED" w:rsidP="00B7497B">
            <w:pPr>
              <w:keepLines/>
              <w:rPr>
                <w:rFonts w:ascii="Arial Narrow" w:hAnsi="Arial Narrow"/>
                <w:color w:val="333333"/>
                <w:sz w:val="20"/>
                <w:szCs w:val="20"/>
              </w:rPr>
            </w:pPr>
            <w:r w:rsidRPr="003A235D">
              <w:rPr>
                <w:rFonts w:ascii="Arial Narrow" w:hAnsi="Arial Narrow"/>
                <w:b/>
                <w:bCs/>
                <w:color w:val="333333"/>
                <w:sz w:val="20"/>
                <w:szCs w:val="20"/>
              </w:rPr>
              <w:t>Indication:</w:t>
            </w:r>
            <w:r w:rsidRPr="003A235D">
              <w:rPr>
                <w:rFonts w:ascii="Arial Narrow" w:hAnsi="Arial Narrow"/>
                <w:color w:val="333333"/>
                <w:sz w:val="20"/>
                <w:szCs w:val="20"/>
              </w:rPr>
              <w:t xml:space="preserve"> Chronic heart failure</w:t>
            </w:r>
          </w:p>
        </w:tc>
      </w:tr>
      <w:tr w:rsidR="00A20AED" w:rsidRPr="003A235D" w14:paraId="4F194824" w14:textId="77777777" w:rsidTr="00A20AED">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4AEF082B" w14:textId="77777777" w:rsidR="00A20AED" w:rsidRPr="003A235D" w:rsidRDefault="00A20AED" w:rsidP="00B7497B">
            <w:pPr>
              <w:rPr>
                <w:rFonts w:ascii="Arial Narrow" w:hAnsi="Arial Narrow"/>
                <w:sz w:val="20"/>
                <w:szCs w:val="20"/>
              </w:rPr>
            </w:pPr>
            <w:r w:rsidRPr="003A235D">
              <w:rPr>
                <w:rFonts w:ascii="Arial Narrow" w:hAnsi="Arial Narrow"/>
                <w:b/>
                <w:bCs/>
                <w:color w:val="333333"/>
                <w:sz w:val="20"/>
                <w:szCs w:val="20"/>
              </w:rPr>
              <w:t xml:space="preserve">Clinical criteria: </w:t>
            </w:r>
          </w:p>
        </w:tc>
      </w:tr>
      <w:tr w:rsidR="00A20AED" w:rsidRPr="003A235D" w14:paraId="1267E4DF" w14:textId="77777777" w:rsidTr="00A20AED">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22903C59" w14:textId="77777777" w:rsidR="00A20AED" w:rsidRPr="003A235D" w:rsidRDefault="00A20AED" w:rsidP="00B7497B">
            <w:pPr>
              <w:rPr>
                <w:rFonts w:ascii="Arial Narrow" w:hAnsi="Arial Narrow"/>
                <w:color w:val="FF0000"/>
                <w:sz w:val="20"/>
                <w:szCs w:val="20"/>
              </w:rPr>
            </w:pPr>
            <w:r w:rsidRPr="003A235D">
              <w:rPr>
                <w:rFonts w:ascii="Arial Narrow" w:hAnsi="Arial Narrow"/>
                <w:sz w:val="20"/>
                <w:szCs w:val="20"/>
              </w:rPr>
              <w:t>Patient must be symptomatic with NYHA</w:t>
            </w:r>
            <w:r w:rsidRPr="003A235D">
              <w:rPr>
                <w:rFonts w:ascii="Arial Narrow" w:hAnsi="Arial Narrow"/>
                <w:iCs/>
                <w:sz w:val="20"/>
                <w:szCs w:val="20"/>
              </w:rPr>
              <w:t xml:space="preserve"> </w:t>
            </w:r>
            <w:r w:rsidRPr="003A235D">
              <w:rPr>
                <w:rFonts w:ascii="Arial Narrow" w:hAnsi="Arial Narrow"/>
                <w:sz w:val="20"/>
                <w:szCs w:val="20"/>
              </w:rPr>
              <w:t xml:space="preserve">classes II, III or IV </w:t>
            </w:r>
          </w:p>
        </w:tc>
      </w:tr>
      <w:tr w:rsidR="00A20AED" w:rsidRPr="003A235D" w14:paraId="0184F883" w14:textId="77777777" w:rsidTr="00A20AED">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627D71D6" w14:textId="77777777" w:rsidR="00A20AED" w:rsidRPr="003A235D" w:rsidRDefault="00A20AED" w:rsidP="00B7497B">
            <w:pPr>
              <w:rPr>
                <w:rFonts w:ascii="Arial Narrow" w:hAnsi="Arial Narrow"/>
                <w:color w:val="333333"/>
                <w:sz w:val="20"/>
                <w:szCs w:val="20"/>
              </w:rPr>
            </w:pPr>
            <w:r w:rsidRPr="003A235D">
              <w:rPr>
                <w:rFonts w:ascii="Arial Narrow" w:hAnsi="Arial Narrow"/>
                <w:b/>
                <w:bCs/>
                <w:color w:val="333333"/>
                <w:sz w:val="20"/>
                <w:szCs w:val="20"/>
              </w:rPr>
              <w:t>AND</w:t>
            </w:r>
          </w:p>
        </w:tc>
      </w:tr>
      <w:tr w:rsidR="00A20AED" w:rsidRPr="003A235D" w14:paraId="1B7D39C6" w14:textId="77777777" w:rsidTr="00A20AED">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24A650F9" w14:textId="77777777" w:rsidR="00A20AED" w:rsidRPr="003A235D" w:rsidRDefault="00A20AED" w:rsidP="00B7497B">
            <w:pPr>
              <w:rPr>
                <w:rFonts w:ascii="Arial Narrow" w:hAnsi="Arial Narrow"/>
                <w:color w:val="333333"/>
                <w:sz w:val="20"/>
                <w:szCs w:val="20"/>
              </w:rPr>
            </w:pPr>
            <w:r w:rsidRPr="003A235D">
              <w:rPr>
                <w:rFonts w:ascii="Arial Narrow" w:hAnsi="Arial Narrow"/>
                <w:b/>
                <w:bCs/>
                <w:color w:val="333333"/>
                <w:sz w:val="20"/>
                <w:szCs w:val="20"/>
              </w:rPr>
              <w:t>Clinical criteria:</w:t>
            </w:r>
          </w:p>
        </w:tc>
      </w:tr>
      <w:tr w:rsidR="00A20AED" w:rsidRPr="003A235D" w14:paraId="3AB88DAA" w14:textId="77777777" w:rsidTr="00A20AED">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55F8894F" w14:textId="77777777" w:rsidR="00A20AED" w:rsidRPr="003A235D" w:rsidRDefault="00A20AED" w:rsidP="00B7497B">
            <w:pPr>
              <w:rPr>
                <w:rFonts w:ascii="Arial Narrow" w:hAnsi="Arial Narrow"/>
                <w:color w:val="FF0000"/>
                <w:sz w:val="20"/>
                <w:szCs w:val="20"/>
              </w:rPr>
            </w:pPr>
            <w:r w:rsidRPr="003A235D">
              <w:rPr>
                <w:rFonts w:ascii="Arial Narrow" w:hAnsi="Arial Narrow"/>
                <w:sz w:val="20"/>
                <w:szCs w:val="20"/>
              </w:rPr>
              <w:t>Patient must have a documented left ventricular ejection fraction (LVEF)</w:t>
            </w:r>
            <w:r w:rsidRPr="003A235D">
              <w:rPr>
                <w:rFonts w:ascii="Arial Narrow" w:hAnsi="Arial Narrow"/>
                <w:iCs/>
                <w:sz w:val="20"/>
                <w:szCs w:val="20"/>
              </w:rPr>
              <w:t xml:space="preserve"> </w:t>
            </w:r>
            <w:r w:rsidRPr="003A235D">
              <w:rPr>
                <w:rFonts w:ascii="Arial Narrow" w:hAnsi="Arial Narrow"/>
                <w:sz w:val="20"/>
                <w:szCs w:val="20"/>
              </w:rPr>
              <w:t>of greater than 40%</w:t>
            </w:r>
          </w:p>
        </w:tc>
      </w:tr>
      <w:tr w:rsidR="00A20AED" w:rsidRPr="003A235D" w14:paraId="20225476" w14:textId="77777777" w:rsidTr="00A20AED">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2EDE45A3" w14:textId="77777777" w:rsidR="00A20AED" w:rsidRPr="003A235D" w:rsidRDefault="00A20AED" w:rsidP="00B7497B">
            <w:pPr>
              <w:rPr>
                <w:rFonts w:ascii="Arial Narrow" w:hAnsi="Arial Narrow"/>
                <w:color w:val="333333"/>
                <w:sz w:val="20"/>
                <w:szCs w:val="20"/>
              </w:rPr>
            </w:pPr>
            <w:r w:rsidRPr="003A235D">
              <w:rPr>
                <w:rFonts w:ascii="Arial Narrow" w:hAnsi="Arial Narrow"/>
                <w:b/>
                <w:bCs/>
                <w:color w:val="333333"/>
                <w:sz w:val="20"/>
                <w:szCs w:val="20"/>
              </w:rPr>
              <w:t>AND</w:t>
            </w:r>
          </w:p>
        </w:tc>
      </w:tr>
      <w:tr w:rsidR="00A20AED" w:rsidRPr="003A235D" w14:paraId="68DEDA23" w14:textId="77777777" w:rsidTr="00A20AED">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370C2B1D" w14:textId="77777777" w:rsidR="00A20AED" w:rsidRPr="003A235D" w:rsidRDefault="00A20AED" w:rsidP="00B7497B">
            <w:pPr>
              <w:rPr>
                <w:rFonts w:ascii="Arial Narrow" w:hAnsi="Arial Narrow"/>
                <w:color w:val="333333"/>
                <w:sz w:val="20"/>
                <w:szCs w:val="20"/>
              </w:rPr>
            </w:pPr>
            <w:r w:rsidRPr="003A235D">
              <w:rPr>
                <w:rFonts w:ascii="Arial Narrow" w:hAnsi="Arial Narrow"/>
                <w:b/>
                <w:bCs/>
                <w:color w:val="333333"/>
                <w:sz w:val="20"/>
                <w:szCs w:val="20"/>
              </w:rPr>
              <w:t>Clinical criteria:</w:t>
            </w:r>
          </w:p>
        </w:tc>
      </w:tr>
      <w:tr w:rsidR="00A20AED" w:rsidRPr="003A235D" w14:paraId="52FB6C69" w14:textId="77777777" w:rsidTr="00A20AED">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2A293675" w14:textId="77777777" w:rsidR="00A20AED" w:rsidRPr="003A235D" w:rsidRDefault="00A20AED" w:rsidP="00B7497B">
            <w:pPr>
              <w:rPr>
                <w:rFonts w:ascii="Arial Narrow" w:hAnsi="Arial Narrow"/>
                <w:i/>
                <w:iCs/>
                <w:strike/>
                <w:sz w:val="20"/>
                <w:szCs w:val="20"/>
              </w:rPr>
            </w:pPr>
            <w:r w:rsidRPr="003A235D">
              <w:rPr>
                <w:rFonts w:ascii="Arial Narrow" w:hAnsi="Arial Narrow"/>
                <w:strike/>
                <w:sz w:val="20"/>
                <w:szCs w:val="20"/>
              </w:rPr>
              <w:t xml:space="preserve">Patient must have documented evidence of </w:t>
            </w:r>
            <w:r w:rsidRPr="003A235D">
              <w:rPr>
                <w:rFonts w:ascii="Arial Narrow" w:hAnsi="Arial Narrow"/>
                <w:i/>
                <w:iCs/>
                <w:strike/>
                <w:sz w:val="20"/>
                <w:szCs w:val="20"/>
              </w:rPr>
              <w:t xml:space="preserve">at least one of: </w:t>
            </w:r>
          </w:p>
          <w:p w14:paraId="0A1AFA34" w14:textId="77777777" w:rsidR="00A20AED" w:rsidRPr="003A235D" w:rsidRDefault="00A20AED" w:rsidP="00B7497B">
            <w:pPr>
              <w:rPr>
                <w:rFonts w:ascii="Arial Narrow" w:hAnsi="Arial Narrow"/>
                <w:strike/>
                <w:sz w:val="20"/>
                <w:szCs w:val="20"/>
              </w:rPr>
            </w:pPr>
            <w:r w:rsidRPr="003A235D">
              <w:rPr>
                <w:rFonts w:ascii="Arial Narrow" w:hAnsi="Arial Narrow"/>
                <w:i/>
                <w:iCs/>
                <w:strike/>
                <w:sz w:val="20"/>
                <w:szCs w:val="20"/>
              </w:rPr>
              <w:t xml:space="preserve">(i) relevant </w:t>
            </w:r>
            <w:r w:rsidRPr="003A235D">
              <w:rPr>
                <w:rFonts w:ascii="Arial Narrow" w:hAnsi="Arial Narrow"/>
                <w:strike/>
                <w:sz w:val="20"/>
                <w:szCs w:val="20"/>
              </w:rPr>
              <w:t>structural changes in the heart on echocardiography</w:t>
            </w:r>
            <w:r w:rsidRPr="003A235D">
              <w:rPr>
                <w:rFonts w:ascii="Arial Narrow" w:hAnsi="Arial Narrow"/>
                <w:i/>
                <w:iCs/>
                <w:strike/>
                <w:sz w:val="20"/>
                <w:szCs w:val="20"/>
              </w:rPr>
              <w:t>;</w:t>
            </w:r>
            <w:r w:rsidRPr="003A235D">
              <w:rPr>
                <w:rFonts w:ascii="Arial Narrow" w:hAnsi="Arial Narrow"/>
                <w:strike/>
                <w:sz w:val="20"/>
                <w:szCs w:val="20"/>
              </w:rPr>
              <w:t xml:space="preserve"> OR </w:t>
            </w:r>
          </w:p>
          <w:p w14:paraId="47FD4C3F" w14:textId="77777777" w:rsidR="00A20AED" w:rsidRPr="003A235D" w:rsidRDefault="00A20AED" w:rsidP="00B7497B">
            <w:pPr>
              <w:jc w:val="left"/>
              <w:rPr>
                <w:rFonts w:ascii="Arial Narrow" w:hAnsi="Arial Narrow"/>
                <w:strike/>
                <w:sz w:val="20"/>
                <w:szCs w:val="20"/>
              </w:rPr>
            </w:pPr>
            <w:r w:rsidRPr="003A235D">
              <w:rPr>
                <w:rFonts w:ascii="Arial Narrow" w:hAnsi="Arial Narrow"/>
                <w:strike/>
                <w:sz w:val="20"/>
                <w:szCs w:val="20"/>
              </w:rPr>
              <w:t>(ii) diastolic dysfunction with high filling pressure on echocardiography</w:t>
            </w:r>
            <w:r w:rsidRPr="003A235D">
              <w:rPr>
                <w:rFonts w:ascii="Arial Narrow" w:hAnsi="Arial Narrow"/>
                <w:i/>
                <w:iCs/>
                <w:strike/>
                <w:sz w:val="20"/>
                <w:szCs w:val="20"/>
              </w:rPr>
              <w:t>;</w:t>
            </w:r>
            <w:r w:rsidRPr="003A235D">
              <w:rPr>
                <w:rFonts w:ascii="Arial Narrow" w:hAnsi="Arial Narrow"/>
                <w:strike/>
                <w:sz w:val="20"/>
                <w:szCs w:val="20"/>
              </w:rPr>
              <w:t xml:space="preserve"> OR</w:t>
            </w:r>
            <w:r w:rsidRPr="003A235D">
              <w:rPr>
                <w:rFonts w:ascii="Arial Narrow" w:hAnsi="Arial Narrow"/>
                <w:strike/>
                <w:sz w:val="20"/>
                <w:szCs w:val="20"/>
              </w:rPr>
              <w:br/>
              <w:t xml:space="preserve">(iii)  hospitalisation </w:t>
            </w:r>
            <w:r w:rsidRPr="003A235D">
              <w:rPr>
                <w:rFonts w:ascii="Arial Narrow" w:hAnsi="Arial Narrow"/>
                <w:i/>
                <w:iCs/>
                <w:strike/>
                <w:sz w:val="20"/>
                <w:szCs w:val="20"/>
              </w:rPr>
              <w:t>due to</w:t>
            </w:r>
            <w:r w:rsidRPr="003A235D">
              <w:rPr>
                <w:rFonts w:ascii="Arial Narrow" w:hAnsi="Arial Narrow"/>
                <w:strike/>
                <w:sz w:val="20"/>
                <w:szCs w:val="20"/>
              </w:rPr>
              <w:t xml:space="preserve">  heart failure</w:t>
            </w:r>
            <w:r w:rsidRPr="003A235D">
              <w:rPr>
                <w:rFonts w:ascii="Arial Narrow" w:hAnsi="Arial Narrow"/>
                <w:i/>
                <w:iCs/>
                <w:strike/>
                <w:sz w:val="20"/>
                <w:szCs w:val="20"/>
              </w:rPr>
              <w:t>;</w:t>
            </w:r>
            <w:r w:rsidRPr="003A235D">
              <w:rPr>
                <w:rFonts w:ascii="Arial Narrow" w:hAnsi="Arial Narrow"/>
                <w:strike/>
                <w:sz w:val="20"/>
                <w:szCs w:val="20"/>
              </w:rPr>
              <w:t xml:space="preserve"> OR </w:t>
            </w:r>
          </w:p>
          <w:p w14:paraId="5B62DEEF" w14:textId="77777777" w:rsidR="00A20AED" w:rsidRPr="003A235D" w:rsidRDefault="00A20AED" w:rsidP="00B7497B">
            <w:pPr>
              <w:rPr>
                <w:rFonts w:ascii="Arial Narrow" w:hAnsi="Arial Narrow"/>
                <w:strike/>
                <w:sz w:val="20"/>
                <w:szCs w:val="20"/>
              </w:rPr>
            </w:pPr>
            <w:r w:rsidRPr="003A235D">
              <w:rPr>
                <w:rFonts w:ascii="Arial Narrow" w:hAnsi="Arial Narrow"/>
                <w:strike/>
                <w:sz w:val="20"/>
                <w:szCs w:val="20"/>
              </w:rPr>
              <w:t>(iv) elevated N-terminal pro brain natriuretic peptide (NT-proBNP) level s</w:t>
            </w:r>
          </w:p>
          <w:p w14:paraId="7B0F4CB0" w14:textId="77777777" w:rsidR="00A20AED" w:rsidRPr="003A235D" w:rsidRDefault="00A20AED" w:rsidP="00B7497B">
            <w:pPr>
              <w:rPr>
                <w:rFonts w:ascii="Arial Narrow" w:hAnsi="Arial Narrow"/>
                <w:sz w:val="20"/>
                <w:szCs w:val="20"/>
              </w:rPr>
            </w:pPr>
          </w:p>
          <w:p w14:paraId="6FAA7838" w14:textId="7CA0A592" w:rsidR="00A20AED" w:rsidRPr="003A235D" w:rsidRDefault="00A20AED" w:rsidP="00B7497B">
            <w:pPr>
              <w:pStyle w:val="ListParagraph"/>
              <w:keepNext/>
              <w:keepLines/>
              <w:spacing w:after="0"/>
              <w:ind w:left="0" w:hanging="357"/>
              <w:rPr>
                <w:rFonts w:ascii="Arial Narrow" w:hAnsi="Arial Narrow"/>
                <w:i/>
                <w:iCs/>
                <w:sz w:val="20"/>
                <w:szCs w:val="20"/>
              </w:rPr>
            </w:pPr>
            <w:r w:rsidRPr="003A235D">
              <w:rPr>
                <w:rFonts w:ascii="Arial Narrow" w:hAnsi="Arial Narrow"/>
                <w:i/>
                <w:iCs/>
                <w:sz w:val="20"/>
                <w:szCs w:val="20"/>
              </w:rPr>
              <w:t>Patient must have documented evidence of:</w:t>
            </w:r>
          </w:p>
          <w:p w14:paraId="79D2E40B" w14:textId="33096787" w:rsidR="00A20AED" w:rsidRPr="003A235D" w:rsidRDefault="00964354" w:rsidP="00B7497B">
            <w:pPr>
              <w:pStyle w:val="ListParagraph"/>
              <w:keepNext/>
              <w:keepLines/>
              <w:spacing w:after="0"/>
              <w:ind w:left="0" w:hanging="357"/>
              <w:rPr>
                <w:rFonts w:ascii="Arial Narrow" w:hAnsi="Arial Narrow"/>
                <w:i/>
                <w:iCs/>
                <w:sz w:val="20"/>
                <w:szCs w:val="20"/>
              </w:rPr>
            </w:pPr>
            <w:r w:rsidRPr="003A235D">
              <w:rPr>
                <w:rFonts w:ascii="Arial Narrow" w:hAnsi="Arial Narrow"/>
                <w:i/>
                <w:iCs/>
                <w:sz w:val="20"/>
                <w:szCs w:val="20"/>
              </w:rPr>
              <w:t>S</w:t>
            </w:r>
            <w:r w:rsidR="00A20AED" w:rsidRPr="003A235D">
              <w:rPr>
                <w:rFonts w:ascii="Arial Narrow" w:hAnsi="Arial Narrow"/>
                <w:i/>
                <w:iCs/>
                <w:sz w:val="20"/>
                <w:szCs w:val="20"/>
              </w:rPr>
              <w:t xml:space="preserve">tructural changes in the heart on echocardiography that would be expected to cause diastolic dysfunction (e.g. left ventricular hypertrophy); </w:t>
            </w:r>
            <w:r w:rsidRPr="003A235D">
              <w:rPr>
                <w:rFonts w:ascii="Arial Narrow" w:hAnsi="Arial Narrow"/>
                <w:i/>
                <w:iCs/>
                <w:sz w:val="20"/>
                <w:szCs w:val="20"/>
              </w:rPr>
              <w:t>AND</w:t>
            </w:r>
          </w:p>
          <w:p w14:paraId="714DAFD6" w14:textId="31EE43EB" w:rsidR="00964354" w:rsidRPr="003A235D" w:rsidRDefault="00964354" w:rsidP="00B7497B">
            <w:pPr>
              <w:pStyle w:val="ListParagraph"/>
              <w:keepNext/>
              <w:keepLines/>
              <w:spacing w:after="0"/>
              <w:ind w:left="0" w:hanging="357"/>
              <w:rPr>
                <w:rFonts w:ascii="Arial Narrow" w:hAnsi="Arial Narrow"/>
                <w:i/>
                <w:iCs/>
                <w:sz w:val="20"/>
                <w:szCs w:val="20"/>
              </w:rPr>
            </w:pPr>
            <w:r w:rsidRPr="003A235D">
              <w:rPr>
                <w:rFonts w:ascii="Arial Narrow" w:hAnsi="Arial Narrow"/>
                <w:i/>
                <w:iCs/>
                <w:sz w:val="20"/>
                <w:szCs w:val="20"/>
              </w:rPr>
              <w:t>At least one of</w:t>
            </w:r>
          </w:p>
          <w:p w14:paraId="2A8362D3" w14:textId="38C1236E" w:rsidR="00A20AED" w:rsidRPr="003A235D" w:rsidRDefault="00A20AED" w:rsidP="00B7497B">
            <w:pPr>
              <w:pStyle w:val="ListParagraph"/>
              <w:keepNext/>
              <w:keepLines/>
              <w:spacing w:after="0"/>
              <w:ind w:left="0" w:hanging="357"/>
              <w:rPr>
                <w:rFonts w:ascii="Arial Narrow" w:hAnsi="Arial Narrow"/>
                <w:i/>
                <w:iCs/>
                <w:sz w:val="20"/>
                <w:szCs w:val="20"/>
              </w:rPr>
            </w:pPr>
            <w:r w:rsidRPr="003A235D">
              <w:rPr>
                <w:rFonts w:ascii="Arial Narrow" w:hAnsi="Arial Narrow"/>
                <w:i/>
                <w:iCs/>
                <w:sz w:val="20"/>
                <w:szCs w:val="20"/>
              </w:rPr>
              <w:t xml:space="preserve">(i) diastolic dysfunction with high filling pressure on echocardiography, stress echocardiography or cardiac catheterisation; OR </w:t>
            </w:r>
          </w:p>
          <w:p w14:paraId="100D1E42" w14:textId="602FDB62" w:rsidR="00F43800" w:rsidRPr="003A235D" w:rsidRDefault="00F43800" w:rsidP="00F43800">
            <w:pPr>
              <w:pStyle w:val="ListParagraph"/>
              <w:keepNext/>
              <w:keepLines/>
              <w:spacing w:after="0"/>
              <w:ind w:left="0" w:hanging="357"/>
              <w:rPr>
                <w:rFonts w:ascii="Arial Narrow" w:hAnsi="Arial Narrow"/>
                <w:i/>
                <w:iCs/>
                <w:sz w:val="20"/>
                <w:szCs w:val="20"/>
              </w:rPr>
            </w:pPr>
            <w:r w:rsidRPr="003A235D">
              <w:rPr>
                <w:rFonts w:ascii="Arial Narrow" w:hAnsi="Arial Narrow"/>
                <w:i/>
                <w:iCs/>
                <w:sz w:val="20"/>
                <w:szCs w:val="20"/>
              </w:rPr>
              <w:t>(ii) hospitalisation for heart failure in the 12 months prior to initiating treatment with this drug OR</w:t>
            </w:r>
          </w:p>
          <w:p w14:paraId="624E871E" w14:textId="27001D8A" w:rsidR="00F43800" w:rsidRPr="003A235D" w:rsidRDefault="00F43800" w:rsidP="00F43800">
            <w:pPr>
              <w:pStyle w:val="ListParagraph"/>
              <w:keepNext/>
              <w:keepLines/>
              <w:spacing w:after="0"/>
              <w:ind w:left="0" w:hanging="357"/>
              <w:rPr>
                <w:rFonts w:ascii="Arial Narrow" w:hAnsi="Arial Narrow"/>
                <w:i/>
                <w:iCs/>
                <w:sz w:val="20"/>
                <w:szCs w:val="20"/>
              </w:rPr>
            </w:pPr>
            <w:r w:rsidRPr="003A235D">
              <w:rPr>
                <w:rFonts w:ascii="Arial Narrow" w:hAnsi="Arial Narrow"/>
                <w:i/>
                <w:iCs/>
                <w:sz w:val="20"/>
                <w:szCs w:val="20"/>
              </w:rPr>
              <w:t xml:space="preserve">(iii) requirement for intravenous diuretic therapy in the 12 months prior to initiating treatment with this drug OR </w:t>
            </w:r>
          </w:p>
          <w:p w14:paraId="67842139" w14:textId="4A79EFEE" w:rsidR="00A20AED" w:rsidRPr="003A235D" w:rsidRDefault="00F43800" w:rsidP="00F43800">
            <w:pPr>
              <w:pStyle w:val="ListBullet"/>
              <w:numPr>
                <w:ilvl w:val="0"/>
                <w:numId w:val="0"/>
              </w:numPr>
              <w:ind w:left="360" w:hanging="360"/>
            </w:pPr>
            <w:r w:rsidRPr="003A235D">
              <w:rPr>
                <w:rFonts w:ascii="Arial Narrow" w:hAnsi="Arial Narrow"/>
                <w:i/>
                <w:iCs/>
                <w:sz w:val="20"/>
                <w:szCs w:val="20"/>
              </w:rPr>
              <w:t>(iv) elevated N-terminal pro brain natriuretic peptide (NT-proBNP) levels in the absence of another cause</w:t>
            </w:r>
          </w:p>
        </w:tc>
      </w:tr>
      <w:tr w:rsidR="00A20AED" w:rsidRPr="003A235D" w14:paraId="7A1E254F" w14:textId="77777777" w:rsidTr="00A20AED">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26CBF90D" w14:textId="77777777" w:rsidR="00A20AED" w:rsidRPr="003A235D" w:rsidRDefault="00A20AED" w:rsidP="00B7497B">
            <w:pPr>
              <w:rPr>
                <w:rFonts w:ascii="Arial Narrow" w:hAnsi="Arial Narrow"/>
                <w:sz w:val="20"/>
                <w:szCs w:val="20"/>
              </w:rPr>
            </w:pPr>
            <w:r w:rsidRPr="003A235D">
              <w:rPr>
                <w:rFonts w:ascii="Arial Narrow" w:hAnsi="Arial Narrow"/>
                <w:b/>
                <w:bCs/>
                <w:sz w:val="20"/>
                <w:szCs w:val="20"/>
              </w:rPr>
              <w:t>AND</w:t>
            </w:r>
          </w:p>
        </w:tc>
      </w:tr>
      <w:tr w:rsidR="00A20AED" w:rsidRPr="003A235D" w14:paraId="4A4DC6EA" w14:textId="77777777" w:rsidTr="00A20AED">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62BB663B" w14:textId="77777777" w:rsidR="00A20AED" w:rsidRPr="003A235D" w:rsidRDefault="00A20AED" w:rsidP="00B7497B">
            <w:pPr>
              <w:rPr>
                <w:rFonts w:ascii="Arial Narrow" w:hAnsi="Arial Narrow"/>
                <w:sz w:val="20"/>
                <w:szCs w:val="20"/>
              </w:rPr>
            </w:pPr>
            <w:r w:rsidRPr="003A235D">
              <w:rPr>
                <w:rFonts w:ascii="Arial Narrow" w:hAnsi="Arial Narrow"/>
                <w:b/>
                <w:bCs/>
                <w:sz w:val="20"/>
                <w:szCs w:val="20"/>
              </w:rPr>
              <w:t>Clinical criteria:</w:t>
            </w:r>
          </w:p>
        </w:tc>
      </w:tr>
      <w:tr w:rsidR="00A20AED" w:rsidRPr="003A235D" w14:paraId="463A9CA6" w14:textId="77777777" w:rsidTr="00A20AED">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165E99AF" w14:textId="77777777" w:rsidR="00A20AED" w:rsidRPr="003A235D" w:rsidRDefault="00A20AED" w:rsidP="00B7497B">
            <w:pPr>
              <w:rPr>
                <w:rFonts w:ascii="Arial Narrow" w:hAnsi="Arial Narrow"/>
                <w:sz w:val="20"/>
                <w:szCs w:val="20"/>
              </w:rPr>
            </w:pPr>
            <w:r w:rsidRPr="003A235D">
              <w:rPr>
                <w:rFonts w:ascii="Arial Narrow" w:hAnsi="Arial Narrow"/>
                <w:sz w:val="20"/>
                <w:szCs w:val="20"/>
              </w:rPr>
              <w:t>Patient must not be receiving treatment with another sodium-glucose co-transporter 2 (SGLT2) inhibitor.</w:t>
            </w:r>
          </w:p>
        </w:tc>
      </w:tr>
    </w:tbl>
    <w:p w14:paraId="67C76FDB" w14:textId="4F5563C1" w:rsidR="00614B3D" w:rsidRPr="003A235D" w:rsidRDefault="00614B3D" w:rsidP="00614B3D">
      <w:pPr>
        <w:pStyle w:val="TableFigureFooter"/>
      </w:pPr>
      <w:r w:rsidRPr="003A235D">
        <w:t>Note: The submission requested a DPMQ of $</w:t>
      </w:r>
      <w:r w:rsidRPr="00EE5627">
        <w:t>60.10 from an AEMP of $44.66 using mark-ups at 1 June 2022. Based on mark-ups from 1 July 2022, the DPMQ is $60.16.</w:t>
      </w:r>
    </w:p>
    <w:p w14:paraId="4F30779A" w14:textId="5F989897" w:rsidR="00614B3D" w:rsidRPr="003A235D" w:rsidRDefault="00614B3D" w:rsidP="00614B3D">
      <w:pPr>
        <w:pStyle w:val="ExecSumBodyText"/>
        <w:numPr>
          <w:ilvl w:val="1"/>
          <w:numId w:val="1"/>
        </w:numPr>
      </w:pPr>
      <w:r w:rsidRPr="003A235D">
        <w:lastRenderedPageBreak/>
        <w:t>The requested dispensed price for empagliflozin of $</w:t>
      </w:r>
      <w:r w:rsidRPr="00282EBC">
        <w:t>60.1</w:t>
      </w:r>
      <w:r w:rsidR="00F16F30" w:rsidRPr="00282EBC">
        <w:t>6</w:t>
      </w:r>
      <w:r w:rsidRPr="003A235D">
        <w:t xml:space="preserve"> (</w:t>
      </w:r>
      <w:r w:rsidR="00F16F30" w:rsidRPr="003A235D">
        <w:t>up</w:t>
      </w:r>
      <w:r w:rsidR="000458B9" w:rsidRPr="003A235D">
        <w:t>dated to current fees and markup</w:t>
      </w:r>
      <w:r w:rsidRPr="003A235D">
        <w:t xml:space="preserve">s) </w:t>
      </w:r>
      <w:r w:rsidR="000458B9" w:rsidRPr="003A235D">
        <w:t>i</w:t>
      </w:r>
      <w:r w:rsidRPr="003A235D">
        <w:t xml:space="preserve">s the same as the PBS listed price of empagliflozin </w:t>
      </w:r>
      <w:r w:rsidR="00F935BC" w:rsidRPr="003A235D">
        <w:t>10 mg</w:t>
      </w:r>
      <w:r w:rsidRPr="003A235D">
        <w:t xml:space="preserve"> tablets for type 2 diabetes</w:t>
      </w:r>
      <w:r w:rsidR="00992D4B" w:rsidRPr="003A235D">
        <w:t xml:space="preserve"> </w:t>
      </w:r>
      <w:r w:rsidR="0043139E" w:rsidRPr="003A235D">
        <w:t xml:space="preserve">and </w:t>
      </w:r>
      <w:r w:rsidR="009477D1" w:rsidRPr="003A235D">
        <w:t xml:space="preserve">heart failure with LVEF </w:t>
      </w:r>
      <w:r w:rsidR="009477D1" w:rsidRPr="003A235D">
        <w:rPr>
          <w:rFonts w:cstheme="minorHAnsi"/>
        </w:rPr>
        <w:t>≤</w:t>
      </w:r>
      <w:r w:rsidR="009477D1" w:rsidRPr="003A235D">
        <w:t>40%</w:t>
      </w:r>
      <w:r w:rsidRPr="003A235D">
        <w:t xml:space="preserve">. </w:t>
      </w:r>
    </w:p>
    <w:p w14:paraId="11692232" w14:textId="332BD066" w:rsidR="00614B3D" w:rsidRPr="003A235D" w:rsidRDefault="00614B3D" w:rsidP="00614B3D">
      <w:pPr>
        <w:pStyle w:val="ExecSumBodyText"/>
        <w:numPr>
          <w:ilvl w:val="1"/>
          <w:numId w:val="1"/>
        </w:numPr>
      </w:pPr>
      <w:r w:rsidRPr="003A235D">
        <w:t xml:space="preserve">The requested restriction did not include the </w:t>
      </w:r>
      <w:r w:rsidR="00F935BC" w:rsidRPr="003A235D">
        <w:t>25 mg</w:t>
      </w:r>
      <w:r w:rsidRPr="003A235D">
        <w:t xml:space="preserve"> empagliflozin dose strength as investigation of the cardiovascular safety of empagliflozin in type 2 diabetes found no additional cardiovascular benefits compared to the </w:t>
      </w:r>
      <w:r w:rsidR="00F935BC" w:rsidRPr="003A235D">
        <w:t>10 mg</w:t>
      </w:r>
      <w:r w:rsidRPr="003A235D">
        <w:t xml:space="preserve"> dose (EMPA-REG OUTCOME trial). </w:t>
      </w:r>
    </w:p>
    <w:p w14:paraId="2F4B0FE5" w14:textId="0AA119EB" w:rsidR="002157B1" w:rsidRPr="003A235D" w:rsidRDefault="002157B1" w:rsidP="00B03F99">
      <w:pPr>
        <w:pStyle w:val="ExecSumBodyText"/>
        <w:numPr>
          <w:ilvl w:val="1"/>
          <w:numId w:val="1"/>
        </w:numPr>
      </w:pPr>
      <w:bookmarkStart w:id="7" w:name="_Toc107902078"/>
      <w:bookmarkStart w:id="8" w:name="_Ref116473772"/>
      <w:bookmarkEnd w:id="7"/>
      <w:r w:rsidRPr="003A235D">
        <w:t xml:space="preserve">The requested PBS restriction was broadly aligned with the inclusion criteria of the key clinical trial (EMPEROR-Preserved): </w:t>
      </w:r>
    </w:p>
    <w:p w14:paraId="6DAD842D" w14:textId="77777777" w:rsidR="002157B1" w:rsidRPr="003A235D" w:rsidRDefault="002157B1" w:rsidP="002157B1">
      <w:pPr>
        <w:pStyle w:val="COMexecsumnumberedpara"/>
        <w:numPr>
          <w:ilvl w:val="0"/>
          <w:numId w:val="23"/>
        </w:numPr>
      </w:pPr>
      <w:r w:rsidRPr="003A235D">
        <w:t>‘Patients must be symptomatic with NYHA classes II, III or IV’ (in EMPEROR-Preserved, patients at baseline were class I: 0.1%, class II: 81.5%, class III: 18.1% and class IV: 0.3%).</w:t>
      </w:r>
    </w:p>
    <w:p w14:paraId="34B4B732" w14:textId="77777777" w:rsidR="002157B1" w:rsidRPr="003A235D" w:rsidRDefault="002157B1" w:rsidP="002157B1">
      <w:pPr>
        <w:pStyle w:val="COMexecsumnumberedpara"/>
        <w:numPr>
          <w:ilvl w:val="0"/>
          <w:numId w:val="23"/>
        </w:numPr>
      </w:pPr>
      <w:r w:rsidRPr="003A235D">
        <w:t>‘Patient must have a documented left ventricular ejection fraction (LVEF) of greater than 40%’ (in EMPEROR-Preserved, the mean at baseline was 54.3%, evenly distributed: &lt;50% = 33.1%; 50 to &lt;60% = 34.4%; ≥60% = 32.5%).</w:t>
      </w:r>
    </w:p>
    <w:p w14:paraId="7271F63C" w14:textId="7E31CFEF" w:rsidR="00B03F99" w:rsidRPr="003A235D" w:rsidRDefault="00C32F54" w:rsidP="002157B1">
      <w:pPr>
        <w:pStyle w:val="ExecSumBodyText"/>
        <w:numPr>
          <w:ilvl w:val="1"/>
          <w:numId w:val="1"/>
        </w:numPr>
        <w:rPr>
          <w:iCs/>
        </w:rPr>
      </w:pPr>
      <w:bookmarkStart w:id="9" w:name="_Ref120808655"/>
      <w:r w:rsidRPr="003A235D">
        <w:t>The</w:t>
      </w:r>
      <w:r w:rsidRPr="003A235D">
        <w:rPr>
          <w:iCs/>
        </w:rPr>
        <w:t xml:space="preserve"> ESC noted that the clinical criteria proposed by the submission were based on the clinical trial, however considered these were somewhat open to interpretation due to the nature of the criteria.</w:t>
      </w:r>
      <w:bookmarkEnd w:id="8"/>
      <w:r w:rsidRPr="003A235D">
        <w:t xml:space="preserve">  </w:t>
      </w:r>
      <w:bookmarkStart w:id="10" w:name="_Hlk120800162"/>
      <w:r w:rsidR="00A70B99" w:rsidRPr="003A235D">
        <w:t xml:space="preserve">The requested restriction </w:t>
      </w:r>
      <w:r w:rsidR="000014D1" w:rsidRPr="003A235D">
        <w:t xml:space="preserve">for patients with LVEF &gt;40% </w:t>
      </w:r>
      <w:r w:rsidR="00A70B99" w:rsidRPr="003A235D">
        <w:t xml:space="preserve">is similar to the current empagliflozin and dapagliflozin restrictions for </w:t>
      </w:r>
      <w:r w:rsidR="000014D1" w:rsidRPr="003A235D">
        <w:t>patients with LVEF ≤40%</w:t>
      </w:r>
      <w:r w:rsidR="00A70B99" w:rsidRPr="003A235D">
        <w:t xml:space="preserve">, with both restrictions specifying patients with chronic heart failure, with NYHA classes II, III or IV, and a specification of relevant LVEF thresholds for each patient group. However, the </w:t>
      </w:r>
      <w:r w:rsidR="00B0220B" w:rsidRPr="003A235D">
        <w:t>requested</w:t>
      </w:r>
      <w:r w:rsidR="00A70B99" w:rsidRPr="003A235D">
        <w:t xml:space="preserve"> restriction</w:t>
      </w:r>
      <w:r w:rsidR="00B0220B" w:rsidRPr="003A235D">
        <w:t xml:space="preserve"> for LVEF &gt;40%</w:t>
      </w:r>
      <w:r w:rsidR="00A70B99" w:rsidRPr="003A235D">
        <w:t xml:space="preserve"> </w:t>
      </w:r>
      <w:r w:rsidR="00136AD6" w:rsidRPr="003A235D">
        <w:t xml:space="preserve">did </w:t>
      </w:r>
      <w:r w:rsidR="00A70B99" w:rsidRPr="003A235D">
        <w:t>not include a requirement for concomitant optimal standard chronic heart failure treatment including a beta-blocker and an ACEi/ARB/ARNi</w:t>
      </w:r>
      <w:r w:rsidR="0073129E" w:rsidRPr="003A235D">
        <w:t xml:space="preserve"> (which currently applies in the restriction for patients with LVEF ≤40%)</w:t>
      </w:r>
      <w:r w:rsidR="00A70B99" w:rsidRPr="003A235D">
        <w:t>. Th</w:t>
      </w:r>
      <w:r w:rsidR="00A97576" w:rsidRPr="003A235D">
        <w:t>e</w:t>
      </w:r>
      <w:r w:rsidR="00A70B99" w:rsidRPr="003A235D">
        <w:t xml:space="preserve"> </w:t>
      </w:r>
      <w:r w:rsidR="00B03F99" w:rsidRPr="003A235D">
        <w:t>ESC considered this wa</w:t>
      </w:r>
      <w:r w:rsidR="00413067" w:rsidRPr="003A235D">
        <w:t>s</w:t>
      </w:r>
      <w:r w:rsidR="00A70B99" w:rsidRPr="003A235D">
        <w:t xml:space="preserve"> appropriate, as there is a lack of evidence for specific disease-modifying therapies for </w:t>
      </w:r>
      <w:r w:rsidR="00B0220B" w:rsidRPr="003A235D">
        <w:t xml:space="preserve">heart failure </w:t>
      </w:r>
      <w:r w:rsidR="00A70B99" w:rsidRPr="003A235D">
        <w:t xml:space="preserve">patients with </w:t>
      </w:r>
      <w:r w:rsidR="00B0220B" w:rsidRPr="003A235D">
        <w:t>preserved ejection fraction</w:t>
      </w:r>
      <w:r w:rsidR="00A70B99" w:rsidRPr="003A235D">
        <w:t>.</w:t>
      </w:r>
      <w:bookmarkEnd w:id="9"/>
      <w:r w:rsidR="00A70B99" w:rsidRPr="003A235D">
        <w:t xml:space="preserve"> </w:t>
      </w:r>
    </w:p>
    <w:p w14:paraId="052D62B5" w14:textId="2E9CFDB7" w:rsidR="00E1373C" w:rsidRPr="003A235D" w:rsidRDefault="00A70B99" w:rsidP="002157B1">
      <w:pPr>
        <w:pStyle w:val="ExecSumBodyText"/>
        <w:numPr>
          <w:ilvl w:val="1"/>
          <w:numId w:val="1"/>
        </w:numPr>
      </w:pPr>
      <w:bookmarkStart w:id="11" w:name="_Ref120808172"/>
      <w:r w:rsidRPr="003A235D">
        <w:t>In addition, the requested restriction specifies requirements for additional diagnostic testing to assess eligibility for t</w:t>
      </w:r>
      <w:r w:rsidR="00E778A6" w:rsidRPr="003A235D">
        <w:t>reatment with empagliflozin</w:t>
      </w:r>
      <w:r w:rsidRPr="003A235D">
        <w:t xml:space="preserve">. Heart failure guidelines recommend this additional diagnostic testing to confirm a diagnosis of heart failure with preserved ejection fraction. However, </w:t>
      </w:r>
      <w:r w:rsidR="00B94C72" w:rsidRPr="003A235D">
        <w:t>one of the proposed diagnostic tests (</w:t>
      </w:r>
      <w:r w:rsidRPr="003A235D">
        <w:t>NT-proBNP testing</w:t>
      </w:r>
      <w:r w:rsidR="00B94C72" w:rsidRPr="003A235D">
        <w:t>)</w:t>
      </w:r>
      <w:r w:rsidRPr="003A235D">
        <w:t xml:space="preserve"> is not routinely used in Australian clinical practice (Chew 2021).</w:t>
      </w:r>
      <w:r w:rsidR="008004AE" w:rsidRPr="003A235D">
        <w:t xml:space="preserve"> </w:t>
      </w:r>
      <w:r w:rsidR="008004AE" w:rsidRPr="003A235D">
        <w:rPr>
          <w:iCs/>
        </w:rPr>
        <w:t xml:space="preserve">The </w:t>
      </w:r>
      <w:r w:rsidR="007D0B6C" w:rsidRPr="007D0B6C">
        <w:rPr>
          <w:iCs/>
        </w:rPr>
        <w:t xml:space="preserve">Pre-Sub-Committee Response </w:t>
      </w:r>
      <w:r w:rsidR="007D0B6C">
        <w:rPr>
          <w:iCs/>
        </w:rPr>
        <w:t>(</w:t>
      </w:r>
      <w:r w:rsidR="008004AE" w:rsidRPr="003A235D">
        <w:rPr>
          <w:iCs/>
        </w:rPr>
        <w:t>PSCR</w:t>
      </w:r>
      <w:r w:rsidR="007D0B6C">
        <w:rPr>
          <w:iCs/>
        </w:rPr>
        <w:t>)</w:t>
      </w:r>
      <w:r w:rsidR="008004AE" w:rsidRPr="003A235D">
        <w:rPr>
          <w:iCs/>
        </w:rPr>
        <w:t xml:space="preserve"> stated that a new or modified MBS item for NT-proBNP is not required for the listing of empagliflozin in HF patients with LVEF &gt;40% because a) only a minor subset of HF patients with LVEF &gt;40% would access reimbursed empagliflozin treatment via the NT-proBNP criterion alone; b) the importance of NT-proBNP as a diagnostic tool for HF in the rare instances where other diagnostic outcomes are not available or where diagnosis is uncertain; and c) the treatment effect of empagliflozin is independent of baseline NT-proBNP levels.</w:t>
      </w:r>
      <w:r w:rsidR="00B03F99" w:rsidRPr="003A235D">
        <w:rPr>
          <w:iCs/>
        </w:rPr>
        <w:t xml:space="preserve"> </w:t>
      </w:r>
      <w:bookmarkStart w:id="12" w:name="_Hlk120800138"/>
      <w:r w:rsidR="00930A45" w:rsidRPr="003A235D">
        <w:rPr>
          <w:iCs/>
        </w:rPr>
        <w:t xml:space="preserve">The ESC proposed that the criterion in relation to NT-proBNP testing should be retained as </w:t>
      </w:r>
      <w:r w:rsidR="00930A45" w:rsidRPr="003A235D">
        <w:rPr>
          <w:iCs/>
        </w:rPr>
        <w:lastRenderedPageBreak/>
        <w:t>one of the options for determination of eligibility for empagliflozin, however it should only apply for patients with elevated NT-proBNP levels “in the absence of another cause”</w:t>
      </w:r>
      <w:r w:rsidR="00205490" w:rsidRPr="003A235D">
        <w:rPr>
          <w:iCs/>
        </w:rPr>
        <w:t xml:space="preserve"> (</w:t>
      </w:r>
      <w:r w:rsidR="003A235D" w:rsidRPr="003A235D">
        <w:rPr>
          <w:iCs/>
        </w:rPr>
        <w:t>e.g.</w:t>
      </w:r>
      <w:r w:rsidR="00205490" w:rsidRPr="003A235D">
        <w:rPr>
          <w:iCs/>
        </w:rPr>
        <w:t xml:space="preserve"> pulmonary embolism)</w:t>
      </w:r>
      <w:r w:rsidR="00930A45" w:rsidRPr="003A235D">
        <w:rPr>
          <w:iCs/>
        </w:rPr>
        <w:t>.</w:t>
      </w:r>
      <w:bookmarkEnd w:id="11"/>
      <w:r w:rsidR="00E1373C" w:rsidRPr="003A235D">
        <w:t xml:space="preserve"> </w:t>
      </w:r>
    </w:p>
    <w:p w14:paraId="348DFA41" w14:textId="42F64B29" w:rsidR="002157B1" w:rsidRPr="003A235D" w:rsidRDefault="002157B1" w:rsidP="002157B1">
      <w:pPr>
        <w:pStyle w:val="ExecSumBodyText"/>
        <w:numPr>
          <w:ilvl w:val="1"/>
          <w:numId w:val="1"/>
        </w:numPr>
      </w:pPr>
      <w:bookmarkStart w:id="13" w:name="_Ref120800479"/>
      <w:r w:rsidRPr="003A235D">
        <w:t xml:space="preserve">The </w:t>
      </w:r>
      <w:r w:rsidR="00816B64" w:rsidRPr="003A235D">
        <w:t xml:space="preserve">ESC </w:t>
      </w:r>
      <w:r w:rsidR="00BC52E4" w:rsidRPr="003A235D">
        <w:t xml:space="preserve">recommended a revision to the restriction to reflect that the requirement for </w:t>
      </w:r>
      <w:r w:rsidRPr="003A235D">
        <w:t>documented evidence of structural changes in the heart on echocardiography</w:t>
      </w:r>
      <w:r w:rsidR="00BC52E4" w:rsidRPr="003A235D">
        <w:t xml:space="preserve"> would apply for all patients, in addition to at least one of </w:t>
      </w:r>
      <w:r w:rsidR="00A831C1" w:rsidRPr="003A235D">
        <w:t xml:space="preserve">four </w:t>
      </w:r>
      <w:r w:rsidR="00BC52E4" w:rsidRPr="003A235D">
        <w:t>additional criteria, as shown in the restriction above.</w:t>
      </w:r>
      <w:bookmarkEnd w:id="13"/>
    </w:p>
    <w:bookmarkEnd w:id="10"/>
    <w:bookmarkEnd w:id="12"/>
    <w:p w14:paraId="3930782B" w14:textId="77777777" w:rsidR="00E1373C" w:rsidRPr="003A235D" w:rsidRDefault="00E1373C" w:rsidP="00E1373C">
      <w:pPr>
        <w:ind w:firstLine="709"/>
        <w:rPr>
          <w:rFonts w:asciiTheme="minorHAnsi" w:hAnsiTheme="minorHAnsi"/>
          <w:i/>
        </w:rPr>
      </w:pPr>
      <w:r w:rsidRPr="003A235D">
        <w:rPr>
          <w:rFonts w:asciiTheme="minorHAnsi" w:hAnsiTheme="minorHAnsi"/>
          <w:i/>
        </w:rPr>
        <w:t>For more detail on PBAC’s view, see section 7 PBAC outcome.</w:t>
      </w:r>
    </w:p>
    <w:p w14:paraId="7075B85C" w14:textId="62A47B7B" w:rsidR="00B50DB8" w:rsidRPr="003A235D" w:rsidDel="00195452" w:rsidRDefault="00203181" w:rsidP="004E18E9">
      <w:pPr>
        <w:pStyle w:val="COMH1numbered"/>
      </w:pPr>
      <w:bookmarkStart w:id="14" w:name="_Toc114047883"/>
      <w:r w:rsidRPr="003A235D" w:rsidDel="00195452">
        <w:t xml:space="preserve">Population and </w:t>
      </w:r>
      <w:r w:rsidR="008E0D3C" w:rsidRPr="003A235D" w:rsidDel="00195452">
        <w:t>d</w:t>
      </w:r>
      <w:r w:rsidRPr="003A235D" w:rsidDel="00195452">
        <w:t>isease</w:t>
      </w:r>
      <w:bookmarkEnd w:id="14"/>
    </w:p>
    <w:p w14:paraId="381DA9DD" w14:textId="77777777" w:rsidR="00D6653E" w:rsidRPr="003A235D" w:rsidRDefault="00D6653E" w:rsidP="00D6653E">
      <w:pPr>
        <w:pStyle w:val="ExecSumBodyText"/>
        <w:numPr>
          <w:ilvl w:val="1"/>
          <w:numId w:val="1"/>
        </w:numPr>
      </w:pPr>
      <w:r w:rsidRPr="003A235D">
        <w:t>Heart failure is a complex clinical syndrome caused by underlying structural and/or functional impairment of cardiac ventricular filling and ejection, and is characterised by symptoms of dyspnoea, orthopnoea, paroxysmal nocturnal dyspnoea, reduced end-organ perfusion, venous congestion (elevated jugular venous pressure, hepatic enlargement, peripheral oedema, pulmonary oedema, pleural effusion, ascites), and fatigue. The symptoms of heart failure are most evident on exertion, but increasingly occur at rest with disease progression. Common causes of heart failure include ischaemic heart disease, valvular heart disease, cardiomyopathies, hypertension, arrhythmias, and diabetes. Chronic heart failure refers to patients with the clinical symptoms of heart failure for at least three months.</w:t>
      </w:r>
    </w:p>
    <w:p w14:paraId="6DDBAF18" w14:textId="011AC914" w:rsidR="005A6818" w:rsidRPr="003A235D" w:rsidRDefault="005A6818" w:rsidP="005A6818">
      <w:pPr>
        <w:pStyle w:val="ExecSumBodyText"/>
        <w:numPr>
          <w:ilvl w:val="1"/>
          <w:numId w:val="1"/>
        </w:numPr>
      </w:pPr>
      <w:r w:rsidRPr="003A235D">
        <w:t>Heart failure is classified by the severity of functional symptoms and impact on daily activity; i.e. New York Heart Association (NYHA) classification, as well as left ventricular ejection fraction (National Heart Foundation of Australia)</w:t>
      </w:r>
      <w:r w:rsidR="00ED3E09" w:rsidRPr="003A235D">
        <w:t xml:space="preserve">. </w:t>
      </w:r>
    </w:p>
    <w:p w14:paraId="6CB05665" w14:textId="44C34FF2" w:rsidR="000216B7" w:rsidRPr="003A235D" w:rsidRDefault="000216B7" w:rsidP="00FA3BE0">
      <w:pPr>
        <w:pStyle w:val="ExecSumBodyText"/>
        <w:numPr>
          <w:ilvl w:val="1"/>
          <w:numId w:val="1"/>
        </w:numPr>
      </w:pPr>
      <w:r w:rsidRPr="003A235D">
        <w:t xml:space="preserve">In </w:t>
      </w:r>
      <w:r w:rsidR="00930D12" w:rsidRPr="003A235D">
        <w:t>this document</w:t>
      </w:r>
      <w:r w:rsidRPr="003A235D">
        <w:t>, nomenclature from the most recent American Heart Association/American College of Cardiology (AHA/ACC, Heidenreich 2022) and European Society of Cardiology (ESC 2021) heart failure guidelines are used to refer to the patient population</w:t>
      </w:r>
      <w:r w:rsidR="00446229" w:rsidRPr="003A235D">
        <w:t>.</w:t>
      </w:r>
      <w:r w:rsidRPr="003A235D">
        <w:t xml:space="preserve"> </w:t>
      </w:r>
      <w:r w:rsidR="00446229" w:rsidRPr="003A235D">
        <w:t>P</w:t>
      </w:r>
      <w:r w:rsidRPr="003A235D">
        <w:t xml:space="preserve">atients with left ventricular ejection fraction (LVEF) ≥50% </w:t>
      </w:r>
      <w:r w:rsidR="00446229" w:rsidRPr="003A235D">
        <w:t>and structural and/or functional cardiac abnormalities consistent with the presence of left ventricular diastolic dysfunction and/or raised natriuretic peptides, without major reductions in systolic function</w:t>
      </w:r>
      <w:r w:rsidR="00A705FA" w:rsidRPr="003A235D">
        <w:t>,</w:t>
      </w:r>
      <w:r w:rsidR="00446229" w:rsidRPr="003A235D">
        <w:t xml:space="preserve"> </w:t>
      </w:r>
      <w:r w:rsidRPr="003A235D">
        <w:t>have heart failure with preserved ejection fraction (HFpEF)</w:t>
      </w:r>
      <w:r w:rsidR="00A705FA" w:rsidRPr="003A235D">
        <w:t>. Those</w:t>
      </w:r>
      <w:r w:rsidRPr="003A235D">
        <w:t xml:space="preserve"> with LVEF between 41%-49% have heart failure with mildly reduced ejection fraction (HFmrEF). Patients with LVEF ≤40% have heart failure with reduced ejection fraction (HFrEF). Australian guidelines (Atherton 2018) do not recommend a ‘mildly reduced’ category, but group patients with LVEF between 41-49% with the HFrEF population. </w:t>
      </w:r>
    </w:p>
    <w:p w14:paraId="708FB1FE" w14:textId="4E956E6E" w:rsidR="002E0329" w:rsidRPr="003A235D" w:rsidRDefault="005A6818" w:rsidP="005A6818">
      <w:pPr>
        <w:pStyle w:val="ExecSumBodyText"/>
        <w:numPr>
          <w:ilvl w:val="1"/>
          <w:numId w:val="1"/>
        </w:numPr>
      </w:pPr>
      <w:r w:rsidRPr="003A235D">
        <w:t xml:space="preserve">Liew (2020) estimated that in 2017 there were approximately 420,000 Australian adults with heart failure (2.20% age-standardised prevalence), and 66,418 new diagnoses (0.348% age-standardised incidence). The prevalence of heart failure in Indigenous Australians is estimated to be 1.7 times that of non-Indigenous Australians (Woods 2012). </w:t>
      </w:r>
      <w:r w:rsidR="005A3260" w:rsidRPr="003A235D">
        <w:t>Australian epidemiological studies have shown that approximately 52-</w:t>
      </w:r>
      <w:r w:rsidR="005A3260" w:rsidRPr="003A235D">
        <w:lastRenderedPageBreak/>
        <w:t>59% of the heart failure patient population have HFpEF or HFmrEF (Newton 2020; Sindone 2021; Wang 2018).</w:t>
      </w:r>
    </w:p>
    <w:p w14:paraId="10BF785B" w14:textId="49310147" w:rsidR="003F390E" w:rsidRPr="003A235D" w:rsidRDefault="00376322" w:rsidP="0014774E">
      <w:pPr>
        <w:pStyle w:val="ExecSumBodyText"/>
        <w:numPr>
          <w:ilvl w:val="1"/>
          <w:numId w:val="1"/>
        </w:numPr>
      </w:pPr>
      <w:bookmarkStart w:id="15" w:name="_Ref121134647"/>
      <w:r w:rsidRPr="003A235D">
        <w:t xml:space="preserve">A systematic review of non-interventional studies reporting survival rates for patients with chronic or stable heart failure (Jones 2019) found no significant difference in survival </w:t>
      </w:r>
      <w:r w:rsidR="00AF5F0B" w:rsidRPr="003A235D">
        <w:t xml:space="preserve">rates </w:t>
      </w:r>
      <w:r w:rsidRPr="003A235D">
        <w:t>between HFrEF and HFpEF in a pooled analysis, although individual studies reported improved survival rates and lower rates of hospital admission and cardiovascular mortality for patients with HFpEF. In all the included studies reporting cause of death data by LVEF level, the proportion of total mortality attributed to cardiovascular disease and heart failure was greater for patients with HFrEF than HFpEF. The review noted that patients with HFpEF are more likely to be older and have significant comorbid disease, meaning unadjusted HFrEF and HFpEF survival rates are similar (Jones 2019).</w:t>
      </w:r>
      <w:r w:rsidR="007D3238" w:rsidRPr="003A235D">
        <w:t xml:space="preserve">  The PBAC noted that results from the placebo groups of EMPEROR</w:t>
      </w:r>
      <w:r w:rsidR="002F326F" w:rsidRPr="003A235D">
        <w:t>-</w:t>
      </w:r>
      <w:r w:rsidR="007D3238" w:rsidRPr="003A235D">
        <w:t>R</w:t>
      </w:r>
      <w:r w:rsidR="002F326F" w:rsidRPr="003A235D">
        <w:t>educed</w:t>
      </w:r>
      <w:r w:rsidR="007D3238" w:rsidRPr="003A235D">
        <w:t xml:space="preserve"> and EMPEROR</w:t>
      </w:r>
      <w:r w:rsidR="002F326F" w:rsidRPr="003A235D">
        <w:t>-</w:t>
      </w:r>
      <w:r w:rsidR="007D3238" w:rsidRPr="003A235D">
        <w:t>P</w:t>
      </w:r>
      <w:r w:rsidR="002F326F" w:rsidRPr="003A235D">
        <w:t>reserved</w:t>
      </w:r>
      <w:r w:rsidR="007D3238" w:rsidRPr="003A235D">
        <w:t xml:space="preserve"> trials indicated </w:t>
      </w:r>
      <w:r w:rsidR="00CA34D0" w:rsidRPr="003A235D">
        <w:t>differences in baseline risks between the two populations, and differences in absolute risk reduction in the primary composite endpoint of time to CV death or HHF</w:t>
      </w:r>
      <w:r w:rsidR="0014774E" w:rsidRPr="003A235D">
        <w:t xml:space="preserve">, as had previously been described by ESC (see paragraph </w:t>
      </w:r>
      <w:r w:rsidR="0014774E" w:rsidRPr="003A235D">
        <w:fldChar w:fldCharType="begin" w:fldLock="1"/>
      </w:r>
      <w:r w:rsidR="0014774E" w:rsidRPr="003A235D">
        <w:instrText xml:space="preserve"> REF _Ref116565032 \r \h </w:instrText>
      </w:r>
      <w:r w:rsidR="0014774E" w:rsidRPr="003A235D">
        <w:fldChar w:fldCharType="separate"/>
      </w:r>
      <w:r w:rsidR="004646F5" w:rsidRPr="003A235D">
        <w:t>6.11</w:t>
      </w:r>
      <w:r w:rsidR="0014774E" w:rsidRPr="003A235D">
        <w:fldChar w:fldCharType="end"/>
      </w:r>
      <w:r w:rsidR="0014774E" w:rsidRPr="003A235D">
        <w:t>)</w:t>
      </w:r>
      <w:r w:rsidR="00CA34D0" w:rsidRPr="003A235D">
        <w:t xml:space="preserve">. </w:t>
      </w:r>
      <w:r w:rsidR="0014774E" w:rsidRPr="003A235D">
        <w:t xml:space="preserve">The baseline risk for the primary composite outcome was higher in the EMPEROR-Reduced population (24.7% over a median duration of follow-up of 16 months; Table 4, empagliflozin, </w:t>
      </w:r>
      <w:r w:rsidR="007B1C4D" w:rsidRPr="00FF5744">
        <w:t xml:space="preserve">Public Summary Document </w:t>
      </w:r>
      <w:r w:rsidR="007D0B6C">
        <w:t>(</w:t>
      </w:r>
      <w:r w:rsidR="0014774E" w:rsidRPr="003A235D">
        <w:t>PSD</w:t>
      </w:r>
      <w:r w:rsidR="007D0B6C">
        <w:t>)</w:t>
      </w:r>
      <w:r w:rsidR="0014774E" w:rsidRPr="003A235D">
        <w:t xml:space="preserve">, November 2021 PBAC meeting) compared with the EMPEROR-Preserved population (17.1%, over a median duration of follow-up of 26 months; </w:t>
      </w:r>
      <w:r w:rsidR="0014774E" w:rsidRPr="003A235D">
        <w:fldChar w:fldCharType="begin" w:fldLock="1"/>
      </w:r>
      <w:r w:rsidR="0014774E" w:rsidRPr="003A235D">
        <w:instrText xml:space="preserve"> REF _Ref111129804 \h  \* MERGEFORMAT </w:instrText>
      </w:r>
      <w:r w:rsidR="0014774E" w:rsidRPr="003A235D">
        <w:fldChar w:fldCharType="separate"/>
      </w:r>
      <w:r w:rsidR="004646F5" w:rsidRPr="003A235D">
        <w:t>Table 4</w:t>
      </w:r>
      <w:r w:rsidR="0014774E" w:rsidRPr="003A235D">
        <w:fldChar w:fldCharType="end"/>
      </w:r>
      <w:r w:rsidR="0014774E" w:rsidRPr="003A235D">
        <w:t>).</w:t>
      </w:r>
      <w:bookmarkEnd w:id="15"/>
    </w:p>
    <w:p w14:paraId="62CC394C" w14:textId="054E8694" w:rsidR="000655EB" w:rsidRPr="003A235D" w:rsidRDefault="000655EB" w:rsidP="000655EB">
      <w:pPr>
        <w:pStyle w:val="ExecSumBodyText"/>
        <w:numPr>
          <w:ilvl w:val="1"/>
          <w:numId w:val="1"/>
        </w:numPr>
      </w:pPr>
      <w:r w:rsidRPr="003A235D">
        <w:t>Empagliflozin is a selective sodium-glucose co-transporter-2 (SGLT2) inhibitor used for the treatment of adults with type 2 diabetes. The submission acknowledged that the precise mechanism of action underlying the protective cardiovascular effects of empagliflozin in the treatment of heart failure is not understood, but noted that SGLT2 inhibitors may have renal, vascular/haemodynamic, direct cardiac, and/or metabolic effects, and that these actions are independent of the glycaemic effects of SGLT2 inhibitors.</w:t>
      </w:r>
    </w:p>
    <w:p w14:paraId="6D09941B" w14:textId="7568E422" w:rsidR="001E6A96" w:rsidRPr="003A235D" w:rsidRDefault="001E6A96" w:rsidP="001E6A96">
      <w:pPr>
        <w:pStyle w:val="ExecSumBodyText"/>
        <w:numPr>
          <w:ilvl w:val="1"/>
          <w:numId w:val="1"/>
        </w:numPr>
      </w:pPr>
      <w:r w:rsidRPr="003A235D">
        <w:t xml:space="preserve">The recommended dosing of empagliflozin for the treatment of HFmrEF/HFpEF is </w:t>
      </w:r>
      <w:r w:rsidR="005E2599" w:rsidRPr="003A235D">
        <w:t xml:space="preserve">a </w:t>
      </w:r>
      <w:r w:rsidR="00F935BC" w:rsidRPr="003A235D">
        <w:t>10 mg</w:t>
      </w:r>
      <w:r w:rsidRPr="003A235D">
        <w:t xml:space="preserve"> tablet orally, once daily, adjunctive to standard care. </w:t>
      </w:r>
    </w:p>
    <w:p w14:paraId="62D4910A" w14:textId="77777777" w:rsidR="00E1373C" w:rsidRPr="003A235D" w:rsidRDefault="00D97EDD" w:rsidP="00E1373C">
      <w:pPr>
        <w:pStyle w:val="ExecSumBodyText"/>
        <w:numPr>
          <w:ilvl w:val="1"/>
          <w:numId w:val="1"/>
        </w:numPr>
      </w:pPr>
      <w:r w:rsidRPr="003A235D">
        <w:t xml:space="preserve">The proposed clinical management algorithm positioned empagliflozin as an add-on to standard care </w:t>
      </w:r>
      <w:r w:rsidR="00175A5A" w:rsidRPr="003A235D">
        <w:t xml:space="preserve">in the treatment of chronic HFmrEF/HFpEF. </w:t>
      </w:r>
      <w:r w:rsidR="00B7454A" w:rsidRPr="003A235D">
        <w:t>This is broadly</w:t>
      </w:r>
      <w:r w:rsidRPr="003A235D">
        <w:t xml:space="preserve"> consistent with the requested restriction</w:t>
      </w:r>
      <w:r w:rsidR="000C14DD" w:rsidRPr="003A235D">
        <w:t xml:space="preserve">, the proposed TGA indication and the inclusion criteria of the key clinical trial. </w:t>
      </w:r>
      <w:r w:rsidRPr="003A235D">
        <w:rPr>
          <w:iCs/>
        </w:rPr>
        <w:t>However, the proposed algorithm does not include a description of the additional diagnostic criteria for patients with HFmrEF/HFpEF specified in the proposed restriction and in Australian heart failure guidelines (Atherton 2018).</w:t>
      </w:r>
      <w:r w:rsidR="00E1373C" w:rsidRPr="003A235D">
        <w:t xml:space="preserve"> </w:t>
      </w:r>
    </w:p>
    <w:p w14:paraId="0FCD196F" w14:textId="77777777" w:rsidR="00E1373C" w:rsidRPr="003A235D" w:rsidRDefault="00E1373C" w:rsidP="00E1373C">
      <w:pPr>
        <w:ind w:firstLine="709"/>
        <w:rPr>
          <w:rFonts w:asciiTheme="minorHAnsi" w:hAnsiTheme="minorHAnsi"/>
          <w:i/>
        </w:rPr>
      </w:pPr>
      <w:r w:rsidRPr="003A235D">
        <w:rPr>
          <w:rFonts w:asciiTheme="minorHAnsi" w:hAnsiTheme="minorHAnsi"/>
          <w:i/>
        </w:rPr>
        <w:t>For more detail on PBAC’s view, see section 7 PBAC outcome.</w:t>
      </w:r>
    </w:p>
    <w:p w14:paraId="51E5AE96" w14:textId="136A63B1" w:rsidR="00B50DB8" w:rsidRPr="003A235D" w:rsidRDefault="00B50DB8" w:rsidP="004E18E9">
      <w:pPr>
        <w:pStyle w:val="COMH1numbered"/>
      </w:pPr>
      <w:bookmarkStart w:id="16" w:name="_Toc114047884"/>
      <w:r w:rsidRPr="003A235D">
        <w:lastRenderedPageBreak/>
        <w:t>Comparator</w:t>
      </w:r>
      <w:bookmarkEnd w:id="16"/>
    </w:p>
    <w:p w14:paraId="747A75CC" w14:textId="7ADC2787" w:rsidR="00A05472" w:rsidRPr="003A235D" w:rsidRDefault="00076505" w:rsidP="006B60DC">
      <w:pPr>
        <w:pStyle w:val="ExecSumBodyText"/>
        <w:numPr>
          <w:ilvl w:val="1"/>
          <w:numId w:val="1"/>
        </w:numPr>
        <w:rPr>
          <w:iCs/>
          <w:snapToGrid/>
        </w:rPr>
      </w:pPr>
      <w:r w:rsidRPr="003A235D">
        <w:t>The submission nominated standard care as the main comparator. The main arguments provided in support of this nomination were that there are currently no effective treatments for patients with HFmrEF/HFpEF. Rather, clinicians may choose to use any combination of background medications specific to each patient. These may include diuretics for symptom relief, and a beta-blocker, angiotensin-converting enzyme inhibitor (ACEi), angiotensin II receptor blocker (ARB) and/or mineralocorticoid receptor antagonist (MRA) to manage comorbidities. The nominated comparator was consistent with the background medications used in the key clinical trial (EMPEROR-Preserved), and with Australian heart failure guidelines (Atherton 2018).</w:t>
      </w:r>
      <w:r w:rsidR="00705D32" w:rsidRPr="003A235D">
        <w:t xml:space="preserve"> </w:t>
      </w:r>
      <w:r w:rsidR="00705D32" w:rsidRPr="003A235D">
        <w:rPr>
          <w:iCs/>
        </w:rPr>
        <w:t xml:space="preserve">The </w:t>
      </w:r>
      <w:r w:rsidR="003E1BF3" w:rsidRPr="003A235D">
        <w:rPr>
          <w:iCs/>
        </w:rPr>
        <w:t>ESC</w:t>
      </w:r>
      <w:r w:rsidR="00CF1AA7" w:rsidRPr="003A235D">
        <w:rPr>
          <w:iCs/>
        </w:rPr>
        <w:t xml:space="preserve"> </w:t>
      </w:r>
      <w:r w:rsidR="00705D32" w:rsidRPr="003A235D">
        <w:rPr>
          <w:iCs/>
        </w:rPr>
        <w:t>considered that standard care was the appropriate main comparator.</w:t>
      </w:r>
    </w:p>
    <w:p w14:paraId="07AC433D" w14:textId="6E9B4CD2" w:rsidR="00E1373C" w:rsidRPr="003A235D" w:rsidRDefault="001F1EA1" w:rsidP="00E1373C">
      <w:pPr>
        <w:pStyle w:val="ExecSumBodyText"/>
        <w:numPr>
          <w:ilvl w:val="1"/>
          <w:numId w:val="1"/>
        </w:numPr>
      </w:pPr>
      <w:r w:rsidRPr="003A235D">
        <w:t>Dapagliflozin may be a near-market comparator. During the evaluation, it was noted that top-line results of the DELIVER trial, a placebo-controlled RCT of dapagliflozin in addition to standard care in patients with heart failure with LVEF &gt;40%, with or without diabetes were recently released. In the trial, dapagliflozin achieved a statistically significant reduction in the primary composite endpoint of time to first cardiovascular death or worsening heart failure event (heart failure hospitalisation or urgent heart failure visit) (AstraZeneca press release, 5 May 2022).</w:t>
      </w:r>
      <w:r w:rsidR="002E2392" w:rsidRPr="003A235D">
        <w:t xml:space="preserve">  </w:t>
      </w:r>
      <w:r w:rsidR="002E2392" w:rsidRPr="003A235D">
        <w:rPr>
          <w:iCs/>
        </w:rPr>
        <w:t>The ESC noted that full results of the DELIVER trial were recently published (Solomon et al. 2022</w:t>
      </w:r>
      <w:r w:rsidR="00B07CCA" w:rsidRPr="003A235D">
        <w:rPr>
          <w:rStyle w:val="FootnoteReference"/>
          <w:iCs/>
        </w:rPr>
        <w:footnoteReference w:id="1"/>
      </w:r>
      <w:r w:rsidR="002E2392" w:rsidRPr="003A235D">
        <w:rPr>
          <w:iCs/>
        </w:rPr>
        <w:t>)</w:t>
      </w:r>
      <w:r w:rsidR="00B07CCA" w:rsidRPr="003A235D">
        <w:rPr>
          <w:iCs/>
        </w:rPr>
        <w:t>, and the results appear to be consistent with the EMPEROR-</w:t>
      </w:r>
      <w:r w:rsidR="003F2C28">
        <w:rPr>
          <w:iCs/>
        </w:rPr>
        <w:t>P</w:t>
      </w:r>
      <w:r w:rsidR="00B07CCA" w:rsidRPr="003A235D">
        <w:rPr>
          <w:iCs/>
        </w:rPr>
        <w:t>reserved results</w:t>
      </w:r>
      <w:r w:rsidR="006B60DC" w:rsidRPr="003A235D">
        <w:rPr>
          <w:iCs/>
        </w:rPr>
        <w:t>, noting no formal assessment of non-inferiority has been conducted.</w:t>
      </w:r>
      <w:r w:rsidR="00E1373C" w:rsidRPr="003A235D">
        <w:t xml:space="preserve"> </w:t>
      </w:r>
    </w:p>
    <w:p w14:paraId="769C335A" w14:textId="77777777" w:rsidR="00E1373C" w:rsidRPr="003A235D" w:rsidRDefault="00E1373C" w:rsidP="00E1373C">
      <w:pPr>
        <w:ind w:firstLine="709"/>
        <w:rPr>
          <w:rFonts w:asciiTheme="minorHAnsi" w:hAnsiTheme="minorHAnsi"/>
          <w:i/>
        </w:rPr>
      </w:pPr>
      <w:r w:rsidRPr="003A235D">
        <w:rPr>
          <w:rFonts w:asciiTheme="minorHAnsi" w:hAnsiTheme="minorHAnsi"/>
          <w:i/>
        </w:rPr>
        <w:t>For more detail on PBAC’s view, see section 7 PBAC outcome.</w:t>
      </w:r>
    </w:p>
    <w:p w14:paraId="6B2205E7" w14:textId="616B0CBD" w:rsidR="00AB3048" w:rsidRPr="003A235D" w:rsidRDefault="00AB3048" w:rsidP="00E1373C">
      <w:pPr>
        <w:pStyle w:val="ExecSumBodyText"/>
        <w:rPr>
          <w:iCs/>
        </w:rPr>
      </w:pPr>
    </w:p>
    <w:p w14:paraId="7F9C27C8" w14:textId="77777777" w:rsidR="00223D5A" w:rsidRPr="003A235D" w:rsidRDefault="00223D5A" w:rsidP="00223D5A">
      <w:pPr>
        <w:pStyle w:val="COMH1numbered"/>
      </w:pPr>
      <w:bookmarkStart w:id="17" w:name="_Toc114047885"/>
      <w:bookmarkStart w:id="18" w:name="_Toc22897640"/>
      <w:r w:rsidRPr="003A235D">
        <w:t>Consideration of the evidence</w:t>
      </w:r>
      <w:bookmarkEnd w:id="17"/>
    </w:p>
    <w:p w14:paraId="6B16F3EC" w14:textId="77777777" w:rsidR="00E1373C" w:rsidRPr="003A235D" w:rsidRDefault="00E1373C" w:rsidP="00566398">
      <w:pPr>
        <w:pStyle w:val="COMH2-non-numbered"/>
      </w:pPr>
      <w:bookmarkStart w:id="19" w:name="_Hlk76375935"/>
      <w:bookmarkStart w:id="20" w:name="_Toc114047886"/>
      <w:r w:rsidRPr="003A235D">
        <w:t>Sponsor hearing</w:t>
      </w:r>
    </w:p>
    <w:p w14:paraId="12C19C36" w14:textId="682446AB" w:rsidR="00DA7D2A" w:rsidRPr="003A235D" w:rsidRDefault="00DA7D2A" w:rsidP="00DA7D2A">
      <w:pPr>
        <w:widowControl w:val="0"/>
        <w:numPr>
          <w:ilvl w:val="1"/>
          <w:numId w:val="1"/>
        </w:numPr>
        <w:spacing w:after="120"/>
        <w:ind w:left="720" w:hanging="720"/>
        <w:rPr>
          <w:rFonts w:asciiTheme="minorHAnsi" w:hAnsiTheme="minorHAnsi"/>
          <w:bCs/>
          <w:snapToGrid w:val="0"/>
        </w:rPr>
      </w:pPr>
      <w:bookmarkStart w:id="21" w:name="_Hlk76382586"/>
      <w:r w:rsidRPr="003A235D">
        <w:rPr>
          <w:rFonts w:asciiTheme="minorHAnsi" w:hAnsiTheme="minorHAnsi"/>
          <w:bCs/>
          <w:snapToGrid w:val="0"/>
        </w:rPr>
        <w:t xml:space="preserve">The sponsor provided a hearing for this item.  The clinician described an urgent unmet need for effective treatments for patients with </w:t>
      </w:r>
      <w:r w:rsidRPr="003A235D">
        <w:t xml:space="preserve">HFpEF, noting that the population is growing rapidly and associated with high resource use and prolonged hospitalisations.  The clinician discussed that HFpEF is associated with </w:t>
      </w:r>
      <w:r w:rsidR="00EB34CE" w:rsidRPr="003A235D">
        <w:rPr>
          <w:bCs/>
        </w:rPr>
        <w:t xml:space="preserve">morbidity and mortality </w:t>
      </w:r>
      <w:r w:rsidRPr="003A235D">
        <w:rPr>
          <w:bCs/>
        </w:rPr>
        <w:t xml:space="preserve">equal to </w:t>
      </w:r>
      <w:r w:rsidR="00EB34CE" w:rsidRPr="003A235D">
        <w:rPr>
          <w:bCs/>
        </w:rPr>
        <w:t>HFrEF</w:t>
      </w:r>
      <w:r w:rsidRPr="003A235D">
        <w:rPr>
          <w:bCs/>
        </w:rPr>
        <w:t xml:space="preserve">, and that treatment with empagliflozin is associated with meaningful benefits within 4 weeks of commencing treatment, based on the </w:t>
      </w:r>
      <w:r w:rsidRPr="003A235D">
        <w:rPr>
          <w:rFonts w:asciiTheme="minorHAnsi" w:hAnsiTheme="minorHAnsi"/>
          <w:bCs/>
          <w:snapToGrid w:val="0"/>
        </w:rPr>
        <w:t xml:space="preserve">primary composite outcome </w:t>
      </w:r>
      <w:r w:rsidRPr="003A235D">
        <w:rPr>
          <w:bCs/>
        </w:rPr>
        <w:t>in EMPEROR-Preserved (</w:t>
      </w:r>
      <w:r w:rsidRPr="003A235D">
        <w:rPr>
          <w:rFonts w:asciiTheme="minorHAnsi" w:hAnsiTheme="minorHAnsi"/>
          <w:bCs/>
          <w:snapToGrid w:val="0"/>
        </w:rPr>
        <w:t>time to first cardiovascular death or hospitalisation for heart failure)</w:t>
      </w:r>
      <w:r w:rsidRPr="003A235D">
        <w:rPr>
          <w:bCs/>
        </w:rPr>
        <w:t xml:space="preserve">.  The clinician described the </w:t>
      </w:r>
      <w:r w:rsidRPr="003A235D">
        <w:t xml:space="preserve">Kansas City Cardiomyopathy Questionnaire </w:t>
      </w:r>
      <w:r w:rsidRPr="003A235D">
        <w:lastRenderedPageBreak/>
        <w:t xml:space="preserve">(KCCQ) as the </w:t>
      </w:r>
      <w:r w:rsidR="00EB34CE" w:rsidRPr="003A235D">
        <w:rPr>
          <w:bCs/>
        </w:rPr>
        <w:t xml:space="preserve">“gold standard” for heart failure and predictor of </w:t>
      </w:r>
      <w:r w:rsidRPr="003A235D">
        <w:rPr>
          <w:bCs/>
        </w:rPr>
        <w:t xml:space="preserve">cardiovascular </w:t>
      </w:r>
      <w:r w:rsidRPr="003A235D">
        <w:t xml:space="preserve">disease.  </w:t>
      </w:r>
      <w:r w:rsidRPr="003A235D">
        <w:rPr>
          <w:rFonts w:asciiTheme="minorHAnsi" w:hAnsiTheme="minorHAnsi"/>
          <w:bCs/>
          <w:snapToGrid w:val="0"/>
        </w:rPr>
        <w:t xml:space="preserve">The PBAC considered that the hearing was informative as it provided an expert clinical perspective on treating </w:t>
      </w:r>
      <w:r w:rsidRPr="003A235D">
        <w:t>HFpEF</w:t>
      </w:r>
      <w:r w:rsidRPr="003A235D">
        <w:rPr>
          <w:rFonts w:asciiTheme="minorHAnsi" w:hAnsiTheme="minorHAnsi"/>
          <w:bCs/>
          <w:snapToGrid w:val="0"/>
        </w:rPr>
        <w:t>.</w:t>
      </w:r>
      <w:r w:rsidR="000D12B8" w:rsidRPr="003A235D">
        <w:rPr>
          <w:rFonts w:asciiTheme="minorHAnsi" w:hAnsiTheme="minorHAnsi"/>
          <w:bCs/>
          <w:snapToGrid w:val="0"/>
        </w:rPr>
        <w:t xml:space="preserve"> However, it was noted the clinical evidence</w:t>
      </w:r>
      <w:r w:rsidR="00315375" w:rsidRPr="003A235D">
        <w:rPr>
          <w:rFonts w:asciiTheme="minorHAnsi" w:hAnsiTheme="minorHAnsi"/>
          <w:bCs/>
          <w:snapToGrid w:val="0"/>
        </w:rPr>
        <w:t xml:space="preserve"> for empagliflozin treatment</w:t>
      </w:r>
      <w:r w:rsidR="000D12B8" w:rsidRPr="003A235D">
        <w:rPr>
          <w:rFonts w:asciiTheme="minorHAnsi" w:hAnsiTheme="minorHAnsi"/>
          <w:bCs/>
          <w:snapToGrid w:val="0"/>
        </w:rPr>
        <w:t xml:space="preserve"> </w:t>
      </w:r>
      <w:r w:rsidR="00315375" w:rsidRPr="003A235D">
        <w:rPr>
          <w:rFonts w:asciiTheme="minorHAnsi" w:hAnsiTheme="minorHAnsi"/>
          <w:bCs/>
          <w:snapToGrid w:val="0"/>
        </w:rPr>
        <w:t>in HFm</w:t>
      </w:r>
      <w:r w:rsidR="003E1BF3" w:rsidRPr="003A235D">
        <w:rPr>
          <w:rFonts w:asciiTheme="minorHAnsi" w:hAnsiTheme="minorHAnsi"/>
          <w:bCs/>
          <w:snapToGrid w:val="0"/>
        </w:rPr>
        <w:t>r</w:t>
      </w:r>
      <w:r w:rsidR="00315375" w:rsidRPr="003A235D">
        <w:rPr>
          <w:rFonts w:asciiTheme="minorHAnsi" w:hAnsiTheme="minorHAnsi"/>
          <w:bCs/>
          <w:snapToGrid w:val="0"/>
        </w:rPr>
        <w:t xml:space="preserve">EF/HFpEF </w:t>
      </w:r>
      <w:r w:rsidR="000D12B8" w:rsidRPr="003A235D">
        <w:rPr>
          <w:rFonts w:asciiTheme="minorHAnsi" w:hAnsiTheme="minorHAnsi"/>
          <w:bCs/>
          <w:snapToGrid w:val="0"/>
        </w:rPr>
        <w:t xml:space="preserve">did not support equivalent risk </w:t>
      </w:r>
      <w:r w:rsidR="00930D12" w:rsidRPr="003A235D">
        <w:rPr>
          <w:rFonts w:asciiTheme="minorHAnsi" w:hAnsiTheme="minorHAnsi"/>
          <w:bCs/>
          <w:snapToGrid w:val="0"/>
        </w:rPr>
        <w:t>of events or</w:t>
      </w:r>
      <w:r w:rsidR="000D12B8" w:rsidRPr="003A235D">
        <w:rPr>
          <w:rFonts w:asciiTheme="minorHAnsi" w:hAnsiTheme="minorHAnsi"/>
          <w:bCs/>
          <w:snapToGrid w:val="0"/>
        </w:rPr>
        <w:t xml:space="preserve"> absolute benefits as was evident in HFrEF</w:t>
      </w:r>
      <w:r w:rsidR="0056201B" w:rsidRPr="003A235D">
        <w:rPr>
          <w:rFonts w:asciiTheme="minorHAnsi" w:hAnsiTheme="minorHAnsi"/>
          <w:bCs/>
          <w:snapToGrid w:val="0"/>
        </w:rPr>
        <w:t xml:space="preserve"> </w:t>
      </w:r>
      <w:r w:rsidR="008D6189" w:rsidRPr="003A235D">
        <w:rPr>
          <w:rFonts w:asciiTheme="minorHAnsi" w:hAnsiTheme="minorHAnsi"/>
          <w:bCs/>
          <w:snapToGrid w:val="0"/>
        </w:rPr>
        <w:t>as discussed in</w:t>
      </w:r>
      <w:r w:rsidR="0056201B" w:rsidRPr="003A235D">
        <w:rPr>
          <w:rFonts w:asciiTheme="minorHAnsi" w:hAnsiTheme="minorHAnsi"/>
          <w:bCs/>
          <w:snapToGrid w:val="0"/>
        </w:rPr>
        <w:t xml:space="preserve"> paragraph </w:t>
      </w:r>
      <w:r w:rsidR="0056201B" w:rsidRPr="003A235D">
        <w:rPr>
          <w:rFonts w:asciiTheme="minorHAnsi" w:hAnsiTheme="minorHAnsi"/>
          <w:bCs/>
          <w:snapToGrid w:val="0"/>
        </w:rPr>
        <w:fldChar w:fldCharType="begin" w:fldLock="1"/>
      </w:r>
      <w:r w:rsidR="0056201B" w:rsidRPr="003A235D">
        <w:rPr>
          <w:rFonts w:asciiTheme="minorHAnsi" w:hAnsiTheme="minorHAnsi"/>
          <w:bCs/>
          <w:snapToGrid w:val="0"/>
        </w:rPr>
        <w:instrText xml:space="preserve"> REF _Ref121134647 \r \h </w:instrText>
      </w:r>
      <w:r w:rsidR="0056201B" w:rsidRPr="003A235D">
        <w:rPr>
          <w:rFonts w:asciiTheme="minorHAnsi" w:hAnsiTheme="minorHAnsi"/>
          <w:bCs/>
          <w:snapToGrid w:val="0"/>
        </w:rPr>
      </w:r>
      <w:r w:rsidR="0056201B" w:rsidRPr="003A235D">
        <w:rPr>
          <w:rFonts w:asciiTheme="minorHAnsi" w:hAnsiTheme="minorHAnsi"/>
          <w:bCs/>
          <w:snapToGrid w:val="0"/>
        </w:rPr>
        <w:fldChar w:fldCharType="separate"/>
      </w:r>
      <w:r w:rsidR="004646F5" w:rsidRPr="003A235D">
        <w:rPr>
          <w:rFonts w:asciiTheme="minorHAnsi" w:hAnsiTheme="minorHAnsi"/>
          <w:bCs/>
          <w:snapToGrid w:val="0"/>
        </w:rPr>
        <w:t>4.5</w:t>
      </w:r>
      <w:r w:rsidR="0056201B" w:rsidRPr="003A235D">
        <w:rPr>
          <w:rFonts w:asciiTheme="minorHAnsi" w:hAnsiTheme="minorHAnsi"/>
          <w:bCs/>
          <w:snapToGrid w:val="0"/>
        </w:rPr>
        <w:fldChar w:fldCharType="end"/>
      </w:r>
      <w:r w:rsidR="000D12B8" w:rsidRPr="003A235D">
        <w:rPr>
          <w:rFonts w:asciiTheme="minorHAnsi" w:hAnsiTheme="minorHAnsi"/>
          <w:bCs/>
          <w:snapToGrid w:val="0"/>
        </w:rPr>
        <w:t xml:space="preserve">. </w:t>
      </w:r>
    </w:p>
    <w:bookmarkEnd w:id="21"/>
    <w:p w14:paraId="5D8E9893" w14:textId="2C3B2BF8" w:rsidR="00E1373C" w:rsidRPr="003A235D" w:rsidRDefault="00E1373C" w:rsidP="00566398">
      <w:pPr>
        <w:pStyle w:val="COMH2-non-numbered"/>
      </w:pPr>
      <w:r w:rsidRPr="003A235D">
        <w:t>Consumer comments</w:t>
      </w:r>
    </w:p>
    <w:p w14:paraId="1CCB8651" w14:textId="78B37435" w:rsidR="00D75BE5" w:rsidRPr="003A235D" w:rsidRDefault="00D75BE5" w:rsidP="00D75BE5">
      <w:pPr>
        <w:widowControl w:val="0"/>
        <w:numPr>
          <w:ilvl w:val="1"/>
          <w:numId w:val="1"/>
        </w:numPr>
        <w:spacing w:after="120"/>
        <w:ind w:left="720" w:hanging="720"/>
        <w:rPr>
          <w:rFonts w:asciiTheme="minorHAnsi" w:hAnsiTheme="minorHAnsi"/>
          <w:bCs/>
          <w:snapToGrid w:val="0"/>
        </w:rPr>
      </w:pPr>
      <w:bookmarkStart w:id="22" w:name="_Hlk76382618"/>
      <w:bookmarkEnd w:id="19"/>
      <w:r w:rsidRPr="003A235D">
        <w:rPr>
          <w:rFonts w:asciiTheme="minorHAnsi" w:hAnsiTheme="minorHAnsi"/>
          <w:bCs/>
          <w:snapToGrid w:val="0"/>
        </w:rPr>
        <w:t>The PBAC noted and welcomed the input from one organisation via the Consumer Comments facility on the PBS website. The PBAC noted the advice received from Diabetes Australia was general in nature and supported the listing</w:t>
      </w:r>
      <w:r w:rsidR="00BC55EA" w:rsidRPr="003A235D">
        <w:rPr>
          <w:rFonts w:asciiTheme="minorHAnsi" w:hAnsiTheme="minorHAnsi"/>
          <w:bCs/>
          <w:snapToGrid w:val="0"/>
        </w:rPr>
        <w:t xml:space="preserve"> of empagliflozin, especially highlighting its benefits in the diabetic population (which was not part of the proposed listing)</w:t>
      </w:r>
      <w:r w:rsidRPr="003A235D">
        <w:rPr>
          <w:rFonts w:asciiTheme="minorHAnsi" w:hAnsiTheme="minorHAnsi"/>
          <w:bCs/>
          <w:snapToGrid w:val="0"/>
        </w:rPr>
        <w:t>.</w:t>
      </w:r>
    </w:p>
    <w:bookmarkEnd w:id="22"/>
    <w:p w14:paraId="609C0765" w14:textId="12261CD4" w:rsidR="00B60939" w:rsidRPr="003A235D" w:rsidRDefault="00B60939" w:rsidP="002E4F02">
      <w:pPr>
        <w:pStyle w:val="COMH2-non-numbered"/>
      </w:pPr>
      <w:r w:rsidRPr="003A235D">
        <w:t>Clinical trials</w:t>
      </w:r>
      <w:bookmarkEnd w:id="18"/>
      <w:bookmarkEnd w:id="20"/>
    </w:p>
    <w:p w14:paraId="17DE34DC" w14:textId="11C2AAFC" w:rsidR="007F1017" w:rsidRPr="003A235D" w:rsidRDefault="00466EEB" w:rsidP="00A41DEF">
      <w:pPr>
        <w:pStyle w:val="ExecSumBodyText"/>
        <w:numPr>
          <w:ilvl w:val="1"/>
          <w:numId w:val="1"/>
        </w:numPr>
      </w:pPr>
      <w:r w:rsidRPr="003A235D">
        <w:t>The submission was based on one head-to-head randomised trial comparing empagliflozin plus standard care versus placebo plus standard care (EMPEROR-Preserved).</w:t>
      </w:r>
    </w:p>
    <w:p w14:paraId="2B59ABAC" w14:textId="45AF2EED" w:rsidR="00862502" w:rsidRPr="003A235D" w:rsidRDefault="00A73134" w:rsidP="00A41DEF">
      <w:pPr>
        <w:pStyle w:val="ExecSumBodyText"/>
        <w:numPr>
          <w:ilvl w:val="1"/>
          <w:numId w:val="1"/>
        </w:numPr>
      </w:pPr>
      <w:r w:rsidRPr="003A235D">
        <w:t xml:space="preserve">Details of the trial presented in the submission are provided in </w:t>
      </w:r>
      <w:r w:rsidR="00696EF9" w:rsidRPr="003A235D">
        <w:fldChar w:fldCharType="begin" w:fldLock="1"/>
      </w:r>
      <w:r w:rsidR="00696EF9" w:rsidRPr="003A235D">
        <w:instrText xml:space="preserve"> REF _Ref104803956 \h </w:instrText>
      </w:r>
      <w:r w:rsidR="00E0706E" w:rsidRPr="003A235D">
        <w:instrText xml:space="preserve"> \* MERGEFORMAT </w:instrText>
      </w:r>
      <w:r w:rsidR="00696EF9" w:rsidRPr="003A235D">
        <w:fldChar w:fldCharType="separate"/>
      </w:r>
      <w:r w:rsidR="004646F5" w:rsidRPr="003A235D">
        <w:t>Table 2</w:t>
      </w:r>
      <w:r w:rsidR="00696EF9" w:rsidRPr="003A235D">
        <w:fldChar w:fldCharType="end"/>
      </w:r>
      <w:r w:rsidRPr="003A235D">
        <w:t>.</w:t>
      </w:r>
    </w:p>
    <w:p w14:paraId="7DE3A286" w14:textId="2E53E017" w:rsidR="008E0D3C" w:rsidRPr="003A235D" w:rsidRDefault="00696EF9" w:rsidP="002E4F02">
      <w:pPr>
        <w:pStyle w:val="COMtablefigcaption"/>
      </w:pPr>
      <w:bookmarkStart w:id="23" w:name="_Ref104803956"/>
      <w:r w:rsidRPr="003A235D">
        <w:t xml:space="preserve">Table </w:t>
      </w:r>
      <w:fldSimple w:instr=" SEQ Table \* ARABIC " w:fldLock="1">
        <w:r w:rsidR="004646F5" w:rsidRPr="003A235D">
          <w:t>2</w:t>
        </w:r>
      </w:fldSimple>
      <w:bookmarkEnd w:id="23"/>
      <w:r w:rsidRPr="003A235D">
        <w:t>:</w:t>
      </w:r>
      <w:r w:rsidR="00BC591F" w:rsidRPr="003A235D">
        <w:t xml:space="preserve"> </w:t>
      </w:r>
      <w:r w:rsidR="008E0D3C" w:rsidRPr="003A235D">
        <w:t>Trial</w:t>
      </w:r>
      <w:r w:rsidR="00AF1EEB" w:rsidRPr="003A235D">
        <w:t xml:space="preserve"> </w:t>
      </w:r>
      <w:r w:rsidR="008E0D3C" w:rsidRPr="003A235D">
        <w:t>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 and associated reports presented in the submission"/>
      </w:tblPr>
      <w:tblGrid>
        <w:gridCol w:w="1434"/>
        <w:gridCol w:w="5055"/>
        <w:gridCol w:w="2528"/>
      </w:tblGrid>
      <w:tr w:rsidR="008E0D3C" w:rsidRPr="003A235D" w14:paraId="6ACD35C4" w14:textId="77777777" w:rsidTr="00682BA6">
        <w:trPr>
          <w:cantSplit/>
          <w:tblHeader/>
        </w:trPr>
        <w:tc>
          <w:tcPr>
            <w:tcW w:w="795" w:type="pct"/>
            <w:vAlign w:val="center"/>
          </w:tcPr>
          <w:p w14:paraId="20DEEB23" w14:textId="77777777" w:rsidR="008E0D3C" w:rsidRPr="003A235D" w:rsidRDefault="008E0D3C" w:rsidP="00EC5836">
            <w:pPr>
              <w:pStyle w:val="COMTableheadingrow"/>
              <w:jc w:val="center"/>
              <w:rPr>
                <w:lang w:val="en-AU"/>
              </w:rPr>
            </w:pPr>
            <w:r w:rsidRPr="003A235D">
              <w:rPr>
                <w:lang w:val="en-AU"/>
              </w:rPr>
              <w:t>Trial ID</w:t>
            </w:r>
          </w:p>
        </w:tc>
        <w:tc>
          <w:tcPr>
            <w:tcW w:w="2803" w:type="pct"/>
            <w:vAlign w:val="center"/>
          </w:tcPr>
          <w:p w14:paraId="22EF6C51" w14:textId="77777777" w:rsidR="008E0D3C" w:rsidRPr="003A235D" w:rsidRDefault="008E0D3C" w:rsidP="002E4F02">
            <w:pPr>
              <w:pStyle w:val="COMTableheadingrow"/>
              <w:rPr>
                <w:lang w:val="en-AU"/>
              </w:rPr>
            </w:pPr>
            <w:r w:rsidRPr="003A235D">
              <w:rPr>
                <w:lang w:val="en-AU"/>
              </w:rPr>
              <w:t>Protocol title/ Publication title</w:t>
            </w:r>
          </w:p>
        </w:tc>
        <w:tc>
          <w:tcPr>
            <w:tcW w:w="1402" w:type="pct"/>
            <w:vAlign w:val="center"/>
          </w:tcPr>
          <w:p w14:paraId="561B27A8" w14:textId="77777777" w:rsidR="008E0D3C" w:rsidRPr="003A235D" w:rsidRDefault="008E0D3C" w:rsidP="002E4F02">
            <w:pPr>
              <w:pStyle w:val="COMTableheadingrow"/>
              <w:rPr>
                <w:lang w:val="en-AU"/>
              </w:rPr>
            </w:pPr>
            <w:r w:rsidRPr="003A235D">
              <w:rPr>
                <w:lang w:val="en-AU"/>
              </w:rPr>
              <w:t>Publication citation</w:t>
            </w:r>
          </w:p>
        </w:tc>
      </w:tr>
      <w:tr w:rsidR="0087395B" w:rsidRPr="003A235D" w14:paraId="298351BA" w14:textId="77777777" w:rsidTr="00AE14F4">
        <w:trPr>
          <w:cantSplit/>
        </w:trPr>
        <w:tc>
          <w:tcPr>
            <w:tcW w:w="795" w:type="pct"/>
            <w:vMerge w:val="restart"/>
            <w:vAlign w:val="center"/>
          </w:tcPr>
          <w:p w14:paraId="4EE82682" w14:textId="77777777" w:rsidR="0087395B" w:rsidRPr="003A235D" w:rsidRDefault="0087395B" w:rsidP="00466EEB">
            <w:pPr>
              <w:pStyle w:val="COMTabletext"/>
            </w:pPr>
            <w:r w:rsidRPr="003A235D">
              <w:t>EMPEROR-Preserved</w:t>
            </w:r>
          </w:p>
          <w:p w14:paraId="5D9482F5" w14:textId="3B1A197A" w:rsidR="0087395B" w:rsidRPr="003A235D" w:rsidRDefault="0087395B" w:rsidP="00466EEB">
            <w:pPr>
              <w:pStyle w:val="COMTabletext"/>
              <w:rPr>
                <w:szCs w:val="20"/>
              </w:rPr>
            </w:pPr>
            <w:r w:rsidRPr="003A235D">
              <w:t>(Trial 1245.110)</w:t>
            </w:r>
          </w:p>
        </w:tc>
        <w:tc>
          <w:tcPr>
            <w:tcW w:w="2803" w:type="pct"/>
            <w:tcBorders>
              <w:bottom w:val="nil"/>
            </w:tcBorders>
            <w:vAlign w:val="center"/>
          </w:tcPr>
          <w:p w14:paraId="2570DA6E" w14:textId="64226D8C" w:rsidR="0087395B" w:rsidRPr="003A235D" w:rsidRDefault="0087395B" w:rsidP="00466EEB">
            <w:pPr>
              <w:pStyle w:val="COMTabletext"/>
            </w:pPr>
            <w:r w:rsidRPr="003A235D">
              <w:rPr>
                <w:szCs w:val="18"/>
              </w:rPr>
              <w:t xml:space="preserve">A phase III randomised, double-blind trial to evaluate efficacy and safety of once daily empagliflozin </w:t>
            </w:r>
            <w:r w:rsidR="00F935BC" w:rsidRPr="003A235D">
              <w:rPr>
                <w:szCs w:val="18"/>
              </w:rPr>
              <w:t>10 mg</w:t>
            </w:r>
            <w:r w:rsidRPr="003A235D">
              <w:rPr>
                <w:szCs w:val="18"/>
              </w:rPr>
              <w:t xml:space="preserve"> compared to placebo, in patients with chronic Heart Failure with preserved Ejection Fraction (HFpEF).</w:t>
            </w:r>
          </w:p>
        </w:tc>
        <w:tc>
          <w:tcPr>
            <w:tcW w:w="1402" w:type="pct"/>
            <w:tcBorders>
              <w:bottom w:val="nil"/>
            </w:tcBorders>
          </w:tcPr>
          <w:p w14:paraId="7578773D" w14:textId="0B69E344" w:rsidR="0087395B" w:rsidRPr="003A235D" w:rsidRDefault="0087395B" w:rsidP="00466EEB">
            <w:pPr>
              <w:pStyle w:val="COMTabletext"/>
              <w:rPr>
                <w:rFonts w:ascii="Times" w:hAnsi="Times"/>
              </w:rPr>
            </w:pPr>
            <w:r w:rsidRPr="003A235D">
              <w:t>Clinical Trial Report, 4 August 2021</w:t>
            </w:r>
          </w:p>
        </w:tc>
      </w:tr>
      <w:tr w:rsidR="0087395B" w:rsidRPr="003A235D" w14:paraId="7F06C7BE" w14:textId="77777777" w:rsidTr="0087395B">
        <w:trPr>
          <w:cantSplit/>
        </w:trPr>
        <w:tc>
          <w:tcPr>
            <w:tcW w:w="795" w:type="pct"/>
            <w:vMerge/>
            <w:vAlign w:val="center"/>
          </w:tcPr>
          <w:p w14:paraId="2DE31C12" w14:textId="7BFA1DAD" w:rsidR="0087395B" w:rsidRPr="003A235D" w:rsidRDefault="0087395B" w:rsidP="00466EEB">
            <w:pPr>
              <w:pStyle w:val="COMTabletext"/>
              <w:jc w:val="center"/>
            </w:pPr>
          </w:p>
        </w:tc>
        <w:tc>
          <w:tcPr>
            <w:tcW w:w="2803" w:type="pct"/>
            <w:tcBorders>
              <w:top w:val="nil"/>
              <w:bottom w:val="nil"/>
            </w:tcBorders>
            <w:vAlign w:val="center"/>
          </w:tcPr>
          <w:p w14:paraId="7CB8ADA9" w14:textId="56E8918A" w:rsidR="0087395B" w:rsidRPr="003A235D" w:rsidRDefault="0087395B" w:rsidP="00466EEB">
            <w:pPr>
              <w:pStyle w:val="COMTabletext"/>
            </w:pPr>
            <w:r w:rsidRPr="003A235D">
              <w:rPr>
                <w:szCs w:val="18"/>
              </w:rPr>
              <w:t xml:space="preserve">Anker SD, et al. Empagliflozin in heart failure with a preserved ejection fraction. </w:t>
            </w:r>
          </w:p>
        </w:tc>
        <w:tc>
          <w:tcPr>
            <w:tcW w:w="1402" w:type="pct"/>
            <w:tcBorders>
              <w:top w:val="nil"/>
              <w:bottom w:val="nil"/>
            </w:tcBorders>
          </w:tcPr>
          <w:p w14:paraId="53EB2567" w14:textId="0F8F8071" w:rsidR="0087395B" w:rsidRPr="003A235D" w:rsidRDefault="0087395B" w:rsidP="00466EEB">
            <w:pPr>
              <w:pStyle w:val="COMTabletext"/>
            </w:pPr>
            <w:r w:rsidRPr="003A235D">
              <w:rPr>
                <w:i/>
                <w:iCs/>
                <w:szCs w:val="18"/>
              </w:rPr>
              <w:t>New Engl J Med</w:t>
            </w:r>
            <w:r w:rsidRPr="003A235D">
              <w:rPr>
                <w:szCs w:val="18"/>
              </w:rPr>
              <w:t xml:space="preserve"> 2021; 385(16):1451-61.</w:t>
            </w:r>
          </w:p>
        </w:tc>
      </w:tr>
      <w:tr w:rsidR="0087395B" w:rsidRPr="003A235D" w14:paraId="28A72EC8" w14:textId="77777777" w:rsidTr="0087395B">
        <w:trPr>
          <w:cantSplit/>
        </w:trPr>
        <w:tc>
          <w:tcPr>
            <w:tcW w:w="795" w:type="pct"/>
            <w:vMerge/>
            <w:vAlign w:val="center"/>
          </w:tcPr>
          <w:p w14:paraId="4229B05F" w14:textId="77777777" w:rsidR="0087395B" w:rsidRPr="003A235D" w:rsidRDefault="0087395B" w:rsidP="00466EEB">
            <w:pPr>
              <w:pStyle w:val="COMTabletext"/>
              <w:jc w:val="center"/>
            </w:pPr>
          </w:p>
        </w:tc>
        <w:tc>
          <w:tcPr>
            <w:tcW w:w="2803" w:type="pct"/>
            <w:tcBorders>
              <w:top w:val="nil"/>
              <w:bottom w:val="nil"/>
            </w:tcBorders>
          </w:tcPr>
          <w:p w14:paraId="545FF92A" w14:textId="059D9564" w:rsidR="0087395B" w:rsidRPr="003A235D" w:rsidRDefault="0087395B" w:rsidP="00466EEB">
            <w:pPr>
              <w:pStyle w:val="COMTabletext"/>
            </w:pPr>
            <w:r w:rsidRPr="003A235D">
              <w:t xml:space="preserve">Jamal W, et al. Evaluation of the effects of sodium-glucose co-transporter 2 inhibition with empagliflozin on morbidity and mortality in patients with chronic heart failure and a preserved ejection fraction: rationale for and design of the EMPEROR-Preserved Trial. </w:t>
            </w:r>
          </w:p>
        </w:tc>
        <w:tc>
          <w:tcPr>
            <w:tcW w:w="1402" w:type="pct"/>
            <w:tcBorders>
              <w:top w:val="nil"/>
              <w:bottom w:val="nil"/>
            </w:tcBorders>
          </w:tcPr>
          <w:p w14:paraId="00E69322" w14:textId="78995B68" w:rsidR="0087395B" w:rsidRPr="003A235D" w:rsidRDefault="0087395B" w:rsidP="00466EEB">
            <w:pPr>
              <w:pStyle w:val="COMTabletext"/>
              <w:rPr>
                <w:i/>
              </w:rPr>
            </w:pPr>
            <w:r w:rsidRPr="003A235D">
              <w:rPr>
                <w:i/>
                <w:iCs/>
              </w:rPr>
              <w:t>Eur J Heart Failure</w:t>
            </w:r>
            <w:r w:rsidRPr="003A235D">
              <w:t xml:space="preserve"> 2019; 21(10):1279-87.</w:t>
            </w:r>
          </w:p>
        </w:tc>
      </w:tr>
      <w:tr w:rsidR="0087395B" w:rsidRPr="003A235D" w14:paraId="74132A1A" w14:textId="77777777" w:rsidTr="0087395B">
        <w:trPr>
          <w:cantSplit/>
        </w:trPr>
        <w:tc>
          <w:tcPr>
            <w:tcW w:w="795" w:type="pct"/>
            <w:vMerge/>
            <w:vAlign w:val="center"/>
          </w:tcPr>
          <w:p w14:paraId="30BA87AC" w14:textId="439D70FA" w:rsidR="0087395B" w:rsidRPr="003A235D" w:rsidRDefault="0087395B" w:rsidP="00807C37">
            <w:pPr>
              <w:pStyle w:val="COMTabletext"/>
              <w:jc w:val="center"/>
              <w:rPr>
                <w:rFonts w:ascii="Times" w:hAnsi="Times"/>
              </w:rPr>
            </w:pPr>
          </w:p>
        </w:tc>
        <w:tc>
          <w:tcPr>
            <w:tcW w:w="2803" w:type="pct"/>
            <w:tcBorders>
              <w:top w:val="nil"/>
              <w:bottom w:val="nil"/>
            </w:tcBorders>
          </w:tcPr>
          <w:p w14:paraId="7EF3AEBB" w14:textId="3EC3984C" w:rsidR="0087395B" w:rsidRPr="003A235D" w:rsidRDefault="0087395B" w:rsidP="00807C37">
            <w:pPr>
              <w:pStyle w:val="COMTabletext"/>
              <w:rPr>
                <w:rFonts w:ascii="Times" w:hAnsi="Times"/>
              </w:rPr>
            </w:pPr>
            <w:r w:rsidRPr="003A235D">
              <w:t xml:space="preserve">Anker SD, et al. Baseline characteristics of patients with heart failure with preserved ejection fraction in the EMPEROR-Preserved trial. </w:t>
            </w:r>
          </w:p>
        </w:tc>
        <w:tc>
          <w:tcPr>
            <w:tcW w:w="1402" w:type="pct"/>
            <w:tcBorders>
              <w:top w:val="nil"/>
              <w:bottom w:val="nil"/>
            </w:tcBorders>
          </w:tcPr>
          <w:p w14:paraId="65832AF0" w14:textId="242BDE49" w:rsidR="0087395B" w:rsidRPr="003A235D" w:rsidRDefault="0087395B" w:rsidP="00807C37">
            <w:pPr>
              <w:pStyle w:val="COMTabletext"/>
            </w:pPr>
            <w:r w:rsidRPr="003A235D">
              <w:rPr>
                <w:i/>
                <w:iCs/>
              </w:rPr>
              <w:t>Eur J Heart Failure</w:t>
            </w:r>
            <w:r w:rsidRPr="003A235D">
              <w:t xml:space="preserve"> 2020; 22(12):2383-92.</w:t>
            </w:r>
          </w:p>
        </w:tc>
      </w:tr>
      <w:tr w:rsidR="0087395B" w:rsidRPr="003A235D" w14:paraId="72FE99D8" w14:textId="77777777" w:rsidTr="00AF1EEB">
        <w:trPr>
          <w:cantSplit/>
        </w:trPr>
        <w:tc>
          <w:tcPr>
            <w:tcW w:w="795" w:type="pct"/>
            <w:vMerge/>
            <w:vAlign w:val="center"/>
          </w:tcPr>
          <w:p w14:paraId="1E431D63" w14:textId="177A5F18" w:rsidR="0087395B" w:rsidRPr="003A235D" w:rsidRDefault="0087395B" w:rsidP="00807C37">
            <w:pPr>
              <w:pStyle w:val="COMTabletext"/>
              <w:jc w:val="center"/>
            </w:pPr>
          </w:p>
        </w:tc>
        <w:tc>
          <w:tcPr>
            <w:tcW w:w="2803" w:type="pct"/>
            <w:tcBorders>
              <w:top w:val="nil"/>
              <w:bottom w:val="nil"/>
            </w:tcBorders>
          </w:tcPr>
          <w:p w14:paraId="0FCB0ED9" w14:textId="638E6810" w:rsidR="0087395B" w:rsidRPr="003A235D" w:rsidRDefault="0087395B" w:rsidP="00807C37">
            <w:pPr>
              <w:pStyle w:val="COMTabletext"/>
            </w:pPr>
            <w:r w:rsidRPr="003A235D">
              <w:t xml:space="preserve">Butler J, et al. Empagliflozin, Health Status, and Quality of Life in Patients with Heart Failure and Preserved Ejection Fraction: The EMPEROR-Preserved Trial. </w:t>
            </w:r>
          </w:p>
        </w:tc>
        <w:tc>
          <w:tcPr>
            <w:tcW w:w="1402" w:type="pct"/>
            <w:tcBorders>
              <w:top w:val="nil"/>
              <w:bottom w:val="nil"/>
            </w:tcBorders>
          </w:tcPr>
          <w:p w14:paraId="7C0550ED" w14:textId="18EC1FFB" w:rsidR="0087395B" w:rsidRPr="003A235D" w:rsidRDefault="0087395B" w:rsidP="00807C37">
            <w:pPr>
              <w:pStyle w:val="COMTabletext"/>
              <w:rPr>
                <w:i/>
              </w:rPr>
            </w:pPr>
            <w:r w:rsidRPr="003A235D">
              <w:rPr>
                <w:i/>
                <w:iCs/>
              </w:rPr>
              <w:t>Circulation</w:t>
            </w:r>
            <w:r w:rsidRPr="003A235D">
              <w:t xml:space="preserve"> 2021; 145(3):184-193.</w:t>
            </w:r>
          </w:p>
        </w:tc>
      </w:tr>
      <w:tr w:rsidR="0087395B" w:rsidRPr="003A235D" w14:paraId="340757F6" w14:textId="77777777" w:rsidTr="00AF1EEB">
        <w:trPr>
          <w:cantSplit/>
        </w:trPr>
        <w:tc>
          <w:tcPr>
            <w:tcW w:w="795" w:type="pct"/>
            <w:vMerge/>
            <w:vAlign w:val="center"/>
          </w:tcPr>
          <w:p w14:paraId="2C60D627" w14:textId="77777777" w:rsidR="0087395B" w:rsidRPr="003A235D" w:rsidRDefault="0087395B" w:rsidP="00807C37">
            <w:pPr>
              <w:pStyle w:val="COMTabletext"/>
              <w:jc w:val="center"/>
            </w:pPr>
          </w:p>
        </w:tc>
        <w:tc>
          <w:tcPr>
            <w:tcW w:w="2803" w:type="pct"/>
            <w:tcBorders>
              <w:top w:val="nil"/>
              <w:bottom w:val="single" w:sz="4" w:space="0" w:color="auto"/>
            </w:tcBorders>
          </w:tcPr>
          <w:p w14:paraId="1A045230" w14:textId="7AB3FF21" w:rsidR="0087395B" w:rsidRPr="003A235D" w:rsidRDefault="0087395B" w:rsidP="00807C37">
            <w:pPr>
              <w:pStyle w:val="COMTabletext"/>
            </w:pPr>
            <w:r w:rsidRPr="003A235D">
              <w:t xml:space="preserve">Butler J, et al. Early benefit with empagliflozin in heart failure with preserved ejection fraction: insights from the EMPEROR-Preserved trial. </w:t>
            </w:r>
          </w:p>
        </w:tc>
        <w:tc>
          <w:tcPr>
            <w:tcW w:w="1402" w:type="pct"/>
            <w:tcBorders>
              <w:top w:val="nil"/>
              <w:bottom w:val="single" w:sz="4" w:space="0" w:color="auto"/>
            </w:tcBorders>
          </w:tcPr>
          <w:p w14:paraId="32D1C1DF" w14:textId="17857A41" w:rsidR="0087395B" w:rsidRPr="003A235D" w:rsidRDefault="0087395B" w:rsidP="00807C37">
            <w:pPr>
              <w:pStyle w:val="COMTabletext"/>
              <w:rPr>
                <w:rFonts w:ascii="Times" w:hAnsi="Times"/>
              </w:rPr>
            </w:pPr>
            <w:r w:rsidRPr="003A235D">
              <w:rPr>
                <w:i/>
                <w:iCs/>
              </w:rPr>
              <w:t>Eur J Heart Failure</w:t>
            </w:r>
            <w:r w:rsidRPr="003A235D">
              <w:t xml:space="preserve"> 2022; 24(2):245-248.</w:t>
            </w:r>
          </w:p>
        </w:tc>
      </w:tr>
    </w:tbl>
    <w:p w14:paraId="2233A46B" w14:textId="77777777" w:rsidR="0006581A" w:rsidRPr="003A235D" w:rsidRDefault="0006581A" w:rsidP="00AF1EEB">
      <w:pPr>
        <w:pStyle w:val="COMTablefooter"/>
      </w:pPr>
      <w:r w:rsidRPr="003A235D">
        <w:t>Source: Table 2.1, p46 of the submission.</w:t>
      </w:r>
    </w:p>
    <w:p w14:paraId="323766C0" w14:textId="77777777" w:rsidR="0006581A" w:rsidRPr="003A235D" w:rsidRDefault="0006581A" w:rsidP="00AF1EEB">
      <w:pPr>
        <w:pStyle w:val="COMTablefooter"/>
      </w:pPr>
      <w:r w:rsidRPr="003A235D">
        <w:t>Note: Abstract-only publications were excluded from this list if full-text trial publications available.</w:t>
      </w:r>
    </w:p>
    <w:p w14:paraId="1DD06D7D" w14:textId="5FE9F11D" w:rsidR="007F1017" w:rsidRPr="003A235D" w:rsidRDefault="008F120A" w:rsidP="00A41DEF">
      <w:pPr>
        <w:pStyle w:val="ExecSumBodyText"/>
        <w:numPr>
          <w:ilvl w:val="1"/>
          <w:numId w:val="1"/>
        </w:numPr>
      </w:pPr>
      <w:r w:rsidRPr="003A235D">
        <w:t>The key features of the randomised trial</w:t>
      </w:r>
      <w:r w:rsidR="00AF1EEB" w:rsidRPr="003A235D">
        <w:t xml:space="preserve"> </w:t>
      </w:r>
      <w:r w:rsidRPr="003A235D">
        <w:t>are summarised in</w:t>
      </w:r>
      <w:r w:rsidR="00D6076E" w:rsidRPr="003A235D">
        <w:t xml:space="preserve"> </w:t>
      </w:r>
      <w:r w:rsidR="00D6076E" w:rsidRPr="003A235D">
        <w:fldChar w:fldCharType="begin" w:fldLock="1"/>
      </w:r>
      <w:r w:rsidR="00D6076E" w:rsidRPr="003A235D">
        <w:instrText xml:space="preserve"> REF _Ref104804098 \h  \* MERGEFORMAT </w:instrText>
      </w:r>
      <w:r w:rsidR="00D6076E" w:rsidRPr="003A235D">
        <w:fldChar w:fldCharType="separate"/>
      </w:r>
      <w:r w:rsidR="004646F5" w:rsidRPr="003A235D">
        <w:t>Table 3</w:t>
      </w:r>
      <w:r w:rsidR="00D6076E" w:rsidRPr="003A235D">
        <w:fldChar w:fldCharType="end"/>
      </w:r>
      <w:r w:rsidRPr="003A235D">
        <w:t>.</w:t>
      </w:r>
    </w:p>
    <w:p w14:paraId="355E2F15" w14:textId="6635BF1A" w:rsidR="007F1017" w:rsidRPr="003A235D" w:rsidRDefault="00696EF9" w:rsidP="00FD4ED6">
      <w:pPr>
        <w:pStyle w:val="COMtablefigcaption"/>
      </w:pPr>
      <w:bookmarkStart w:id="24" w:name="_Ref104804098"/>
      <w:r w:rsidRPr="003A235D">
        <w:lastRenderedPageBreak/>
        <w:t xml:space="preserve">Table </w:t>
      </w:r>
      <w:fldSimple w:instr=" SEQ Table \* ARABIC " w:fldLock="1">
        <w:r w:rsidR="004646F5" w:rsidRPr="003A235D">
          <w:t>3</w:t>
        </w:r>
      </w:fldSimple>
      <w:bookmarkEnd w:id="24"/>
      <w:r w:rsidR="00D6076E" w:rsidRPr="003A235D">
        <w:t xml:space="preserve">: </w:t>
      </w:r>
      <w:r w:rsidR="007F1017" w:rsidRPr="003A235D">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988"/>
        <w:gridCol w:w="566"/>
        <w:gridCol w:w="1134"/>
        <w:gridCol w:w="709"/>
        <w:gridCol w:w="2409"/>
        <w:gridCol w:w="1986"/>
        <w:gridCol w:w="1225"/>
      </w:tblGrid>
      <w:tr w:rsidR="00B41614" w:rsidRPr="003A235D" w14:paraId="53DD7CC6" w14:textId="77777777" w:rsidTr="00BC2D24">
        <w:trPr>
          <w:cantSplit/>
          <w:tblHeader/>
        </w:trPr>
        <w:tc>
          <w:tcPr>
            <w:tcW w:w="548" w:type="pct"/>
            <w:shd w:val="clear" w:color="auto" w:fill="auto"/>
            <w:vAlign w:val="center"/>
          </w:tcPr>
          <w:p w14:paraId="794116BC" w14:textId="77777777" w:rsidR="007F1017" w:rsidRPr="003A235D" w:rsidRDefault="007F1017" w:rsidP="001E34DF">
            <w:pPr>
              <w:pStyle w:val="COMTableheadingrow"/>
              <w:rPr>
                <w:lang w:val="en-AU"/>
              </w:rPr>
            </w:pPr>
            <w:r w:rsidRPr="003A235D">
              <w:rPr>
                <w:lang w:val="en-AU"/>
              </w:rPr>
              <w:t>Trial</w:t>
            </w:r>
          </w:p>
        </w:tc>
        <w:tc>
          <w:tcPr>
            <w:tcW w:w="314" w:type="pct"/>
            <w:shd w:val="clear" w:color="auto" w:fill="auto"/>
            <w:vAlign w:val="center"/>
          </w:tcPr>
          <w:p w14:paraId="51122FE5" w14:textId="77777777" w:rsidR="007F1017" w:rsidRPr="003A235D" w:rsidRDefault="007F1017" w:rsidP="00EC5836">
            <w:pPr>
              <w:pStyle w:val="COMTableheadingrow"/>
              <w:jc w:val="center"/>
              <w:rPr>
                <w:lang w:val="en-AU"/>
              </w:rPr>
            </w:pPr>
            <w:r w:rsidRPr="003A235D">
              <w:rPr>
                <w:lang w:val="en-AU"/>
              </w:rPr>
              <w:t>N</w:t>
            </w:r>
          </w:p>
        </w:tc>
        <w:tc>
          <w:tcPr>
            <w:tcW w:w="629" w:type="pct"/>
            <w:shd w:val="clear" w:color="auto" w:fill="auto"/>
            <w:vAlign w:val="center"/>
          </w:tcPr>
          <w:p w14:paraId="41C438EF" w14:textId="77777777" w:rsidR="007F1017" w:rsidRPr="003A235D" w:rsidRDefault="007F1017" w:rsidP="00EC5836">
            <w:pPr>
              <w:pStyle w:val="COMTableheadingrow"/>
              <w:jc w:val="center"/>
              <w:rPr>
                <w:lang w:val="en-AU"/>
              </w:rPr>
            </w:pPr>
            <w:r w:rsidRPr="003A235D">
              <w:rPr>
                <w:lang w:val="en-AU"/>
              </w:rPr>
              <w:t>Design/ duration</w:t>
            </w:r>
          </w:p>
        </w:tc>
        <w:tc>
          <w:tcPr>
            <w:tcW w:w="393" w:type="pct"/>
            <w:shd w:val="clear" w:color="auto" w:fill="auto"/>
            <w:vAlign w:val="center"/>
          </w:tcPr>
          <w:p w14:paraId="1FC91360" w14:textId="77777777" w:rsidR="007F1017" w:rsidRPr="003A235D" w:rsidRDefault="007F1017" w:rsidP="00EC5836">
            <w:pPr>
              <w:pStyle w:val="COMTableheadingrow"/>
              <w:jc w:val="center"/>
              <w:rPr>
                <w:lang w:val="en-AU"/>
              </w:rPr>
            </w:pPr>
            <w:r w:rsidRPr="003A235D">
              <w:rPr>
                <w:lang w:val="en-AU"/>
              </w:rPr>
              <w:t>Risk of bias</w:t>
            </w:r>
          </w:p>
        </w:tc>
        <w:tc>
          <w:tcPr>
            <w:tcW w:w="1336" w:type="pct"/>
            <w:shd w:val="clear" w:color="auto" w:fill="auto"/>
            <w:vAlign w:val="center"/>
          </w:tcPr>
          <w:p w14:paraId="7FF90896" w14:textId="77777777" w:rsidR="007F1017" w:rsidRPr="003A235D" w:rsidRDefault="007F1017" w:rsidP="00EC5836">
            <w:pPr>
              <w:pStyle w:val="COMTableheadingrow"/>
              <w:jc w:val="center"/>
              <w:rPr>
                <w:lang w:val="en-AU"/>
              </w:rPr>
            </w:pPr>
            <w:r w:rsidRPr="003A235D">
              <w:rPr>
                <w:lang w:val="en-AU"/>
              </w:rPr>
              <w:t>Patient population</w:t>
            </w:r>
          </w:p>
        </w:tc>
        <w:tc>
          <w:tcPr>
            <w:tcW w:w="1101" w:type="pct"/>
            <w:shd w:val="clear" w:color="auto" w:fill="auto"/>
            <w:vAlign w:val="center"/>
          </w:tcPr>
          <w:p w14:paraId="0FCB63F9" w14:textId="1FDD41BD" w:rsidR="007F1017" w:rsidRPr="003A235D" w:rsidRDefault="007F1017" w:rsidP="00EC5836">
            <w:pPr>
              <w:pStyle w:val="COMTableheadingrow"/>
              <w:jc w:val="center"/>
              <w:rPr>
                <w:lang w:val="en-AU"/>
              </w:rPr>
            </w:pPr>
            <w:r w:rsidRPr="003A235D">
              <w:rPr>
                <w:lang w:val="en-AU"/>
              </w:rPr>
              <w:t>Outcomes</w:t>
            </w:r>
          </w:p>
        </w:tc>
        <w:tc>
          <w:tcPr>
            <w:tcW w:w="679" w:type="pct"/>
            <w:shd w:val="clear" w:color="auto" w:fill="auto"/>
            <w:vAlign w:val="center"/>
          </w:tcPr>
          <w:p w14:paraId="08C6F624" w14:textId="6A0EFDAE" w:rsidR="007F1017" w:rsidRPr="003A235D" w:rsidRDefault="007F1017" w:rsidP="00EC5836">
            <w:pPr>
              <w:pStyle w:val="COMTableheadingrow"/>
              <w:jc w:val="center"/>
              <w:rPr>
                <w:lang w:val="en-AU"/>
              </w:rPr>
            </w:pPr>
            <w:r w:rsidRPr="003A235D">
              <w:rPr>
                <w:lang w:val="en-AU"/>
              </w:rPr>
              <w:t>Use in model</w:t>
            </w:r>
          </w:p>
        </w:tc>
      </w:tr>
      <w:tr w:rsidR="007F1017" w:rsidRPr="003A235D" w14:paraId="2A03CD4B" w14:textId="77777777" w:rsidTr="00682BA6">
        <w:trPr>
          <w:cantSplit/>
        </w:trPr>
        <w:tc>
          <w:tcPr>
            <w:tcW w:w="5000" w:type="pct"/>
            <w:gridSpan w:val="7"/>
            <w:shd w:val="clear" w:color="auto" w:fill="auto"/>
            <w:vAlign w:val="center"/>
          </w:tcPr>
          <w:p w14:paraId="73088C85" w14:textId="5C58D0AF" w:rsidR="007F1017" w:rsidRPr="003A235D" w:rsidRDefault="00BA5546" w:rsidP="00EC5836">
            <w:pPr>
              <w:pStyle w:val="COMTableheadingrow"/>
              <w:rPr>
                <w:lang w:val="en-AU"/>
              </w:rPr>
            </w:pPr>
            <w:r w:rsidRPr="003A235D">
              <w:rPr>
                <w:lang w:val="en-AU"/>
              </w:rPr>
              <w:t>Empagliflozin</w:t>
            </w:r>
            <w:r w:rsidR="00D02852" w:rsidRPr="003A235D">
              <w:rPr>
                <w:lang w:val="en-AU"/>
              </w:rPr>
              <w:t xml:space="preserve"> plus standard care versus placebo plus standard care</w:t>
            </w:r>
          </w:p>
        </w:tc>
      </w:tr>
      <w:tr w:rsidR="00B41614" w:rsidRPr="003A235D" w14:paraId="4EE88DCB" w14:textId="77777777" w:rsidTr="00BC2D24">
        <w:trPr>
          <w:cantSplit/>
        </w:trPr>
        <w:tc>
          <w:tcPr>
            <w:tcW w:w="548" w:type="pct"/>
            <w:shd w:val="clear" w:color="auto" w:fill="auto"/>
            <w:vAlign w:val="center"/>
          </w:tcPr>
          <w:p w14:paraId="6EE77D33" w14:textId="1C536217" w:rsidR="007F1017" w:rsidRPr="003A235D" w:rsidRDefault="00BA5546" w:rsidP="00EC5836">
            <w:pPr>
              <w:pStyle w:val="COMTabletext"/>
            </w:pPr>
            <w:r w:rsidRPr="003A235D">
              <w:t>EMPEROR-Preserved</w:t>
            </w:r>
          </w:p>
        </w:tc>
        <w:tc>
          <w:tcPr>
            <w:tcW w:w="314" w:type="pct"/>
            <w:shd w:val="clear" w:color="auto" w:fill="auto"/>
            <w:vAlign w:val="center"/>
          </w:tcPr>
          <w:p w14:paraId="41BB0E41" w14:textId="560CF8AE" w:rsidR="007F1017" w:rsidRPr="003A235D" w:rsidRDefault="001D5CE5" w:rsidP="00EC5836">
            <w:pPr>
              <w:pStyle w:val="COMTabletext"/>
              <w:jc w:val="center"/>
            </w:pPr>
            <w:r w:rsidRPr="003A235D">
              <w:t>5,998</w:t>
            </w:r>
          </w:p>
        </w:tc>
        <w:tc>
          <w:tcPr>
            <w:tcW w:w="629" w:type="pct"/>
            <w:shd w:val="clear" w:color="auto" w:fill="auto"/>
            <w:vAlign w:val="center"/>
          </w:tcPr>
          <w:p w14:paraId="1BA835EC" w14:textId="2E42893A" w:rsidR="005F1CF5" w:rsidRPr="003A235D" w:rsidRDefault="005F1CF5" w:rsidP="005F1CF5">
            <w:pPr>
              <w:pStyle w:val="TableText"/>
              <w:jc w:val="center"/>
            </w:pPr>
            <w:r w:rsidRPr="003A235D">
              <w:t>Phase III, MC, R, DB, P</w:t>
            </w:r>
            <w:r w:rsidR="008524EC" w:rsidRPr="003A235D">
              <w:t>C</w:t>
            </w:r>
            <w:r w:rsidRPr="003A235D">
              <w:t>;</w:t>
            </w:r>
          </w:p>
          <w:p w14:paraId="1F295A74" w14:textId="77777777" w:rsidR="005F1CF5" w:rsidRPr="003A235D" w:rsidRDefault="005F1CF5" w:rsidP="005F1CF5">
            <w:pPr>
              <w:pStyle w:val="TableText"/>
              <w:jc w:val="center"/>
            </w:pPr>
          </w:p>
          <w:p w14:paraId="744D08AC" w14:textId="173D5DF2" w:rsidR="007F1017" w:rsidRPr="003A235D" w:rsidRDefault="005F1CF5" w:rsidP="005F1CF5">
            <w:pPr>
              <w:pStyle w:val="TableText"/>
              <w:jc w:val="center"/>
            </w:pPr>
            <w:r w:rsidRPr="003A235D">
              <w:t>Median duration of follow-up 26 months</w:t>
            </w:r>
          </w:p>
        </w:tc>
        <w:tc>
          <w:tcPr>
            <w:tcW w:w="393" w:type="pct"/>
            <w:shd w:val="clear" w:color="auto" w:fill="auto"/>
            <w:vAlign w:val="center"/>
          </w:tcPr>
          <w:p w14:paraId="4A529D74" w14:textId="2D3CB28B" w:rsidR="007F1017" w:rsidRPr="003A235D" w:rsidRDefault="00BA5546" w:rsidP="00EC5836">
            <w:pPr>
              <w:pStyle w:val="COMTabletext"/>
              <w:jc w:val="center"/>
              <w:rPr>
                <w:iCs/>
              </w:rPr>
            </w:pPr>
            <w:r w:rsidRPr="003A235D">
              <w:rPr>
                <w:iCs/>
              </w:rPr>
              <w:t>Low</w:t>
            </w:r>
          </w:p>
        </w:tc>
        <w:tc>
          <w:tcPr>
            <w:tcW w:w="1336" w:type="pct"/>
            <w:shd w:val="clear" w:color="auto" w:fill="auto"/>
            <w:vAlign w:val="center"/>
          </w:tcPr>
          <w:p w14:paraId="17C7732E" w14:textId="77777777" w:rsidR="000A48E8" w:rsidRPr="003A235D" w:rsidRDefault="000A48E8" w:rsidP="00DA7D2A">
            <w:pPr>
              <w:pStyle w:val="TableText"/>
              <w:numPr>
                <w:ilvl w:val="0"/>
                <w:numId w:val="8"/>
              </w:numPr>
              <w:ind w:left="227" w:hanging="170"/>
              <w:rPr>
                <w:iCs/>
              </w:rPr>
            </w:pPr>
            <w:r w:rsidRPr="003A235D">
              <w:rPr>
                <w:iCs/>
              </w:rPr>
              <w:t>Age ≥18 years</w:t>
            </w:r>
          </w:p>
          <w:p w14:paraId="599A5931" w14:textId="58CE270B" w:rsidR="000A48E8" w:rsidRPr="003A235D" w:rsidRDefault="000A48E8" w:rsidP="00DA7D2A">
            <w:pPr>
              <w:pStyle w:val="TableText"/>
              <w:numPr>
                <w:ilvl w:val="0"/>
                <w:numId w:val="8"/>
              </w:numPr>
              <w:ind w:left="227" w:hanging="170"/>
              <w:rPr>
                <w:iCs/>
              </w:rPr>
            </w:pPr>
            <w:r w:rsidRPr="003A235D">
              <w:rPr>
                <w:iCs/>
              </w:rPr>
              <w:t>Chronic HFmrEF/HFpEF with LVEF &gt;40%</w:t>
            </w:r>
          </w:p>
          <w:p w14:paraId="77BCAC41" w14:textId="0CA548D9" w:rsidR="00214550" w:rsidRPr="003A235D" w:rsidRDefault="00214550" w:rsidP="00DA7D2A">
            <w:pPr>
              <w:pStyle w:val="TableText"/>
              <w:numPr>
                <w:ilvl w:val="0"/>
                <w:numId w:val="8"/>
              </w:numPr>
              <w:ind w:left="227" w:hanging="170"/>
              <w:rPr>
                <w:iCs/>
              </w:rPr>
            </w:pPr>
            <w:r w:rsidRPr="003A235D">
              <w:rPr>
                <w:iCs/>
              </w:rPr>
              <w:t>Evidence of structural HF or HHF within prior 12 months</w:t>
            </w:r>
          </w:p>
          <w:p w14:paraId="115C9075" w14:textId="77777777" w:rsidR="000A48E8" w:rsidRPr="003A235D" w:rsidRDefault="000A48E8" w:rsidP="00DA7D2A">
            <w:pPr>
              <w:pStyle w:val="TableText"/>
              <w:numPr>
                <w:ilvl w:val="0"/>
                <w:numId w:val="8"/>
              </w:numPr>
              <w:ind w:left="227" w:hanging="170"/>
              <w:rPr>
                <w:iCs/>
              </w:rPr>
            </w:pPr>
            <w:r w:rsidRPr="003A235D">
              <w:rPr>
                <w:iCs/>
              </w:rPr>
              <w:t>NYHA Class II-IV</w:t>
            </w:r>
          </w:p>
          <w:p w14:paraId="271EA24F" w14:textId="77777777" w:rsidR="000A48E8" w:rsidRPr="003A235D" w:rsidRDefault="000A48E8" w:rsidP="00DA7D2A">
            <w:pPr>
              <w:pStyle w:val="TableText"/>
              <w:numPr>
                <w:ilvl w:val="0"/>
                <w:numId w:val="8"/>
              </w:numPr>
              <w:ind w:left="227" w:hanging="170"/>
              <w:rPr>
                <w:iCs/>
              </w:rPr>
            </w:pPr>
            <w:r w:rsidRPr="003A235D">
              <w:rPr>
                <w:iCs/>
              </w:rPr>
              <w:t>Elevated NT-proBNP</w:t>
            </w:r>
            <w:r w:rsidRPr="003A235D">
              <w:rPr>
                <w:iCs/>
                <w:vertAlign w:val="superscript"/>
              </w:rPr>
              <w:t>a</w:t>
            </w:r>
          </w:p>
          <w:p w14:paraId="3C28C77F" w14:textId="77777777" w:rsidR="000A48E8" w:rsidRPr="003A235D" w:rsidRDefault="000A48E8" w:rsidP="00DA7D2A">
            <w:pPr>
              <w:pStyle w:val="TableText"/>
              <w:numPr>
                <w:ilvl w:val="0"/>
                <w:numId w:val="8"/>
              </w:numPr>
              <w:ind w:left="227" w:hanging="170"/>
              <w:rPr>
                <w:iCs/>
              </w:rPr>
            </w:pPr>
            <w:r w:rsidRPr="003A235D">
              <w:rPr>
                <w:iCs/>
              </w:rPr>
              <w:t>eGFR ≥20 mL/min/1.73 m</w:t>
            </w:r>
            <w:r w:rsidRPr="003A235D">
              <w:rPr>
                <w:iCs/>
                <w:vertAlign w:val="superscript"/>
              </w:rPr>
              <w:t>2</w:t>
            </w:r>
          </w:p>
          <w:p w14:paraId="5E6F456D" w14:textId="7871547E" w:rsidR="007F1017" w:rsidRPr="003A235D" w:rsidRDefault="008C36B1" w:rsidP="00DA7D2A">
            <w:pPr>
              <w:pStyle w:val="TableText"/>
              <w:numPr>
                <w:ilvl w:val="0"/>
                <w:numId w:val="8"/>
              </w:numPr>
              <w:ind w:left="227" w:hanging="170"/>
              <w:rPr>
                <w:iCs/>
              </w:rPr>
            </w:pPr>
            <w:r w:rsidRPr="003A235D">
              <w:rPr>
                <w:iCs/>
              </w:rPr>
              <w:t>S</w:t>
            </w:r>
            <w:r w:rsidR="000A48E8" w:rsidRPr="003A235D">
              <w:rPr>
                <w:iCs/>
              </w:rPr>
              <w:t>tandard care</w:t>
            </w:r>
            <w:r w:rsidRPr="003A235D">
              <w:rPr>
                <w:iCs/>
              </w:rPr>
              <w:t xml:space="preserve"> at investigator discretion,</w:t>
            </w:r>
            <w:r w:rsidR="000A48E8" w:rsidRPr="003A235D">
              <w:rPr>
                <w:iCs/>
              </w:rPr>
              <w:t xml:space="preserve"> consistent with local and international guidelines</w:t>
            </w:r>
          </w:p>
        </w:tc>
        <w:tc>
          <w:tcPr>
            <w:tcW w:w="1101" w:type="pct"/>
            <w:shd w:val="clear" w:color="auto" w:fill="auto"/>
            <w:vAlign w:val="center"/>
          </w:tcPr>
          <w:p w14:paraId="1FD1CF01" w14:textId="77777777" w:rsidR="007825A5" w:rsidRPr="003A235D" w:rsidRDefault="007825A5" w:rsidP="00DA7D2A">
            <w:pPr>
              <w:pStyle w:val="TableText"/>
              <w:numPr>
                <w:ilvl w:val="0"/>
                <w:numId w:val="8"/>
              </w:numPr>
              <w:ind w:left="227" w:hanging="170"/>
            </w:pPr>
            <w:r w:rsidRPr="003A235D">
              <w:t>Composite of time to CV death or hospitalisation for HF</w:t>
            </w:r>
          </w:p>
          <w:p w14:paraId="4EFF27AA" w14:textId="77777777" w:rsidR="007825A5" w:rsidRPr="003A235D" w:rsidRDefault="007825A5" w:rsidP="00DA7D2A">
            <w:pPr>
              <w:pStyle w:val="TableText"/>
              <w:numPr>
                <w:ilvl w:val="0"/>
                <w:numId w:val="8"/>
              </w:numPr>
              <w:ind w:left="227" w:hanging="170"/>
            </w:pPr>
            <w:r w:rsidRPr="003A235D">
              <w:t>Time to hospitalisation for HF</w:t>
            </w:r>
          </w:p>
          <w:p w14:paraId="2DA18E7C" w14:textId="77777777" w:rsidR="007825A5" w:rsidRPr="003A235D" w:rsidRDefault="007825A5" w:rsidP="00DA7D2A">
            <w:pPr>
              <w:pStyle w:val="TableText"/>
              <w:numPr>
                <w:ilvl w:val="0"/>
                <w:numId w:val="8"/>
              </w:numPr>
              <w:ind w:left="227" w:hanging="170"/>
            </w:pPr>
            <w:r w:rsidRPr="003A235D">
              <w:t>Time to cardiovascular death</w:t>
            </w:r>
          </w:p>
          <w:p w14:paraId="29E3E9D7" w14:textId="77777777" w:rsidR="007825A5" w:rsidRPr="003A235D" w:rsidRDefault="007825A5" w:rsidP="00DA7D2A">
            <w:pPr>
              <w:pStyle w:val="TableText"/>
              <w:numPr>
                <w:ilvl w:val="0"/>
                <w:numId w:val="8"/>
              </w:numPr>
              <w:ind w:left="227" w:hanging="170"/>
            </w:pPr>
            <w:r w:rsidRPr="003A235D">
              <w:t>Total hospitalisations for HF</w:t>
            </w:r>
          </w:p>
          <w:p w14:paraId="278E98D3" w14:textId="77777777" w:rsidR="007825A5" w:rsidRPr="003A235D" w:rsidRDefault="007825A5" w:rsidP="00DA7D2A">
            <w:pPr>
              <w:pStyle w:val="TableText"/>
              <w:numPr>
                <w:ilvl w:val="0"/>
                <w:numId w:val="8"/>
              </w:numPr>
              <w:ind w:left="227" w:hanging="170"/>
            </w:pPr>
            <w:r w:rsidRPr="003A235D">
              <w:t>Change in slope of eGFR</w:t>
            </w:r>
          </w:p>
          <w:p w14:paraId="1C856C79" w14:textId="77777777" w:rsidR="00615FFF" w:rsidRPr="003A235D" w:rsidRDefault="007825A5" w:rsidP="00DA7D2A">
            <w:pPr>
              <w:pStyle w:val="TableText"/>
              <w:numPr>
                <w:ilvl w:val="0"/>
                <w:numId w:val="8"/>
              </w:numPr>
              <w:ind w:left="227" w:hanging="170"/>
            </w:pPr>
            <w:r w:rsidRPr="003A235D">
              <w:t>Time to death from any cause</w:t>
            </w:r>
          </w:p>
          <w:p w14:paraId="6DC76214" w14:textId="12D550B2" w:rsidR="007F1017" w:rsidRPr="003A235D" w:rsidRDefault="007825A5" w:rsidP="00DA7D2A">
            <w:pPr>
              <w:pStyle w:val="TableText"/>
              <w:numPr>
                <w:ilvl w:val="0"/>
                <w:numId w:val="8"/>
              </w:numPr>
              <w:ind w:left="227" w:hanging="170"/>
            </w:pPr>
            <w:r w:rsidRPr="003A235D">
              <w:t>Change in KCCQ-CSS</w:t>
            </w:r>
          </w:p>
        </w:tc>
        <w:tc>
          <w:tcPr>
            <w:tcW w:w="679" w:type="pct"/>
            <w:shd w:val="clear" w:color="auto" w:fill="auto"/>
            <w:vAlign w:val="center"/>
          </w:tcPr>
          <w:p w14:paraId="150A804C" w14:textId="364EC988" w:rsidR="007F1017" w:rsidRPr="003A235D" w:rsidRDefault="008B12EA" w:rsidP="008B12EA">
            <w:pPr>
              <w:pStyle w:val="COMTabletext"/>
            </w:pPr>
            <w:r w:rsidRPr="003A235D">
              <w:t>KCCQ-CSS scores, all-cause mortality, CV mortality, HF hospitalisation</w:t>
            </w:r>
            <w:r w:rsidR="005E2599" w:rsidRPr="003A235D">
              <w:t>,</w:t>
            </w:r>
            <w:r w:rsidRPr="003A235D">
              <w:t xml:space="preserve"> treatment discontinuation, EQ-5D scores, adverse events</w:t>
            </w:r>
          </w:p>
        </w:tc>
      </w:tr>
    </w:tbl>
    <w:p w14:paraId="560080D2" w14:textId="274BB501" w:rsidR="00045017" w:rsidRPr="003A235D" w:rsidRDefault="00045017" w:rsidP="00EC5836">
      <w:pPr>
        <w:pStyle w:val="COMTablefooter"/>
      </w:pPr>
      <w:r w:rsidRPr="003A235D">
        <w:t xml:space="preserve">Source: </w:t>
      </w:r>
      <w:r w:rsidR="008E6026" w:rsidRPr="003A235D">
        <w:t xml:space="preserve">Table 2.11, pp70-71; Table 2.12, p72 of the submission; </w:t>
      </w:r>
      <w:r w:rsidR="008524EC" w:rsidRPr="003A235D">
        <w:t>Section 2.3</w:t>
      </w:r>
      <w:r w:rsidR="003E2314" w:rsidRPr="003A235D">
        <w:t xml:space="preserve"> and 2.4</w:t>
      </w:r>
      <w:r w:rsidR="008524EC" w:rsidRPr="003A235D">
        <w:t xml:space="preserve"> of the submission</w:t>
      </w:r>
      <w:r w:rsidRPr="003A235D">
        <w:t>.</w:t>
      </w:r>
    </w:p>
    <w:p w14:paraId="384E88B3" w14:textId="5FAFD589" w:rsidR="00C3654D" w:rsidRPr="003A235D" w:rsidRDefault="006834A3" w:rsidP="00C3654D">
      <w:pPr>
        <w:pStyle w:val="COMTablefooter"/>
      </w:pPr>
      <w:r w:rsidRPr="003A235D">
        <w:t xml:space="preserve">Abbreviations: </w:t>
      </w:r>
      <w:r w:rsidR="00620C25" w:rsidRPr="003A235D">
        <w:t>DB</w:t>
      </w:r>
      <w:r w:rsidRPr="003A235D">
        <w:t>,</w:t>
      </w:r>
      <w:r w:rsidR="00620C25" w:rsidRPr="003A235D">
        <w:t xml:space="preserve"> double blind; </w:t>
      </w:r>
      <w:r w:rsidR="00E9040C" w:rsidRPr="003A235D">
        <w:t xml:space="preserve">eGFR, estimated glomerular filtration rate; </w:t>
      </w:r>
      <w:r w:rsidR="003A6B44" w:rsidRPr="003A235D">
        <w:t xml:space="preserve">HF, heart failure; </w:t>
      </w:r>
      <w:r w:rsidR="008C36B1" w:rsidRPr="003A235D">
        <w:t xml:space="preserve">HHF, hospitalisation for heart failure; </w:t>
      </w:r>
      <w:r w:rsidR="003A6B44" w:rsidRPr="003A235D">
        <w:t xml:space="preserve">HFmrEF, heart failure with </w:t>
      </w:r>
      <w:r w:rsidR="00714C87" w:rsidRPr="003A235D">
        <w:t>mildly reduced</w:t>
      </w:r>
      <w:r w:rsidR="003A6B44" w:rsidRPr="003A235D">
        <w:t xml:space="preserve"> ejection fraction; HFpEF, heart failure with preserved ejection fraction; </w:t>
      </w:r>
      <w:r w:rsidR="00C3654D" w:rsidRPr="003A235D">
        <w:t xml:space="preserve">KCCQ, Kansas City Cardiomyopathy Questionnaire; LVEF, left ventricular ejection fraction; </w:t>
      </w:r>
      <w:r w:rsidR="00620C25" w:rsidRPr="003A235D">
        <w:t>MC</w:t>
      </w:r>
      <w:r w:rsidRPr="003A235D">
        <w:t>,</w:t>
      </w:r>
      <w:r w:rsidR="00620C25" w:rsidRPr="003A235D">
        <w:t xml:space="preserve"> multi-centre;</w:t>
      </w:r>
      <w:r w:rsidR="003A6B44" w:rsidRPr="003A235D">
        <w:t xml:space="preserve"> </w:t>
      </w:r>
      <w:r w:rsidR="00E9040C" w:rsidRPr="003A235D">
        <w:t xml:space="preserve">NT-proBNP, </w:t>
      </w:r>
      <w:r w:rsidR="00D37FBD" w:rsidRPr="003A235D">
        <w:t xml:space="preserve">N-Terminal pro b natriuretic peptide; </w:t>
      </w:r>
      <w:r w:rsidR="003A6B44" w:rsidRPr="003A235D">
        <w:t>NYHA, New York Heart Association;</w:t>
      </w:r>
      <w:r w:rsidR="00620C25" w:rsidRPr="003A235D">
        <w:t xml:space="preserve"> </w:t>
      </w:r>
      <w:r w:rsidRPr="003A235D">
        <w:t>PC, placebo-controlled</w:t>
      </w:r>
      <w:r w:rsidR="00620C25" w:rsidRPr="003A235D">
        <w:t>; R</w:t>
      </w:r>
      <w:r w:rsidRPr="003A235D">
        <w:t>,</w:t>
      </w:r>
      <w:r w:rsidR="00620C25" w:rsidRPr="003A235D">
        <w:t xml:space="preserve"> randomised.</w:t>
      </w:r>
    </w:p>
    <w:p w14:paraId="7CA9F941" w14:textId="77777777" w:rsidR="00C3654D" w:rsidRPr="003A235D" w:rsidRDefault="00C3654D" w:rsidP="00C3654D">
      <w:pPr>
        <w:pStyle w:val="COMTablefooter"/>
      </w:pPr>
      <w:r w:rsidRPr="003A235D">
        <w:rPr>
          <w:vertAlign w:val="superscript"/>
        </w:rPr>
        <w:t>a</w:t>
      </w:r>
      <w:r w:rsidRPr="003A235D">
        <w:t xml:space="preserve"> NT-proBNP ≥300 pg/mL for patients without atrial fibrillation at screening; or ≥900 pg/mL for patients without atrial fibrillation.</w:t>
      </w:r>
    </w:p>
    <w:p w14:paraId="2CE018FA" w14:textId="77777777" w:rsidR="0027315D" w:rsidRPr="003A235D" w:rsidRDefault="00F01332" w:rsidP="00A41DEF">
      <w:pPr>
        <w:pStyle w:val="ExecSumBodyText"/>
        <w:numPr>
          <w:ilvl w:val="1"/>
          <w:numId w:val="1"/>
        </w:numPr>
      </w:pPr>
      <w:r w:rsidRPr="003A235D">
        <w:t>The risk of bias was low in the EMPEROR-Preserved trial. Baseline patient characteristics were generally well matched between treatment arms of the EMPEROR-Preserved trial. Randomisation was stratified by region, diabetes history, LVEF and eGFR at screening. Slightly more than half the patients were males (55.3%). The majority of patients were Caucasian (75.9%) and aged 70 years or older (64.1%, mean age 71.9 years).</w:t>
      </w:r>
    </w:p>
    <w:p w14:paraId="4033C5B0" w14:textId="58BACA02" w:rsidR="00620C25" w:rsidRPr="003A235D" w:rsidRDefault="0027315D" w:rsidP="00A41DEF">
      <w:pPr>
        <w:pStyle w:val="ExecSumBodyText"/>
        <w:numPr>
          <w:ilvl w:val="1"/>
          <w:numId w:val="1"/>
        </w:numPr>
      </w:pPr>
      <w:r w:rsidRPr="003A235D">
        <w:t>The submission noted that while there are no proven treatments for HFmrEF or HFpEF, most patients in the trial were being treated with standard cardiovascular drugs such as ACEi, ARBs, ARNIs at baseline (81% in empagliflozin arm and 80.4% in the placebo arm) or beta-blockers (86.7% empagliflozin arm, 85.9% placebo arm).</w:t>
      </w:r>
    </w:p>
    <w:p w14:paraId="31BA7F4B" w14:textId="77BE1576" w:rsidR="00AE6A2F" w:rsidRPr="003A235D" w:rsidRDefault="002C38A9" w:rsidP="00A41DEF">
      <w:pPr>
        <w:pStyle w:val="ExecSumBodyText"/>
        <w:numPr>
          <w:ilvl w:val="1"/>
          <w:numId w:val="1"/>
        </w:numPr>
      </w:pPr>
      <w:r w:rsidRPr="003A235D">
        <w:t xml:space="preserve">The submission reported </w:t>
      </w:r>
      <w:r w:rsidR="00DB19B3" w:rsidRPr="003A235D">
        <w:t xml:space="preserve">Australian </w:t>
      </w:r>
      <w:r w:rsidRPr="003A235D">
        <w:t>patient and disease characteristics</w:t>
      </w:r>
      <w:r w:rsidR="007247D7" w:rsidRPr="003A235D">
        <w:t xml:space="preserve"> from four studies of heart failure patients including those</w:t>
      </w:r>
      <w:r w:rsidRPr="003A235D">
        <w:t xml:space="preserve"> with HFmrEF/HFpEF (or HFpEF only</w:t>
      </w:r>
      <w:r w:rsidR="00A26C33" w:rsidRPr="003A235D">
        <w:t xml:space="preserve"> where </w:t>
      </w:r>
      <w:r w:rsidR="00AE6A2F" w:rsidRPr="003A235D">
        <w:t>HFmrEF was not considered separately</w:t>
      </w:r>
      <w:r w:rsidRPr="003A235D">
        <w:t xml:space="preserve">). Patients in the EMPEROR-Preserved trial were younger than Australian patients (mean age 71.9 years versus approximately 80 years), and there were fewer females than in the Australian patient population (44.7% female patients in the EMPEROR-Preserved trial, and between 47% to 59% in the Australian studies). There were limited data to compare NYHA class distribution in the Australian population to the trial population, with the only Australian data based on patients hospitalised with acute heart failure. The submission noted that patients in the EMPEROR-Preserved trial had a high prevalence of comorbidities such as atrial fibrillation (51.1%) and hypertension (90.6%), as expected in patients with HFpEF. The Australian studies had similar proportions of </w:t>
      </w:r>
      <w:r w:rsidRPr="003A235D">
        <w:lastRenderedPageBreak/>
        <w:t xml:space="preserve">HFpEF patients with atrial fibrillation (46% to 60%), but the proportion of patients with hypertension </w:t>
      </w:r>
      <w:r w:rsidR="002A4335" w:rsidRPr="003A235D">
        <w:t xml:space="preserve">(65% to 80%) </w:t>
      </w:r>
      <w:r w:rsidRPr="003A235D">
        <w:t xml:space="preserve">was lower than in the trial. </w:t>
      </w:r>
      <w:r w:rsidR="00AE6A2F" w:rsidRPr="003A235D">
        <w:t>The EMPEROR-Preserved trial included 49.1% of patients with diabetes at baseline (randomisation was stratified by diabetes status with a minimum of 35% patients with diabetes planned for inclusion in the trial). The Australian study populations with HFmrEF/HFpEF included between 27% and 53% of patients with diabetes.</w:t>
      </w:r>
    </w:p>
    <w:p w14:paraId="2E744317" w14:textId="2F9A2DDD" w:rsidR="002C38A9" w:rsidRPr="003A235D" w:rsidRDefault="002C38A9" w:rsidP="00A41DEF">
      <w:pPr>
        <w:pStyle w:val="ExecSumBodyText"/>
        <w:numPr>
          <w:ilvl w:val="1"/>
          <w:numId w:val="1"/>
        </w:numPr>
      </w:pPr>
      <w:r w:rsidRPr="003A235D">
        <w:t>The submission argued that the subgroup analyses of the EMPEROR-Preserved trial demonstrated that both age and sex are not treatment effect modifiers and therefore any difference between the trial and the clinical setting are unlikely to be impactful. While the pre-specified subgroup analyses showed no treatment effect interactions, age and sex, along with NYHA class and the presence of comorbid conditions</w:t>
      </w:r>
      <w:r w:rsidR="009D4B43" w:rsidRPr="003A235D">
        <w:t xml:space="preserve"> </w:t>
      </w:r>
      <w:r w:rsidRPr="003A235D">
        <w:t>have been identified as prognostic factors in HFpEF. Any differences between the trial population and the Australian setting in terms of patient demographics and the prevalence of comorbid conditions may therefore result in differences in the absolute benefit of empagliflozin.</w:t>
      </w:r>
      <w:r w:rsidR="006B60DC" w:rsidRPr="003A235D">
        <w:t xml:space="preserve"> The ESC </w:t>
      </w:r>
      <w:r w:rsidR="008C01F1" w:rsidRPr="003A235D">
        <w:t xml:space="preserve">noted that there were baseline differences between the EMPEROR-Preserved Trial and the proposed PBS population, but that these differences were bidirectional and, on balance, </w:t>
      </w:r>
      <w:r w:rsidR="006B60DC" w:rsidRPr="003A235D">
        <w:t xml:space="preserve">had no significant concerns regarding the applicability of the EMPEROR-Preserved trial to the PBS population. </w:t>
      </w:r>
    </w:p>
    <w:p w14:paraId="4A4FE085" w14:textId="1C5613CC" w:rsidR="00B60939" w:rsidRPr="003A235D" w:rsidRDefault="00B60939" w:rsidP="00EC5836">
      <w:pPr>
        <w:pStyle w:val="COMH2-non-numbered"/>
      </w:pPr>
      <w:bookmarkStart w:id="25" w:name="_Toc22897641"/>
      <w:bookmarkStart w:id="26" w:name="_Toc114047887"/>
      <w:r w:rsidRPr="003A235D">
        <w:t>Comparative effectiveness</w:t>
      </w:r>
      <w:bookmarkEnd w:id="25"/>
      <w:bookmarkEnd w:id="26"/>
    </w:p>
    <w:p w14:paraId="2A62046B" w14:textId="75D5C280" w:rsidR="009E233C" w:rsidRPr="003A235D" w:rsidRDefault="00A03F8A" w:rsidP="00A41DEF">
      <w:pPr>
        <w:pStyle w:val="ExecSumBodyText"/>
        <w:numPr>
          <w:ilvl w:val="1"/>
          <w:numId w:val="1"/>
        </w:numPr>
      </w:pPr>
      <w:r w:rsidRPr="003A235D">
        <w:fldChar w:fldCharType="begin" w:fldLock="1"/>
      </w:r>
      <w:r w:rsidRPr="003A235D">
        <w:instrText xml:space="preserve"> REF _Ref111129787 \h </w:instrText>
      </w:r>
      <w:r w:rsidR="00A41DEF" w:rsidRPr="003A235D">
        <w:instrText xml:space="preserve"> \* MERGEFORMAT </w:instrText>
      </w:r>
      <w:r w:rsidRPr="003A235D">
        <w:fldChar w:fldCharType="separate"/>
      </w:r>
      <w:r w:rsidR="004646F5" w:rsidRPr="003A235D">
        <w:t>Figure 1</w:t>
      </w:r>
      <w:r w:rsidRPr="003A235D">
        <w:fldChar w:fldCharType="end"/>
      </w:r>
      <w:r w:rsidR="009E233C" w:rsidRPr="003A235D">
        <w:t xml:space="preserve"> and </w:t>
      </w:r>
      <w:r w:rsidRPr="003A235D">
        <w:fldChar w:fldCharType="begin" w:fldLock="1"/>
      </w:r>
      <w:r w:rsidRPr="003A235D">
        <w:instrText xml:space="preserve"> REF _Ref111129804 \h </w:instrText>
      </w:r>
      <w:r w:rsidR="00A41DEF" w:rsidRPr="003A235D">
        <w:instrText xml:space="preserve"> \* MERGEFORMAT </w:instrText>
      </w:r>
      <w:r w:rsidRPr="003A235D">
        <w:fldChar w:fldCharType="separate"/>
      </w:r>
      <w:r w:rsidR="004646F5" w:rsidRPr="003A235D">
        <w:t>Table 4</w:t>
      </w:r>
      <w:r w:rsidRPr="003A235D">
        <w:fldChar w:fldCharType="end"/>
      </w:r>
      <w:r w:rsidR="009E233C" w:rsidRPr="003A235D">
        <w:t xml:space="preserve"> summarise the results of the primary composite outcome (time to first cardiovascular death or hospitalisation for heart failure) of the EMPEROR-Preserved trial.</w:t>
      </w:r>
    </w:p>
    <w:p w14:paraId="0D5046FB" w14:textId="30CCB6E2" w:rsidR="009E233C" w:rsidRPr="003A235D" w:rsidRDefault="009E233C" w:rsidP="009E233C">
      <w:pPr>
        <w:pStyle w:val="COMtablefigcaption"/>
      </w:pPr>
      <w:bookmarkStart w:id="27" w:name="_Ref111129787"/>
      <w:r w:rsidRPr="003A235D">
        <w:rPr>
          <w:snapToGrid w:val="0"/>
        </w:rPr>
        <w:lastRenderedPageBreak/>
        <w:t xml:space="preserve">Figure </w:t>
      </w:r>
      <w:fldSimple w:instr=" SEQ Figure \* ARABIC " w:fldLock="1">
        <w:r w:rsidR="004646F5" w:rsidRPr="003A235D">
          <w:t>1</w:t>
        </w:r>
      </w:fldSimple>
      <w:bookmarkEnd w:id="27"/>
      <w:r w:rsidRPr="003A235D">
        <w:rPr>
          <w:snapToGrid w:val="0"/>
        </w:rPr>
        <w:t xml:space="preserve">: Time to first cardiovascular death or hospitalisation for HF (adjudicated), estimated cumulative </w:t>
      </w:r>
      <w:r w:rsidRPr="003A235D">
        <w:t>incidence function (considering non-CV death as a competing risk) in the EMPEROR-Preserved trial (ITT)</w:t>
      </w:r>
    </w:p>
    <w:p w14:paraId="5BBFB0F2" w14:textId="77777777" w:rsidR="009E233C" w:rsidRPr="003A235D" w:rsidRDefault="009E233C" w:rsidP="009E233C">
      <w:pPr>
        <w:pStyle w:val="COMBody"/>
      </w:pPr>
      <w:r w:rsidRPr="003A235D">
        <w:rPr>
          <w:noProof/>
        </w:rPr>
        <w:drawing>
          <wp:inline distT="0" distB="0" distL="0" distR="0" wp14:anchorId="7E1B1A4B" wp14:editId="70CCB7B0">
            <wp:extent cx="5732145" cy="3995420"/>
            <wp:effectExtent l="0" t="0" r="1905" b="5080"/>
            <wp:docPr id="10" name="Picture 1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line chart&#10;&#10;Description automatically generated"/>
                    <pic:cNvPicPr/>
                  </pic:nvPicPr>
                  <pic:blipFill>
                    <a:blip r:embed="rId8"/>
                    <a:stretch>
                      <a:fillRect/>
                    </a:stretch>
                  </pic:blipFill>
                  <pic:spPr>
                    <a:xfrm>
                      <a:off x="0" y="0"/>
                      <a:ext cx="5732145" cy="3995420"/>
                    </a:xfrm>
                    <a:prstGeom prst="rect">
                      <a:avLst/>
                    </a:prstGeom>
                  </pic:spPr>
                </pic:pic>
              </a:graphicData>
            </a:graphic>
          </wp:inline>
        </w:drawing>
      </w:r>
    </w:p>
    <w:p w14:paraId="63F422BB" w14:textId="77777777" w:rsidR="009E233C" w:rsidRPr="003A235D" w:rsidRDefault="009E233C" w:rsidP="009E233C">
      <w:pPr>
        <w:pStyle w:val="COMTablefooter"/>
      </w:pPr>
      <w:r w:rsidRPr="003A235D">
        <w:t>Source: Figure 2.5, p85 of the submission.</w:t>
      </w:r>
    </w:p>
    <w:p w14:paraId="27E55293" w14:textId="77777777" w:rsidR="009E233C" w:rsidRPr="003A235D" w:rsidRDefault="009E233C" w:rsidP="009E233C">
      <w:pPr>
        <w:pStyle w:val="COMTablefooter"/>
        <w:rPr>
          <w:color w:val="3366FF"/>
        </w:rPr>
      </w:pPr>
      <w:r w:rsidRPr="003A235D">
        <w:t>Abbreviations: CV, cardiovascular; HF, heart failure</w:t>
      </w:r>
    </w:p>
    <w:p w14:paraId="239DA7CC" w14:textId="67971C8F" w:rsidR="009E233C" w:rsidRPr="003A235D" w:rsidRDefault="009E233C" w:rsidP="009E233C">
      <w:pPr>
        <w:pStyle w:val="COMTableheadingrow"/>
        <w:rPr>
          <w:lang w:val="en-AU"/>
        </w:rPr>
      </w:pPr>
      <w:bookmarkStart w:id="28" w:name="_Ref111129804"/>
      <w:bookmarkStart w:id="29" w:name="_Ref111129799"/>
      <w:bookmarkStart w:id="30" w:name="_Hlk121133801"/>
      <w:r w:rsidRPr="003A235D">
        <w:rPr>
          <w:lang w:val="en-AU"/>
        </w:rPr>
        <w:t>Table</w:t>
      </w:r>
      <w:r w:rsidR="003C5C0D" w:rsidRPr="003A235D">
        <w:rPr>
          <w:lang w:val="en-AU"/>
        </w:rPr>
        <w:t xml:space="preserve"> </w:t>
      </w:r>
      <w:r w:rsidR="003C5C0D" w:rsidRPr="003A235D">
        <w:rPr>
          <w:lang w:val="en-AU"/>
        </w:rPr>
        <w:fldChar w:fldCharType="begin" w:fldLock="1"/>
      </w:r>
      <w:r w:rsidR="003C5C0D" w:rsidRPr="003A235D">
        <w:rPr>
          <w:lang w:val="en-AU"/>
        </w:rPr>
        <w:instrText xml:space="preserve"> SEQ Table \* ARABIC </w:instrText>
      </w:r>
      <w:r w:rsidR="003C5C0D" w:rsidRPr="003A235D">
        <w:rPr>
          <w:lang w:val="en-AU"/>
        </w:rPr>
        <w:fldChar w:fldCharType="separate"/>
      </w:r>
      <w:r w:rsidR="004646F5" w:rsidRPr="003A235D">
        <w:rPr>
          <w:lang w:val="en-AU"/>
        </w:rPr>
        <w:t>4</w:t>
      </w:r>
      <w:r w:rsidR="003C5C0D" w:rsidRPr="003A235D">
        <w:rPr>
          <w:lang w:val="en-AU"/>
        </w:rPr>
        <w:fldChar w:fldCharType="end"/>
      </w:r>
      <w:bookmarkEnd w:id="28"/>
      <w:r w:rsidRPr="003A235D">
        <w:rPr>
          <w:lang w:val="en-AU"/>
        </w:rPr>
        <w:t>: Results for the primary composite outcome of time to first cardiovascular death or hospitalisation for HF (adjudicated) from the EMPEROR-Preserved trial (ITT)</w:t>
      </w:r>
      <w:bookmarkEnd w:id="29"/>
    </w:p>
    <w:tbl>
      <w:tblPr>
        <w:tblStyle w:val="TableGrid"/>
        <w:tblW w:w="5000" w:type="pct"/>
        <w:tblLook w:val="04A0" w:firstRow="1" w:lastRow="0" w:firstColumn="1" w:lastColumn="0" w:noHBand="0" w:noVBand="1"/>
      </w:tblPr>
      <w:tblGrid>
        <w:gridCol w:w="4106"/>
        <w:gridCol w:w="1637"/>
        <w:gridCol w:w="1637"/>
        <w:gridCol w:w="1637"/>
      </w:tblGrid>
      <w:tr w:rsidR="009E233C" w:rsidRPr="003A235D" w14:paraId="04872067" w14:textId="77777777" w:rsidTr="00AE14F4">
        <w:trPr>
          <w:tblHeader/>
        </w:trPr>
        <w:tc>
          <w:tcPr>
            <w:tcW w:w="4106" w:type="dxa"/>
            <w:vAlign w:val="center"/>
          </w:tcPr>
          <w:p w14:paraId="723B0124" w14:textId="77777777" w:rsidR="009E233C" w:rsidRPr="003A235D" w:rsidRDefault="009E233C" w:rsidP="00AE14F4">
            <w:pPr>
              <w:keepNext/>
              <w:tabs>
                <w:tab w:val="left" w:pos="164"/>
              </w:tabs>
              <w:ind w:right="-55"/>
              <w:rPr>
                <w:rFonts w:ascii="Arial Narrow" w:hAnsi="Arial Narrow"/>
                <w:sz w:val="20"/>
                <w:szCs w:val="20"/>
              </w:rPr>
            </w:pPr>
            <w:r w:rsidRPr="003A235D">
              <w:rPr>
                <w:rFonts w:ascii="Arial Narrow" w:hAnsi="Arial Narrow"/>
                <w:b/>
                <w:bCs/>
                <w:sz w:val="20"/>
                <w:szCs w:val="20"/>
              </w:rPr>
              <w:t>Outcome</w:t>
            </w:r>
          </w:p>
        </w:tc>
        <w:tc>
          <w:tcPr>
            <w:tcW w:w="1637" w:type="dxa"/>
          </w:tcPr>
          <w:p w14:paraId="5CA7BF95" w14:textId="77777777" w:rsidR="009E233C" w:rsidRPr="003A235D" w:rsidRDefault="009E233C" w:rsidP="00AE14F4">
            <w:pPr>
              <w:pStyle w:val="TableText"/>
              <w:ind w:left="-71" w:right="-62"/>
              <w:jc w:val="center"/>
              <w:rPr>
                <w:b/>
                <w:bCs w:val="0"/>
                <w:szCs w:val="20"/>
              </w:rPr>
            </w:pPr>
            <w:r w:rsidRPr="003A235D">
              <w:rPr>
                <w:b/>
                <w:bCs w:val="0"/>
                <w:szCs w:val="20"/>
              </w:rPr>
              <w:t>Empagliflozin</w:t>
            </w:r>
          </w:p>
          <w:p w14:paraId="2A6D9A8F" w14:textId="77777777" w:rsidR="009E233C" w:rsidRPr="003A235D" w:rsidRDefault="009E233C" w:rsidP="00AE14F4">
            <w:pPr>
              <w:pStyle w:val="TableText"/>
              <w:ind w:left="-71" w:right="-62"/>
              <w:jc w:val="center"/>
              <w:rPr>
                <w:szCs w:val="20"/>
              </w:rPr>
            </w:pPr>
            <w:r w:rsidRPr="003A235D">
              <w:rPr>
                <w:b/>
                <w:szCs w:val="20"/>
              </w:rPr>
              <w:t>N=</w:t>
            </w:r>
            <w:r w:rsidRPr="003A235D">
              <w:rPr>
                <w:b/>
                <w:bCs w:val="0"/>
                <w:szCs w:val="20"/>
              </w:rPr>
              <w:t>2,997, n (%)</w:t>
            </w:r>
          </w:p>
        </w:tc>
        <w:tc>
          <w:tcPr>
            <w:tcW w:w="1637" w:type="dxa"/>
          </w:tcPr>
          <w:p w14:paraId="49CF3B36" w14:textId="77777777" w:rsidR="009E233C" w:rsidRPr="003A235D" w:rsidRDefault="009E233C" w:rsidP="00AE14F4">
            <w:pPr>
              <w:keepNext/>
              <w:ind w:left="-71" w:right="-62"/>
              <w:jc w:val="center"/>
              <w:rPr>
                <w:rFonts w:ascii="Arial Narrow" w:hAnsi="Arial Narrow"/>
                <w:sz w:val="20"/>
                <w:szCs w:val="20"/>
              </w:rPr>
            </w:pPr>
            <w:r w:rsidRPr="003A235D">
              <w:rPr>
                <w:rFonts w:ascii="Arial Narrow" w:hAnsi="Arial Narrow"/>
                <w:b/>
                <w:bCs/>
                <w:sz w:val="20"/>
                <w:szCs w:val="20"/>
              </w:rPr>
              <w:t>Placebo</w:t>
            </w:r>
            <w:r w:rsidRPr="003A235D">
              <w:rPr>
                <w:rFonts w:ascii="Arial Narrow" w:hAnsi="Arial Narrow"/>
                <w:b/>
                <w:bCs/>
                <w:sz w:val="20"/>
                <w:szCs w:val="20"/>
              </w:rPr>
              <w:br/>
              <w:t>N=2,991, n (%)</w:t>
            </w:r>
          </w:p>
        </w:tc>
        <w:tc>
          <w:tcPr>
            <w:tcW w:w="1637" w:type="dxa"/>
          </w:tcPr>
          <w:p w14:paraId="2E1F6999" w14:textId="77777777" w:rsidR="009E233C" w:rsidRPr="003A235D" w:rsidRDefault="009E233C" w:rsidP="00AE14F4">
            <w:pPr>
              <w:pStyle w:val="TableText"/>
              <w:ind w:left="-71" w:right="-62"/>
              <w:jc w:val="center"/>
              <w:rPr>
                <w:b/>
                <w:bCs w:val="0"/>
                <w:szCs w:val="20"/>
              </w:rPr>
            </w:pPr>
            <w:r w:rsidRPr="003A235D">
              <w:rPr>
                <w:b/>
                <w:bCs w:val="0"/>
                <w:szCs w:val="20"/>
              </w:rPr>
              <w:t>Hazard ratio</w:t>
            </w:r>
          </w:p>
          <w:p w14:paraId="0622EA67" w14:textId="77777777" w:rsidR="009E233C" w:rsidRPr="003A235D" w:rsidRDefault="009E233C" w:rsidP="00AE14F4">
            <w:pPr>
              <w:keepNext/>
              <w:ind w:left="-71" w:right="-62"/>
              <w:jc w:val="center"/>
              <w:rPr>
                <w:rFonts w:ascii="Arial Narrow" w:hAnsi="Arial Narrow"/>
                <w:sz w:val="20"/>
                <w:szCs w:val="20"/>
                <w:vertAlign w:val="superscript"/>
              </w:rPr>
            </w:pPr>
            <w:r w:rsidRPr="003A235D">
              <w:rPr>
                <w:rFonts w:ascii="Arial Narrow" w:hAnsi="Arial Narrow"/>
                <w:b/>
                <w:bCs/>
                <w:sz w:val="20"/>
                <w:szCs w:val="20"/>
              </w:rPr>
              <w:t>(95.03% CI)</w:t>
            </w:r>
            <w:r w:rsidRPr="003A235D">
              <w:rPr>
                <w:rFonts w:ascii="Arial Narrow" w:hAnsi="Arial Narrow"/>
                <w:b/>
                <w:bCs/>
                <w:sz w:val="20"/>
                <w:szCs w:val="20"/>
                <w:vertAlign w:val="superscript"/>
              </w:rPr>
              <w:t>a</w:t>
            </w:r>
          </w:p>
        </w:tc>
      </w:tr>
      <w:tr w:rsidR="009E233C" w:rsidRPr="003A235D" w14:paraId="0E3F9AA0" w14:textId="77777777" w:rsidTr="00AE14F4">
        <w:trPr>
          <w:trHeight w:val="101"/>
        </w:trPr>
        <w:tc>
          <w:tcPr>
            <w:tcW w:w="4106" w:type="dxa"/>
            <w:vAlign w:val="center"/>
          </w:tcPr>
          <w:p w14:paraId="4EF2BE9F" w14:textId="77777777" w:rsidR="009E233C" w:rsidRPr="003A235D" w:rsidRDefault="009E233C" w:rsidP="00AE14F4">
            <w:pPr>
              <w:pStyle w:val="TableText"/>
              <w:tabs>
                <w:tab w:val="left" w:pos="164"/>
              </w:tabs>
              <w:ind w:right="-55"/>
              <w:rPr>
                <w:szCs w:val="20"/>
              </w:rPr>
            </w:pPr>
            <w:r w:rsidRPr="003A235D">
              <w:t xml:space="preserve">Composite of time to CV death or HHF </w:t>
            </w:r>
            <w:r w:rsidRPr="003A235D">
              <w:rPr>
                <w:vertAlign w:val="superscript"/>
              </w:rPr>
              <w:t>b</w:t>
            </w:r>
          </w:p>
        </w:tc>
        <w:tc>
          <w:tcPr>
            <w:tcW w:w="1637" w:type="dxa"/>
            <w:vAlign w:val="center"/>
          </w:tcPr>
          <w:p w14:paraId="5187C43C" w14:textId="77777777" w:rsidR="009E233C" w:rsidRPr="003A235D" w:rsidRDefault="009E233C" w:rsidP="00AE14F4">
            <w:pPr>
              <w:keepNext/>
              <w:ind w:left="-74" w:right="-62"/>
              <w:jc w:val="center"/>
              <w:rPr>
                <w:rFonts w:ascii="Arial Narrow" w:hAnsi="Arial Narrow"/>
                <w:sz w:val="20"/>
                <w:szCs w:val="20"/>
              </w:rPr>
            </w:pPr>
            <w:r w:rsidRPr="003A235D">
              <w:rPr>
                <w:rFonts w:ascii="Arial Narrow" w:hAnsi="Arial Narrow"/>
                <w:sz w:val="20"/>
                <w:szCs w:val="20"/>
              </w:rPr>
              <w:t>415 (13.8)</w:t>
            </w:r>
          </w:p>
        </w:tc>
        <w:tc>
          <w:tcPr>
            <w:tcW w:w="1637" w:type="dxa"/>
            <w:vAlign w:val="center"/>
          </w:tcPr>
          <w:p w14:paraId="60800FE8" w14:textId="77777777" w:rsidR="009E233C" w:rsidRPr="003A235D" w:rsidRDefault="009E233C" w:rsidP="00AE14F4">
            <w:pPr>
              <w:keepNext/>
              <w:ind w:left="-74" w:right="-62"/>
              <w:jc w:val="center"/>
              <w:rPr>
                <w:rFonts w:ascii="Arial Narrow" w:hAnsi="Arial Narrow"/>
                <w:sz w:val="20"/>
                <w:szCs w:val="20"/>
              </w:rPr>
            </w:pPr>
            <w:r w:rsidRPr="003A235D">
              <w:rPr>
                <w:rFonts w:ascii="Arial Narrow" w:hAnsi="Arial Narrow"/>
                <w:sz w:val="20"/>
                <w:szCs w:val="20"/>
              </w:rPr>
              <w:t>511 (17.1)</w:t>
            </w:r>
          </w:p>
        </w:tc>
        <w:tc>
          <w:tcPr>
            <w:tcW w:w="1637" w:type="dxa"/>
            <w:vAlign w:val="center"/>
          </w:tcPr>
          <w:p w14:paraId="2BEF1684" w14:textId="77777777" w:rsidR="009E233C" w:rsidRPr="003A235D" w:rsidRDefault="009E233C" w:rsidP="00AE14F4">
            <w:pPr>
              <w:pStyle w:val="TableText"/>
              <w:ind w:left="-71" w:right="-62"/>
              <w:jc w:val="center"/>
              <w:rPr>
                <w:b/>
                <w:szCs w:val="20"/>
              </w:rPr>
            </w:pPr>
            <w:r w:rsidRPr="003A235D">
              <w:rPr>
                <w:b/>
                <w:szCs w:val="20"/>
              </w:rPr>
              <w:t>0.79 (0.69, 0.90)</w:t>
            </w:r>
          </w:p>
        </w:tc>
      </w:tr>
      <w:tr w:rsidR="009E233C" w:rsidRPr="003A235D" w14:paraId="6B08CF43" w14:textId="77777777" w:rsidTr="00AE14F4">
        <w:trPr>
          <w:trHeight w:val="77"/>
        </w:trPr>
        <w:tc>
          <w:tcPr>
            <w:tcW w:w="4106" w:type="dxa"/>
            <w:vAlign w:val="center"/>
          </w:tcPr>
          <w:p w14:paraId="391BA958" w14:textId="77777777" w:rsidR="009E233C" w:rsidRPr="003A235D" w:rsidRDefault="009E233C" w:rsidP="00AE14F4">
            <w:pPr>
              <w:keepNext/>
              <w:tabs>
                <w:tab w:val="left" w:pos="164"/>
              </w:tabs>
              <w:ind w:right="-55"/>
              <w:rPr>
                <w:rFonts w:ascii="Arial Narrow" w:hAnsi="Arial Narrow"/>
                <w:sz w:val="20"/>
                <w:szCs w:val="20"/>
              </w:rPr>
            </w:pPr>
            <w:r w:rsidRPr="003A235D">
              <w:rPr>
                <w:rFonts w:ascii="Arial Narrow" w:hAnsi="Arial Narrow"/>
                <w:sz w:val="20"/>
                <w:szCs w:val="20"/>
              </w:rPr>
              <w:t>- HHF as the first event</w:t>
            </w:r>
          </w:p>
        </w:tc>
        <w:tc>
          <w:tcPr>
            <w:tcW w:w="1637" w:type="dxa"/>
            <w:vAlign w:val="center"/>
          </w:tcPr>
          <w:p w14:paraId="753C57CD" w14:textId="77777777" w:rsidR="009E233C" w:rsidRPr="003A235D" w:rsidRDefault="009E233C" w:rsidP="00AE14F4">
            <w:pPr>
              <w:keepNext/>
              <w:ind w:left="-74" w:right="-62"/>
              <w:jc w:val="center"/>
              <w:rPr>
                <w:rFonts w:ascii="Arial Narrow" w:hAnsi="Arial Narrow"/>
                <w:sz w:val="20"/>
                <w:szCs w:val="20"/>
              </w:rPr>
            </w:pPr>
            <w:r w:rsidRPr="003A235D">
              <w:rPr>
                <w:rFonts w:ascii="Arial Narrow" w:hAnsi="Arial Narrow"/>
                <w:sz w:val="20"/>
                <w:szCs w:val="20"/>
              </w:rPr>
              <w:t>258 (8.6)</w:t>
            </w:r>
          </w:p>
        </w:tc>
        <w:tc>
          <w:tcPr>
            <w:tcW w:w="1637" w:type="dxa"/>
            <w:vAlign w:val="center"/>
          </w:tcPr>
          <w:p w14:paraId="27015493" w14:textId="77777777" w:rsidR="009E233C" w:rsidRPr="003A235D" w:rsidRDefault="009E233C" w:rsidP="00AE14F4">
            <w:pPr>
              <w:keepNext/>
              <w:ind w:left="-74" w:right="-62"/>
              <w:jc w:val="center"/>
              <w:rPr>
                <w:rFonts w:ascii="Arial Narrow" w:hAnsi="Arial Narrow"/>
                <w:sz w:val="20"/>
                <w:szCs w:val="20"/>
              </w:rPr>
            </w:pPr>
            <w:r w:rsidRPr="003A235D">
              <w:rPr>
                <w:rFonts w:ascii="Arial Narrow" w:hAnsi="Arial Narrow"/>
                <w:sz w:val="20"/>
                <w:szCs w:val="20"/>
              </w:rPr>
              <w:t>352 (11.8)</w:t>
            </w:r>
          </w:p>
        </w:tc>
        <w:tc>
          <w:tcPr>
            <w:tcW w:w="1637" w:type="dxa"/>
            <w:vAlign w:val="center"/>
          </w:tcPr>
          <w:p w14:paraId="7916640A" w14:textId="77777777" w:rsidR="009E233C" w:rsidRPr="003A235D" w:rsidRDefault="009E233C" w:rsidP="00AE14F4">
            <w:pPr>
              <w:keepNext/>
              <w:ind w:left="-71" w:right="-62"/>
              <w:jc w:val="center"/>
              <w:rPr>
                <w:rFonts w:ascii="Arial Narrow" w:hAnsi="Arial Narrow"/>
                <w:sz w:val="20"/>
                <w:szCs w:val="20"/>
              </w:rPr>
            </w:pPr>
            <w:r w:rsidRPr="003A235D">
              <w:rPr>
                <w:rFonts w:ascii="Arial Narrow" w:hAnsi="Arial Narrow"/>
                <w:sz w:val="20"/>
                <w:szCs w:val="20"/>
              </w:rPr>
              <w:t>-</w:t>
            </w:r>
          </w:p>
        </w:tc>
      </w:tr>
      <w:tr w:rsidR="009E233C" w:rsidRPr="003A235D" w14:paraId="11BD47C6" w14:textId="77777777" w:rsidTr="00AE14F4">
        <w:tc>
          <w:tcPr>
            <w:tcW w:w="4106" w:type="dxa"/>
            <w:vAlign w:val="center"/>
          </w:tcPr>
          <w:p w14:paraId="4C043274" w14:textId="77777777" w:rsidR="009E233C" w:rsidRPr="003A235D" w:rsidRDefault="009E233C" w:rsidP="00AE14F4">
            <w:pPr>
              <w:keepNext/>
              <w:tabs>
                <w:tab w:val="left" w:pos="164"/>
              </w:tabs>
              <w:ind w:right="-55"/>
              <w:rPr>
                <w:rFonts w:ascii="Arial Narrow" w:hAnsi="Arial Narrow"/>
                <w:sz w:val="20"/>
                <w:szCs w:val="20"/>
              </w:rPr>
            </w:pPr>
            <w:r w:rsidRPr="003A235D">
              <w:rPr>
                <w:rFonts w:ascii="Arial Narrow" w:hAnsi="Arial Narrow"/>
                <w:sz w:val="20"/>
                <w:szCs w:val="20"/>
              </w:rPr>
              <w:t>- CV death as the first event</w:t>
            </w:r>
          </w:p>
        </w:tc>
        <w:tc>
          <w:tcPr>
            <w:tcW w:w="1637" w:type="dxa"/>
            <w:vAlign w:val="center"/>
          </w:tcPr>
          <w:p w14:paraId="58106262" w14:textId="77777777" w:rsidR="009E233C" w:rsidRPr="003A235D" w:rsidRDefault="009E233C" w:rsidP="00AE14F4">
            <w:pPr>
              <w:keepNext/>
              <w:ind w:left="-74" w:right="-62"/>
              <w:jc w:val="center"/>
              <w:rPr>
                <w:rFonts w:ascii="Arial Narrow" w:hAnsi="Arial Narrow"/>
                <w:sz w:val="20"/>
                <w:szCs w:val="20"/>
              </w:rPr>
            </w:pPr>
            <w:r w:rsidRPr="003A235D">
              <w:rPr>
                <w:rFonts w:ascii="Arial Narrow" w:hAnsi="Arial Narrow"/>
                <w:sz w:val="20"/>
                <w:szCs w:val="20"/>
              </w:rPr>
              <w:t>156 (5.2)</w:t>
            </w:r>
          </w:p>
        </w:tc>
        <w:tc>
          <w:tcPr>
            <w:tcW w:w="1637" w:type="dxa"/>
            <w:vAlign w:val="center"/>
          </w:tcPr>
          <w:p w14:paraId="079B2611" w14:textId="77777777" w:rsidR="009E233C" w:rsidRPr="003A235D" w:rsidRDefault="009E233C" w:rsidP="00AE14F4">
            <w:pPr>
              <w:keepNext/>
              <w:ind w:left="-74" w:right="-62"/>
              <w:jc w:val="center"/>
              <w:rPr>
                <w:rFonts w:ascii="Arial Narrow" w:hAnsi="Arial Narrow"/>
                <w:sz w:val="20"/>
                <w:szCs w:val="20"/>
              </w:rPr>
            </w:pPr>
            <w:r w:rsidRPr="003A235D">
              <w:rPr>
                <w:rFonts w:ascii="Arial Narrow" w:hAnsi="Arial Narrow"/>
                <w:sz w:val="20"/>
                <w:szCs w:val="20"/>
              </w:rPr>
              <w:t>159 (5.3)</w:t>
            </w:r>
          </w:p>
        </w:tc>
        <w:tc>
          <w:tcPr>
            <w:tcW w:w="1637" w:type="dxa"/>
            <w:vAlign w:val="center"/>
          </w:tcPr>
          <w:p w14:paraId="66101332" w14:textId="77777777" w:rsidR="009E233C" w:rsidRPr="003A235D" w:rsidRDefault="009E233C" w:rsidP="00AE14F4">
            <w:pPr>
              <w:keepNext/>
              <w:ind w:left="-71" w:right="-62"/>
              <w:jc w:val="center"/>
              <w:rPr>
                <w:rFonts w:ascii="Arial Narrow" w:hAnsi="Arial Narrow"/>
                <w:sz w:val="20"/>
                <w:szCs w:val="20"/>
              </w:rPr>
            </w:pPr>
            <w:r w:rsidRPr="003A235D">
              <w:rPr>
                <w:rFonts w:ascii="Arial Narrow" w:hAnsi="Arial Narrow"/>
                <w:sz w:val="20"/>
                <w:szCs w:val="20"/>
              </w:rPr>
              <w:t>-</w:t>
            </w:r>
          </w:p>
        </w:tc>
      </w:tr>
      <w:tr w:rsidR="009E233C" w:rsidRPr="003A235D" w14:paraId="6E3E98FB" w14:textId="77777777" w:rsidTr="00AE14F4">
        <w:tc>
          <w:tcPr>
            <w:tcW w:w="4106" w:type="dxa"/>
            <w:vAlign w:val="center"/>
          </w:tcPr>
          <w:p w14:paraId="25772BE8" w14:textId="77777777" w:rsidR="009E233C" w:rsidRPr="003A235D" w:rsidRDefault="009E233C" w:rsidP="00AE14F4">
            <w:pPr>
              <w:keepNext/>
              <w:tabs>
                <w:tab w:val="left" w:pos="164"/>
              </w:tabs>
              <w:ind w:right="-55"/>
              <w:rPr>
                <w:rFonts w:ascii="Arial Narrow" w:hAnsi="Arial Narrow"/>
                <w:sz w:val="20"/>
                <w:szCs w:val="20"/>
              </w:rPr>
            </w:pPr>
            <w:r w:rsidRPr="003A235D">
              <w:rPr>
                <w:rFonts w:ascii="Arial Narrow" w:hAnsi="Arial Narrow"/>
                <w:sz w:val="20"/>
                <w:szCs w:val="20"/>
              </w:rPr>
              <w:t>- both events on same day</w:t>
            </w:r>
          </w:p>
        </w:tc>
        <w:tc>
          <w:tcPr>
            <w:tcW w:w="1637" w:type="dxa"/>
            <w:vAlign w:val="center"/>
          </w:tcPr>
          <w:p w14:paraId="67DC26DD" w14:textId="77777777" w:rsidR="009E233C" w:rsidRPr="003A235D" w:rsidRDefault="009E233C" w:rsidP="00AE14F4">
            <w:pPr>
              <w:keepNext/>
              <w:ind w:left="-74" w:right="-62"/>
              <w:jc w:val="center"/>
              <w:rPr>
                <w:rFonts w:ascii="Arial Narrow" w:hAnsi="Arial Narrow"/>
                <w:sz w:val="20"/>
                <w:szCs w:val="20"/>
              </w:rPr>
            </w:pPr>
            <w:r w:rsidRPr="003A235D">
              <w:rPr>
                <w:rFonts w:ascii="Arial Narrow" w:hAnsi="Arial Narrow"/>
                <w:sz w:val="20"/>
                <w:szCs w:val="20"/>
              </w:rPr>
              <w:t>1 (&lt;0.1)</w:t>
            </w:r>
          </w:p>
        </w:tc>
        <w:tc>
          <w:tcPr>
            <w:tcW w:w="1637" w:type="dxa"/>
            <w:vAlign w:val="center"/>
          </w:tcPr>
          <w:p w14:paraId="03CBE659" w14:textId="77777777" w:rsidR="009E233C" w:rsidRPr="003A235D" w:rsidRDefault="009E233C" w:rsidP="00AE14F4">
            <w:pPr>
              <w:keepNext/>
              <w:ind w:left="-74" w:right="-62"/>
              <w:jc w:val="center"/>
              <w:rPr>
                <w:rFonts w:ascii="Arial Narrow" w:hAnsi="Arial Narrow"/>
                <w:sz w:val="20"/>
                <w:szCs w:val="20"/>
              </w:rPr>
            </w:pPr>
            <w:r w:rsidRPr="003A235D">
              <w:rPr>
                <w:rFonts w:ascii="Arial Narrow" w:hAnsi="Arial Narrow"/>
                <w:sz w:val="20"/>
                <w:szCs w:val="20"/>
              </w:rPr>
              <w:t>0</w:t>
            </w:r>
          </w:p>
        </w:tc>
        <w:tc>
          <w:tcPr>
            <w:tcW w:w="1637" w:type="dxa"/>
            <w:vAlign w:val="center"/>
          </w:tcPr>
          <w:p w14:paraId="405093B0" w14:textId="77777777" w:rsidR="009E233C" w:rsidRPr="003A235D" w:rsidRDefault="009E233C" w:rsidP="00AE14F4">
            <w:pPr>
              <w:keepNext/>
              <w:ind w:left="-71" w:right="-62"/>
              <w:jc w:val="center"/>
              <w:rPr>
                <w:rFonts w:ascii="Arial Narrow" w:hAnsi="Arial Narrow"/>
                <w:sz w:val="20"/>
                <w:szCs w:val="20"/>
              </w:rPr>
            </w:pPr>
            <w:r w:rsidRPr="003A235D">
              <w:rPr>
                <w:rFonts w:ascii="Arial Narrow" w:hAnsi="Arial Narrow"/>
                <w:sz w:val="20"/>
                <w:szCs w:val="20"/>
              </w:rPr>
              <w:t>-</w:t>
            </w:r>
          </w:p>
        </w:tc>
      </w:tr>
    </w:tbl>
    <w:p w14:paraId="727FD169" w14:textId="77777777" w:rsidR="009E233C" w:rsidRPr="003A235D" w:rsidRDefault="009E233C" w:rsidP="009E233C">
      <w:pPr>
        <w:pStyle w:val="COMTablefooter"/>
      </w:pPr>
      <w:r w:rsidRPr="003A235D">
        <w:t>Source: Table 2.19, p85 of the submission.</w:t>
      </w:r>
    </w:p>
    <w:p w14:paraId="2C91AFA4" w14:textId="77777777" w:rsidR="009E233C" w:rsidRPr="003A235D" w:rsidRDefault="009E233C" w:rsidP="009E233C">
      <w:pPr>
        <w:pStyle w:val="COMTablefooter"/>
      </w:pPr>
      <w:r w:rsidRPr="003A235D">
        <w:t>Abbreviations: CV, cardiovascular; HHF, hospitalisation for heart failure; ITT, intention to treat.</w:t>
      </w:r>
    </w:p>
    <w:p w14:paraId="6C0C0237" w14:textId="77777777" w:rsidR="009E233C" w:rsidRPr="003A235D" w:rsidRDefault="009E233C" w:rsidP="009E233C">
      <w:pPr>
        <w:pStyle w:val="COMTablefooter"/>
      </w:pPr>
      <w:r w:rsidRPr="003A235D">
        <w:rPr>
          <w:vertAlign w:val="superscript"/>
        </w:rPr>
        <w:t>a</w:t>
      </w:r>
      <w:r w:rsidRPr="003A235D">
        <w:t xml:space="preserve"> Hazard ratios &lt;1 favour empagliflozin. Statistically significant results in bold. 95.03% CI based on reduced 2-sided α level of 0.0497 resulting from interim analysis.</w:t>
      </w:r>
    </w:p>
    <w:p w14:paraId="23BDD771" w14:textId="77777777" w:rsidR="009E233C" w:rsidRPr="003A235D" w:rsidRDefault="009E233C" w:rsidP="009E233C">
      <w:pPr>
        <w:pStyle w:val="COMTablefooter"/>
      </w:pPr>
      <w:r w:rsidRPr="003A235D">
        <w:rPr>
          <w:vertAlign w:val="superscript"/>
        </w:rPr>
        <w:t>b</w:t>
      </w:r>
      <w:r w:rsidRPr="003A235D">
        <w:t xml:space="preserve"> Cox regression model included factors age, baseline eGFR, region, baseline diabetes status, sex, baseline LVEF, and treatment.</w:t>
      </w:r>
    </w:p>
    <w:p w14:paraId="44FECD69" w14:textId="22570969" w:rsidR="009E233C" w:rsidRPr="003A235D" w:rsidRDefault="009E233C" w:rsidP="00A41DEF">
      <w:pPr>
        <w:pStyle w:val="ExecSumBodyText"/>
        <w:numPr>
          <w:ilvl w:val="1"/>
          <w:numId w:val="1"/>
        </w:numPr>
      </w:pPr>
      <w:bookmarkStart w:id="31" w:name="_Ref116565032"/>
      <w:bookmarkEnd w:id="30"/>
      <w:r w:rsidRPr="003A235D">
        <w:t xml:space="preserve">Treatment with empagliflozin was associated with a statistically significant improvement in the primary composite endpoint of time to cardiovascular death, or hospitalisation for heart failure compared to placebo (hazard ratio: 0.79; 95% CI 0.69, 0.90), over a median duration of </w:t>
      </w:r>
      <w:r w:rsidR="005F4E48" w:rsidRPr="003A235D">
        <w:t>follow-up</w:t>
      </w:r>
      <w:r w:rsidRPr="003A235D">
        <w:t xml:space="preserve"> of </w:t>
      </w:r>
      <w:r w:rsidR="006B60DC" w:rsidRPr="003A235D">
        <w:t xml:space="preserve">26 </w:t>
      </w:r>
      <w:r w:rsidRPr="003A235D">
        <w:t xml:space="preserve">months. The submission noted that the hazard ratio falls within the range the PBAC has previously considered to be clinically meaningful for patients with LVEF ≤40%. </w:t>
      </w:r>
      <w:r w:rsidR="008471D6" w:rsidRPr="003A235D">
        <w:t xml:space="preserve"> However, the ESC noted that the </w:t>
      </w:r>
      <w:r w:rsidR="008471D6" w:rsidRPr="003A235D">
        <w:lastRenderedPageBreak/>
        <w:t>absolute risk reduction in the primary composite endpoint (3.</w:t>
      </w:r>
      <w:r w:rsidR="003D06C9" w:rsidRPr="003A235D">
        <w:t>2</w:t>
      </w:r>
      <w:r w:rsidR="008471D6" w:rsidRPr="003A235D">
        <w:t xml:space="preserve">% over a median </w:t>
      </w:r>
      <w:r w:rsidR="00E96DFA" w:rsidRPr="003A235D">
        <w:t>follow-up</w:t>
      </w:r>
      <w:r w:rsidR="008471D6" w:rsidRPr="003A235D">
        <w:t xml:space="preserve"> of </w:t>
      </w:r>
      <w:r w:rsidR="00136A8A" w:rsidRPr="003A235D">
        <w:t>26</w:t>
      </w:r>
      <w:r w:rsidR="008471D6" w:rsidRPr="003A235D">
        <w:t xml:space="preserve"> months</w:t>
      </w:r>
      <w:r w:rsidR="003D06C9" w:rsidRPr="003A235D">
        <w:t xml:space="preserve">; </w:t>
      </w:r>
      <w:r w:rsidR="003D06C9" w:rsidRPr="003A235D">
        <w:fldChar w:fldCharType="begin" w:fldLock="1"/>
      </w:r>
      <w:r w:rsidR="003D06C9" w:rsidRPr="003A235D">
        <w:instrText xml:space="preserve"> REF _Ref111129804 \h </w:instrText>
      </w:r>
      <w:r w:rsidR="00B70497" w:rsidRPr="003A235D">
        <w:instrText xml:space="preserve"> \* MERGEFORMAT </w:instrText>
      </w:r>
      <w:r w:rsidR="003D06C9" w:rsidRPr="003A235D">
        <w:fldChar w:fldCharType="separate"/>
      </w:r>
      <w:r w:rsidR="004646F5" w:rsidRPr="003A235D">
        <w:t>Table 4</w:t>
      </w:r>
      <w:r w:rsidR="003D06C9" w:rsidRPr="003A235D">
        <w:fldChar w:fldCharType="end"/>
      </w:r>
      <w:r w:rsidR="008471D6" w:rsidRPr="003A235D">
        <w:t xml:space="preserve">) </w:t>
      </w:r>
      <w:r w:rsidR="003D06C9" w:rsidRPr="003A235D">
        <w:t>was</w:t>
      </w:r>
      <w:r w:rsidR="008471D6" w:rsidRPr="003A235D">
        <w:t xml:space="preserve"> lower than for the HFrEF population for empagliflozin in EMPEROR-Reduced (5.3% over a median </w:t>
      </w:r>
      <w:r w:rsidR="00817BBE" w:rsidRPr="003A235D">
        <w:t xml:space="preserve">duration of follow-up </w:t>
      </w:r>
      <w:r w:rsidR="008471D6" w:rsidRPr="003A235D">
        <w:t>of 16 months</w:t>
      </w:r>
      <w:r w:rsidR="00817BBE" w:rsidRPr="003A235D">
        <w:t>. Table 4, empagliflozin, PSD, November 2021 PBAC meeting</w:t>
      </w:r>
      <w:r w:rsidR="008471D6" w:rsidRPr="003A235D">
        <w:t>).</w:t>
      </w:r>
      <w:r w:rsidR="003B67C8" w:rsidRPr="003A235D">
        <w:t xml:space="preserve">  The ESC noted that this represented a more modest treatment effect in the HFmrEF/HFpEF population</w:t>
      </w:r>
      <w:r w:rsidR="00817BBE" w:rsidRPr="003A235D">
        <w:t xml:space="preserve"> compared with the HFrEF population</w:t>
      </w:r>
      <w:r w:rsidR="003B67C8" w:rsidRPr="003A235D">
        <w:t>.</w:t>
      </w:r>
      <w:bookmarkEnd w:id="31"/>
    </w:p>
    <w:p w14:paraId="5D904F75" w14:textId="3C191402" w:rsidR="00CD25D4" w:rsidRPr="003A235D" w:rsidRDefault="00DD1F9C" w:rsidP="00A41DEF">
      <w:pPr>
        <w:pStyle w:val="ExecSumBodyText"/>
        <w:numPr>
          <w:ilvl w:val="1"/>
          <w:numId w:val="1"/>
        </w:numPr>
      </w:pPr>
      <w:r w:rsidRPr="003A235D">
        <w:fldChar w:fldCharType="begin" w:fldLock="1"/>
      </w:r>
      <w:r w:rsidRPr="003A235D">
        <w:instrText xml:space="preserve"> REF _Ref111130013 \h </w:instrText>
      </w:r>
      <w:r w:rsidR="00A41DEF" w:rsidRPr="003A235D">
        <w:instrText xml:space="preserve"> \* MERGEFORMAT </w:instrText>
      </w:r>
      <w:r w:rsidRPr="003A235D">
        <w:fldChar w:fldCharType="separate"/>
      </w:r>
      <w:r w:rsidR="004646F5" w:rsidRPr="003A235D">
        <w:t>Table 5</w:t>
      </w:r>
      <w:r w:rsidRPr="003A235D">
        <w:fldChar w:fldCharType="end"/>
      </w:r>
      <w:r w:rsidRPr="003A235D">
        <w:t xml:space="preserve"> </w:t>
      </w:r>
      <w:r w:rsidR="00CD25D4" w:rsidRPr="003A235D">
        <w:t>summarises the results of the key secondary outcome, occurrence of adjudicated hospitalisation (first and recurrent) for heart failure. This outcome was evaluated with a joint frailty model that accounted for the dependence between recurrent hospitalisation for heart failure and cardiovascular death, and was based on all data up to the end of the planned treatment period from all randomised patients.</w:t>
      </w:r>
    </w:p>
    <w:p w14:paraId="636849BD" w14:textId="53DB28FD" w:rsidR="00CB391A" w:rsidRPr="003A235D" w:rsidRDefault="00CB391A" w:rsidP="00915E41">
      <w:pPr>
        <w:pStyle w:val="Caption"/>
        <w:rPr>
          <w:lang w:val="en-AU"/>
        </w:rPr>
      </w:pPr>
      <w:bookmarkStart w:id="32" w:name="_Ref111130013"/>
      <w:r w:rsidRPr="003A235D">
        <w:rPr>
          <w:lang w:val="en-AU"/>
        </w:rPr>
        <w:t>Table</w:t>
      </w:r>
      <w:r w:rsidR="00915E41" w:rsidRPr="003A235D">
        <w:rPr>
          <w:lang w:val="en-AU"/>
        </w:rPr>
        <w:t xml:space="preserve"> </w:t>
      </w:r>
      <w:r w:rsidR="00915E41" w:rsidRPr="003A235D">
        <w:rPr>
          <w:lang w:val="en-AU"/>
        </w:rPr>
        <w:fldChar w:fldCharType="begin" w:fldLock="1"/>
      </w:r>
      <w:r w:rsidR="00915E41" w:rsidRPr="003A235D">
        <w:rPr>
          <w:lang w:val="en-AU"/>
        </w:rPr>
        <w:instrText xml:space="preserve"> SEQ Table \* ARABIC </w:instrText>
      </w:r>
      <w:r w:rsidR="00915E41" w:rsidRPr="003A235D">
        <w:rPr>
          <w:lang w:val="en-AU"/>
        </w:rPr>
        <w:fldChar w:fldCharType="separate"/>
      </w:r>
      <w:r w:rsidR="004646F5" w:rsidRPr="003A235D">
        <w:rPr>
          <w:lang w:val="en-AU"/>
        </w:rPr>
        <w:t>5</w:t>
      </w:r>
      <w:r w:rsidR="00915E41" w:rsidRPr="003A235D">
        <w:rPr>
          <w:lang w:val="en-AU"/>
        </w:rPr>
        <w:fldChar w:fldCharType="end"/>
      </w:r>
      <w:bookmarkEnd w:id="32"/>
      <w:r w:rsidRPr="003A235D">
        <w:rPr>
          <w:lang w:val="en-AU"/>
        </w:rPr>
        <w:t>: Results for the key secondary outcome</w:t>
      </w:r>
      <w:r w:rsidR="00DD1F9C" w:rsidRPr="003A235D">
        <w:rPr>
          <w:lang w:val="en-AU"/>
        </w:rPr>
        <w:t xml:space="preserve"> of</w:t>
      </w:r>
      <w:r w:rsidRPr="003A235D">
        <w:rPr>
          <w:lang w:val="en-AU"/>
        </w:rPr>
        <w:t xml:space="preserve"> time to hospitalisation for HF (adjudicated) using a frailty model with a competing risk of CV death from the EMPEROR-Preserved trial (ITT)</w:t>
      </w:r>
    </w:p>
    <w:tbl>
      <w:tblPr>
        <w:tblStyle w:val="TableGrid"/>
        <w:tblW w:w="5000" w:type="pct"/>
        <w:tblLook w:val="04A0" w:firstRow="1" w:lastRow="0" w:firstColumn="1" w:lastColumn="0" w:noHBand="0" w:noVBand="1"/>
      </w:tblPr>
      <w:tblGrid>
        <w:gridCol w:w="3957"/>
        <w:gridCol w:w="1686"/>
        <w:gridCol w:w="1687"/>
        <w:gridCol w:w="1687"/>
      </w:tblGrid>
      <w:tr w:rsidR="00CB391A" w:rsidRPr="003A235D" w14:paraId="162AA745" w14:textId="77777777" w:rsidTr="00AE14F4">
        <w:trPr>
          <w:tblHeader/>
        </w:trPr>
        <w:tc>
          <w:tcPr>
            <w:tcW w:w="3957" w:type="dxa"/>
            <w:vAlign w:val="center"/>
          </w:tcPr>
          <w:p w14:paraId="32E1D52B" w14:textId="77777777" w:rsidR="00CB391A" w:rsidRPr="003A235D" w:rsidRDefault="00CB391A" w:rsidP="00AE14F4">
            <w:pPr>
              <w:tabs>
                <w:tab w:val="left" w:pos="164"/>
              </w:tabs>
              <w:ind w:right="-114"/>
              <w:rPr>
                <w:rFonts w:ascii="Arial Narrow" w:hAnsi="Arial Narrow"/>
                <w:sz w:val="20"/>
                <w:szCs w:val="20"/>
              </w:rPr>
            </w:pPr>
            <w:r w:rsidRPr="003A235D">
              <w:rPr>
                <w:rFonts w:ascii="Arial Narrow" w:hAnsi="Arial Narrow"/>
                <w:b/>
                <w:bCs/>
                <w:sz w:val="20"/>
                <w:szCs w:val="20"/>
              </w:rPr>
              <w:t>Outcome</w:t>
            </w:r>
          </w:p>
        </w:tc>
        <w:tc>
          <w:tcPr>
            <w:tcW w:w="1686" w:type="dxa"/>
          </w:tcPr>
          <w:p w14:paraId="1CBB8F9D" w14:textId="77777777" w:rsidR="00CB391A" w:rsidRPr="003A235D" w:rsidRDefault="00CB391A" w:rsidP="00AE14F4">
            <w:pPr>
              <w:pStyle w:val="TableText"/>
              <w:ind w:left="-71" w:right="-62"/>
              <w:jc w:val="center"/>
              <w:rPr>
                <w:b/>
                <w:bCs w:val="0"/>
                <w:szCs w:val="20"/>
              </w:rPr>
            </w:pPr>
            <w:r w:rsidRPr="003A235D">
              <w:rPr>
                <w:b/>
                <w:bCs w:val="0"/>
                <w:szCs w:val="20"/>
              </w:rPr>
              <w:t>Empagliflozin</w:t>
            </w:r>
          </w:p>
          <w:p w14:paraId="62814E54" w14:textId="77777777" w:rsidR="00CB391A" w:rsidRPr="003A235D" w:rsidRDefault="00CB391A" w:rsidP="00AE14F4">
            <w:pPr>
              <w:ind w:left="-71" w:right="-62"/>
              <w:jc w:val="center"/>
              <w:rPr>
                <w:rFonts w:ascii="Arial Narrow" w:hAnsi="Arial Narrow"/>
                <w:sz w:val="20"/>
                <w:szCs w:val="20"/>
              </w:rPr>
            </w:pPr>
            <w:r w:rsidRPr="003A235D">
              <w:rPr>
                <w:rFonts w:ascii="Arial Narrow" w:hAnsi="Arial Narrow"/>
                <w:b/>
                <w:bCs/>
                <w:sz w:val="20"/>
                <w:szCs w:val="20"/>
              </w:rPr>
              <w:t>N=2,997, n (%)</w:t>
            </w:r>
          </w:p>
        </w:tc>
        <w:tc>
          <w:tcPr>
            <w:tcW w:w="1687" w:type="dxa"/>
          </w:tcPr>
          <w:p w14:paraId="15A6D39F" w14:textId="77777777" w:rsidR="00CB391A" w:rsidRPr="003A235D" w:rsidRDefault="00CB391A" w:rsidP="00AE14F4">
            <w:pPr>
              <w:ind w:left="-71" w:right="-62"/>
              <w:jc w:val="center"/>
              <w:rPr>
                <w:rFonts w:ascii="Arial Narrow" w:hAnsi="Arial Narrow"/>
                <w:sz w:val="20"/>
                <w:szCs w:val="20"/>
              </w:rPr>
            </w:pPr>
            <w:r w:rsidRPr="003A235D">
              <w:rPr>
                <w:rFonts w:ascii="Arial Narrow" w:hAnsi="Arial Narrow"/>
                <w:b/>
                <w:bCs/>
                <w:sz w:val="20"/>
                <w:szCs w:val="20"/>
              </w:rPr>
              <w:t>Placebo</w:t>
            </w:r>
            <w:r w:rsidRPr="003A235D">
              <w:rPr>
                <w:rFonts w:ascii="Arial Narrow" w:hAnsi="Arial Narrow"/>
                <w:b/>
                <w:bCs/>
                <w:sz w:val="20"/>
                <w:szCs w:val="20"/>
              </w:rPr>
              <w:br/>
              <w:t>N=2,991, n (%)</w:t>
            </w:r>
          </w:p>
        </w:tc>
        <w:tc>
          <w:tcPr>
            <w:tcW w:w="1687" w:type="dxa"/>
          </w:tcPr>
          <w:p w14:paraId="3C112BD7" w14:textId="77777777" w:rsidR="00CB391A" w:rsidRPr="003A235D" w:rsidRDefault="00CB391A" w:rsidP="00AE14F4">
            <w:pPr>
              <w:pStyle w:val="TableText"/>
              <w:ind w:left="-71" w:right="-62"/>
              <w:jc w:val="center"/>
              <w:rPr>
                <w:b/>
                <w:bCs w:val="0"/>
                <w:szCs w:val="20"/>
              </w:rPr>
            </w:pPr>
            <w:r w:rsidRPr="003A235D">
              <w:rPr>
                <w:b/>
                <w:bCs w:val="0"/>
                <w:szCs w:val="20"/>
              </w:rPr>
              <w:t>Hazard ratio</w:t>
            </w:r>
          </w:p>
          <w:p w14:paraId="79CBAFF8" w14:textId="77777777" w:rsidR="00CB391A" w:rsidRPr="003A235D" w:rsidRDefault="00CB391A" w:rsidP="00AE14F4">
            <w:pPr>
              <w:ind w:left="-71" w:right="-62"/>
              <w:jc w:val="center"/>
              <w:rPr>
                <w:rFonts w:ascii="Arial Narrow" w:hAnsi="Arial Narrow"/>
                <w:sz w:val="20"/>
                <w:szCs w:val="20"/>
                <w:vertAlign w:val="superscript"/>
              </w:rPr>
            </w:pPr>
            <w:r w:rsidRPr="003A235D">
              <w:rPr>
                <w:rFonts w:ascii="Arial Narrow" w:hAnsi="Arial Narrow"/>
                <w:b/>
                <w:bCs/>
                <w:sz w:val="20"/>
                <w:szCs w:val="20"/>
              </w:rPr>
              <w:t>(95% CI)</w:t>
            </w:r>
            <w:r w:rsidRPr="003A235D">
              <w:rPr>
                <w:rFonts w:ascii="Arial Narrow" w:hAnsi="Arial Narrow"/>
                <w:b/>
                <w:bCs/>
                <w:sz w:val="20"/>
                <w:szCs w:val="20"/>
                <w:vertAlign w:val="superscript"/>
              </w:rPr>
              <w:t>a</w:t>
            </w:r>
          </w:p>
        </w:tc>
      </w:tr>
      <w:tr w:rsidR="00CB391A" w:rsidRPr="003A235D" w14:paraId="5DFD8D8F" w14:textId="77777777" w:rsidTr="00AE14F4">
        <w:trPr>
          <w:trHeight w:val="101"/>
        </w:trPr>
        <w:tc>
          <w:tcPr>
            <w:tcW w:w="9017" w:type="dxa"/>
            <w:gridSpan w:val="4"/>
            <w:vAlign w:val="center"/>
          </w:tcPr>
          <w:p w14:paraId="7D5FC460" w14:textId="77777777" w:rsidR="00CB391A" w:rsidRPr="003A235D" w:rsidRDefault="00CB391A" w:rsidP="00AE14F4">
            <w:pPr>
              <w:pStyle w:val="TableText"/>
              <w:ind w:left="-71" w:right="-114"/>
              <w:rPr>
                <w:b/>
                <w:szCs w:val="20"/>
              </w:rPr>
            </w:pPr>
            <w:r w:rsidRPr="003A235D">
              <w:rPr>
                <w:rFonts w:cstheme="minorHAnsi"/>
                <w:b/>
                <w:bCs w:val="0"/>
                <w:szCs w:val="20"/>
              </w:rPr>
              <w:t>Adjudicated HHF (first and recurrent)</w:t>
            </w:r>
            <w:r w:rsidRPr="003A235D">
              <w:rPr>
                <w:rFonts w:cstheme="minorHAnsi"/>
                <w:b/>
                <w:bCs w:val="0"/>
                <w:szCs w:val="20"/>
                <w:vertAlign w:val="superscript"/>
              </w:rPr>
              <w:t>b</w:t>
            </w:r>
            <w:r w:rsidRPr="003A235D">
              <w:rPr>
                <w:rFonts w:cstheme="minorHAnsi"/>
                <w:b/>
                <w:bCs w:val="0"/>
                <w:szCs w:val="20"/>
              </w:rPr>
              <w:t xml:space="preserve"> </w:t>
            </w:r>
            <w:r w:rsidRPr="003A235D">
              <w:rPr>
                <w:b/>
                <w:szCs w:val="20"/>
              </w:rPr>
              <w:t>(joint frailty model)</w:t>
            </w:r>
          </w:p>
        </w:tc>
      </w:tr>
      <w:tr w:rsidR="00CB391A" w:rsidRPr="003A235D" w14:paraId="74F05166" w14:textId="77777777" w:rsidTr="00AE14F4">
        <w:tc>
          <w:tcPr>
            <w:tcW w:w="3957" w:type="dxa"/>
            <w:vAlign w:val="center"/>
          </w:tcPr>
          <w:p w14:paraId="632C9C5C" w14:textId="77777777" w:rsidR="00CB391A" w:rsidRPr="003A235D" w:rsidRDefault="00CB391A" w:rsidP="00AE14F4">
            <w:pPr>
              <w:tabs>
                <w:tab w:val="left" w:pos="164"/>
              </w:tabs>
              <w:ind w:right="-114"/>
              <w:rPr>
                <w:rFonts w:ascii="Arial Narrow" w:hAnsi="Arial Narrow" w:cstheme="minorHAnsi"/>
                <w:bCs/>
                <w:sz w:val="20"/>
                <w:szCs w:val="20"/>
              </w:rPr>
            </w:pPr>
            <w:r w:rsidRPr="003A235D">
              <w:rPr>
                <w:rFonts w:ascii="Arial Narrow" w:hAnsi="Arial Narrow" w:cstheme="minorHAnsi"/>
                <w:bCs/>
                <w:sz w:val="20"/>
                <w:szCs w:val="20"/>
              </w:rPr>
              <w:t>Number of HHF events, n</w:t>
            </w:r>
          </w:p>
        </w:tc>
        <w:tc>
          <w:tcPr>
            <w:tcW w:w="1686" w:type="dxa"/>
            <w:vAlign w:val="center"/>
          </w:tcPr>
          <w:p w14:paraId="41776777" w14:textId="77777777" w:rsidR="00CB391A" w:rsidRPr="003A235D" w:rsidRDefault="00CB391A" w:rsidP="00AE14F4">
            <w:pPr>
              <w:ind w:left="-71" w:right="-62"/>
              <w:jc w:val="center"/>
              <w:rPr>
                <w:rFonts w:ascii="Arial Narrow" w:hAnsi="Arial Narrow" w:cstheme="minorHAnsi"/>
                <w:bCs/>
                <w:sz w:val="20"/>
                <w:szCs w:val="20"/>
              </w:rPr>
            </w:pPr>
            <w:r w:rsidRPr="003A235D">
              <w:rPr>
                <w:rFonts w:ascii="Arial Narrow" w:hAnsi="Arial Narrow" w:cstheme="minorHAnsi"/>
                <w:bCs/>
                <w:sz w:val="20"/>
                <w:szCs w:val="20"/>
              </w:rPr>
              <w:t>407</w:t>
            </w:r>
          </w:p>
        </w:tc>
        <w:tc>
          <w:tcPr>
            <w:tcW w:w="1687" w:type="dxa"/>
            <w:vAlign w:val="center"/>
          </w:tcPr>
          <w:p w14:paraId="1CC9053E" w14:textId="77777777" w:rsidR="00CB391A" w:rsidRPr="003A235D" w:rsidRDefault="00CB391A" w:rsidP="00AE14F4">
            <w:pPr>
              <w:ind w:left="-71" w:right="-62"/>
              <w:jc w:val="center"/>
              <w:rPr>
                <w:rFonts w:ascii="Arial Narrow" w:hAnsi="Arial Narrow" w:cstheme="minorHAnsi"/>
                <w:bCs/>
                <w:sz w:val="20"/>
                <w:szCs w:val="20"/>
              </w:rPr>
            </w:pPr>
            <w:r w:rsidRPr="003A235D">
              <w:rPr>
                <w:rFonts w:ascii="Arial Narrow" w:hAnsi="Arial Narrow" w:cstheme="minorHAnsi"/>
                <w:bCs/>
                <w:sz w:val="20"/>
                <w:szCs w:val="20"/>
              </w:rPr>
              <w:t>541</w:t>
            </w:r>
          </w:p>
        </w:tc>
        <w:tc>
          <w:tcPr>
            <w:tcW w:w="1687" w:type="dxa"/>
            <w:vAlign w:val="center"/>
          </w:tcPr>
          <w:p w14:paraId="66DADA29" w14:textId="77777777" w:rsidR="00CB391A" w:rsidRPr="003A235D" w:rsidRDefault="00CB391A" w:rsidP="00AE14F4">
            <w:pPr>
              <w:ind w:left="-71" w:right="-62"/>
              <w:jc w:val="center"/>
              <w:rPr>
                <w:rFonts w:ascii="Arial Narrow" w:hAnsi="Arial Narrow" w:cstheme="minorHAnsi"/>
                <w:b/>
                <w:bCs/>
                <w:sz w:val="20"/>
                <w:szCs w:val="20"/>
              </w:rPr>
            </w:pPr>
            <w:r w:rsidRPr="003A235D">
              <w:rPr>
                <w:rFonts w:ascii="Arial Narrow" w:hAnsi="Arial Narrow" w:cstheme="minorHAnsi"/>
                <w:b/>
                <w:bCs/>
                <w:sz w:val="20"/>
                <w:szCs w:val="20"/>
              </w:rPr>
              <w:t>-</w:t>
            </w:r>
          </w:p>
        </w:tc>
      </w:tr>
      <w:tr w:rsidR="00CB391A" w:rsidRPr="003A235D" w14:paraId="340DB6AB" w14:textId="77777777" w:rsidTr="00AE14F4">
        <w:tc>
          <w:tcPr>
            <w:tcW w:w="3957" w:type="dxa"/>
            <w:vAlign w:val="center"/>
          </w:tcPr>
          <w:p w14:paraId="426FB595" w14:textId="77777777" w:rsidR="00CB391A" w:rsidRPr="003A235D" w:rsidRDefault="00CB391A" w:rsidP="00AE14F4">
            <w:pPr>
              <w:tabs>
                <w:tab w:val="left" w:pos="164"/>
              </w:tabs>
              <w:ind w:right="-114"/>
              <w:rPr>
                <w:rFonts w:ascii="Arial Narrow" w:hAnsi="Arial Narrow"/>
                <w:sz w:val="20"/>
                <w:szCs w:val="20"/>
              </w:rPr>
            </w:pPr>
            <w:r w:rsidRPr="003A235D">
              <w:rPr>
                <w:rFonts w:ascii="Arial Narrow" w:hAnsi="Arial Narrow" w:cstheme="minorHAnsi"/>
                <w:bCs/>
                <w:sz w:val="20"/>
                <w:szCs w:val="20"/>
              </w:rPr>
              <w:t>Patients with HHF events, n (%)</w:t>
            </w:r>
          </w:p>
        </w:tc>
        <w:tc>
          <w:tcPr>
            <w:tcW w:w="1686" w:type="dxa"/>
            <w:vAlign w:val="center"/>
          </w:tcPr>
          <w:p w14:paraId="5295F4F6" w14:textId="77777777" w:rsidR="00CB391A" w:rsidRPr="003A235D" w:rsidRDefault="00CB391A" w:rsidP="00AE14F4">
            <w:pPr>
              <w:ind w:left="-71" w:right="-62"/>
              <w:jc w:val="center"/>
              <w:rPr>
                <w:rFonts w:ascii="Arial Narrow" w:hAnsi="Arial Narrow"/>
                <w:sz w:val="20"/>
                <w:szCs w:val="20"/>
              </w:rPr>
            </w:pPr>
            <w:r w:rsidRPr="003A235D">
              <w:rPr>
                <w:rFonts w:ascii="Arial Narrow" w:hAnsi="Arial Narrow"/>
                <w:sz w:val="20"/>
                <w:szCs w:val="20"/>
              </w:rPr>
              <w:t>259 (8.6)</w:t>
            </w:r>
          </w:p>
        </w:tc>
        <w:tc>
          <w:tcPr>
            <w:tcW w:w="1687" w:type="dxa"/>
            <w:vAlign w:val="center"/>
          </w:tcPr>
          <w:p w14:paraId="5DE3676B" w14:textId="77777777" w:rsidR="00CB391A" w:rsidRPr="003A235D" w:rsidRDefault="00CB391A" w:rsidP="00AE14F4">
            <w:pPr>
              <w:ind w:left="-71" w:right="-62"/>
              <w:jc w:val="center"/>
              <w:rPr>
                <w:rFonts w:ascii="Arial Narrow" w:hAnsi="Arial Narrow"/>
                <w:sz w:val="20"/>
                <w:szCs w:val="20"/>
              </w:rPr>
            </w:pPr>
            <w:r w:rsidRPr="003A235D">
              <w:rPr>
                <w:rFonts w:ascii="Arial Narrow" w:hAnsi="Arial Narrow"/>
                <w:sz w:val="20"/>
                <w:szCs w:val="20"/>
              </w:rPr>
              <w:t>352 (11.8)</w:t>
            </w:r>
          </w:p>
        </w:tc>
        <w:tc>
          <w:tcPr>
            <w:tcW w:w="1687" w:type="dxa"/>
            <w:vAlign w:val="center"/>
          </w:tcPr>
          <w:p w14:paraId="78035CD8" w14:textId="77777777" w:rsidR="00CB391A" w:rsidRPr="003A235D" w:rsidRDefault="00CB391A" w:rsidP="00AE14F4">
            <w:pPr>
              <w:ind w:left="-71" w:right="-62"/>
              <w:jc w:val="center"/>
              <w:rPr>
                <w:rFonts w:ascii="Arial Narrow" w:hAnsi="Arial Narrow"/>
                <w:b/>
                <w:sz w:val="20"/>
                <w:szCs w:val="20"/>
              </w:rPr>
            </w:pPr>
            <w:r w:rsidRPr="003A235D">
              <w:rPr>
                <w:rFonts w:ascii="Arial Narrow" w:hAnsi="Arial Narrow"/>
                <w:b/>
                <w:sz w:val="20"/>
                <w:szCs w:val="20"/>
              </w:rPr>
              <w:t>0.73 (0.61, 0.88)</w:t>
            </w:r>
          </w:p>
        </w:tc>
      </w:tr>
      <w:tr w:rsidR="00CB391A" w:rsidRPr="003A235D" w14:paraId="1939FE18" w14:textId="77777777" w:rsidTr="00AE14F4">
        <w:tc>
          <w:tcPr>
            <w:tcW w:w="3957" w:type="dxa"/>
            <w:vAlign w:val="center"/>
          </w:tcPr>
          <w:p w14:paraId="0D257CB1" w14:textId="77777777" w:rsidR="00CB391A" w:rsidRPr="003A235D" w:rsidRDefault="00CB391A" w:rsidP="00AE14F4">
            <w:pPr>
              <w:tabs>
                <w:tab w:val="left" w:pos="164"/>
              </w:tabs>
              <w:ind w:right="-114"/>
              <w:rPr>
                <w:rFonts w:ascii="Arial Narrow" w:hAnsi="Arial Narrow" w:cstheme="minorHAnsi"/>
                <w:bCs/>
                <w:sz w:val="20"/>
                <w:szCs w:val="20"/>
              </w:rPr>
            </w:pPr>
            <w:r w:rsidRPr="003A235D">
              <w:rPr>
                <w:rFonts w:ascii="Arial Narrow" w:hAnsi="Arial Narrow" w:cstheme="minorHAnsi"/>
                <w:bCs/>
                <w:sz w:val="20"/>
                <w:szCs w:val="20"/>
              </w:rPr>
              <w:t xml:space="preserve"> patients with HHF then CV death</w:t>
            </w:r>
          </w:p>
        </w:tc>
        <w:tc>
          <w:tcPr>
            <w:tcW w:w="1686" w:type="dxa"/>
            <w:vAlign w:val="center"/>
          </w:tcPr>
          <w:p w14:paraId="722D391C" w14:textId="77777777" w:rsidR="00CB391A" w:rsidRPr="003A235D" w:rsidRDefault="00CB391A" w:rsidP="00AE14F4">
            <w:pPr>
              <w:ind w:left="-71" w:right="-62"/>
              <w:jc w:val="center"/>
              <w:rPr>
                <w:rFonts w:ascii="Arial Narrow" w:hAnsi="Arial Narrow" w:cstheme="minorHAnsi"/>
                <w:bCs/>
                <w:sz w:val="20"/>
                <w:szCs w:val="20"/>
              </w:rPr>
            </w:pPr>
            <w:r w:rsidRPr="003A235D">
              <w:rPr>
                <w:rFonts w:ascii="Arial Narrow" w:hAnsi="Arial Narrow" w:cstheme="minorHAnsi"/>
                <w:bCs/>
                <w:sz w:val="20"/>
                <w:szCs w:val="20"/>
              </w:rPr>
              <w:t>63 (2.1)</w:t>
            </w:r>
          </w:p>
        </w:tc>
        <w:tc>
          <w:tcPr>
            <w:tcW w:w="1687" w:type="dxa"/>
            <w:vAlign w:val="center"/>
          </w:tcPr>
          <w:p w14:paraId="4BF4EAD2" w14:textId="77777777" w:rsidR="00CB391A" w:rsidRPr="003A235D" w:rsidRDefault="00CB391A" w:rsidP="00AE14F4">
            <w:pPr>
              <w:ind w:left="-71" w:right="-62"/>
              <w:jc w:val="center"/>
              <w:rPr>
                <w:rFonts w:ascii="Arial Narrow" w:hAnsi="Arial Narrow" w:cstheme="minorHAnsi"/>
                <w:bCs/>
                <w:sz w:val="20"/>
                <w:szCs w:val="20"/>
              </w:rPr>
            </w:pPr>
            <w:r w:rsidRPr="003A235D">
              <w:rPr>
                <w:rFonts w:ascii="Arial Narrow" w:hAnsi="Arial Narrow" w:cstheme="minorHAnsi"/>
                <w:bCs/>
                <w:sz w:val="20"/>
                <w:szCs w:val="20"/>
              </w:rPr>
              <w:t>85 (2.8)</w:t>
            </w:r>
          </w:p>
        </w:tc>
        <w:tc>
          <w:tcPr>
            <w:tcW w:w="1687" w:type="dxa"/>
            <w:vAlign w:val="center"/>
          </w:tcPr>
          <w:p w14:paraId="0DE159AD" w14:textId="77777777" w:rsidR="00CB391A" w:rsidRPr="003A235D" w:rsidRDefault="00CB391A" w:rsidP="00AE14F4">
            <w:pPr>
              <w:ind w:left="-71" w:right="-62"/>
              <w:jc w:val="center"/>
              <w:rPr>
                <w:rFonts w:ascii="Arial Narrow" w:hAnsi="Arial Narrow" w:cstheme="minorHAnsi"/>
                <w:b/>
                <w:bCs/>
                <w:sz w:val="20"/>
                <w:szCs w:val="20"/>
              </w:rPr>
            </w:pPr>
          </w:p>
        </w:tc>
      </w:tr>
      <w:tr w:rsidR="00CB391A" w:rsidRPr="003A235D" w14:paraId="30567AC5" w14:textId="77777777" w:rsidTr="00AE14F4">
        <w:tc>
          <w:tcPr>
            <w:tcW w:w="3957" w:type="dxa"/>
            <w:vAlign w:val="center"/>
          </w:tcPr>
          <w:p w14:paraId="60D593B1" w14:textId="77777777" w:rsidR="00CB391A" w:rsidRPr="003A235D" w:rsidRDefault="00CB391A" w:rsidP="00AE14F4">
            <w:pPr>
              <w:tabs>
                <w:tab w:val="left" w:pos="164"/>
              </w:tabs>
              <w:ind w:right="-114"/>
              <w:rPr>
                <w:rFonts w:ascii="Arial Narrow" w:hAnsi="Arial Narrow" w:cstheme="minorHAnsi"/>
                <w:bCs/>
                <w:sz w:val="20"/>
                <w:szCs w:val="20"/>
              </w:rPr>
            </w:pPr>
            <w:r w:rsidRPr="003A235D">
              <w:rPr>
                <w:rFonts w:ascii="Arial Narrow" w:hAnsi="Arial Narrow" w:cstheme="minorHAnsi"/>
                <w:bCs/>
                <w:sz w:val="20"/>
                <w:szCs w:val="20"/>
              </w:rPr>
              <w:t xml:space="preserve"> patients with HHF only</w:t>
            </w:r>
          </w:p>
        </w:tc>
        <w:tc>
          <w:tcPr>
            <w:tcW w:w="1686" w:type="dxa"/>
            <w:vAlign w:val="center"/>
          </w:tcPr>
          <w:p w14:paraId="7C8FD73F" w14:textId="77777777" w:rsidR="00CB391A" w:rsidRPr="003A235D" w:rsidRDefault="00CB391A" w:rsidP="00AE14F4">
            <w:pPr>
              <w:ind w:left="-71" w:right="-62"/>
              <w:jc w:val="center"/>
              <w:rPr>
                <w:rFonts w:ascii="Arial Narrow" w:hAnsi="Arial Narrow" w:cstheme="minorHAnsi"/>
                <w:bCs/>
                <w:sz w:val="20"/>
                <w:szCs w:val="20"/>
              </w:rPr>
            </w:pPr>
            <w:r w:rsidRPr="003A235D">
              <w:rPr>
                <w:rFonts w:ascii="Arial Narrow" w:hAnsi="Arial Narrow" w:cstheme="minorHAnsi"/>
                <w:bCs/>
                <w:sz w:val="20"/>
                <w:szCs w:val="20"/>
              </w:rPr>
              <w:t>196 (6.5)</w:t>
            </w:r>
          </w:p>
        </w:tc>
        <w:tc>
          <w:tcPr>
            <w:tcW w:w="1687" w:type="dxa"/>
            <w:vAlign w:val="center"/>
          </w:tcPr>
          <w:p w14:paraId="354185F2" w14:textId="77777777" w:rsidR="00CB391A" w:rsidRPr="003A235D" w:rsidRDefault="00CB391A" w:rsidP="00AE14F4">
            <w:pPr>
              <w:ind w:left="-71" w:right="-62"/>
              <w:jc w:val="center"/>
              <w:rPr>
                <w:rFonts w:ascii="Arial Narrow" w:hAnsi="Arial Narrow" w:cstheme="minorHAnsi"/>
                <w:bCs/>
                <w:sz w:val="20"/>
                <w:szCs w:val="20"/>
              </w:rPr>
            </w:pPr>
            <w:r w:rsidRPr="003A235D">
              <w:rPr>
                <w:rFonts w:ascii="Arial Narrow" w:hAnsi="Arial Narrow" w:cstheme="minorHAnsi"/>
                <w:bCs/>
                <w:sz w:val="20"/>
                <w:szCs w:val="20"/>
              </w:rPr>
              <w:t>267 (8.9)</w:t>
            </w:r>
          </w:p>
        </w:tc>
        <w:tc>
          <w:tcPr>
            <w:tcW w:w="1687" w:type="dxa"/>
            <w:vAlign w:val="center"/>
          </w:tcPr>
          <w:p w14:paraId="2DBC6AB5" w14:textId="77777777" w:rsidR="00CB391A" w:rsidRPr="003A235D" w:rsidRDefault="00CB391A" w:rsidP="00AE14F4">
            <w:pPr>
              <w:ind w:left="-71" w:right="-62"/>
              <w:jc w:val="center"/>
              <w:rPr>
                <w:rFonts w:ascii="Arial Narrow" w:hAnsi="Arial Narrow" w:cstheme="minorHAnsi"/>
                <w:b/>
                <w:bCs/>
                <w:sz w:val="20"/>
                <w:szCs w:val="20"/>
              </w:rPr>
            </w:pPr>
          </w:p>
        </w:tc>
      </w:tr>
      <w:tr w:rsidR="00CB391A" w:rsidRPr="003A235D" w14:paraId="1ED45CE7" w14:textId="77777777" w:rsidTr="00AE14F4">
        <w:tc>
          <w:tcPr>
            <w:tcW w:w="3957" w:type="dxa"/>
            <w:vAlign w:val="center"/>
          </w:tcPr>
          <w:p w14:paraId="00B0A951" w14:textId="77777777" w:rsidR="00CB391A" w:rsidRPr="003A235D" w:rsidRDefault="00CB391A" w:rsidP="00AE14F4">
            <w:pPr>
              <w:tabs>
                <w:tab w:val="left" w:pos="164"/>
              </w:tabs>
              <w:ind w:right="-114"/>
              <w:rPr>
                <w:rFonts w:ascii="Arial Narrow" w:hAnsi="Arial Narrow" w:cstheme="minorHAnsi"/>
                <w:bCs/>
                <w:sz w:val="20"/>
                <w:szCs w:val="20"/>
              </w:rPr>
            </w:pPr>
            <w:r w:rsidRPr="003A235D">
              <w:rPr>
                <w:rFonts w:ascii="Arial Narrow" w:hAnsi="Arial Narrow" w:cstheme="minorHAnsi"/>
                <w:bCs/>
                <w:sz w:val="20"/>
                <w:szCs w:val="20"/>
              </w:rPr>
              <w:t>Patients with CV death only, n (%)</w:t>
            </w:r>
          </w:p>
        </w:tc>
        <w:tc>
          <w:tcPr>
            <w:tcW w:w="1686" w:type="dxa"/>
            <w:vAlign w:val="center"/>
          </w:tcPr>
          <w:p w14:paraId="145C426C" w14:textId="77777777" w:rsidR="00CB391A" w:rsidRPr="003A235D" w:rsidRDefault="00CB391A" w:rsidP="00AE14F4">
            <w:pPr>
              <w:ind w:left="-71" w:right="-62"/>
              <w:jc w:val="center"/>
              <w:rPr>
                <w:rFonts w:ascii="Arial Narrow" w:hAnsi="Arial Narrow" w:cstheme="minorHAnsi"/>
                <w:bCs/>
                <w:sz w:val="20"/>
                <w:szCs w:val="20"/>
              </w:rPr>
            </w:pPr>
            <w:r w:rsidRPr="003A235D">
              <w:rPr>
                <w:rFonts w:ascii="Arial Narrow" w:hAnsi="Arial Narrow" w:cstheme="minorHAnsi"/>
                <w:bCs/>
                <w:sz w:val="20"/>
                <w:szCs w:val="20"/>
              </w:rPr>
              <w:t>156 (5.2)</w:t>
            </w:r>
          </w:p>
        </w:tc>
        <w:tc>
          <w:tcPr>
            <w:tcW w:w="1687" w:type="dxa"/>
            <w:vAlign w:val="center"/>
          </w:tcPr>
          <w:p w14:paraId="326CF357" w14:textId="77777777" w:rsidR="00CB391A" w:rsidRPr="003A235D" w:rsidRDefault="00CB391A" w:rsidP="00AE14F4">
            <w:pPr>
              <w:ind w:left="-71" w:right="-62"/>
              <w:jc w:val="center"/>
              <w:rPr>
                <w:rFonts w:ascii="Arial Narrow" w:hAnsi="Arial Narrow" w:cstheme="minorHAnsi"/>
                <w:bCs/>
                <w:sz w:val="20"/>
                <w:szCs w:val="20"/>
              </w:rPr>
            </w:pPr>
            <w:r w:rsidRPr="003A235D">
              <w:rPr>
                <w:rFonts w:ascii="Arial Narrow" w:hAnsi="Arial Narrow" w:cstheme="minorHAnsi"/>
                <w:bCs/>
                <w:sz w:val="20"/>
                <w:szCs w:val="20"/>
              </w:rPr>
              <w:t>159 (5.3)</w:t>
            </w:r>
          </w:p>
        </w:tc>
        <w:tc>
          <w:tcPr>
            <w:tcW w:w="1687" w:type="dxa"/>
            <w:vAlign w:val="center"/>
          </w:tcPr>
          <w:p w14:paraId="18C0283D" w14:textId="77777777" w:rsidR="00CB391A" w:rsidRPr="003A235D" w:rsidRDefault="00CB391A" w:rsidP="00AE14F4">
            <w:pPr>
              <w:ind w:left="-71" w:right="-62"/>
              <w:jc w:val="center"/>
              <w:rPr>
                <w:rFonts w:ascii="Arial Narrow" w:hAnsi="Arial Narrow" w:cstheme="minorHAnsi"/>
                <w:bCs/>
                <w:sz w:val="20"/>
                <w:szCs w:val="20"/>
              </w:rPr>
            </w:pPr>
            <w:r w:rsidRPr="003A235D">
              <w:rPr>
                <w:rFonts w:ascii="Arial Narrow" w:hAnsi="Arial Narrow" w:cstheme="minorHAnsi"/>
                <w:bCs/>
                <w:sz w:val="20"/>
                <w:szCs w:val="20"/>
              </w:rPr>
              <w:t>0.89 (0.71, 1.12)</w:t>
            </w:r>
          </w:p>
        </w:tc>
      </w:tr>
    </w:tbl>
    <w:p w14:paraId="53FCD69B" w14:textId="77777777" w:rsidR="00CB391A" w:rsidRPr="003A235D" w:rsidRDefault="00CB391A" w:rsidP="00CB391A">
      <w:pPr>
        <w:pStyle w:val="TableFooter"/>
        <w:spacing w:after="120"/>
      </w:pPr>
      <w:r w:rsidRPr="003A235D">
        <w:t>Source: Table 2.20, p88 of the submission.</w:t>
      </w:r>
    </w:p>
    <w:p w14:paraId="25C1E1D9" w14:textId="1DE72D31" w:rsidR="00CB391A" w:rsidRPr="003A235D" w:rsidRDefault="00CB391A" w:rsidP="00CB391A">
      <w:pPr>
        <w:pStyle w:val="TableFooter"/>
        <w:spacing w:after="120"/>
      </w:pPr>
      <w:r w:rsidRPr="003A235D">
        <w:t xml:space="preserve">Abbreviations: </w:t>
      </w:r>
      <w:r w:rsidR="00FB4A0D" w:rsidRPr="003A235D">
        <w:t xml:space="preserve">CV, cardiovascular; </w:t>
      </w:r>
      <w:r w:rsidRPr="003A235D">
        <w:t>HHF, hospitalisation for heart failure; ITT, intention to treat; SC, standard care.</w:t>
      </w:r>
    </w:p>
    <w:p w14:paraId="1A02026C" w14:textId="77777777" w:rsidR="00CB391A" w:rsidRPr="003A235D" w:rsidRDefault="00CB391A" w:rsidP="00CB391A">
      <w:pPr>
        <w:pStyle w:val="TableFooter"/>
        <w:spacing w:after="120"/>
      </w:pPr>
      <w:r w:rsidRPr="003A235D">
        <w:rPr>
          <w:vertAlign w:val="superscript"/>
        </w:rPr>
        <w:t>a</w:t>
      </w:r>
      <w:r w:rsidRPr="003A235D">
        <w:t xml:space="preserve"> Hazard ratios &lt;1 favour empagliflozin. Statistically significant results in bold. </w:t>
      </w:r>
    </w:p>
    <w:p w14:paraId="5A23B2BD" w14:textId="77777777" w:rsidR="00CB391A" w:rsidRPr="003A235D" w:rsidRDefault="00CB391A" w:rsidP="00CB391A">
      <w:pPr>
        <w:pStyle w:val="TableFooter"/>
        <w:spacing w:after="120"/>
      </w:pPr>
      <w:r w:rsidRPr="003A235D">
        <w:rPr>
          <w:vertAlign w:val="superscript"/>
        </w:rPr>
        <w:t>b</w:t>
      </w:r>
      <w:r w:rsidRPr="003A235D">
        <w:t xml:space="preserve"> Joint frailty exponent (alpha) 1.02. Joint frailty model included factors age, region, sex, and baseline eGFR, diabetes status, LVEF.</w:t>
      </w:r>
    </w:p>
    <w:p w14:paraId="75193738" w14:textId="672554EA" w:rsidR="00CB391A" w:rsidRPr="003A235D" w:rsidRDefault="00DE09E1" w:rsidP="00A41DEF">
      <w:pPr>
        <w:pStyle w:val="ExecSumBodyText"/>
        <w:numPr>
          <w:ilvl w:val="1"/>
          <w:numId w:val="1"/>
        </w:numPr>
      </w:pPr>
      <w:r w:rsidRPr="003A235D">
        <w:t>The total number of hospitalisations for heart failure (first and recurrent) was lower in the empagliflozin arm (407 events) compared to the placebo arm (541 events). Treatment with empagliflozin statistically significantly reduced the risk of first and recurrent hospitalisation for heart failure compared to placebo (HR 0.73; 95% CI 0.61, 0.88). The hazard of recurrent HHF was positively correlated with that of CV death (indicated by a frailty exponent &gt;0).</w:t>
      </w:r>
    </w:p>
    <w:p w14:paraId="1E3778F7" w14:textId="1361331E" w:rsidR="00614E59" w:rsidRPr="003A235D" w:rsidRDefault="00614E59" w:rsidP="00A41DEF">
      <w:pPr>
        <w:pStyle w:val="ExecSumBodyText"/>
        <w:numPr>
          <w:ilvl w:val="1"/>
          <w:numId w:val="1"/>
        </w:numPr>
      </w:pPr>
      <w:r w:rsidRPr="003A235D">
        <w:t xml:space="preserve">The rate of decline in eGFR over a median duration of </w:t>
      </w:r>
      <w:r w:rsidR="00EB5BCE" w:rsidRPr="003A235D">
        <w:t xml:space="preserve">follow up of 26 </w:t>
      </w:r>
      <w:r w:rsidRPr="003A235D">
        <w:t xml:space="preserve">months was statistically significantly slower in patients treated with empagliflozin compared to placebo, with an estimated difference in slope of 1.363 per year (95% CI 1.064, 1.662). However, the composite outcome of time to first renal event showed no nominally significant difference between the empagliflozin (3.6% of patients with events) and placebo arms (3.7% of patients with events; hazard ratio 0.95, 95% CI 0.73, 1.24, see </w:t>
      </w:r>
      <w:r w:rsidR="00917990" w:rsidRPr="003A235D">
        <w:fldChar w:fldCharType="begin" w:fldLock="1"/>
      </w:r>
      <w:r w:rsidR="00917990" w:rsidRPr="003A235D">
        <w:instrText xml:space="preserve"> REF _Ref111130293 \h </w:instrText>
      </w:r>
      <w:r w:rsidR="00A41DEF" w:rsidRPr="003A235D">
        <w:instrText xml:space="preserve"> \* MERGEFORMAT </w:instrText>
      </w:r>
      <w:r w:rsidR="00917990" w:rsidRPr="003A235D">
        <w:fldChar w:fldCharType="separate"/>
      </w:r>
      <w:r w:rsidR="004646F5" w:rsidRPr="003A235D">
        <w:t>Table 6</w:t>
      </w:r>
      <w:r w:rsidR="00917990" w:rsidRPr="003A235D">
        <w:fldChar w:fldCharType="end"/>
      </w:r>
      <w:r w:rsidRPr="003A235D">
        <w:t xml:space="preserve"> below).</w:t>
      </w:r>
    </w:p>
    <w:p w14:paraId="5C30ED55" w14:textId="6CB35605" w:rsidR="00614E59" w:rsidRPr="003A235D" w:rsidRDefault="00917990" w:rsidP="00A41DEF">
      <w:pPr>
        <w:pStyle w:val="ExecSumBodyText"/>
        <w:numPr>
          <w:ilvl w:val="1"/>
          <w:numId w:val="1"/>
        </w:numPr>
      </w:pPr>
      <w:r w:rsidRPr="003A235D">
        <w:fldChar w:fldCharType="begin" w:fldLock="1"/>
      </w:r>
      <w:r w:rsidRPr="003A235D">
        <w:instrText xml:space="preserve"> REF _Ref111130293 \h </w:instrText>
      </w:r>
      <w:r w:rsidR="00A41DEF" w:rsidRPr="003A235D">
        <w:instrText xml:space="preserve"> \* MERGEFORMAT </w:instrText>
      </w:r>
      <w:r w:rsidRPr="003A235D">
        <w:fldChar w:fldCharType="separate"/>
      </w:r>
      <w:r w:rsidR="004646F5" w:rsidRPr="003A235D">
        <w:t>Table 6</w:t>
      </w:r>
      <w:r w:rsidRPr="003A235D">
        <w:fldChar w:fldCharType="end"/>
      </w:r>
      <w:r w:rsidR="00614E59" w:rsidRPr="003A235D">
        <w:t xml:space="preserve"> summarises the results of exploratory cardiovascular and renal outcomes from the EMPEROR-Preserved trial.</w:t>
      </w:r>
    </w:p>
    <w:p w14:paraId="23A9D38F" w14:textId="1785674F" w:rsidR="00614E59" w:rsidRPr="003A235D" w:rsidRDefault="00614E59" w:rsidP="005B1CD5">
      <w:pPr>
        <w:pStyle w:val="Caption"/>
        <w:rPr>
          <w:lang w:val="en-AU"/>
        </w:rPr>
      </w:pPr>
      <w:bookmarkStart w:id="33" w:name="_Ref111130293"/>
      <w:r w:rsidRPr="003A235D">
        <w:rPr>
          <w:lang w:val="en-AU"/>
        </w:rPr>
        <w:lastRenderedPageBreak/>
        <w:t>Table</w:t>
      </w:r>
      <w:r w:rsidR="00917990" w:rsidRPr="003A235D">
        <w:rPr>
          <w:lang w:val="en-AU"/>
        </w:rPr>
        <w:t xml:space="preserve"> </w:t>
      </w:r>
      <w:r w:rsidR="00917990" w:rsidRPr="003A235D">
        <w:rPr>
          <w:lang w:val="en-AU"/>
        </w:rPr>
        <w:fldChar w:fldCharType="begin" w:fldLock="1"/>
      </w:r>
      <w:r w:rsidR="00917990" w:rsidRPr="003A235D">
        <w:rPr>
          <w:lang w:val="en-AU"/>
        </w:rPr>
        <w:instrText xml:space="preserve"> SEQ Table \* ARABIC </w:instrText>
      </w:r>
      <w:r w:rsidR="00917990" w:rsidRPr="003A235D">
        <w:rPr>
          <w:lang w:val="en-AU"/>
        </w:rPr>
        <w:fldChar w:fldCharType="separate"/>
      </w:r>
      <w:r w:rsidR="004646F5" w:rsidRPr="003A235D">
        <w:rPr>
          <w:lang w:val="en-AU"/>
        </w:rPr>
        <w:t>6</w:t>
      </w:r>
      <w:r w:rsidR="00917990" w:rsidRPr="003A235D">
        <w:rPr>
          <w:lang w:val="en-AU"/>
        </w:rPr>
        <w:fldChar w:fldCharType="end"/>
      </w:r>
      <w:bookmarkEnd w:id="33"/>
      <w:r w:rsidRPr="003A235D">
        <w:rPr>
          <w:lang w:val="en-AU"/>
        </w:rPr>
        <w:t>: Results for the exploratory cardiovascular and renal outcomes from the EMPEROR-Preserved trial (ITT)</w:t>
      </w:r>
    </w:p>
    <w:tbl>
      <w:tblPr>
        <w:tblStyle w:val="TableGrid"/>
        <w:tblW w:w="5000" w:type="pct"/>
        <w:tblLook w:val="04A0" w:firstRow="1" w:lastRow="0" w:firstColumn="1" w:lastColumn="0" w:noHBand="0" w:noVBand="1"/>
      </w:tblPr>
      <w:tblGrid>
        <w:gridCol w:w="3957"/>
        <w:gridCol w:w="1686"/>
        <w:gridCol w:w="1687"/>
        <w:gridCol w:w="1687"/>
      </w:tblGrid>
      <w:tr w:rsidR="00614E59" w:rsidRPr="003A235D" w14:paraId="21E92A84" w14:textId="77777777" w:rsidTr="00AE14F4">
        <w:trPr>
          <w:tblHeader/>
        </w:trPr>
        <w:tc>
          <w:tcPr>
            <w:tcW w:w="3957" w:type="dxa"/>
            <w:vAlign w:val="center"/>
          </w:tcPr>
          <w:p w14:paraId="4525D65D" w14:textId="77777777" w:rsidR="00614E59" w:rsidRPr="003A235D" w:rsidRDefault="00614E59" w:rsidP="005B1CD5">
            <w:pPr>
              <w:keepNext/>
              <w:tabs>
                <w:tab w:val="left" w:pos="164"/>
              </w:tabs>
              <w:ind w:right="-114"/>
              <w:rPr>
                <w:rFonts w:ascii="Arial Narrow" w:hAnsi="Arial Narrow"/>
                <w:sz w:val="20"/>
                <w:szCs w:val="20"/>
              </w:rPr>
            </w:pPr>
            <w:r w:rsidRPr="003A235D">
              <w:rPr>
                <w:rFonts w:ascii="Arial Narrow" w:hAnsi="Arial Narrow"/>
                <w:b/>
                <w:bCs/>
                <w:sz w:val="20"/>
                <w:szCs w:val="20"/>
              </w:rPr>
              <w:t>Outcome</w:t>
            </w:r>
          </w:p>
        </w:tc>
        <w:tc>
          <w:tcPr>
            <w:tcW w:w="1686" w:type="dxa"/>
          </w:tcPr>
          <w:p w14:paraId="579D7737" w14:textId="77777777" w:rsidR="00614E59" w:rsidRPr="003A235D" w:rsidRDefault="00614E59" w:rsidP="005B1CD5">
            <w:pPr>
              <w:pStyle w:val="TableText"/>
              <w:ind w:left="-71" w:right="-62"/>
              <w:jc w:val="center"/>
              <w:rPr>
                <w:szCs w:val="20"/>
              </w:rPr>
            </w:pPr>
            <w:r w:rsidRPr="003A235D">
              <w:rPr>
                <w:b/>
                <w:bCs w:val="0"/>
                <w:szCs w:val="20"/>
              </w:rPr>
              <w:t xml:space="preserve">Empagliflozin </w:t>
            </w:r>
            <w:r w:rsidRPr="003A235D">
              <w:rPr>
                <w:b/>
                <w:szCs w:val="20"/>
              </w:rPr>
              <w:t>N=2,997, n (%)</w:t>
            </w:r>
          </w:p>
        </w:tc>
        <w:tc>
          <w:tcPr>
            <w:tcW w:w="1687" w:type="dxa"/>
          </w:tcPr>
          <w:p w14:paraId="4EF3531E" w14:textId="77777777" w:rsidR="00614E59" w:rsidRPr="003A235D" w:rsidRDefault="00614E59" w:rsidP="005B1CD5">
            <w:pPr>
              <w:keepNext/>
              <w:ind w:left="-71" w:right="-62"/>
              <w:jc w:val="center"/>
              <w:rPr>
                <w:rFonts w:ascii="Arial Narrow" w:hAnsi="Arial Narrow"/>
                <w:sz w:val="20"/>
                <w:szCs w:val="20"/>
              </w:rPr>
            </w:pPr>
            <w:r w:rsidRPr="003A235D">
              <w:rPr>
                <w:rFonts w:ascii="Arial Narrow" w:hAnsi="Arial Narrow"/>
                <w:b/>
                <w:bCs/>
                <w:sz w:val="20"/>
                <w:szCs w:val="20"/>
              </w:rPr>
              <w:t>Placebo</w:t>
            </w:r>
            <w:r w:rsidRPr="003A235D">
              <w:rPr>
                <w:rFonts w:ascii="Arial Narrow" w:hAnsi="Arial Narrow"/>
                <w:b/>
                <w:bCs/>
                <w:sz w:val="20"/>
                <w:szCs w:val="20"/>
              </w:rPr>
              <w:br/>
              <w:t>N=2,991, n (%)</w:t>
            </w:r>
          </w:p>
        </w:tc>
        <w:tc>
          <w:tcPr>
            <w:tcW w:w="1687" w:type="dxa"/>
          </w:tcPr>
          <w:p w14:paraId="67C89371" w14:textId="77777777" w:rsidR="00614E59" w:rsidRPr="003A235D" w:rsidRDefault="00614E59" w:rsidP="005B1CD5">
            <w:pPr>
              <w:pStyle w:val="TableText"/>
              <w:ind w:left="-71" w:right="-62"/>
              <w:jc w:val="center"/>
              <w:rPr>
                <w:b/>
                <w:bCs w:val="0"/>
                <w:szCs w:val="20"/>
              </w:rPr>
            </w:pPr>
            <w:r w:rsidRPr="003A235D">
              <w:rPr>
                <w:b/>
                <w:bCs w:val="0"/>
                <w:szCs w:val="20"/>
              </w:rPr>
              <w:t>Hazard ratio</w:t>
            </w:r>
          </w:p>
          <w:p w14:paraId="14CD4552" w14:textId="77777777" w:rsidR="00614E59" w:rsidRPr="003A235D" w:rsidRDefault="00614E59" w:rsidP="005B1CD5">
            <w:pPr>
              <w:keepNext/>
              <w:ind w:left="-71" w:right="-62"/>
              <w:jc w:val="center"/>
              <w:rPr>
                <w:rFonts w:ascii="Arial Narrow" w:hAnsi="Arial Narrow"/>
                <w:sz w:val="20"/>
                <w:szCs w:val="20"/>
                <w:vertAlign w:val="superscript"/>
              </w:rPr>
            </w:pPr>
            <w:r w:rsidRPr="003A235D">
              <w:rPr>
                <w:rFonts w:ascii="Arial Narrow" w:hAnsi="Arial Narrow"/>
                <w:b/>
                <w:bCs/>
                <w:sz w:val="20"/>
                <w:szCs w:val="20"/>
              </w:rPr>
              <w:t>(95% CI)</w:t>
            </w:r>
            <w:r w:rsidRPr="003A235D">
              <w:rPr>
                <w:rFonts w:ascii="Arial Narrow" w:hAnsi="Arial Narrow"/>
                <w:b/>
                <w:bCs/>
                <w:sz w:val="20"/>
                <w:szCs w:val="20"/>
                <w:vertAlign w:val="superscript"/>
              </w:rPr>
              <w:t>a</w:t>
            </w:r>
          </w:p>
        </w:tc>
      </w:tr>
      <w:tr w:rsidR="00614E59" w:rsidRPr="003A235D" w14:paraId="7D68A1AF" w14:textId="77777777" w:rsidTr="00AE14F4">
        <w:trPr>
          <w:trHeight w:val="101"/>
        </w:trPr>
        <w:tc>
          <w:tcPr>
            <w:tcW w:w="3957" w:type="dxa"/>
            <w:vAlign w:val="center"/>
          </w:tcPr>
          <w:p w14:paraId="0910C79F" w14:textId="77777777" w:rsidR="00614E59" w:rsidRPr="003A235D" w:rsidRDefault="00614E59" w:rsidP="005B1CD5">
            <w:pPr>
              <w:pStyle w:val="TableText"/>
              <w:tabs>
                <w:tab w:val="left" w:pos="164"/>
              </w:tabs>
              <w:ind w:right="-114"/>
              <w:rPr>
                <w:szCs w:val="20"/>
              </w:rPr>
            </w:pPr>
            <w:r w:rsidRPr="003A235D">
              <w:t>First adjudicated HHF</w:t>
            </w:r>
          </w:p>
        </w:tc>
        <w:tc>
          <w:tcPr>
            <w:tcW w:w="1686" w:type="dxa"/>
          </w:tcPr>
          <w:p w14:paraId="63C6E50B" w14:textId="77777777" w:rsidR="00614E59" w:rsidRPr="003A235D" w:rsidRDefault="00614E59" w:rsidP="005B1CD5">
            <w:pPr>
              <w:pStyle w:val="TableText"/>
              <w:ind w:left="-71" w:right="-62"/>
              <w:jc w:val="center"/>
              <w:rPr>
                <w:szCs w:val="20"/>
              </w:rPr>
            </w:pPr>
            <w:r w:rsidRPr="003A235D">
              <w:rPr>
                <w:szCs w:val="20"/>
              </w:rPr>
              <w:t>259 (8.6)</w:t>
            </w:r>
          </w:p>
        </w:tc>
        <w:tc>
          <w:tcPr>
            <w:tcW w:w="1687" w:type="dxa"/>
          </w:tcPr>
          <w:p w14:paraId="604DBF5F" w14:textId="77777777" w:rsidR="00614E59" w:rsidRPr="003A235D" w:rsidRDefault="00614E59" w:rsidP="005B1CD5">
            <w:pPr>
              <w:pStyle w:val="TableText"/>
              <w:ind w:left="-71" w:right="-62"/>
              <w:jc w:val="center"/>
              <w:rPr>
                <w:szCs w:val="20"/>
              </w:rPr>
            </w:pPr>
            <w:r w:rsidRPr="003A235D">
              <w:rPr>
                <w:szCs w:val="20"/>
              </w:rPr>
              <w:t>352 (11.8)</w:t>
            </w:r>
          </w:p>
        </w:tc>
        <w:tc>
          <w:tcPr>
            <w:tcW w:w="1687" w:type="dxa"/>
            <w:vAlign w:val="center"/>
          </w:tcPr>
          <w:p w14:paraId="21B37A54" w14:textId="77777777" w:rsidR="00614E59" w:rsidRPr="003A235D" w:rsidRDefault="00614E59" w:rsidP="005B1CD5">
            <w:pPr>
              <w:pStyle w:val="TableText"/>
              <w:ind w:left="-71" w:right="-62"/>
              <w:jc w:val="center"/>
              <w:rPr>
                <w:szCs w:val="20"/>
              </w:rPr>
            </w:pPr>
            <w:r w:rsidRPr="003A235D">
              <w:rPr>
                <w:szCs w:val="20"/>
              </w:rPr>
              <w:t>0.71 (0.60, 0.83)</w:t>
            </w:r>
          </w:p>
        </w:tc>
      </w:tr>
      <w:tr w:rsidR="00614E59" w:rsidRPr="003A235D" w14:paraId="535B6486" w14:textId="77777777" w:rsidTr="00AE14F4">
        <w:trPr>
          <w:trHeight w:val="101"/>
        </w:trPr>
        <w:tc>
          <w:tcPr>
            <w:tcW w:w="3957" w:type="dxa"/>
            <w:vAlign w:val="center"/>
          </w:tcPr>
          <w:p w14:paraId="320FA71E" w14:textId="65D67FA0" w:rsidR="00614E59" w:rsidRPr="003A235D" w:rsidRDefault="00E145FC" w:rsidP="005B1CD5">
            <w:pPr>
              <w:pStyle w:val="TableText"/>
              <w:tabs>
                <w:tab w:val="left" w:pos="164"/>
              </w:tabs>
              <w:ind w:right="-114"/>
            </w:pPr>
            <w:r w:rsidRPr="003A235D">
              <w:t>A</w:t>
            </w:r>
            <w:r w:rsidR="00614E59" w:rsidRPr="003A235D">
              <w:t>djudicated CV death</w:t>
            </w:r>
          </w:p>
        </w:tc>
        <w:tc>
          <w:tcPr>
            <w:tcW w:w="1686" w:type="dxa"/>
            <w:vAlign w:val="center"/>
          </w:tcPr>
          <w:p w14:paraId="1D8AFD25" w14:textId="77777777" w:rsidR="00614E59" w:rsidRPr="003A235D" w:rsidRDefault="00614E59" w:rsidP="005B1CD5">
            <w:pPr>
              <w:pStyle w:val="TableText"/>
              <w:ind w:left="-71" w:right="-62"/>
              <w:jc w:val="center"/>
              <w:rPr>
                <w:szCs w:val="20"/>
              </w:rPr>
            </w:pPr>
            <w:r w:rsidRPr="003A235D">
              <w:rPr>
                <w:szCs w:val="20"/>
              </w:rPr>
              <w:t>219 (7.3)</w:t>
            </w:r>
          </w:p>
        </w:tc>
        <w:tc>
          <w:tcPr>
            <w:tcW w:w="1687" w:type="dxa"/>
            <w:vAlign w:val="center"/>
          </w:tcPr>
          <w:p w14:paraId="781E46B6" w14:textId="77777777" w:rsidR="00614E59" w:rsidRPr="003A235D" w:rsidRDefault="00614E59" w:rsidP="005B1CD5">
            <w:pPr>
              <w:pStyle w:val="TableText"/>
              <w:ind w:left="-71" w:right="-62"/>
              <w:jc w:val="center"/>
              <w:rPr>
                <w:szCs w:val="20"/>
              </w:rPr>
            </w:pPr>
            <w:r w:rsidRPr="003A235D">
              <w:rPr>
                <w:szCs w:val="20"/>
              </w:rPr>
              <w:t>244 (8.2)</w:t>
            </w:r>
          </w:p>
        </w:tc>
        <w:tc>
          <w:tcPr>
            <w:tcW w:w="1687" w:type="dxa"/>
            <w:vAlign w:val="center"/>
          </w:tcPr>
          <w:p w14:paraId="3C8B9EE4" w14:textId="77777777" w:rsidR="00614E59" w:rsidRPr="003A235D" w:rsidRDefault="00614E59" w:rsidP="005B1CD5">
            <w:pPr>
              <w:pStyle w:val="TableText"/>
              <w:ind w:left="-71" w:right="-62"/>
              <w:jc w:val="center"/>
              <w:rPr>
                <w:szCs w:val="20"/>
              </w:rPr>
            </w:pPr>
            <w:r w:rsidRPr="003A235D">
              <w:rPr>
                <w:szCs w:val="20"/>
              </w:rPr>
              <w:t>0.91 (0.76, 1.09)</w:t>
            </w:r>
          </w:p>
        </w:tc>
      </w:tr>
      <w:tr w:rsidR="00614E59" w:rsidRPr="003A235D" w14:paraId="541244E0" w14:textId="77777777" w:rsidTr="00AE14F4">
        <w:trPr>
          <w:trHeight w:val="101"/>
        </w:trPr>
        <w:tc>
          <w:tcPr>
            <w:tcW w:w="3957" w:type="dxa"/>
            <w:vAlign w:val="center"/>
          </w:tcPr>
          <w:p w14:paraId="742C3E65" w14:textId="77777777" w:rsidR="00614E59" w:rsidRPr="003A235D" w:rsidRDefault="00614E59" w:rsidP="005B1CD5">
            <w:pPr>
              <w:pStyle w:val="TableText"/>
              <w:tabs>
                <w:tab w:val="left" w:pos="164"/>
              </w:tabs>
              <w:ind w:right="-114"/>
            </w:pPr>
            <w:r w:rsidRPr="003A235D">
              <w:t>All-cause mortality</w:t>
            </w:r>
          </w:p>
        </w:tc>
        <w:tc>
          <w:tcPr>
            <w:tcW w:w="1686" w:type="dxa"/>
            <w:vAlign w:val="center"/>
          </w:tcPr>
          <w:p w14:paraId="6062A119" w14:textId="77777777" w:rsidR="00614E59" w:rsidRPr="003A235D" w:rsidRDefault="00614E59" w:rsidP="005B1CD5">
            <w:pPr>
              <w:pStyle w:val="TableText"/>
              <w:ind w:left="-71" w:right="-62"/>
              <w:jc w:val="center"/>
              <w:rPr>
                <w:szCs w:val="20"/>
              </w:rPr>
            </w:pPr>
            <w:r w:rsidRPr="003A235D">
              <w:rPr>
                <w:szCs w:val="20"/>
              </w:rPr>
              <w:t>422 (14.1)</w:t>
            </w:r>
          </w:p>
        </w:tc>
        <w:tc>
          <w:tcPr>
            <w:tcW w:w="1687" w:type="dxa"/>
            <w:vAlign w:val="center"/>
          </w:tcPr>
          <w:p w14:paraId="42CB3863" w14:textId="77777777" w:rsidR="00614E59" w:rsidRPr="003A235D" w:rsidRDefault="00614E59" w:rsidP="005B1CD5">
            <w:pPr>
              <w:pStyle w:val="TableText"/>
              <w:ind w:left="-71" w:right="-62"/>
              <w:jc w:val="center"/>
              <w:rPr>
                <w:szCs w:val="20"/>
              </w:rPr>
            </w:pPr>
            <w:r w:rsidRPr="003A235D">
              <w:rPr>
                <w:szCs w:val="20"/>
              </w:rPr>
              <w:t>427 (14.3)</w:t>
            </w:r>
          </w:p>
        </w:tc>
        <w:tc>
          <w:tcPr>
            <w:tcW w:w="1687" w:type="dxa"/>
            <w:vAlign w:val="center"/>
          </w:tcPr>
          <w:p w14:paraId="093F14EC" w14:textId="77777777" w:rsidR="00614E59" w:rsidRPr="003A235D" w:rsidRDefault="00614E59" w:rsidP="005B1CD5">
            <w:pPr>
              <w:pStyle w:val="TableText"/>
              <w:ind w:left="-71" w:right="-62"/>
              <w:jc w:val="center"/>
              <w:rPr>
                <w:szCs w:val="20"/>
              </w:rPr>
            </w:pPr>
            <w:r w:rsidRPr="003A235D">
              <w:rPr>
                <w:szCs w:val="20"/>
              </w:rPr>
              <w:t>1.00 (0.87, 1.15)</w:t>
            </w:r>
          </w:p>
        </w:tc>
      </w:tr>
      <w:tr w:rsidR="00614E59" w:rsidRPr="003A235D" w14:paraId="22878665" w14:textId="77777777" w:rsidTr="00AE14F4">
        <w:trPr>
          <w:trHeight w:val="101"/>
        </w:trPr>
        <w:tc>
          <w:tcPr>
            <w:tcW w:w="3957" w:type="dxa"/>
            <w:vAlign w:val="center"/>
          </w:tcPr>
          <w:p w14:paraId="5BE9267B" w14:textId="77777777" w:rsidR="00614E59" w:rsidRPr="003A235D" w:rsidRDefault="00614E59" w:rsidP="005B1CD5">
            <w:pPr>
              <w:pStyle w:val="TableText"/>
              <w:tabs>
                <w:tab w:val="left" w:pos="164"/>
              </w:tabs>
              <w:ind w:right="-114"/>
            </w:pPr>
            <w:r w:rsidRPr="003A235D">
              <w:t>All cause hospitalisation (first and recurrent)</w:t>
            </w:r>
          </w:p>
        </w:tc>
        <w:tc>
          <w:tcPr>
            <w:tcW w:w="1686" w:type="dxa"/>
            <w:vAlign w:val="center"/>
          </w:tcPr>
          <w:p w14:paraId="1A76261C" w14:textId="77777777" w:rsidR="00614E59" w:rsidRPr="003A235D" w:rsidRDefault="00614E59" w:rsidP="005B1CD5">
            <w:pPr>
              <w:pStyle w:val="TableText"/>
              <w:ind w:left="-71" w:right="-62"/>
              <w:jc w:val="center"/>
              <w:rPr>
                <w:szCs w:val="20"/>
              </w:rPr>
            </w:pPr>
            <w:r w:rsidRPr="003A235D">
              <w:rPr>
                <w:szCs w:val="20"/>
              </w:rPr>
              <w:t>934 (31.2)</w:t>
            </w:r>
          </w:p>
        </w:tc>
        <w:tc>
          <w:tcPr>
            <w:tcW w:w="1687" w:type="dxa"/>
            <w:vAlign w:val="center"/>
          </w:tcPr>
          <w:p w14:paraId="41A0C974" w14:textId="77777777" w:rsidR="00614E59" w:rsidRPr="003A235D" w:rsidRDefault="00614E59" w:rsidP="005B1CD5">
            <w:pPr>
              <w:pStyle w:val="TableText"/>
              <w:ind w:left="-71" w:right="-62"/>
              <w:jc w:val="center"/>
              <w:rPr>
                <w:szCs w:val="20"/>
              </w:rPr>
            </w:pPr>
            <w:r w:rsidRPr="003A235D">
              <w:rPr>
                <w:szCs w:val="20"/>
              </w:rPr>
              <w:t>1004 (33.6)</w:t>
            </w:r>
          </w:p>
        </w:tc>
        <w:tc>
          <w:tcPr>
            <w:tcW w:w="1687" w:type="dxa"/>
            <w:vAlign w:val="center"/>
          </w:tcPr>
          <w:p w14:paraId="505D3358" w14:textId="77777777" w:rsidR="00614E59" w:rsidRPr="003A235D" w:rsidRDefault="00614E59" w:rsidP="005B1CD5">
            <w:pPr>
              <w:pStyle w:val="TableText"/>
              <w:ind w:left="-71" w:right="-62"/>
              <w:jc w:val="center"/>
              <w:rPr>
                <w:szCs w:val="20"/>
              </w:rPr>
            </w:pPr>
            <w:r w:rsidRPr="003A235D">
              <w:rPr>
                <w:szCs w:val="20"/>
              </w:rPr>
              <w:t>0.93 (0.85, 1.01)</w:t>
            </w:r>
          </w:p>
        </w:tc>
      </w:tr>
      <w:tr w:rsidR="00614E59" w:rsidRPr="003A235D" w14:paraId="0F60B4A6" w14:textId="77777777" w:rsidTr="00AE14F4">
        <w:tc>
          <w:tcPr>
            <w:tcW w:w="3957" w:type="dxa"/>
            <w:vAlign w:val="center"/>
          </w:tcPr>
          <w:p w14:paraId="443B98D9" w14:textId="77777777" w:rsidR="00614E59" w:rsidRPr="003A235D" w:rsidRDefault="00614E59" w:rsidP="005B1CD5">
            <w:pPr>
              <w:keepNext/>
              <w:tabs>
                <w:tab w:val="left" w:pos="164"/>
              </w:tabs>
              <w:ind w:right="-114"/>
              <w:rPr>
                <w:rFonts w:ascii="Arial Narrow" w:hAnsi="Arial Narrow"/>
                <w:sz w:val="20"/>
                <w:szCs w:val="20"/>
              </w:rPr>
            </w:pPr>
            <w:r w:rsidRPr="003A235D">
              <w:rPr>
                <w:rFonts w:ascii="Arial Narrow" w:hAnsi="Arial Narrow" w:cstheme="minorHAnsi"/>
                <w:bCs/>
                <w:sz w:val="20"/>
                <w:szCs w:val="20"/>
              </w:rPr>
              <w:t xml:space="preserve">Composite renal endpoint </w:t>
            </w:r>
            <w:r w:rsidRPr="003A235D">
              <w:rPr>
                <w:rFonts w:ascii="Arial Narrow" w:hAnsi="Arial Narrow" w:cstheme="minorHAnsi"/>
                <w:bCs/>
                <w:sz w:val="20"/>
                <w:szCs w:val="20"/>
                <w:vertAlign w:val="superscript"/>
              </w:rPr>
              <w:t>b</w:t>
            </w:r>
          </w:p>
        </w:tc>
        <w:tc>
          <w:tcPr>
            <w:tcW w:w="1686" w:type="dxa"/>
            <w:vAlign w:val="center"/>
          </w:tcPr>
          <w:p w14:paraId="3D639399" w14:textId="77777777" w:rsidR="00614E59" w:rsidRPr="003A235D" w:rsidRDefault="00614E59" w:rsidP="005B1CD5">
            <w:pPr>
              <w:keepNext/>
              <w:ind w:left="-71" w:right="-62"/>
              <w:jc w:val="center"/>
              <w:rPr>
                <w:rFonts w:ascii="Arial Narrow" w:hAnsi="Arial Narrow"/>
                <w:sz w:val="20"/>
                <w:szCs w:val="20"/>
              </w:rPr>
            </w:pPr>
            <w:r w:rsidRPr="003A235D">
              <w:rPr>
                <w:rFonts w:ascii="Arial Narrow" w:hAnsi="Arial Narrow"/>
                <w:sz w:val="20"/>
                <w:szCs w:val="20"/>
              </w:rPr>
              <w:t>108 (3.6)</w:t>
            </w:r>
          </w:p>
        </w:tc>
        <w:tc>
          <w:tcPr>
            <w:tcW w:w="1687" w:type="dxa"/>
            <w:vAlign w:val="center"/>
          </w:tcPr>
          <w:p w14:paraId="30223B76" w14:textId="77777777" w:rsidR="00614E59" w:rsidRPr="003A235D" w:rsidRDefault="00614E59" w:rsidP="005B1CD5">
            <w:pPr>
              <w:keepNext/>
              <w:ind w:left="-71" w:right="-62"/>
              <w:jc w:val="center"/>
              <w:rPr>
                <w:rFonts w:ascii="Arial Narrow" w:hAnsi="Arial Narrow"/>
                <w:sz w:val="20"/>
                <w:szCs w:val="20"/>
              </w:rPr>
            </w:pPr>
            <w:r w:rsidRPr="003A235D">
              <w:rPr>
                <w:rFonts w:ascii="Arial Narrow" w:hAnsi="Arial Narrow"/>
                <w:sz w:val="20"/>
                <w:szCs w:val="20"/>
              </w:rPr>
              <w:t>112 (3.7)</w:t>
            </w:r>
          </w:p>
        </w:tc>
        <w:tc>
          <w:tcPr>
            <w:tcW w:w="1687" w:type="dxa"/>
            <w:vAlign w:val="center"/>
          </w:tcPr>
          <w:p w14:paraId="2C4FE068" w14:textId="77777777" w:rsidR="00614E59" w:rsidRPr="003A235D" w:rsidRDefault="00614E59" w:rsidP="005B1CD5">
            <w:pPr>
              <w:keepNext/>
              <w:ind w:left="-71" w:right="-62"/>
              <w:jc w:val="center"/>
              <w:rPr>
                <w:rFonts w:ascii="Arial Narrow" w:hAnsi="Arial Narrow"/>
                <w:sz w:val="20"/>
                <w:szCs w:val="20"/>
              </w:rPr>
            </w:pPr>
            <w:r w:rsidRPr="003A235D">
              <w:rPr>
                <w:rFonts w:ascii="Arial Narrow" w:hAnsi="Arial Narrow"/>
                <w:sz w:val="20"/>
                <w:szCs w:val="20"/>
              </w:rPr>
              <w:t>0.95 (0.73, 1.24)</w:t>
            </w:r>
          </w:p>
        </w:tc>
      </w:tr>
    </w:tbl>
    <w:p w14:paraId="0BFF06FF" w14:textId="77777777" w:rsidR="00614E59" w:rsidRPr="003A235D" w:rsidRDefault="00614E59" w:rsidP="005B1CD5">
      <w:pPr>
        <w:pStyle w:val="COMTablefooter"/>
        <w:keepNext/>
      </w:pPr>
      <w:r w:rsidRPr="003A235D">
        <w:t>Source: Table 2.22, p91; Table 2.23, p93; Table 2.24, p94; Table 2.25, p95; Table 2.26, p97 of the submission.</w:t>
      </w:r>
    </w:p>
    <w:p w14:paraId="51BC0B13" w14:textId="77777777" w:rsidR="00614E59" w:rsidRPr="003A235D" w:rsidRDefault="00614E59" w:rsidP="005B1CD5">
      <w:pPr>
        <w:pStyle w:val="COMTablefooter"/>
        <w:keepNext/>
      </w:pPr>
      <w:r w:rsidRPr="003A235D">
        <w:t>Abbreviations: CV, cardiovascular; eGFR, estimated glomerular filtration rate; HHF, hospitalisation for heart failure; ITT, intention to treat.</w:t>
      </w:r>
    </w:p>
    <w:p w14:paraId="3601B8B6" w14:textId="77777777" w:rsidR="00614E59" w:rsidRPr="003A235D" w:rsidRDefault="00614E59" w:rsidP="005B1CD5">
      <w:pPr>
        <w:pStyle w:val="COMTablefooter"/>
        <w:keepNext/>
      </w:pPr>
      <w:r w:rsidRPr="003A235D">
        <w:rPr>
          <w:vertAlign w:val="superscript"/>
        </w:rPr>
        <w:t>a</w:t>
      </w:r>
      <w:r w:rsidRPr="003A235D">
        <w:t xml:space="preserve"> Hazard ratios &lt;1 favour empagliflozin</w:t>
      </w:r>
    </w:p>
    <w:p w14:paraId="7B17EBAA" w14:textId="77777777" w:rsidR="00614E59" w:rsidRPr="003A235D" w:rsidRDefault="00614E59" w:rsidP="00917990">
      <w:pPr>
        <w:pStyle w:val="COMTablefooter"/>
      </w:pPr>
      <w:r w:rsidRPr="003A235D">
        <w:rPr>
          <w:vertAlign w:val="superscript"/>
        </w:rPr>
        <w:t>b</w:t>
      </w:r>
      <w:r w:rsidRPr="003A235D">
        <w:t xml:space="preserve"> Composite of time to first event of (i) chronic dialysis (≥ 2 times/week for at least 90 days); (ii) renal transplant, (iii) sustained reduction in eGFR from baseline of ≥40%; (iv) sustained eGFR &lt;15 mL/min/1.73 m</w:t>
      </w:r>
      <w:r w:rsidRPr="003A235D">
        <w:rPr>
          <w:vertAlign w:val="superscript"/>
        </w:rPr>
        <w:t>2</w:t>
      </w:r>
      <w:r w:rsidRPr="003A235D">
        <w:t xml:space="preserve"> from baseline ≥30 mL/min/1.73 m</w:t>
      </w:r>
      <w:r w:rsidRPr="003A235D">
        <w:rPr>
          <w:vertAlign w:val="superscript"/>
        </w:rPr>
        <w:t>2</w:t>
      </w:r>
      <w:r w:rsidRPr="003A235D">
        <w:t>, or &lt;10 mL/min/1.73 m</w:t>
      </w:r>
      <w:r w:rsidRPr="003A235D">
        <w:rPr>
          <w:vertAlign w:val="superscript"/>
        </w:rPr>
        <w:t>2</w:t>
      </w:r>
      <w:r w:rsidRPr="003A235D">
        <w:t xml:space="preserve"> from baseline &lt;30 mL/min/1.73 m</w:t>
      </w:r>
      <w:r w:rsidRPr="003A235D">
        <w:rPr>
          <w:vertAlign w:val="superscript"/>
        </w:rPr>
        <w:t>2</w:t>
      </w:r>
      <w:r w:rsidRPr="003A235D">
        <w:t xml:space="preserve">. </w:t>
      </w:r>
    </w:p>
    <w:p w14:paraId="6156453A" w14:textId="45A80AC2" w:rsidR="00917990" w:rsidRPr="003A235D" w:rsidRDefault="00917990" w:rsidP="00A41DEF">
      <w:pPr>
        <w:pStyle w:val="ExecSumBodyText"/>
        <w:numPr>
          <w:ilvl w:val="1"/>
          <w:numId w:val="1"/>
        </w:numPr>
      </w:pPr>
      <w:r w:rsidRPr="003A235D">
        <w:t xml:space="preserve">Point estimates for </w:t>
      </w:r>
      <w:r w:rsidR="00165100" w:rsidRPr="003A235D">
        <w:t>the exploratory outcome of first adjudicated hospitalisation for heart failure</w:t>
      </w:r>
      <w:r w:rsidRPr="003A235D">
        <w:t xml:space="preserve"> favoured empagliflozin compared</w:t>
      </w:r>
      <w:r w:rsidR="00612092" w:rsidRPr="003A235D">
        <w:t xml:space="preserve"> to</w:t>
      </w:r>
      <w:r w:rsidRPr="003A235D">
        <w:t xml:space="preserve"> placebo, but given the outcome w</w:t>
      </w:r>
      <w:r w:rsidR="00165100" w:rsidRPr="003A235D">
        <w:t>as</w:t>
      </w:r>
      <w:r w:rsidRPr="003A235D">
        <w:t xml:space="preserve"> exploratory, </w:t>
      </w:r>
      <w:r w:rsidR="00612092" w:rsidRPr="003A235D">
        <w:t xml:space="preserve">any significant </w:t>
      </w:r>
      <w:r w:rsidRPr="003A235D">
        <w:t>difference should be considered nominal only. Similar proportions of cardiovascular death, all-cause mortality, all-cause hospitalisation</w:t>
      </w:r>
      <w:r w:rsidR="00200E4D" w:rsidRPr="003A235D">
        <w:t>,</w:t>
      </w:r>
      <w:r w:rsidRPr="003A235D">
        <w:t xml:space="preserve"> and the composite renal endpoint were reported in both treatment arms.</w:t>
      </w:r>
    </w:p>
    <w:p w14:paraId="2F0895F0" w14:textId="0FD2BEFC" w:rsidR="00E145FC" w:rsidRPr="003A235D" w:rsidRDefault="001B4934" w:rsidP="00A41DEF">
      <w:pPr>
        <w:pStyle w:val="ExecSumBodyText"/>
        <w:numPr>
          <w:ilvl w:val="1"/>
          <w:numId w:val="1"/>
        </w:numPr>
      </w:pPr>
      <w:bookmarkStart w:id="34" w:name="_Ref120738995"/>
      <w:r w:rsidRPr="003A235D">
        <w:t>The submission stated that t</w:t>
      </w:r>
      <w:r w:rsidR="00E145FC" w:rsidRPr="003A235D">
        <w:t>he cumulative incidence of adjudicated CV death suggests a decrease in the risk of CV death in the empagliflozin arm with clear separation of curves after 720 days</w:t>
      </w:r>
      <w:r w:rsidR="0035173A" w:rsidRPr="003A235D">
        <w:t>, but noted that t</w:t>
      </w:r>
      <w:r w:rsidR="00E145FC" w:rsidRPr="003A235D">
        <w:t>he EMPEROR-Preserved trial was not powered to detect differences in mortality outcomes. The submission also stated that the event rate for cardiovascular death was low over the median 26 months of follow-up (3.8 per 100 patient years in the placebo arm of the trial), and that only 55% of deaths occurring during the trial were attributed to cardiovascular causes. The low event rate coupled with a greater competing risk of non-CV deaths may have limited the statistical power of EMPEROR-Preserved to detect a significant treatment effect on cardiovascular mortality (McDowell and Docherty 2022). The corresponding incidence rate of cardiovascular death in the EMPEROR-Reduced trial was 8.1 per 100 patient years, with 76% of all deaths attributed to cardiovascular causes.</w:t>
      </w:r>
      <w:r w:rsidR="00EB5BCE" w:rsidRPr="003A235D">
        <w:t xml:space="preserve"> The ESC </w:t>
      </w:r>
      <w:r w:rsidR="00743557" w:rsidRPr="003A235D">
        <w:t>advis</w:t>
      </w:r>
      <w:r w:rsidR="00EB5BCE" w:rsidRPr="003A235D">
        <w:t>ed that</w:t>
      </w:r>
      <w:r w:rsidR="00743557" w:rsidRPr="003A235D">
        <w:t>,</w:t>
      </w:r>
      <w:r w:rsidR="00EB5BCE" w:rsidRPr="003A235D">
        <w:t xml:space="preserve"> </w:t>
      </w:r>
      <w:r w:rsidR="00743557" w:rsidRPr="003A235D">
        <w:t xml:space="preserve">unlike in HFrEF, it was not confident that a longer follow up period was likely to show </w:t>
      </w:r>
      <w:r w:rsidR="00EB5BCE" w:rsidRPr="003A235D">
        <w:t xml:space="preserve">any </w:t>
      </w:r>
      <w:r w:rsidR="00743557" w:rsidRPr="003A235D">
        <w:t xml:space="preserve">significant </w:t>
      </w:r>
      <w:r w:rsidR="00EB5BCE" w:rsidRPr="003A235D">
        <w:t xml:space="preserve">benefit in cardiovascular </w:t>
      </w:r>
      <w:r w:rsidR="00743557" w:rsidRPr="003A235D">
        <w:t>deaths in this population.</w:t>
      </w:r>
      <w:bookmarkEnd w:id="34"/>
    </w:p>
    <w:p w14:paraId="4F95470D" w14:textId="4CAC4766" w:rsidR="00144EE6" w:rsidRPr="003A235D" w:rsidRDefault="00144EE6" w:rsidP="00A41DEF">
      <w:pPr>
        <w:pStyle w:val="ExecSumBodyText"/>
        <w:numPr>
          <w:ilvl w:val="1"/>
          <w:numId w:val="1"/>
        </w:numPr>
      </w:pPr>
      <w:bookmarkStart w:id="35" w:name="_Ref120818794"/>
      <w:r w:rsidRPr="003A235D">
        <w:t>The PBAC noted the pre-PBAC response referred to a recently published meta-analysis that pooled data from EMPEROR-Preserved and DELIVER</w:t>
      </w:r>
      <w:r w:rsidRPr="003A235D">
        <w:footnoteReference w:id="2"/>
      </w:r>
      <w:r w:rsidRPr="003A235D">
        <w:t>.  The authors found that SGLT2 inhibitors reduced CV mortality by 12% with nominal significance and no statistically significant heterogeneity (HR 0.88; 95% CI: 0.77,1.00).</w:t>
      </w:r>
      <w:bookmarkEnd w:id="35"/>
    </w:p>
    <w:p w14:paraId="7E92600F" w14:textId="03FB0256" w:rsidR="00E145FC" w:rsidRPr="003A235D" w:rsidRDefault="00E145FC" w:rsidP="00A41DEF">
      <w:pPr>
        <w:pStyle w:val="ExecSumBodyText"/>
        <w:numPr>
          <w:ilvl w:val="1"/>
          <w:numId w:val="1"/>
        </w:numPr>
      </w:pPr>
      <w:r w:rsidRPr="003A235D">
        <w:lastRenderedPageBreak/>
        <w:t>Treatment with empagliflozin compared to placebo was associated with nominally significantly greater improvements in the KCCQ overall summary score, clinical summary score and total summary score from baseline to Week 52. Improvement</w:t>
      </w:r>
      <w:r w:rsidR="00946DB3" w:rsidRPr="003A235D">
        <w:t>s</w:t>
      </w:r>
      <w:r w:rsidRPr="003A235D">
        <w:t xml:space="preserve"> in the KCCQ clinical summary scores were demonstrated from week 12 of treatment in both treatment.</w:t>
      </w:r>
    </w:p>
    <w:p w14:paraId="5440586C" w14:textId="77777777" w:rsidR="00E2399E" w:rsidRPr="003A235D" w:rsidRDefault="00E2399E" w:rsidP="00A41DEF">
      <w:pPr>
        <w:pStyle w:val="ExecSumBodyText"/>
        <w:numPr>
          <w:ilvl w:val="1"/>
          <w:numId w:val="1"/>
        </w:numPr>
      </w:pPr>
      <w:bookmarkStart w:id="36" w:name="_Ref120819102"/>
      <w:r w:rsidRPr="003A235D">
        <w:t>The submission noted that a clinically meaningful improvement in KCCQ clinical summary score (≥5 points) occurred more frequently in the empagliflozin treatment arm (41.7% of patients) compared to placebo (38.7%; odds ratio 1.120; 95% CI 0.996, 1.259), and fewer patients in the empagliflozin treatment arm (30.3%) reported a clinically meaningful decrease in KCCQ score (≥5 points) compared to placebo (33.9%; odds ratio 0.852; 95% CI: 0.759, 0.957; Tables 15.2.3.6:11 and 15.2.3.6:12, pp538-539 of the EMPEROR-Preserved CSR).</w:t>
      </w:r>
      <w:bookmarkEnd w:id="36"/>
      <w:r w:rsidRPr="003A235D">
        <w:t xml:space="preserve"> </w:t>
      </w:r>
    </w:p>
    <w:p w14:paraId="51DAC91F" w14:textId="369FF683" w:rsidR="00E9092B" w:rsidRPr="003A235D" w:rsidRDefault="003A1CCD" w:rsidP="00A41DEF">
      <w:pPr>
        <w:pStyle w:val="ExecSumBodyText"/>
        <w:numPr>
          <w:ilvl w:val="1"/>
          <w:numId w:val="1"/>
        </w:numPr>
      </w:pPr>
      <w:r w:rsidRPr="003A235D">
        <w:t>H</w:t>
      </w:r>
      <w:r w:rsidR="00E9092B" w:rsidRPr="003A235D">
        <w:t>ealth-related quality of life was assessed using the EQ-5D-5L in the EMPEROR-Preserved trial,</w:t>
      </w:r>
      <w:r w:rsidRPr="003A235D">
        <w:t xml:space="preserve"> with</w:t>
      </w:r>
      <w:r w:rsidR="00E9092B" w:rsidRPr="003A235D">
        <w:t xml:space="preserve"> summary scores reported in the statistical analysis for the submission’s economic model</w:t>
      </w:r>
      <w:r w:rsidRPr="003A235D">
        <w:t xml:space="preserve">. Similar </w:t>
      </w:r>
      <w:r w:rsidR="00E9092B" w:rsidRPr="003A235D">
        <w:t>results</w:t>
      </w:r>
      <w:r w:rsidRPr="003A235D">
        <w:t xml:space="preserve"> were </w:t>
      </w:r>
      <w:r w:rsidR="00B91F58" w:rsidRPr="003A235D">
        <w:t>observed</w:t>
      </w:r>
      <w:r w:rsidR="00E9092B" w:rsidRPr="003A235D">
        <w:t xml:space="preserve"> between treatment arms</w:t>
      </w:r>
      <w:r w:rsidR="00B91F58" w:rsidRPr="003A235D">
        <w:t>, with scores remaining stable over time</w:t>
      </w:r>
      <w:r w:rsidR="00E9092B" w:rsidRPr="003A235D">
        <w:t>.</w:t>
      </w:r>
    </w:p>
    <w:p w14:paraId="7C722E31" w14:textId="536B2469" w:rsidR="00C518FE" w:rsidRPr="003A235D" w:rsidRDefault="001A3E47" w:rsidP="00A41DEF">
      <w:pPr>
        <w:pStyle w:val="ExecSumBodyText"/>
        <w:numPr>
          <w:ilvl w:val="1"/>
          <w:numId w:val="1"/>
        </w:numPr>
      </w:pPr>
      <w:r w:rsidRPr="003A235D">
        <w:t xml:space="preserve">The results of pre-specified subgroup analyses for the primary outcome of </w:t>
      </w:r>
      <w:r w:rsidR="00C518FE" w:rsidRPr="003A235D">
        <w:t>time to first cardiovascular death or hospitalisation for heart failure w</w:t>
      </w:r>
      <w:r w:rsidRPr="003A235D">
        <w:t>ere</w:t>
      </w:r>
      <w:r w:rsidR="00C518FE" w:rsidRPr="003A235D">
        <w:t xml:space="preserve"> generally consistent with the result reported for the ITT population. There were no nominally significant differences between subgroups in tests for treatment effect.</w:t>
      </w:r>
    </w:p>
    <w:p w14:paraId="3254A1EE" w14:textId="4E31FD83" w:rsidR="00A375BC" w:rsidRPr="003A235D" w:rsidRDefault="00A375BC" w:rsidP="00A41DEF">
      <w:pPr>
        <w:pStyle w:val="ExecSumBodyText"/>
        <w:numPr>
          <w:ilvl w:val="1"/>
          <w:numId w:val="1"/>
        </w:numPr>
      </w:pPr>
      <w:r w:rsidRPr="003A235D">
        <w:t>The submission summarised the results of a pooled analysis of patient-level data from the EMPEROR-Reduced and EMPEROR-Preserved trials</w:t>
      </w:r>
      <w:r w:rsidR="009969C9" w:rsidRPr="003A235D">
        <w:t xml:space="preserve"> (Butler 2021)</w:t>
      </w:r>
      <w:r w:rsidRPr="003A235D">
        <w:t xml:space="preserve"> that evaluated the effect of empagliflozin on heart failure outcomes across the full range of left ventricular ejection fraction. </w:t>
      </w:r>
      <w:r w:rsidR="00257619" w:rsidRPr="003A235D">
        <w:t xml:space="preserve">In a post hoc analysis, </w:t>
      </w:r>
      <w:r w:rsidRPr="003A235D">
        <w:t xml:space="preserve">9,718 patients were divided into six </w:t>
      </w:r>
      <w:r w:rsidR="00257619" w:rsidRPr="003A235D">
        <w:t xml:space="preserve">LVEF </w:t>
      </w:r>
      <w:r w:rsidRPr="003A235D">
        <w:t xml:space="preserve">groups: &lt;25%, 25-34%, 35-44%, 45-54%, 55-64% and ≥65%. There were </w:t>
      </w:r>
      <w:r w:rsidR="00125DB6" w:rsidRPr="003A235D">
        <w:t xml:space="preserve">clear </w:t>
      </w:r>
      <w:r w:rsidRPr="003A235D">
        <w:t>differences in baseline patient characteristics across the spectrum of LVEF – patients with higher LVEF were more likely to be older and female, and with impaired renal function and lower levels of natriuretic peptides. The prevalence of comorbid diseases also differed, with increasing LVEF associated with decreasing prevalence of ischaemic heart disease but increasing prevalence of atrial fibrillation.</w:t>
      </w:r>
    </w:p>
    <w:p w14:paraId="52ED5EB8" w14:textId="44C89EB4" w:rsidR="00A375BC" w:rsidRPr="003A235D" w:rsidRDefault="00A375BC" w:rsidP="00A41DEF">
      <w:pPr>
        <w:pStyle w:val="ExecSumBodyText"/>
        <w:numPr>
          <w:ilvl w:val="1"/>
          <w:numId w:val="1"/>
        </w:numPr>
      </w:pPr>
      <w:r w:rsidRPr="003A235D">
        <w:t xml:space="preserve">Results of the pooled analysis for heart failure outcomes and health status are summarised in </w:t>
      </w:r>
      <w:r w:rsidR="00D06271" w:rsidRPr="003A235D">
        <w:fldChar w:fldCharType="begin" w:fldLock="1"/>
      </w:r>
      <w:r w:rsidR="00D06271" w:rsidRPr="003A235D">
        <w:instrText xml:space="preserve"> REF _Ref111131630 \h </w:instrText>
      </w:r>
      <w:r w:rsidR="00A41DEF" w:rsidRPr="003A235D">
        <w:instrText xml:space="preserve"> \* MERGEFORMAT </w:instrText>
      </w:r>
      <w:r w:rsidR="00D06271" w:rsidRPr="003A235D">
        <w:fldChar w:fldCharType="separate"/>
      </w:r>
      <w:r w:rsidR="004646F5" w:rsidRPr="003A235D">
        <w:t>Table 7</w:t>
      </w:r>
      <w:r w:rsidR="00D06271" w:rsidRPr="003A235D">
        <w:fldChar w:fldCharType="end"/>
      </w:r>
      <w:r w:rsidRPr="003A235D">
        <w:t>.</w:t>
      </w:r>
    </w:p>
    <w:p w14:paraId="2A4F0A60" w14:textId="6AAC0962" w:rsidR="00A375BC" w:rsidRPr="003A235D" w:rsidRDefault="00A375BC" w:rsidP="00423D0C">
      <w:pPr>
        <w:pStyle w:val="Caption"/>
        <w:rPr>
          <w:lang w:val="en-AU"/>
        </w:rPr>
      </w:pPr>
      <w:bookmarkStart w:id="37" w:name="_Ref111131630"/>
      <w:r w:rsidRPr="003A235D">
        <w:rPr>
          <w:lang w:val="en-AU"/>
        </w:rPr>
        <w:lastRenderedPageBreak/>
        <w:t xml:space="preserve">Table </w:t>
      </w:r>
      <w:r w:rsidR="00D06271" w:rsidRPr="003A235D">
        <w:rPr>
          <w:lang w:val="en-AU"/>
        </w:rPr>
        <w:fldChar w:fldCharType="begin" w:fldLock="1"/>
      </w:r>
      <w:r w:rsidR="00D06271" w:rsidRPr="003A235D">
        <w:rPr>
          <w:lang w:val="en-AU"/>
        </w:rPr>
        <w:instrText xml:space="preserve"> SEQ Table \* ARABIC </w:instrText>
      </w:r>
      <w:r w:rsidR="00D06271" w:rsidRPr="003A235D">
        <w:rPr>
          <w:lang w:val="en-AU"/>
        </w:rPr>
        <w:fldChar w:fldCharType="separate"/>
      </w:r>
      <w:r w:rsidR="004646F5" w:rsidRPr="003A235D">
        <w:rPr>
          <w:lang w:val="en-AU"/>
        </w:rPr>
        <w:t>7</w:t>
      </w:r>
      <w:r w:rsidR="00D06271" w:rsidRPr="003A235D">
        <w:rPr>
          <w:lang w:val="en-AU"/>
        </w:rPr>
        <w:fldChar w:fldCharType="end"/>
      </w:r>
      <w:bookmarkEnd w:id="37"/>
      <w:r w:rsidRPr="003A235D">
        <w:rPr>
          <w:lang w:val="en-AU"/>
        </w:rPr>
        <w:t>: Efficacy of empagliflozin on heart failure outcomes and health status in EMPEROR-Reduced and EMPEROR-Preserved, by LVEF</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7: Efficacy of empagliflozin on heart failure outcomes and health status in EMPEROR-Reduced and EMPEROR-Preserved, by LVEF"/>
      </w:tblPr>
      <w:tblGrid>
        <w:gridCol w:w="1651"/>
        <w:gridCol w:w="1226"/>
        <w:gridCol w:w="1228"/>
        <w:gridCol w:w="1228"/>
        <w:gridCol w:w="1228"/>
        <w:gridCol w:w="1228"/>
        <w:gridCol w:w="1228"/>
      </w:tblGrid>
      <w:tr w:rsidR="00A375BC" w:rsidRPr="003A235D" w14:paraId="7B5CC922" w14:textId="77777777" w:rsidTr="009A2848">
        <w:trPr>
          <w:tblHeader/>
        </w:trPr>
        <w:tc>
          <w:tcPr>
            <w:tcW w:w="915" w:type="pct"/>
            <w:vMerge w:val="restart"/>
            <w:vAlign w:val="center"/>
          </w:tcPr>
          <w:p w14:paraId="354DC397" w14:textId="77777777" w:rsidR="00A375BC" w:rsidRPr="003A235D" w:rsidRDefault="00A375BC" w:rsidP="009A2848">
            <w:pPr>
              <w:pStyle w:val="COMTableheadingrow"/>
              <w:jc w:val="center"/>
              <w:rPr>
                <w:vertAlign w:val="superscript"/>
                <w:lang w:val="en-AU"/>
              </w:rPr>
            </w:pPr>
            <w:r w:rsidRPr="003A235D">
              <w:rPr>
                <w:lang w:val="en-AU"/>
              </w:rPr>
              <w:t>Outcome measure</w:t>
            </w:r>
            <w:r w:rsidRPr="003A235D">
              <w:rPr>
                <w:vertAlign w:val="superscript"/>
                <w:lang w:val="en-AU"/>
              </w:rPr>
              <w:t>a</w:t>
            </w:r>
          </w:p>
        </w:tc>
        <w:tc>
          <w:tcPr>
            <w:tcW w:w="4085" w:type="pct"/>
            <w:gridSpan w:val="6"/>
            <w:vAlign w:val="center"/>
          </w:tcPr>
          <w:p w14:paraId="035552F9" w14:textId="77777777" w:rsidR="00A375BC" w:rsidRPr="003A235D" w:rsidRDefault="00A375BC" w:rsidP="009A2848">
            <w:pPr>
              <w:pStyle w:val="COMTableheadingrow"/>
              <w:jc w:val="center"/>
              <w:rPr>
                <w:rFonts w:cs="Calibri"/>
                <w:lang w:val="en-AU"/>
              </w:rPr>
            </w:pPr>
            <w:r w:rsidRPr="003A235D">
              <w:rPr>
                <w:rFonts w:cs="Calibri"/>
                <w:lang w:val="en-AU"/>
              </w:rPr>
              <w:t>Left ventricular ejection fraction range</w:t>
            </w:r>
          </w:p>
        </w:tc>
      </w:tr>
      <w:tr w:rsidR="00A375BC" w:rsidRPr="003A235D" w14:paraId="16713BF3" w14:textId="77777777" w:rsidTr="009A2848">
        <w:trPr>
          <w:tblHeader/>
        </w:trPr>
        <w:tc>
          <w:tcPr>
            <w:tcW w:w="915" w:type="pct"/>
            <w:vMerge/>
            <w:vAlign w:val="center"/>
          </w:tcPr>
          <w:p w14:paraId="319D23C7" w14:textId="77777777" w:rsidR="00A375BC" w:rsidRPr="003A235D" w:rsidRDefault="00A375BC" w:rsidP="009A2848">
            <w:pPr>
              <w:pStyle w:val="COMTableheadingrow"/>
              <w:jc w:val="center"/>
              <w:rPr>
                <w:lang w:val="en-AU"/>
              </w:rPr>
            </w:pPr>
          </w:p>
        </w:tc>
        <w:tc>
          <w:tcPr>
            <w:tcW w:w="680" w:type="pct"/>
            <w:vAlign w:val="center"/>
          </w:tcPr>
          <w:p w14:paraId="74724E99" w14:textId="77777777" w:rsidR="00A375BC" w:rsidRPr="003A235D" w:rsidRDefault="00A375BC" w:rsidP="009A2848">
            <w:pPr>
              <w:pStyle w:val="COMTableheadingrow"/>
              <w:jc w:val="center"/>
              <w:rPr>
                <w:lang w:val="en-AU"/>
              </w:rPr>
            </w:pPr>
            <w:r w:rsidRPr="003A235D">
              <w:rPr>
                <w:lang w:val="en-AU"/>
              </w:rPr>
              <w:t>&lt;25%</w:t>
            </w:r>
          </w:p>
          <w:p w14:paraId="603E4475" w14:textId="77777777" w:rsidR="00A375BC" w:rsidRPr="003A235D" w:rsidRDefault="00A375BC" w:rsidP="009A2848">
            <w:pPr>
              <w:pStyle w:val="COMTableheadingrow"/>
              <w:jc w:val="center"/>
              <w:rPr>
                <w:lang w:val="en-AU"/>
              </w:rPr>
            </w:pPr>
            <w:r w:rsidRPr="003A235D">
              <w:rPr>
                <w:lang w:val="en-AU"/>
              </w:rPr>
              <w:t>EMP n=476</w:t>
            </w:r>
          </w:p>
          <w:p w14:paraId="4FD52687" w14:textId="77777777" w:rsidR="00A375BC" w:rsidRPr="003A235D" w:rsidRDefault="00A375BC" w:rsidP="009A2848">
            <w:pPr>
              <w:pStyle w:val="COMTableheadingrow"/>
              <w:jc w:val="center"/>
              <w:rPr>
                <w:lang w:val="en-AU"/>
              </w:rPr>
            </w:pPr>
            <w:r w:rsidRPr="003A235D">
              <w:rPr>
                <w:lang w:val="en-AU"/>
              </w:rPr>
              <w:t>PBO n=523</w:t>
            </w:r>
          </w:p>
        </w:tc>
        <w:tc>
          <w:tcPr>
            <w:tcW w:w="681" w:type="pct"/>
            <w:vAlign w:val="center"/>
          </w:tcPr>
          <w:p w14:paraId="3F33E3B5" w14:textId="77777777" w:rsidR="00A375BC" w:rsidRPr="003A235D" w:rsidRDefault="00A375BC" w:rsidP="009A2848">
            <w:pPr>
              <w:pStyle w:val="COMTableheadingrow"/>
              <w:jc w:val="center"/>
              <w:rPr>
                <w:lang w:val="en-AU"/>
              </w:rPr>
            </w:pPr>
            <w:r w:rsidRPr="003A235D">
              <w:rPr>
                <w:lang w:val="en-AU"/>
              </w:rPr>
              <w:t>25-34%</w:t>
            </w:r>
          </w:p>
          <w:p w14:paraId="44B3685A" w14:textId="7E01AE5D" w:rsidR="00A375BC" w:rsidRPr="003A235D" w:rsidRDefault="00A375BC" w:rsidP="009A2848">
            <w:pPr>
              <w:pStyle w:val="COMTableheadingrow"/>
              <w:jc w:val="center"/>
              <w:rPr>
                <w:lang w:val="en-AU"/>
              </w:rPr>
            </w:pPr>
            <w:r w:rsidRPr="003A235D">
              <w:rPr>
                <w:lang w:val="en-AU"/>
              </w:rPr>
              <w:t>EMP n=1</w:t>
            </w:r>
            <w:r w:rsidR="00125DB6" w:rsidRPr="003A235D">
              <w:rPr>
                <w:lang w:val="en-AU"/>
              </w:rPr>
              <w:t>,</w:t>
            </w:r>
            <w:r w:rsidRPr="003A235D">
              <w:rPr>
                <w:lang w:val="en-AU"/>
              </w:rPr>
              <w:t>115</w:t>
            </w:r>
          </w:p>
          <w:p w14:paraId="31B7171E" w14:textId="218B2E3B" w:rsidR="00A375BC" w:rsidRPr="003A235D" w:rsidRDefault="00A375BC" w:rsidP="009A2848">
            <w:pPr>
              <w:pStyle w:val="COMTableheadingrow"/>
              <w:jc w:val="center"/>
              <w:rPr>
                <w:lang w:val="en-AU"/>
              </w:rPr>
            </w:pPr>
            <w:r w:rsidRPr="003A235D">
              <w:rPr>
                <w:lang w:val="en-AU"/>
              </w:rPr>
              <w:t>PBO n=1</w:t>
            </w:r>
            <w:r w:rsidR="00125DB6" w:rsidRPr="003A235D">
              <w:rPr>
                <w:lang w:val="en-AU"/>
              </w:rPr>
              <w:t>,</w:t>
            </w:r>
            <w:r w:rsidRPr="003A235D">
              <w:rPr>
                <w:lang w:val="en-AU"/>
              </w:rPr>
              <w:t>115</w:t>
            </w:r>
          </w:p>
        </w:tc>
        <w:tc>
          <w:tcPr>
            <w:tcW w:w="681" w:type="pct"/>
            <w:vAlign w:val="center"/>
          </w:tcPr>
          <w:p w14:paraId="57FEAC3E" w14:textId="77777777" w:rsidR="00A375BC" w:rsidRPr="003A235D" w:rsidRDefault="00A375BC" w:rsidP="009A2848">
            <w:pPr>
              <w:pStyle w:val="COMTableheadingrow"/>
              <w:jc w:val="center"/>
              <w:rPr>
                <w:lang w:val="en-AU"/>
              </w:rPr>
            </w:pPr>
            <w:r w:rsidRPr="003A235D">
              <w:rPr>
                <w:lang w:val="en-AU"/>
              </w:rPr>
              <w:t>35-44%</w:t>
            </w:r>
          </w:p>
          <w:p w14:paraId="6022B843" w14:textId="77777777" w:rsidR="00A375BC" w:rsidRPr="003A235D" w:rsidRDefault="00A375BC" w:rsidP="009A2848">
            <w:pPr>
              <w:pStyle w:val="COMTableheadingrow"/>
              <w:jc w:val="center"/>
              <w:rPr>
                <w:lang w:val="en-AU"/>
              </w:rPr>
            </w:pPr>
            <w:r w:rsidRPr="003A235D">
              <w:rPr>
                <w:lang w:val="en-AU"/>
              </w:rPr>
              <w:t>EMP n=659</w:t>
            </w:r>
          </w:p>
          <w:p w14:paraId="2F03D834" w14:textId="77777777" w:rsidR="00A375BC" w:rsidRPr="003A235D" w:rsidRDefault="00A375BC" w:rsidP="009A2848">
            <w:pPr>
              <w:pStyle w:val="COMTableheadingrow"/>
              <w:jc w:val="center"/>
              <w:rPr>
                <w:lang w:val="en-AU"/>
              </w:rPr>
            </w:pPr>
            <w:r w:rsidRPr="003A235D">
              <w:rPr>
                <w:lang w:val="en-AU"/>
              </w:rPr>
              <w:t>PBO n=613</w:t>
            </w:r>
          </w:p>
        </w:tc>
        <w:tc>
          <w:tcPr>
            <w:tcW w:w="681" w:type="pct"/>
            <w:vAlign w:val="center"/>
          </w:tcPr>
          <w:p w14:paraId="418A1204" w14:textId="77777777" w:rsidR="00A375BC" w:rsidRPr="003A235D" w:rsidRDefault="00A375BC" w:rsidP="009A2848">
            <w:pPr>
              <w:pStyle w:val="COMTableheadingrow"/>
              <w:jc w:val="center"/>
              <w:rPr>
                <w:lang w:val="en-AU"/>
              </w:rPr>
            </w:pPr>
            <w:r w:rsidRPr="003A235D">
              <w:rPr>
                <w:lang w:val="en-AU"/>
              </w:rPr>
              <w:t>45-54%</w:t>
            </w:r>
          </w:p>
          <w:p w14:paraId="68E1F619" w14:textId="73795E6E" w:rsidR="00A375BC" w:rsidRPr="003A235D" w:rsidRDefault="00A375BC" w:rsidP="009A2848">
            <w:pPr>
              <w:pStyle w:val="COMTableheadingrow"/>
              <w:jc w:val="center"/>
              <w:rPr>
                <w:lang w:val="en-AU"/>
              </w:rPr>
            </w:pPr>
            <w:r w:rsidRPr="003A235D">
              <w:rPr>
                <w:lang w:val="en-AU"/>
              </w:rPr>
              <w:t>EMP n=1</w:t>
            </w:r>
            <w:r w:rsidR="00125DB6" w:rsidRPr="003A235D">
              <w:rPr>
                <w:lang w:val="en-AU"/>
              </w:rPr>
              <w:t>,</w:t>
            </w:r>
            <w:r w:rsidRPr="003A235D">
              <w:rPr>
                <w:lang w:val="en-AU"/>
              </w:rPr>
              <w:t>111</w:t>
            </w:r>
          </w:p>
          <w:p w14:paraId="3FAB0455" w14:textId="1228895D" w:rsidR="00A375BC" w:rsidRPr="003A235D" w:rsidRDefault="00A375BC" w:rsidP="009A2848">
            <w:pPr>
              <w:pStyle w:val="COMTableheadingrow"/>
              <w:jc w:val="center"/>
              <w:rPr>
                <w:lang w:val="en-AU"/>
              </w:rPr>
            </w:pPr>
            <w:r w:rsidRPr="003A235D">
              <w:rPr>
                <w:lang w:val="en-AU"/>
              </w:rPr>
              <w:t>PBO n=1</w:t>
            </w:r>
            <w:r w:rsidR="00125DB6" w:rsidRPr="003A235D">
              <w:rPr>
                <w:lang w:val="en-AU"/>
              </w:rPr>
              <w:t>,</w:t>
            </w:r>
            <w:r w:rsidRPr="003A235D">
              <w:rPr>
                <w:lang w:val="en-AU"/>
              </w:rPr>
              <w:t>149</w:t>
            </w:r>
          </w:p>
        </w:tc>
        <w:tc>
          <w:tcPr>
            <w:tcW w:w="681" w:type="pct"/>
            <w:vAlign w:val="center"/>
          </w:tcPr>
          <w:p w14:paraId="1ED21642" w14:textId="77777777" w:rsidR="00A375BC" w:rsidRPr="003A235D" w:rsidRDefault="00A375BC" w:rsidP="009A2848">
            <w:pPr>
              <w:pStyle w:val="COMTableheadingrow"/>
              <w:jc w:val="center"/>
              <w:rPr>
                <w:lang w:val="en-AU"/>
              </w:rPr>
            </w:pPr>
            <w:r w:rsidRPr="003A235D">
              <w:rPr>
                <w:lang w:val="en-AU"/>
              </w:rPr>
              <w:t>55-64%</w:t>
            </w:r>
          </w:p>
          <w:p w14:paraId="7CACB299" w14:textId="382A81BD" w:rsidR="00A375BC" w:rsidRPr="003A235D" w:rsidRDefault="00A375BC" w:rsidP="009A2848">
            <w:pPr>
              <w:pStyle w:val="COMTableheadingrow"/>
              <w:jc w:val="center"/>
              <w:rPr>
                <w:lang w:val="en-AU"/>
              </w:rPr>
            </w:pPr>
            <w:r w:rsidRPr="003A235D">
              <w:rPr>
                <w:lang w:val="en-AU"/>
              </w:rPr>
              <w:t>EMP n=1</w:t>
            </w:r>
            <w:r w:rsidR="00125DB6" w:rsidRPr="003A235D">
              <w:rPr>
                <w:lang w:val="en-AU"/>
              </w:rPr>
              <w:t>,</w:t>
            </w:r>
            <w:r w:rsidRPr="003A235D">
              <w:rPr>
                <w:lang w:val="en-AU"/>
              </w:rPr>
              <w:t>071</w:t>
            </w:r>
          </w:p>
          <w:p w14:paraId="084C8282" w14:textId="51BFF80A" w:rsidR="00A375BC" w:rsidRPr="003A235D" w:rsidRDefault="00A375BC" w:rsidP="009A2848">
            <w:pPr>
              <w:pStyle w:val="COMTableheadingrow"/>
              <w:jc w:val="center"/>
              <w:rPr>
                <w:lang w:val="en-AU"/>
              </w:rPr>
            </w:pPr>
            <w:r w:rsidRPr="003A235D">
              <w:rPr>
                <w:lang w:val="en-AU"/>
              </w:rPr>
              <w:t>PBO n=1</w:t>
            </w:r>
            <w:r w:rsidR="00125DB6" w:rsidRPr="003A235D">
              <w:rPr>
                <w:lang w:val="en-AU"/>
              </w:rPr>
              <w:t>,</w:t>
            </w:r>
            <w:r w:rsidRPr="003A235D">
              <w:rPr>
                <w:lang w:val="en-AU"/>
              </w:rPr>
              <w:t>021</w:t>
            </w:r>
          </w:p>
        </w:tc>
        <w:tc>
          <w:tcPr>
            <w:tcW w:w="681" w:type="pct"/>
            <w:vAlign w:val="center"/>
          </w:tcPr>
          <w:p w14:paraId="7A37707E" w14:textId="77777777" w:rsidR="00A375BC" w:rsidRPr="003A235D" w:rsidRDefault="00A375BC" w:rsidP="009A2848">
            <w:pPr>
              <w:pStyle w:val="COMTableheadingrow"/>
              <w:jc w:val="center"/>
              <w:rPr>
                <w:lang w:val="en-AU"/>
              </w:rPr>
            </w:pPr>
            <w:r w:rsidRPr="003A235D">
              <w:rPr>
                <w:rFonts w:cs="Calibri"/>
                <w:lang w:val="en-AU"/>
              </w:rPr>
              <w:t>≥</w:t>
            </w:r>
            <w:r w:rsidRPr="003A235D">
              <w:rPr>
                <w:lang w:val="en-AU"/>
              </w:rPr>
              <w:t>65%</w:t>
            </w:r>
          </w:p>
          <w:p w14:paraId="3BE3859D" w14:textId="77777777" w:rsidR="00A375BC" w:rsidRPr="003A235D" w:rsidRDefault="00A375BC" w:rsidP="009A2848">
            <w:pPr>
              <w:pStyle w:val="COMTableheadingrow"/>
              <w:jc w:val="center"/>
              <w:rPr>
                <w:lang w:val="en-AU"/>
              </w:rPr>
            </w:pPr>
            <w:r w:rsidRPr="003A235D">
              <w:rPr>
                <w:lang w:val="en-AU"/>
              </w:rPr>
              <w:t>EMP n=428</w:t>
            </w:r>
          </w:p>
          <w:p w14:paraId="2289AAFC" w14:textId="77777777" w:rsidR="00A375BC" w:rsidRPr="003A235D" w:rsidRDefault="00A375BC" w:rsidP="009A2848">
            <w:pPr>
              <w:pStyle w:val="COMTableheadingrow"/>
              <w:jc w:val="center"/>
              <w:rPr>
                <w:lang w:val="en-AU"/>
              </w:rPr>
            </w:pPr>
            <w:r w:rsidRPr="003A235D">
              <w:rPr>
                <w:lang w:val="en-AU"/>
              </w:rPr>
              <w:t>PBO n=437</w:t>
            </w:r>
          </w:p>
        </w:tc>
      </w:tr>
      <w:tr w:rsidR="00A375BC" w:rsidRPr="003A235D" w14:paraId="6C0035F6" w14:textId="77777777" w:rsidTr="009A2848">
        <w:tc>
          <w:tcPr>
            <w:tcW w:w="915" w:type="pct"/>
            <w:vAlign w:val="center"/>
          </w:tcPr>
          <w:p w14:paraId="111587D0" w14:textId="77777777" w:rsidR="00A375BC" w:rsidRPr="003A235D" w:rsidRDefault="00A375BC" w:rsidP="009A2848">
            <w:pPr>
              <w:pStyle w:val="TableText"/>
              <w:tabs>
                <w:tab w:val="right" w:pos="2340"/>
              </w:tabs>
              <w:rPr>
                <w:iCs/>
                <w:szCs w:val="20"/>
              </w:rPr>
            </w:pPr>
            <w:r w:rsidRPr="003A235D">
              <w:rPr>
                <w:iCs/>
                <w:szCs w:val="20"/>
              </w:rPr>
              <w:t>HHF or CV death</w:t>
            </w:r>
          </w:p>
        </w:tc>
        <w:tc>
          <w:tcPr>
            <w:tcW w:w="680" w:type="pct"/>
          </w:tcPr>
          <w:p w14:paraId="0207E253" w14:textId="77777777" w:rsidR="00A375BC" w:rsidRPr="003A235D" w:rsidRDefault="00A375BC" w:rsidP="009A2848">
            <w:pPr>
              <w:pStyle w:val="TableText"/>
              <w:jc w:val="center"/>
            </w:pPr>
            <w:r w:rsidRPr="003A235D">
              <w:t xml:space="preserve">0.77 </w:t>
            </w:r>
          </w:p>
          <w:p w14:paraId="038240A1" w14:textId="77777777" w:rsidR="00A375BC" w:rsidRPr="003A235D" w:rsidRDefault="00A375BC" w:rsidP="009A2848">
            <w:pPr>
              <w:pStyle w:val="TableText"/>
              <w:jc w:val="center"/>
              <w:rPr>
                <w:szCs w:val="20"/>
              </w:rPr>
            </w:pPr>
            <w:r w:rsidRPr="003A235D">
              <w:t>(0.60, 0.98)</w:t>
            </w:r>
          </w:p>
        </w:tc>
        <w:tc>
          <w:tcPr>
            <w:tcW w:w="681" w:type="pct"/>
          </w:tcPr>
          <w:p w14:paraId="36F615FE" w14:textId="77777777" w:rsidR="00A375BC" w:rsidRPr="003A235D" w:rsidRDefault="00A375BC" w:rsidP="009A2848">
            <w:pPr>
              <w:pStyle w:val="TableText"/>
              <w:jc w:val="center"/>
            </w:pPr>
            <w:r w:rsidRPr="003A235D">
              <w:t>0.72</w:t>
            </w:r>
          </w:p>
          <w:p w14:paraId="19B66FE8" w14:textId="77777777" w:rsidR="00A375BC" w:rsidRPr="003A235D" w:rsidRDefault="00A375BC" w:rsidP="009A2848">
            <w:pPr>
              <w:pStyle w:val="TableText"/>
              <w:jc w:val="center"/>
              <w:rPr>
                <w:szCs w:val="20"/>
              </w:rPr>
            </w:pPr>
            <w:r w:rsidRPr="003A235D">
              <w:t>(0.59, 0.87)</w:t>
            </w:r>
          </w:p>
        </w:tc>
        <w:tc>
          <w:tcPr>
            <w:tcW w:w="681" w:type="pct"/>
          </w:tcPr>
          <w:p w14:paraId="06EFDC25" w14:textId="77777777" w:rsidR="00A375BC" w:rsidRPr="003A235D" w:rsidRDefault="00A375BC" w:rsidP="009A2848">
            <w:pPr>
              <w:pStyle w:val="TableText"/>
              <w:jc w:val="center"/>
            </w:pPr>
            <w:r w:rsidRPr="003A235D">
              <w:t>0.82</w:t>
            </w:r>
          </w:p>
          <w:p w14:paraId="3ADD2825" w14:textId="77777777" w:rsidR="00A375BC" w:rsidRPr="003A235D" w:rsidRDefault="00A375BC" w:rsidP="009A2848">
            <w:pPr>
              <w:pStyle w:val="TableText"/>
              <w:jc w:val="center"/>
              <w:rPr>
                <w:szCs w:val="20"/>
              </w:rPr>
            </w:pPr>
            <w:r w:rsidRPr="003A235D">
              <w:t>(0.63, 1.05)</w:t>
            </w:r>
          </w:p>
        </w:tc>
        <w:tc>
          <w:tcPr>
            <w:tcW w:w="681" w:type="pct"/>
          </w:tcPr>
          <w:p w14:paraId="5159EFD4" w14:textId="77777777" w:rsidR="00A375BC" w:rsidRPr="003A235D" w:rsidRDefault="00A375BC" w:rsidP="009A2848">
            <w:pPr>
              <w:pStyle w:val="TableText"/>
              <w:jc w:val="center"/>
            </w:pPr>
            <w:r w:rsidRPr="003A235D">
              <w:t>0.74</w:t>
            </w:r>
          </w:p>
          <w:p w14:paraId="0252706F" w14:textId="77777777" w:rsidR="00A375BC" w:rsidRPr="003A235D" w:rsidRDefault="00A375BC" w:rsidP="009A2848">
            <w:pPr>
              <w:pStyle w:val="TableText"/>
              <w:jc w:val="center"/>
              <w:rPr>
                <w:szCs w:val="20"/>
              </w:rPr>
            </w:pPr>
            <w:r w:rsidRPr="003A235D">
              <w:t>(0.61, 0.91)</w:t>
            </w:r>
          </w:p>
        </w:tc>
        <w:tc>
          <w:tcPr>
            <w:tcW w:w="681" w:type="pct"/>
          </w:tcPr>
          <w:p w14:paraId="2FB012B0" w14:textId="77777777" w:rsidR="00A375BC" w:rsidRPr="003A235D" w:rsidRDefault="00A375BC" w:rsidP="009A2848">
            <w:pPr>
              <w:pStyle w:val="TableText"/>
              <w:jc w:val="center"/>
            </w:pPr>
            <w:r w:rsidRPr="003A235D">
              <w:t>0.78</w:t>
            </w:r>
          </w:p>
          <w:p w14:paraId="10C9C4E8" w14:textId="77777777" w:rsidR="00A375BC" w:rsidRPr="003A235D" w:rsidRDefault="00A375BC" w:rsidP="009A2848">
            <w:pPr>
              <w:pStyle w:val="TableText"/>
              <w:jc w:val="center"/>
              <w:rPr>
                <w:szCs w:val="20"/>
              </w:rPr>
            </w:pPr>
            <w:r w:rsidRPr="003A235D">
              <w:t>(0.62, 0.97)</w:t>
            </w:r>
          </w:p>
        </w:tc>
        <w:tc>
          <w:tcPr>
            <w:tcW w:w="681" w:type="pct"/>
          </w:tcPr>
          <w:p w14:paraId="2793B008" w14:textId="77777777" w:rsidR="00A375BC" w:rsidRPr="003A235D" w:rsidRDefault="00A375BC" w:rsidP="009A2848">
            <w:pPr>
              <w:pStyle w:val="TableText"/>
              <w:jc w:val="center"/>
            </w:pPr>
            <w:r w:rsidRPr="003A235D">
              <w:t>0.98</w:t>
            </w:r>
          </w:p>
          <w:p w14:paraId="67D4DBC6" w14:textId="77777777" w:rsidR="00A375BC" w:rsidRPr="003A235D" w:rsidRDefault="00A375BC" w:rsidP="009A2848">
            <w:pPr>
              <w:pStyle w:val="TableText"/>
              <w:jc w:val="center"/>
              <w:rPr>
                <w:szCs w:val="20"/>
              </w:rPr>
            </w:pPr>
            <w:r w:rsidRPr="003A235D">
              <w:t>(0.68, 1.40)</w:t>
            </w:r>
          </w:p>
        </w:tc>
      </w:tr>
      <w:tr w:rsidR="00A375BC" w:rsidRPr="003A235D" w14:paraId="787FCDEC" w14:textId="77777777" w:rsidTr="009A2848">
        <w:tc>
          <w:tcPr>
            <w:tcW w:w="915" w:type="pct"/>
            <w:tcBorders>
              <w:bottom w:val="single" w:sz="4" w:space="0" w:color="auto"/>
            </w:tcBorders>
            <w:vAlign w:val="center"/>
          </w:tcPr>
          <w:p w14:paraId="5F2301F2" w14:textId="77777777" w:rsidR="00A375BC" w:rsidRPr="003A235D" w:rsidRDefault="00A375BC" w:rsidP="009A2848">
            <w:pPr>
              <w:pStyle w:val="TableText"/>
              <w:tabs>
                <w:tab w:val="right" w:pos="2340"/>
              </w:tabs>
              <w:rPr>
                <w:szCs w:val="20"/>
              </w:rPr>
            </w:pPr>
            <w:r w:rsidRPr="003A235D">
              <w:rPr>
                <w:szCs w:val="20"/>
              </w:rPr>
              <w:t>First HHF</w:t>
            </w:r>
          </w:p>
        </w:tc>
        <w:tc>
          <w:tcPr>
            <w:tcW w:w="680" w:type="pct"/>
          </w:tcPr>
          <w:p w14:paraId="5D0E8A30" w14:textId="77777777" w:rsidR="00A375BC" w:rsidRPr="003A235D" w:rsidRDefault="00A375BC" w:rsidP="009A2848">
            <w:pPr>
              <w:pStyle w:val="TableText"/>
              <w:jc w:val="center"/>
            </w:pPr>
            <w:r w:rsidRPr="003A235D">
              <w:t>0.73</w:t>
            </w:r>
          </w:p>
          <w:p w14:paraId="11D83526" w14:textId="77777777" w:rsidR="00A375BC" w:rsidRPr="003A235D" w:rsidRDefault="00A375BC" w:rsidP="009A2848">
            <w:pPr>
              <w:pStyle w:val="TableText"/>
              <w:jc w:val="center"/>
              <w:rPr>
                <w:szCs w:val="20"/>
              </w:rPr>
            </w:pPr>
            <w:r w:rsidRPr="003A235D">
              <w:t>(0.55, 0.96)</w:t>
            </w:r>
          </w:p>
        </w:tc>
        <w:tc>
          <w:tcPr>
            <w:tcW w:w="681" w:type="pct"/>
          </w:tcPr>
          <w:p w14:paraId="2E7BA0E3" w14:textId="77777777" w:rsidR="00A375BC" w:rsidRPr="003A235D" w:rsidRDefault="00A375BC" w:rsidP="009A2848">
            <w:pPr>
              <w:pStyle w:val="TableText"/>
              <w:jc w:val="center"/>
            </w:pPr>
            <w:r w:rsidRPr="003A235D">
              <w:t>0.63</w:t>
            </w:r>
          </w:p>
          <w:p w14:paraId="57D7F323" w14:textId="77777777" w:rsidR="00A375BC" w:rsidRPr="003A235D" w:rsidRDefault="00A375BC" w:rsidP="009A2848">
            <w:pPr>
              <w:pStyle w:val="TableText"/>
              <w:jc w:val="center"/>
              <w:rPr>
                <w:szCs w:val="20"/>
              </w:rPr>
            </w:pPr>
            <w:r w:rsidRPr="003A235D">
              <w:t>(0.50, 0.78)</w:t>
            </w:r>
          </w:p>
        </w:tc>
        <w:tc>
          <w:tcPr>
            <w:tcW w:w="681" w:type="pct"/>
          </w:tcPr>
          <w:p w14:paraId="12977B48" w14:textId="77777777" w:rsidR="00A375BC" w:rsidRPr="003A235D" w:rsidRDefault="00A375BC" w:rsidP="009A2848">
            <w:pPr>
              <w:pStyle w:val="TableText"/>
              <w:jc w:val="center"/>
            </w:pPr>
            <w:r w:rsidRPr="003A235D">
              <w:t>0.72</w:t>
            </w:r>
          </w:p>
          <w:p w14:paraId="58612C68" w14:textId="77777777" w:rsidR="00A375BC" w:rsidRPr="003A235D" w:rsidRDefault="00A375BC" w:rsidP="009A2848">
            <w:pPr>
              <w:pStyle w:val="TableText"/>
              <w:jc w:val="center"/>
              <w:rPr>
                <w:szCs w:val="20"/>
              </w:rPr>
            </w:pPr>
            <w:r w:rsidRPr="003A235D">
              <w:t>(0.52, 0.98)</w:t>
            </w:r>
          </w:p>
        </w:tc>
        <w:tc>
          <w:tcPr>
            <w:tcW w:w="681" w:type="pct"/>
          </w:tcPr>
          <w:p w14:paraId="22F174EA" w14:textId="77777777" w:rsidR="00A375BC" w:rsidRPr="003A235D" w:rsidRDefault="00A375BC" w:rsidP="009A2848">
            <w:pPr>
              <w:pStyle w:val="TableText"/>
              <w:jc w:val="center"/>
            </w:pPr>
            <w:r w:rsidRPr="003A235D">
              <w:t>0.66</w:t>
            </w:r>
          </w:p>
          <w:p w14:paraId="241EF466" w14:textId="77777777" w:rsidR="00A375BC" w:rsidRPr="003A235D" w:rsidRDefault="00A375BC" w:rsidP="009A2848">
            <w:pPr>
              <w:pStyle w:val="TableText"/>
              <w:jc w:val="center"/>
              <w:rPr>
                <w:szCs w:val="20"/>
              </w:rPr>
            </w:pPr>
            <w:r w:rsidRPr="003A235D">
              <w:t>(0.50, 0.86)</w:t>
            </w:r>
          </w:p>
        </w:tc>
        <w:tc>
          <w:tcPr>
            <w:tcW w:w="681" w:type="pct"/>
          </w:tcPr>
          <w:p w14:paraId="5292BA28" w14:textId="77777777" w:rsidR="00A375BC" w:rsidRPr="003A235D" w:rsidRDefault="00A375BC" w:rsidP="009A2848">
            <w:pPr>
              <w:pStyle w:val="TableText"/>
              <w:jc w:val="center"/>
            </w:pPr>
            <w:r w:rsidRPr="003A235D">
              <w:t>0.70</w:t>
            </w:r>
          </w:p>
          <w:p w14:paraId="61FC66D9" w14:textId="77777777" w:rsidR="00A375BC" w:rsidRPr="003A235D" w:rsidRDefault="00A375BC" w:rsidP="009A2848">
            <w:pPr>
              <w:pStyle w:val="TableText"/>
              <w:jc w:val="center"/>
              <w:rPr>
                <w:szCs w:val="20"/>
              </w:rPr>
            </w:pPr>
            <w:r w:rsidRPr="003A235D">
              <w:t>(0.53, 0.92)</w:t>
            </w:r>
          </w:p>
        </w:tc>
        <w:tc>
          <w:tcPr>
            <w:tcW w:w="681" w:type="pct"/>
          </w:tcPr>
          <w:p w14:paraId="2B027643" w14:textId="77777777" w:rsidR="00A375BC" w:rsidRPr="003A235D" w:rsidRDefault="00A375BC" w:rsidP="009A2848">
            <w:pPr>
              <w:pStyle w:val="TableText"/>
              <w:jc w:val="center"/>
            </w:pPr>
            <w:r w:rsidRPr="003A235D">
              <w:t>1.05</w:t>
            </w:r>
          </w:p>
          <w:p w14:paraId="187FC39B" w14:textId="77777777" w:rsidR="00A375BC" w:rsidRPr="003A235D" w:rsidRDefault="00A375BC" w:rsidP="009A2848">
            <w:pPr>
              <w:pStyle w:val="TableText"/>
              <w:jc w:val="center"/>
              <w:rPr>
                <w:szCs w:val="20"/>
              </w:rPr>
            </w:pPr>
            <w:r w:rsidRPr="003A235D">
              <w:t>(0.70, 1.58)</w:t>
            </w:r>
          </w:p>
        </w:tc>
      </w:tr>
      <w:tr w:rsidR="00A375BC" w:rsidRPr="003A235D" w14:paraId="18F7DF12" w14:textId="77777777" w:rsidTr="009A2848">
        <w:tc>
          <w:tcPr>
            <w:tcW w:w="915" w:type="pct"/>
            <w:tcBorders>
              <w:bottom w:val="single" w:sz="4" w:space="0" w:color="auto"/>
            </w:tcBorders>
            <w:vAlign w:val="center"/>
          </w:tcPr>
          <w:p w14:paraId="5A0BD4EA" w14:textId="77777777" w:rsidR="00A375BC" w:rsidRPr="003A235D" w:rsidRDefault="00A375BC" w:rsidP="009A2848">
            <w:pPr>
              <w:pStyle w:val="TableText"/>
              <w:tabs>
                <w:tab w:val="right" w:pos="2340"/>
              </w:tabs>
              <w:rPr>
                <w:rFonts w:cstheme="minorHAnsi"/>
                <w:szCs w:val="20"/>
              </w:rPr>
            </w:pPr>
            <w:r w:rsidRPr="003A235D">
              <w:rPr>
                <w:rFonts w:cstheme="minorHAnsi"/>
                <w:szCs w:val="20"/>
              </w:rPr>
              <w:t>Total HHF</w:t>
            </w:r>
          </w:p>
        </w:tc>
        <w:tc>
          <w:tcPr>
            <w:tcW w:w="680" w:type="pct"/>
          </w:tcPr>
          <w:p w14:paraId="12F3EA5B" w14:textId="77777777" w:rsidR="00A375BC" w:rsidRPr="003A235D" w:rsidRDefault="00A375BC" w:rsidP="009A2848">
            <w:pPr>
              <w:pStyle w:val="TableText"/>
              <w:jc w:val="center"/>
            </w:pPr>
            <w:r w:rsidRPr="003A235D">
              <w:t>0.74</w:t>
            </w:r>
          </w:p>
          <w:p w14:paraId="32725444" w14:textId="77777777" w:rsidR="00A375BC" w:rsidRPr="003A235D" w:rsidRDefault="00A375BC" w:rsidP="009A2848">
            <w:pPr>
              <w:pStyle w:val="TableText"/>
              <w:jc w:val="center"/>
              <w:rPr>
                <w:rFonts w:cstheme="minorHAnsi"/>
                <w:szCs w:val="20"/>
              </w:rPr>
            </w:pPr>
            <w:r w:rsidRPr="003A235D">
              <w:t>(0.50, 1.07)</w:t>
            </w:r>
          </w:p>
        </w:tc>
        <w:tc>
          <w:tcPr>
            <w:tcW w:w="681" w:type="pct"/>
          </w:tcPr>
          <w:p w14:paraId="671778D0" w14:textId="77777777" w:rsidR="00A375BC" w:rsidRPr="003A235D" w:rsidRDefault="00A375BC" w:rsidP="009A2848">
            <w:pPr>
              <w:pStyle w:val="TableText"/>
              <w:jc w:val="center"/>
            </w:pPr>
            <w:r w:rsidRPr="003A235D">
              <w:t>0.67</w:t>
            </w:r>
          </w:p>
          <w:p w14:paraId="0A82A1AD" w14:textId="77777777" w:rsidR="00A375BC" w:rsidRPr="003A235D" w:rsidRDefault="00A375BC" w:rsidP="009A2848">
            <w:pPr>
              <w:pStyle w:val="TableText"/>
              <w:jc w:val="center"/>
              <w:rPr>
                <w:rFonts w:cstheme="minorHAnsi"/>
                <w:szCs w:val="20"/>
              </w:rPr>
            </w:pPr>
            <w:r w:rsidRPr="003A235D">
              <w:t>(0.51, 0.87)</w:t>
            </w:r>
          </w:p>
        </w:tc>
        <w:tc>
          <w:tcPr>
            <w:tcW w:w="681" w:type="pct"/>
          </w:tcPr>
          <w:p w14:paraId="508122B8" w14:textId="77777777" w:rsidR="00A375BC" w:rsidRPr="003A235D" w:rsidRDefault="00A375BC" w:rsidP="009A2848">
            <w:pPr>
              <w:pStyle w:val="TableText"/>
              <w:jc w:val="center"/>
            </w:pPr>
            <w:r w:rsidRPr="003A235D">
              <w:t>0.79</w:t>
            </w:r>
          </w:p>
          <w:p w14:paraId="051DC184" w14:textId="77777777" w:rsidR="00A375BC" w:rsidRPr="003A235D" w:rsidRDefault="00A375BC" w:rsidP="009A2848">
            <w:pPr>
              <w:pStyle w:val="TableText"/>
              <w:jc w:val="center"/>
              <w:rPr>
                <w:rFonts w:cstheme="minorHAnsi"/>
                <w:szCs w:val="20"/>
              </w:rPr>
            </w:pPr>
            <w:r w:rsidRPr="003A235D">
              <w:t>(0.55, 1.12)</w:t>
            </w:r>
          </w:p>
        </w:tc>
        <w:tc>
          <w:tcPr>
            <w:tcW w:w="681" w:type="pct"/>
          </w:tcPr>
          <w:p w14:paraId="6195A22B" w14:textId="77777777" w:rsidR="00A375BC" w:rsidRPr="003A235D" w:rsidRDefault="00A375BC" w:rsidP="009A2848">
            <w:pPr>
              <w:pStyle w:val="TableText"/>
              <w:jc w:val="center"/>
            </w:pPr>
            <w:r w:rsidRPr="003A235D">
              <w:t>0.56</w:t>
            </w:r>
          </w:p>
          <w:p w14:paraId="447B34D2" w14:textId="77777777" w:rsidR="00A375BC" w:rsidRPr="003A235D" w:rsidRDefault="00A375BC" w:rsidP="009A2848">
            <w:pPr>
              <w:pStyle w:val="TableText"/>
              <w:jc w:val="center"/>
              <w:rPr>
                <w:rFonts w:cstheme="minorHAnsi"/>
                <w:szCs w:val="20"/>
              </w:rPr>
            </w:pPr>
            <w:r w:rsidRPr="003A235D">
              <w:t>(0.42, 0.76)</w:t>
            </w:r>
          </w:p>
        </w:tc>
        <w:tc>
          <w:tcPr>
            <w:tcW w:w="681" w:type="pct"/>
          </w:tcPr>
          <w:p w14:paraId="45A63707" w14:textId="77777777" w:rsidR="00A375BC" w:rsidRPr="003A235D" w:rsidRDefault="00A375BC" w:rsidP="009A2848">
            <w:pPr>
              <w:pStyle w:val="TableText"/>
              <w:jc w:val="center"/>
            </w:pPr>
            <w:r w:rsidRPr="003A235D">
              <w:t>0.81</w:t>
            </w:r>
          </w:p>
          <w:p w14:paraId="1499E01C" w14:textId="77777777" w:rsidR="00A375BC" w:rsidRPr="003A235D" w:rsidRDefault="00A375BC" w:rsidP="009A2848">
            <w:pPr>
              <w:pStyle w:val="TableText"/>
              <w:jc w:val="center"/>
              <w:rPr>
                <w:rFonts w:cstheme="minorHAnsi"/>
                <w:szCs w:val="20"/>
              </w:rPr>
            </w:pPr>
            <w:r w:rsidRPr="003A235D">
              <w:t>(0.59, 1.10)</w:t>
            </w:r>
          </w:p>
        </w:tc>
        <w:tc>
          <w:tcPr>
            <w:tcW w:w="681" w:type="pct"/>
          </w:tcPr>
          <w:p w14:paraId="6E376078" w14:textId="77777777" w:rsidR="00A375BC" w:rsidRPr="003A235D" w:rsidRDefault="00A375BC" w:rsidP="009A2848">
            <w:pPr>
              <w:pStyle w:val="TableText"/>
              <w:jc w:val="center"/>
            </w:pPr>
            <w:r w:rsidRPr="003A235D">
              <w:t>1.03</w:t>
            </w:r>
          </w:p>
          <w:p w14:paraId="5D7CD4AD" w14:textId="77777777" w:rsidR="00A375BC" w:rsidRPr="003A235D" w:rsidRDefault="00A375BC" w:rsidP="009A2848">
            <w:pPr>
              <w:pStyle w:val="TableText"/>
              <w:jc w:val="center"/>
              <w:rPr>
                <w:rFonts w:cstheme="minorHAnsi"/>
                <w:szCs w:val="20"/>
              </w:rPr>
            </w:pPr>
            <w:r w:rsidRPr="003A235D">
              <w:t>(0.67, 1.60)</w:t>
            </w:r>
          </w:p>
        </w:tc>
      </w:tr>
      <w:tr w:rsidR="006D1740" w:rsidRPr="003A235D" w14:paraId="60D465A8" w14:textId="77777777" w:rsidTr="009A2848">
        <w:tc>
          <w:tcPr>
            <w:tcW w:w="915" w:type="pct"/>
            <w:tcBorders>
              <w:bottom w:val="single" w:sz="4" w:space="0" w:color="auto"/>
            </w:tcBorders>
            <w:vAlign w:val="center"/>
          </w:tcPr>
          <w:p w14:paraId="56C153FB" w14:textId="0659F86C" w:rsidR="006D1740" w:rsidRPr="003A235D" w:rsidRDefault="006D1740" w:rsidP="009A2848">
            <w:pPr>
              <w:pStyle w:val="TableText"/>
              <w:tabs>
                <w:tab w:val="right" w:pos="2340"/>
              </w:tabs>
              <w:rPr>
                <w:rFonts w:cstheme="minorHAnsi"/>
                <w:szCs w:val="20"/>
              </w:rPr>
            </w:pPr>
            <w:r w:rsidRPr="003A235D">
              <w:rPr>
                <w:rFonts w:cstheme="minorHAnsi"/>
                <w:szCs w:val="20"/>
              </w:rPr>
              <w:t>Cardiovascular death</w:t>
            </w:r>
          </w:p>
        </w:tc>
        <w:tc>
          <w:tcPr>
            <w:tcW w:w="680" w:type="pct"/>
          </w:tcPr>
          <w:p w14:paraId="414A8294" w14:textId="77777777" w:rsidR="009A2848" w:rsidRPr="003A235D" w:rsidRDefault="009A2848" w:rsidP="009A2848">
            <w:pPr>
              <w:pStyle w:val="TableText"/>
              <w:jc w:val="center"/>
            </w:pPr>
            <w:r w:rsidRPr="003A235D">
              <w:t>0.93</w:t>
            </w:r>
          </w:p>
          <w:p w14:paraId="51BFA537" w14:textId="0BDD3BC4" w:rsidR="006D1740" w:rsidRPr="003A235D" w:rsidRDefault="009A2848" w:rsidP="009A2848">
            <w:pPr>
              <w:pStyle w:val="TableText"/>
              <w:jc w:val="center"/>
            </w:pPr>
            <w:r w:rsidRPr="003A235D">
              <w:t>(0.65, 1.32)</w:t>
            </w:r>
          </w:p>
        </w:tc>
        <w:tc>
          <w:tcPr>
            <w:tcW w:w="681" w:type="pct"/>
          </w:tcPr>
          <w:p w14:paraId="14ED6134" w14:textId="77777777" w:rsidR="009A2848" w:rsidRPr="003A235D" w:rsidRDefault="009A2848" w:rsidP="009A2848">
            <w:pPr>
              <w:pStyle w:val="TableText"/>
              <w:jc w:val="center"/>
            </w:pPr>
            <w:r w:rsidRPr="003A235D">
              <w:t>0.95</w:t>
            </w:r>
          </w:p>
          <w:p w14:paraId="40321170" w14:textId="75673F1E" w:rsidR="006D1740" w:rsidRPr="003A235D" w:rsidRDefault="009A2848" w:rsidP="009A2848">
            <w:pPr>
              <w:pStyle w:val="TableText"/>
              <w:jc w:val="center"/>
            </w:pPr>
            <w:r w:rsidRPr="003A235D">
              <w:t>(0.72, 1.24)</w:t>
            </w:r>
          </w:p>
        </w:tc>
        <w:tc>
          <w:tcPr>
            <w:tcW w:w="681" w:type="pct"/>
          </w:tcPr>
          <w:p w14:paraId="064AB794" w14:textId="77777777" w:rsidR="009A2848" w:rsidRPr="003A235D" w:rsidRDefault="009A2848" w:rsidP="009A2848">
            <w:pPr>
              <w:pStyle w:val="TableText"/>
              <w:jc w:val="center"/>
            </w:pPr>
            <w:r w:rsidRPr="003A235D">
              <w:t>1.07</w:t>
            </w:r>
          </w:p>
          <w:p w14:paraId="5BD3C316" w14:textId="14EDEA85" w:rsidR="006D1740" w:rsidRPr="003A235D" w:rsidRDefault="009A2848" w:rsidP="009A2848">
            <w:pPr>
              <w:pStyle w:val="TableText"/>
              <w:jc w:val="center"/>
            </w:pPr>
            <w:r w:rsidRPr="003A235D">
              <w:t>(0.76, 1.51)</w:t>
            </w:r>
          </w:p>
        </w:tc>
        <w:tc>
          <w:tcPr>
            <w:tcW w:w="681" w:type="pct"/>
          </w:tcPr>
          <w:p w14:paraId="722294D7" w14:textId="77777777" w:rsidR="009A2848" w:rsidRPr="003A235D" w:rsidRDefault="009A2848" w:rsidP="009A2848">
            <w:pPr>
              <w:pStyle w:val="TableText"/>
              <w:jc w:val="center"/>
            </w:pPr>
            <w:r w:rsidRPr="003A235D">
              <w:t>0.77</w:t>
            </w:r>
          </w:p>
          <w:p w14:paraId="65F0152E" w14:textId="61115CD0" w:rsidR="006D1740" w:rsidRPr="003A235D" w:rsidRDefault="009A2848" w:rsidP="009A2848">
            <w:pPr>
              <w:pStyle w:val="TableText"/>
              <w:jc w:val="center"/>
            </w:pPr>
            <w:r w:rsidRPr="003A235D">
              <w:t>(0.58, 1.02)</w:t>
            </w:r>
          </w:p>
        </w:tc>
        <w:tc>
          <w:tcPr>
            <w:tcW w:w="681" w:type="pct"/>
          </w:tcPr>
          <w:p w14:paraId="2DFC76A1" w14:textId="77777777" w:rsidR="009A2848" w:rsidRPr="003A235D" w:rsidRDefault="009A2848" w:rsidP="009A2848">
            <w:pPr>
              <w:pStyle w:val="TableText"/>
              <w:jc w:val="center"/>
            </w:pPr>
            <w:r w:rsidRPr="003A235D">
              <w:t>0.99</w:t>
            </w:r>
          </w:p>
          <w:p w14:paraId="46697F05" w14:textId="3E286020" w:rsidR="006D1740" w:rsidRPr="003A235D" w:rsidRDefault="009A2848" w:rsidP="009A2848">
            <w:pPr>
              <w:pStyle w:val="TableText"/>
              <w:jc w:val="center"/>
            </w:pPr>
            <w:r w:rsidRPr="003A235D">
              <w:t>(0.70, 1.40)</w:t>
            </w:r>
          </w:p>
        </w:tc>
        <w:tc>
          <w:tcPr>
            <w:tcW w:w="681" w:type="pct"/>
          </w:tcPr>
          <w:p w14:paraId="769AB82A" w14:textId="77777777" w:rsidR="009A2848" w:rsidRPr="003A235D" w:rsidRDefault="009A2848" w:rsidP="009A2848">
            <w:pPr>
              <w:pStyle w:val="TableText"/>
              <w:jc w:val="center"/>
            </w:pPr>
            <w:r w:rsidRPr="003A235D">
              <w:t>0.83</w:t>
            </w:r>
          </w:p>
          <w:p w14:paraId="583ABF94" w14:textId="09009682" w:rsidR="006D1740" w:rsidRPr="003A235D" w:rsidRDefault="009A2848" w:rsidP="009A2848">
            <w:pPr>
              <w:pStyle w:val="TableText"/>
              <w:jc w:val="center"/>
            </w:pPr>
            <w:r w:rsidRPr="003A235D">
              <w:t>(0.47, 1.45)</w:t>
            </w:r>
          </w:p>
        </w:tc>
      </w:tr>
      <w:tr w:rsidR="00A375BC" w:rsidRPr="003A235D" w14:paraId="35272353" w14:textId="77777777" w:rsidTr="009A2848">
        <w:tc>
          <w:tcPr>
            <w:tcW w:w="5000" w:type="pct"/>
            <w:gridSpan w:val="7"/>
            <w:tcBorders>
              <w:bottom w:val="single" w:sz="4" w:space="0" w:color="auto"/>
            </w:tcBorders>
            <w:vAlign w:val="center"/>
          </w:tcPr>
          <w:p w14:paraId="7835706E" w14:textId="77777777" w:rsidR="00A375BC" w:rsidRPr="003A235D" w:rsidRDefault="00A375BC" w:rsidP="009A2848">
            <w:pPr>
              <w:pStyle w:val="TableText"/>
            </w:pPr>
            <w:r w:rsidRPr="003A235D">
              <w:rPr>
                <w:rFonts w:cstheme="minorHAnsi"/>
                <w:szCs w:val="20"/>
              </w:rPr>
              <w:t>KCCQ Clinical Summary Score change from baseline to 52 weeks</w:t>
            </w:r>
          </w:p>
        </w:tc>
      </w:tr>
      <w:tr w:rsidR="00A375BC" w:rsidRPr="003A235D" w14:paraId="7A375381" w14:textId="77777777" w:rsidTr="009A2848">
        <w:tc>
          <w:tcPr>
            <w:tcW w:w="915" w:type="pct"/>
            <w:tcBorders>
              <w:bottom w:val="single" w:sz="4" w:space="0" w:color="auto"/>
            </w:tcBorders>
            <w:vAlign w:val="center"/>
          </w:tcPr>
          <w:p w14:paraId="3982E844" w14:textId="77777777" w:rsidR="00A375BC" w:rsidRPr="003A235D" w:rsidRDefault="00A375BC" w:rsidP="009A2848">
            <w:pPr>
              <w:pStyle w:val="TableText"/>
              <w:tabs>
                <w:tab w:val="right" w:pos="2340"/>
              </w:tabs>
              <w:rPr>
                <w:rFonts w:cstheme="minorHAnsi"/>
                <w:szCs w:val="20"/>
              </w:rPr>
            </w:pPr>
            <w:r w:rsidRPr="003A235D">
              <w:rPr>
                <w:rFonts w:cstheme="minorHAnsi"/>
                <w:szCs w:val="20"/>
              </w:rPr>
              <w:t>Number of patients</w:t>
            </w:r>
          </w:p>
        </w:tc>
        <w:tc>
          <w:tcPr>
            <w:tcW w:w="680" w:type="pct"/>
          </w:tcPr>
          <w:p w14:paraId="6E154C9F" w14:textId="77777777" w:rsidR="00A375BC" w:rsidRPr="003A235D" w:rsidRDefault="00A375BC" w:rsidP="009A2848">
            <w:pPr>
              <w:pStyle w:val="TableText"/>
              <w:jc w:val="center"/>
            </w:pPr>
            <w:r w:rsidRPr="003A235D">
              <w:t>EMP n=319</w:t>
            </w:r>
          </w:p>
          <w:p w14:paraId="42295A63" w14:textId="77777777" w:rsidR="00A375BC" w:rsidRPr="003A235D" w:rsidRDefault="00A375BC" w:rsidP="009A2848">
            <w:pPr>
              <w:pStyle w:val="TableText"/>
              <w:jc w:val="center"/>
            </w:pPr>
            <w:r w:rsidRPr="003A235D">
              <w:t>PBO n=338</w:t>
            </w:r>
          </w:p>
        </w:tc>
        <w:tc>
          <w:tcPr>
            <w:tcW w:w="681" w:type="pct"/>
          </w:tcPr>
          <w:p w14:paraId="477D4DB9" w14:textId="77777777" w:rsidR="00A375BC" w:rsidRPr="003A235D" w:rsidRDefault="00A375BC" w:rsidP="009A2848">
            <w:pPr>
              <w:pStyle w:val="TableText"/>
              <w:jc w:val="center"/>
            </w:pPr>
            <w:r w:rsidRPr="003A235D">
              <w:t>EMP n=744</w:t>
            </w:r>
          </w:p>
          <w:p w14:paraId="2D1B902B" w14:textId="77777777" w:rsidR="00A375BC" w:rsidRPr="003A235D" w:rsidRDefault="00A375BC" w:rsidP="009A2848">
            <w:pPr>
              <w:pStyle w:val="TableText"/>
              <w:jc w:val="center"/>
            </w:pPr>
            <w:r w:rsidRPr="003A235D">
              <w:t>PBO n=743</w:t>
            </w:r>
          </w:p>
        </w:tc>
        <w:tc>
          <w:tcPr>
            <w:tcW w:w="681" w:type="pct"/>
          </w:tcPr>
          <w:p w14:paraId="157692EC" w14:textId="77777777" w:rsidR="00A375BC" w:rsidRPr="003A235D" w:rsidRDefault="00A375BC" w:rsidP="009A2848">
            <w:pPr>
              <w:pStyle w:val="TableText"/>
              <w:jc w:val="center"/>
            </w:pPr>
            <w:r w:rsidRPr="003A235D">
              <w:t>EMP n=482</w:t>
            </w:r>
          </w:p>
          <w:p w14:paraId="00EF1E49" w14:textId="77777777" w:rsidR="00A375BC" w:rsidRPr="003A235D" w:rsidRDefault="00A375BC" w:rsidP="009A2848">
            <w:pPr>
              <w:pStyle w:val="TableText"/>
              <w:jc w:val="center"/>
            </w:pPr>
            <w:r w:rsidRPr="003A235D">
              <w:t>PBO n=444</w:t>
            </w:r>
          </w:p>
        </w:tc>
        <w:tc>
          <w:tcPr>
            <w:tcW w:w="680" w:type="pct"/>
          </w:tcPr>
          <w:p w14:paraId="706992FC" w14:textId="77777777" w:rsidR="00A375BC" w:rsidRPr="003A235D" w:rsidRDefault="00A375BC" w:rsidP="009A2848">
            <w:pPr>
              <w:pStyle w:val="TableText"/>
              <w:jc w:val="center"/>
            </w:pPr>
            <w:r w:rsidRPr="003A235D">
              <w:t>EMP n=906</w:t>
            </w:r>
          </w:p>
          <w:p w14:paraId="1D38BDCB" w14:textId="77777777" w:rsidR="00A375BC" w:rsidRPr="003A235D" w:rsidRDefault="00A375BC" w:rsidP="009A2848">
            <w:pPr>
              <w:pStyle w:val="TableText"/>
              <w:jc w:val="center"/>
            </w:pPr>
            <w:r w:rsidRPr="003A235D">
              <w:t>PBO n=928</w:t>
            </w:r>
          </w:p>
        </w:tc>
        <w:tc>
          <w:tcPr>
            <w:tcW w:w="681" w:type="pct"/>
          </w:tcPr>
          <w:p w14:paraId="24D5D782" w14:textId="77777777" w:rsidR="00A375BC" w:rsidRPr="003A235D" w:rsidRDefault="00A375BC" w:rsidP="009A2848">
            <w:pPr>
              <w:pStyle w:val="TableText"/>
              <w:jc w:val="center"/>
            </w:pPr>
            <w:r w:rsidRPr="003A235D">
              <w:t>EMP n=898</w:t>
            </w:r>
          </w:p>
          <w:p w14:paraId="3AB969FF" w14:textId="77777777" w:rsidR="00A375BC" w:rsidRPr="003A235D" w:rsidRDefault="00A375BC" w:rsidP="009A2848">
            <w:pPr>
              <w:pStyle w:val="TableText"/>
              <w:jc w:val="center"/>
            </w:pPr>
            <w:r w:rsidRPr="003A235D">
              <w:t>PBO n=854</w:t>
            </w:r>
          </w:p>
        </w:tc>
        <w:tc>
          <w:tcPr>
            <w:tcW w:w="681" w:type="pct"/>
          </w:tcPr>
          <w:p w14:paraId="76243852" w14:textId="77777777" w:rsidR="00A375BC" w:rsidRPr="003A235D" w:rsidRDefault="00A375BC" w:rsidP="009A2848">
            <w:pPr>
              <w:pStyle w:val="TableText"/>
              <w:jc w:val="center"/>
            </w:pPr>
            <w:r w:rsidRPr="003A235D">
              <w:t>EMP n=363</w:t>
            </w:r>
          </w:p>
          <w:p w14:paraId="66919613" w14:textId="77777777" w:rsidR="00A375BC" w:rsidRPr="003A235D" w:rsidRDefault="00A375BC" w:rsidP="009A2848">
            <w:pPr>
              <w:pStyle w:val="TableText"/>
              <w:jc w:val="center"/>
            </w:pPr>
            <w:r w:rsidRPr="003A235D">
              <w:t>PBO n=368</w:t>
            </w:r>
          </w:p>
        </w:tc>
      </w:tr>
      <w:tr w:rsidR="00A375BC" w:rsidRPr="003A235D" w14:paraId="54B98E46" w14:textId="77777777" w:rsidTr="009A2848">
        <w:tc>
          <w:tcPr>
            <w:tcW w:w="915" w:type="pct"/>
            <w:tcBorders>
              <w:bottom w:val="single" w:sz="4" w:space="0" w:color="auto"/>
            </w:tcBorders>
            <w:vAlign w:val="center"/>
          </w:tcPr>
          <w:p w14:paraId="378B7EB0" w14:textId="77777777" w:rsidR="00A375BC" w:rsidRPr="003A235D" w:rsidRDefault="00A375BC" w:rsidP="009A2848">
            <w:pPr>
              <w:pStyle w:val="TableText"/>
              <w:tabs>
                <w:tab w:val="right" w:pos="2821"/>
              </w:tabs>
              <w:rPr>
                <w:szCs w:val="20"/>
              </w:rPr>
            </w:pPr>
            <w:r w:rsidRPr="003A235D">
              <w:rPr>
                <w:szCs w:val="20"/>
              </w:rPr>
              <w:t>Absolute change (95%CI)</w:t>
            </w:r>
          </w:p>
        </w:tc>
        <w:tc>
          <w:tcPr>
            <w:tcW w:w="680" w:type="pct"/>
          </w:tcPr>
          <w:p w14:paraId="7D880578" w14:textId="77777777" w:rsidR="00A375BC" w:rsidRPr="003A235D" w:rsidRDefault="00A375BC" w:rsidP="009A2848">
            <w:pPr>
              <w:pStyle w:val="TableText"/>
              <w:jc w:val="center"/>
            </w:pPr>
            <w:r w:rsidRPr="003A235D">
              <w:t xml:space="preserve">3.01 </w:t>
            </w:r>
          </w:p>
          <w:p w14:paraId="6646BD22" w14:textId="77777777" w:rsidR="00A375BC" w:rsidRPr="003A235D" w:rsidRDefault="00A375BC" w:rsidP="009A2848">
            <w:pPr>
              <w:pStyle w:val="TableText"/>
              <w:jc w:val="center"/>
              <w:rPr>
                <w:szCs w:val="20"/>
              </w:rPr>
            </w:pPr>
            <w:r w:rsidRPr="003A235D">
              <w:t>(0.68, 5.33)</w:t>
            </w:r>
          </w:p>
        </w:tc>
        <w:tc>
          <w:tcPr>
            <w:tcW w:w="681" w:type="pct"/>
          </w:tcPr>
          <w:p w14:paraId="42D2BAF6" w14:textId="77777777" w:rsidR="00A375BC" w:rsidRPr="003A235D" w:rsidRDefault="00A375BC" w:rsidP="009A2848">
            <w:pPr>
              <w:pStyle w:val="TableText"/>
              <w:jc w:val="center"/>
            </w:pPr>
            <w:r w:rsidRPr="003A235D">
              <w:t xml:space="preserve">0.92 </w:t>
            </w:r>
          </w:p>
          <w:p w14:paraId="295B41A4" w14:textId="77777777" w:rsidR="00A375BC" w:rsidRPr="003A235D" w:rsidRDefault="00A375BC" w:rsidP="009A2848">
            <w:pPr>
              <w:pStyle w:val="TableText"/>
              <w:jc w:val="center"/>
              <w:rPr>
                <w:szCs w:val="20"/>
              </w:rPr>
            </w:pPr>
            <w:r w:rsidRPr="003A235D">
              <w:t>(–0.62, 2.46)</w:t>
            </w:r>
          </w:p>
        </w:tc>
        <w:tc>
          <w:tcPr>
            <w:tcW w:w="681" w:type="pct"/>
          </w:tcPr>
          <w:p w14:paraId="2CF1F4FD" w14:textId="77777777" w:rsidR="00A375BC" w:rsidRPr="003A235D" w:rsidRDefault="00A375BC" w:rsidP="009A2848">
            <w:pPr>
              <w:pStyle w:val="TableText"/>
              <w:jc w:val="center"/>
            </w:pPr>
            <w:r w:rsidRPr="003A235D">
              <w:t xml:space="preserve">1.82 </w:t>
            </w:r>
          </w:p>
          <w:p w14:paraId="59506187" w14:textId="77777777" w:rsidR="00A375BC" w:rsidRPr="003A235D" w:rsidRDefault="00A375BC" w:rsidP="009A2848">
            <w:pPr>
              <w:pStyle w:val="TableText"/>
              <w:jc w:val="center"/>
              <w:rPr>
                <w:szCs w:val="20"/>
              </w:rPr>
            </w:pPr>
            <w:r w:rsidRPr="003A235D">
              <w:t>(–0.16, 3.81)</w:t>
            </w:r>
          </w:p>
        </w:tc>
        <w:tc>
          <w:tcPr>
            <w:tcW w:w="680" w:type="pct"/>
          </w:tcPr>
          <w:p w14:paraId="7BBA6D27" w14:textId="77777777" w:rsidR="00A375BC" w:rsidRPr="003A235D" w:rsidRDefault="00A375BC" w:rsidP="009A2848">
            <w:pPr>
              <w:pStyle w:val="TableText"/>
              <w:jc w:val="center"/>
            </w:pPr>
            <w:r w:rsidRPr="003A235D">
              <w:t xml:space="preserve">1.59 </w:t>
            </w:r>
          </w:p>
          <w:p w14:paraId="39FA6DB3" w14:textId="77777777" w:rsidR="00A375BC" w:rsidRPr="003A235D" w:rsidRDefault="00A375BC" w:rsidP="009A2848">
            <w:pPr>
              <w:pStyle w:val="TableText"/>
              <w:jc w:val="center"/>
              <w:rPr>
                <w:szCs w:val="20"/>
              </w:rPr>
            </w:pPr>
            <w:r w:rsidRPr="003A235D">
              <w:t>(0.16, 3.01)</w:t>
            </w:r>
          </w:p>
        </w:tc>
        <w:tc>
          <w:tcPr>
            <w:tcW w:w="681" w:type="pct"/>
          </w:tcPr>
          <w:p w14:paraId="574F41AB" w14:textId="77777777" w:rsidR="00A375BC" w:rsidRPr="003A235D" w:rsidRDefault="00A375BC" w:rsidP="009A2848">
            <w:pPr>
              <w:pStyle w:val="TableText"/>
              <w:jc w:val="center"/>
            </w:pPr>
            <w:r w:rsidRPr="003A235D">
              <w:t>1.95</w:t>
            </w:r>
          </w:p>
          <w:p w14:paraId="16972E91" w14:textId="77777777" w:rsidR="00A375BC" w:rsidRPr="003A235D" w:rsidRDefault="00A375BC" w:rsidP="009A2848">
            <w:pPr>
              <w:pStyle w:val="TableText"/>
              <w:jc w:val="center"/>
              <w:rPr>
                <w:szCs w:val="20"/>
              </w:rPr>
            </w:pPr>
            <w:r w:rsidRPr="003A235D">
              <w:t>(0.48, 3.41)</w:t>
            </w:r>
          </w:p>
        </w:tc>
        <w:tc>
          <w:tcPr>
            <w:tcW w:w="681" w:type="pct"/>
          </w:tcPr>
          <w:p w14:paraId="40E2244D" w14:textId="77777777" w:rsidR="00A375BC" w:rsidRPr="003A235D" w:rsidRDefault="00A375BC" w:rsidP="009A2848">
            <w:pPr>
              <w:pStyle w:val="TableText"/>
              <w:jc w:val="center"/>
            </w:pPr>
            <w:r w:rsidRPr="003A235D">
              <w:t xml:space="preserve">0.26 </w:t>
            </w:r>
          </w:p>
          <w:p w14:paraId="3E977D95" w14:textId="77777777" w:rsidR="00A375BC" w:rsidRPr="003A235D" w:rsidRDefault="00A375BC" w:rsidP="009A2848">
            <w:pPr>
              <w:pStyle w:val="TableText"/>
              <w:jc w:val="center"/>
              <w:rPr>
                <w:szCs w:val="20"/>
              </w:rPr>
            </w:pPr>
            <w:r w:rsidRPr="003A235D">
              <w:t>(–2.01, 2.52)</w:t>
            </w:r>
          </w:p>
        </w:tc>
      </w:tr>
    </w:tbl>
    <w:p w14:paraId="6D9408C4" w14:textId="59ADAF98" w:rsidR="00A375BC" w:rsidRPr="003A235D" w:rsidRDefault="00A375BC" w:rsidP="00423D0C">
      <w:pPr>
        <w:pStyle w:val="COMTablefooter"/>
        <w:keepNext/>
      </w:pPr>
      <w:r w:rsidRPr="003A235D">
        <w:t>Source: Table 3, p423</w:t>
      </w:r>
      <w:r w:rsidR="006D1740" w:rsidRPr="003A235D">
        <w:t>; Figure 3, p</w:t>
      </w:r>
      <w:r w:rsidR="009A2848" w:rsidRPr="003A235D">
        <w:t>422</w:t>
      </w:r>
      <w:r w:rsidRPr="003A235D">
        <w:t xml:space="preserve"> of Butler </w:t>
      </w:r>
      <w:r w:rsidR="00E95384" w:rsidRPr="003A235D">
        <w:t>2021</w:t>
      </w:r>
      <w:r w:rsidRPr="003A235D">
        <w:t>.</w:t>
      </w:r>
    </w:p>
    <w:p w14:paraId="63213246" w14:textId="77777777" w:rsidR="00A375BC" w:rsidRPr="003A235D" w:rsidRDefault="00A375BC" w:rsidP="00423D0C">
      <w:pPr>
        <w:pStyle w:val="COMTablefooter"/>
        <w:keepNext/>
      </w:pPr>
      <w:r w:rsidRPr="003A235D">
        <w:t>Abbreviations: CV, cardiovascular; EMP, empagliflozin; HHF, hospitalisation for heart failure; KCCQ-CSS, Kansas City Cardiomyopathy Questionnaire – Clinical Summary Score; PBO, placebo</w:t>
      </w:r>
    </w:p>
    <w:p w14:paraId="0B929700" w14:textId="77777777" w:rsidR="00A375BC" w:rsidRPr="003A235D" w:rsidRDefault="00A375BC" w:rsidP="00D06271">
      <w:pPr>
        <w:pStyle w:val="COMTablefooter"/>
      </w:pPr>
      <w:r w:rsidRPr="003A235D">
        <w:rPr>
          <w:vertAlign w:val="superscript"/>
        </w:rPr>
        <w:t>a</w:t>
      </w:r>
      <w:r w:rsidRPr="003A235D">
        <w:t xml:space="preserve"> All outcomes are hazard ratios with 95% confidence intervals, with the exception of KCCQ scores which are absolute differences with 95% confidence intervals</w:t>
      </w:r>
    </w:p>
    <w:p w14:paraId="4F91519C" w14:textId="77777777" w:rsidR="00AC5764" w:rsidRPr="003A235D" w:rsidRDefault="00D06271" w:rsidP="00A41DEF">
      <w:pPr>
        <w:pStyle w:val="ExecSumBodyText"/>
        <w:numPr>
          <w:ilvl w:val="1"/>
          <w:numId w:val="1"/>
        </w:numPr>
      </w:pPr>
      <w:bookmarkStart w:id="38" w:name="_Ref120787874"/>
      <w:r w:rsidRPr="003A235D">
        <w:t>Results of the pooled analysis suggested a consistent benefit across LVEF groups of empagliflozin over placebo for the primary outcome of hospitalisation for heart failure or cardiovascular death, and time to first hospitalisation for heart failure. There was no significant treatment effect interaction between ejection fraction and the effect of empagliflozin on the primary composite endpoint, based on the pooled analysis (p</w:t>
      </w:r>
      <w:r w:rsidR="00F51800" w:rsidRPr="003A235D">
        <w:noBreakHyphen/>
      </w:r>
      <w:r w:rsidRPr="003A235D">
        <w:t>interaction = 0.30) or EMPEROR-Preserved data only (p-interaction = 0.43). There appeared to be attenuation of effect for patients with LVEF of 65% or greater for all heart failure hospitalisation outcomes. The study authors noted that there were small patient numbers in this group (less than 10% of the entire patient population and number of events), and patients in the group appeared to be mostly older</w:t>
      </w:r>
      <w:r w:rsidR="00DC682D" w:rsidRPr="003A235D">
        <w:t>,</w:t>
      </w:r>
      <w:r w:rsidRPr="003A235D">
        <w:t xml:space="preserve"> hypertensive women with low incidence of hospitalisation for heart failure during the course of follow-up. The study authors speculated that these patients may have had symptoms of dyspnoea that were less related to heart failure but more attributable to an atrial arrhythmia or other condition.</w:t>
      </w:r>
      <w:bookmarkEnd w:id="38"/>
    </w:p>
    <w:p w14:paraId="1452C351" w14:textId="344EC606" w:rsidR="00B60939" w:rsidRPr="003A235D" w:rsidRDefault="00B60939" w:rsidP="00D86231">
      <w:pPr>
        <w:pStyle w:val="COMH2-non-numbered"/>
      </w:pPr>
      <w:bookmarkStart w:id="39" w:name="_Toc22897642"/>
      <w:bookmarkStart w:id="40" w:name="_Toc114047888"/>
      <w:r w:rsidRPr="003A235D">
        <w:t>Comparative harms</w:t>
      </w:r>
      <w:bookmarkEnd w:id="39"/>
      <w:bookmarkEnd w:id="40"/>
    </w:p>
    <w:bookmarkStart w:id="41" w:name="_Hlk104801403"/>
    <w:p w14:paraId="2DAF16D1" w14:textId="0E3B9A62" w:rsidR="00B60939" w:rsidRPr="003A235D" w:rsidRDefault="007934DE" w:rsidP="00A41DEF">
      <w:pPr>
        <w:pStyle w:val="ExecSumBodyText"/>
        <w:numPr>
          <w:ilvl w:val="1"/>
          <w:numId w:val="1"/>
        </w:numPr>
      </w:pPr>
      <w:r w:rsidRPr="003A235D">
        <w:fldChar w:fldCharType="begin" w:fldLock="1"/>
      </w:r>
      <w:r w:rsidRPr="003A235D">
        <w:instrText xml:space="preserve"> REF _Ref111189187 \h </w:instrText>
      </w:r>
      <w:r w:rsidR="00A41DEF" w:rsidRPr="003A235D">
        <w:instrText xml:space="preserve"> \* MERGEFORMAT </w:instrText>
      </w:r>
      <w:r w:rsidRPr="003A235D">
        <w:fldChar w:fldCharType="separate"/>
      </w:r>
      <w:r w:rsidR="004646F5" w:rsidRPr="003A235D">
        <w:t>Table 8</w:t>
      </w:r>
      <w:r w:rsidRPr="003A235D">
        <w:fldChar w:fldCharType="end"/>
      </w:r>
      <w:r w:rsidR="00653FCF" w:rsidRPr="003A235D">
        <w:t xml:space="preserve"> summarises the results of the key safety outcomes for the EMPEROR-Preserved trial.</w:t>
      </w:r>
      <w:r w:rsidR="008C7282" w:rsidRPr="003A235D">
        <w:t xml:space="preserve"> </w:t>
      </w:r>
      <w:bookmarkEnd w:id="41"/>
    </w:p>
    <w:p w14:paraId="310B2246" w14:textId="20EEEEE0" w:rsidR="00B60939" w:rsidRPr="003A235D" w:rsidRDefault="00D6076E" w:rsidP="00D6076E">
      <w:pPr>
        <w:pStyle w:val="COMtablefigcaption"/>
      </w:pPr>
      <w:bookmarkStart w:id="42" w:name="_Ref111189187"/>
      <w:r w:rsidRPr="003A235D">
        <w:lastRenderedPageBreak/>
        <w:t xml:space="preserve">Table </w:t>
      </w:r>
      <w:fldSimple w:instr=" SEQ Table \* ARABIC " w:fldLock="1">
        <w:r w:rsidR="004646F5" w:rsidRPr="003A235D">
          <w:t>8</w:t>
        </w:r>
      </w:fldSimple>
      <w:bookmarkEnd w:id="42"/>
      <w:r w:rsidRPr="003A235D">
        <w:t xml:space="preserve">: </w:t>
      </w:r>
      <w:r w:rsidR="005D26B4" w:rsidRPr="003A235D">
        <w:t xml:space="preserve">Summary of key adverse events in the </w:t>
      </w:r>
      <w:r w:rsidR="007934DE" w:rsidRPr="003A235D">
        <w:t>EMPEROR-Preserved trial (treated set)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Summary of key adverse events in the EMPEROR-Preserved trial (treated set)"/>
      </w:tblPr>
      <w:tblGrid>
        <w:gridCol w:w="4248"/>
        <w:gridCol w:w="2384"/>
        <w:gridCol w:w="2385"/>
      </w:tblGrid>
      <w:tr w:rsidR="00653FCF" w:rsidRPr="003A235D" w14:paraId="412E70A4" w14:textId="77777777" w:rsidTr="00AE14F4">
        <w:trPr>
          <w:tblHeader/>
        </w:trPr>
        <w:tc>
          <w:tcPr>
            <w:tcW w:w="4248" w:type="dxa"/>
            <w:vAlign w:val="center"/>
          </w:tcPr>
          <w:p w14:paraId="441E203B" w14:textId="77777777" w:rsidR="00653FCF" w:rsidRPr="003A235D" w:rsidRDefault="00653FCF" w:rsidP="00AE14F4">
            <w:pPr>
              <w:pStyle w:val="Tableheadingrow"/>
              <w:rPr>
                <w:szCs w:val="20"/>
                <w:lang w:val="en-AU"/>
              </w:rPr>
            </w:pPr>
            <w:bookmarkStart w:id="43" w:name="_Toc22897643"/>
            <w:r w:rsidRPr="003A235D">
              <w:rPr>
                <w:szCs w:val="20"/>
                <w:lang w:val="en-AU"/>
              </w:rPr>
              <w:t>Adverse events, n (%)</w:t>
            </w:r>
          </w:p>
        </w:tc>
        <w:tc>
          <w:tcPr>
            <w:tcW w:w="2384" w:type="dxa"/>
            <w:vAlign w:val="center"/>
          </w:tcPr>
          <w:p w14:paraId="52C7443C" w14:textId="77777777" w:rsidR="00653FCF" w:rsidRPr="003A235D" w:rsidRDefault="00653FCF" w:rsidP="00AE14F4">
            <w:pPr>
              <w:pStyle w:val="Tableheadingrow"/>
              <w:jc w:val="center"/>
              <w:rPr>
                <w:szCs w:val="20"/>
                <w:lang w:val="en-AU"/>
              </w:rPr>
            </w:pPr>
            <w:r w:rsidRPr="003A235D">
              <w:rPr>
                <w:szCs w:val="20"/>
                <w:lang w:val="en-AU"/>
              </w:rPr>
              <w:t>Empagliflozin</w:t>
            </w:r>
          </w:p>
          <w:p w14:paraId="4191929B" w14:textId="77777777" w:rsidR="00653FCF" w:rsidRPr="003A235D" w:rsidRDefault="00653FCF" w:rsidP="00AE14F4">
            <w:pPr>
              <w:pStyle w:val="Tableheadingrow"/>
              <w:jc w:val="center"/>
              <w:rPr>
                <w:szCs w:val="20"/>
                <w:lang w:val="en-AU"/>
              </w:rPr>
            </w:pPr>
            <w:r w:rsidRPr="003A235D">
              <w:rPr>
                <w:szCs w:val="20"/>
                <w:lang w:val="en-AU"/>
              </w:rPr>
              <w:t xml:space="preserve"> (N=2,996), n (%)</w:t>
            </w:r>
          </w:p>
        </w:tc>
        <w:tc>
          <w:tcPr>
            <w:tcW w:w="2385" w:type="dxa"/>
            <w:vAlign w:val="center"/>
          </w:tcPr>
          <w:p w14:paraId="08B211DD" w14:textId="77777777" w:rsidR="00653FCF" w:rsidRPr="003A235D" w:rsidRDefault="00653FCF" w:rsidP="00AE14F4">
            <w:pPr>
              <w:pStyle w:val="Tableheadingrow"/>
              <w:jc w:val="center"/>
              <w:rPr>
                <w:szCs w:val="20"/>
                <w:lang w:val="en-AU"/>
              </w:rPr>
            </w:pPr>
            <w:r w:rsidRPr="003A235D">
              <w:rPr>
                <w:szCs w:val="20"/>
                <w:lang w:val="en-AU"/>
              </w:rPr>
              <w:t>Placebo</w:t>
            </w:r>
          </w:p>
          <w:p w14:paraId="3263FEB0" w14:textId="77777777" w:rsidR="00653FCF" w:rsidRPr="003A235D" w:rsidRDefault="00653FCF" w:rsidP="00AE14F4">
            <w:pPr>
              <w:pStyle w:val="Tableheadingrow"/>
              <w:jc w:val="center"/>
              <w:rPr>
                <w:szCs w:val="20"/>
                <w:lang w:val="en-AU"/>
              </w:rPr>
            </w:pPr>
            <w:r w:rsidRPr="003A235D">
              <w:rPr>
                <w:szCs w:val="20"/>
                <w:lang w:val="en-AU"/>
              </w:rPr>
              <w:t xml:space="preserve"> (N=2,989), n (%)</w:t>
            </w:r>
          </w:p>
        </w:tc>
      </w:tr>
      <w:tr w:rsidR="00653FCF" w:rsidRPr="003A235D" w14:paraId="5629C0A0" w14:textId="77777777" w:rsidTr="00AE14F4">
        <w:tc>
          <w:tcPr>
            <w:tcW w:w="4248" w:type="dxa"/>
            <w:vAlign w:val="center"/>
          </w:tcPr>
          <w:p w14:paraId="2DA42117" w14:textId="77777777" w:rsidR="00653FCF" w:rsidRPr="003A235D" w:rsidRDefault="00653FCF" w:rsidP="00AE14F4">
            <w:pPr>
              <w:pStyle w:val="TableText"/>
              <w:rPr>
                <w:szCs w:val="20"/>
              </w:rPr>
            </w:pPr>
            <w:r w:rsidRPr="003A235D">
              <w:rPr>
                <w:rFonts w:cstheme="minorHAnsi"/>
                <w:szCs w:val="20"/>
              </w:rPr>
              <w:t>Patients with any adverse events</w:t>
            </w:r>
          </w:p>
        </w:tc>
        <w:tc>
          <w:tcPr>
            <w:tcW w:w="2384" w:type="dxa"/>
          </w:tcPr>
          <w:p w14:paraId="0C963D36" w14:textId="77777777" w:rsidR="00653FCF" w:rsidRPr="003A235D" w:rsidRDefault="00653FCF" w:rsidP="00AE14F4">
            <w:pPr>
              <w:pStyle w:val="TableText"/>
              <w:jc w:val="center"/>
              <w:rPr>
                <w:szCs w:val="20"/>
              </w:rPr>
            </w:pPr>
            <w:r w:rsidRPr="003A235D">
              <w:t>2,574 (85.9)</w:t>
            </w:r>
          </w:p>
        </w:tc>
        <w:tc>
          <w:tcPr>
            <w:tcW w:w="2385" w:type="dxa"/>
          </w:tcPr>
          <w:p w14:paraId="7AB6E986" w14:textId="77777777" w:rsidR="00653FCF" w:rsidRPr="003A235D" w:rsidRDefault="00653FCF" w:rsidP="00AE14F4">
            <w:pPr>
              <w:pStyle w:val="TableText"/>
              <w:jc w:val="center"/>
              <w:rPr>
                <w:szCs w:val="20"/>
              </w:rPr>
            </w:pPr>
            <w:r w:rsidRPr="003A235D">
              <w:t>2,585 (86.5)</w:t>
            </w:r>
          </w:p>
        </w:tc>
      </w:tr>
      <w:tr w:rsidR="00653FCF" w:rsidRPr="003A235D" w14:paraId="7747059D" w14:textId="77777777" w:rsidTr="00AE14F4">
        <w:tc>
          <w:tcPr>
            <w:tcW w:w="4248" w:type="dxa"/>
            <w:vAlign w:val="center"/>
          </w:tcPr>
          <w:p w14:paraId="1ACF9936" w14:textId="77777777" w:rsidR="00653FCF" w:rsidRPr="003A235D" w:rsidRDefault="00653FCF" w:rsidP="00AE14F4">
            <w:pPr>
              <w:pStyle w:val="TableText"/>
              <w:rPr>
                <w:szCs w:val="20"/>
              </w:rPr>
            </w:pPr>
            <w:r w:rsidRPr="003A235D">
              <w:rPr>
                <w:rFonts w:cstheme="minorHAnsi"/>
                <w:szCs w:val="20"/>
              </w:rPr>
              <w:t>Severe adverse events</w:t>
            </w:r>
          </w:p>
        </w:tc>
        <w:tc>
          <w:tcPr>
            <w:tcW w:w="2384" w:type="dxa"/>
          </w:tcPr>
          <w:p w14:paraId="2935735A" w14:textId="77777777" w:rsidR="00653FCF" w:rsidRPr="003A235D" w:rsidRDefault="00653FCF" w:rsidP="00AE14F4">
            <w:pPr>
              <w:pStyle w:val="TableText"/>
              <w:jc w:val="center"/>
              <w:rPr>
                <w:szCs w:val="20"/>
              </w:rPr>
            </w:pPr>
            <w:r w:rsidRPr="003A235D">
              <w:t>786 (26.2)</w:t>
            </w:r>
          </w:p>
        </w:tc>
        <w:tc>
          <w:tcPr>
            <w:tcW w:w="2385" w:type="dxa"/>
          </w:tcPr>
          <w:p w14:paraId="02970928" w14:textId="77777777" w:rsidR="00653FCF" w:rsidRPr="003A235D" w:rsidRDefault="00653FCF" w:rsidP="00AE14F4">
            <w:pPr>
              <w:pStyle w:val="TableText"/>
              <w:jc w:val="center"/>
              <w:rPr>
                <w:szCs w:val="20"/>
              </w:rPr>
            </w:pPr>
            <w:r w:rsidRPr="003A235D">
              <w:t>851 (28.5)</w:t>
            </w:r>
          </w:p>
        </w:tc>
      </w:tr>
      <w:tr w:rsidR="00653FCF" w:rsidRPr="003A235D" w14:paraId="6ADDAE96" w14:textId="77777777" w:rsidTr="00AE14F4">
        <w:tc>
          <w:tcPr>
            <w:tcW w:w="4248" w:type="dxa"/>
            <w:vAlign w:val="center"/>
          </w:tcPr>
          <w:p w14:paraId="7AAF602E" w14:textId="77777777" w:rsidR="00653FCF" w:rsidRPr="003A235D" w:rsidRDefault="00653FCF" w:rsidP="00AE14F4">
            <w:pPr>
              <w:pStyle w:val="TableText"/>
              <w:rPr>
                <w:szCs w:val="20"/>
              </w:rPr>
            </w:pPr>
            <w:r w:rsidRPr="003A235D">
              <w:rPr>
                <w:rFonts w:cstheme="minorHAnsi"/>
                <w:szCs w:val="20"/>
              </w:rPr>
              <w:t>Serious adverse events</w:t>
            </w:r>
          </w:p>
        </w:tc>
        <w:tc>
          <w:tcPr>
            <w:tcW w:w="2384" w:type="dxa"/>
          </w:tcPr>
          <w:p w14:paraId="3509B721" w14:textId="77777777" w:rsidR="00653FCF" w:rsidRPr="003A235D" w:rsidRDefault="00653FCF" w:rsidP="00AE14F4">
            <w:pPr>
              <w:pStyle w:val="TableText"/>
              <w:jc w:val="center"/>
              <w:rPr>
                <w:szCs w:val="20"/>
              </w:rPr>
            </w:pPr>
            <w:r w:rsidRPr="003A235D">
              <w:t>1,436 (47.9)</w:t>
            </w:r>
          </w:p>
        </w:tc>
        <w:tc>
          <w:tcPr>
            <w:tcW w:w="2385" w:type="dxa"/>
          </w:tcPr>
          <w:p w14:paraId="50C32E8D" w14:textId="77777777" w:rsidR="00653FCF" w:rsidRPr="003A235D" w:rsidRDefault="00653FCF" w:rsidP="00AE14F4">
            <w:pPr>
              <w:pStyle w:val="TableText"/>
              <w:jc w:val="center"/>
              <w:rPr>
                <w:szCs w:val="20"/>
              </w:rPr>
            </w:pPr>
            <w:r w:rsidRPr="003A235D">
              <w:t>1,543 (51.6)</w:t>
            </w:r>
          </w:p>
        </w:tc>
      </w:tr>
      <w:tr w:rsidR="00653FCF" w:rsidRPr="003A235D" w14:paraId="4F19F379" w14:textId="77777777" w:rsidTr="00AE14F4">
        <w:tc>
          <w:tcPr>
            <w:tcW w:w="4248" w:type="dxa"/>
            <w:vAlign w:val="center"/>
          </w:tcPr>
          <w:p w14:paraId="557FA8C0" w14:textId="77777777" w:rsidR="00653FCF" w:rsidRPr="003A235D" w:rsidRDefault="00653FCF" w:rsidP="00AE14F4">
            <w:pPr>
              <w:pStyle w:val="TableText"/>
              <w:rPr>
                <w:szCs w:val="20"/>
              </w:rPr>
            </w:pPr>
            <w:r w:rsidRPr="003A235D">
              <w:rPr>
                <w:rFonts w:cstheme="minorHAnsi"/>
                <w:szCs w:val="20"/>
              </w:rPr>
              <w:t>Drug-related adverse events</w:t>
            </w:r>
          </w:p>
        </w:tc>
        <w:tc>
          <w:tcPr>
            <w:tcW w:w="2384" w:type="dxa"/>
          </w:tcPr>
          <w:p w14:paraId="1D79BC1F" w14:textId="77777777" w:rsidR="00653FCF" w:rsidRPr="003A235D" w:rsidRDefault="00653FCF" w:rsidP="00AE14F4">
            <w:pPr>
              <w:pStyle w:val="TableText"/>
              <w:jc w:val="center"/>
              <w:rPr>
                <w:szCs w:val="20"/>
              </w:rPr>
            </w:pPr>
            <w:r w:rsidRPr="003A235D">
              <w:t>494 (16.5)</w:t>
            </w:r>
          </w:p>
        </w:tc>
        <w:tc>
          <w:tcPr>
            <w:tcW w:w="2385" w:type="dxa"/>
          </w:tcPr>
          <w:p w14:paraId="6232BA17" w14:textId="77777777" w:rsidR="00653FCF" w:rsidRPr="003A235D" w:rsidRDefault="00653FCF" w:rsidP="00AE14F4">
            <w:pPr>
              <w:pStyle w:val="TableText"/>
              <w:jc w:val="center"/>
              <w:rPr>
                <w:szCs w:val="20"/>
              </w:rPr>
            </w:pPr>
            <w:r w:rsidRPr="003A235D">
              <w:t>413 (13.8)</w:t>
            </w:r>
          </w:p>
        </w:tc>
      </w:tr>
      <w:tr w:rsidR="00653FCF" w:rsidRPr="003A235D" w14:paraId="0687C051" w14:textId="77777777" w:rsidTr="00AE14F4">
        <w:tc>
          <w:tcPr>
            <w:tcW w:w="4248" w:type="dxa"/>
            <w:vAlign w:val="center"/>
          </w:tcPr>
          <w:p w14:paraId="319E511C" w14:textId="77777777" w:rsidR="00653FCF" w:rsidRPr="003A235D" w:rsidRDefault="00653FCF" w:rsidP="00AE14F4">
            <w:pPr>
              <w:pStyle w:val="TableText"/>
              <w:rPr>
                <w:szCs w:val="20"/>
              </w:rPr>
            </w:pPr>
            <w:r w:rsidRPr="003A235D">
              <w:rPr>
                <w:rFonts w:cstheme="minorHAnsi"/>
                <w:szCs w:val="20"/>
              </w:rPr>
              <w:t>Adverse events leading to treatment discontinuation</w:t>
            </w:r>
          </w:p>
        </w:tc>
        <w:tc>
          <w:tcPr>
            <w:tcW w:w="2384" w:type="dxa"/>
          </w:tcPr>
          <w:p w14:paraId="219A6515" w14:textId="77777777" w:rsidR="00653FCF" w:rsidRPr="003A235D" w:rsidRDefault="00653FCF" w:rsidP="00AE14F4">
            <w:pPr>
              <w:pStyle w:val="TableText"/>
              <w:jc w:val="center"/>
              <w:rPr>
                <w:szCs w:val="20"/>
              </w:rPr>
            </w:pPr>
            <w:r w:rsidRPr="003A235D">
              <w:t>571 (19.1)</w:t>
            </w:r>
          </w:p>
        </w:tc>
        <w:tc>
          <w:tcPr>
            <w:tcW w:w="2385" w:type="dxa"/>
          </w:tcPr>
          <w:p w14:paraId="3B249C2A" w14:textId="77777777" w:rsidR="00653FCF" w:rsidRPr="003A235D" w:rsidRDefault="00653FCF" w:rsidP="00AE14F4">
            <w:pPr>
              <w:pStyle w:val="TableText"/>
              <w:jc w:val="center"/>
              <w:rPr>
                <w:szCs w:val="20"/>
              </w:rPr>
            </w:pPr>
            <w:r w:rsidRPr="003A235D">
              <w:t>551 (18.4)</w:t>
            </w:r>
          </w:p>
        </w:tc>
      </w:tr>
      <w:tr w:rsidR="00653FCF" w:rsidRPr="003A235D" w14:paraId="553AA074" w14:textId="77777777" w:rsidTr="00AE14F4">
        <w:tc>
          <w:tcPr>
            <w:tcW w:w="4248" w:type="dxa"/>
            <w:vAlign w:val="center"/>
          </w:tcPr>
          <w:p w14:paraId="20E99ABA" w14:textId="77777777" w:rsidR="00653FCF" w:rsidRPr="003A235D" w:rsidRDefault="00653FCF" w:rsidP="00AE14F4">
            <w:pPr>
              <w:pStyle w:val="TableText"/>
              <w:rPr>
                <w:szCs w:val="20"/>
              </w:rPr>
            </w:pPr>
            <w:r w:rsidRPr="003A235D">
              <w:rPr>
                <w:rFonts w:cstheme="minorHAnsi"/>
                <w:szCs w:val="20"/>
              </w:rPr>
              <w:t>Adverse events resulting in death</w:t>
            </w:r>
          </w:p>
        </w:tc>
        <w:tc>
          <w:tcPr>
            <w:tcW w:w="2384" w:type="dxa"/>
          </w:tcPr>
          <w:p w14:paraId="3CE186FF" w14:textId="77777777" w:rsidR="00653FCF" w:rsidRPr="003A235D" w:rsidRDefault="00653FCF" w:rsidP="00AE14F4">
            <w:pPr>
              <w:pStyle w:val="TableText"/>
              <w:jc w:val="center"/>
              <w:rPr>
                <w:szCs w:val="20"/>
              </w:rPr>
            </w:pPr>
            <w:r w:rsidRPr="003A235D">
              <w:t>287 (9.6)</w:t>
            </w:r>
          </w:p>
        </w:tc>
        <w:tc>
          <w:tcPr>
            <w:tcW w:w="2385" w:type="dxa"/>
          </w:tcPr>
          <w:p w14:paraId="3304ABAB" w14:textId="77777777" w:rsidR="00653FCF" w:rsidRPr="003A235D" w:rsidRDefault="00653FCF" w:rsidP="00AE14F4">
            <w:pPr>
              <w:pStyle w:val="TableText"/>
              <w:jc w:val="center"/>
              <w:rPr>
                <w:szCs w:val="20"/>
              </w:rPr>
            </w:pPr>
            <w:r w:rsidRPr="003A235D">
              <w:t>297 (9.9)</w:t>
            </w:r>
          </w:p>
        </w:tc>
      </w:tr>
      <w:tr w:rsidR="00653FCF" w:rsidRPr="003A235D" w14:paraId="094A4A70" w14:textId="77777777" w:rsidTr="00AE14F4">
        <w:tc>
          <w:tcPr>
            <w:tcW w:w="4248" w:type="dxa"/>
            <w:vAlign w:val="center"/>
          </w:tcPr>
          <w:p w14:paraId="452A5A1B" w14:textId="77777777" w:rsidR="00653FCF" w:rsidRPr="003A235D" w:rsidRDefault="00653FCF" w:rsidP="00AE14F4">
            <w:pPr>
              <w:pStyle w:val="TableText"/>
              <w:rPr>
                <w:szCs w:val="20"/>
              </w:rPr>
            </w:pPr>
            <w:r w:rsidRPr="003A235D">
              <w:rPr>
                <w:rFonts w:cstheme="minorHAnsi"/>
                <w:szCs w:val="20"/>
              </w:rPr>
              <w:t>Adverse events requiring or prolonging hospitalisation</w:t>
            </w:r>
          </w:p>
        </w:tc>
        <w:tc>
          <w:tcPr>
            <w:tcW w:w="2384" w:type="dxa"/>
          </w:tcPr>
          <w:p w14:paraId="04CFA118" w14:textId="77777777" w:rsidR="00653FCF" w:rsidRPr="003A235D" w:rsidRDefault="00653FCF" w:rsidP="00AE14F4">
            <w:pPr>
              <w:pStyle w:val="TableText"/>
              <w:jc w:val="center"/>
              <w:rPr>
                <w:szCs w:val="20"/>
              </w:rPr>
            </w:pPr>
            <w:r w:rsidRPr="003A235D">
              <w:t>1,106 (36.9)</w:t>
            </w:r>
          </w:p>
        </w:tc>
        <w:tc>
          <w:tcPr>
            <w:tcW w:w="2385" w:type="dxa"/>
          </w:tcPr>
          <w:p w14:paraId="2C63BCAF" w14:textId="77777777" w:rsidR="00653FCF" w:rsidRPr="003A235D" w:rsidRDefault="00653FCF" w:rsidP="00AE14F4">
            <w:pPr>
              <w:pStyle w:val="TableText"/>
              <w:jc w:val="center"/>
              <w:rPr>
                <w:szCs w:val="20"/>
              </w:rPr>
            </w:pPr>
            <w:r w:rsidRPr="003A235D">
              <w:t>1,182 (39.5)</w:t>
            </w:r>
          </w:p>
        </w:tc>
      </w:tr>
    </w:tbl>
    <w:p w14:paraId="02165B65" w14:textId="792A469E" w:rsidR="00653FCF" w:rsidRPr="003A235D" w:rsidRDefault="00653FCF" w:rsidP="00653FCF">
      <w:pPr>
        <w:pStyle w:val="TableFigureFooter"/>
      </w:pPr>
      <w:r w:rsidRPr="003A235D">
        <w:t>Source: Table 2.27, p100 of the submission.</w:t>
      </w:r>
    </w:p>
    <w:p w14:paraId="65E425CA" w14:textId="6D324848" w:rsidR="007934DE" w:rsidRPr="003A235D" w:rsidRDefault="0008224C" w:rsidP="00A41DEF">
      <w:pPr>
        <w:pStyle w:val="ExecSumBodyText"/>
        <w:numPr>
          <w:ilvl w:val="1"/>
          <w:numId w:val="1"/>
        </w:numPr>
      </w:pPr>
      <w:r w:rsidRPr="003A235D">
        <w:t xml:space="preserve">The proportions of patients reporting adverse events were similar between treatment arms, with more patients treated with empagliflozin reporting drug related adverse events, and slightly more patients treated with placebo reporting serious adverse events and adverse events requiring </w:t>
      </w:r>
      <w:r w:rsidR="009965D1" w:rsidRPr="003A235D">
        <w:t xml:space="preserve">or prolonging </w:t>
      </w:r>
      <w:r w:rsidRPr="003A235D">
        <w:t>hospitalisation.</w:t>
      </w:r>
    </w:p>
    <w:p w14:paraId="3D0BE6BF" w14:textId="60757A4F" w:rsidR="00BC24D3" w:rsidRPr="003A235D" w:rsidRDefault="00BC24D3" w:rsidP="00A41DEF">
      <w:pPr>
        <w:pStyle w:val="ExecSumBodyText"/>
        <w:numPr>
          <w:ilvl w:val="1"/>
          <w:numId w:val="1"/>
        </w:numPr>
      </w:pPr>
      <w:r w:rsidRPr="003A235D">
        <w:t>The most common adverse events of special interest reported in empagliflozin-treated patients were acute renal failure (12.1%</w:t>
      </w:r>
      <w:r w:rsidR="00D91B6C" w:rsidRPr="003A235D">
        <w:t>, placebo 12.8%</w:t>
      </w:r>
      <w:r w:rsidRPr="003A235D">
        <w:t xml:space="preserve">), </w:t>
      </w:r>
      <w:r w:rsidR="00E16193" w:rsidRPr="003A235D">
        <w:t>volume depletion (11.9%</w:t>
      </w:r>
      <w:r w:rsidR="00D91B6C" w:rsidRPr="003A235D">
        <w:t xml:space="preserve">, placebo </w:t>
      </w:r>
      <w:r w:rsidR="00160970" w:rsidRPr="003A235D">
        <w:t>9.6%</w:t>
      </w:r>
      <w:r w:rsidR="00E16193" w:rsidRPr="003A235D">
        <w:t>), hypotension (10.4%</w:t>
      </w:r>
      <w:r w:rsidR="00160970" w:rsidRPr="003A235D">
        <w:t>, placebo 8.6%</w:t>
      </w:r>
      <w:r w:rsidR="00E16193" w:rsidRPr="003A235D">
        <w:t>) and urinary tract infection (9.9%</w:t>
      </w:r>
      <w:r w:rsidR="00160970" w:rsidRPr="003A235D">
        <w:t>, placebo 8.1%</w:t>
      </w:r>
      <w:r w:rsidR="00E16193" w:rsidRPr="003A235D">
        <w:t>).</w:t>
      </w:r>
      <w:r w:rsidR="00160970" w:rsidRPr="003A235D">
        <w:t xml:space="preserve"> More genital infections were reported in empagliflozin treated patients than placebo (2.2% versus 0.7%), although absolute numbers of infections were low in both groups.</w:t>
      </w:r>
    </w:p>
    <w:p w14:paraId="4AC7F32E" w14:textId="327394C8" w:rsidR="005108F6" w:rsidRPr="003A235D" w:rsidRDefault="007E5B2D" w:rsidP="005108F6">
      <w:pPr>
        <w:pStyle w:val="COMexecsumnumberedpara"/>
        <w:ind w:left="709" w:hanging="709"/>
      </w:pPr>
      <w:r w:rsidRPr="003A235D">
        <w:t xml:space="preserve">Overall, the safety profile was consistent with the known safety profile of empagliflozin in the treatment of type 2 diabetes and HFrEF, with no unexpected safety signals detected in the EMPEROR-Preserved trial.  </w:t>
      </w:r>
      <w:r w:rsidR="00705D32" w:rsidRPr="003A235D">
        <w:rPr>
          <w:iCs/>
        </w:rPr>
        <w:t>The ESC considered that the safety profile of empagliflozin is well understood.</w:t>
      </w:r>
    </w:p>
    <w:p w14:paraId="04908C7F" w14:textId="415B9B7D" w:rsidR="007F1017" w:rsidRPr="003A235D" w:rsidRDefault="007F1017" w:rsidP="00D86231">
      <w:pPr>
        <w:pStyle w:val="COMH2-non-numbered"/>
      </w:pPr>
      <w:bookmarkStart w:id="44" w:name="_Toc114047889"/>
      <w:r w:rsidRPr="003A235D">
        <w:t>Benefits/harms</w:t>
      </w:r>
      <w:bookmarkEnd w:id="43"/>
      <w:bookmarkEnd w:id="44"/>
    </w:p>
    <w:p w14:paraId="7589B727" w14:textId="3013F254" w:rsidR="00CF76B2" w:rsidRPr="003A235D" w:rsidRDefault="00CF76B2" w:rsidP="00CF76B2">
      <w:pPr>
        <w:pStyle w:val="ExecSumBodyText"/>
        <w:numPr>
          <w:ilvl w:val="1"/>
          <w:numId w:val="1"/>
        </w:numPr>
      </w:pPr>
      <w:r w:rsidRPr="003A235D">
        <w:rPr>
          <w:snapToGrid/>
        </w:rPr>
        <w:t xml:space="preserve">On the basis of the direct evidence presented in the submission, for every 100 patients treated with empagliflozin plus standard care in comparison with placebo plus standard care </w:t>
      </w:r>
      <w:r w:rsidR="005C52BD" w:rsidRPr="003A235D">
        <w:rPr>
          <w:iCs/>
          <w:snapToGrid/>
        </w:rPr>
        <w:t>over a duration of follow-up of 26</w:t>
      </w:r>
      <w:r w:rsidR="00A24119" w:rsidRPr="003A235D">
        <w:rPr>
          <w:snapToGrid/>
        </w:rPr>
        <w:t xml:space="preserve"> </w:t>
      </w:r>
      <w:r w:rsidRPr="003A235D">
        <w:rPr>
          <w:snapToGrid/>
        </w:rPr>
        <w:t>months:</w:t>
      </w:r>
    </w:p>
    <w:p w14:paraId="3F258FE1" w14:textId="77777777" w:rsidR="00355E42" w:rsidRPr="003A235D" w:rsidRDefault="00B578CB" w:rsidP="00B578CB">
      <w:pPr>
        <w:pStyle w:val="COMexecsummbulletlist"/>
      </w:pPr>
      <w:r w:rsidRPr="003A235D">
        <w:t xml:space="preserve">Approximately </w:t>
      </w:r>
      <w:r w:rsidR="008E0B6A" w:rsidRPr="003A235D">
        <w:t>3</w:t>
      </w:r>
      <w:r w:rsidRPr="003A235D">
        <w:t xml:space="preserve"> fewer patients would be hospitalised for heart failure. </w:t>
      </w:r>
    </w:p>
    <w:p w14:paraId="491B9CC7" w14:textId="3C9870A0" w:rsidR="00B578CB" w:rsidRPr="003A235D" w:rsidRDefault="00A848E3" w:rsidP="00B578CB">
      <w:pPr>
        <w:pStyle w:val="COMexecsummbulletlist"/>
      </w:pPr>
      <w:r w:rsidRPr="003A235D">
        <w:t>There would be no difference in the number of people who die from heart-related causes</w:t>
      </w:r>
      <w:r w:rsidR="00B578CB" w:rsidRPr="003A235D">
        <w:t>.</w:t>
      </w:r>
    </w:p>
    <w:p w14:paraId="435A4D0B" w14:textId="26BBBB47" w:rsidR="00B578CB" w:rsidRPr="003A235D" w:rsidRDefault="00B578CB" w:rsidP="00B578CB">
      <w:pPr>
        <w:pStyle w:val="COMexecsummbulletlist"/>
      </w:pPr>
      <w:r w:rsidRPr="003A235D">
        <w:t xml:space="preserve">Approximately 3 additional patients </w:t>
      </w:r>
      <w:r w:rsidR="00101CE7" w:rsidRPr="003A235D">
        <w:t xml:space="preserve">may </w:t>
      </w:r>
      <w:r w:rsidRPr="003A235D">
        <w:t>experience a drug-related adverse event.</w:t>
      </w:r>
    </w:p>
    <w:p w14:paraId="7A1772B6" w14:textId="23BB3145" w:rsidR="00B60939" w:rsidRPr="003A235D" w:rsidRDefault="00B60939" w:rsidP="00E9094A">
      <w:pPr>
        <w:pStyle w:val="COMH2-non-numbered"/>
      </w:pPr>
      <w:bookmarkStart w:id="45" w:name="_Toc22897644"/>
      <w:bookmarkStart w:id="46" w:name="_Toc114047890"/>
      <w:r w:rsidRPr="003A235D">
        <w:t>Clinical claim</w:t>
      </w:r>
      <w:bookmarkEnd w:id="45"/>
      <w:bookmarkEnd w:id="46"/>
    </w:p>
    <w:p w14:paraId="79B5DD34" w14:textId="7DC0FD25" w:rsidR="00081113" w:rsidRPr="003A235D" w:rsidRDefault="00F94234" w:rsidP="00A41DEF">
      <w:pPr>
        <w:pStyle w:val="ExecSumBodyText"/>
        <w:numPr>
          <w:ilvl w:val="1"/>
          <w:numId w:val="1"/>
        </w:numPr>
      </w:pPr>
      <w:r w:rsidRPr="003A235D">
        <w:t xml:space="preserve">The submission described empagliflozin plus standard care as superior in terms of effectiveness, and non-inferior in terms of safety compared to placebo plus standard care, in the treatment of patients with chronic </w:t>
      </w:r>
      <w:r w:rsidR="00081113" w:rsidRPr="003A235D">
        <w:t>HFmrEF/HFpEF</w:t>
      </w:r>
      <w:r w:rsidRPr="003A235D">
        <w:t xml:space="preserve">. </w:t>
      </w:r>
    </w:p>
    <w:p w14:paraId="289EAA5E" w14:textId="52A2896E" w:rsidR="007C70FF" w:rsidRPr="003A235D" w:rsidRDefault="00081113" w:rsidP="00A41DEF">
      <w:pPr>
        <w:pStyle w:val="ExecSumBodyText"/>
        <w:numPr>
          <w:ilvl w:val="1"/>
          <w:numId w:val="1"/>
        </w:numPr>
      </w:pPr>
      <w:r w:rsidRPr="003A235D">
        <w:t>The therapeutic conclusion presented in the submission was adequately supported by the evidence presented in Section 2 of the submission. However</w:t>
      </w:r>
      <w:r w:rsidR="00572FB1" w:rsidRPr="003A235D">
        <w:t xml:space="preserve"> </w:t>
      </w:r>
      <w:r w:rsidR="00101CE7" w:rsidRPr="003A235D">
        <w:t xml:space="preserve">the evaluation </w:t>
      </w:r>
      <w:r w:rsidR="00101CE7" w:rsidRPr="003A235D">
        <w:lastRenderedPageBreak/>
        <w:t>considered</w:t>
      </w:r>
      <w:r w:rsidRPr="003A235D">
        <w:t xml:space="preserve"> the applicability of the EMPEROR-Preserved results to the Australian patient population </w:t>
      </w:r>
      <w:r w:rsidR="00101CE7" w:rsidRPr="003A235D">
        <w:t>wa</w:t>
      </w:r>
      <w:r w:rsidRPr="003A235D">
        <w:t>s uncertain, given differences in risk factors of age and sex, and limited Australian data to determine the applicability of the trial results to the requested population.</w:t>
      </w:r>
      <w:r w:rsidR="00572FB1" w:rsidRPr="003A235D">
        <w:t xml:space="preserve">  The ESC noted that limited Australian data were available, however considered </w:t>
      </w:r>
      <w:r w:rsidR="008A1EA5" w:rsidRPr="003A235D">
        <w:t xml:space="preserve">that, on balance, </w:t>
      </w:r>
      <w:r w:rsidR="00572FB1" w:rsidRPr="003A235D">
        <w:t>there were no significant concerns regarding the applicability of the EMPEROR-Preserved trial to the PBS population.</w:t>
      </w:r>
    </w:p>
    <w:p w14:paraId="2D04A77C" w14:textId="0352ED61" w:rsidR="00D05825" w:rsidRPr="003A235D" w:rsidRDefault="00D05825" w:rsidP="00D05825">
      <w:pPr>
        <w:widowControl w:val="0"/>
        <w:numPr>
          <w:ilvl w:val="1"/>
          <w:numId w:val="1"/>
        </w:numPr>
        <w:spacing w:after="120"/>
        <w:ind w:left="720" w:hanging="720"/>
        <w:rPr>
          <w:rFonts w:asciiTheme="minorHAnsi" w:hAnsiTheme="minorHAnsi"/>
          <w:snapToGrid w:val="0"/>
          <w:szCs w:val="20"/>
        </w:rPr>
      </w:pPr>
      <w:bookmarkStart w:id="47" w:name="_Hlk76376200"/>
      <w:r w:rsidRPr="003A235D">
        <w:rPr>
          <w:rFonts w:asciiTheme="minorHAnsi" w:hAnsiTheme="minorHAnsi"/>
          <w:iCs/>
          <w:snapToGrid w:val="0"/>
        </w:rPr>
        <w:t>The</w:t>
      </w:r>
      <w:r w:rsidRPr="003A235D">
        <w:rPr>
          <w:rFonts w:asciiTheme="minorHAnsi" w:hAnsiTheme="minorHAnsi"/>
          <w:snapToGrid w:val="0"/>
          <w:szCs w:val="20"/>
        </w:rPr>
        <w:t xml:space="preserve"> PBAC considered that the claim of superior comparative effectiveness was adequately supported by the data.</w:t>
      </w:r>
    </w:p>
    <w:p w14:paraId="61C177D7" w14:textId="50254314" w:rsidR="00101CE7" w:rsidRPr="003A235D" w:rsidRDefault="00101CE7" w:rsidP="00D05825">
      <w:pPr>
        <w:widowControl w:val="0"/>
        <w:numPr>
          <w:ilvl w:val="1"/>
          <w:numId w:val="1"/>
        </w:numPr>
        <w:spacing w:after="120"/>
        <w:ind w:left="720" w:hanging="720"/>
        <w:rPr>
          <w:rFonts w:asciiTheme="minorHAnsi" w:hAnsiTheme="minorHAnsi"/>
          <w:iCs/>
          <w:snapToGrid w:val="0"/>
          <w:szCs w:val="20"/>
        </w:rPr>
      </w:pPr>
      <w:r w:rsidRPr="003A235D">
        <w:rPr>
          <w:rFonts w:asciiTheme="minorHAnsi" w:hAnsiTheme="minorHAnsi"/>
          <w:iCs/>
          <w:snapToGrid w:val="0"/>
        </w:rPr>
        <w:t>The PBAC considered that the claim of non-inferior comparative safety was adequately supported by the data</w:t>
      </w:r>
      <w:r w:rsidRPr="003A235D">
        <w:rPr>
          <w:rFonts w:asciiTheme="minorHAnsi" w:hAnsiTheme="minorHAnsi"/>
          <w:iCs/>
          <w:snapToGrid w:val="0"/>
          <w:szCs w:val="20"/>
        </w:rPr>
        <w:t>.</w:t>
      </w:r>
    </w:p>
    <w:p w14:paraId="74A1172E" w14:textId="4F730FDE" w:rsidR="00B60939" w:rsidRPr="003A235D" w:rsidRDefault="00B60939" w:rsidP="00E9094A">
      <w:pPr>
        <w:pStyle w:val="COMH2-non-numbered"/>
      </w:pPr>
      <w:bookmarkStart w:id="48" w:name="_Toc22897645"/>
      <w:bookmarkStart w:id="49" w:name="_Toc114047891"/>
      <w:bookmarkEnd w:id="47"/>
      <w:r w:rsidRPr="003A235D">
        <w:t>Economic analysis</w:t>
      </w:r>
      <w:bookmarkEnd w:id="48"/>
      <w:bookmarkEnd w:id="49"/>
      <w:r w:rsidR="00491B3A" w:rsidRPr="003A235D">
        <w:t xml:space="preserve"> </w:t>
      </w:r>
    </w:p>
    <w:p w14:paraId="42B59D73" w14:textId="388425BB" w:rsidR="00C300CB" w:rsidRPr="003A235D" w:rsidRDefault="00C21FCA" w:rsidP="00A41DEF">
      <w:pPr>
        <w:pStyle w:val="ExecSumBodyText"/>
        <w:numPr>
          <w:ilvl w:val="1"/>
          <w:numId w:val="1"/>
        </w:numPr>
      </w:pPr>
      <w:bookmarkStart w:id="50" w:name="_Hlk120789347"/>
      <w:bookmarkStart w:id="51" w:name="_Toc22897647"/>
      <w:r w:rsidRPr="003A235D">
        <w:t>The submission presented a modelled economic evaluation of empagliflozin plus standard care versus standard care alone, in patients with HFmrEF/HFpEF. The economic analysis was based on the results of the EMPEROR-Preserved trial, with additional modelled data. The type of economic evaluation presented was a cost-effectiveness/cost-utility analysis.</w:t>
      </w:r>
    </w:p>
    <w:p w14:paraId="2FAA5327" w14:textId="7751B9F4" w:rsidR="00C21FCA" w:rsidRPr="003A235D" w:rsidRDefault="00C21FCA" w:rsidP="00C21FCA">
      <w:pPr>
        <w:pStyle w:val="COMtablefigcaption"/>
      </w:pPr>
      <w:bookmarkStart w:id="52" w:name="_Ref116563909"/>
      <w:bookmarkEnd w:id="50"/>
      <w:r w:rsidRPr="003A235D">
        <w:t xml:space="preserve">Table </w:t>
      </w:r>
      <w:fldSimple w:instr=" SEQ Table \* ARABIC " w:fldLock="1">
        <w:r w:rsidR="004646F5" w:rsidRPr="003A235D">
          <w:t>9</w:t>
        </w:r>
      </w:fldSimple>
      <w:bookmarkEnd w:id="52"/>
      <w:r w:rsidRPr="003A235D">
        <w:t>: 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9: Key components of the economic evaluation"/>
      </w:tblPr>
      <w:tblGrid>
        <w:gridCol w:w="1980"/>
        <w:gridCol w:w="7037"/>
      </w:tblGrid>
      <w:tr w:rsidR="00C21FCA" w:rsidRPr="003A235D" w14:paraId="719952C6" w14:textId="77777777" w:rsidTr="00AE14F4">
        <w:trPr>
          <w:tblHeader/>
        </w:trPr>
        <w:tc>
          <w:tcPr>
            <w:tcW w:w="1098" w:type="pct"/>
            <w:shd w:val="clear" w:color="auto" w:fill="auto"/>
            <w:vAlign w:val="center"/>
          </w:tcPr>
          <w:p w14:paraId="3444D1ED" w14:textId="77777777" w:rsidR="00C21FCA" w:rsidRPr="003A235D" w:rsidRDefault="00C21FCA" w:rsidP="00AE14F4">
            <w:pPr>
              <w:pStyle w:val="COMTableheadingrow"/>
              <w:keepNext w:val="0"/>
              <w:rPr>
                <w:lang w:val="en-AU"/>
              </w:rPr>
            </w:pPr>
            <w:r w:rsidRPr="003A235D">
              <w:rPr>
                <w:lang w:val="en-AU"/>
              </w:rPr>
              <w:t>Component</w:t>
            </w:r>
          </w:p>
        </w:tc>
        <w:tc>
          <w:tcPr>
            <w:tcW w:w="3902" w:type="pct"/>
            <w:shd w:val="clear" w:color="auto" w:fill="auto"/>
            <w:vAlign w:val="center"/>
          </w:tcPr>
          <w:p w14:paraId="4F364F9E" w14:textId="77777777" w:rsidR="00C21FCA" w:rsidRPr="003A235D" w:rsidRDefault="00C21FCA" w:rsidP="00AE14F4">
            <w:pPr>
              <w:pStyle w:val="COMTableheadingrow"/>
              <w:keepNext w:val="0"/>
              <w:rPr>
                <w:lang w:val="en-AU"/>
              </w:rPr>
            </w:pPr>
            <w:r w:rsidRPr="003A235D">
              <w:rPr>
                <w:lang w:val="en-AU"/>
              </w:rPr>
              <w:t>Summary</w:t>
            </w:r>
          </w:p>
        </w:tc>
      </w:tr>
      <w:tr w:rsidR="00C21FCA" w:rsidRPr="003A235D" w14:paraId="4F35D624" w14:textId="77777777" w:rsidTr="00AE14F4">
        <w:tc>
          <w:tcPr>
            <w:tcW w:w="1098" w:type="pct"/>
            <w:shd w:val="clear" w:color="auto" w:fill="auto"/>
            <w:vAlign w:val="center"/>
          </w:tcPr>
          <w:p w14:paraId="22096D84" w14:textId="77777777" w:rsidR="00C21FCA" w:rsidRPr="003A235D" w:rsidRDefault="00C21FCA" w:rsidP="00AE14F4">
            <w:pPr>
              <w:pStyle w:val="COMTabletext"/>
              <w:keepNext w:val="0"/>
            </w:pPr>
            <w:r w:rsidRPr="003A235D">
              <w:t>Treatments</w:t>
            </w:r>
          </w:p>
        </w:tc>
        <w:tc>
          <w:tcPr>
            <w:tcW w:w="3902" w:type="pct"/>
            <w:shd w:val="clear" w:color="auto" w:fill="auto"/>
            <w:vAlign w:val="center"/>
          </w:tcPr>
          <w:p w14:paraId="5EBB36E5" w14:textId="77777777" w:rsidR="00C21FCA" w:rsidRPr="003A235D" w:rsidRDefault="00C21FCA" w:rsidP="00AE14F4">
            <w:pPr>
              <w:pStyle w:val="COMTabletext"/>
              <w:keepNext w:val="0"/>
            </w:pPr>
            <w:r w:rsidRPr="003A235D">
              <w:t>Empagliflozin plus standard care versus standard care alone</w:t>
            </w:r>
          </w:p>
        </w:tc>
      </w:tr>
      <w:tr w:rsidR="00C21FCA" w:rsidRPr="003A235D" w14:paraId="3A0B3C3E" w14:textId="77777777" w:rsidTr="00AE14F4">
        <w:tc>
          <w:tcPr>
            <w:tcW w:w="1098" w:type="pct"/>
            <w:shd w:val="clear" w:color="auto" w:fill="auto"/>
            <w:vAlign w:val="center"/>
          </w:tcPr>
          <w:p w14:paraId="5F6512F2" w14:textId="77777777" w:rsidR="00C21FCA" w:rsidRPr="003A235D" w:rsidRDefault="00C21FCA" w:rsidP="00AE14F4">
            <w:pPr>
              <w:pStyle w:val="COMTabletext"/>
              <w:keepNext w:val="0"/>
            </w:pPr>
            <w:r w:rsidRPr="003A235D">
              <w:t>Time horizon</w:t>
            </w:r>
          </w:p>
        </w:tc>
        <w:tc>
          <w:tcPr>
            <w:tcW w:w="3902" w:type="pct"/>
            <w:shd w:val="clear" w:color="auto" w:fill="auto"/>
            <w:vAlign w:val="center"/>
          </w:tcPr>
          <w:p w14:paraId="4394AF05" w14:textId="22F58A83" w:rsidR="00C21FCA" w:rsidRPr="003A235D" w:rsidRDefault="00C21FCA" w:rsidP="00AE14F4">
            <w:pPr>
              <w:pStyle w:val="COMTabletext"/>
              <w:keepNext w:val="0"/>
            </w:pPr>
            <w:r w:rsidRPr="003A235D">
              <w:t>15 years in the model base case versus median follow-up of 26.2 months in the EMPEROR-Preserved trial</w:t>
            </w:r>
          </w:p>
        </w:tc>
      </w:tr>
      <w:tr w:rsidR="00C21FCA" w:rsidRPr="003A235D" w14:paraId="0FC1850F" w14:textId="77777777" w:rsidTr="00AE14F4">
        <w:tc>
          <w:tcPr>
            <w:tcW w:w="1098" w:type="pct"/>
            <w:shd w:val="clear" w:color="auto" w:fill="auto"/>
            <w:vAlign w:val="center"/>
          </w:tcPr>
          <w:p w14:paraId="5C12DFCD" w14:textId="77777777" w:rsidR="00C21FCA" w:rsidRPr="003A235D" w:rsidRDefault="00C21FCA" w:rsidP="00AE14F4">
            <w:pPr>
              <w:pStyle w:val="COMTabletext"/>
              <w:keepNext w:val="0"/>
            </w:pPr>
            <w:r w:rsidRPr="003A235D">
              <w:t>Outcomes</w:t>
            </w:r>
          </w:p>
        </w:tc>
        <w:tc>
          <w:tcPr>
            <w:tcW w:w="3902" w:type="pct"/>
            <w:shd w:val="clear" w:color="auto" w:fill="auto"/>
          </w:tcPr>
          <w:p w14:paraId="5B20AE09" w14:textId="77777777" w:rsidR="00C21FCA" w:rsidRPr="003A235D" w:rsidRDefault="00C21FCA" w:rsidP="00AE14F4">
            <w:pPr>
              <w:pStyle w:val="COMTabletext"/>
              <w:keepNext w:val="0"/>
            </w:pPr>
            <w:r w:rsidRPr="003A235D">
              <w:t>Life years; quality adjusted life years</w:t>
            </w:r>
          </w:p>
        </w:tc>
      </w:tr>
      <w:tr w:rsidR="00C21FCA" w:rsidRPr="003A235D" w14:paraId="7F5704C6" w14:textId="77777777" w:rsidTr="00AE14F4">
        <w:tc>
          <w:tcPr>
            <w:tcW w:w="1098" w:type="pct"/>
            <w:shd w:val="clear" w:color="auto" w:fill="auto"/>
            <w:vAlign w:val="center"/>
          </w:tcPr>
          <w:p w14:paraId="0E1A589C" w14:textId="77777777" w:rsidR="00C21FCA" w:rsidRPr="003A235D" w:rsidRDefault="00C21FCA" w:rsidP="00AE14F4">
            <w:pPr>
              <w:pStyle w:val="COMTabletext"/>
              <w:keepNext w:val="0"/>
            </w:pPr>
            <w:r w:rsidRPr="003A235D">
              <w:t>Methods used to generate results</w:t>
            </w:r>
          </w:p>
        </w:tc>
        <w:tc>
          <w:tcPr>
            <w:tcW w:w="3902" w:type="pct"/>
            <w:shd w:val="clear" w:color="auto" w:fill="auto"/>
          </w:tcPr>
          <w:p w14:paraId="23C60914" w14:textId="77777777" w:rsidR="00C21FCA" w:rsidRPr="003A235D" w:rsidRDefault="00C21FCA" w:rsidP="00AE14F4">
            <w:pPr>
              <w:pStyle w:val="COMTabletext"/>
              <w:keepNext w:val="0"/>
            </w:pPr>
            <w:r w:rsidRPr="003A235D">
              <w:t>Markov state transition model</w:t>
            </w:r>
          </w:p>
        </w:tc>
      </w:tr>
      <w:tr w:rsidR="00C21FCA" w:rsidRPr="003A235D" w14:paraId="1BE50598" w14:textId="77777777" w:rsidTr="00AE14F4">
        <w:tc>
          <w:tcPr>
            <w:tcW w:w="1098" w:type="pct"/>
            <w:shd w:val="clear" w:color="auto" w:fill="auto"/>
            <w:vAlign w:val="center"/>
          </w:tcPr>
          <w:p w14:paraId="485F2F31" w14:textId="77777777" w:rsidR="00C21FCA" w:rsidRPr="003A235D" w:rsidRDefault="00C21FCA" w:rsidP="00AE14F4">
            <w:pPr>
              <w:pStyle w:val="COMTabletext"/>
              <w:keepNext w:val="0"/>
            </w:pPr>
            <w:r w:rsidRPr="003A235D">
              <w:t>Health states</w:t>
            </w:r>
          </w:p>
        </w:tc>
        <w:tc>
          <w:tcPr>
            <w:tcW w:w="3902" w:type="pct"/>
            <w:shd w:val="clear" w:color="auto" w:fill="auto"/>
          </w:tcPr>
          <w:p w14:paraId="06A25008" w14:textId="77777777" w:rsidR="00C21FCA" w:rsidRPr="003A235D" w:rsidRDefault="00C21FCA" w:rsidP="00AE14F4">
            <w:pPr>
              <w:pStyle w:val="COMTabletext"/>
              <w:keepNext w:val="0"/>
            </w:pPr>
            <w:r w:rsidRPr="003A235D">
              <w:t>4 health states based on KCCQ-CSS quartiles (0 to &lt;55.7, 55.7 to &lt;74.0, 74.0 to &lt;88.0, 88.0 to 100; where a higher score is better) and 2 death states (CV and non-CV)</w:t>
            </w:r>
          </w:p>
        </w:tc>
      </w:tr>
      <w:tr w:rsidR="00C21FCA" w:rsidRPr="003A235D" w14:paraId="0A6C34AE" w14:textId="77777777" w:rsidTr="00AE14F4">
        <w:tc>
          <w:tcPr>
            <w:tcW w:w="1098" w:type="pct"/>
            <w:shd w:val="clear" w:color="auto" w:fill="auto"/>
            <w:vAlign w:val="center"/>
          </w:tcPr>
          <w:p w14:paraId="3C146505" w14:textId="77777777" w:rsidR="00C21FCA" w:rsidRPr="003A235D" w:rsidRDefault="00C21FCA" w:rsidP="00AE14F4">
            <w:pPr>
              <w:pStyle w:val="COMTabletext"/>
              <w:keepNext w:val="0"/>
            </w:pPr>
            <w:r w:rsidRPr="003A235D">
              <w:t>Cycle length</w:t>
            </w:r>
          </w:p>
        </w:tc>
        <w:tc>
          <w:tcPr>
            <w:tcW w:w="3902" w:type="pct"/>
            <w:shd w:val="clear" w:color="auto" w:fill="auto"/>
          </w:tcPr>
          <w:p w14:paraId="7574519F" w14:textId="77777777" w:rsidR="00C21FCA" w:rsidRPr="003A235D" w:rsidRDefault="00C21FCA" w:rsidP="00AE14F4">
            <w:pPr>
              <w:pStyle w:val="COMTabletext"/>
              <w:keepNext w:val="0"/>
            </w:pPr>
            <w:r w:rsidRPr="003A235D">
              <w:t>One month</w:t>
            </w:r>
          </w:p>
        </w:tc>
      </w:tr>
      <w:tr w:rsidR="00C21FCA" w:rsidRPr="003A235D" w14:paraId="25728676" w14:textId="77777777" w:rsidTr="00AE14F4">
        <w:tc>
          <w:tcPr>
            <w:tcW w:w="1098" w:type="pct"/>
            <w:shd w:val="clear" w:color="auto" w:fill="auto"/>
            <w:vAlign w:val="center"/>
          </w:tcPr>
          <w:p w14:paraId="742DAAAF" w14:textId="77777777" w:rsidR="00C21FCA" w:rsidRPr="003A235D" w:rsidRDefault="00C21FCA" w:rsidP="00AE14F4">
            <w:pPr>
              <w:pStyle w:val="COMTabletext"/>
              <w:keepNext w:val="0"/>
            </w:pPr>
            <w:r w:rsidRPr="003A235D">
              <w:t>Transition probabilities</w:t>
            </w:r>
          </w:p>
          <w:p w14:paraId="16F9F39D" w14:textId="77777777" w:rsidR="00C21FCA" w:rsidRPr="003A235D" w:rsidRDefault="00C21FCA" w:rsidP="00AE14F4">
            <w:pPr>
              <w:pStyle w:val="COMTabletext"/>
              <w:keepNext w:val="0"/>
            </w:pPr>
          </w:p>
        </w:tc>
        <w:tc>
          <w:tcPr>
            <w:tcW w:w="3902" w:type="pct"/>
            <w:shd w:val="clear" w:color="auto" w:fill="auto"/>
            <w:vAlign w:val="center"/>
          </w:tcPr>
          <w:p w14:paraId="0E038137" w14:textId="77777777" w:rsidR="00C21FCA" w:rsidRPr="003A235D" w:rsidRDefault="00C21FCA" w:rsidP="00AE14F4">
            <w:pPr>
              <w:pStyle w:val="COMTabletext"/>
              <w:spacing w:after="60"/>
            </w:pPr>
            <w:bookmarkStart w:id="53" w:name="_Hlk116562021"/>
            <w:r w:rsidRPr="003A235D">
              <w:t>KCCQ-CSS transitions for 3 time periods (baseline to Week 12, Week 12 to Week 32, Week 32 to Week 52) were based on individual patient data from EMPEROR-Preserved. Transition probabilities from Week 32 to Week 52 were used for the remaining time horizon (to 15 years).</w:t>
            </w:r>
          </w:p>
          <w:p w14:paraId="3780D0C8" w14:textId="77777777" w:rsidR="00C21FCA" w:rsidRPr="003A235D" w:rsidRDefault="00C21FCA" w:rsidP="00AE14F4">
            <w:pPr>
              <w:pStyle w:val="COMTabletext"/>
              <w:keepNext w:val="0"/>
              <w:spacing w:after="60"/>
            </w:pPr>
            <w:r w:rsidRPr="003A235D">
              <w:t>CV death transitions were based on Kaplan Meier time to CV death curves from EMPEROR-Preserved over 30 months, extrapolated to 15 years based on a Weibull function, with treatment and KCCQ-CSS quartiles as covariates.</w:t>
            </w:r>
          </w:p>
          <w:p w14:paraId="63D64C2A" w14:textId="77777777" w:rsidR="00C21FCA" w:rsidRPr="003A235D" w:rsidRDefault="00C21FCA" w:rsidP="00AE14F4">
            <w:pPr>
              <w:pStyle w:val="COMTabletext"/>
              <w:spacing w:after="60"/>
            </w:pPr>
            <w:r w:rsidRPr="003A235D">
              <w:t>Non-CV death transitions were derived from estimates of all-cause mortality minus estimates of CV mortality. All-cause mortality was based on a Weibull function fitted to Kaplan Meier time to all-cause mortality curves from EMPEROR-Preserved, with KCCQ-CSS quartiles as covariates, extrapolated to 15 years. A correction was included to ensure that the monthly probability of non-CV death was not smaller than that of the Australian general population (adjusted to remove CV death).</w:t>
            </w:r>
          </w:p>
          <w:bookmarkEnd w:id="53"/>
          <w:p w14:paraId="2F34DA59" w14:textId="77777777" w:rsidR="00C21FCA" w:rsidRPr="003A235D" w:rsidRDefault="00C21FCA" w:rsidP="00AE14F4">
            <w:pPr>
              <w:pStyle w:val="COMTabletext"/>
              <w:spacing w:after="60"/>
            </w:pPr>
            <w:r w:rsidRPr="003A235D">
              <w:t xml:space="preserve">Monthly probabilities of treatment discontinuation in the empagliflozin arm were based on a generalised gamma distribution fitted to the Kaplan Meier time to treatment discontinuation </w:t>
            </w:r>
            <w:r w:rsidRPr="003A235D">
              <w:lastRenderedPageBreak/>
              <w:t>curve (censored for death) from EMPEROR-Preserved, with KCCQ-CSS quartiles as covariates, extrapolated to 15 years.</w:t>
            </w:r>
          </w:p>
          <w:p w14:paraId="19A9622C" w14:textId="77777777" w:rsidR="00C21FCA" w:rsidRPr="003A235D" w:rsidRDefault="00C21FCA" w:rsidP="00AE14F4">
            <w:pPr>
              <w:pStyle w:val="COMTabletext"/>
              <w:spacing w:after="60"/>
            </w:pPr>
            <w:bookmarkStart w:id="54" w:name="_Hlk116562599"/>
            <w:r w:rsidRPr="003A235D">
              <w:t>Monthly probabilities of heart failure hospitalisation were derived using a Poisson model fitted to the observed data from EMPEROR-Preserved with treatment and KCCQ-CSS quartiles as covariates. Probabilities were assumed to remain constant over time.</w:t>
            </w:r>
          </w:p>
          <w:bookmarkEnd w:id="54"/>
          <w:p w14:paraId="122803A9" w14:textId="77777777" w:rsidR="00C21FCA" w:rsidRPr="003A235D" w:rsidRDefault="00C21FCA" w:rsidP="00AE14F4">
            <w:pPr>
              <w:pStyle w:val="COMTabletext"/>
              <w:keepNext w:val="0"/>
              <w:spacing w:after="60"/>
            </w:pPr>
            <w:r w:rsidRPr="003A235D">
              <w:t>The monthly probabilities of adverse events were derived from the rate per 100 patient years of adverse events of special interest and specific adverse events from the EMPEROR-Preserved trial.</w:t>
            </w:r>
          </w:p>
          <w:p w14:paraId="24211D6C" w14:textId="77777777" w:rsidR="00C21FCA" w:rsidRPr="003A235D" w:rsidRDefault="00C21FCA" w:rsidP="00AE14F4">
            <w:pPr>
              <w:pStyle w:val="COMTabletext"/>
              <w:keepNext w:val="0"/>
            </w:pPr>
            <w:bookmarkStart w:id="55" w:name="_Hlk116563104"/>
            <w:r w:rsidRPr="003A235D">
              <w:t>52.8% of incremental costs and 75.1% of incremental QALYs are accrued in the extrapolated period beyond 26 months.</w:t>
            </w:r>
            <w:bookmarkEnd w:id="55"/>
          </w:p>
        </w:tc>
      </w:tr>
      <w:tr w:rsidR="00C21FCA" w:rsidRPr="003A235D" w14:paraId="7BBA4786" w14:textId="77777777" w:rsidTr="00AE14F4">
        <w:tc>
          <w:tcPr>
            <w:tcW w:w="1098" w:type="pct"/>
            <w:shd w:val="clear" w:color="auto" w:fill="auto"/>
            <w:vAlign w:val="center"/>
          </w:tcPr>
          <w:p w14:paraId="359D289F" w14:textId="77777777" w:rsidR="00C21FCA" w:rsidRPr="003A235D" w:rsidRDefault="00C21FCA" w:rsidP="00AE14F4">
            <w:pPr>
              <w:pStyle w:val="COMTabletext"/>
              <w:keepNext w:val="0"/>
            </w:pPr>
            <w:r w:rsidRPr="003A235D">
              <w:lastRenderedPageBreak/>
              <w:t>Costs</w:t>
            </w:r>
          </w:p>
        </w:tc>
        <w:tc>
          <w:tcPr>
            <w:tcW w:w="3902" w:type="pct"/>
            <w:shd w:val="clear" w:color="auto" w:fill="auto"/>
            <w:vAlign w:val="center"/>
          </w:tcPr>
          <w:p w14:paraId="692C27BD" w14:textId="4947D060" w:rsidR="00C21FCA" w:rsidRPr="003A235D" w:rsidRDefault="00C21FCA" w:rsidP="00AE14F4">
            <w:pPr>
              <w:pStyle w:val="COMTabletext"/>
              <w:keepNext w:val="0"/>
              <w:spacing w:after="60"/>
            </w:pPr>
            <w:r w:rsidRPr="003A235D">
              <w:t>The cost of empagliflozin was based on the proposed DP</w:t>
            </w:r>
            <w:r w:rsidR="00B82732" w:rsidRPr="003A235D">
              <w:t>M</w:t>
            </w:r>
            <w:r w:rsidRPr="003A235D">
              <w:t>Q and assumed 100% adherence.</w:t>
            </w:r>
          </w:p>
          <w:p w14:paraId="5DFD5E8A" w14:textId="77777777" w:rsidR="00C21FCA" w:rsidRPr="003A235D" w:rsidRDefault="00C21FCA" w:rsidP="00AE14F4">
            <w:pPr>
              <w:pStyle w:val="COMTabletext"/>
              <w:keepNext w:val="0"/>
              <w:spacing w:after="60"/>
            </w:pPr>
            <w:r w:rsidRPr="003A235D">
              <w:t>The cost of standard care was based on the distribution of use of heart failure medicine classes in EMPEROR-Preserved, the recommended dose for each medicine based on its PI, the DPMQ and pack size from the PBS Schedule; and assumed 100% adherence.</w:t>
            </w:r>
          </w:p>
          <w:p w14:paraId="5C20CF04" w14:textId="77777777" w:rsidR="00C21FCA" w:rsidRPr="003A235D" w:rsidRDefault="00C21FCA" w:rsidP="00AE14F4">
            <w:pPr>
              <w:pStyle w:val="TableText"/>
              <w:keepNext w:val="0"/>
              <w:spacing w:after="60"/>
            </w:pPr>
            <w:r w:rsidRPr="003A235D">
              <w:t xml:space="preserve">Disease management costs were based on estimates of resource use by NYHA class (Ford 2012) which were assumed to apply to KCCQ quartiles (e.g. NYHA class IV corresponds to KCCQ-CSS quartile I), with unit costs based on MBS items. </w:t>
            </w:r>
          </w:p>
          <w:p w14:paraId="71B2A218" w14:textId="77777777" w:rsidR="00C21FCA" w:rsidRPr="003A235D" w:rsidRDefault="00C21FCA" w:rsidP="00AE14F4">
            <w:pPr>
              <w:pStyle w:val="COMTabletext"/>
              <w:keepNext w:val="0"/>
              <w:spacing w:after="60"/>
            </w:pPr>
            <w:r w:rsidRPr="003A235D">
              <w:t>Heart failure hospitalisation costs were based on AR-DRG costs for heart failure.</w:t>
            </w:r>
          </w:p>
          <w:p w14:paraId="6D016428" w14:textId="77777777" w:rsidR="00C21FCA" w:rsidRPr="003A235D" w:rsidRDefault="00C21FCA" w:rsidP="00AE14F4">
            <w:pPr>
              <w:pStyle w:val="COMTabletext"/>
              <w:keepNext w:val="0"/>
              <w:spacing w:after="60"/>
            </w:pPr>
            <w:r w:rsidRPr="003A235D">
              <w:t>Cardiovascular death costs were based on AR-DRG costs for heart failure, stroke and myocardial infarction.</w:t>
            </w:r>
          </w:p>
          <w:p w14:paraId="696C5308" w14:textId="77777777" w:rsidR="00C21FCA" w:rsidRPr="003A235D" w:rsidRDefault="00C21FCA" w:rsidP="00AE14F4">
            <w:pPr>
              <w:pStyle w:val="COMTabletext"/>
              <w:keepNext w:val="0"/>
            </w:pPr>
            <w:r w:rsidRPr="003A235D">
              <w:t>Adverse event costs were weighted by severity (based on data from EMPEROR-Preserved), with various AR-DRG costs applied for serious adverse events and the cost of a level B GP visit used for non-serious adverse events.</w:t>
            </w:r>
          </w:p>
        </w:tc>
      </w:tr>
      <w:tr w:rsidR="00C21FCA" w:rsidRPr="003A235D" w14:paraId="1F6295C9" w14:textId="77777777" w:rsidTr="00AE14F4">
        <w:tc>
          <w:tcPr>
            <w:tcW w:w="1098" w:type="pct"/>
            <w:shd w:val="clear" w:color="auto" w:fill="auto"/>
            <w:vAlign w:val="center"/>
          </w:tcPr>
          <w:p w14:paraId="3456D5EB" w14:textId="77777777" w:rsidR="00C21FCA" w:rsidRPr="003A235D" w:rsidRDefault="00C21FCA" w:rsidP="00AE14F4">
            <w:pPr>
              <w:pStyle w:val="COMTabletext"/>
              <w:keepNext w:val="0"/>
            </w:pPr>
            <w:r w:rsidRPr="003A235D">
              <w:t>Health related quality of life</w:t>
            </w:r>
          </w:p>
        </w:tc>
        <w:tc>
          <w:tcPr>
            <w:tcW w:w="3902" w:type="pct"/>
            <w:shd w:val="clear" w:color="auto" w:fill="auto"/>
            <w:vAlign w:val="center"/>
          </w:tcPr>
          <w:p w14:paraId="02596421" w14:textId="77777777" w:rsidR="00C21FCA" w:rsidRPr="003A235D" w:rsidRDefault="00C21FCA" w:rsidP="00AE14F4">
            <w:pPr>
              <w:pStyle w:val="TableText"/>
              <w:keepNext w:val="0"/>
              <w:spacing w:after="60"/>
            </w:pPr>
            <w:r w:rsidRPr="003A235D">
              <w:t>EQ-5D-5L scores from EMPEROR-Preserved were mapped to EQ-5D-3L scores using the methodology outlined in van Hout 2012, using the UK value set.</w:t>
            </w:r>
          </w:p>
          <w:p w14:paraId="3A62EB9A" w14:textId="77777777" w:rsidR="00C21FCA" w:rsidRPr="003A235D" w:rsidRDefault="00C21FCA" w:rsidP="00AE14F4">
            <w:pPr>
              <w:pStyle w:val="TableText"/>
              <w:keepNext w:val="0"/>
              <w:spacing w:after="60"/>
            </w:pPr>
            <w:r w:rsidRPr="003A235D">
              <w:t>KCCQ-CSS health state utilities were derived from a linear mixed regression equation fitted to EQ-5D-3L data derived from EMPEROR-Preserved. Utilities were adjusted so that utilities did not exceed the utility of the UK general population aged 70 to 79 (KCCQ-CSS quartile 4, 0.7230; quartile 3, 0.6758; quartile 2, 0.6145; quartile 1, 0.5328).</w:t>
            </w:r>
          </w:p>
          <w:p w14:paraId="7FF553D4" w14:textId="77777777" w:rsidR="00C21FCA" w:rsidRPr="003A235D" w:rsidRDefault="00C21FCA" w:rsidP="00AE14F4">
            <w:pPr>
              <w:pStyle w:val="TableText"/>
              <w:keepNext w:val="0"/>
              <w:spacing w:after="60"/>
            </w:pPr>
            <w:r w:rsidRPr="003A235D">
              <w:t>Disutilities of heart failure hospitalisation were also derived from the linear mixed regression equation fitted to data from EMPEROR-Preserved. Time-varying indicators were collected at the time of utility measurement to capture short- and longer-term effects of heart failure hospitalisations on utilities (heart failure hospitalisation disutility &lt;1 month, -0.0468; 1 to &lt;2 months, -0.0577; 2 to &lt;4 months, -0.0424; 4 to &lt;12 months -0.0183).</w:t>
            </w:r>
          </w:p>
          <w:p w14:paraId="019DD78B" w14:textId="77777777" w:rsidR="00C21FCA" w:rsidRPr="003A235D" w:rsidRDefault="00C21FCA" w:rsidP="00AE14F4">
            <w:pPr>
              <w:pStyle w:val="COMTabletext"/>
              <w:keepNext w:val="0"/>
            </w:pPr>
            <w:r w:rsidRPr="003A235D">
              <w:t>Adverse event disutilities were derived from EMPEROR-Preserved and published sources (Sullivan 2006, Sullivan 2016, Peasgood 2016) ranging from to -0.0022 for a hypoglycaemic event to -0.156 for bone fracture); assumed to apply for 1 month.</w:t>
            </w:r>
          </w:p>
        </w:tc>
      </w:tr>
      <w:tr w:rsidR="00C21FCA" w:rsidRPr="003A235D" w14:paraId="3EEA0AED" w14:textId="77777777" w:rsidTr="00AE14F4">
        <w:tc>
          <w:tcPr>
            <w:tcW w:w="1098" w:type="pct"/>
            <w:shd w:val="clear" w:color="auto" w:fill="auto"/>
            <w:vAlign w:val="center"/>
          </w:tcPr>
          <w:p w14:paraId="241912E5" w14:textId="77777777" w:rsidR="00C21FCA" w:rsidRPr="003A235D" w:rsidRDefault="00C21FCA" w:rsidP="00AE14F4">
            <w:pPr>
              <w:pStyle w:val="COMTabletext"/>
              <w:keepNext w:val="0"/>
            </w:pPr>
            <w:r w:rsidRPr="003A235D">
              <w:t>Discount rate</w:t>
            </w:r>
          </w:p>
        </w:tc>
        <w:tc>
          <w:tcPr>
            <w:tcW w:w="3902" w:type="pct"/>
            <w:shd w:val="clear" w:color="auto" w:fill="auto"/>
            <w:vAlign w:val="center"/>
          </w:tcPr>
          <w:p w14:paraId="70F6961F" w14:textId="77777777" w:rsidR="00C21FCA" w:rsidRPr="003A235D" w:rsidRDefault="00C21FCA" w:rsidP="00AE14F4">
            <w:pPr>
              <w:pStyle w:val="COMTabletext"/>
              <w:keepNext w:val="0"/>
            </w:pPr>
            <w:r w:rsidRPr="003A235D">
              <w:t>5% for costs and benefits</w:t>
            </w:r>
          </w:p>
        </w:tc>
      </w:tr>
      <w:tr w:rsidR="00C21FCA" w:rsidRPr="003A235D" w14:paraId="0A8C7F78" w14:textId="77777777" w:rsidTr="00AE14F4">
        <w:tc>
          <w:tcPr>
            <w:tcW w:w="1098" w:type="pct"/>
            <w:shd w:val="clear" w:color="auto" w:fill="auto"/>
            <w:vAlign w:val="center"/>
          </w:tcPr>
          <w:p w14:paraId="33B1F84C" w14:textId="77777777" w:rsidR="00C21FCA" w:rsidRPr="003A235D" w:rsidRDefault="00C21FCA" w:rsidP="00AE14F4">
            <w:pPr>
              <w:pStyle w:val="COMTabletext"/>
              <w:keepNext w:val="0"/>
            </w:pPr>
            <w:r w:rsidRPr="003A235D">
              <w:t>Software</w:t>
            </w:r>
          </w:p>
        </w:tc>
        <w:tc>
          <w:tcPr>
            <w:tcW w:w="3902" w:type="pct"/>
            <w:shd w:val="clear" w:color="auto" w:fill="auto"/>
            <w:vAlign w:val="center"/>
          </w:tcPr>
          <w:p w14:paraId="4D8F390D" w14:textId="77777777" w:rsidR="00C21FCA" w:rsidRPr="003A235D" w:rsidRDefault="00C21FCA" w:rsidP="00AE14F4">
            <w:pPr>
              <w:pStyle w:val="COMTabletext"/>
              <w:keepNext w:val="0"/>
            </w:pPr>
            <w:r w:rsidRPr="003A235D">
              <w:t>Microsoft Excel</w:t>
            </w:r>
          </w:p>
        </w:tc>
      </w:tr>
    </w:tbl>
    <w:p w14:paraId="4B02C69B" w14:textId="77777777" w:rsidR="00C21FCA" w:rsidRPr="003A235D" w:rsidRDefault="00C21FCA" w:rsidP="00C21FCA">
      <w:pPr>
        <w:pStyle w:val="COMTablefooter"/>
      </w:pPr>
      <w:r w:rsidRPr="003A235D">
        <w:t>Source: Table 3.1, p135 of the submission, Sections 3.3 to 3.6 of the submission</w:t>
      </w:r>
    </w:p>
    <w:p w14:paraId="448A01FF" w14:textId="77777777" w:rsidR="00C21FCA" w:rsidRPr="003A235D" w:rsidRDefault="00C21FCA" w:rsidP="00C21FCA">
      <w:pPr>
        <w:pStyle w:val="COMTablefooter"/>
      </w:pPr>
      <w:r w:rsidRPr="003A235D">
        <w:t>Abbreviations: AR-DRG, Australian Refined Diagnosis Related Group; CV, cardiovascular; DPMQ, dispensed price for maximum quantity; GP, general practitioner; KCCQ-CSS, Kansas City Cardiomyopathy Questionnaire Clinical Summary Score; MBS, Medicare Benefits Schedule; NYHA, New York Heart Association; PBS, Pharmaceutical Benefits Scheme; PI, product information</w:t>
      </w:r>
    </w:p>
    <w:p w14:paraId="212ED6C0" w14:textId="77777777" w:rsidR="0086693C" w:rsidRPr="003A235D" w:rsidRDefault="00C21FCA" w:rsidP="00A41DEF">
      <w:pPr>
        <w:pStyle w:val="ExecSumBodyText"/>
        <w:numPr>
          <w:ilvl w:val="1"/>
          <w:numId w:val="1"/>
        </w:numPr>
      </w:pPr>
      <w:r w:rsidRPr="003A235D">
        <w:t xml:space="preserve">The submission nominated a 15-year time horizon for the economic model on the basis that it provides a reasonable balance between the estimation of the costs and consequences associated with each treatment arm and the uncertainty associated with the extrapolation beyond the follow-up of EMPEROR-Preserved (with a median duration of follow-up of 26.2 months). In its consideration of the November 2021 </w:t>
      </w:r>
      <w:r w:rsidRPr="003A235D">
        <w:lastRenderedPageBreak/>
        <w:t>empagliflozin HFrEF submission, the PBAC considered that, although the nominated 15-year time horizon may not be sufficient to capture the lifetime costs and consequences associated with empagliflozin plus standard care versus standard care, a longer time horizon would be associated with additional uncertainty given the extrapolation of outcomes based on a median follow-up of 16 months in the EMPEROR-Reduced trial (para 6.47, empagliflozin, PSD, November 2021 PBAC meeting). In the current model, 87% of patients aged 71.9 years at baseline had died after 15 years; compared with 90% of patients aged 66.7 years at baseline in the November 2021 empagliflozin HFrEF model.</w:t>
      </w:r>
    </w:p>
    <w:p w14:paraId="4A6D285E" w14:textId="2E080A4E" w:rsidR="008B02E1" w:rsidRPr="003A235D" w:rsidRDefault="00C21FCA" w:rsidP="00A41DEF">
      <w:pPr>
        <w:pStyle w:val="ExecSumBodyText"/>
        <w:numPr>
          <w:ilvl w:val="1"/>
          <w:numId w:val="1"/>
        </w:numPr>
      </w:pPr>
      <w:r w:rsidRPr="003A235D">
        <w:t>The model has the same structure as the model used in the November 2021 empagliflozin HFrEF submission, as illustrated in</w:t>
      </w:r>
      <w:r w:rsidR="008B02E1" w:rsidRPr="003A235D">
        <w:t xml:space="preserve"> </w:t>
      </w:r>
      <w:bookmarkStart w:id="56" w:name="_Ref109752134"/>
      <w:r w:rsidR="008B02E1" w:rsidRPr="003A235D">
        <w:fldChar w:fldCharType="begin" w:fldLock="1"/>
      </w:r>
      <w:r w:rsidR="008B02E1" w:rsidRPr="003A235D">
        <w:instrText xml:space="preserve"> REF _Ref120801633 \h </w:instrText>
      </w:r>
      <w:r w:rsidR="00A41DEF" w:rsidRPr="003A235D">
        <w:instrText xml:space="preserve"> \* MERGEFORMAT </w:instrText>
      </w:r>
      <w:r w:rsidR="008B02E1" w:rsidRPr="003A235D">
        <w:fldChar w:fldCharType="separate"/>
      </w:r>
      <w:r w:rsidR="004646F5" w:rsidRPr="003A235D">
        <w:t>Figure 2</w:t>
      </w:r>
      <w:r w:rsidR="008B02E1" w:rsidRPr="003A235D">
        <w:fldChar w:fldCharType="end"/>
      </w:r>
      <w:r w:rsidR="008B02E1" w:rsidRPr="003A235D">
        <w:t>.</w:t>
      </w:r>
    </w:p>
    <w:p w14:paraId="328580EE" w14:textId="77777777" w:rsidR="008B02E1" w:rsidRPr="003A235D" w:rsidRDefault="008B02E1" w:rsidP="008B02E1"/>
    <w:p w14:paraId="05465604" w14:textId="4DABF530" w:rsidR="00C21FCA" w:rsidRPr="003A235D" w:rsidRDefault="00C21FCA" w:rsidP="00F3619E">
      <w:pPr>
        <w:pStyle w:val="COMtablefigcaption"/>
        <w:rPr>
          <w:snapToGrid w:val="0"/>
        </w:rPr>
      </w:pPr>
      <w:bookmarkStart w:id="57" w:name="_Ref120801633"/>
      <w:r w:rsidRPr="003A235D">
        <w:rPr>
          <w:snapToGrid w:val="0"/>
        </w:rPr>
        <w:t xml:space="preserve">Figure </w:t>
      </w:r>
      <w:r w:rsidRPr="003A235D">
        <w:rPr>
          <w:snapToGrid w:val="0"/>
        </w:rPr>
        <w:fldChar w:fldCharType="begin" w:fldLock="1"/>
      </w:r>
      <w:r w:rsidRPr="003A235D">
        <w:rPr>
          <w:snapToGrid w:val="0"/>
        </w:rPr>
        <w:instrText xml:space="preserve"> SEQ Figure \* ARABIC </w:instrText>
      </w:r>
      <w:r w:rsidRPr="003A235D">
        <w:rPr>
          <w:snapToGrid w:val="0"/>
        </w:rPr>
        <w:fldChar w:fldCharType="separate"/>
      </w:r>
      <w:r w:rsidR="004646F5" w:rsidRPr="003A235D">
        <w:rPr>
          <w:snapToGrid w:val="0"/>
        </w:rPr>
        <w:t>2</w:t>
      </w:r>
      <w:r w:rsidRPr="003A235D">
        <w:rPr>
          <w:snapToGrid w:val="0"/>
        </w:rPr>
        <w:fldChar w:fldCharType="end"/>
      </w:r>
      <w:bookmarkEnd w:id="56"/>
      <w:bookmarkEnd w:id="57"/>
      <w:r w:rsidRPr="003A235D">
        <w:rPr>
          <w:snapToGrid w:val="0"/>
        </w:rPr>
        <w:t>: Model structure</w:t>
      </w:r>
    </w:p>
    <w:p w14:paraId="765E8ADA" w14:textId="77777777" w:rsidR="00C21FCA" w:rsidRPr="003A235D" w:rsidRDefault="00C21FCA" w:rsidP="00C21FCA">
      <w:r w:rsidRPr="003A235D">
        <w:rPr>
          <w:b/>
          <w:bCs/>
          <w:noProof/>
        </w:rPr>
        <w:drawing>
          <wp:inline distT="0" distB="0" distL="0" distR="0" wp14:anchorId="0F3597E4" wp14:editId="1610C705">
            <wp:extent cx="5343921" cy="2990850"/>
            <wp:effectExtent l="0" t="0" r="9525" b="0"/>
            <wp:docPr id="30" name="Picture 3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Diagram&#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384761" cy="3013707"/>
                    </a:xfrm>
                    <a:prstGeom prst="rect">
                      <a:avLst/>
                    </a:prstGeom>
                  </pic:spPr>
                </pic:pic>
              </a:graphicData>
            </a:graphic>
          </wp:inline>
        </w:drawing>
      </w:r>
    </w:p>
    <w:p w14:paraId="2401BE44" w14:textId="77777777" w:rsidR="00C21FCA" w:rsidRPr="003A235D" w:rsidRDefault="00C21FCA" w:rsidP="00C21FCA">
      <w:pPr>
        <w:pStyle w:val="COMTablefooter"/>
      </w:pPr>
      <w:r w:rsidRPr="003A235D">
        <w:t>Source: Figure 3.4, p167 of the submission</w:t>
      </w:r>
    </w:p>
    <w:p w14:paraId="71ECEDEC" w14:textId="77777777" w:rsidR="00C21FCA" w:rsidRPr="003A235D" w:rsidRDefault="00C21FCA" w:rsidP="00C21FCA">
      <w:pPr>
        <w:pStyle w:val="COMTablefooter"/>
      </w:pPr>
      <w:r w:rsidRPr="003A235D">
        <w:rPr>
          <w:snapToGrid/>
        </w:rPr>
        <w:t>Abbreviations: CV, cardiovascular; hHF, hospitalisation due to heart failure; KCCQ-CSS, Kansas City Cardiomyopathy Questionnaire Clinical Summary Score</w:t>
      </w:r>
    </w:p>
    <w:p w14:paraId="626BC862" w14:textId="77777777" w:rsidR="0086693C" w:rsidRPr="003A235D" w:rsidRDefault="00C21FCA" w:rsidP="00A41DEF">
      <w:pPr>
        <w:pStyle w:val="ExecSumBodyText"/>
        <w:numPr>
          <w:ilvl w:val="1"/>
          <w:numId w:val="1"/>
        </w:numPr>
      </w:pPr>
      <w:r w:rsidRPr="003A235D">
        <w:t>Subjects begin the model in one of the four KCCQ-CSS quartile health states. During each one-month cycle, subjects may remain in their KCCQ-CSS quartile health state, move to another KCCQ-CSS quartile health state, or die from cardiovascular or non-cardiovascular causes. During each cycle, subjects can experience hospitalisation due to heart failure or treatment-related adverse events. Subjects in the empagliflozin arm may discontinue drug treatment in each cycle. The model applies higher rates of heart failure hospitalisation, and CV and non-CV mortality to patients with poorer KCCQ-CSS scores (based on quartiles).</w:t>
      </w:r>
    </w:p>
    <w:p w14:paraId="1F083876" w14:textId="35CBBBA5" w:rsidR="00BE7CAC" w:rsidRPr="003A235D" w:rsidRDefault="00670CAF" w:rsidP="00A41DEF">
      <w:pPr>
        <w:pStyle w:val="ExecSumBodyText"/>
        <w:numPr>
          <w:ilvl w:val="1"/>
          <w:numId w:val="1"/>
        </w:numPr>
      </w:pPr>
      <w:r w:rsidRPr="003A235D">
        <w:lastRenderedPageBreak/>
        <w:t>In the model, h</w:t>
      </w:r>
      <w:r w:rsidR="00C21FCA" w:rsidRPr="003A235D">
        <w:t xml:space="preserve">eart failure hospitalisations are associated with a cost and disutility, but do not alter health state transitions and do not affect mortality rates, which is unlikely to reflect the disease pathway. </w:t>
      </w:r>
      <w:r w:rsidRPr="003A235D">
        <w:t xml:space="preserve"> The ESC previously considered that, while the impact of heart failure hospitalisation on health state transitions and mortality may be implicitly captured within the trial period</w:t>
      </w:r>
      <w:r w:rsidR="00C219AF" w:rsidRPr="003A235D">
        <w:t>, this was less likely over the extrapolated period (para 6.50, Empagliflozin PSD, November 2021 PBAC meeting).</w:t>
      </w:r>
      <w:r w:rsidR="00BE7CAC" w:rsidRPr="003A235D">
        <w:t xml:space="preserve">  The PSCR stated that although HHF may impact heath state transitions and mortality rates, incorporating HHF as a separate health state would have significantly increased the complexity of the model and relied on limited data (i.e., 540 and 407 HHF events were observed for placebo plus SC and empagliflozin plus SC treatment, respectively) thereby increasing uncertainty. The PSCR also stated that any HHF that resulted in a change in health state or death in EMPEROR</w:t>
      </w:r>
      <w:r w:rsidR="00BE7CAC" w:rsidRPr="003A235D">
        <w:noBreakHyphen/>
        <w:t>Preserved is implicitly captured in the KCCQ-based health state transition matrices and/or the mortality equations.  The ESC acknowledged that it may not be feasible to add a separate health state for HHF, however the impact of HHF events could potentially be included in the calculation of the transition probabilities which may better reflect the disease pathway.</w:t>
      </w:r>
    </w:p>
    <w:p w14:paraId="59CF0F86" w14:textId="52FAD62D" w:rsidR="00C21FCA" w:rsidRPr="003A235D" w:rsidRDefault="00C21FCA" w:rsidP="00827509">
      <w:pPr>
        <w:pStyle w:val="ExecSumBodyText"/>
        <w:numPr>
          <w:ilvl w:val="1"/>
          <w:numId w:val="1"/>
        </w:numPr>
      </w:pPr>
      <w:bookmarkStart w:id="58" w:name="_Hlk120789415"/>
      <w:r w:rsidRPr="003A235D">
        <w:t>The submission stated that the health states were defined based on KCCQ-CSS quartiles, rather than the more commonly used NYHA functional classification because the KCCQ score is an established and prognostically important measure of health status in patients with heart failure. The submission claimed that the reliability, validity and responsiveness of the KCCQ have been independently established in heart failure, including in patients with HFpEF, and that defining health states based on KCCQ score provides a patient-centred assessment of disease burden, allowing the impact of disease severity on quality of life to be captured more accurately in the health state utilities and risk of events, such as heart failure hospitalisation.</w:t>
      </w:r>
    </w:p>
    <w:p w14:paraId="438E8570" w14:textId="406E7FD3" w:rsidR="006846BE" w:rsidRPr="003A235D" w:rsidRDefault="006846BE" w:rsidP="00827509">
      <w:pPr>
        <w:pStyle w:val="ExecSumBodyText"/>
        <w:numPr>
          <w:ilvl w:val="1"/>
          <w:numId w:val="1"/>
        </w:numPr>
      </w:pPr>
      <w:bookmarkStart w:id="59" w:name="_Ref116565786"/>
      <w:bookmarkEnd w:id="58"/>
      <w:r w:rsidRPr="003A235D">
        <w:t xml:space="preserve">The ESC </w:t>
      </w:r>
      <w:r w:rsidR="00A3051A" w:rsidRPr="003A235D">
        <w:t xml:space="preserve">considered that the </w:t>
      </w:r>
      <w:r w:rsidR="003179D9" w:rsidRPr="003A235D">
        <w:t xml:space="preserve">results of the economic model were </w:t>
      </w:r>
      <w:r w:rsidR="00A3051A" w:rsidRPr="003A235D">
        <w:t xml:space="preserve">uncertain </w:t>
      </w:r>
      <w:r w:rsidR="003179D9" w:rsidRPr="003A235D">
        <w:t xml:space="preserve">due to several concerns </w:t>
      </w:r>
      <w:r w:rsidR="00A3051A" w:rsidRPr="003A235D">
        <w:t>as noted by the evalu</w:t>
      </w:r>
      <w:r w:rsidR="003179D9" w:rsidRPr="003A235D">
        <w:t>a</w:t>
      </w:r>
      <w:r w:rsidR="00A3051A" w:rsidRPr="003A235D">
        <w:t>tion.  The key concerns were:</w:t>
      </w:r>
      <w:bookmarkEnd w:id="59"/>
    </w:p>
    <w:p w14:paraId="4DF22922" w14:textId="4B0DFB11" w:rsidR="006E0AFF" w:rsidRPr="003A235D" w:rsidRDefault="006E0AFF" w:rsidP="00DA7D2A">
      <w:pPr>
        <w:pStyle w:val="COMexecsumnumberedpara"/>
        <w:numPr>
          <w:ilvl w:val="1"/>
          <w:numId w:val="13"/>
        </w:numPr>
        <w:rPr>
          <w:iCs/>
        </w:rPr>
      </w:pPr>
      <w:r w:rsidRPr="003A235D">
        <w:rPr>
          <w:iCs/>
        </w:rPr>
        <w:t>The majority of incremental costs (52.8%) and incremental QALYs (75.1%) in the economic model were accrued in the extrapolated period beyond 26 months (</w:t>
      </w:r>
      <w:r w:rsidRPr="003A235D">
        <w:rPr>
          <w:iCs/>
        </w:rPr>
        <w:fldChar w:fldCharType="begin" w:fldLock="1"/>
      </w:r>
      <w:r w:rsidRPr="003A235D">
        <w:rPr>
          <w:iCs/>
        </w:rPr>
        <w:instrText xml:space="preserve"> REF _Ref116563909 \h  \* MERGEFORMAT </w:instrText>
      </w:r>
      <w:r w:rsidRPr="003A235D">
        <w:rPr>
          <w:iCs/>
        </w:rPr>
      </w:r>
      <w:r w:rsidRPr="003A235D">
        <w:rPr>
          <w:iCs/>
        </w:rPr>
        <w:fldChar w:fldCharType="separate"/>
      </w:r>
      <w:r w:rsidR="004646F5" w:rsidRPr="003A235D">
        <w:rPr>
          <w:iCs/>
        </w:rPr>
        <w:t>Table 9</w:t>
      </w:r>
      <w:r w:rsidRPr="003A235D">
        <w:rPr>
          <w:iCs/>
        </w:rPr>
        <w:fldChar w:fldCharType="end"/>
      </w:r>
      <w:r w:rsidRPr="003A235D">
        <w:rPr>
          <w:iCs/>
        </w:rPr>
        <w:t>).</w:t>
      </w:r>
    </w:p>
    <w:p w14:paraId="41D25F8B" w14:textId="0320894D" w:rsidR="006846BE" w:rsidRPr="003A235D" w:rsidRDefault="00A3051A" w:rsidP="00DA7D2A">
      <w:pPr>
        <w:pStyle w:val="COMexecsumnumberedpara"/>
        <w:numPr>
          <w:ilvl w:val="1"/>
          <w:numId w:val="13"/>
        </w:numPr>
        <w:rPr>
          <w:iCs/>
        </w:rPr>
      </w:pPr>
      <w:r w:rsidRPr="003A235D">
        <w:rPr>
          <w:iCs/>
        </w:rPr>
        <w:t>The</w:t>
      </w:r>
      <w:r w:rsidR="006846BE" w:rsidRPr="003A235D">
        <w:rPr>
          <w:iCs/>
        </w:rPr>
        <w:t xml:space="preserve"> KCCQ-CSS transitions for 3 time periods (baseline to Week 12, Week 12 to Week 32, Week 32 to Week 52) were based on individual patient data from EMPEROR-Preserved, and that transition probabilities from Week 32 to Week 52 were used for the remaining time horizon (to 15 years;</w:t>
      </w:r>
      <w:r w:rsidR="003179D9" w:rsidRPr="003A235D">
        <w:rPr>
          <w:iCs/>
        </w:rPr>
        <w:t xml:space="preserve"> </w:t>
      </w:r>
      <w:r w:rsidR="003179D9" w:rsidRPr="003A235D">
        <w:rPr>
          <w:iCs/>
        </w:rPr>
        <w:fldChar w:fldCharType="begin" w:fldLock="1"/>
      </w:r>
      <w:r w:rsidR="003179D9" w:rsidRPr="003A235D">
        <w:rPr>
          <w:iCs/>
        </w:rPr>
        <w:instrText xml:space="preserve"> REF _Ref116563909 \h </w:instrText>
      </w:r>
      <w:r w:rsidR="00922752" w:rsidRPr="003A235D">
        <w:rPr>
          <w:iCs/>
        </w:rPr>
        <w:instrText xml:space="preserve"> \* MERGEFORMAT </w:instrText>
      </w:r>
      <w:r w:rsidR="003179D9" w:rsidRPr="003A235D">
        <w:rPr>
          <w:iCs/>
        </w:rPr>
      </w:r>
      <w:r w:rsidR="003179D9" w:rsidRPr="003A235D">
        <w:rPr>
          <w:iCs/>
        </w:rPr>
        <w:fldChar w:fldCharType="separate"/>
      </w:r>
      <w:r w:rsidR="004646F5" w:rsidRPr="003A235D">
        <w:rPr>
          <w:iCs/>
        </w:rPr>
        <w:t>Table 9</w:t>
      </w:r>
      <w:r w:rsidR="003179D9" w:rsidRPr="003A235D">
        <w:rPr>
          <w:iCs/>
        </w:rPr>
        <w:fldChar w:fldCharType="end"/>
      </w:r>
      <w:r w:rsidR="006846BE" w:rsidRPr="003A235D">
        <w:rPr>
          <w:iCs/>
        </w:rPr>
        <w:t>).  The ESC considered this approach was unlikely to adequately capture the progressive nature of the condition in later years</w:t>
      </w:r>
      <w:r w:rsidR="00521C26" w:rsidRPr="003A235D">
        <w:rPr>
          <w:iCs/>
        </w:rPr>
        <w:t>.</w:t>
      </w:r>
      <w:r w:rsidR="006846BE" w:rsidRPr="003A235D">
        <w:rPr>
          <w:iCs/>
        </w:rPr>
        <w:t xml:space="preserve"> </w:t>
      </w:r>
    </w:p>
    <w:p w14:paraId="3EA8287E" w14:textId="51FE83F1" w:rsidR="006846BE" w:rsidRPr="003A235D" w:rsidRDefault="003179D9" w:rsidP="00DA7D2A">
      <w:pPr>
        <w:pStyle w:val="COMexecsumnumberedpara"/>
        <w:numPr>
          <w:ilvl w:val="1"/>
          <w:numId w:val="13"/>
        </w:numPr>
        <w:rPr>
          <w:iCs/>
        </w:rPr>
      </w:pPr>
      <w:r w:rsidRPr="003A235D">
        <w:rPr>
          <w:iCs/>
        </w:rPr>
        <w:t>The</w:t>
      </w:r>
      <w:r w:rsidR="006846BE" w:rsidRPr="003A235D">
        <w:rPr>
          <w:iCs/>
        </w:rPr>
        <w:t xml:space="preserve"> CV death transitions were based on Kaplan Meier time to CV death curves from EMPEROR-Preserved over 30 months, extrapolated to 15 years based on a Weibull function, with treatment and KCCQ-CSS quartiles as covariates; </w:t>
      </w:r>
      <w:r w:rsidRPr="003A235D">
        <w:rPr>
          <w:iCs/>
        </w:rPr>
        <w:fldChar w:fldCharType="begin" w:fldLock="1"/>
      </w:r>
      <w:r w:rsidRPr="003A235D">
        <w:rPr>
          <w:iCs/>
        </w:rPr>
        <w:instrText xml:space="preserve"> REF </w:instrText>
      </w:r>
      <w:r w:rsidRPr="003A235D">
        <w:rPr>
          <w:iCs/>
        </w:rPr>
        <w:lastRenderedPageBreak/>
        <w:instrText xml:space="preserve">_Ref116563909 \h </w:instrText>
      </w:r>
      <w:r w:rsidR="00922752" w:rsidRPr="003A235D">
        <w:rPr>
          <w:iCs/>
        </w:rPr>
        <w:instrText xml:space="preserve"> \* MERGEFORMAT </w:instrText>
      </w:r>
      <w:r w:rsidRPr="003A235D">
        <w:rPr>
          <w:iCs/>
        </w:rPr>
      </w:r>
      <w:r w:rsidRPr="003A235D">
        <w:rPr>
          <w:iCs/>
        </w:rPr>
        <w:fldChar w:fldCharType="separate"/>
      </w:r>
      <w:r w:rsidR="004646F5" w:rsidRPr="003A235D">
        <w:rPr>
          <w:iCs/>
        </w:rPr>
        <w:t>Table 9</w:t>
      </w:r>
      <w:r w:rsidRPr="003A235D">
        <w:rPr>
          <w:iCs/>
        </w:rPr>
        <w:fldChar w:fldCharType="end"/>
      </w:r>
      <w:r w:rsidR="006846BE" w:rsidRPr="003A235D">
        <w:rPr>
          <w:iCs/>
        </w:rPr>
        <w:t>). The ESC considered that inclusion of treatment as a covariate was not appropriate given there was no significant difference seen in mortality between the treatment arms.  The ESC noted the impact could not be tested in sensitivity analyses due to the model design, and considered this was inappropriate as it hindered assessment of the key drivers.</w:t>
      </w:r>
      <w:r w:rsidR="00F921BE" w:rsidRPr="003A235D">
        <w:rPr>
          <w:iCs/>
        </w:rPr>
        <w:t xml:space="preserve">  The ESC considered that the modelled survival benefit for empagliflozin should be removed from the model</w:t>
      </w:r>
      <w:r w:rsidR="00F3619E" w:rsidRPr="003A235D">
        <w:rPr>
          <w:iCs/>
        </w:rPr>
        <w:t>.</w:t>
      </w:r>
    </w:p>
    <w:p w14:paraId="5D04F84C" w14:textId="55C09734" w:rsidR="006846BE" w:rsidRPr="003A235D" w:rsidRDefault="006E0AFF" w:rsidP="00DA7D2A">
      <w:pPr>
        <w:pStyle w:val="COMexecsumnumberedpara"/>
        <w:numPr>
          <w:ilvl w:val="1"/>
          <w:numId w:val="13"/>
        </w:numPr>
        <w:rPr>
          <w:iCs/>
        </w:rPr>
      </w:pPr>
      <w:r w:rsidRPr="003A235D">
        <w:rPr>
          <w:iCs/>
        </w:rPr>
        <w:t>The</w:t>
      </w:r>
      <w:r w:rsidR="006846BE" w:rsidRPr="003A235D">
        <w:rPr>
          <w:iCs/>
        </w:rPr>
        <w:t xml:space="preserve"> non-CV death transitions were derived from estimates of all-cause mortality minus estimates of CV mortality and that a correction was included to ensure that the monthly probability of non-CV death was not smaller than that of the Australian general population (</w:t>
      </w:r>
      <w:r w:rsidR="003179D9" w:rsidRPr="003A235D">
        <w:rPr>
          <w:iCs/>
        </w:rPr>
        <w:fldChar w:fldCharType="begin" w:fldLock="1"/>
      </w:r>
      <w:r w:rsidR="003179D9" w:rsidRPr="003A235D">
        <w:rPr>
          <w:iCs/>
        </w:rPr>
        <w:instrText xml:space="preserve"> REF _Ref116563909 \h </w:instrText>
      </w:r>
      <w:r w:rsidR="00922752" w:rsidRPr="003A235D">
        <w:rPr>
          <w:iCs/>
        </w:rPr>
        <w:instrText xml:space="preserve"> \* MERGEFORMAT </w:instrText>
      </w:r>
      <w:r w:rsidR="003179D9" w:rsidRPr="003A235D">
        <w:rPr>
          <w:iCs/>
        </w:rPr>
      </w:r>
      <w:r w:rsidR="003179D9" w:rsidRPr="003A235D">
        <w:rPr>
          <w:iCs/>
        </w:rPr>
        <w:fldChar w:fldCharType="separate"/>
      </w:r>
      <w:r w:rsidR="004646F5" w:rsidRPr="003A235D">
        <w:rPr>
          <w:iCs/>
        </w:rPr>
        <w:t>Table 9</w:t>
      </w:r>
      <w:r w:rsidR="003179D9" w:rsidRPr="003A235D">
        <w:rPr>
          <w:iCs/>
        </w:rPr>
        <w:fldChar w:fldCharType="end"/>
      </w:r>
      <w:r w:rsidR="006846BE" w:rsidRPr="003A235D">
        <w:rPr>
          <w:iCs/>
        </w:rPr>
        <w:t>). The ESC considered this approach was associated with a high degree of uncertainty.</w:t>
      </w:r>
    </w:p>
    <w:p w14:paraId="4B1AEA5E" w14:textId="61FEC02C" w:rsidR="006846BE" w:rsidRPr="003A235D" w:rsidRDefault="006E0AFF" w:rsidP="00DA7D2A">
      <w:pPr>
        <w:pStyle w:val="COMexecsumnumberedpara"/>
        <w:numPr>
          <w:ilvl w:val="1"/>
          <w:numId w:val="13"/>
        </w:numPr>
        <w:rPr>
          <w:iCs/>
        </w:rPr>
      </w:pPr>
      <w:r w:rsidRPr="003A235D">
        <w:rPr>
          <w:iCs/>
        </w:rPr>
        <w:t>The</w:t>
      </w:r>
      <w:r w:rsidR="006846BE" w:rsidRPr="003A235D">
        <w:rPr>
          <w:iCs/>
        </w:rPr>
        <w:t xml:space="preserve"> monthly probabilities of heart failure hospitalisation were derived using a Poisson model fitted to the observed data from EMPEROR-Preserved with treatment and KCCQ-CSS quartiles as covariates and that probabilities were assumed to remain constant over time (</w:t>
      </w:r>
      <w:r w:rsidR="003179D9" w:rsidRPr="003A235D">
        <w:rPr>
          <w:iCs/>
        </w:rPr>
        <w:fldChar w:fldCharType="begin" w:fldLock="1"/>
      </w:r>
      <w:r w:rsidR="003179D9" w:rsidRPr="003A235D">
        <w:rPr>
          <w:iCs/>
        </w:rPr>
        <w:instrText xml:space="preserve"> REF _Ref116563909 \h </w:instrText>
      </w:r>
      <w:r w:rsidR="00922752" w:rsidRPr="003A235D">
        <w:rPr>
          <w:iCs/>
        </w:rPr>
        <w:instrText xml:space="preserve"> \* MERGEFORMAT </w:instrText>
      </w:r>
      <w:r w:rsidR="003179D9" w:rsidRPr="003A235D">
        <w:rPr>
          <w:iCs/>
        </w:rPr>
      </w:r>
      <w:r w:rsidR="003179D9" w:rsidRPr="003A235D">
        <w:rPr>
          <w:iCs/>
        </w:rPr>
        <w:fldChar w:fldCharType="separate"/>
      </w:r>
      <w:r w:rsidR="004646F5" w:rsidRPr="003A235D">
        <w:rPr>
          <w:iCs/>
        </w:rPr>
        <w:t>Table 9</w:t>
      </w:r>
      <w:r w:rsidR="003179D9" w:rsidRPr="003A235D">
        <w:rPr>
          <w:iCs/>
        </w:rPr>
        <w:fldChar w:fldCharType="end"/>
      </w:r>
      <w:r w:rsidR="006846BE" w:rsidRPr="003A235D">
        <w:rPr>
          <w:iCs/>
        </w:rPr>
        <w:t xml:space="preserve">).  The ESC considered this approach was unlikely to adequately capture the progressive nature of the condition in later years, for example the model did not explicitly reflect a relationship between HHF events and disease progression or death. </w:t>
      </w:r>
    </w:p>
    <w:p w14:paraId="36ABDCD3" w14:textId="508CBA7F" w:rsidR="005E1B67" w:rsidRPr="003A235D" w:rsidRDefault="005E1B67" w:rsidP="00DA7D2A">
      <w:pPr>
        <w:pStyle w:val="COMexecsumnumberedpara"/>
        <w:numPr>
          <w:ilvl w:val="1"/>
          <w:numId w:val="13"/>
        </w:numPr>
        <w:rPr>
          <w:iCs/>
        </w:rPr>
      </w:pPr>
      <w:r w:rsidRPr="003A235D">
        <w:rPr>
          <w:iCs/>
        </w:rPr>
        <w:t xml:space="preserve">UK value sets were used for generation of </w:t>
      </w:r>
      <w:proofErr w:type="gramStart"/>
      <w:r w:rsidRPr="003A235D">
        <w:rPr>
          <w:iCs/>
        </w:rPr>
        <w:t>health related</w:t>
      </w:r>
      <w:proofErr w:type="gramEnd"/>
      <w:r w:rsidRPr="003A235D">
        <w:rPr>
          <w:iCs/>
        </w:rPr>
        <w:t xml:space="preserve"> quality of life inputs, rather than Australian value sets (</w:t>
      </w:r>
      <w:r w:rsidRPr="003A235D">
        <w:rPr>
          <w:iCs/>
        </w:rPr>
        <w:fldChar w:fldCharType="begin" w:fldLock="1"/>
      </w:r>
      <w:r w:rsidRPr="003A235D">
        <w:rPr>
          <w:iCs/>
        </w:rPr>
        <w:instrText xml:space="preserve"> REF _Ref116563909 \h  \* MERGEFORMAT </w:instrText>
      </w:r>
      <w:r w:rsidRPr="003A235D">
        <w:rPr>
          <w:iCs/>
        </w:rPr>
      </w:r>
      <w:r w:rsidRPr="003A235D">
        <w:rPr>
          <w:iCs/>
        </w:rPr>
        <w:fldChar w:fldCharType="separate"/>
      </w:r>
      <w:r w:rsidR="004646F5" w:rsidRPr="003A235D">
        <w:rPr>
          <w:iCs/>
        </w:rPr>
        <w:t>Table 9</w:t>
      </w:r>
      <w:r w:rsidRPr="003A235D">
        <w:rPr>
          <w:iCs/>
        </w:rPr>
        <w:fldChar w:fldCharType="end"/>
      </w:r>
      <w:r w:rsidRPr="003A235D">
        <w:rPr>
          <w:iCs/>
        </w:rPr>
        <w:t>).</w:t>
      </w:r>
    </w:p>
    <w:p w14:paraId="779368A2" w14:textId="77777777" w:rsidR="00C21FCA" w:rsidRPr="003A235D" w:rsidRDefault="00C21FCA" w:rsidP="00827509">
      <w:pPr>
        <w:pStyle w:val="ExecSumBodyText"/>
        <w:numPr>
          <w:ilvl w:val="1"/>
          <w:numId w:val="1"/>
        </w:numPr>
      </w:pPr>
      <w:r w:rsidRPr="003A235D">
        <w:t>The submission presented a sensitivity analysis assessing the impact of using NYHA class health states instead of KCCQ-CSS quartiles. The sensitivity analysis used individual patient data from EMPEROR-Preserved to derive monthly transitions between NYHA class health states.</w:t>
      </w:r>
    </w:p>
    <w:p w14:paraId="6D2210B3" w14:textId="57DF10B3" w:rsidR="00C21FCA" w:rsidRPr="003A235D" w:rsidRDefault="00C21FCA" w:rsidP="00827509">
      <w:pPr>
        <w:pStyle w:val="ExecSumBodyText"/>
        <w:numPr>
          <w:ilvl w:val="1"/>
          <w:numId w:val="1"/>
        </w:numPr>
      </w:pPr>
      <w:r w:rsidRPr="003A235D">
        <w:t xml:space="preserve">Key drivers of the economic model are summarised in </w:t>
      </w:r>
      <w:r w:rsidRPr="003A235D">
        <w:fldChar w:fldCharType="begin" w:fldLock="1"/>
      </w:r>
      <w:r w:rsidRPr="003A235D">
        <w:instrText xml:space="preserve"> REF _Ref110772055 \h </w:instrText>
      </w:r>
      <w:r w:rsidR="00827509" w:rsidRPr="003A235D">
        <w:instrText xml:space="preserve"> \* MERGEFORMAT </w:instrText>
      </w:r>
      <w:r w:rsidRPr="003A235D">
        <w:fldChar w:fldCharType="separate"/>
      </w:r>
      <w:r w:rsidR="004646F5" w:rsidRPr="003A235D">
        <w:t>Table 10</w:t>
      </w:r>
      <w:r w:rsidRPr="003A235D">
        <w:fldChar w:fldCharType="end"/>
      </w:r>
      <w:r w:rsidRPr="003A235D">
        <w:t xml:space="preserve"> below.</w:t>
      </w:r>
    </w:p>
    <w:p w14:paraId="4EE79AFD" w14:textId="325334BD" w:rsidR="00C21FCA" w:rsidRPr="003A235D" w:rsidRDefault="00C21FCA" w:rsidP="00C21FCA">
      <w:pPr>
        <w:pStyle w:val="COMTableheadingrow"/>
        <w:rPr>
          <w:lang w:val="en-AU"/>
        </w:rPr>
      </w:pPr>
      <w:bookmarkStart w:id="60" w:name="_Ref110772055"/>
      <w:r w:rsidRPr="003A235D">
        <w:rPr>
          <w:lang w:val="en-AU"/>
        </w:rPr>
        <w:lastRenderedPageBreak/>
        <w:t xml:space="preserve">Table </w:t>
      </w:r>
      <w:r w:rsidRPr="003A235D">
        <w:rPr>
          <w:lang w:val="en-AU"/>
        </w:rPr>
        <w:fldChar w:fldCharType="begin" w:fldLock="1"/>
      </w:r>
      <w:r w:rsidRPr="003A235D">
        <w:rPr>
          <w:lang w:val="en-AU"/>
        </w:rPr>
        <w:instrText xml:space="preserve"> SEQ Table \* ARABIC </w:instrText>
      </w:r>
      <w:r w:rsidRPr="003A235D">
        <w:rPr>
          <w:lang w:val="en-AU"/>
        </w:rPr>
        <w:fldChar w:fldCharType="separate"/>
      </w:r>
      <w:r w:rsidR="004646F5" w:rsidRPr="003A235D">
        <w:rPr>
          <w:lang w:val="en-AU"/>
        </w:rPr>
        <w:t>10</w:t>
      </w:r>
      <w:r w:rsidRPr="003A235D">
        <w:rPr>
          <w:lang w:val="en-AU"/>
        </w:rPr>
        <w:fldChar w:fldCharType="end"/>
      </w:r>
      <w:bookmarkEnd w:id="60"/>
      <w:r w:rsidRPr="003A235D">
        <w:rPr>
          <w:lang w:val="en-AU"/>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0: Key drivers of the model"/>
      </w:tblPr>
      <w:tblGrid>
        <w:gridCol w:w="1554"/>
        <w:gridCol w:w="6379"/>
        <w:gridCol w:w="1084"/>
      </w:tblGrid>
      <w:tr w:rsidR="00C21FCA" w:rsidRPr="003A235D" w14:paraId="752D147A" w14:textId="77777777" w:rsidTr="00AE14F4">
        <w:trPr>
          <w:tblHeader/>
        </w:trPr>
        <w:tc>
          <w:tcPr>
            <w:tcW w:w="862" w:type="pct"/>
            <w:shd w:val="clear" w:color="auto" w:fill="auto"/>
            <w:vAlign w:val="center"/>
          </w:tcPr>
          <w:p w14:paraId="2631AE68" w14:textId="77777777" w:rsidR="00C21FCA" w:rsidRPr="003A235D" w:rsidRDefault="00C21FCA" w:rsidP="00AE14F4">
            <w:pPr>
              <w:pStyle w:val="Tableheadingrow"/>
              <w:jc w:val="center"/>
              <w:rPr>
                <w:lang w:val="en-AU"/>
              </w:rPr>
            </w:pPr>
            <w:r w:rsidRPr="003A235D">
              <w:rPr>
                <w:lang w:val="en-AU"/>
              </w:rPr>
              <w:t>Description</w:t>
            </w:r>
          </w:p>
        </w:tc>
        <w:tc>
          <w:tcPr>
            <w:tcW w:w="3537" w:type="pct"/>
            <w:shd w:val="clear" w:color="auto" w:fill="auto"/>
            <w:vAlign w:val="center"/>
          </w:tcPr>
          <w:p w14:paraId="5AFCA518" w14:textId="77777777" w:rsidR="00C21FCA" w:rsidRPr="003A235D" w:rsidRDefault="00C21FCA" w:rsidP="00AE14F4">
            <w:pPr>
              <w:pStyle w:val="Tableheadingrow"/>
              <w:jc w:val="center"/>
              <w:rPr>
                <w:lang w:val="en-AU"/>
              </w:rPr>
            </w:pPr>
            <w:r w:rsidRPr="003A235D">
              <w:rPr>
                <w:lang w:val="en-AU"/>
              </w:rPr>
              <w:t>Method/Value</w:t>
            </w:r>
          </w:p>
        </w:tc>
        <w:tc>
          <w:tcPr>
            <w:tcW w:w="601" w:type="pct"/>
            <w:shd w:val="clear" w:color="auto" w:fill="auto"/>
            <w:vAlign w:val="center"/>
          </w:tcPr>
          <w:p w14:paraId="29567757" w14:textId="77777777" w:rsidR="00C21FCA" w:rsidRPr="003A235D" w:rsidRDefault="00C21FCA" w:rsidP="00AE14F4">
            <w:pPr>
              <w:pStyle w:val="Tableheadingrow"/>
              <w:jc w:val="center"/>
              <w:rPr>
                <w:lang w:val="en-AU"/>
              </w:rPr>
            </w:pPr>
            <w:r w:rsidRPr="003A235D">
              <w:rPr>
                <w:lang w:val="en-AU"/>
              </w:rPr>
              <w:t>Impact</w:t>
            </w:r>
          </w:p>
        </w:tc>
      </w:tr>
      <w:tr w:rsidR="00C21FCA" w:rsidRPr="003A235D" w14:paraId="040AA435" w14:textId="77777777" w:rsidTr="00AE14F4">
        <w:tc>
          <w:tcPr>
            <w:tcW w:w="862" w:type="pct"/>
            <w:shd w:val="clear" w:color="auto" w:fill="auto"/>
          </w:tcPr>
          <w:p w14:paraId="5D777E49" w14:textId="77777777" w:rsidR="00C21FCA" w:rsidRPr="003A235D" w:rsidRDefault="00C21FCA" w:rsidP="00AE14F4">
            <w:pPr>
              <w:pStyle w:val="TableText"/>
            </w:pPr>
            <w:r w:rsidRPr="003A235D">
              <w:t>Modelled mortality benefit</w:t>
            </w:r>
          </w:p>
        </w:tc>
        <w:tc>
          <w:tcPr>
            <w:tcW w:w="3537" w:type="pct"/>
            <w:shd w:val="clear" w:color="auto" w:fill="auto"/>
          </w:tcPr>
          <w:p w14:paraId="4C349AFF" w14:textId="5A53337E" w:rsidR="00C21FCA" w:rsidRPr="003A235D" w:rsidRDefault="00C21FCA" w:rsidP="00AE14F4">
            <w:pPr>
              <w:pStyle w:val="TableText"/>
              <w:rPr>
                <w:iCs/>
              </w:rPr>
            </w:pPr>
            <w:bookmarkStart w:id="61" w:name="_Hlk81831253"/>
            <w:r w:rsidRPr="003A235D">
              <w:t>The model assumes differences in time to cardiovascular death favouring empagliflozin that are not consistent with the available clinical data</w:t>
            </w:r>
            <w:r w:rsidR="00107F13" w:rsidRPr="003A235D">
              <w:t xml:space="preserve">, although numerical </w:t>
            </w:r>
            <w:r w:rsidR="00240226" w:rsidRPr="003A235D">
              <w:t>results favoured empagliflozin</w:t>
            </w:r>
            <w:r w:rsidRPr="003A235D">
              <w:t xml:space="preserve"> (see </w:t>
            </w:r>
            <w:r w:rsidR="00E46600" w:rsidRPr="003A235D">
              <w:fldChar w:fldCharType="begin" w:fldLock="1"/>
            </w:r>
            <w:r w:rsidR="00E46600" w:rsidRPr="003A235D">
              <w:instrText xml:space="preserve"> REF _Ref111130293 \h </w:instrText>
            </w:r>
            <w:r w:rsidR="00E46600" w:rsidRPr="003A235D">
              <w:fldChar w:fldCharType="separate"/>
            </w:r>
            <w:r w:rsidR="004646F5" w:rsidRPr="003A235D">
              <w:t>Table 6</w:t>
            </w:r>
            <w:r w:rsidR="00E46600" w:rsidRPr="003A235D">
              <w:fldChar w:fldCharType="end"/>
            </w:r>
            <w:r w:rsidR="00E46600" w:rsidRPr="003A235D">
              <w:t xml:space="preserve"> </w:t>
            </w:r>
            <w:r w:rsidRPr="003A235D">
              <w:t>above).</w:t>
            </w:r>
            <w:r w:rsidR="00F3619E" w:rsidRPr="003A235D">
              <w:t xml:space="preserve"> </w:t>
            </w:r>
            <w:r w:rsidR="00F3619E" w:rsidRPr="003A235D">
              <w:rPr>
                <w:iCs/>
              </w:rPr>
              <w:t>The ESC noted that results from the DELIVER trial, in dapagl</w:t>
            </w:r>
            <w:r w:rsidR="00120BB6" w:rsidRPr="003A235D">
              <w:rPr>
                <w:iCs/>
              </w:rPr>
              <w:t>i</w:t>
            </w:r>
            <w:r w:rsidR="00F3619E" w:rsidRPr="003A235D">
              <w:rPr>
                <w:iCs/>
              </w:rPr>
              <w:t xml:space="preserve">flozin, also </w:t>
            </w:r>
            <w:r w:rsidR="00120BB6" w:rsidRPr="003A235D">
              <w:rPr>
                <w:iCs/>
              </w:rPr>
              <w:t xml:space="preserve">do </w:t>
            </w:r>
            <w:r w:rsidR="00F3619E" w:rsidRPr="003A235D">
              <w:rPr>
                <w:iCs/>
              </w:rPr>
              <w:t>not show a mortality benefit over a longer median duration of follow up than in the HFrEF studies</w:t>
            </w:r>
            <w:r w:rsidR="00120BB6" w:rsidRPr="003A235D">
              <w:rPr>
                <w:iCs/>
              </w:rPr>
              <w:t>. The ESC advised no</w:t>
            </w:r>
            <w:r w:rsidR="00F3619E" w:rsidRPr="003A235D">
              <w:rPr>
                <w:iCs/>
              </w:rPr>
              <w:t xml:space="preserve"> mortality benefit</w:t>
            </w:r>
            <w:r w:rsidR="00120BB6" w:rsidRPr="003A235D">
              <w:rPr>
                <w:iCs/>
              </w:rPr>
              <w:t xml:space="preserve"> should be included in the model</w:t>
            </w:r>
            <w:r w:rsidR="00F3619E" w:rsidRPr="003A235D">
              <w:rPr>
                <w:iCs/>
              </w:rPr>
              <w:t>.</w:t>
            </w:r>
          </w:p>
          <w:bookmarkEnd w:id="61"/>
          <w:p w14:paraId="192B18BB" w14:textId="502F50DD" w:rsidR="00C21FCA" w:rsidRPr="003A235D" w:rsidRDefault="00C21FCA" w:rsidP="00AE14F4">
            <w:pPr>
              <w:pStyle w:val="TableText"/>
              <w:rPr>
                <w:iCs/>
              </w:rPr>
            </w:pPr>
            <w:r w:rsidRPr="003A235D">
              <w:rPr>
                <w:iCs/>
              </w:rPr>
              <w:t>In the model, a cardiovascular mortality benefit for empagliflozin is generated from improved survival within each KCCQ-CSS health state, as well as from higher proportions of patients in the empagliflozin arm transitioning to KCCQ-CSS quartiles representing improved health status which have lower mortality (and lower proportions transitioning to lower health status quartiles with higher mortality) compared with the placebo arm.</w:t>
            </w:r>
            <w:r w:rsidR="00240226" w:rsidRPr="003A235D">
              <w:rPr>
                <w:iCs/>
              </w:rPr>
              <w:t xml:space="preserve"> No supportive data were presented to support a survival benefit with empagliflozin (such as a meta-analysis of EMPEROR-Preserved and EMPEROR-Reduced trials), or to support the modelled relationship between KCCQ-CSS quartiles and survival.</w:t>
            </w:r>
          </w:p>
          <w:p w14:paraId="25608D96" w14:textId="77777777" w:rsidR="00C21FCA" w:rsidRPr="003A235D" w:rsidRDefault="00C21FCA" w:rsidP="00AE14F4">
            <w:pPr>
              <w:keepNext/>
              <w:jc w:val="left"/>
            </w:pPr>
            <w:r w:rsidRPr="003A235D">
              <w:rPr>
                <w:rFonts w:ascii="Arial Narrow" w:eastAsiaTheme="majorEastAsia" w:hAnsi="Arial Narrow" w:cstheme="majorBidi"/>
                <w:bCs/>
                <w:iCs/>
                <w:sz w:val="20"/>
              </w:rPr>
              <w:t xml:space="preserve">The impact of no survival benefit associated with empagliflozin treatment could not be adequately tested during the evaluation due to the model structure with estimates of cardiovascular mortality curves derived separately for KCCQ-CSS health states. </w:t>
            </w:r>
          </w:p>
        </w:tc>
        <w:tc>
          <w:tcPr>
            <w:tcW w:w="601" w:type="pct"/>
            <w:shd w:val="clear" w:color="auto" w:fill="auto"/>
          </w:tcPr>
          <w:p w14:paraId="04246A32" w14:textId="77777777" w:rsidR="00C21FCA" w:rsidRPr="003A235D" w:rsidRDefault="00C21FCA" w:rsidP="00AE14F4">
            <w:pPr>
              <w:pStyle w:val="TableText"/>
            </w:pPr>
            <w:r w:rsidRPr="003A235D">
              <w:t>High, favours empagliflozin</w:t>
            </w:r>
          </w:p>
        </w:tc>
      </w:tr>
      <w:tr w:rsidR="00C21FCA" w:rsidRPr="003A235D" w14:paraId="725EDD1A" w14:textId="77777777" w:rsidTr="00AE14F4">
        <w:tc>
          <w:tcPr>
            <w:tcW w:w="862" w:type="pct"/>
            <w:shd w:val="clear" w:color="auto" w:fill="auto"/>
          </w:tcPr>
          <w:p w14:paraId="274A46E5" w14:textId="77777777" w:rsidR="00C21FCA" w:rsidRPr="003A235D" w:rsidRDefault="00C21FCA" w:rsidP="00AE14F4">
            <w:pPr>
              <w:pStyle w:val="TableText"/>
            </w:pPr>
            <w:r w:rsidRPr="003A235D">
              <w:t>KCCQ-CSS quartile health state transitions</w:t>
            </w:r>
          </w:p>
        </w:tc>
        <w:tc>
          <w:tcPr>
            <w:tcW w:w="3537" w:type="pct"/>
            <w:shd w:val="clear" w:color="auto" w:fill="auto"/>
          </w:tcPr>
          <w:p w14:paraId="678E7729" w14:textId="77777777" w:rsidR="00C21FCA" w:rsidRPr="003A235D" w:rsidRDefault="00C21FCA" w:rsidP="00AE14F4">
            <w:pPr>
              <w:pStyle w:val="TableText"/>
            </w:pPr>
            <w:r w:rsidRPr="003A235D">
              <w:t>The model assumes that transition probabilities between KCCQ-CSS quartile health states, derived from individual patient data from EMPEROR-Preserved between 9 and 12 months, are constant from month 9 to the end of the 15 year model time horizon.</w:t>
            </w:r>
          </w:p>
          <w:p w14:paraId="5F7E5408" w14:textId="77777777" w:rsidR="00C21FCA" w:rsidRPr="003A235D" w:rsidRDefault="00C21FCA" w:rsidP="00AE14F4">
            <w:pPr>
              <w:pStyle w:val="TableText"/>
            </w:pPr>
            <w:r w:rsidRPr="003A235D">
              <w:t>The analysis of individual patient data indicates that patients in both treatment arms experience initial improvement in health status, followed by stabilisation.</w:t>
            </w:r>
            <w:r w:rsidRPr="003A235D">
              <w:rPr>
                <w:iCs/>
              </w:rPr>
              <w:t xml:space="preserve"> It is unclear whether transitions derived from the 9-12 month period adequately reflect longer term health outcomes in a progressive disease.</w:t>
            </w:r>
          </w:p>
        </w:tc>
        <w:tc>
          <w:tcPr>
            <w:tcW w:w="601" w:type="pct"/>
            <w:shd w:val="clear" w:color="auto" w:fill="auto"/>
          </w:tcPr>
          <w:p w14:paraId="0C6AA594" w14:textId="77777777" w:rsidR="00C21FCA" w:rsidRPr="003A235D" w:rsidRDefault="00C21FCA" w:rsidP="00AE14F4">
            <w:pPr>
              <w:pStyle w:val="TableText"/>
            </w:pPr>
            <w:r w:rsidRPr="003A235D">
              <w:t>Unclear</w:t>
            </w:r>
          </w:p>
        </w:tc>
      </w:tr>
      <w:tr w:rsidR="00C21FCA" w:rsidRPr="003A235D" w14:paraId="0C754BB7" w14:textId="77777777" w:rsidTr="00AE14F4">
        <w:tc>
          <w:tcPr>
            <w:tcW w:w="862" w:type="pct"/>
            <w:shd w:val="clear" w:color="auto" w:fill="auto"/>
          </w:tcPr>
          <w:p w14:paraId="3C553372" w14:textId="77777777" w:rsidR="00C21FCA" w:rsidRPr="003A235D" w:rsidRDefault="00C21FCA" w:rsidP="00AE14F4">
            <w:pPr>
              <w:pStyle w:val="TableText"/>
            </w:pPr>
            <w:r w:rsidRPr="003A235D">
              <w:t>QALY loss associated with hospitalisation for heart failure</w:t>
            </w:r>
          </w:p>
        </w:tc>
        <w:tc>
          <w:tcPr>
            <w:tcW w:w="3537" w:type="pct"/>
            <w:shd w:val="clear" w:color="auto" w:fill="auto"/>
          </w:tcPr>
          <w:p w14:paraId="2BA35FC7" w14:textId="21027074" w:rsidR="00C21FCA" w:rsidRPr="003A235D" w:rsidRDefault="00C21FCA" w:rsidP="00AE14F4">
            <w:pPr>
              <w:pStyle w:val="TableText"/>
              <w:rPr>
                <w:i/>
              </w:rPr>
            </w:pPr>
            <w:r w:rsidRPr="003A235D">
              <w:t xml:space="preserve">The disutility associated with heart failure hospitalisation, derived from EMPEROR-Preserved EQ-5D data, was assessed at different timepoints to capture short-and long-term effects. </w:t>
            </w:r>
            <w:r w:rsidRPr="003A235D">
              <w:rPr>
                <w:iCs/>
              </w:rPr>
              <w:t xml:space="preserve">In calculating the total QALY loss associated with heart failure hospitalisations, the submission assumed that the disutilities derived from the linear regression equation represent QALY losses over a one month period. To calculate the QALY loss over a 12 month period, the disutilities associated with each time period were multiplied by the number of months in the time period (e.g. the disutility for 2 to &lt;4 months was multiplied by 2 months) rather than the proportion of a year spent in the health state (e.g. ×2/12 months). This approach differed to the approach used to calculate the QALY loss associated with adverse events, which multiplied the disutilities by 1/12 to derive the QALY loss over a one-month period. </w:t>
            </w:r>
            <w:r w:rsidR="008A0816" w:rsidRPr="003A235D">
              <w:t xml:space="preserve"> </w:t>
            </w:r>
            <w:r w:rsidR="008A0816" w:rsidRPr="003A235D">
              <w:rPr>
                <w:iCs/>
              </w:rPr>
              <w:t>The assumption that estimates from the</w:t>
            </w:r>
            <w:r w:rsidR="002B740D" w:rsidRPr="003A235D">
              <w:rPr>
                <w:iCs/>
              </w:rPr>
              <w:t xml:space="preserve"> linear regression</w:t>
            </w:r>
            <w:r w:rsidR="008A0816" w:rsidRPr="003A235D">
              <w:rPr>
                <w:iCs/>
              </w:rPr>
              <w:t xml:space="preserve"> equation represented monthly QALY losses for heart failure hospitalisation results in implausibly large disutilities for heart failure hospitalisation (disutilities of -0.562 and -0.692 in the first 2 months post-hospitalisation) that are inconsistent with the published literature. As a consequence, the estimated monthly QALY loss for heart failure hospitalisation was treated as a calculation error during the evaluation.</w:t>
            </w:r>
            <w:r w:rsidR="00120BB6" w:rsidRPr="003A235D">
              <w:rPr>
                <w:iCs/>
              </w:rPr>
              <w:t xml:space="preserve"> </w:t>
            </w:r>
            <w:r w:rsidR="00120BB6" w:rsidRPr="003A235D">
              <w:t>The ESC agreed with the evaluation and noted that the submission QALY loss lacked face validity for a single hospital event and the evaluation calculation aligned more closely with a recently published systematic review</w:t>
            </w:r>
            <w:r w:rsidR="005F07BF" w:rsidRPr="003A235D">
              <w:t xml:space="preserve"> (Di Tanna 2021</w:t>
            </w:r>
            <w:r w:rsidR="005F07BF" w:rsidRPr="003A235D">
              <w:rPr>
                <w:rStyle w:val="FootnoteReference"/>
              </w:rPr>
              <w:footnoteReference w:id="3"/>
            </w:r>
            <w:r w:rsidR="005F07BF" w:rsidRPr="003A235D">
              <w:t>).</w:t>
            </w:r>
          </w:p>
        </w:tc>
        <w:tc>
          <w:tcPr>
            <w:tcW w:w="601" w:type="pct"/>
            <w:shd w:val="clear" w:color="auto" w:fill="auto"/>
          </w:tcPr>
          <w:p w14:paraId="359E1415" w14:textId="77777777" w:rsidR="00C21FCA" w:rsidRPr="003A235D" w:rsidRDefault="00C21FCA" w:rsidP="00AE14F4">
            <w:pPr>
              <w:pStyle w:val="TableText"/>
            </w:pPr>
            <w:r w:rsidRPr="003A235D">
              <w:t>Moderate, favours empagliflozin</w:t>
            </w:r>
          </w:p>
        </w:tc>
      </w:tr>
    </w:tbl>
    <w:p w14:paraId="0AE6560B" w14:textId="77777777" w:rsidR="00C21FCA" w:rsidRPr="003A235D" w:rsidRDefault="00C21FCA" w:rsidP="00C21FCA">
      <w:pPr>
        <w:pStyle w:val="COMTablefooter"/>
      </w:pPr>
      <w:r w:rsidRPr="003A235D">
        <w:t>Source: Constructed during the evaluation with reference to Section 3 of the submission and ‘Att_8_Jardiance (empagliflozin) - HF with LVEF more than 40 - CEA’ spreadsheet provided with the submission</w:t>
      </w:r>
    </w:p>
    <w:p w14:paraId="417F9E11" w14:textId="597C9F2C" w:rsidR="00C21FCA" w:rsidRPr="003A235D" w:rsidRDefault="00C21FCA" w:rsidP="008C1FA8">
      <w:pPr>
        <w:pStyle w:val="ExecSumBodyText"/>
        <w:numPr>
          <w:ilvl w:val="1"/>
          <w:numId w:val="1"/>
        </w:numPr>
      </w:pPr>
      <w:r w:rsidRPr="003A235D">
        <w:fldChar w:fldCharType="begin" w:fldLock="1"/>
      </w:r>
      <w:r w:rsidRPr="003A235D">
        <w:instrText xml:space="preserve"> REF _Ref109752701 \h </w:instrText>
      </w:r>
      <w:r w:rsidR="008C1FA8" w:rsidRPr="003A235D">
        <w:instrText xml:space="preserve"> \* MERGEFORMAT </w:instrText>
      </w:r>
      <w:r w:rsidRPr="003A235D">
        <w:fldChar w:fldCharType="separate"/>
      </w:r>
      <w:r w:rsidR="004646F5" w:rsidRPr="003A235D">
        <w:t>Figure 3</w:t>
      </w:r>
      <w:r w:rsidRPr="003A235D">
        <w:fldChar w:fldCharType="end"/>
      </w:r>
      <w:r w:rsidRPr="003A235D">
        <w:t xml:space="preserve"> below presents the model traces for the empagliflozin plus standard care and placebo plus standard care arms.</w:t>
      </w:r>
    </w:p>
    <w:p w14:paraId="57DFC33F" w14:textId="6C639381" w:rsidR="00C21FCA" w:rsidRPr="003A235D" w:rsidRDefault="00C21FCA" w:rsidP="00C21FCA">
      <w:pPr>
        <w:pStyle w:val="COMTableheadingrow"/>
        <w:rPr>
          <w:lang w:val="en-AU"/>
        </w:rPr>
      </w:pPr>
      <w:bookmarkStart w:id="62" w:name="_Ref109752701"/>
      <w:r w:rsidRPr="003A235D">
        <w:rPr>
          <w:lang w:val="en-AU"/>
        </w:rPr>
        <w:lastRenderedPageBreak/>
        <w:t xml:space="preserve">Figure </w:t>
      </w:r>
      <w:r w:rsidRPr="003A235D">
        <w:rPr>
          <w:lang w:val="en-AU"/>
        </w:rPr>
        <w:fldChar w:fldCharType="begin" w:fldLock="1"/>
      </w:r>
      <w:r w:rsidRPr="003A235D">
        <w:rPr>
          <w:lang w:val="en-AU"/>
        </w:rPr>
        <w:instrText xml:space="preserve"> SEQ Figure \* ARABIC </w:instrText>
      </w:r>
      <w:r w:rsidRPr="003A235D">
        <w:rPr>
          <w:lang w:val="en-AU"/>
        </w:rPr>
        <w:fldChar w:fldCharType="separate"/>
      </w:r>
      <w:r w:rsidR="004646F5" w:rsidRPr="003A235D">
        <w:rPr>
          <w:lang w:val="en-AU"/>
        </w:rPr>
        <w:t>3</w:t>
      </w:r>
      <w:r w:rsidRPr="003A235D">
        <w:rPr>
          <w:lang w:val="en-AU"/>
        </w:rPr>
        <w:fldChar w:fldCharType="end"/>
      </w:r>
      <w:bookmarkEnd w:id="62"/>
      <w:r w:rsidRPr="003A235D">
        <w:rPr>
          <w:lang w:val="en-AU"/>
        </w:rPr>
        <w:t>: Model trace for empagliflozin plus standard care and placebo plus standard care</w:t>
      </w:r>
    </w:p>
    <w:p w14:paraId="3E523642" w14:textId="77777777" w:rsidR="00C21FCA" w:rsidRPr="003A235D" w:rsidRDefault="00C21FCA" w:rsidP="00C21FCA">
      <w:r w:rsidRPr="003A235D">
        <w:rPr>
          <w:b/>
          <w:bCs/>
          <w:noProof/>
        </w:rPr>
        <w:drawing>
          <wp:inline distT="0" distB="0" distL="0" distR="0" wp14:anchorId="1CAFBF58" wp14:editId="1D4C531C">
            <wp:extent cx="5688330" cy="3914775"/>
            <wp:effectExtent l="0" t="0" r="7620" b="9525"/>
            <wp:docPr id="31" name="Picture 3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hart, line chart&#10;&#10;Description automatically generated"/>
                    <pic:cNvPicPr>
                      <a:picLocks noChangeAspect="1" noChangeArrowheads="1"/>
                    </pic:cNvPicPr>
                  </pic:nvPicPr>
                  <pic:blipFill rotWithShape="1">
                    <a:blip r:embed="rId10">
                      <a:extLst>
                        <a:ext uri="{28A0092B-C50C-407E-A947-70E740481C1C}">
                          <a14:useLocalDpi xmlns:a14="http://schemas.microsoft.com/office/drawing/2010/main" val="0"/>
                        </a:ext>
                      </a:extLst>
                    </a:blip>
                    <a:srcRect/>
                    <a:stretch/>
                  </pic:blipFill>
                  <pic:spPr bwMode="auto">
                    <a:xfrm>
                      <a:off x="0" y="0"/>
                      <a:ext cx="5688330" cy="3914775"/>
                    </a:xfrm>
                    <a:prstGeom prst="rect">
                      <a:avLst/>
                    </a:prstGeom>
                    <a:noFill/>
                    <a:ln>
                      <a:noFill/>
                    </a:ln>
                    <a:extLst>
                      <a:ext uri="{53640926-AAD7-44D8-BBD7-CCE9431645EC}">
                        <a14:shadowObscured xmlns:a14="http://schemas.microsoft.com/office/drawing/2010/main"/>
                      </a:ext>
                    </a:extLst>
                  </pic:spPr>
                </pic:pic>
              </a:graphicData>
            </a:graphic>
          </wp:inline>
        </w:drawing>
      </w:r>
    </w:p>
    <w:p w14:paraId="72F84ACE" w14:textId="0D1F0CA7" w:rsidR="00C21FCA" w:rsidRPr="003A235D" w:rsidRDefault="00C21FCA" w:rsidP="00C21FCA">
      <w:pPr>
        <w:pStyle w:val="TableFigureFooter"/>
      </w:pPr>
      <w:r w:rsidRPr="003A235D">
        <w:t>Source: Constructed during the evaluation using ‘Att_8_Jardiance (empagliflozin) – HF with LV</w:t>
      </w:r>
      <w:r w:rsidR="0041243E" w:rsidRPr="003A235D">
        <w:t>EF</w:t>
      </w:r>
      <w:r w:rsidRPr="003A235D">
        <w:t xml:space="preserve"> more than 40 - CEA’ spreadsheet provided with the submission</w:t>
      </w:r>
    </w:p>
    <w:p w14:paraId="3A5AAFF5" w14:textId="77777777" w:rsidR="00C21FCA" w:rsidRPr="003A235D" w:rsidRDefault="00C21FCA" w:rsidP="00C21FCA">
      <w:pPr>
        <w:pStyle w:val="TableFigureFooter"/>
      </w:pPr>
      <w:r w:rsidRPr="003A235D">
        <w:t>Abbreviations: CV, cardiovascular; Empa, empagliflozin plus standard care; KCCQ Q1-4, Kansas City Cardiomyopathy Questionnaire Clinical Summary Score Quartiles 1 to 4; Pbo, placebo plus standard care</w:t>
      </w:r>
    </w:p>
    <w:p w14:paraId="441D0BDE" w14:textId="50CD187B" w:rsidR="00C21FCA" w:rsidRPr="003A235D" w:rsidRDefault="00C21FCA" w:rsidP="00827509">
      <w:pPr>
        <w:pStyle w:val="ExecSumBodyText"/>
        <w:numPr>
          <w:ilvl w:val="1"/>
          <w:numId w:val="1"/>
        </w:numPr>
      </w:pPr>
      <w:r w:rsidRPr="003A235D">
        <w:t xml:space="preserve">The model trace indicated that empagliflozin was associated with a survival benefit, due to a reduction in cardiovascular deaths. This was inconsistent with the results of the EMPEROR-Preserved trial, which suggest no difference in mortality between treatments (see </w:t>
      </w:r>
      <w:r w:rsidR="00E46600" w:rsidRPr="003A235D">
        <w:fldChar w:fldCharType="begin" w:fldLock="1"/>
      </w:r>
      <w:r w:rsidR="00E46600" w:rsidRPr="003A235D">
        <w:instrText xml:space="preserve"> REF _Ref111130293 \h </w:instrText>
      </w:r>
      <w:r w:rsidR="00A9338C" w:rsidRPr="003A235D">
        <w:instrText xml:space="preserve"> \* MERGEFORMAT </w:instrText>
      </w:r>
      <w:r w:rsidR="00E46600" w:rsidRPr="003A235D">
        <w:fldChar w:fldCharType="separate"/>
      </w:r>
      <w:r w:rsidR="004646F5" w:rsidRPr="003A235D">
        <w:t>Table 6</w:t>
      </w:r>
      <w:r w:rsidR="00E46600" w:rsidRPr="003A235D">
        <w:fldChar w:fldCharType="end"/>
      </w:r>
      <w:r w:rsidRPr="003A235D">
        <w:t xml:space="preserve"> above). There were higher proportions of patients in the KCCQ-CSS quartile 4 health state, and lower proportions in the KCCQ-CSS quartile 1 health state in the empagliflozin plus standard care arm compared to placebo plus standard care, indicating better health status over the model duration. After 15 years, 87% of patients aged 71.9 years at baseline had died.</w:t>
      </w:r>
    </w:p>
    <w:p w14:paraId="295D1087" w14:textId="53D7C1E3" w:rsidR="00C21FCA" w:rsidRPr="003A235D" w:rsidRDefault="00C21FCA" w:rsidP="00827509">
      <w:pPr>
        <w:pStyle w:val="ExecSumBodyText"/>
        <w:numPr>
          <w:ilvl w:val="1"/>
          <w:numId w:val="1"/>
        </w:numPr>
      </w:pPr>
      <w:r w:rsidRPr="003A235D">
        <w:lastRenderedPageBreak/>
        <w:t>The model estimates that on average, patients treated with empagliflozin plus standard care experience</w:t>
      </w:r>
      <w:r w:rsidR="00D11AAF" w:rsidRPr="003A235D">
        <w:t>d</w:t>
      </w:r>
      <w:r w:rsidRPr="003A235D">
        <w:t xml:space="preserve"> 0.55 heart failure hospitalisations, compared with 0.63 hospitalisations in patients treated with standard care alone over 15 years.</w:t>
      </w:r>
    </w:p>
    <w:p w14:paraId="724FCC74" w14:textId="720BA5CC" w:rsidR="00C21FCA" w:rsidRPr="003A235D" w:rsidRDefault="006F4D45" w:rsidP="00827509">
      <w:pPr>
        <w:pStyle w:val="ExecSumBodyText"/>
        <w:numPr>
          <w:ilvl w:val="1"/>
          <w:numId w:val="1"/>
        </w:numPr>
      </w:pPr>
      <w:r w:rsidRPr="003A235D">
        <w:t>Based on the extrapolated time to treatment discontinuation curve, t</w:t>
      </w:r>
      <w:r w:rsidR="00C21FCA" w:rsidRPr="003A235D">
        <w:t>he model estimates that 81.0% of empagliflozin plus standard care patients remain on empagliflozin treatment at 1 year, which decreases to 29.1% at 5 years (45.5% of those remaining alive) and 4.5% at 10 years (14.3% of those remaining alive). At the end of the model (at 15 years), 0.3% of patients remain on empagliflozin (2.5% of those remaining alive).</w:t>
      </w:r>
    </w:p>
    <w:p w14:paraId="75CA5461" w14:textId="60C7F69A" w:rsidR="00C21FCA" w:rsidRPr="003A235D" w:rsidRDefault="00C21FCA" w:rsidP="00827509">
      <w:pPr>
        <w:pStyle w:val="ExecSumBodyText"/>
        <w:numPr>
          <w:ilvl w:val="1"/>
          <w:numId w:val="1"/>
        </w:numPr>
      </w:pPr>
      <w:r w:rsidRPr="003A235D">
        <w:t xml:space="preserve">The results of the stepped economic evaluation are summarised in </w:t>
      </w:r>
      <w:r w:rsidRPr="003A235D">
        <w:fldChar w:fldCharType="begin" w:fldLock="1"/>
      </w:r>
      <w:r w:rsidRPr="003A235D">
        <w:instrText xml:space="preserve"> REF _Ref109811637 \h </w:instrText>
      </w:r>
      <w:r w:rsidR="00827509" w:rsidRPr="003A235D">
        <w:instrText xml:space="preserve"> \* MERGEFORMAT </w:instrText>
      </w:r>
      <w:r w:rsidRPr="003A235D">
        <w:fldChar w:fldCharType="separate"/>
      </w:r>
      <w:r w:rsidR="004646F5" w:rsidRPr="003A235D">
        <w:t>Table 11</w:t>
      </w:r>
      <w:r w:rsidRPr="003A235D">
        <w:fldChar w:fldCharType="end"/>
      </w:r>
      <w:r w:rsidRPr="003A235D">
        <w:t xml:space="preserve"> below. Step 1 of the submission’s stepped economic evaluation was based on a 42 month duration. This is longer than the median duration of follow-up of the EMPEROR-Preserved trial (26 months), and the point at which observed time-to-event data are used in extrapolations of cardiovascular mortality and time to treatment discontinuation (30 months). The submission stated that 42 months represents the last observed data point for AC and CV morality as well as TTD in EMPEROR-Preserved. During the evaluation, Step 3 (incorporating non-drug costs) was divided into four sub-steps (disease management costs, heart failure hospitalisation costs, cardiovascular death costs, adverse event costs) and Step 4 (incorporating utilities) was divided into three sub-steps (health state utilities, heart failure hospitalisation disutility, adverse event disutility) to more clearly identify the key components of the economic model.</w:t>
      </w:r>
    </w:p>
    <w:p w14:paraId="6E14075E" w14:textId="530485B8" w:rsidR="00C21FCA" w:rsidRPr="003A235D" w:rsidRDefault="00C21FCA" w:rsidP="00C21FCA">
      <w:pPr>
        <w:pStyle w:val="COMTableheadingrow"/>
        <w:rPr>
          <w:lang w:val="en-AU"/>
        </w:rPr>
      </w:pPr>
      <w:bookmarkStart w:id="63" w:name="_Ref109811637"/>
      <w:r w:rsidRPr="003A235D">
        <w:rPr>
          <w:lang w:val="en-AU"/>
        </w:rPr>
        <w:lastRenderedPageBreak/>
        <w:t xml:space="preserve">Table </w:t>
      </w:r>
      <w:r w:rsidRPr="003A235D">
        <w:rPr>
          <w:lang w:val="en-AU"/>
        </w:rPr>
        <w:fldChar w:fldCharType="begin" w:fldLock="1"/>
      </w:r>
      <w:r w:rsidRPr="003A235D">
        <w:rPr>
          <w:lang w:val="en-AU"/>
        </w:rPr>
        <w:instrText xml:space="preserve"> SEQ Table \* ARABIC </w:instrText>
      </w:r>
      <w:r w:rsidRPr="003A235D">
        <w:rPr>
          <w:lang w:val="en-AU"/>
        </w:rPr>
        <w:fldChar w:fldCharType="separate"/>
      </w:r>
      <w:r w:rsidR="004646F5" w:rsidRPr="003A235D">
        <w:rPr>
          <w:lang w:val="en-AU"/>
        </w:rPr>
        <w:t>11</w:t>
      </w:r>
      <w:r w:rsidRPr="003A235D">
        <w:rPr>
          <w:lang w:val="en-AU"/>
        </w:rPr>
        <w:fldChar w:fldCharType="end"/>
      </w:r>
      <w:bookmarkEnd w:id="63"/>
      <w:r w:rsidRPr="003A235D">
        <w:rPr>
          <w:lang w:val="en-AU"/>
        </w:rPr>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1: Results of the stepped economic evaluation"/>
      </w:tblPr>
      <w:tblGrid>
        <w:gridCol w:w="2755"/>
        <w:gridCol w:w="2058"/>
        <w:gridCol w:w="29"/>
        <w:gridCol w:w="2087"/>
        <w:gridCol w:w="14"/>
        <w:gridCol w:w="2074"/>
      </w:tblGrid>
      <w:tr w:rsidR="00C21FCA" w:rsidRPr="001D1DDE" w14:paraId="7BCC3622" w14:textId="77777777" w:rsidTr="00AE14F4">
        <w:trPr>
          <w:tblHeader/>
        </w:trPr>
        <w:tc>
          <w:tcPr>
            <w:tcW w:w="1528" w:type="pct"/>
            <w:vAlign w:val="center"/>
          </w:tcPr>
          <w:p w14:paraId="116BA45A" w14:textId="77777777" w:rsidR="00C21FCA" w:rsidRPr="001D1DDE" w:rsidRDefault="00C21FCA" w:rsidP="00AE14F4">
            <w:pPr>
              <w:pStyle w:val="Tableheadingrow"/>
              <w:rPr>
                <w:szCs w:val="20"/>
                <w:lang w:val="en-AU"/>
              </w:rPr>
            </w:pPr>
            <w:r w:rsidRPr="001D1DDE">
              <w:rPr>
                <w:szCs w:val="20"/>
                <w:lang w:val="en-AU"/>
              </w:rPr>
              <w:t>Step and component</w:t>
            </w:r>
          </w:p>
        </w:tc>
        <w:tc>
          <w:tcPr>
            <w:tcW w:w="1157" w:type="pct"/>
            <w:gridSpan w:val="2"/>
            <w:vAlign w:val="center"/>
          </w:tcPr>
          <w:p w14:paraId="698CC644" w14:textId="77777777" w:rsidR="00C21FCA" w:rsidRPr="009848FD" w:rsidRDefault="00C21FCA" w:rsidP="00AE14F4">
            <w:pPr>
              <w:pStyle w:val="Tableheadingrow"/>
              <w:jc w:val="center"/>
              <w:rPr>
                <w:szCs w:val="20"/>
                <w:lang w:val="en-AU"/>
              </w:rPr>
            </w:pPr>
            <w:r w:rsidRPr="009848FD">
              <w:rPr>
                <w:szCs w:val="20"/>
                <w:lang w:val="en-AU"/>
              </w:rPr>
              <w:t>Empagliflozin+SC</w:t>
            </w:r>
          </w:p>
        </w:tc>
        <w:tc>
          <w:tcPr>
            <w:tcW w:w="1157" w:type="pct"/>
            <w:vAlign w:val="center"/>
          </w:tcPr>
          <w:p w14:paraId="589F1A09" w14:textId="77777777" w:rsidR="00C21FCA" w:rsidRPr="00AC5A0D" w:rsidRDefault="00C21FCA" w:rsidP="00AE14F4">
            <w:pPr>
              <w:pStyle w:val="Tableheadingrow"/>
              <w:jc w:val="center"/>
              <w:rPr>
                <w:szCs w:val="20"/>
                <w:lang w:val="en-AU"/>
              </w:rPr>
            </w:pPr>
            <w:r w:rsidRPr="00AC5A0D">
              <w:rPr>
                <w:szCs w:val="20"/>
                <w:lang w:val="en-AU"/>
              </w:rPr>
              <w:t>Placebo+SC</w:t>
            </w:r>
          </w:p>
        </w:tc>
        <w:tc>
          <w:tcPr>
            <w:tcW w:w="1158" w:type="pct"/>
            <w:gridSpan w:val="2"/>
            <w:vAlign w:val="center"/>
          </w:tcPr>
          <w:p w14:paraId="6AB6A45B" w14:textId="77777777" w:rsidR="00C21FCA" w:rsidRPr="00AC5A0D" w:rsidRDefault="00C21FCA" w:rsidP="00AE14F4">
            <w:pPr>
              <w:pStyle w:val="Tableheadingrow"/>
              <w:jc w:val="center"/>
              <w:rPr>
                <w:szCs w:val="20"/>
                <w:lang w:val="en-AU"/>
              </w:rPr>
            </w:pPr>
            <w:r w:rsidRPr="00AC5A0D">
              <w:rPr>
                <w:szCs w:val="20"/>
                <w:lang w:val="en-AU"/>
              </w:rPr>
              <w:t>Increment</w:t>
            </w:r>
          </w:p>
        </w:tc>
      </w:tr>
      <w:tr w:rsidR="00C21FCA" w:rsidRPr="001D1DDE" w14:paraId="61D53331" w14:textId="77777777" w:rsidTr="00AE14F4">
        <w:tc>
          <w:tcPr>
            <w:tcW w:w="5000" w:type="pct"/>
            <w:gridSpan w:val="6"/>
            <w:vAlign w:val="center"/>
          </w:tcPr>
          <w:p w14:paraId="6445B8F3" w14:textId="77777777" w:rsidR="00C21FCA" w:rsidRPr="009848FD" w:rsidRDefault="00C21FCA" w:rsidP="00AE14F4">
            <w:pPr>
              <w:pStyle w:val="TableText"/>
              <w:rPr>
                <w:b/>
                <w:bCs w:val="0"/>
                <w:szCs w:val="20"/>
              </w:rPr>
            </w:pPr>
            <w:r w:rsidRPr="001D1DDE">
              <w:rPr>
                <w:b/>
                <w:bCs w:val="0"/>
                <w:szCs w:val="20"/>
              </w:rPr>
              <w:t>Step 1: Modelled analysis based on Kaplan-Meier overall survival curves by KCCQ-CSS quartile from EMPEROR-Preserved over 42 months and including drug costs only</w:t>
            </w:r>
          </w:p>
        </w:tc>
      </w:tr>
      <w:tr w:rsidR="00C21FCA" w:rsidRPr="001D1DDE" w14:paraId="45B983F6" w14:textId="77777777" w:rsidTr="00B6635B">
        <w:tc>
          <w:tcPr>
            <w:tcW w:w="1528" w:type="pct"/>
            <w:vAlign w:val="center"/>
          </w:tcPr>
          <w:p w14:paraId="4B19D4BD" w14:textId="31C69C93" w:rsidR="00C21FCA" w:rsidRPr="001D1DDE" w:rsidRDefault="00C21FCA" w:rsidP="00AE14F4">
            <w:pPr>
              <w:pStyle w:val="TableText"/>
              <w:rPr>
                <w:szCs w:val="20"/>
              </w:rPr>
            </w:pPr>
            <w:r w:rsidRPr="001D1DDE">
              <w:rPr>
                <w:szCs w:val="20"/>
              </w:rPr>
              <w:t>Costs</w:t>
            </w:r>
            <w:r w:rsidR="003F2C28">
              <w:rPr>
                <w:szCs w:val="20"/>
              </w:rPr>
              <w:t xml:space="preserve"> ($)</w:t>
            </w:r>
          </w:p>
        </w:tc>
        <w:tc>
          <w:tcPr>
            <w:tcW w:w="1141" w:type="pct"/>
            <w:shd w:val="solid" w:color="000000" w:fill="000000"/>
            <w:vAlign w:val="center"/>
          </w:tcPr>
          <w:p w14:paraId="39032CC1" w14:textId="41A1D24A" w:rsidR="00C21FCA" w:rsidRPr="00B6635B" w:rsidRDefault="00B6635B" w:rsidP="00AE14F4">
            <w:pPr>
              <w:pStyle w:val="TableText"/>
              <w:jc w:val="center"/>
              <w:rPr>
                <w:szCs w:val="20"/>
              </w:rPr>
            </w:pPr>
            <w:r w:rsidRPr="00B6635B">
              <w:rPr>
                <w:color w:val="000000"/>
                <w:szCs w:val="20"/>
                <w14:textFill>
                  <w14:solidFill>
                    <w14:srgbClr w14:val="000000">
                      <w14:alpha w14:val="100000"/>
                    </w14:srgbClr>
                  </w14:solidFill>
                </w14:textFill>
              </w:rPr>
              <w:t>|</w:t>
            </w:r>
          </w:p>
        </w:tc>
        <w:tc>
          <w:tcPr>
            <w:tcW w:w="1181" w:type="pct"/>
            <w:gridSpan w:val="3"/>
            <w:vAlign w:val="center"/>
          </w:tcPr>
          <w:p w14:paraId="49D8B6A3" w14:textId="77777777" w:rsidR="00C21FCA" w:rsidRPr="001D1DDE" w:rsidRDefault="00C21FCA" w:rsidP="00AE14F4">
            <w:pPr>
              <w:pStyle w:val="TableText"/>
              <w:jc w:val="center"/>
              <w:rPr>
                <w:szCs w:val="20"/>
              </w:rPr>
            </w:pPr>
            <w:r w:rsidRPr="00EE5627">
              <w:rPr>
                <w:szCs w:val="20"/>
              </w:rPr>
              <w:t>$2,069</w:t>
            </w:r>
          </w:p>
        </w:tc>
        <w:tc>
          <w:tcPr>
            <w:tcW w:w="1150" w:type="pct"/>
            <w:shd w:val="solid" w:color="000000" w:fill="000000"/>
            <w:vAlign w:val="center"/>
          </w:tcPr>
          <w:p w14:paraId="19E372D8" w14:textId="16C136D9" w:rsidR="00C21FCA" w:rsidRPr="00B6635B" w:rsidRDefault="00B6635B" w:rsidP="00AE14F4">
            <w:pPr>
              <w:pStyle w:val="TableText"/>
              <w:jc w:val="center"/>
              <w:rPr>
                <w:szCs w:val="20"/>
              </w:rPr>
            </w:pPr>
            <w:r w:rsidRPr="00B6635B">
              <w:rPr>
                <w:color w:val="000000"/>
                <w:szCs w:val="20"/>
                <w14:textFill>
                  <w14:solidFill>
                    <w14:srgbClr w14:val="000000">
                      <w14:alpha w14:val="100000"/>
                    </w14:srgbClr>
                  </w14:solidFill>
                </w14:textFill>
              </w:rPr>
              <w:t>|</w:t>
            </w:r>
          </w:p>
        </w:tc>
      </w:tr>
      <w:tr w:rsidR="00C21FCA" w:rsidRPr="001D1DDE" w14:paraId="14536330" w14:textId="77777777" w:rsidTr="00AE14F4">
        <w:trPr>
          <w:trHeight w:val="70"/>
        </w:trPr>
        <w:tc>
          <w:tcPr>
            <w:tcW w:w="1528" w:type="pct"/>
            <w:vAlign w:val="center"/>
          </w:tcPr>
          <w:p w14:paraId="790856BF" w14:textId="77777777" w:rsidR="00C21FCA" w:rsidRPr="001D1DDE" w:rsidRDefault="00C21FCA" w:rsidP="00AE14F4">
            <w:pPr>
              <w:pStyle w:val="TableText"/>
              <w:rPr>
                <w:szCs w:val="20"/>
              </w:rPr>
            </w:pPr>
            <w:r w:rsidRPr="001D1DDE">
              <w:rPr>
                <w:szCs w:val="20"/>
              </w:rPr>
              <w:t>Life years</w:t>
            </w:r>
          </w:p>
        </w:tc>
        <w:tc>
          <w:tcPr>
            <w:tcW w:w="1141" w:type="pct"/>
            <w:vAlign w:val="center"/>
          </w:tcPr>
          <w:p w14:paraId="4FF4CA2F" w14:textId="77777777" w:rsidR="00C21FCA" w:rsidRPr="009848FD" w:rsidRDefault="00C21FCA" w:rsidP="00AE14F4">
            <w:pPr>
              <w:pStyle w:val="TableText"/>
              <w:jc w:val="center"/>
              <w:rPr>
                <w:szCs w:val="20"/>
              </w:rPr>
            </w:pPr>
            <w:r w:rsidRPr="009848FD">
              <w:rPr>
                <w:szCs w:val="20"/>
              </w:rPr>
              <w:t>2.9584</w:t>
            </w:r>
          </w:p>
        </w:tc>
        <w:tc>
          <w:tcPr>
            <w:tcW w:w="1181" w:type="pct"/>
            <w:gridSpan w:val="3"/>
            <w:vAlign w:val="center"/>
          </w:tcPr>
          <w:p w14:paraId="7CFD3D05" w14:textId="77777777" w:rsidR="00C21FCA" w:rsidRPr="00AC5A0D" w:rsidRDefault="00C21FCA" w:rsidP="00AE14F4">
            <w:pPr>
              <w:pStyle w:val="TableText"/>
              <w:jc w:val="center"/>
              <w:rPr>
                <w:szCs w:val="20"/>
              </w:rPr>
            </w:pPr>
            <w:r w:rsidRPr="00AC5A0D">
              <w:rPr>
                <w:szCs w:val="20"/>
              </w:rPr>
              <w:t>2.9556</w:t>
            </w:r>
          </w:p>
        </w:tc>
        <w:tc>
          <w:tcPr>
            <w:tcW w:w="1150" w:type="pct"/>
            <w:vAlign w:val="center"/>
          </w:tcPr>
          <w:p w14:paraId="1A1AE1C1" w14:textId="77777777" w:rsidR="00C21FCA" w:rsidRPr="00AC5A0D" w:rsidRDefault="00C21FCA" w:rsidP="00AE14F4">
            <w:pPr>
              <w:pStyle w:val="TableText"/>
              <w:jc w:val="center"/>
              <w:rPr>
                <w:szCs w:val="20"/>
              </w:rPr>
            </w:pPr>
            <w:r w:rsidRPr="00AC5A0D">
              <w:rPr>
                <w:szCs w:val="20"/>
              </w:rPr>
              <w:t>0.0028</w:t>
            </w:r>
          </w:p>
        </w:tc>
      </w:tr>
      <w:tr w:rsidR="00C21FCA" w:rsidRPr="001D1DDE" w14:paraId="62D49464" w14:textId="77777777" w:rsidTr="00AE14F4">
        <w:tc>
          <w:tcPr>
            <w:tcW w:w="3850" w:type="pct"/>
            <w:gridSpan w:val="5"/>
            <w:vAlign w:val="center"/>
          </w:tcPr>
          <w:p w14:paraId="5E10D325" w14:textId="77777777" w:rsidR="00C21FCA" w:rsidRPr="001D1DDE" w:rsidRDefault="00C21FCA" w:rsidP="00AE14F4">
            <w:pPr>
              <w:pStyle w:val="TableText"/>
              <w:rPr>
                <w:szCs w:val="20"/>
              </w:rPr>
            </w:pPr>
            <w:r w:rsidRPr="001D1DDE">
              <w:rPr>
                <w:szCs w:val="20"/>
              </w:rPr>
              <w:t>Incremental cost per life year gained</w:t>
            </w:r>
          </w:p>
        </w:tc>
        <w:tc>
          <w:tcPr>
            <w:tcW w:w="1150" w:type="pct"/>
          </w:tcPr>
          <w:p w14:paraId="468120D0" w14:textId="42DB002D" w:rsidR="00C21FCA" w:rsidRPr="001D1DDE" w:rsidRDefault="00C21FCA" w:rsidP="00AE14F4">
            <w:pPr>
              <w:pStyle w:val="TableText"/>
              <w:jc w:val="center"/>
              <w:rPr>
                <w:szCs w:val="20"/>
              </w:rPr>
            </w:pPr>
            <w:r w:rsidRPr="001D1DDE">
              <w:rPr>
                <w:szCs w:val="20"/>
              </w:rPr>
              <w:t>$</w:t>
            </w:r>
            <w:r w:rsidR="00B6635B" w:rsidRPr="00B6635B">
              <w:rPr>
                <w:color w:val="000000"/>
                <w:szCs w:val="20"/>
                <w:shd w:val="solid" w:color="000000" w:fill="000000"/>
                <w14:textFill>
                  <w14:solidFill>
                    <w14:srgbClr w14:val="000000">
                      <w14:alpha w14:val="100000"/>
                    </w14:srgbClr>
                  </w14:solidFill>
                </w14:textFill>
              </w:rPr>
              <w:t>|</w:t>
            </w:r>
            <w:r w:rsidR="00CE450D" w:rsidRPr="00B6635B">
              <w:rPr>
                <w:szCs w:val="20"/>
                <w:vertAlign w:val="superscript"/>
              </w:rPr>
              <w:t>1</w:t>
            </w:r>
          </w:p>
        </w:tc>
      </w:tr>
      <w:tr w:rsidR="00C21FCA" w:rsidRPr="001D1DDE" w14:paraId="0F509091" w14:textId="77777777" w:rsidTr="00AE14F4">
        <w:tc>
          <w:tcPr>
            <w:tcW w:w="5000" w:type="pct"/>
            <w:gridSpan w:val="6"/>
            <w:vAlign w:val="center"/>
          </w:tcPr>
          <w:p w14:paraId="104DAF73" w14:textId="77777777" w:rsidR="00C21FCA" w:rsidRPr="009848FD" w:rsidRDefault="00C21FCA" w:rsidP="00AE14F4">
            <w:pPr>
              <w:pStyle w:val="Tableheadingrow"/>
              <w:rPr>
                <w:szCs w:val="20"/>
                <w:lang w:val="en-AU"/>
              </w:rPr>
            </w:pPr>
            <w:r w:rsidRPr="001D1DDE">
              <w:rPr>
                <w:szCs w:val="20"/>
                <w:lang w:val="en-AU"/>
              </w:rPr>
              <w:t xml:space="preserve">Step 2: Time horizon extended to 15 years using extrapolated all-cause and cardiovascular mortality curves, with </w:t>
            </w:r>
            <w:r w:rsidRPr="009848FD">
              <w:rPr>
                <w:szCs w:val="20"/>
                <w:lang w:val="en-AU"/>
              </w:rPr>
              <w:t>correction to ensure that mortality is not smaller than that of the Australian general population</w:t>
            </w:r>
          </w:p>
        </w:tc>
      </w:tr>
      <w:tr w:rsidR="00C21FCA" w:rsidRPr="001D1DDE" w14:paraId="38063250" w14:textId="77777777" w:rsidTr="00B6635B">
        <w:tc>
          <w:tcPr>
            <w:tcW w:w="1528" w:type="pct"/>
            <w:vAlign w:val="center"/>
          </w:tcPr>
          <w:p w14:paraId="20C6D096" w14:textId="0249BBB2" w:rsidR="00C21FCA" w:rsidRPr="001D1DDE" w:rsidRDefault="00C21FCA" w:rsidP="00AE14F4">
            <w:pPr>
              <w:pStyle w:val="TableText"/>
              <w:rPr>
                <w:szCs w:val="20"/>
              </w:rPr>
            </w:pPr>
            <w:r w:rsidRPr="001D1DDE">
              <w:rPr>
                <w:szCs w:val="20"/>
              </w:rPr>
              <w:t>Costs</w:t>
            </w:r>
            <w:r w:rsidR="003F2C28">
              <w:rPr>
                <w:szCs w:val="20"/>
              </w:rPr>
              <w:t xml:space="preserve"> ($)</w:t>
            </w:r>
          </w:p>
        </w:tc>
        <w:tc>
          <w:tcPr>
            <w:tcW w:w="1141" w:type="pct"/>
            <w:shd w:val="solid" w:color="000000" w:fill="000000"/>
            <w:vAlign w:val="center"/>
          </w:tcPr>
          <w:p w14:paraId="063CD008" w14:textId="05C598C3" w:rsidR="00C21FCA" w:rsidRPr="00B6635B" w:rsidRDefault="00B6635B" w:rsidP="00AE14F4">
            <w:pPr>
              <w:pStyle w:val="TableText"/>
              <w:jc w:val="center"/>
              <w:rPr>
                <w:szCs w:val="20"/>
              </w:rPr>
            </w:pPr>
            <w:r w:rsidRPr="00B6635B">
              <w:rPr>
                <w:color w:val="000000"/>
                <w:szCs w:val="20"/>
                <w14:textFill>
                  <w14:solidFill>
                    <w14:srgbClr w14:val="000000">
                      <w14:alpha w14:val="100000"/>
                    </w14:srgbClr>
                  </w14:solidFill>
                </w14:textFill>
              </w:rPr>
              <w:t>|</w:t>
            </w:r>
          </w:p>
        </w:tc>
        <w:tc>
          <w:tcPr>
            <w:tcW w:w="1181" w:type="pct"/>
            <w:gridSpan w:val="3"/>
            <w:vAlign w:val="center"/>
          </w:tcPr>
          <w:p w14:paraId="66056599" w14:textId="77777777" w:rsidR="00C21FCA" w:rsidRPr="001D1DDE" w:rsidRDefault="00C21FCA" w:rsidP="00AE14F4">
            <w:pPr>
              <w:pStyle w:val="TableText"/>
              <w:jc w:val="center"/>
              <w:rPr>
                <w:szCs w:val="20"/>
              </w:rPr>
            </w:pPr>
            <w:r w:rsidRPr="00EE5627">
              <w:rPr>
                <w:szCs w:val="20"/>
              </w:rPr>
              <w:t>$4,227</w:t>
            </w:r>
          </w:p>
        </w:tc>
        <w:tc>
          <w:tcPr>
            <w:tcW w:w="1150" w:type="pct"/>
            <w:shd w:val="solid" w:color="000000" w:fill="000000"/>
            <w:vAlign w:val="center"/>
          </w:tcPr>
          <w:p w14:paraId="78177C3D" w14:textId="4A16B285" w:rsidR="00C21FCA" w:rsidRPr="00B6635B" w:rsidRDefault="00B6635B" w:rsidP="00AE14F4">
            <w:pPr>
              <w:pStyle w:val="TableText"/>
              <w:jc w:val="center"/>
              <w:rPr>
                <w:szCs w:val="20"/>
              </w:rPr>
            </w:pPr>
            <w:r w:rsidRPr="00B6635B">
              <w:rPr>
                <w:color w:val="000000"/>
                <w:szCs w:val="20"/>
                <w14:textFill>
                  <w14:solidFill>
                    <w14:srgbClr w14:val="000000">
                      <w14:alpha w14:val="100000"/>
                    </w14:srgbClr>
                  </w14:solidFill>
                </w14:textFill>
              </w:rPr>
              <w:t>|</w:t>
            </w:r>
          </w:p>
        </w:tc>
      </w:tr>
      <w:tr w:rsidR="00C21FCA" w:rsidRPr="001D1DDE" w14:paraId="23D789E9" w14:textId="77777777" w:rsidTr="00AE14F4">
        <w:tc>
          <w:tcPr>
            <w:tcW w:w="1528" w:type="pct"/>
            <w:vAlign w:val="center"/>
          </w:tcPr>
          <w:p w14:paraId="60C4EE2B" w14:textId="77777777" w:rsidR="00C21FCA" w:rsidRPr="001D1DDE" w:rsidRDefault="00C21FCA" w:rsidP="00AE14F4">
            <w:pPr>
              <w:pStyle w:val="TableText"/>
              <w:rPr>
                <w:szCs w:val="20"/>
              </w:rPr>
            </w:pPr>
            <w:r w:rsidRPr="001D1DDE">
              <w:rPr>
                <w:szCs w:val="20"/>
              </w:rPr>
              <w:t>Life years</w:t>
            </w:r>
          </w:p>
        </w:tc>
        <w:tc>
          <w:tcPr>
            <w:tcW w:w="1141" w:type="pct"/>
            <w:vAlign w:val="center"/>
          </w:tcPr>
          <w:p w14:paraId="7DF1CFEB" w14:textId="77777777" w:rsidR="00C21FCA" w:rsidRPr="009848FD" w:rsidRDefault="00C21FCA" w:rsidP="00AE14F4">
            <w:pPr>
              <w:pStyle w:val="TableText"/>
              <w:jc w:val="center"/>
              <w:rPr>
                <w:szCs w:val="20"/>
              </w:rPr>
            </w:pPr>
            <w:r w:rsidRPr="009848FD">
              <w:rPr>
                <w:szCs w:val="20"/>
              </w:rPr>
              <w:t>6.1064</w:t>
            </w:r>
          </w:p>
        </w:tc>
        <w:tc>
          <w:tcPr>
            <w:tcW w:w="1181" w:type="pct"/>
            <w:gridSpan w:val="3"/>
            <w:vAlign w:val="center"/>
          </w:tcPr>
          <w:p w14:paraId="40C26494" w14:textId="77777777" w:rsidR="00C21FCA" w:rsidRPr="00AC5A0D" w:rsidRDefault="00C21FCA" w:rsidP="00AE14F4">
            <w:pPr>
              <w:pStyle w:val="TableText"/>
              <w:jc w:val="center"/>
              <w:rPr>
                <w:szCs w:val="20"/>
              </w:rPr>
            </w:pPr>
            <w:r w:rsidRPr="00AC5A0D">
              <w:rPr>
                <w:szCs w:val="20"/>
              </w:rPr>
              <w:t>6.0392</w:t>
            </w:r>
          </w:p>
        </w:tc>
        <w:tc>
          <w:tcPr>
            <w:tcW w:w="1150" w:type="pct"/>
            <w:vAlign w:val="center"/>
          </w:tcPr>
          <w:p w14:paraId="7C99657E" w14:textId="77777777" w:rsidR="00C21FCA" w:rsidRPr="00AC5A0D" w:rsidRDefault="00C21FCA" w:rsidP="00AE14F4">
            <w:pPr>
              <w:pStyle w:val="TableText"/>
              <w:jc w:val="center"/>
              <w:rPr>
                <w:szCs w:val="20"/>
              </w:rPr>
            </w:pPr>
            <w:r w:rsidRPr="00AC5A0D">
              <w:rPr>
                <w:szCs w:val="20"/>
              </w:rPr>
              <w:t>0.0672</w:t>
            </w:r>
          </w:p>
        </w:tc>
      </w:tr>
      <w:tr w:rsidR="00C21FCA" w:rsidRPr="001D1DDE" w14:paraId="1DBF55BB" w14:textId="77777777" w:rsidTr="00AE14F4">
        <w:tc>
          <w:tcPr>
            <w:tcW w:w="3850" w:type="pct"/>
            <w:gridSpan w:val="5"/>
            <w:vAlign w:val="center"/>
          </w:tcPr>
          <w:p w14:paraId="1ED2824B" w14:textId="77777777" w:rsidR="00C21FCA" w:rsidRPr="001D1DDE" w:rsidRDefault="00C21FCA" w:rsidP="00AE14F4">
            <w:pPr>
              <w:pStyle w:val="TableText"/>
              <w:rPr>
                <w:szCs w:val="20"/>
              </w:rPr>
            </w:pPr>
            <w:r w:rsidRPr="001D1DDE">
              <w:rPr>
                <w:szCs w:val="20"/>
              </w:rPr>
              <w:t>Incremental cost per life year gained</w:t>
            </w:r>
          </w:p>
        </w:tc>
        <w:tc>
          <w:tcPr>
            <w:tcW w:w="1150" w:type="pct"/>
            <w:vAlign w:val="center"/>
          </w:tcPr>
          <w:p w14:paraId="0CDD3823" w14:textId="1477498F" w:rsidR="00C21FCA" w:rsidRPr="001D1DDE" w:rsidRDefault="00C21FCA" w:rsidP="00AE14F4">
            <w:pPr>
              <w:pStyle w:val="TableText"/>
              <w:jc w:val="center"/>
              <w:rPr>
                <w:szCs w:val="20"/>
              </w:rPr>
            </w:pPr>
            <w:r w:rsidRPr="001D1DDE">
              <w:rPr>
                <w:szCs w:val="20"/>
              </w:rPr>
              <w:t>$</w:t>
            </w:r>
            <w:r w:rsidR="00B6635B" w:rsidRPr="00B6635B">
              <w:rPr>
                <w:color w:val="000000"/>
                <w:szCs w:val="20"/>
                <w:shd w:val="solid" w:color="000000" w:fill="000000"/>
                <w14:textFill>
                  <w14:solidFill>
                    <w14:srgbClr w14:val="000000">
                      <w14:alpha w14:val="100000"/>
                    </w14:srgbClr>
                  </w14:solidFill>
                </w14:textFill>
              </w:rPr>
              <w:t>|</w:t>
            </w:r>
            <w:r w:rsidR="001D1DDE" w:rsidRPr="001D1DDE">
              <w:rPr>
                <w:szCs w:val="20"/>
                <w:vertAlign w:val="superscript"/>
              </w:rPr>
              <w:t>2</w:t>
            </w:r>
          </w:p>
        </w:tc>
      </w:tr>
      <w:tr w:rsidR="00C21FCA" w:rsidRPr="001D1DDE" w14:paraId="10B6AD83" w14:textId="77777777" w:rsidTr="00AE14F4">
        <w:tc>
          <w:tcPr>
            <w:tcW w:w="5000" w:type="pct"/>
            <w:gridSpan w:val="6"/>
            <w:vAlign w:val="center"/>
          </w:tcPr>
          <w:p w14:paraId="5048B78E" w14:textId="77777777" w:rsidR="00C21FCA" w:rsidRPr="001D1DDE" w:rsidRDefault="00C21FCA" w:rsidP="00AE14F4">
            <w:pPr>
              <w:pStyle w:val="Tableheadingrow"/>
              <w:rPr>
                <w:szCs w:val="20"/>
                <w:lang w:val="en-AU"/>
              </w:rPr>
            </w:pPr>
            <w:r w:rsidRPr="001D1DDE">
              <w:rPr>
                <w:szCs w:val="20"/>
                <w:lang w:val="en-AU"/>
              </w:rPr>
              <w:t>Step 3: Disease management heart failure hospitalisation, CV death and adverse event costs included</w:t>
            </w:r>
          </w:p>
        </w:tc>
      </w:tr>
      <w:tr w:rsidR="00C21FCA" w:rsidRPr="001D1DDE" w14:paraId="53BB2687" w14:textId="77777777" w:rsidTr="00AE14F4">
        <w:tc>
          <w:tcPr>
            <w:tcW w:w="5000" w:type="pct"/>
            <w:gridSpan w:val="6"/>
            <w:vAlign w:val="center"/>
          </w:tcPr>
          <w:p w14:paraId="4B2B35C8" w14:textId="77777777" w:rsidR="00C21FCA" w:rsidRPr="001D1DDE" w:rsidRDefault="00C21FCA" w:rsidP="00AE14F4">
            <w:pPr>
              <w:pStyle w:val="TableText"/>
              <w:rPr>
                <w:b/>
                <w:bCs w:val="0"/>
                <w:iCs/>
                <w:szCs w:val="20"/>
              </w:rPr>
            </w:pPr>
            <w:r w:rsidRPr="001D1DDE">
              <w:rPr>
                <w:b/>
                <w:bCs w:val="0"/>
                <w:iCs/>
                <w:szCs w:val="20"/>
              </w:rPr>
              <w:t>Step 3a: disease management costs included</w:t>
            </w:r>
          </w:p>
        </w:tc>
      </w:tr>
      <w:tr w:rsidR="00C21FCA" w:rsidRPr="001D1DDE" w14:paraId="18A6A7E4" w14:textId="77777777" w:rsidTr="00B6635B">
        <w:tc>
          <w:tcPr>
            <w:tcW w:w="1528" w:type="pct"/>
            <w:vAlign w:val="center"/>
          </w:tcPr>
          <w:p w14:paraId="4DC1DFF6" w14:textId="2F6062D9" w:rsidR="00C21FCA" w:rsidRPr="001D1DDE" w:rsidRDefault="00C21FCA" w:rsidP="00AE14F4">
            <w:pPr>
              <w:pStyle w:val="TableText"/>
              <w:rPr>
                <w:iCs/>
                <w:szCs w:val="20"/>
              </w:rPr>
            </w:pPr>
            <w:r w:rsidRPr="001D1DDE">
              <w:rPr>
                <w:iCs/>
                <w:szCs w:val="20"/>
              </w:rPr>
              <w:t>Costs</w:t>
            </w:r>
            <w:r w:rsidR="003F2C28">
              <w:rPr>
                <w:iCs/>
                <w:szCs w:val="20"/>
              </w:rPr>
              <w:t xml:space="preserve"> ($)</w:t>
            </w:r>
          </w:p>
        </w:tc>
        <w:tc>
          <w:tcPr>
            <w:tcW w:w="1141" w:type="pct"/>
            <w:shd w:val="solid" w:color="000000" w:fill="000000"/>
            <w:vAlign w:val="bottom"/>
          </w:tcPr>
          <w:p w14:paraId="21B9AED2" w14:textId="4FC4E47A" w:rsidR="00C21FCA" w:rsidRPr="00B6635B" w:rsidRDefault="00B6635B" w:rsidP="00AE14F4">
            <w:pPr>
              <w:pStyle w:val="TableText"/>
              <w:jc w:val="center"/>
              <w:rPr>
                <w:iCs/>
                <w:szCs w:val="20"/>
              </w:rPr>
            </w:pPr>
            <w:r w:rsidRPr="00B6635B">
              <w:rPr>
                <w:iCs/>
                <w:color w:val="000000"/>
                <w:szCs w:val="20"/>
                <w14:textFill>
                  <w14:solidFill>
                    <w14:srgbClr w14:val="000000">
                      <w14:alpha w14:val="100000"/>
                    </w14:srgbClr>
                  </w14:solidFill>
                </w14:textFill>
              </w:rPr>
              <w:t>|</w:t>
            </w:r>
          </w:p>
        </w:tc>
        <w:tc>
          <w:tcPr>
            <w:tcW w:w="1181" w:type="pct"/>
            <w:gridSpan w:val="3"/>
            <w:vAlign w:val="bottom"/>
          </w:tcPr>
          <w:p w14:paraId="6B746895" w14:textId="77777777" w:rsidR="00C21FCA" w:rsidRPr="001D1DDE" w:rsidRDefault="00C21FCA" w:rsidP="00AE14F4">
            <w:pPr>
              <w:pStyle w:val="TableText"/>
              <w:jc w:val="center"/>
              <w:rPr>
                <w:iCs/>
                <w:szCs w:val="20"/>
              </w:rPr>
            </w:pPr>
            <w:r w:rsidRPr="00EE5627">
              <w:rPr>
                <w:iCs/>
                <w:szCs w:val="20"/>
              </w:rPr>
              <w:t>$8,711</w:t>
            </w:r>
          </w:p>
        </w:tc>
        <w:tc>
          <w:tcPr>
            <w:tcW w:w="1150" w:type="pct"/>
            <w:shd w:val="solid" w:color="000000" w:fill="000000"/>
            <w:vAlign w:val="bottom"/>
          </w:tcPr>
          <w:p w14:paraId="6BDD021B" w14:textId="280C6885" w:rsidR="00C21FCA" w:rsidRPr="00B6635B" w:rsidRDefault="00B6635B" w:rsidP="00AE14F4">
            <w:pPr>
              <w:pStyle w:val="TableText"/>
              <w:jc w:val="center"/>
              <w:rPr>
                <w:iCs/>
                <w:szCs w:val="20"/>
              </w:rPr>
            </w:pPr>
            <w:r w:rsidRPr="00B6635B">
              <w:rPr>
                <w:iCs/>
                <w:color w:val="000000"/>
                <w:szCs w:val="20"/>
                <w14:textFill>
                  <w14:solidFill>
                    <w14:srgbClr w14:val="000000">
                      <w14:alpha w14:val="100000"/>
                    </w14:srgbClr>
                  </w14:solidFill>
                </w14:textFill>
              </w:rPr>
              <w:t>|</w:t>
            </w:r>
          </w:p>
        </w:tc>
      </w:tr>
      <w:tr w:rsidR="00C21FCA" w:rsidRPr="001D1DDE" w14:paraId="584420A2" w14:textId="77777777" w:rsidTr="00AE14F4">
        <w:tc>
          <w:tcPr>
            <w:tcW w:w="1528" w:type="pct"/>
            <w:vAlign w:val="center"/>
          </w:tcPr>
          <w:p w14:paraId="4C83A6D3" w14:textId="77777777" w:rsidR="00C21FCA" w:rsidRPr="001D1DDE" w:rsidRDefault="00C21FCA" w:rsidP="00AE14F4">
            <w:pPr>
              <w:pStyle w:val="TableText"/>
              <w:rPr>
                <w:iCs/>
                <w:szCs w:val="20"/>
              </w:rPr>
            </w:pPr>
            <w:r w:rsidRPr="001D1DDE">
              <w:rPr>
                <w:iCs/>
                <w:szCs w:val="20"/>
              </w:rPr>
              <w:t>Life years</w:t>
            </w:r>
          </w:p>
        </w:tc>
        <w:tc>
          <w:tcPr>
            <w:tcW w:w="1141" w:type="pct"/>
            <w:vAlign w:val="center"/>
          </w:tcPr>
          <w:p w14:paraId="71A3D40D" w14:textId="77777777" w:rsidR="00C21FCA" w:rsidRPr="009848FD" w:rsidRDefault="00C21FCA" w:rsidP="00AE14F4">
            <w:pPr>
              <w:pStyle w:val="TableText"/>
              <w:jc w:val="center"/>
              <w:rPr>
                <w:iCs/>
                <w:szCs w:val="20"/>
              </w:rPr>
            </w:pPr>
            <w:r w:rsidRPr="009848FD">
              <w:rPr>
                <w:iCs/>
                <w:szCs w:val="20"/>
              </w:rPr>
              <w:t>6.1064</w:t>
            </w:r>
          </w:p>
        </w:tc>
        <w:tc>
          <w:tcPr>
            <w:tcW w:w="1181" w:type="pct"/>
            <w:gridSpan w:val="3"/>
            <w:vAlign w:val="center"/>
          </w:tcPr>
          <w:p w14:paraId="350AEA0A" w14:textId="77777777" w:rsidR="00C21FCA" w:rsidRPr="00AC5A0D" w:rsidRDefault="00C21FCA" w:rsidP="00AE14F4">
            <w:pPr>
              <w:pStyle w:val="TableText"/>
              <w:jc w:val="center"/>
              <w:rPr>
                <w:iCs/>
                <w:szCs w:val="20"/>
              </w:rPr>
            </w:pPr>
            <w:r w:rsidRPr="00AC5A0D">
              <w:rPr>
                <w:iCs/>
                <w:szCs w:val="20"/>
              </w:rPr>
              <w:t>6.0392</w:t>
            </w:r>
          </w:p>
        </w:tc>
        <w:tc>
          <w:tcPr>
            <w:tcW w:w="1150" w:type="pct"/>
            <w:vAlign w:val="center"/>
          </w:tcPr>
          <w:p w14:paraId="7EC14A16" w14:textId="77777777" w:rsidR="00C21FCA" w:rsidRPr="00AC5A0D" w:rsidRDefault="00C21FCA" w:rsidP="00AE14F4">
            <w:pPr>
              <w:keepNext/>
              <w:jc w:val="center"/>
              <w:rPr>
                <w:rFonts w:ascii="Arial Narrow" w:eastAsiaTheme="majorEastAsia" w:hAnsi="Arial Narrow" w:cstheme="majorBidi"/>
                <w:bCs/>
                <w:iCs/>
                <w:sz w:val="20"/>
                <w:szCs w:val="20"/>
              </w:rPr>
            </w:pPr>
            <w:r w:rsidRPr="00AC5A0D">
              <w:rPr>
                <w:rFonts w:ascii="Arial Narrow" w:eastAsiaTheme="majorEastAsia" w:hAnsi="Arial Narrow" w:cstheme="majorBidi"/>
                <w:bCs/>
                <w:iCs/>
                <w:sz w:val="20"/>
                <w:szCs w:val="20"/>
              </w:rPr>
              <w:t>0.0672</w:t>
            </w:r>
          </w:p>
        </w:tc>
      </w:tr>
      <w:tr w:rsidR="00C21FCA" w:rsidRPr="001D1DDE" w14:paraId="466751A8" w14:textId="77777777" w:rsidTr="00AE14F4">
        <w:tc>
          <w:tcPr>
            <w:tcW w:w="3850" w:type="pct"/>
            <w:gridSpan w:val="5"/>
            <w:vAlign w:val="center"/>
          </w:tcPr>
          <w:p w14:paraId="48A4BD65" w14:textId="77777777" w:rsidR="00C21FCA" w:rsidRPr="001D1DDE" w:rsidRDefault="00C21FCA" w:rsidP="00AE14F4">
            <w:pPr>
              <w:pStyle w:val="TableText"/>
              <w:rPr>
                <w:iCs/>
                <w:szCs w:val="20"/>
              </w:rPr>
            </w:pPr>
            <w:r w:rsidRPr="001D1DDE">
              <w:rPr>
                <w:iCs/>
                <w:szCs w:val="20"/>
              </w:rPr>
              <w:t>Incremental cost per life year gained</w:t>
            </w:r>
          </w:p>
        </w:tc>
        <w:tc>
          <w:tcPr>
            <w:tcW w:w="1150" w:type="pct"/>
            <w:vAlign w:val="center"/>
          </w:tcPr>
          <w:p w14:paraId="73029DA9" w14:textId="3C3072BA" w:rsidR="00C21FCA" w:rsidRPr="001D1DDE" w:rsidRDefault="00C21FCA" w:rsidP="00AE14F4">
            <w:pPr>
              <w:pStyle w:val="TableText"/>
              <w:jc w:val="center"/>
              <w:rPr>
                <w:iCs/>
                <w:szCs w:val="20"/>
              </w:rPr>
            </w:pPr>
            <w:r w:rsidRPr="001D1DDE">
              <w:rPr>
                <w:iCs/>
                <w:szCs w:val="20"/>
              </w:rPr>
              <w:t>$</w:t>
            </w:r>
            <w:r w:rsidR="00B6635B" w:rsidRPr="00B6635B">
              <w:rPr>
                <w:iCs/>
                <w:color w:val="000000"/>
                <w:szCs w:val="20"/>
                <w:shd w:val="solid" w:color="000000" w:fill="000000"/>
                <w14:textFill>
                  <w14:solidFill>
                    <w14:srgbClr w14:val="000000">
                      <w14:alpha w14:val="100000"/>
                    </w14:srgbClr>
                  </w14:solidFill>
                </w14:textFill>
              </w:rPr>
              <w:t>|</w:t>
            </w:r>
            <w:r w:rsidR="001D1DDE" w:rsidRPr="001D1DDE">
              <w:rPr>
                <w:szCs w:val="20"/>
                <w:vertAlign w:val="superscript"/>
              </w:rPr>
              <w:t>2</w:t>
            </w:r>
          </w:p>
        </w:tc>
      </w:tr>
      <w:tr w:rsidR="00C21FCA" w:rsidRPr="001D1DDE" w14:paraId="1B5AB1D7" w14:textId="77777777" w:rsidTr="00AE14F4">
        <w:trPr>
          <w:trHeight w:val="70"/>
        </w:trPr>
        <w:tc>
          <w:tcPr>
            <w:tcW w:w="5000" w:type="pct"/>
            <w:gridSpan w:val="6"/>
            <w:vAlign w:val="center"/>
          </w:tcPr>
          <w:p w14:paraId="04B47E37" w14:textId="77777777" w:rsidR="00C21FCA" w:rsidRPr="001D1DDE" w:rsidRDefault="00C21FCA" w:rsidP="00AE14F4">
            <w:pPr>
              <w:pStyle w:val="TableText"/>
              <w:rPr>
                <w:b/>
                <w:bCs w:val="0"/>
                <w:iCs/>
                <w:szCs w:val="20"/>
              </w:rPr>
            </w:pPr>
            <w:r w:rsidRPr="001D1DDE">
              <w:rPr>
                <w:b/>
                <w:bCs w:val="0"/>
                <w:iCs/>
                <w:szCs w:val="20"/>
              </w:rPr>
              <w:t>Step 3b: heart failure hospitalisation costs included</w:t>
            </w:r>
          </w:p>
        </w:tc>
      </w:tr>
      <w:tr w:rsidR="00C21FCA" w:rsidRPr="001D1DDE" w14:paraId="015B5A87" w14:textId="77777777" w:rsidTr="00B6635B">
        <w:tc>
          <w:tcPr>
            <w:tcW w:w="1528" w:type="pct"/>
            <w:vAlign w:val="center"/>
          </w:tcPr>
          <w:p w14:paraId="01653EE1" w14:textId="3D99D268" w:rsidR="00C21FCA" w:rsidRPr="001D1DDE" w:rsidRDefault="00C21FCA" w:rsidP="00AE14F4">
            <w:pPr>
              <w:pStyle w:val="TableText"/>
              <w:rPr>
                <w:iCs/>
                <w:szCs w:val="20"/>
              </w:rPr>
            </w:pPr>
            <w:r w:rsidRPr="001D1DDE">
              <w:rPr>
                <w:iCs/>
                <w:szCs w:val="20"/>
              </w:rPr>
              <w:t>Costs</w:t>
            </w:r>
            <w:r w:rsidR="003F2C28">
              <w:rPr>
                <w:iCs/>
                <w:szCs w:val="20"/>
              </w:rPr>
              <w:t xml:space="preserve"> ($)</w:t>
            </w:r>
          </w:p>
        </w:tc>
        <w:tc>
          <w:tcPr>
            <w:tcW w:w="1141" w:type="pct"/>
            <w:shd w:val="solid" w:color="000000" w:fill="000000"/>
            <w:vAlign w:val="bottom"/>
          </w:tcPr>
          <w:p w14:paraId="2429F2F0" w14:textId="54C813A6" w:rsidR="00C21FCA" w:rsidRPr="00B6635B" w:rsidRDefault="00B6635B" w:rsidP="00AE14F4">
            <w:pPr>
              <w:pStyle w:val="TableText"/>
              <w:jc w:val="center"/>
              <w:rPr>
                <w:iCs/>
                <w:szCs w:val="20"/>
              </w:rPr>
            </w:pPr>
            <w:r w:rsidRPr="00B6635B">
              <w:rPr>
                <w:iCs/>
                <w:color w:val="000000"/>
                <w:szCs w:val="20"/>
                <w14:textFill>
                  <w14:solidFill>
                    <w14:srgbClr w14:val="000000">
                      <w14:alpha w14:val="100000"/>
                    </w14:srgbClr>
                  </w14:solidFill>
                </w14:textFill>
              </w:rPr>
              <w:t>|</w:t>
            </w:r>
          </w:p>
        </w:tc>
        <w:tc>
          <w:tcPr>
            <w:tcW w:w="1181" w:type="pct"/>
            <w:gridSpan w:val="3"/>
            <w:vAlign w:val="bottom"/>
          </w:tcPr>
          <w:p w14:paraId="7859B9AD" w14:textId="77777777" w:rsidR="00C21FCA" w:rsidRPr="001D1DDE" w:rsidRDefault="00C21FCA" w:rsidP="00AE14F4">
            <w:pPr>
              <w:pStyle w:val="TableText"/>
              <w:jc w:val="center"/>
              <w:rPr>
                <w:iCs/>
                <w:szCs w:val="20"/>
              </w:rPr>
            </w:pPr>
            <w:r w:rsidRPr="00EE5627">
              <w:rPr>
                <w:iCs/>
                <w:szCs w:val="20"/>
              </w:rPr>
              <w:t>$13,100</w:t>
            </w:r>
          </w:p>
        </w:tc>
        <w:tc>
          <w:tcPr>
            <w:tcW w:w="1150" w:type="pct"/>
            <w:shd w:val="solid" w:color="000000" w:fill="000000"/>
            <w:vAlign w:val="bottom"/>
          </w:tcPr>
          <w:p w14:paraId="25351B0C" w14:textId="1DB29604" w:rsidR="00C21FCA" w:rsidRPr="00B6635B" w:rsidRDefault="00B6635B" w:rsidP="00AE14F4">
            <w:pPr>
              <w:pStyle w:val="TableText"/>
              <w:jc w:val="center"/>
              <w:rPr>
                <w:iCs/>
                <w:szCs w:val="20"/>
              </w:rPr>
            </w:pPr>
            <w:r w:rsidRPr="00B6635B">
              <w:rPr>
                <w:iCs/>
                <w:color w:val="000000"/>
                <w:szCs w:val="20"/>
                <w14:textFill>
                  <w14:solidFill>
                    <w14:srgbClr w14:val="000000">
                      <w14:alpha w14:val="100000"/>
                    </w14:srgbClr>
                  </w14:solidFill>
                </w14:textFill>
              </w:rPr>
              <w:t>|</w:t>
            </w:r>
          </w:p>
        </w:tc>
      </w:tr>
      <w:tr w:rsidR="00C21FCA" w:rsidRPr="001D1DDE" w14:paraId="55C673B5" w14:textId="77777777" w:rsidTr="00AE14F4">
        <w:tc>
          <w:tcPr>
            <w:tcW w:w="1528" w:type="pct"/>
            <w:vAlign w:val="center"/>
          </w:tcPr>
          <w:p w14:paraId="28ACA53E" w14:textId="77777777" w:rsidR="00C21FCA" w:rsidRPr="001D1DDE" w:rsidRDefault="00C21FCA" w:rsidP="00AE14F4">
            <w:pPr>
              <w:pStyle w:val="TableText"/>
              <w:rPr>
                <w:iCs/>
                <w:szCs w:val="20"/>
              </w:rPr>
            </w:pPr>
            <w:r w:rsidRPr="001D1DDE">
              <w:rPr>
                <w:iCs/>
                <w:szCs w:val="20"/>
              </w:rPr>
              <w:t>Life years</w:t>
            </w:r>
          </w:p>
        </w:tc>
        <w:tc>
          <w:tcPr>
            <w:tcW w:w="1141" w:type="pct"/>
            <w:vAlign w:val="center"/>
          </w:tcPr>
          <w:p w14:paraId="024BF7D9" w14:textId="77777777" w:rsidR="00C21FCA" w:rsidRPr="009848FD" w:rsidRDefault="00C21FCA" w:rsidP="00AE14F4">
            <w:pPr>
              <w:pStyle w:val="TableText"/>
              <w:jc w:val="center"/>
              <w:rPr>
                <w:iCs/>
                <w:szCs w:val="20"/>
              </w:rPr>
            </w:pPr>
            <w:r w:rsidRPr="009848FD">
              <w:rPr>
                <w:iCs/>
                <w:szCs w:val="20"/>
              </w:rPr>
              <w:t>6.1064</w:t>
            </w:r>
          </w:p>
        </w:tc>
        <w:tc>
          <w:tcPr>
            <w:tcW w:w="1181" w:type="pct"/>
            <w:gridSpan w:val="3"/>
            <w:vAlign w:val="center"/>
          </w:tcPr>
          <w:p w14:paraId="376FE0EA" w14:textId="77777777" w:rsidR="00C21FCA" w:rsidRPr="00AC5A0D" w:rsidRDefault="00C21FCA" w:rsidP="00AE14F4">
            <w:pPr>
              <w:pStyle w:val="TableText"/>
              <w:jc w:val="center"/>
              <w:rPr>
                <w:iCs/>
                <w:szCs w:val="20"/>
              </w:rPr>
            </w:pPr>
            <w:r w:rsidRPr="00AC5A0D">
              <w:rPr>
                <w:iCs/>
                <w:szCs w:val="20"/>
              </w:rPr>
              <w:t>6.0392</w:t>
            </w:r>
          </w:p>
        </w:tc>
        <w:tc>
          <w:tcPr>
            <w:tcW w:w="1150" w:type="pct"/>
            <w:vAlign w:val="center"/>
          </w:tcPr>
          <w:p w14:paraId="5A143F1F" w14:textId="77777777" w:rsidR="00C21FCA" w:rsidRPr="00AC5A0D" w:rsidRDefault="00C21FCA" w:rsidP="00AE14F4">
            <w:pPr>
              <w:pStyle w:val="TableText"/>
              <w:jc w:val="center"/>
              <w:rPr>
                <w:iCs/>
                <w:szCs w:val="20"/>
              </w:rPr>
            </w:pPr>
            <w:r w:rsidRPr="00AC5A0D">
              <w:rPr>
                <w:iCs/>
                <w:szCs w:val="20"/>
              </w:rPr>
              <w:t>0.0672</w:t>
            </w:r>
          </w:p>
        </w:tc>
      </w:tr>
      <w:tr w:rsidR="00C21FCA" w:rsidRPr="001D1DDE" w14:paraId="1A2D15C3" w14:textId="77777777" w:rsidTr="00AE14F4">
        <w:tc>
          <w:tcPr>
            <w:tcW w:w="3850" w:type="pct"/>
            <w:gridSpan w:val="5"/>
            <w:vAlign w:val="center"/>
          </w:tcPr>
          <w:p w14:paraId="3951D2BA" w14:textId="77777777" w:rsidR="00C21FCA" w:rsidRPr="001D1DDE" w:rsidRDefault="00C21FCA" w:rsidP="00AE14F4">
            <w:pPr>
              <w:pStyle w:val="TableText"/>
              <w:rPr>
                <w:iCs/>
                <w:szCs w:val="20"/>
              </w:rPr>
            </w:pPr>
            <w:r w:rsidRPr="001D1DDE">
              <w:rPr>
                <w:iCs/>
                <w:szCs w:val="20"/>
              </w:rPr>
              <w:t>Incremental cost per life year gained</w:t>
            </w:r>
          </w:p>
        </w:tc>
        <w:tc>
          <w:tcPr>
            <w:tcW w:w="1150" w:type="pct"/>
            <w:vAlign w:val="center"/>
          </w:tcPr>
          <w:p w14:paraId="130DF999" w14:textId="3A399635" w:rsidR="00C21FCA" w:rsidRPr="00B6635B" w:rsidRDefault="00C21FCA" w:rsidP="00AE14F4">
            <w:pPr>
              <w:pStyle w:val="TableText"/>
              <w:jc w:val="center"/>
              <w:rPr>
                <w:rFonts w:cs="Calibri"/>
                <w:color w:val="000000"/>
                <w:szCs w:val="20"/>
              </w:rPr>
            </w:pPr>
            <w:r w:rsidRPr="001D1DDE">
              <w:rPr>
                <w:iCs/>
                <w:szCs w:val="20"/>
              </w:rPr>
              <w:t>$</w:t>
            </w:r>
            <w:r w:rsidR="00B6635B" w:rsidRPr="00B6635B">
              <w:rPr>
                <w:iCs/>
                <w:color w:val="000000"/>
                <w:szCs w:val="20"/>
                <w:shd w:val="solid" w:color="000000" w:fill="000000"/>
                <w14:textFill>
                  <w14:solidFill>
                    <w14:srgbClr w14:val="000000">
                      <w14:alpha w14:val="100000"/>
                    </w14:srgbClr>
                  </w14:solidFill>
                </w14:textFill>
              </w:rPr>
              <w:t>|</w:t>
            </w:r>
            <w:r w:rsidR="001D1DDE" w:rsidRPr="001D1DDE">
              <w:rPr>
                <w:szCs w:val="20"/>
                <w:vertAlign w:val="superscript"/>
              </w:rPr>
              <w:t>3</w:t>
            </w:r>
          </w:p>
        </w:tc>
      </w:tr>
      <w:tr w:rsidR="00C21FCA" w:rsidRPr="001D1DDE" w14:paraId="339B4A17" w14:textId="77777777" w:rsidTr="00AE14F4">
        <w:tc>
          <w:tcPr>
            <w:tcW w:w="5000" w:type="pct"/>
            <w:gridSpan w:val="6"/>
            <w:vAlign w:val="center"/>
          </w:tcPr>
          <w:p w14:paraId="4EA88FA3" w14:textId="77777777" w:rsidR="00C21FCA" w:rsidRPr="001D1DDE" w:rsidRDefault="00C21FCA" w:rsidP="00AE14F4">
            <w:pPr>
              <w:pStyle w:val="TableText"/>
              <w:rPr>
                <w:iCs/>
                <w:szCs w:val="20"/>
              </w:rPr>
            </w:pPr>
            <w:r w:rsidRPr="001D1DDE">
              <w:rPr>
                <w:b/>
                <w:bCs w:val="0"/>
                <w:iCs/>
                <w:szCs w:val="20"/>
              </w:rPr>
              <w:t>Step 3c: CV death costs included</w:t>
            </w:r>
          </w:p>
        </w:tc>
      </w:tr>
      <w:tr w:rsidR="00C21FCA" w:rsidRPr="001D1DDE" w14:paraId="2BB2E9F2" w14:textId="77777777" w:rsidTr="00B6635B">
        <w:tc>
          <w:tcPr>
            <w:tcW w:w="1528" w:type="pct"/>
            <w:vAlign w:val="center"/>
          </w:tcPr>
          <w:p w14:paraId="67762114" w14:textId="7AF5A2AC" w:rsidR="00C21FCA" w:rsidRPr="001D1DDE" w:rsidRDefault="00C21FCA" w:rsidP="00AE14F4">
            <w:pPr>
              <w:pStyle w:val="TableText"/>
              <w:rPr>
                <w:iCs/>
                <w:szCs w:val="20"/>
              </w:rPr>
            </w:pPr>
            <w:r w:rsidRPr="001D1DDE">
              <w:rPr>
                <w:iCs/>
                <w:szCs w:val="20"/>
              </w:rPr>
              <w:t>Costs</w:t>
            </w:r>
            <w:r w:rsidR="003F2C28">
              <w:rPr>
                <w:iCs/>
                <w:szCs w:val="20"/>
              </w:rPr>
              <w:t xml:space="preserve"> ($)</w:t>
            </w:r>
          </w:p>
        </w:tc>
        <w:tc>
          <w:tcPr>
            <w:tcW w:w="1141" w:type="pct"/>
            <w:shd w:val="solid" w:color="000000" w:fill="000000"/>
            <w:vAlign w:val="bottom"/>
          </w:tcPr>
          <w:p w14:paraId="39DFFC78" w14:textId="5D0E63A4" w:rsidR="00C21FCA" w:rsidRPr="00B6635B" w:rsidRDefault="00B6635B" w:rsidP="00AE14F4">
            <w:pPr>
              <w:pStyle w:val="TableText"/>
              <w:jc w:val="center"/>
              <w:rPr>
                <w:iCs/>
                <w:szCs w:val="20"/>
              </w:rPr>
            </w:pPr>
            <w:r w:rsidRPr="00B6635B">
              <w:rPr>
                <w:iCs/>
                <w:color w:val="000000"/>
                <w:szCs w:val="20"/>
                <w14:textFill>
                  <w14:solidFill>
                    <w14:srgbClr w14:val="000000">
                      <w14:alpha w14:val="100000"/>
                    </w14:srgbClr>
                  </w14:solidFill>
                </w14:textFill>
              </w:rPr>
              <w:t>|</w:t>
            </w:r>
          </w:p>
        </w:tc>
        <w:tc>
          <w:tcPr>
            <w:tcW w:w="1181" w:type="pct"/>
            <w:gridSpan w:val="3"/>
            <w:vAlign w:val="bottom"/>
          </w:tcPr>
          <w:p w14:paraId="60E55944" w14:textId="77777777" w:rsidR="00C21FCA" w:rsidRPr="001D1DDE" w:rsidRDefault="00C21FCA" w:rsidP="00AE14F4">
            <w:pPr>
              <w:pStyle w:val="TableText"/>
              <w:jc w:val="center"/>
              <w:rPr>
                <w:iCs/>
                <w:szCs w:val="20"/>
              </w:rPr>
            </w:pPr>
            <w:r w:rsidRPr="00EE5627">
              <w:rPr>
                <w:iCs/>
                <w:szCs w:val="20"/>
              </w:rPr>
              <w:t>$16,066</w:t>
            </w:r>
          </w:p>
        </w:tc>
        <w:tc>
          <w:tcPr>
            <w:tcW w:w="1150" w:type="pct"/>
            <w:shd w:val="solid" w:color="000000" w:fill="000000"/>
            <w:vAlign w:val="bottom"/>
          </w:tcPr>
          <w:p w14:paraId="599E5F17" w14:textId="7C0B33CF" w:rsidR="00C21FCA" w:rsidRPr="00B6635B" w:rsidRDefault="00B6635B" w:rsidP="00AE14F4">
            <w:pPr>
              <w:pStyle w:val="TableText"/>
              <w:jc w:val="center"/>
              <w:rPr>
                <w:iCs/>
                <w:szCs w:val="20"/>
              </w:rPr>
            </w:pPr>
            <w:r w:rsidRPr="00B6635B">
              <w:rPr>
                <w:iCs/>
                <w:color w:val="000000"/>
                <w:szCs w:val="20"/>
                <w14:textFill>
                  <w14:solidFill>
                    <w14:srgbClr w14:val="000000">
                      <w14:alpha w14:val="100000"/>
                    </w14:srgbClr>
                  </w14:solidFill>
                </w14:textFill>
              </w:rPr>
              <w:t>|</w:t>
            </w:r>
          </w:p>
        </w:tc>
      </w:tr>
      <w:tr w:rsidR="00C21FCA" w:rsidRPr="001D1DDE" w14:paraId="1EA5D766" w14:textId="77777777" w:rsidTr="00AE14F4">
        <w:tc>
          <w:tcPr>
            <w:tcW w:w="1528" w:type="pct"/>
            <w:vAlign w:val="center"/>
          </w:tcPr>
          <w:p w14:paraId="09C5B4AC" w14:textId="77777777" w:rsidR="00C21FCA" w:rsidRPr="001D1DDE" w:rsidRDefault="00C21FCA" w:rsidP="00AE14F4">
            <w:pPr>
              <w:pStyle w:val="TableText"/>
              <w:rPr>
                <w:iCs/>
                <w:szCs w:val="20"/>
              </w:rPr>
            </w:pPr>
            <w:r w:rsidRPr="001D1DDE">
              <w:rPr>
                <w:iCs/>
                <w:szCs w:val="20"/>
              </w:rPr>
              <w:t>Life years</w:t>
            </w:r>
          </w:p>
        </w:tc>
        <w:tc>
          <w:tcPr>
            <w:tcW w:w="1141" w:type="pct"/>
            <w:vAlign w:val="center"/>
          </w:tcPr>
          <w:p w14:paraId="00B0D01A" w14:textId="77777777" w:rsidR="00C21FCA" w:rsidRPr="009848FD" w:rsidRDefault="00C21FCA" w:rsidP="00AE14F4">
            <w:pPr>
              <w:pStyle w:val="TableText"/>
              <w:jc w:val="center"/>
              <w:rPr>
                <w:iCs/>
                <w:szCs w:val="20"/>
              </w:rPr>
            </w:pPr>
            <w:r w:rsidRPr="009848FD">
              <w:rPr>
                <w:iCs/>
                <w:szCs w:val="20"/>
              </w:rPr>
              <w:t>6.1064</w:t>
            </w:r>
          </w:p>
        </w:tc>
        <w:tc>
          <w:tcPr>
            <w:tcW w:w="1181" w:type="pct"/>
            <w:gridSpan w:val="3"/>
            <w:vAlign w:val="center"/>
          </w:tcPr>
          <w:p w14:paraId="1A2C2FF8" w14:textId="77777777" w:rsidR="00C21FCA" w:rsidRPr="00AC5A0D" w:rsidRDefault="00C21FCA" w:rsidP="00AE14F4">
            <w:pPr>
              <w:pStyle w:val="TableText"/>
              <w:jc w:val="center"/>
              <w:rPr>
                <w:iCs/>
                <w:szCs w:val="20"/>
              </w:rPr>
            </w:pPr>
            <w:r w:rsidRPr="00AC5A0D">
              <w:rPr>
                <w:iCs/>
                <w:szCs w:val="20"/>
              </w:rPr>
              <w:t>6.0392</w:t>
            </w:r>
          </w:p>
        </w:tc>
        <w:tc>
          <w:tcPr>
            <w:tcW w:w="1150" w:type="pct"/>
            <w:vAlign w:val="center"/>
          </w:tcPr>
          <w:p w14:paraId="2C38EB41" w14:textId="77777777" w:rsidR="00C21FCA" w:rsidRPr="00AC5A0D" w:rsidRDefault="00C21FCA" w:rsidP="00AE14F4">
            <w:pPr>
              <w:pStyle w:val="TableText"/>
              <w:jc w:val="center"/>
              <w:rPr>
                <w:iCs/>
                <w:szCs w:val="20"/>
              </w:rPr>
            </w:pPr>
            <w:r w:rsidRPr="00AC5A0D">
              <w:rPr>
                <w:iCs/>
                <w:szCs w:val="20"/>
              </w:rPr>
              <w:t>0.0672</w:t>
            </w:r>
          </w:p>
        </w:tc>
      </w:tr>
      <w:tr w:rsidR="00C21FCA" w:rsidRPr="001D1DDE" w14:paraId="1281CFDC" w14:textId="77777777" w:rsidTr="00AE14F4">
        <w:tc>
          <w:tcPr>
            <w:tcW w:w="3850" w:type="pct"/>
            <w:gridSpan w:val="5"/>
            <w:vAlign w:val="center"/>
          </w:tcPr>
          <w:p w14:paraId="5B45176B" w14:textId="77777777" w:rsidR="00C21FCA" w:rsidRPr="001D1DDE" w:rsidRDefault="00C21FCA" w:rsidP="00AE14F4">
            <w:pPr>
              <w:pStyle w:val="TableText"/>
              <w:rPr>
                <w:iCs/>
                <w:szCs w:val="20"/>
              </w:rPr>
            </w:pPr>
            <w:r w:rsidRPr="001D1DDE">
              <w:rPr>
                <w:iCs/>
                <w:szCs w:val="20"/>
              </w:rPr>
              <w:t>Incremental cost per life year gained</w:t>
            </w:r>
          </w:p>
        </w:tc>
        <w:tc>
          <w:tcPr>
            <w:tcW w:w="1150" w:type="pct"/>
            <w:vAlign w:val="center"/>
          </w:tcPr>
          <w:p w14:paraId="04A03E47" w14:textId="06E66C16" w:rsidR="00C21FCA" w:rsidRPr="00B6635B" w:rsidRDefault="00C21FCA" w:rsidP="00AE14F4">
            <w:pPr>
              <w:pStyle w:val="TableText"/>
              <w:jc w:val="center"/>
              <w:rPr>
                <w:rFonts w:cs="Calibri"/>
                <w:color w:val="000000"/>
                <w:szCs w:val="20"/>
              </w:rPr>
            </w:pPr>
            <w:r w:rsidRPr="001D1DDE">
              <w:rPr>
                <w:iCs/>
                <w:szCs w:val="20"/>
              </w:rPr>
              <w:t>$</w:t>
            </w:r>
            <w:r w:rsidR="00B6635B" w:rsidRPr="00B6635B">
              <w:rPr>
                <w:iCs/>
                <w:color w:val="000000"/>
                <w:szCs w:val="20"/>
                <w:shd w:val="solid" w:color="000000" w:fill="000000"/>
                <w14:textFill>
                  <w14:solidFill>
                    <w14:srgbClr w14:val="000000">
                      <w14:alpha w14:val="100000"/>
                    </w14:srgbClr>
                  </w14:solidFill>
                </w14:textFill>
              </w:rPr>
              <w:t>|</w:t>
            </w:r>
            <w:r w:rsidR="001D1DDE" w:rsidRPr="001D1DDE">
              <w:rPr>
                <w:szCs w:val="20"/>
                <w:vertAlign w:val="superscript"/>
              </w:rPr>
              <w:t>3</w:t>
            </w:r>
          </w:p>
        </w:tc>
      </w:tr>
      <w:tr w:rsidR="00C21FCA" w:rsidRPr="001D1DDE" w14:paraId="12662EA0" w14:textId="77777777" w:rsidTr="00AE14F4">
        <w:tc>
          <w:tcPr>
            <w:tcW w:w="5000" w:type="pct"/>
            <w:gridSpan w:val="6"/>
            <w:vAlign w:val="center"/>
          </w:tcPr>
          <w:p w14:paraId="190FE8E4" w14:textId="77777777" w:rsidR="00C21FCA" w:rsidRPr="001D1DDE" w:rsidRDefault="00C21FCA" w:rsidP="00AE14F4">
            <w:pPr>
              <w:pStyle w:val="TableText"/>
              <w:rPr>
                <w:b/>
                <w:bCs w:val="0"/>
                <w:iCs/>
                <w:szCs w:val="20"/>
              </w:rPr>
            </w:pPr>
            <w:r w:rsidRPr="001D1DDE">
              <w:rPr>
                <w:b/>
                <w:bCs w:val="0"/>
                <w:iCs/>
                <w:szCs w:val="20"/>
              </w:rPr>
              <w:t>Step 3d: adverse event costs included</w:t>
            </w:r>
          </w:p>
        </w:tc>
      </w:tr>
      <w:tr w:rsidR="00C21FCA" w:rsidRPr="001D1DDE" w14:paraId="2569B5D5" w14:textId="77777777" w:rsidTr="00B6635B">
        <w:tc>
          <w:tcPr>
            <w:tcW w:w="1528" w:type="pct"/>
            <w:vAlign w:val="center"/>
          </w:tcPr>
          <w:p w14:paraId="751761A6" w14:textId="35385F73" w:rsidR="00C21FCA" w:rsidRPr="001D1DDE" w:rsidRDefault="00C21FCA" w:rsidP="00AE14F4">
            <w:pPr>
              <w:pStyle w:val="TableText"/>
              <w:rPr>
                <w:szCs w:val="20"/>
              </w:rPr>
            </w:pPr>
            <w:r w:rsidRPr="001D1DDE">
              <w:rPr>
                <w:szCs w:val="20"/>
              </w:rPr>
              <w:t>Costs</w:t>
            </w:r>
            <w:r w:rsidR="003F2C28">
              <w:rPr>
                <w:szCs w:val="20"/>
              </w:rPr>
              <w:t xml:space="preserve"> ($)</w:t>
            </w:r>
          </w:p>
        </w:tc>
        <w:tc>
          <w:tcPr>
            <w:tcW w:w="1141" w:type="pct"/>
            <w:shd w:val="solid" w:color="000000" w:fill="000000"/>
            <w:vAlign w:val="center"/>
          </w:tcPr>
          <w:p w14:paraId="1D0A1FFB" w14:textId="4A6B2C90" w:rsidR="00C21FCA" w:rsidRPr="00B6635B" w:rsidRDefault="00B6635B" w:rsidP="00AE14F4">
            <w:pPr>
              <w:pStyle w:val="TableText"/>
              <w:jc w:val="center"/>
              <w:rPr>
                <w:szCs w:val="20"/>
              </w:rPr>
            </w:pPr>
            <w:r w:rsidRPr="00B6635B">
              <w:rPr>
                <w:color w:val="000000"/>
                <w:szCs w:val="20"/>
                <w14:textFill>
                  <w14:solidFill>
                    <w14:srgbClr w14:val="000000">
                      <w14:alpha w14:val="100000"/>
                    </w14:srgbClr>
                  </w14:solidFill>
                </w14:textFill>
              </w:rPr>
              <w:t>|</w:t>
            </w:r>
          </w:p>
        </w:tc>
        <w:tc>
          <w:tcPr>
            <w:tcW w:w="1181" w:type="pct"/>
            <w:gridSpan w:val="3"/>
            <w:vAlign w:val="center"/>
          </w:tcPr>
          <w:p w14:paraId="2879B1A2" w14:textId="77777777" w:rsidR="00C21FCA" w:rsidRPr="001D1DDE" w:rsidRDefault="00C21FCA" w:rsidP="00AE14F4">
            <w:pPr>
              <w:pStyle w:val="TableText"/>
              <w:jc w:val="center"/>
              <w:rPr>
                <w:szCs w:val="20"/>
              </w:rPr>
            </w:pPr>
            <w:r w:rsidRPr="00EE5627">
              <w:rPr>
                <w:szCs w:val="20"/>
              </w:rPr>
              <w:t>$22,799</w:t>
            </w:r>
          </w:p>
        </w:tc>
        <w:tc>
          <w:tcPr>
            <w:tcW w:w="1150" w:type="pct"/>
            <w:shd w:val="solid" w:color="000000" w:fill="000000"/>
            <w:vAlign w:val="center"/>
          </w:tcPr>
          <w:p w14:paraId="5FA05856" w14:textId="627238C6" w:rsidR="00C21FCA" w:rsidRPr="00B6635B" w:rsidRDefault="00B6635B" w:rsidP="00AE14F4">
            <w:pPr>
              <w:pStyle w:val="TableText"/>
              <w:jc w:val="center"/>
              <w:rPr>
                <w:szCs w:val="20"/>
              </w:rPr>
            </w:pPr>
            <w:r w:rsidRPr="00B6635B">
              <w:rPr>
                <w:color w:val="000000"/>
                <w:szCs w:val="20"/>
                <w14:textFill>
                  <w14:solidFill>
                    <w14:srgbClr w14:val="000000">
                      <w14:alpha w14:val="100000"/>
                    </w14:srgbClr>
                  </w14:solidFill>
                </w14:textFill>
              </w:rPr>
              <w:t>|</w:t>
            </w:r>
          </w:p>
        </w:tc>
      </w:tr>
      <w:tr w:rsidR="00C21FCA" w:rsidRPr="001D1DDE" w14:paraId="5E78A282" w14:textId="77777777" w:rsidTr="00AE14F4">
        <w:tc>
          <w:tcPr>
            <w:tcW w:w="1528" w:type="pct"/>
            <w:vAlign w:val="center"/>
          </w:tcPr>
          <w:p w14:paraId="63717701" w14:textId="77777777" w:rsidR="00C21FCA" w:rsidRPr="001D1DDE" w:rsidRDefault="00C21FCA" w:rsidP="00AE14F4">
            <w:pPr>
              <w:pStyle w:val="TableText"/>
              <w:rPr>
                <w:szCs w:val="20"/>
              </w:rPr>
            </w:pPr>
            <w:r w:rsidRPr="001D1DDE">
              <w:rPr>
                <w:szCs w:val="20"/>
              </w:rPr>
              <w:t>Life years</w:t>
            </w:r>
          </w:p>
        </w:tc>
        <w:tc>
          <w:tcPr>
            <w:tcW w:w="1141" w:type="pct"/>
            <w:vAlign w:val="center"/>
          </w:tcPr>
          <w:p w14:paraId="12EF5E46" w14:textId="77777777" w:rsidR="00C21FCA" w:rsidRPr="009848FD" w:rsidRDefault="00C21FCA" w:rsidP="00AE14F4">
            <w:pPr>
              <w:pStyle w:val="TableText"/>
              <w:jc w:val="center"/>
              <w:rPr>
                <w:szCs w:val="20"/>
              </w:rPr>
            </w:pPr>
            <w:r w:rsidRPr="009848FD">
              <w:rPr>
                <w:szCs w:val="20"/>
              </w:rPr>
              <w:t>6.1064</w:t>
            </w:r>
          </w:p>
        </w:tc>
        <w:tc>
          <w:tcPr>
            <w:tcW w:w="1181" w:type="pct"/>
            <w:gridSpan w:val="3"/>
            <w:vAlign w:val="center"/>
          </w:tcPr>
          <w:p w14:paraId="04004F0B" w14:textId="77777777" w:rsidR="00C21FCA" w:rsidRPr="00AC5A0D" w:rsidRDefault="00C21FCA" w:rsidP="00AE14F4">
            <w:pPr>
              <w:pStyle w:val="TableText"/>
              <w:jc w:val="center"/>
              <w:rPr>
                <w:szCs w:val="20"/>
              </w:rPr>
            </w:pPr>
            <w:r w:rsidRPr="00AC5A0D">
              <w:rPr>
                <w:szCs w:val="20"/>
              </w:rPr>
              <w:t>6.0392</w:t>
            </w:r>
          </w:p>
        </w:tc>
        <w:tc>
          <w:tcPr>
            <w:tcW w:w="1150" w:type="pct"/>
            <w:vAlign w:val="center"/>
          </w:tcPr>
          <w:p w14:paraId="1AE50189" w14:textId="77777777" w:rsidR="00C21FCA" w:rsidRPr="00AC5A0D" w:rsidRDefault="00C21FCA" w:rsidP="00AE14F4">
            <w:pPr>
              <w:pStyle w:val="TableText"/>
              <w:jc w:val="center"/>
              <w:rPr>
                <w:szCs w:val="20"/>
              </w:rPr>
            </w:pPr>
            <w:r w:rsidRPr="00AC5A0D">
              <w:rPr>
                <w:szCs w:val="20"/>
              </w:rPr>
              <w:t>0.0672</w:t>
            </w:r>
          </w:p>
        </w:tc>
      </w:tr>
      <w:tr w:rsidR="00C21FCA" w:rsidRPr="001D1DDE" w14:paraId="193D589D" w14:textId="77777777" w:rsidTr="00AE14F4">
        <w:tc>
          <w:tcPr>
            <w:tcW w:w="3850" w:type="pct"/>
            <w:gridSpan w:val="5"/>
            <w:vAlign w:val="center"/>
          </w:tcPr>
          <w:p w14:paraId="54FF48D7" w14:textId="77777777" w:rsidR="00C21FCA" w:rsidRPr="001D1DDE" w:rsidRDefault="00C21FCA" w:rsidP="00AE14F4">
            <w:pPr>
              <w:pStyle w:val="TableText"/>
              <w:rPr>
                <w:szCs w:val="20"/>
              </w:rPr>
            </w:pPr>
            <w:r w:rsidRPr="001D1DDE">
              <w:rPr>
                <w:szCs w:val="20"/>
              </w:rPr>
              <w:t>Incremental cost per life year gained</w:t>
            </w:r>
          </w:p>
        </w:tc>
        <w:tc>
          <w:tcPr>
            <w:tcW w:w="1150" w:type="pct"/>
            <w:vAlign w:val="center"/>
          </w:tcPr>
          <w:p w14:paraId="609A445C" w14:textId="25063593" w:rsidR="00C21FCA" w:rsidRPr="001D1DDE" w:rsidRDefault="00C21FCA" w:rsidP="00AE14F4">
            <w:pPr>
              <w:pStyle w:val="TableText"/>
              <w:jc w:val="center"/>
              <w:rPr>
                <w:szCs w:val="20"/>
              </w:rPr>
            </w:pPr>
            <w:r w:rsidRPr="001D1DDE">
              <w:rPr>
                <w:szCs w:val="20"/>
              </w:rPr>
              <w:t>$</w:t>
            </w:r>
            <w:r w:rsidR="00B6635B" w:rsidRPr="00B6635B">
              <w:rPr>
                <w:color w:val="000000"/>
                <w:szCs w:val="20"/>
                <w:shd w:val="solid" w:color="000000" w:fill="000000"/>
                <w14:textFill>
                  <w14:solidFill>
                    <w14:srgbClr w14:val="000000">
                      <w14:alpha w14:val="100000"/>
                    </w14:srgbClr>
                  </w14:solidFill>
                </w14:textFill>
              </w:rPr>
              <w:t>|</w:t>
            </w:r>
            <w:r w:rsidR="001D1DDE" w:rsidRPr="001D1DDE">
              <w:rPr>
                <w:szCs w:val="20"/>
                <w:vertAlign w:val="superscript"/>
              </w:rPr>
              <w:t>3</w:t>
            </w:r>
          </w:p>
        </w:tc>
      </w:tr>
      <w:tr w:rsidR="00C21FCA" w:rsidRPr="001D1DDE" w14:paraId="1B5AF984" w14:textId="77777777" w:rsidTr="00AE14F4">
        <w:tc>
          <w:tcPr>
            <w:tcW w:w="5000" w:type="pct"/>
            <w:gridSpan w:val="6"/>
            <w:vAlign w:val="center"/>
          </w:tcPr>
          <w:p w14:paraId="617D34AF" w14:textId="77777777" w:rsidR="00C21FCA" w:rsidRPr="001D1DDE" w:rsidRDefault="00C21FCA" w:rsidP="00AE14F4">
            <w:pPr>
              <w:pStyle w:val="Tableheadingrow"/>
              <w:rPr>
                <w:szCs w:val="20"/>
                <w:lang w:val="en-AU"/>
              </w:rPr>
            </w:pPr>
            <w:r w:rsidRPr="001D1DDE">
              <w:rPr>
                <w:szCs w:val="20"/>
                <w:lang w:val="en-AU"/>
              </w:rPr>
              <w:t>Step 4: Utilities applied to time in health states, disutilities applied for heart failure hospitalisation, adverse events</w:t>
            </w:r>
          </w:p>
        </w:tc>
      </w:tr>
      <w:tr w:rsidR="00C21FCA" w:rsidRPr="001D1DDE" w14:paraId="32B3A60A" w14:textId="77777777" w:rsidTr="00AE14F4">
        <w:tc>
          <w:tcPr>
            <w:tcW w:w="5000" w:type="pct"/>
            <w:gridSpan w:val="6"/>
            <w:vAlign w:val="center"/>
          </w:tcPr>
          <w:p w14:paraId="0C22EB90" w14:textId="77777777" w:rsidR="00C21FCA" w:rsidRPr="001D1DDE" w:rsidRDefault="00C21FCA" w:rsidP="00AE14F4">
            <w:pPr>
              <w:pStyle w:val="TableText"/>
              <w:rPr>
                <w:b/>
                <w:bCs w:val="0"/>
                <w:iCs/>
                <w:szCs w:val="20"/>
              </w:rPr>
            </w:pPr>
            <w:r w:rsidRPr="001D1DDE">
              <w:rPr>
                <w:b/>
                <w:bCs w:val="0"/>
                <w:iCs/>
                <w:szCs w:val="20"/>
              </w:rPr>
              <w:t>Step 4a: utilities applied to time in health states</w:t>
            </w:r>
          </w:p>
        </w:tc>
      </w:tr>
      <w:tr w:rsidR="00C21FCA" w:rsidRPr="001D1DDE" w14:paraId="0F771907" w14:textId="77777777" w:rsidTr="00B6635B">
        <w:tc>
          <w:tcPr>
            <w:tcW w:w="1528" w:type="pct"/>
            <w:vAlign w:val="center"/>
          </w:tcPr>
          <w:p w14:paraId="30F5A659" w14:textId="5AA0EB7F" w:rsidR="00C21FCA" w:rsidRPr="001D1DDE" w:rsidRDefault="00C21FCA" w:rsidP="00AE14F4">
            <w:pPr>
              <w:pStyle w:val="TableText"/>
              <w:rPr>
                <w:iCs/>
                <w:szCs w:val="20"/>
              </w:rPr>
            </w:pPr>
            <w:r w:rsidRPr="001D1DDE">
              <w:rPr>
                <w:iCs/>
                <w:szCs w:val="20"/>
              </w:rPr>
              <w:t>Costs</w:t>
            </w:r>
            <w:r w:rsidR="003F2C28">
              <w:rPr>
                <w:iCs/>
                <w:szCs w:val="20"/>
              </w:rPr>
              <w:t xml:space="preserve"> ($)</w:t>
            </w:r>
          </w:p>
        </w:tc>
        <w:tc>
          <w:tcPr>
            <w:tcW w:w="1141" w:type="pct"/>
            <w:shd w:val="solid" w:color="000000" w:fill="000000"/>
            <w:vAlign w:val="center"/>
          </w:tcPr>
          <w:p w14:paraId="5AFB8091" w14:textId="7A42C630" w:rsidR="00C21FCA" w:rsidRPr="00B6635B" w:rsidRDefault="00B6635B" w:rsidP="00AE14F4">
            <w:pPr>
              <w:pStyle w:val="TableText"/>
              <w:jc w:val="center"/>
              <w:rPr>
                <w:iCs/>
                <w:szCs w:val="20"/>
              </w:rPr>
            </w:pPr>
            <w:r w:rsidRPr="00B6635B">
              <w:rPr>
                <w:iCs/>
                <w:color w:val="000000"/>
                <w:szCs w:val="20"/>
                <w14:textFill>
                  <w14:solidFill>
                    <w14:srgbClr w14:val="000000">
                      <w14:alpha w14:val="100000"/>
                    </w14:srgbClr>
                  </w14:solidFill>
                </w14:textFill>
              </w:rPr>
              <w:t>|</w:t>
            </w:r>
          </w:p>
        </w:tc>
        <w:tc>
          <w:tcPr>
            <w:tcW w:w="1181" w:type="pct"/>
            <w:gridSpan w:val="3"/>
            <w:vAlign w:val="center"/>
          </w:tcPr>
          <w:p w14:paraId="7D802B84" w14:textId="77777777" w:rsidR="00C21FCA" w:rsidRPr="001D1DDE" w:rsidRDefault="00C21FCA" w:rsidP="00AE14F4">
            <w:pPr>
              <w:pStyle w:val="TableText"/>
              <w:jc w:val="center"/>
              <w:rPr>
                <w:iCs/>
                <w:szCs w:val="20"/>
              </w:rPr>
            </w:pPr>
            <w:r w:rsidRPr="00EE5627">
              <w:rPr>
                <w:iCs/>
                <w:szCs w:val="20"/>
              </w:rPr>
              <w:t>$22,799</w:t>
            </w:r>
          </w:p>
        </w:tc>
        <w:tc>
          <w:tcPr>
            <w:tcW w:w="1150" w:type="pct"/>
            <w:shd w:val="solid" w:color="000000" w:fill="000000"/>
            <w:vAlign w:val="center"/>
          </w:tcPr>
          <w:p w14:paraId="391255EC" w14:textId="04CD7E91" w:rsidR="00C21FCA" w:rsidRPr="00B6635B" w:rsidRDefault="00B6635B" w:rsidP="00AE14F4">
            <w:pPr>
              <w:pStyle w:val="TableText"/>
              <w:jc w:val="center"/>
              <w:rPr>
                <w:iCs/>
                <w:szCs w:val="20"/>
              </w:rPr>
            </w:pPr>
            <w:r w:rsidRPr="00B6635B">
              <w:rPr>
                <w:iCs/>
                <w:color w:val="000000"/>
                <w:szCs w:val="20"/>
                <w14:textFill>
                  <w14:solidFill>
                    <w14:srgbClr w14:val="000000">
                      <w14:alpha w14:val="100000"/>
                    </w14:srgbClr>
                  </w14:solidFill>
                </w14:textFill>
              </w:rPr>
              <w:t>|</w:t>
            </w:r>
          </w:p>
        </w:tc>
      </w:tr>
      <w:tr w:rsidR="00C21FCA" w:rsidRPr="001D1DDE" w14:paraId="5DF93A88" w14:textId="77777777" w:rsidTr="00AE14F4">
        <w:tc>
          <w:tcPr>
            <w:tcW w:w="1528" w:type="pct"/>
            <w:vAlign w:val="center"/>
          </w:tcPr>
          <w:p w14:paraId="6707D04C" w14:textId="77777777" w:rsidR="00C21FCA" w:rsidRPr="001D1DDE" w:rsidRDefault="00C21FCA" w:rsidP="00AE14F4">
            <w:pPr>
              <w:pStyle w:val="TableText"/>
              <w:rPr>
                <w:iCs/>
                <w:szCs w:val="20"/>
              </w:rPr>
            </w:pPr>
            <w:r w:rsidRPr="001D1DDE">
              <w:rPr>
                <w:iCs/>
                <w:szCs w:val="20"/>
              </w:rPr>
              <w:t>QALYs</w:t>
            </w:r>
          </w:p>
        </w:tc>
        <w:tc>
          <w:tcPr>
            <w:tcW w:w="1141" w:type="pct"/>
            <w:vAlign w:val="center"/>
          </w:tcPr>
          <w:p w14:paraId="31CEDAA3" w14:textId="77777777" w:rsidR="00C21FCA" w:rsidRPr="009848FD" w:rsidRDefault="00C21FCA" w:rsidP="00AE14F4">
            <w:pPr>
              <w:pStyle w:val="TableText"/>
              <w:jc w:val="center"/>
              <w:rPr>
                <w:iCs/>
                <w:szCs w:val="20"/>
              </w:rPr>
            </w:pPr>
            <w:r w:rsidRPr="009848FD">
              <w:rPr>
                <w:rFonts w:cs="Calibri"/>
                <w:iCs/>
                <w:color w:val="000000"/>
                <w:szCs w:val="20"/>
              </w:rPr>
              <w:t>3.9745</w:t>
            </w:r>
          </w:p>
        </w:tc>
        <w:tc>
          <w:tcPr>
            <w:tcW w:w="1181" w:type="pct"/>
            <w:gridSpan w:val="3"/>
            <w:vAlign w:val="center"/>
          </w:tcPr>
          <w:p w14:paraId="67A66FB0" w14:textId="77777777" w:rsidR="00C21FCA" w:rsidRPr="00AC5A0D" w:rsidRDefault="00C21FCA" w:rsidP="00AE14F4">
            <w:pPr>
              <w:pStyle w:val="TableText"/>
              <w:jc w:val="center"/>
              <w:rPr>
                <w:iCs/>
                <w:szCs w:val="20"/>
              </w:rPr>
            </w:pPr>
            <w:r w:rsidRPr="00AC5A0D">
              <w:rPr>
                <w:rFonts w:cs="Calibri"/>
                <w:iCs/>
                <w:color w:val="000000"/>
                <w:szCs w:val="20"/>
              </w:rPr>
              <w:t>3.9079</w:t>
            </w:r>
          </w:p>
        </w:tc>
        <w:tc>
          <w:tcPr>
            <w:tcW w:w="1150" w:type="pct"/>
            <w:vAlign w:val="center"/>
          </w:tcPr>
          <w:p w14:paraId="77178FEC" w14:textId="77777777" w:rsidR="00C21FCA" w:rsidRPr="00AC5A0D" w:rsidRDefault="00C21FCA" w:rsidP="00AE14F4">
            <w:pPr>
              <w:pStyle w:val="TableText"/>
              <w:jc w:val="center"/>
              <w:rPr>
                <w:iCs/>
                <w:szCs w:val="20"/>
              </w:rPr>
            </w:pPr>
            <w:r w:rsidRPr="00AC5A0D">
              <w:rPr>
                <w:rFonts w:cs="Calibri"/>
                <w:iCs/>
                <w:color w:val="000000"/>
                <w:szCs w:val="20"/>
              </w:rPr>
              <w:t>0.0666</w:t>
            </w:r>
          </w:p>
        </w:tc>
      </w:tr>
      <w:tr w:rsidR="00C21FCA" w:rsidRPr="001D1DDE" w14:paraId="0EF5A3AA" w14:textId="77777777" w:rsidTr="00AE14F4">
        <w:tc>
          <w:tcPr>
            <w:tcW w:w="3850" w:type="pct"/>
            <w:gridSpan w:val="5"/>
            <w:vAlign w:val="center"/>
          </w:tcPr>
          <w:p w14:paraId="3D475F87" w14:textId="77777777" w:rsidR="00C21FCA" w:rsidRPr="001D1DDE" w:rsidRDefault="00C21FCA" w:rsidP="00AE14F4">
            <w:pPr>
              <w:pStyle w:val="TableText"/>
              <w:rPr>
                <w:iCs/>
                <w:szCs w:val="20"/>
              </w:rPr>
            </w:pPr>
            <w:r w:rsidRPr="001D1DDE">
              <w:rPr>
                <w:iCs/>
                <w:szCs w:val="20"/>
              </w:rPr>
              <w:t>Incremental cost per QALY gained</w:t>
            </w:r>
          </w:p>
        </w:tc>
        <w:tc>
          <w:tcPr>
            <w:tcW w:w="1150" w:type="pct"/>
            <w:vAlign w:val="center"/>
          </w:tcPr>
          <w:p w14:paraId="76289C00" w14:textId="65DE6C84" w:rsidR="00C21FCA" w:rsidRPr="001D1DDE" w:rsidRDefault="00C21FCA" w:rsidP="00AE14F4">
            <w:pPr>
              <w:keepNext/>
              <w:jc w:val="center"/>
              <w:rPr>
                <w:rFonts w:ascii="Arial Narrow" w:hAnsi="Arial Narrow" w:cs="Calibri"/>
                <w:iCs/>
                <w:color w:val="000000"/>
                <w:sz w:val="20"/>
                <w:szCs w:val="20"/>
              </w:rPr>
            </w:pPr>
            <w:r w:rsidRPr="001D1DDE">
              <w:rPr>
                <w:rFonts w:ascii="Arial Narrow" w:hAnsi="Arial Narrow" w:cs="Calibri"/>
                <w:iCs/>
                <w:color w:val="000000"/>
                <w:sz w:val="20"/>
                <w:szCs w:val="20"/>
              </w:rPr>
              <w:t>$</w:t>
            </w:r>
            <w:r w:rsidR="00B6635B" w:rsidRPr="00B6635B">
              <w:rPr>
                <w:rFonts w:ascii="Arial Narrow" w:hAnsi="Arial Narrow" w:cs="Calibri"/>
                <w:iCs/>
                <w:color w:val="000000"/>
                <w:sz w:val="20"/>
                <w:szCs w:val="20"/>
                <w:shd w:val="solid" w:color="000000" w:fill="000000"/>
                <w14:textFill>
                  <w14:solidFill>
                    <w14:srgbClr w14:val="000000">
                      <w14:alpha w14:val="100000"/>
                    </w14:srgbClr>
                  </w14:solidFill>
                </w14:textFill>
              </w:rPr>
              <w:t>|</w:t>
            </w:r>
            <w:r w:rsidR="001D1DDE" w:rsidRPr="00B6635B">
              <w:rPr>
                <w:rFonts w:ascii="Arial Narrow" w:hAnsi="Arial Narrow"/>
                <w:sz w:val="20"/>
                <w:szCs w:val="20"/>
                <w:vertAlign w:val="superscript"/>
              </w:rPr>
              <w:t>3</w:t>
            </w:r>
          </w:p>
        </w:tc>
      </w:tr>
      <w:tr w:rsidR="00C21FCA" w:rsidRPr="001D1DDE" w14:paraId="584EDE09" w14:textId="77777777" w:rsidTr="00AE14F4">
        <w:tc>
          <w:tcPr>
            <w:tcW w:w="5000" w:type="pct"/>
            <w:gridSpan w:val="6"/>
            <w:vAlign w:val="center"/>
          </w:tcPr>
          <w:p w14:paraId="00946762" w14:textId="77777777" w:rsidR="00C21FCA" w:rsidRPr="001D1DDE" w:rsidRDefault="00C21FCA" w:rsidP="00AE14F4">
            <w:pPr>
              <w:pStyle w:val="TableText"/>
              <w:rPr>
                <w:b/>
                <w:bCs w:val="0"/>
                <w:iCs/>
                <w:szCs w:val="20"/>
              </w:rPr>
            </w:pPr>
            <w:r w:rsidRPr="001D1DDE">
              <w:rPr>
                <w:b/>
                <w:bCs w:val="0"/>
                <w:iCs/>
                <w:szCs w:val="20"/>
              </w:rPr>
              <w:t>Step 4b: disutility applied for heart failure hospitalisation</w:t>
            </w:r>
          </w:p>
        </w:tc>
      </w:tr>
      <w:tr w:rsidR="00C21FCA" w:rsidRPr="001D1DDE" w14:paraId="58F1079D" w14:textId="77777777" w:rsidTr="00B6635B">
        <w:tc>
          <w:tcPr>
            <w:tcW w:w="1528" w:type="pct"/>
            <w:vAlign w:val="center"/>
          </w:tcPr>
          <w:p w14:paraId="64A8EB64" w14:textId="14A493C0" w:rsidR="00C21FCA" w:rsidRPr="001D1DDE" w:rsidRDefault="00C21FCA" w:rsidP="00AE14F4">
            <w:pPr>
              <w:pStyle w:val="TableText"/>
              <w:rPr>
                <w:iCs/>
                <w:szCs w:val="20"/>
              </w:rPr>
            </w:pPr>
            <w:r w:rsidRPr="001D1DDE">
              <w:rPr>
                <w:iCs/>
                <w:szCs w:val="20"/>
              </w:rPr>
              <w:t>Costs</w:t>
            </w:r>
            <w:r w:rsidR="003F2C28">
              <w:rPr>
                <w:iCs/>
                <w:szCs w:val="20"/>
              </w:rPr>
              <w:t xml:space="preserve"> ($)</w:t>
            </w:r>
          </w:p>
        </w:tc>
        <w:tc>
          <w:tcPr>
            <w:tcW w:w="1141" w:type="pct"/>
            <w:shd w:val="solid" w:color="000000" w:fill="000000"/>
            <w:vAlign w:val="center"/>
          </w:tcPr>
          <w:p w14:paraId="3F5B44C1" w14:textId="0F637FA7" w:rsidR="00C21FCA" w:rsidRPr="00B6635B" w:rsidRDefault="00B6635B" w:rsidP="00AE14F4">
            <w:pPr>
              <w:pStyle w:val="TableText"/>
              <w:jc w:val="center"/>
              <w:rPr>
                <w:rFonts w:cs="Calibri"/>
                <w:iCs/>
                <w:color w:val="000000"/>
                <w:szCs w:val="20"/>
              </w:rPr>
            </w:pPr>
            <w:r w:rsidRPr="00B6635B">
              <w:rPr>
                <w:rFonts w:cs="Calibri"/>
                <w:iCs/>
                <w:color w:val="000000"/>
                <w:szCs w:val="20"/>
                <w14:textFill>
                  <w14:solidFill>
                    <w14:srgbClr w14:val="000000">
                      <w14:alpha w14:val="100000"/>
                    </w14:srgbClr>
                  </w14:solidFill>
                </w14:textFill>
              </w:rPr>
              <w:t>|</w:t>
            </w:r>
          </w:p>
        </w:tc>
        <w:tc>
          <w:tcPr>
            <w:tcW w:w="1181" w:type="pct"/>
            <w:gridSpan w:val="3"/>
            <w:vAlign w:val="center"/>
          </w:tcPr>
          <w:p w14:paraId="2B696965" w14:textId="77777777" w:rsidR="00C21FCA" w:rsidRPr="001D1DDE" w:rsidRDefault="00C21FCA" w:rsidP="00AE14F4">
            <w:pPr>
              <w:pStyle w:val="TableText"/>
              <w:jc w:val="center"/>
              <w:rPr>
                <w:rFonts w:cs="Calibri"/>
                <w:iCs/>
                <w:color w:val="000000"/>
                <w:szCs w:val="20"/>
              </w:rPr>
            </w:pPr>
            <w:r w:rsidRPr="001D1DDE">
              <w:rPr>
                <w:rFonts w:cs="Calibri"/>
                <w:iCs/>
                <w:color w:val="000000"/>
                <w:szCs w:val="20"/>
              </w:rPr>
              <w:t>$</w:t>
            </w:r>
            <w:r w:rsidRPr="00EE5627">
              <w:rPr>
                <w:rFonts w:cs="Calibri"/>
                <w:iCs/>
                <w:color w:val="000000"/>
                <w:szCs w:val="20"/>
              </w:rPr>
              <w:t>22,799</w:t>
            </w:r>
          </w:p>
        </w:tc>
        <w:tc>
          <w:tcPr>
            <w:tcW w:w="1150" w:type="pct"/>
            <w:shd w:val="solid" w:color="000000" w:fill="000000"/>
            <w:vAlign w:val="center"/>
          </w:tcPr>
          <w:p w14:paraId="05FD13E6" w14:textId="34F7D619" w:rsidR="00C21FCA" w:rsidRPr="00B6635B" w:rsidRDefault="00B6635B" w:rsidP="00AE14F4">
            <w:pPr>
              <w:pStyle w:val="TableText"/>
              <w:jc w:val="center"/>
              <w:rPr>
                <w:rFonts w:cs="Calibri"/>
                <w:iCs/>
                <w:color w:val="000000"/>
                <w:szCs w:val="20"/>
              </w:rPr>
            </w:pPr>
            <w:r w:rsidRPr="00B6635B">
              <w:rPr>
                <w:rFonts w:cs="Calibri"/>
                <w:iCs/>
                <w:color w:val="000000"/>
                <w:szCs w:val="20"/>
                <w14:textFill>
                  <w14:solidFill>
                    <w14:srgbClr w14:val="000000">
                      <w14:alpha w14:val="100000"/>
                    </w14:srgbClr>
                  </w14:solidFill>
                </w14:textFill>
              </w:rPr>
              <w:t>|</w:t>
            </w:r>
          </w:p>
        </w:tc>
      </w:tr>
      <w:tr w:rsidR="00C21FCA" w:rsidRPr="001D1DDE" w14:paraId="37B1326B" w14:textId="77777777" w:rsidTr="00AE14F4">
        <w:tc>
          <w:tcPr>
            <w:tcW w:w="1528" w:type="pct"/>
            <w:vAlign w:val="center"/>
          </w:tcPr>
          <w:p w14:paraId="31BE008E" w14:textId="77777777" w:rsidR="00C21FCA" w:rsidRPr="001D1DDE" w:rsidRDefault="00C21FCA" w:rsidP="00AE14F4">
            <w:pPr>
              <w:pStyle w:val="TableText"/>
              <w:rPr>
                <w:iCs/>
                <w:szCs w:val="20"/>
              </w:rPr>
            </w:pPr>
            <w:r w:rsidRPr="001D1DDE">
              <w:rPr>
                <w:iCs/>
                <w:szCs w:val="20"/>
              </w:rPr>
              <w:t>QALYs</w:t>
            </w:r>
          </w:p>
        </w:tc>
        <w:tc>
          <w:tcPr>
            <w:tcW w:w="1141" w:type="pct"/>
            <w:vAlign w:val="center"/>
          </w:tcPr>
          <w:p w14:paraId="61281E5A" w14:textId="77777777" w:rsidR="00C21FCA" w:rsidRPr="009848FD" w:rsidRDefault="00C21FCA" w:rsidP="00AE14F4">
            <w:pPr>
              <w:pStyle w:val="TableText"/>
              <w:jc w:val="center"/>
              <w:rPr>
                <w:iCs/>
                <w:szCs w:val="20"/>
              </w:rPr>
            </w:pPr>
            <w:r w:rsidRPr="009848FD">
              <w:rPr>
                <w:rFonts w:cs="Calibri"/>
                <w:iCs/>
                <w:color w:val="000000"/>
                <w:szCs w:val="20"/>
              </w:rPr>
              <w:t>3.8267</w:t>
            </w:r>
          </w:p>
        </w:tc>
        <w:tc>
          <w:tcPr>
            <w:tcW w:w="1181" w:type="pct"/>
            <w:gridSpan w:val="3"/>
            <w:vAlign w:val="center"/>
          </w:tcPr>
          <w:p w14:paraId="5B214992" w14:textId="77777777" w:rsidR="00C21FCA" w:rsidRPr="00AC5A0D" w:rsidRDefault="00C21FCA" w:rsidP="00AE14F4">
            <w:pPr>
              <w:pStyle w:val="TableText"/>
              <w:jc w:val="center"/>
              <w:rPr>
                <w:iCs/>
                <w:szCs w:val="20"/>
              </w:rPr>
            </w:pPr>
            <w:r w:rsidRPr="00AC5A0D">
              <w:rPr>
                <w:rFonts w:cs="Calibri"/>
                <w:iCs/>
                <w:color w:val="000000"/>
                <w:szCs w:val="20"/>
              </w:rPr>
              <w:t>3.7382</w:t>
            </w:r>
          </w:p>
        </w:tc>
        <w:tc>
          <w:tcPr>
            <w:tcW w:w="1150" w:type="pct"/>
            <w:vAlign w:val="center"/>
          </w:tcPr>
          <w:p w14:paraId="27104EF1" w14:textId="77777777" w:rsidR="00C21FCA" w:rsidRPr="00AC5A0D" w:rsidRDefault="00C21FCA" w:rsidP="00AE14F4">
            <w:pPr>
              <w:pStyle w:val="TableText"/>
              <w:jc w:val="center"/>
              <w:rPr>
                <w:iCs/>
                <w:szCs w:val="20"/>
              </w:rPr>
            </w:pPr>
            <w:r w:rsidRPr="00AC5A0D">
              <w:rPr>
                <w:rFonts w:cs="Calibri"/>
                <w:iCs/>
                <w:color w:val="000000"/>
                <w:szCs w:val="20"/>
              </w:rPr>
              <w:t>0.0885</w:t>
            </w:r>
          </w:p>
        </w:tc>
      </w:tr>
      <w:tr w:rsidR="00C21FCA" w:rsidRPr="001D1DDE" w14:paraId="4735158F" w14:textId="77777777" w:rsidTr="00AE14F4">
        <w:tc>
          <w:tcPr>
            <w:tcW w:w="3850" w:type="pct"/>
            <w:gridSpan w:val="5"/>
            <w:vAlign w:val="center"/>
          </w:tcPr>
          <w:p w14:paraId="23E7F58F" w14:textId="77777777" w:rsidR="00C21FCA" w:rsidRPr="001D1DDE" w:rsidRDefault="00C21FCA" w:rsidP="00AE14F4">
            <w:pPr>
              <w:pStyle w:val="TableText"/>
              <w:rPr>
                <w:iCs/>
                <w:szCs w:val="20"/>
              </w:rPr>
            </w:pPr>
            <w:r w:rsidRPr="001D1DDE">
              <w:rPr>
                <w:iCs/>
                <w:szCs w:val="20"/>
              </w:rPr>
              <w:t>Incremental cost per QALY gained</w:t>
            </w:r>
          </w:p>
        </w:tc>
        <w:tc>
          <w:tcPr>
            <w:tcW w:w="1150" w:type="pct"/>
            <w:vAlign w:val="center"/>
          </w:tcPr>
          <w:p w14:paraId="14C43BC1" w14:textId="50A403F1" w:rsidR="00C21FCA" w:rsidRPr="001D1DDE" w:rsidRDefault="00C21FCA" w:rsidP="00AE14F4">
            <w:pPr>
              <w:keepNext/>
              <w:jc w:val="center"/>
              <w:rPr>
                <w:rFonts w:ascii="Arial Narrow" w:hAnsi="Arial Narrow" w:cs="Calibri"/>
                <w:iCs/>
                <w:color w:val="000000"/>
                <w:sz w:val="20"/>
                <w:szCs w:val="20"/>
              </w:rPr>
            </w:pPr>
            <w:r w:rsidRPr="001D1DDE">
              <w:rPr>
                <w:rFonts w:ascii="Arial Narrow" w:hAnsi="Arial Narrow" w:cs="Calibri"/>
                <w:iCs/>
                <w:color w:val="000000"/>
                <w:sz w:val="20"/>
                <w:szCs w:val="20"/>
              </w:rPr>
              <w:t>$</w:t>
            </w:r>
            <w:r w:rsidR="00B6635B" w:rsidRPr="00B6635B">
              <w:rPr>
                <w:rFonts w:ascii="Arial Narrow" w:hAnsi="Arial Narrow" w:cs="Calibri"/>
                <w:iCs/>
                <w:color w:val="000000"/>
                <w:sz w:val="20"/>
                <w:szCs w:val="20"/>
                <w:shd w:val="solid" w:color="000000" w:fill="000000"/>
                <w14:textFill>
                  <w14:solidFill>
                    <w14:srgbClr w14:val="000000">
                      <w14:alpha w14:val="100000"/>
                    </w14:srgbClr>
                  </w14:solidFill>
                </w14:textFill>
              </w:rPr>
              <w:t>|</w:t>
            </w:r>
            <w:r w:rsidR="001D1DDE" w:rsidRPr="00B6635B">
              <w:rPr>
                <w:rFonts w:ascii="Arial Narrow" w:hAnsi="Arial Narrow"/>
                <w:sz w:val="20"/>
                <w:szCs w:val="20"/>
                <w:vertAlign w:val="superscript"/>
              </w:rPr>
              <w:t>4</w:t>
            </w:r>
          </w:p>
        </w:tc>
      </w:tr>
      <w:tr w:rsidR="00C21FCA" w:rsidRPr="001D1DDE" w14:paraId="4F7FF443" w14:textId="77777777" w:rsidTr="00AE14F4">
        <w:tc>
          <w:tcPr>
            <w:tcW w:w="5000" w:type="pct"/>
            <w:gridSpan w:val="6"/>
            <w:vAlign w:val="center"/>
          </w:tcPr>
          <w:p w14:paraId="5A88DC80" w14:textId="77777777" w:rsidR="00C21FCA" w:rsidRPr="001D1DDE" w:rsidRDefault="00C21FCA" w:rsidP="00AE14F4">
            <w:pPr>
              <w:pStyle w:val="TableText"/>
              <w:rPr>
                <w:b/>
                <w:bCs w:val="0"/>
                <w:iCs/>
                <w:szCs w:val="20"/>
              </w:rPr>
            </w:pPr>
            <w:r w:rsidRPr="001D1DDE">
              <w:rPr>
                <w:b/>
                <w:bCs w:val="0"/>
                <w:iCs/>
                <w:szCs w:val="20"/>
              </w:rPr>
              <w:t>Step 4c: disutilities applied for adverse events</w:t>
            </w:r>
          </w:p>
        </w:tc>
      </w:tr>
      <w:tr w:rsidR="00C21FCA" w:rsidRPr="001D1DDE" w14:paraId="4FFCCAA4" w14:textId="77777777" w:rsidTr="00B6635B">
        <w:tc>
          <w:tcPr>
            <w:tcW w:w="1528" w:type="pct"/>
            <w:vAlign w:val="center"/>
          </w:tcPr>
          <w:p w14:paraId="7ACA9F67" w14:textId="4496D39C" w:rsidR="00C21FCA" w:rsidRPr="001D1DDE" w:rsidRDefault="00C21FCA" w:rsidP="00AE14F4">
            <w:pPr>
              <w:pStyle w:val="TableText"/>
              <w:rPr>
                <w:szCs w:val="20"/>
              </w:rPr>
            </w:pPr>
            <w:r w:rsidRPr="001D1DDE">
              <w:rPr>
                <w:szCs w:val="20"/>
              </w:rPr>
              <w:t>Costs</w:t>
            </w:r>
            <w:r w:rsidR="003F2C28">
              <w:rPr>
                <w:szCs w:val="20"/>
              </w:rPr>
              <w:t xml:space="preserve"> ($)</w:t>
            </w:r>
          </w:p>
        </w:tc>
        <w:tc>
          <w:tcPr>
            <w:tcW w:w="1141" w:type="pct"/>
            <w:shd w:val="solid" w:color="000000" w:fill="000000"/>
            <w:vAlign w:val="center"/>
          </w:tcPr>
          <w:p w14:paraId="4A52364B" w14:textId="09DCEB65" w:rsidR="00C21FCA" w:rsidRPr="00B6635B" w:rsidRDefault="00B6635B" w:rsidP="00AE14F4">
            <w:pPr>
              <w:pStyle w:val="TableText"/>
              <w:jc w:val="center"/>
              <w:rPr>
                <w:szCs w:val="20"/>
              </w:rPr>
            </w:pPr>
            <w:r w:rsidRPr="00B6635B">
              <w:rPr>
                <w:color w:val="000000"/>
                <w:szCs w:val="20"/>
                <w14:textFill>
                  <w14:solidFill>
                    <w14:srgbClr w14:val="000000">
                      <w14:alpha w14:val="100000"/>
                    </w14:srgbClr>
                  </w14:solidFill>
                </w14:textFill>
              </w:rPr>
              <w:t>|</w:t>
            </w:r>
          </w:p>
        </w:tc>
        <w:tc>
          <w:tcPr>
            <w:tcW w:w="1181" w:type="pct"/>
            <w:gridSpan w:val="3"/>
            <w:vAlign w:val="center"/>
          </w:tcPr>
          <w:p w14:paraId="4EF9A919" w14:textId="77777777" w:rsidR="00C21FCA" w:rsidRPr="001D1DDE" w:rsidRDefault="00C21FCA" w:rsidP="00AE14F4">
            <w:pPr>
              <w:pStyle w:val="TableText"/>
              <w:jc w:val="center"/>
              <w:rPr>
                <w:szCs w:val="20"/>
              </w:rPr>
            </w:pPr>
            <w:r w:rsidRPr="00EE5627">
              <w:rPr>
                <w:szCs w:val="20"/>
              </w:rPr>
              <w:t>$22,799</w:t>
            </w:r>
          </w:p>
        </w:tc>
        <w:tc>
          <w:tcPr>
            <w:tcW w:w="1150" w:type="pct"/>
            <w:shd w:val="solid" w:color="000000" w:fill="000000"/>
            <w:vAlign w:val="center"/>
          </w:tcPr>
          <w:p w14:paraId="5AD8F35B" w14:textId="78A63DAB" w:rsidR="00C21FCA" w:rsidRPr="00B6635B" w:rsidRDefault="00B6635B" w:rsidP="00AE14F4">
            <w:pPr>
              <w:pStyle w:val="TableText"/>
              <w:jc w:val="center"/>
              <w:rPr>
                <w:szCs w:val="20"/>
              </w:rPr>
            </w:pPr>
            <w:r w:rsidRPr="00B6635B">
              <w:rPr>
                <w:color w:val="000000"/>
                <w:szCs w:val="20"/>
                <w14:textFill>
                  <w14:solidFill>
                    <w14:srgbClr w14:val="000000">
                      <w14:alpha w14:val="100000"/>
                    </w14:srgbClr>
                  </w14:solidFill>
                </w14:textFill>
              </w:rPr>
              <w:t>|</w:t>
            </w:r>
          </w:p>
        </w:tc>
      </w:tr>
      <w:tr w:rsidR="00C21FCA" w:rsidRPr="001D1DDE" w14:paraId="0A81BE84" w14:textId="77777777" w:rsidTr="00AE14F4">
        <w:tc>
          <w:tcPr>
            <w:tcW w:w="1528" w:type="pct"/>
            <w:vAlign w:val="center"/>
          </w:tcPr>
          <w:p w14:paraId="2FF6D497" w14:textId="77777777" w:rsidR="00C21FCA" w:rsidRPr="001D1DDE" w:rsidRDefault="00C21FCA" w:rsidP="00AE14F4">
            <w:pPr>
              <w:pStyle w:val="TableText"/>
              <w:rPr>
                <w:szCs w:val="20"/>
              </w:rPr>
            </w:pPr>
            <w:r w:rsidRPr="001D1DDE">
              <w:rPr>
                <w:szCs w:val="20"/>
              </w:rPr>
              <w:t>QALYs</w:t>
            </w:r>
          </w:p>
        </w:tc>
        <w:tc>
          <w:tcPr>
            <w:tcW w:w="1141" w:type="pct"/>
            <w:vAlign w:val="center"/>
          </w:tcPr>
          <w:p w14:paraId="2B46649F" w14:textId="77777777" w:rsidR="00C21FCA" w:rsidRPr="009848FD" w:rsidRDefault="00C21FCA" w:rsidP="00AE14F4">
            <w:pPr>
              <w:pStyle w:val="TableText"/>
              <w:jc w:val="center"/>
              <w:rPr>
                <w:szCs w:val="20"/>
              </w:rPr>
            </w:pPr>
            <w:r w:rsidRPr="009848FD">
              <w:rPr>
                <w:szCs w:val="20"/>
              </w:rPr>
              <w:t>3.8212</w:t>
            </w:r>
          </w:p>
        </w:tc>
        <w:tc>
          <w:tcPr>
            <w:tcW w:w="1181" w:type="pct"/>
            <w:gridSpan w:val="3"/>
            <w:vAlign w:val="center"/>
          </w:tcPr>
          <w:p w14:paraId="468EF157" w14:textId="77777777" w:rsidR="00C21FCA" w:rsidRPr="00AC5A0D" w:rsidRDefault="00C21FCA" w:rsidP="00AE14F4">
            <w:pPr>
              <w:pStyle w:val="TableText"/>
              <w:jc w:val="center"/>
              <w:rPr>
                <w:szCs w:val="20"/>
              </w:rPr>
            </w:pPr>
            <w:r w:rsidRPr="00AC5A0D">
              <w:rPr>
                <w:szCs w:val="20"/>
              </w:rPr>
              <w:t>3.7330</w:t>
            </w:r>
          </w:p>
        </w:tc>
        <w:tc>
          <w:tcPr>
            <w:tcW w:w="1150" w:type="pct"/>
            <w:vAlign w:val="center"/>
          </w:tcPr>
          <w:p w14:paraId="74CD7EAE" w14:textId="77777777" w:rsidR="00C21FCA" w:rsidRPr="00AC5A0D" w:rsidRDefault="00C21FCA" w:rsidP="00AE14F4">
            <w:pPr>
              <w:pStyle w:val="TableText"/>
              <w:jc w:val="center"/>
              <w:rPr>
                <w:szCs w:val="20"/>
              </w:rPr>
            </w:pPr>
            <w:r w:rsidRPr="00AC5A0D">
              <w:rPr>
                <w:szCs w:val="20"/>
              </w:rPr>
              <w:t>0.0882</w:t>
            </w:r>
          </w:p>
        </w:tc>
      </w:tr>
      <w:tr w:rsidR="00C21FCA" w:rsidRPr="001D1DDE" w14:paraId="06EAD1E2" w14:textId="77777777" w:rsidTr="00AE14F4">
        <w:tc>
          <w:tcPr>
            <w:tcW w:w="3850" w:type="pct"/>
            <w:gridSpan w:val="5"/>
            <w:vAlign w:val="center"/>
          </w:tcPr>
          <w:p w14:paraId="2E76979C" w14:textId="77777777" w:rsidR="00C21FCA" w:rsidRPr="001D1DDE" w:rsidRDefault="00C21FCA" w:rsidP="00AE14F4">
            <w:pPr>
              <w:pStyle w:val="TableText"/>
              <w:keepNext w:val="0"/>
              <w:rPr>
                <w:szCs w:val="20"/>
              </w:rPr>
            </w:pPr>
            <w:r w:rsidRPr="001D1DDE">
              <w:rPr>
                <w:szCs w:val="20"/>
              </w:rPr>
              <w:t>Incremental cost per QALY gained</w:t>
            </w:r>
          </w:p>
        </w:tc>
        <w:tc>
          <w:tcPr>
            <w:tcW w:w="1150" w:type="pct"/>
            <w:vAlign w:val="center"/>
          </w:tcPr>
          <w:p w14:paraId="16A3045B" w14:textId="4790AE30" w:rsidR="00C21FCA" w:rsidRPr="001D1DDE" w:rsidRDefault="00C21FCA" w:rsidP="00AE14F4">
            <w:pPr>
              <w:pStyle w:val="TableText"/>
              <w:keepNext w:val="0"/>
              <w:jc w:val="center"/>
              <w:rPr>
                <w:szCs w:val="20"/>
              </w:rPr>
            </w:pPr>
            <w:r w:rsidRPr="001D1DDE">
              <w:rPr>
                <w:szCs w:val="20"/>
              </w:rPr>
              <w:t>$</w:t>
            </w:r>
            <w:r w:rsidR="00B6635B" w:rsidRPr="00B6635B">
              <w:rPr>
                <w:color w:val="000000"/>
                <w:szCs w:val="20"/>
                <w:shd w:val="solid" w:color="000000" w:fill="000000"/>
                <w14:textFill>
                  <w14:solidFill>
                    <w14:srgbClr w14:val="000000">
                      <w14:alpha w14:val="100000"/>
                    </w14:srgbClr>
                  </w14:solidFill>
                </w14:textFill>
              </w:rPr>
              <w:t>|</w:t>
            </w:r>
            <w:r w:rsidR="001D1DDE" w:rsidRPr="001D1DDE">
              <w:rPr>
                <w:szCs w:val="20"/>
                <w:vertAlign w:val="superscript"/>
              </w:rPr>
              <w:t>4</w:t>
            </w:r>
          </w:p>
        </w:tc>
      </w:tr>
    </w:tbl>
    <w:p w14:paraId="79826EC4" w14:textId="77777777" w:rsidR="00C21FCA" w:rsidRPr="003A235D" w:rsidRDefault="00C21FCA" w:rsidP="00C21FCA">
      <w:pPr>
        <w:pStyle w:val="COMTablefooter"/>
      </w:pPr>
      <w:r w:rsidRPr="003A235D">
        <w:t>Source: Table 3.27, p233 of the submission</w:t>
      </w:r>
    </w:p>
    <w:p w14:paraId="1BE040BA" w14:textId="48FDFC6C" w:rsidR="00C21FCA" w:rsidRDefault="00C21FCA" w:rsidP="00B6635B">
      <w:pPr>
        <w:pStyle w:val="COMTablefooter"/>
        <w:spacing w:after="0"/>
      </w:pPr>
      <w:r w:rsidRPr="003A235D">
        <w:t>Abbreviations: CV, cardiovascular; QALY, quality adjusted life years; SC, standard care</w:t>
      </w:r>
    </w:p>
    <w:p w14:paraId="1B969DFF" w14:textId="77777777" w:rsidR="00CE450D" w:rsidRPr="009868C4" w:rsidRDefault="00CE450D" w:rsidP="001D1DDE">
      <w:pPr>
        <w:pStyle w:val="TableFigureFooter"/>
        <w:spacing w:after="0"/>
        <w:contextualSpacing w:val="0"/>
      </w:pPr>
      <w:r w:rsidRPr="009868C4">
        <w:rPr>
          <w:i/>
        </w:rPr>
        <w:t>The redacted values correspond to the following ranges</w:t>
      </w:r>
      <w:r>
        <w:rPr>
          <w:i/>
        </w:rPr>
        <w:t xml:space="preserve">: </w:t>
      </w:r>
    </w:p>
    <w:p w14:paraId="2C725221" w14:textId="1DE054AF" w:rsidR="001D1DDE" w:rsidRDefault="00CE450D" w:rsidP="001D1DDE">
      <w:pPr>
        <w:rPr>
          <w:rFonts w:ascii="Arial Narrow" w:hAnsi="Arial Narrow"/>
          <w:i/>
          <w:sz w:val="18"/>
          <w:szCs w:val="18"/>
        </w:rPr>
      </w:pPr>
      <w:r w:rsidRPr="009868C4">
        <w:rPr>
          <w:rFonts w:ascii="Arial Narrow" w:hAnsi="Arial Narrow"/>
          <w:i/>
          <w:sz w:val="18"/>
          <w:szCs w:val="18"/>
          <w:vertAlign w:val="superscript"/>
        </w:rPr>
        <w:t>1</w:t>
      </w:r>
      <w:r w:rsidRPr="009868C4">
        <w:rPr>
          <w:rFonts w:ascii="Arial Narrow" w:hAnsi="Arial Narrow"/>
          <w:i/>
          <w:sz w:val="18"/>
          <w:szCs w:val="18"/>
        </w:rPr>
        <w:t xml:space="preserve"> </w:t>
      </w:r>
      <w:r w:rsidR="001D1DDE" w:rsidRPr="001D1DDE">
        <w:rPr>
          <w:rFonts w:ascii="Arial Narrow" w:hAnsi="Arial Narrow"/>
          <w:i/>
          <w:sz w:val="18"/>
          <w:szCs w:val="18"/>
        </w:rPr>
        <w:t>$555,000 to &lt; $655,000</w:t>
      </w:r>
      <w:r w:rsidR="001D1DDE" w:rsidRPr="009868C4">
        <w:rPr>
          <w:rFonts w:ascii="Arial Narrow" w:hAnsi="Arial Narrow"/>
          <w:i/>
          <w:sz w:val="18"/>
          <w:szCs w:val="18"/>
        </w:rPr>
        <w:t>/QALY gained</w:t>
      </w:r>
    </w:p>
    <w:p w14:paraId="7792F007" w14:textId="6D4541C5" w:rsidR="001D1DDE" w:rsidRDefault="001D1DDE" w:rsidP="001D1DDE">
      <w:pPr>
        <w:rPr>
          <w:rFonts w:ascii="Arial Narrow" w:hAnsi="Arial Narrow"/>
          <w:i/>
          <w:sz w:val="18"/>
          <w:szCs w:val="18"/>
        </w:rPr>
      </w:pPr>
      <w:r w:rsidRPr="009868C4">
        <w:rPr>
          <w:rFonts w:ascii="Arial Narrow" w:hAnsi="Arial Narrow"/>
          <w:i/>
          <w:sz w:val="18"/>
          <w:szCs w:val="18"/>
          <w:vertAlign w:val="superscript"/>
        </w:rPr>
        <w:t>2</w:t>
      </w:r>
      <w:r>
        <w:rPr>
          <w:rFonts w:ascii="Arial Narrow" w:hAnsi="Arial Narrow"/>
          <w:i/>
          <w:sz w:val="18"/>
          <w:szCs w:val="18"/>
          <w:vertAlign w:val="superscript"/>
        </w:rPr>
        <w:t xml:space="preserve"> </w:t>
      </w:r>
      <w:r w:rsidRPr="001D1DDE">
        <w:rPr>
          <w:rFonts w:ascii="Arial Narrow" w:hAnsi="Arial Narrow"/>
          <w:i/>
          <w:sz w:val="18"/>
          <w:szCs w:val="18"/>
        </w:rPr>
        <w:t>$35,000 to &lt; $45,000</w:t>
      </w:r>
      <w:r w:rsidRPr="009868C4">
        <w:rPr>
          <w:rFonts w:ascii="Arial Narrow" w:hAnsi="Arial Narrow"/>
          <w:i/>
          <w:sz w:val="18"/>
          <w:szCs w:val="18"/>
        </w:rPr>
        <w:t>/QALY gained</w:t>
      </w:r>
    </w:p>
    <w:p w14:paraId="7C380E4F" w14:textId="04135E03" w:rsidR="00CE450D" w:rsidRPr="009868C4" w:rsidRDefault="001D1DDE" w:rsidP="001D1DDE">
      <w:pPr>
        <w:rPr>
          <w:rFonts w:ascii="Arial Narrow" w:hAnsi="Arial Narrow"/>
          <w:i/>
          <w:sz w:val="18"/>
          <w:szCs w:val="18"/>
        </w:rPr>
      </w:pPr>
      <w:r>
        <w:rPr>
          <w:rFonts w:ascii="Arial Narrow" w:hAnsi="Arial Narrow"/>
          <w:i/>
          <w:sz w:val="18"/>
          <w:szCs w:val="18"/>
          <w:vertAlign w:val="superscript"/>
        </w:rPr>
        <w:t xml:space="preserve">3 </w:t>
      </w:r>
      <w:r w:rsidRPr="001D1DDE">
        <w:rPr>
          <w:rFonts w:ascii="Arial Narrow" w:hAnsi="Arial Narrow"/>
          <w:i/>
          <w:sz w:val="18"/>
          <w:szCs w:val="18"/>
        </w:rPr>
        <w:t>$25,000 to &lt; $35,000</w:t>
      </w:r>
      <w:r w:rsidR="00CE450D" w:rsidRPr="009868C4">
        <w:rPr>
          <w:rFonts w:ascii="Arial Narrow" w:hAnsi="Arial Narrow"/>
          <w:i/>
          <w:sz w:val="18"/>
          <w:szCs w:val="18"/>
        </w:rPr>
        <w:t>/QALY gained</w:t>
      </w:r>
    </w:p>
    <w:p w14:paraId="0D89E244" w14:textId="163E30BF" w:rsidR="00CE450D" w:rsidRPr="009868C4" w:rsidRDefault="001D1DDE" w:rsidP="00CE450D">
      <w:pPr>
        <w:rPr>
          <w:rFonts w:ascii="Arial Narrow" w:hAnsi="Arial Narrow"/>
          <w:i/>
          <w:sz w:val="18"/>
          <w:szCs w:val="18"/>
        </w:rPr>
      </w:pPr>
      <w:r>
        <w:rPr>
          <w:rFonts w:ascii="Arial Narrow" w:hAnsi="Arial Narrow"/>
          <w:i/>
          <w:sz w:val="18"/>
          <w:szCs w:val="18"/>
          <w:vertAlign w:val="superscript"/>
        </w:rPr>
        <w:t>4</w:t>
      </w:r>
      <w:r w:rsidR="00CE450D" w:rsidRPr="009868C4">
        <w:rPr>
          <w:rFonts w:ascii="Arial Narrow" w:hAnsi="Arial Narrow"/>
          <w:i/>
          <w:sz w:val="18"/>
          <w:szCs w:val="18"/>
        </w:rPr>
        <w:t xml:space="preserve"> </w:t>
      </w:r>
      <w:r w:rsidRPr="001D1DDE">
        <w:rPr>
          <w:rFonts w:ascii="Arial Narrow" w:hAnsi="Arial Narrow"/>
          <w:i/>
          <w:sz w:val="18"/>
          <w:szCs w:val="18"/>
        </w:rPr>
        <w:t>$15,000 to &lt; $25,000</w:t>
      </w:r>
      <w:r w:rsidR="00CE450D" w:rsidRPr="009868C4">
        <w:rPr>
          <w:rFonts w:ascii="Arial Narrow" w:hAnsi="Arial Narrow"/>
          <w:i/>
          <w:sz w:val="18"/>
          <w:szCs w:val="18"/>
        </w:rPr>
        <w:t>/QALY gained</w:t>
      </w:r>
    </w:p>
    <w:p w14:paraId="52C99CF1" w14:textId="77777777" w:rsidR="00CE450D" w:rsidRPr="003A235D" w:rsidRDefault="00CE450D" w:rsidP="00C21FCA">
      <w:pPr>
        <w:pStyle w:val="COMTablefooter"/>
      </w:pPr>
    </w:p>
    <w:p w14:paraId="051FEC3A" w14:textId="77777777" w:rsidR="00C21FCA" w:rsidRPr="003A235D" w:rsidRDefault="00C21FCA" w:rsidP="00827509">
      <w:pPr>
        <w:pStyle w:val="ExecSumBodyText"/>
        <w:numPr>
          <w:ilvl w:val="1"/>
          <w:numId w:val="1"/>
        </w:numPr>
      </w:pPr>
      <w:r w:rsidRPr="003A235D">
        <w:lastRenderedPageBreak/>
        <w:t>The extrapolation of outcomes beyond the clinical trial duration, the inclusion of heart failure hospitalisation costs and the inclusion of a disutility associated with heart failure hospitalisation had the largest impacts on the stepped economic evaluation.</w:t>
      </w:r>
    </w:p>
    <w:p w14:paraId="34B61994" w14:textId="7709DC4E" w:rsidR="00C21FCA" w:rsidRPr="003A235D" w:rsidRDefault="00C21FCA" w:rsidP="00827509">
      <w:pPr>
        <w:pStyle w:val="ExecSumBodyText"/>
        <w:numPr>
          <w:ilvl w:val="1"/>
          <w:numId w:val="1"/>
        </w:numPr>
      </w:pPr>
      <w:bookmarkStart w:id="64" w:name="_Hlk120789495"/>
      <w:r w:rsidRPr="003A235D">
        <w:t xml:space="preserve">Based on the modelled economic evaluation, treatment with empagliflozin plus standard care was associated with an incremental cost per QALY gained of </w:t>
      </w:r>
      <w:r w:rsidR="009848FD" w:rsidRPr="009848FD">
        <w:t>$15,000 to &lt; $25,000</w:t>
      </w:r>
      <w:r w:rsidR="00231464">
        <w:t xml:space="preserve"> </w:t>
      </w:r>
      <w:r w:rsidRPr="003A235D">
        <w:t>compared to standard care alone for the treatment of HFmrEF/HFpEF.</w:t>
      </w:r>
    </w:p>
    <w:bookmarkEnd w:id="64"/>
    <w:p w14:paraId="4900188F" w14:textId="77777777" w:rsidR="00C21FCA" w:rsidRPr="003A235D" w:rsidRDefault="00C21FCA" w:rsidP="00827509">
      <w:pPr>
        <w:pStyle w:val="ExecSumBodyText"/>
        <w:numPr>
          <w:ilvl w:val="1"/>
          <w:numId w:val="1"/>
        </w:numPr>
      </w:pPr>
      <w:r w:rsidRPr="003A235D">
        <w:t>On average, for every HFmrEF/HFpEF patient treated with empagliflozin plus standard care versus placebo plus standard care and followed up for 15 years, the (undiscounted) economic model estimates that there would be:</w:t>
      </w:r>
    </w:p>
    <w:p w14:paraId="23BAFEF7" w14:textId="77777777" w:rsidR="00C21FCA" w:rsidRPr="003A235D" w:rsidRDefault="00C21FCA" w:rsidP="00827509">
      <w:pPr>
        <w:pStyle w:val="COMexecsumnumberedpara"/>
        <w:numPr>
          <w:ilvl w:val="1"/>
          <w:numId w:val="13"/>
        </w:numPr>
        <w:rPr>
          <w:iCs/>
        </w:rPr>
      </w:pPr>
      <w:r w:rsidRPr="003A235D">
        <w:rPr>
          <w:iCs/>
        </w:rPr>
        <w:t xml:space="preserve">Additional empagliflozin and </w:t>
      </w:r>
      <w:r w:rsidRPr="00EE5627">
        <w:rPr>
          <w:iCs/>
        </w:rPr>
        <w:t>standard care costs of $2,825 and additional costs of treating adverse events of $112.</w:t>
      </w:r>
    </w:p>
    <w:p w14:paraId="57D41B7A" w14:textId="77777777" w:rsidR="00C21FCA" w:rsidRPr="003A235D" w:rsidRDefault="00C21FCA" w:rsidP="00827509">
      <w:pPr>
        <w:pStyle w:val="COMexecsumnumberedpara"/>
        <w:numPr>
          <w:ilvl w:val="1"/>
          <w:numId w:val="13"/>
        </w:numPr>
        <w:rPr>
          <w:iCs/>
        </w:rPr>
      </w:pPr>
      <w:r w:rsidRPr="003A235D">
        <w:rPr>
          <w:iCs/>
        </w:rPr>
        <w:t xml:space="preserve">Additional survival of 1.14 months, associated with additional disease management costs </w:t>
      </w:r>
      <w:r w:rsidRPr="00EE5627">
        <w:rPr>
          <w:iCs/>
        </w:rPr>
        <w:t>($34) and a reduction in the costs associated with cardiovascular death ($159).</w:t>
      </w:r>
    </w:p>
    <w:p w14:paraId="7F2EF7AD" w14:textId="77777777" w:rsidR="00C21FCA" w:rsidRPr="003A235D" w:rsidRDefault="00C21FCA" w:rsidP="00827509">
      <w:pPr>
        <w:pStyle w:val="COMexecsumnumberedpara"/>
        <w:numPr>
          <w:ilvl w:val="1"/>
          <w:numId w:val="13"/>
        </w:numPr>
        <w:rPr>
          <w:iCs/>
        </w:rPr>
      </w:pPr>
      <w:r w:rsidRPr="003A235D">
        <w:rPr>
          <w:iCs/>
        </w:rPr>
        <w:t>An additional 2.96 months spent in health states with higher quality of life (KCCQ-CSS quartiles 3 and 4), and 1.82 fewer months spent in health states with lower quality of life (KCCQ-CSS quartiles 1 and 2).</w:t>
      </w:r>
    </w:p>
    <w:p w14:paraId="47E09851" w14:textId="77777777" w:rsidR="00C21FCA" w:rsidRPr="003A235D" w:rsidRDefault="00C21FCA" w:rsidP="00827509">
      <w:pPr>
        <w:pStyle w:val="COMexecsumnumberedpara"/>
        <w:numPr>
          <w:ilvl w:val="1"/>
          <w:numId w:val="13"/>
        </w:numPr>
        <w:rPr>
          <w:iCs/>
        </w:rPr>
      </w:pPr>
      <w:r w:rsidRPr="003A235D">
        <w:rPr>
          <w:iCs/>
        </w:rPr>
        <w:t xml:space="preserve">A reduction of 0.07 heart failure hospitalisations (7 events per 100 patients), which would be associated with a reduction in hospitalisation </w:t>
      </w:r>
      <w:r w:rsidRPr="00EE5627">
        <w:rPr>
          <w:iCs/>
        </w:rPr>
        <w:t>costs ($791),</w:t>
      </w:r>
      <w:r w:rsidRPr="003A235D">
        <w:rPr>
          <w:iCs/>
        </w:rPr>
        <w:t xml:space="preserve"> and improved quality of life.</w:t>
      </w:r>
    </w:p>
    <w:p w14:paraId="4E3D1AE9" w14:textId="5808F8CA" w:rsidR="00C21FCA" w:rsidRPr="003A235D" w:rsidRDefault="00C21FCA" w:rsidP="006D6A13">
      <w:pPr>
        <w:pStyle w:val="ExecSumBodyText"/>
        <w:numPr>
          <w:ilvl w:val="1"/>
          <w:numId w:val="1"/>
        </w:numPr>
      </w:pPr>
      <w:r w:rsidRPr="003A235D">
        <w:t xml:space="preserve">The results of key sensitivity analyses are summarised in </w:t>
      </w:r>
      <w:r w:rsidRPr="003A235D">
        <w:fldChar w:fldCharType="begin" w:fldLock="1"/>
      </w:r>
      <w:r w:rsidRPr="003A235D">
        <w:instrText xml:space="preserve"> REF _Ref110012741 \h </w:instrText>
      </w:r>
      <w:r w:rsidR="006D6A13" w:rsidRPr="003A235D">
        <w:instrText xml:space="preserve"> \* MERGEFORMAT </w:instrText>
      </w:r>
      <w:r w:rsidRPr="003A235D">
        <w:fldChar w:fldCharType="separate"/>
      </w:r>
      <w:r w:rsidR="004646F5" w:rsidRPr="003A235D">
        <w:t>Table 12</w:t>
      </w:r>
      <w:r w:rsidRPr="003A235D">
        <w:fldChar w:fldCharType="end"/>
      </w:r>
      <w:r w:rsidRPr="003A235D">
        <w:t xml:space="preserve"> below. Results were not sensitive to the choice of parametric function used to inform cardiovascular mortality and treatment discontinuation, the inclusion of adverse event costs and disutilities, and disease management costs</w:t>
      </w:r>
      <w:r w:rsidR="00953D29" w:rsidRPr="003A235D">
        <w:t>.</w:t>
      </w:r>
      <w:r w:rsidRPr="003A235D">
        <w:t xml:space="preserve"> </w:t>
      </w:r>
    </w:p>
    <w:p w14:paraId="193E4B2B" w14:textId="7D070CF0" w:rsidR="00C21FCA" w:rsidRPr="003A235D" w:rsidRDefault="00C21FCA" w:rsidP="00C21FCA">
      <w:pPr>
        <w:pStyle w:val="Caption"/>
        <w:rPr>
          <w:lang w:val="en-AU"/>
        </w:rPr>
      </w:pPr>
      <w:bookmarkStart w:id="65" w:name="_Ref110012741"/>
      <w:r w:rsidRPr="003A235D">
        <w:rPr>
          <w:lang w:val="en-AU"/>
        </w:rPr>
        <w:t xml:space="preserve">Table </w:t>
      </w:r>
      <w:r w:rsidRPr="003A235D">
        <w:rPr>
          <w:lang w:val="en-AU"/>
        </w:rPr>
        <w:fldChar w:fldCharType="begin" w:fldLock="1"/>
      </w:r>
      <w:r w:rsidRPr="003A235D">
        <w:rPr>
          <w:lang w:val="en-AU"/>
        </w:rPr>
        <w:instrText xml:space="preserve"> SEQ Table \* ARABIC </w:instrText>
      </w:r>
      <w:r w:rsidRPr="003A235D">
        <w:rPr>
          <w:lang w:val="en-AU"/>
        </w:rPr>
        <w:fldChar w:fldCharType="separate"/>
      </w:r>
      <w:r w:rsidR="004646F5" w:rsidRPr="003A235D">
        <w:rPr>
          <w:lang w:val="en-AU"/>
        </w:rPr>
        <w:t>12</w:t>
      </w:r>
      <w:r w:rsidRPr="003A235D">
        <w:rPr>
          <w:lang w:val="en-AU"/>
        </w:rPr>
        <w:fldChar w:fldCharType="end"/>
      </w:r>
      <w:bookmarkEnd w:id="65"/>
      <w:r w:rsidRPr="003A235D">
        <w:rPr>
          <w:lang w:val="en-AU"/>
        </w:rPr>
        <w:t>: Results of sensitivity analyses</w:t>
      </w:r>
    </w:p>
    <w:tbl>
      <w:tblPr>
        <w:tblStyle w:val="TableGrid"/>
        <w:tblW w:w="0" w:type="auto"/>
        <w:tblCellMar>
          <w:left w:w="57" w:type="dxa"/>
          <w:right w:w="57" w:type="dxa"/>
        </w:tblCellMar>
        <w:tblLook w:val="04A0" w:firstRow="1" w:lastRow="0" w:firstColumn="1" w:lastColumn="0" w:noHBand="0" w:noVBand="1"/>
      </w:tblPr>
      <w:tblGrid>
        <w:gridCol w:w="3722"/>
        <w:gridCol w:w="1323"/>
        <w:gridCol w:w="1324"/>
        <w:gridCol w:w="1324"/>
        <w:gridCol w:w="1324"/>
      </w:tblGrid>
      <w:tr w:rsidR="00C21FCA" w:rsidRPr="003A235D" w14:paraId="7FF644FB" w14:textId="77777777" w:rsidTr="00B6635B">
        <w:trPr>
          <w:tblHeader/>
        </w:trPr>
        <w:tc>
          <w:tcPr>
            <w:tcW w:w="3722" w:type="dxa"/>
            <w:vAlign w:val="center"/>
          </w:tcPr>
          <w:p w14:paraId="05D66107" w14:textId="77777777" w:rsidR="00C21FCA" w:rsidRPr="003A235D" w:rsidRDefault="00C21FCA" w:rsidP="00AE14F4">
            <w:pPr>
              <w:pStyle w:val="COMTableheadingrow"/>
              <w:keepNext w:val="0"/>
              <w:rPr>
                <w:lang w:val="en-AU"/>
              </w:rPr>
            </w:pPr>
            <w:r w:rsidRPr="003A235D">
              <w:rPr>
                <w:lang w:val="en-AU"/>
              </w:rPr>
              <w:t>Analyses</w:t>
            </w:r>
          </w:p>
        </w:tc>
        <w:tc>
          <w:tcPr>
            <w:tcW w:w="1323" w:type="dxa"/>
            <w:tcBorders>
              <w:bottom w:val="single" w:sz="4" w:space="0" w:color="auto"/>
            </w:tcBorders>
            <w:vAlign w:val="center"/>
          </w:tcPr>
          <w:p w14:paraId="0C550A0F" w14:textId="22EA4CD2" w:rsidR="00C21FCA" w:rsidRPr="003A235D" w:rsidRDefault="00C21FCA" w:rsidP="00AE14F4">
            <w:pPr>
              <w:pStyle w:val="COMTableheadingrow"/>
              <w:keepNext w:val="0"/>
              <w:jc w:val="center"/>
              <w:rPr>
                <w:lang w:val="en-AU"/>
              </w:rPr>
            </w:pPr>
            <w:r w:rsidRPr="003A235D">
              <w:rPr>
                <w:lang w:val="en-AU"/>
              </w:rPr>
              <w:t>Incremental cost</w:t>
            </w:r>
            <w:r w:rsidR="00FC614E">
              <w:rPr>
                <w:lang w:val="en-AU"/>
              </w:rPr>
              <w:t xml:space="preserve"> $</w:t>
            </w:r>
          </w:p>
        </w:tc>
        <w:tc>
          <w:tcPr>
            <w:tcW w:w="1324" w:type="dxa"/>
            <w:vAlign w:val="center"/>
          </w:tcPr>
          <w:p w14:paraId="356FA3FD" w14:textId="77777777" w:rsidR="00C21FCA" w:rsidRPr="003A235D" w:rsidRDefault="00C21FCA" w:rsidP="00AE14F4">
            <w:pPr>
              <w:pStyle w:val="COMTableheadingrow"/>
              <w:keepNext w:val="0"/>
              <w:jc w:val="center"/>
              <w:rPr>
                <w:lang w:val="en-AU"/>
              </w:rPr>
            </w:pPr>
            <w:r w:rsidRPr="003A235D">
              <w:rPr>
                <w:lang w:val="en-AU"/>
              </w:rPr>
              <w:t>Incremental QALYs</w:t>
            </w:r>
          </w:p>
        </w:tc>
        <w:tc>
          <w:tcPr>
            <w:tcW w:w="1324" w:type="dxa"/>
            <w:vAlign w:val="center"/>
          </w:tcPr>
          <w:p w14:paraId="16F2DFC7" w14:textId="23C2D82F" w:rsidR="00C21FCA" w:rsidRPr="003A235D" w:rsidRDefault="00C21FCA" w:rsidP="00AE14F4">
            <w:pPr>
              <w:pStyle w:val="COMTableheadingrow"/>
              <w:keepNext w:val="0"/>
              <w:jc w:val="center"/>
              <w:rPr>
                <w:lang w:val="en-AU"/>
              </w:rPr>
            </w:pPr>
            <w:r w:rsidRPr="003A235D">
              <w:rPr>
                <w:lang w:val="en-AU"/>
              </w:rPr>
              <w:t>ICER</w:t>
            </w:r>
            <w:r w:rsidR="00FC614E">
              <w:rPr>
                <w:lang w:val="en-AU"/>
              </w:rPr>
              <w:t xml:space="preserve"> $</w:t>
            </w:r>
          </w:p>
        </w:tc>
        <w:tc>
          <w:tcPr>
            <w:tcW w:w="1324" w:type="dxa"/>
            <w:vAlign w:val="center"/>
          </w:tcPr>
          <w:p w14:paraId="7E7F97FA" w14:textId="77777777" w:rsidR="00C21FCA" w:rsidRPr="003A235D" w:rsidRDefault="00C21FCA" w:rsidP="00AE14F4">
            <w:pPr>
              <w:pStyle w:val="COMTableheadingrow"/>
              <w:keepNext w:val="0"/>
              <w:jc w:val="center"/>
              <w:rPr>
                <w:lang w:val="en-AU"/>
              </w:rPr>
            </w:pPr>
            <w:r w:rsidRPr="003A235D">
              <w:rPr>
                <w:lang w:val="en-AU"/>
              </w:rPr>
              <w:t>% change from base case</w:t>
            </w:r>
          </w:p>
        </w:tc>
      </w:tr>
      <w:tr w:rsidR="00C21FCA" w:rsidRPr="003A235D" w14:paraId="59906A61" w14:textId="77777777" w:rsidTr="00B6635B">
        <w:tc>
          <w:tcPr>
            <w:tcW w:w="3722" w:type="dxa"/>
          </w:tcPr>
          <w:p w14:paraId="25C1586E" w14:textId="77777777" w:rsidR="00C21FCA" w:rsidRPr="003A235D" w:rsidRDefault="00C21FCA" w:rsidP="00AE14F4">
            <w:pPr>
              <w:pStyle w:val="COMTableheadingrow"/>
              <w:keepNext w:val="0"/>
              <w:rPr>
                <w:lang w:val="en-AU"/>
              </w:rPr>
            </w:pPr>
            <w:r w:rsidRPr="003A235D">
              <w:rPr>
                <w:lang w:val="en-AU"/>
              </w:rPr>
              <w:t>Base case</w:t>
            </w:r>
          </w:p>
        </w:tc>
        <w:tc>
          <w:tcPr>
            <w:tcW w:w="1323" w:type="dxa"/>
            <w:shd w:val="solid" w:color="000000" w:fill="000000"/>
            <w:vAlign w:val="center"/>
          </w:tcPr>
          <w:p w14:paraId="056A488F" w14:textId="320F759D" w:rsidR="00C21FCA" w:rsidRPr="00B6635B" w:rsidRDefault="00B6635B" w:rsidP="00AE14F4">
            <w:pPr>
              <w:pStyle w:val="COMTableheadingrow"/>
              <w:keepNext w:val="0"/>
              <w:jc w:val="center"/>
              <w:rPr>
                <w:lang w:val="en-AU"/>
              </w:rPr>
            </w:pPr>
            <w:r w:rsidRPr="00B6635B">
              <w:rPr>
                <w:color w:val="000000"/>
                <w:lang w:val="en-AU"/>
                <w14:textFill>
                  <w14:solidFill>
                    <w14:srgbClr w14:val="000000">
                      <w14:alpha w14:val="100000"/>
                    </w14:srgbClr>
                  </w14:solidFill>
                </w14:textFill>
              </w:rPr>
              <w:t>|</w:t>
            </w:r>
          </w:p>
        </w:tc>
        <w:tc>
          <w:tcPr>
            <w:tcW w:w="1324" w:type="dxa"/>
            <w:vAlign w:val="center"/>
          </w:tcPr>
          <w:p w14:paraId="596E4C32" w14:textId="77777777" w:rsidR="00C21FCA" w:rsidRPr="003A235D" w:rsidRDefault="00C21FCA" w:rsidP="00AE14F4">
            <w:pPr>
              <w:pStyle w:val="COMTableheadingrow"/>
              <w:keepNext w:val="0"/>
              <w:jc w:val="center"/>
              <w:rPr>
                <w:lang w:val="en-AU"/>
              </w:rPr>
            </w:pPr>
            <w:r w:rsidRPr="003A235D">
              <w:rPr>
                <w:lang w:val="en-AU"/>
              </w:rPr>
              <w:t>0.0882</w:t>
            </w:r>
          </w:p>
        </w:tc>
        <w:tc>
          <w:tcPr>
            <w:tcW w:w="1324" w:type="dxa"/>
            <w:vAlign w:val="center"/>
          </w:tcPr>
          <w:p w14:paraId="776E077B" w14:textId="0EE3C752" w:rsidR="00C21FCA" w:rsidRPr="00B6635B" w:rsidRDefault="00B6635B" w:rsidP="00AE14F4">
            <w:pPr>
              <w:pStyle w:val="COMTableheadingrow"/>
              <w:keepNext w:val="0"/>
              <w:jc w:val="center"/>
              <w:rPr>
                <w:b w:val="0"/>
                <w:bCs/>
                <w:lang w:val="en-AU"/>
              </w:rPr>
            </w:pPr>
            <w:r w:rsidRPr="00E72650">
              <w:rPr>
                <w:rFonts w:hint="eastAsia"/>
                <w:b w:val="0"/>
                <w:bCs/>
                <w:color w:val="000000"/>
                <w:spacing w:val="-187"/>
                <w:shd w:val="solid" w:color="000000" w:fill="000000"/>
                <w:fitText w:val="13" w:id="-1305203968"/>
                <w:lang w:val="en-AU"/>
                <w14:textFill>
                  <w14:solidFill>
                    <w14:srgbClr w14:val="000000">
                      <w14:alpha w14:val="100000"/>
                    </w14:srgbClr>
                  </w14:solidFill>
                </w14:textFill>
              </w:rPr>
              <w:t xml:space="preserve">　</w:t>
            </w:r>
            <w:r w:rsidRPr="00334395">
              <w:rPr>
                <w:b w:val="0"/>
                <w:bCs/>
                <w:color w:val="000000"/>
                <w:w w:val="15"/>
                <w:shd w:val="solid" w:color="000000" w:fill="000000"/>
                <w:lang w:val="en-AU"/>
                <w14:textFill>
                  <w14:solidFill>
                    <w14:srgbClr w14:val="000000">
                      <w14:alpha w14:val="100000"/>
                    </w14:srgbClr>
                  </w14:solidFill>
                </w14:textFill>
              </w:rPr>
              <w:t>|</w:t>
            </w:r>
            <w:r w:rsidRPr="00E72650">
              <w:rPr>
                <w:rFonts w:hint="eastAsia"/>
                <w:b w:val="0"/>
                <w:bCs/>
                <w:color w:val="000000"/>
                <w:w w:val="15"/>
                <w:shd w:val="solid" w:color="000000" w:fill="000000"/>
                <w:lang w:val="en-AU"/>
                <w14:textFill>
                  <w14:solidFill>
                    <w14:srgbClr w14:val="000000">
                      <w14:alpha w14:val="100000"/>
                    </w14:srgbClr>
                  </w14:solidFill>
                </w14:textFill>
              </w:rPr>
              <w:t xml:space="preserve">　</w:t>
            </w:r>
            <w:r w:rsidR="00FC614E" w:rsidRPr="00B6635B">
              <w:rPr>
                <w:b w:val="0"/>
                <w:bCs/>
                <w:vertAlign w:val="superscript"/>
                <w:lang w:val="en-AU"/>
              </w:rPr>
              <w:t>1</w:t>
            </w:r>
          </w:p>
        </w:tc>
        <w:tc>
          <w:tcPr>
            <w:tcW w:w="1324" w:type="dxa"/>
            <w:vAlign w:val="center"/>
          </w:tcPr>
          <w:p w14:paraId="5321FA69" w14:textId="77777777" w:rsidR="00C21FCA" w:rsidRPr="003A235D" w:rsidRDefault="00C21FCA" w:rsidP="00AE14F4">
            <w:pPr>
              <w:pStyle w:val="COMTableheadingrow"/>
              <w:keepNext w:val="0"/>
              <w:jc w:val="center"/>
              <w:rPr>
                <w:lang w:val="en-AU"/>
              </w:rPr>
            </w:pPr>
            <w:r w:rsidRPr="003A235D">
              <w:rPr>
                <w:lang w:val="en-AU"/>
              </w:rPr>
              <w:t>-</w:t>
            </w:r>
          </w:p>
        </w:tc>
      </w:tr>
      <w:tr w:rsidR="00C21FCA" w:rsidRPr="003A235D" w14:paraId="0ECC7A3D" w14:textId="77777777" w:rsidTr="00AE14F4">
        <w:tc>
          <w:tcPr>
            <w:tcW w:w="9017" w:type="dxa"/>
            <w:gridSpan w:val="5"/>
          </w:tcPr>
          <w:p w14:paraId="144DFC15" w14:textId="77777777" w:rsidR="00C21FCA" w:rsidRPr="003A235D" w:rsidRDefault="00C21FCA" w:rsidP="00AE14F4">
            <w:pPr>
              <w:pStyle w:val="COMTableheadingrow"/>
              <w:keepNext w:val="0"/>
              <w:rPr>
                <w:lang w:val="en-AU"/>
              </w:rPr>
            </w:pPr>
            <w:r w:rsidRPr="003A235D">
              <w:rPr>
                <w:lang w:val="en-AU"/>
              </w:rPr>
              <w:t>Discount rate (base case 5% costs and outcomes)</w:t>
            </w:r>
          </w:p>
        </w:tc>
      </w:tr>
      <w:tr w:rsidR="00C21FCA" w:rsidRPr="003A235D" w14:paraId="4FD18370" w14:textId="77777777" w:rsidTr="00B6635B">
        <w:tc>
          <w:tcPr>
            <w:tcW w:w="3722" w:type="dxa"/>
          </w:tcPr>
          <w:p w14:paraId="557A2A02" w14:textId="77777777" w:rsidR="00C21FCA" w:rsidRPr="003A235D" w:rsidRDefault="00C21FCA" w:rsidP="00AE14F4">
            <w:pPr>
              <w:pStyle w:val="COMTableheadingrow"/>
              <w:keepNext w:val="0"/>
              <w:rPr>
                <w:b w:val="0"/>
                <w:bCs/>
                <w:lang w:val="en-AU"/>
              </w:rPr>
            </w:pPr>
            <w:r w:rsidRPr="003A235D">
              <w:rPr>
                <w:b w:val="0"/>
                <w:bCs/>
                <w:lang w:val="en-AU"/>
              </w:rPr>
              <w:t>- 0% costs and outcomes</w:t>
            </w:r>
          </w:p>
        </w:tc>
        <w:tc>
          <w:tcPr>
            <w:tcW w:w="1323" w:type="dxa"/>
            <w:tcBorders>
              <w:bottom w:val="single" w:sz="4" w:space="0" w:color="auto"/>
            </w:tcBorders>
            <w:shd w:val="solid" w:color="000000" w:fill="000000"/>
            <w:vAlign w:val="center"/>
          </w:tcPr>
          <w:p w14:paraId="4AAA833D" w14:textId="7C95A011" w:rsidR="00C21FCA" w:rsidRPr="00B6635B" w:rsidRDefault="00B6635B" w:rsidP="00AE14F4">
            <w:pPr>
              <w:pStyle w:val="COMTableheadingrow"/>
              <w:keepNext w:val="0"/>
              <w:jc w:val="center"/>
              <w:rPr>
                <w:b w:val="0"/>
                <w:bCs/>
                <w:lang w:val="en-AU"/>
              </w:rPr>
            </w:pPr>
            <w:r w:rsidRPr="00B6635B">
              <w:rPr>
                <w:b w:val="0"/>
                <w:bCs/>
                <w:color w:val="000000"/>
                <w:lang w:val="en-AU"/>
                <w14:textFill>
                  <w14:solidFill>
                    <w14:srgbClr w14:val="000000">
                      <w14:alpha w14:val="100000"/>
                    </w14:srgbClr>
                  </w14:solidFill>
                </w14:textFill>
              </w:rPr>
              <w:t>|</w:t>
            </w:r>
          </w:p>
        </w:tc>
        <w:tc>
          <w:tcPr>
            <w:tcW w:w="1324" w:type="dxa"/>
            <w:vAlign w:val="center"/>
          </w:tcPr>
          <w:p w14:paraId="0A79A650" w14:textId="77777777" w:rsidR="00C21FCA" w:rsidRPr="003A235D" w:rsidRDefault="00C21FCA" w:rsidP="00AE14F4">
            <w:pPr>
              <w:pStyle w:val="COMTableheadingrow"/>
              <w:keepNext w:val="0"/>
              <w:jc w:val="center"/>
              <w:rPr>
                <w:b w:val="0"/>
                <w:bCs/>
                <w:lang w:val="en-AU"/>
              </w:rPr>
            </w:pPr>
            <w:r w:rsidRPr="003A235D">
              <w:rPr>
                <w:b w:val="0"/>
                <w:bCs/>
                <w:lang w:val="en-AU"/>
              </w:rPr>
              <w:t>0.1127</w:t>
            </w:r>
          </w:p>
        </w:tc>
        <w:tc>
          <w:tcPr>
            <w:tcW w:w="1324" w:type="dxa"/>
            <w:vAlign w:val="center"/>
          </w:tcPr>
          <w:p w14:paraId="77EDF4CB" w14:textId="244D5451" w:rsidR="00C21FCA" w:rsidRPr="00B6635B" w:rsidRDefault="00B6635B" w:rsidP="00AE14F4">
            <w:pPr>
              <w:pStyle w:val="COMTableheadingrow"/>
              <w:keepNext w:val="0"/>
              <w:jc w:val="center"/>
              <w:rPr>
                <w:b w:val="0"/>
                <w:bCs/>
                <w:highlight w:val="darkGray"/>
                <w:lang w:val="en-AU"/>
              </w:rPr>
            </w:pPr>
            <w:r w:rsidRPr="00E72650">
              <w:rPr>
                <w:rFonts w:hint="eastAsia"/>
                <w:b w:val="0"/>
                <w:bCs/>
                <w:color w:val="000000"/>
                <w:spacing w:val="-187"/>
                <w:shd w:val="solid" w:color="000000" w:fill="000000"/>
                <w:fitText w:val="13" w:id="-1305203967"/>
                <w:lang w:val="en-AU"/>
                <w14:textFill>
                  <w14:solidFill>
                    <w14:srgbClr w14:val="000000">
                      <w14:alpha w14:val="100000"/>
                    </w14:srgbClr>
                  </w14:solidFill>
                </w14:textFill>
              </w:rPr>
              <w:t xml:space="preserve">　</w:t>
            </w:r>
            <w:r w:rsidRPr="00334395">
              <w:rPr>
                <w:b w:val="0"/>
                <w:bCs/>
                <w:color w:val="000000"/>
                <w:w w:val="15"/>
                <w:shd w:val="solid" w:color="000000" w:fill="000000"/>
                <w:lang w:val="en-AU"/>
                <w14:textFill>
                  <w14:solidFill>
                    <w14:srgbClr w14:val="000000">
                      <w14:alpha w14:val="100000"/>
                    </w14:srgbClr>
                  </w14:solidFill>
                </w14:textFill>
              </w:rPr>
              <w:t>|</w:t>
            </w:r>
            <w:r w:rsidRPr="00E72650">
              <w:rPr>
                <w:rFonts w:hint="eastAsia"/>
                <w:b w:val="0"/>
                <w:bCs/>
                <w:color w:val="000000"/>
                <w:w w:val="15"/>
                <w:shd w:val="solid" w:color="000000" w:fill="000000"/>
                <w:lang w:val="en-AU"/>
                <w14:textFill>
                  <w14:solidFill>
                    <w14:srgbClr w14:val="000000">
                      <w14:alpha w14:val="100000"/>
                    </w14:srgbClr>
                  </w14:solidFill>
                </w14:textFill>
              </w:rPr>
              <w:t xml:space="preserve">　</w:t>
            </w:r>
            <w:r w:rsidR="00FC614E" w:rsidRPr="00B6635B">
              <w:rPr>
                <w:b w:val="0"/>
                <w:bCs/>
                <w:vertAlign w:val="superscript"/>
                <w:lang w:val="en-AU"/>
              </w:rPr>
              <w:t>1</w:t>
            </w:r>
          </w:p>
        </w:tc>
        <w:tc>
          <w:tcPr>
            <w:tcW w:w="1324" w:type="dxa"/>
            <w:vAlign w:val="center"/>
          </w:tcPr>
          <w:p w14:paraId="7ED5169D" w14:textId="59D8B044" w:rsidR="00C21FCA" w:rsidRPr="003A235D" w:rsidRDefault="00864C1B" w:rsidP="00AE14F4">
            <w:pPr>
              <w:pStyle w:val="COMTableheadingrow"/>
              <w:keepNext w:val="0"/>
              <w:jc w:val="center"/>
              <w:rPr>
                <w:b w:val="0"/>
                <w:bCs/>
                <w:lang w:val="en-AU"/>
              </w:rPr>
            </w:pPr>
            <w:r w:rsidRPr="003A235D">
              <w:rPr>
                <w:b w:val="0"/>
                <w:bCs/>
                <w:lang w:val="en-AU"/>
              </w:rPr>
              <w:t>-9%</w:t>
            </w:r>
          </w:p>
        </w:tc>
      </w:tr>
      <w:tr w:rsidR="00C21FCA" w:rsidRPr="003A235D" w14:paraId="34F6444B" w14:textId="77777777" w:rsidTr="00B6635B">
        <w:tc>
          <w:tcPr>
            <w:tcW w:w="3722" w:type="dxa"/>
          </w:tcPr>
          <w:p w14:paraId="33AC4A03" w14:textId="77777777" w:rsidR="00C21FCA" w:rsidRPr="003A235D" w:rsidRDefault="00C21FCA" w:rsidP="00AE14F4">
            <w:pPr>
              <w:pStyle w:val="COMTableheadingrow"/>
              <w:keepNext w:val="0"/>
              <w:rPr>
                <w:b w:val="0"/>
                <w:bCs/>
                <w:lang w:val="en-AU"/>
              </w:rPr>
            </w:pPr>
            <w:r w:rsidRPr="003A235D">
              <w:rPr>
                <w:b w:val="0"/>
                <w:bCs/>
                <w:lang w:val="en-AU"/>
              </w:rPr>
              <w:t>- 3.5% costs and outcomes</w:t>
            </w:r>
          </w:p>
        </w:tc>
        <w:tc>
          <w:tcPr>
            <w:tcW w:w="1323" w:type="dxa"/>
            <w:shd w:val="solid" w:color="000000" w:fill="000000"/>
            <w:vAlign w:val="center"/>
          </w:tcPr>
          <w:p w14:paraId="73A02543" w14:textId="0E7A3364" w:rsidR="00C21FCA" w:rsidRPr="00B6635B" w:rsidRDefault="00B6635B" w:rsidP="00AE14F4">
            <w:pPr>
              <w:pStyle w:val="COMTableheadingrow"/>
              <w:keepNext w:val="0"/>
              <w:jc w:val="center"/>
              <w:rPr>
                <w:b w:val="0"/>
                <w:bCs/>
                <w:lang w:val="en-AU"/>
              </w:rPr>
            </w:pPr>
            <w:r w:rsidRPr="00B6635B">
              <w:rPr>
                <w:b w:val="0"/>
                <w:bCs/>
                <w:color w:val="000000"/>
                <w:lang w:val="en-AU"/>
                <w14:textFill>
                  <w14:solidFill>
                    <w14:srgbClr w14:val="000000">
                      <w14:alpha w14:val="100000"/>
                    </w14:srgbClr>
                  </w14:solidFill>
                </w14:textFill>
              </w:rPr>
              <w:t>|</w:t>
            </w:r>
          </w:p>
        </w:tc>
        <w:tc>
          <w:tcPr>
            <w:tcW w:w="1324" w:type="dxa"/>
            <w:vAlign w:val="center"/>
          </w:tcPr>
          <w:p w14:paraId="61C262D0" w14:textId="77777777" w:rsidR="00C21FCA" w:rsidRPr="003A235D" w:rsidRDefault="00C21FCA" w:rsidP="00AE14F4">
            <w:pPr>
              <w:pStyle w:val="COMTableheadingrow"/>
              <w:keepNext w:val="0"/>
              <w:jc w:val="center"/>
              <w:rPr>
                <w:b w:val="0"/>
                <w:bCs/>
                <w:lang w:val="en-AU"/>
              </w:rPr>
            </w:pPr>
            <w:r w:rsidRPr="003A235D">
              <w:rPr>
                <w:b w:val="0"/>
                <w:bCs/>
                <w:lang w:val="en-AU"/>
              </w:rPr>
              <w:t>0.0945</w:t>
            </w:r>
          </w:p>
        </w:tc>
        <w:tc>
          <w:tcPr>
            <w:tcW w:w="1324" w:type="dxa"/>
            <w:vAlign w:val="center"/>
          </w:tcPr>
          <w:p w14:paraId="7955BFEB" w14:textId="53913FA7" w:rsidR="00C21FCA" w:rsidRPr="00B6635B" w:rsidRDefault="00B6635B" w:rsidP="00AE14F4">
            <w:pPr>
              <w:pStyle w:val="COMTableheadingrow"/>
              <w:keepNext w:val="0"/>
              <w:jc w:val="center"/>
              <w:rPr>
                <w:b w:val="0"/>
                <w:bCs/>
                <w:highlight w:val="darkGray"/>
                <w:lang w:val="en-AU"/>
              </w:rPr>
            </w:pPr>
            <w:r w:rsidRPr="00E72650">
              <w:rPr>
                <w:rFonts w:hint="eastAsia"/>
                <w:b w:val="0"/>
                <w:bCs/>
                <w:color w:val="000000"/>
                <w:spacing w:val="-187"/>
                <w:shd w:val="solid" w:color="000000" w:fill="000000"/>
                <w:fitText w:val="13" w:id="-1305203966"/>
                <w:lang w:val="en-AU"/>
                <w14:textFill>
                  <w14:solidFill>
                    <w14:srgbClr w14:val="000000">
                      <w14:alpha w14:val="100000"/>
                    </w14:srgbClr>
                  </w14:solidFill>
                </w14:textFill>
              </w:rPr>
              <w:t xml:space="preserve">　</w:t>
            </w:r>
            <w:r w:rsidRPr="00334395">
              <w:rPr>
                <w:b w:val="0"/>
                <w:bCs/>
                <w:color w:val="000000"/>
                <w:w w:val="15"/>
                <w:shd w:val="solid" w:color="000000" w:fill="000000"/>
                <w:lang w:val="en-AU"/>
                <w14:textFill>
                  <w14:solidFill>
                    <w14:srgbClr w14:val="000000">
                      <w14:alpha w14:val="100000"/>
                    </w14:srgbClr>
                  </w14:solidFill>
                </w14:textFill>
              </w:rPr>
              <w:t>|</w:t>
            </w:r>
            <w:r w:rsidRPr="00E72650">
              <w:rPr>
                <w:rFonts w:hint="eastAsia"/>
                <w:b w:val="0"/>
                <w:bCs/>
                <w:color w:val="000000"/>
                <w:w w:val="15"/>
                <w:shd w:val="solid" w:color="000000" w:fill="000000"/>
                <w:lang w:val="en-AU"/>
                <w14:textFill>
                  <w14:solidFill>
                    <w14:srgbClr w14:val="000000">
                      <w14:alpha w14:val="100000"/>
                    </w14:srgbClr>
                  </w14:solidFill>
                </w14:textFill>
              </w:rPr>
              <w:t xml:space="preserve">　</w:t>
            </w:r>
            <w:r w:rsidR="00FC614E" w:rsidRPr="00B6635B">
              <w:rPr>
                <w:b w:val="0"/>
                <w:bCs/>
                <w:vertAlign w:val="superscript"/>
                <w:lang w:val="en-AU"/>
              </w:rPr>
              <w:t>1</w:t>
            </w:r>
          </w:p>
        </w:tc>
        <w:tc>
          <w:tcPr>
            <w:tcW w:w="1324" w:type="dxa"/>
            <w:vAlign w:val="center"/>
          </w:tcPr>
          <w:p w14:paraId="69B08BF6" w14:textId="20C7AF7D" w:rsidR="00C21FCA" w:rsidRPr="003A235D" w:rsidRDefault="00864C1B" w:rsidP="00AE14F4">
            <w:pPr>
              <w:pStyle w:val="COMTableheadingrow"/>
              <w:keepNext w:val="0"/>
              <w:jc w:val="center"/>
              <w:rPr>
                <w:b w:val="0"/>
                <w:bCs/>
                <w:lang w:val="en-AU"/>
              </w:rPr>
            </w:pPr>
            <w:r w:rsidRPr="003A235D">
              <w:rPr>
                <w:b w:val="0"/>
                <w:bCs/>
                <w:lang w:val="en-AU"/>
              </w:rPr>
              <w:t>-3%</w:t>
            </w:r>
          </w:p>
        </w:tc>
      </w:tr>
      <w:tr w:rsidR="00C21FCA" w:rsidRPr="003A235D" w14:paraId="276B00EF" w14:textId="77777777" w:rsidTr="00AE14F4">
        <w:tc>
          <w:tcPr>
            <w:tcW w:w="9017" w:type="dxa"/>
            <w:gridSpan w:val="5"/>
          </w:tcPr>
          <w:p w14:paraId="66A6C89C" w14:textId="77777777" w:rsidR="00C21FCA" w:rsidRPr="003A235D" w:rsidRDefault="00C21FCA" w:rsidP="00AE14F4">
            <w:pPr>
              <w:pStyle w:val="COMTableheadingrow"/>
              <w:keepNext w:val="0"/>
              <w:rPr>
                <w:b w:val="0"/>
                <w:bCs/>
                <w:lang w:val="en-AU"/>
              </w:rPr>
            </w:pPr>
            <w:r w:rsidRPr="003A235D">
              <w:rPr>
                <w:lang w:val="en-AU"/>
              </w:rPr>
              <w:t>Time horizon (base case 15 years)</w:t>
            </w:r>
          </w:p>
        </w:tc>
      </w:tr>
      <w:tr w:rsidR="00C21FCA" w:rsidRPr="003A235D" w14:paraId="224555C0" w14:textId="77777777" w:rsidTr="00B6635B">
        <w:tc>
          <w:tcPr>
            <w:tcW w:w="3722" w:type="dxa"/>
          </w:tcPr>
          <w:p w14:paraId="4F0F98C1" w14:textId="77777777" w:rsidR="00C21FCA" w:rsidRPr="003A235D" w:rsidRDefault="00C21FCA" w:rsidP="00AE14F4">
            <w:pPr>
              <w:pStyle w:val="COMTableheadingrow"/>
              <w:keepNext w:val="0"/>
              <w:rPr>
                <w:b w:val="0"/>
                <w:bCs/>
                <w:lang w:val="en-AU"/>
              </w:rPr>
            </w:pPr>
            <w:r w:rsidRPr="003A235D">
              <w:rPr>
                <w:b w:val="0"/>
                <w:bCs/>
                <w:iCs/>
                <w:lang w:val="en-AU"/>
              </w:rPr>
              <w:t>- 5 years</w:t>
            </w:r>
          </w:p>
        </w:tc>
        <w:tc>
          <w:tcPr>
            <w:tcW w:w="1323" w:type="dxa"/>
            <w:tcBorders>
              <w:bottom w:val="single" w:sz="4" w:space="0" w:color="auto"/>
            </w:tcBorders>
            <w:shd w:val="solid" w:color="000000" w:fill="000000"/>
            <w:vAlign w:val="center"/>
          </w:tcPr>
          <w:p w14:paraId="24640C57" w14:textId="5CE3FAEE" w:rsidR="00C21FCA" w:rsidRPr="00B6635B" w:rsidRDefault="00B6635B" w:rsidP="00AE14F4">
            <w:pPr>
              <w:pStyle w:val="COMTableheadingrow"/>
              <w:keepNext w:val="0"/>
              <w:jc w:val="center"/>
              <w:rPr>
                <w:b w:val="0"/>
                <w:bCs/>
                <w:lang w:val="en-AU"/>
              </w:rPr>
            </w:pPr>
            <w:r w:rsidRPr="00B6635B">
              <w:rPr>
                <w:b w:val="0"/>
                <w:bCs/>
                <w:iCs/>
                <w:color w:val="000000"/>
                <w:lang w:val="en-AU"/>
                <w14:textFill>
                  <w14:solidFill>
                    <w14:srgbClr w14:val="000000">
                      <w14:alpha w14:val="100000"/>
                    </w14:srgbClr>
                  </w14:solidFill>
                </w14:textFill>
              </w:rPr>
              <w:t>|</w:t>
            </w:r>
          </w:p>
        </w:tc>
        <w:tc>
          <w:tcPr>
            <w:tcW w:w="1324" w:type="dxa"/>
            <w:vAlign w:val="center"/>
          </w:tcPr>
          <w:p w14:paraId="2D3A327C" w14:textId="77777777" w:rsidR="00C21FCA" w:rsidRPr="003A235D" w:rsidRDefault="00C21FCA" w:rsidP="00AE14F4">
            <w:pPr>
              <w:pStyle w:val="COMTableheadingrow"/>
              <w:keepNext w:val="0"/>
              <w:jc w:val="center"/>
              <w:rPr>
                <w:b w:val="0"/>
                <w:bCs/>
                <w:iCs/>
                <w:lang w:val="en-AU"/>
              </w:rPr>
            </w:pPr>
            <w:r w:rsidRPr="003A235D">
              <w:rPr>
                <w:b w:val="0"/>
                <w:bCs/>
                <w:iCs/>
                <w:lang w:val="en-AU"/>
              </w:rPr>
              <w:t>0.0488</w:t>
            </w:r>
          </w:p>
        </w:tc>
        <w:tc>
          <w:tcPr>
            <w:tcW w:w="1324" w:type="dxa"/>
            <w:vAlign w:val="center"/>
          </w:tcPr>
          <w:p w14:paraId="2CAF8076" w14:textId="44F4C774" w:rsidR="00C21FCA" w:rsidRPr="00B6635B" w:rsidRDefault="00B6635B" w:rsidP="00AE14F4">
            <w:pPr>
              <w:pStyle w:val="COMTableheadingrow"/>
              <w:keepNext w:val="0"/>
              <w:jc w:val="center"/>
              <w:rPr>
                <w:b w:val="0"/>
                <w:bCs/>
                <w:iCs/>
                <w:highlight w:val="darkGray"/>
                <w:lang w:val="en-AU"/>
              </w:rPr>
            </w:pPr>
            <w:r w:rsidRPr="00E72650">
              <w:rPr>
                <w:rFonts w:hint="eastAsia"/>
                <w:b w:val="0"/>
                <w:bCs/>
                <w:iCs/>
                <w:color w:val="000000"/>
                <w:spacing w:val="-187"/>
                <w:shd w:val="solid" w:color="000000" w:fill="000000"/>
                <w:fitText w:val="13" w:id="-1305203965"/>
                <w:lang w:val="en-AU"/>
                <w14:textFill>
                  <w14:solidFill>
                    <w14:srgbClr w14:val="000000">
                      <w14:alpha w14:val="100000"/>
                    </w14:srgbClr>
                  </w14:solidFill>
                </w14:textFill>
              </w:rPr>
              <w:t xml:space="preserve">　</w:t>
            </w:r>
            <w:r w:rsidRPr="00334395">
              <w:rPr>
                <w:b w:val="0"/>
                <w:bCs/>
                <w:iCs/>
                <w:color w:val="000000"/>
                <w:w w:val="15"/>
                <w:shd w:val="solid" w:color="000000" w:fill="000000"/>
                <w:lang w:val="en-AU"/>
                <w14:textFill>
                  <w14:solidFill>
                    <w14:srgbClr w14:val="000000">
                      <w14:alpha w14:val="100000"/>
                    </w14:srgbClr>
                  </w14:solidFill>
                </w14:textFill>
              </w:rPr>
              <w:t>|</w:t>
            </w:r>
            <w:r w:rsidRPr="00E72650">
              <w:rPr>
                <w:rFonts w:hint="eastAsia"/>
                <w:b w:val="0"/>
                <w:bCs/>
                <w:iCs/>
                <w:color w:val="000000"/>
                <w:w w:val="15"/>
                <w:shd w:val="solid" w:color="000000" w:fill="000000"/>
                <w:lang w:val="en-AU"/>
                <w14:textFill>
                  <w14:solidFill>
                    <w14:srgbClr w14:val="000000">
                      <w14:alpha w14:val="100000"/>
                    </w14:srgbClr>
                  </w14:solidFill>
                </w14:textFill>
              </w:rPr>
              <w:t xml:space="preserve">　</w:t>
            </w:r>
            <w:r w:rsidR="00EE5627" w:rsidRPr="00B6635B">
              <w:rPr>
                <w:b w:val="0"/>
                <w:bCs/>
                <w:iCs/>
                <w:szCs w:val="20"/>
                <w:vertAlign w:val="superscript"/>
              </w:rPr>
              <w:t>2</w:t>
            </w:r>
          </w:p>
        </w:tc>
        <w:tc>
          <w:tcPr>
            <w:tcW w:w="1324" w:type="dxa"/>
            <w:vAlign w:val="center"/>
          </w:tcPr>
          <w:p w14:paraId="63DFF84C" w14:textId="27A411C6" w:rsidR="00C21FCA" w:rsidRPr="003A235D" w:rsidRDefault="00C21FCA" w:rsidP="00AE14F4">
            <w:pPr>
              <w:pStyle w:val="COMTableheadingrow"/>
              <w:keepNext w:val="0"/>
              <w:jc w:val="center"/>
              <w:rPr>
                <w:b w:val="0"/>
                <w:bCs/>
                <w:iCs/>
                <w:lang w:val="en-AU"/>
              </w:rPr>
            </w:pPr>
            <w:r w:rsidRPr="003A235D">
              <w:rPr>
                <w:b w:val="0"/>
                <w:bCs/>
                <w:iCs/>
                <w:lang w:val="en-AU"/>
              </w:rPr>
              <w:t>39%</w:t>
            </w:r>
          </w:p>
        </w:tc>
      </w:tr>
      <w:tr w:rsidR="00C21FCA" w:rsidRPr="003A235D" w14:paraId="4F17D118" w14:textId="77777777" w:rsidTr="00B6635B">
        <w:tc>
          <w:tcPr>
            <w:tcW w:w="3722" w:type="dxa"/>
          </w:tcPr>
          <w:p w14:paraId="58F76DEE" w14:textId="77777777" w:rsidR="00C21FCA" w:rsidRPr="003A235D" w:rsidRDefault="00C21FCA" w:rsidP="00AE14F4">
            <w:pPr>
              <w:pStyle w:val="COMTableheadingrow"/>
              <w:keepNext w:val="0"/>
              <w:rPr>
                <w:b w:val="0"/>
                <w:bCs/>
                <w:lang w:val="en-AU"/>
              </w:rPr>
            </w:pPr>
            <w:r w:rsidRPr="003A235D">
              <w:rPr>
                <w:b w:val="0"/>
                <w:bCs/>
                <w:lang w:val="en-AU"/>
              </w:rPr>
              <w:t>- 10 years</w:t>
            </w:r>
          </w:p>
        </w:tc>
        <w:tc>
          <w:tcPr>
            <w:tcW w:w="1323" w:type="dxa"/>
            <w:tcBorders>
              <w:bottom w:val="single" w:sz="4" w:space="0" w:color="auto"/>
            </w:tcBorders>
            <w:shd w:val="solid" w:color="000000" w:fill="000000"/>
            <w:vAlign w:val="center"/>
          </w:tcPr>
          <w:p w14:paraId="274132BB" w14:textId="1ACB1EA3" w:rsidR="00C21FCA" w:rsidRPr="00B6635B" w:rsidRDefault="00B6635B" w:rsidP="00AE14F4">
            <w:pPr>
              <w:pStyle w:val="COMTableheadingrow"/>
              <w:keepNext w:val="0"/>
              <w:jc w:val="center"/>
              <w:rPr>
                <w:b w:val="0"/>
                <w:bCs/>
                <w:lang w:val="en-AU"/>
              </w:rPr>
            </w:pPr>
            <w:r w:rsidRPr="00B6635B">
              <w:rPr>
                <w:b w:val="0"/>
                <w:bCs/>
                <w:color w:val="000000"/>
                <w:lang w:val="en-AU"/>
                <w14:textFill>
                  <w14:solidFill>
                    <w14:srgbClr w14:val="000000">
                      <w14:alpha w14:val="100000"/>
                    </w14:srgbClr>
                  </w14:solidFill>
                </w14:textFill>
              </w:rPr>
              <w:t>|</w:t>
            </w:r>
          </w:p>
        </w:tc>
        <w:tc>
          <w:tcPr>
            <w:tcW w:w="1324" w:type="dxa"/>
            <w:vAlign w:val="center"/>
          </w:tcPr>
          <w:p w14:paraId="0B43FFA9" w14:textId="77777777" w:rsidR="00C21FCA" w:rsidRPr="003A235D" w:rsidRDefault="00C21FCA" w:rsidP="00AE14F4">
            <w:pPr>
              <w:pStyle w:val="COMTableheadingrow"/>
              <w:keepNext w:val="0"/>
              <w:jc w:val="center"/>
              <w:rPr>
                <w:b w:val="0"/>
                <w:bCs/>
                <w:lang w:val="en-AU"/>
              </w:rPr>
            </w:pPr>
            <w:r w:rsidRPr="003A235D">
              <w:rPr>
                <w:b w:val="0"/>
                <w:bCs/>
                <w:lang w:val="en-AU"/>
              </w:rPr>
              <w:t>0.0771</w:t>
            </w:r>
          </w:p>
        </w:tc>
        <w:tc>
          <w:tcPr>
            <w:tcW w:w="1324" w:type="dxa"/>
            <w:vAlign w:val="center"/>
          </w:tcPr>
          <w:p w14:paraId="4AB3B40F" w14:textId="2A915CA1" w:rsidR="00C21FCA" w:rsidRPr="00B6635B" w:rsidRDefault="00B6635B" w:rsidP="00AE14F4">
            <w:pPr>
              <w:pStyle w:val="COMTableheadingrow"/>
              <w:keepNext w:val="0"/>
              <w:jc w:val="center"/>
              <w:rPr>
                <w:b w:val="0"/>
                <w:bCs/>
                <w:highlight w:val="darkGray"/>
                <w:lang w:val="en-AU"/>
              </w:rPr>
            </w:pPr>
            <w:r w:rsidRPr="00E72650">
              <w:rPr>
                <w:rFonts w:hint="eastAsia"/>
                <w:b w:val="0"/>
                <w:bCs/>
                <w:color w:val="000000"/>
                <w:spacing w:val="-187"/>
                <w:shd w:val="solid" w:color="000000" w:fill="000000"/>
                <w:fitText w:val="13" w:id="-1305203964"/>
                <w:lang w:val="en-AU"/>
                <w14:textFill>
                  <w14:solidFill>
                    <w14:srgbClr w14:val="000000">
                      <w14:alpha w14:val="100000"/>
                    </w14:srgbClr>
                  </w14:solidFill>
                </w14:textFill>
              </w:rPr>
              <w:t xml:space="preserve">　</w:t>
            </w:r>
            <w:r w:rsidRPr="00334395">
              <w:rPr>
                <w:b w:val="0"/>
                <w:bCs/>
                <w:color w:val="000000"/>
                <w:w w:val="15"/>
                <w:shd w:val="solid" w:color="000000" w:fill="000000"/>
                <w:lang w:val="en-AU"/>
                <w14:textFill>
                  <w14:solidFill>
                    <w14:srgbClr w14:val="000000">
                      <w14:alpha w14:val="100000"/>
                    </w14:srgbClr>
                  </w14:solidFill>
                </w14:textFill>
              </w:rPr>
              <w:t>|</w:t>
            </w:r>
            <w:r w:rsidRPr="00E72650">
              <w:rPr>
                <w:rFonts w:hint="eastAsia"/>
                <w:b w:val="0"/>
                <w:bCs/>
                <w:color w:val="000000"/>
                <w:w w:val="15"/>
                <w:shd w:val="solid" w:color="000000" w:fill="000000"/>
                <w:lang w:val="en-AU"/>
                <w14:textFill>
                  <w14:solidFill>
                    <w14:srgbClr w14:val="000000">
                      <w14:alpha w14:val="100000"/>
                    </w14:srgbClr>
                  </w14:solidFill>
                </w14:textFill>
              </w:rPr>
              <w:t xml:space="preserve">　</w:t>
            </w:r>
            <w:r w:rsidR="00FC614E" w:rsidRPr="00B6635B">
              <w:rPr>
                <w:b w:val="0"/>
                <w:bCs/>
                <w:vertAlign w:val="superscript"/>
                <w:lang w:val="en-AU"/>
              </w:rPr>
              <w:t>1</w:t>
            </w:r>
          </w:p>
        </w:tc>
        <w:tc>
          <w:tcPr>
            <w:tcW w:w="1324" w:type="dxa"/>
            <w:vAlign w:val="center"/>
          </w:tcPr>
          <w:p w14:paraId="6B0F9018" w14:textId="34AB4FED" w:rsidR="00C21FCA" w:rsidRPr="003A235D" w:rsidRDefault="00C21FCA" w:rsidP="00AE14F4">
            <w:pPr>
              <w:pStyle w:val="COMTableheadingrow"/>
              <w:keepNext w:val="0"/>
              <w:jc w:val="center"/>
              <w:rPr>
                <w:b w:val="0"/>
                <w:bCs/>
                <w:lang w:val="en-AU"/>
              </w:rPr>
            </w:pPr>
            <w:r w:rsidRPr="003A235D">
              <w:rPr>
                <w:b w:val="0"/>
                <w:bCs/>
                <w:lang w:val="en-AU"/>
              </w:rPr>
              <w:t>9%</w:t>
            </w:r>
          </w:p>
        </w:tc>
      </w:tr>
      <w:tr w:rsidR="00C21FCA" w:rsidRPr="003A235D" w14:paraId="37ED62D8" w14:textId="77777777" w:rsidTr="00B6635B">
        <w:tc>
          <w:tcPr>
            <w:tcW w:w="3722" w:type="dxa"/>
          </w:tcPr>
          <w:p w14:paraId="5FBD609B" w14:textId="77777777" w:rsidR="00C21FCA" w:rsidRPr="003A235D" w:rsidRDefault="00C21FCA" w:rsidP="00AE14F4">
            <w:pPr>
              <w:pStyle w:val="COMTableheadingrow"/>
              <w:keepNext w:val="0"/>
              <w:rPr>
                <w:b w:val="0"/>
                <w:bCs/>
                <w:lang w:val="en-AU"/>
              </w:rPr>
            </w:pPr>
            <w:r w:rsidRPr="003A235D">
              <w:rPr>
                <w:b w:val="0"/>
                <w:bCs/>
                <w:lang w:val="en-AU"/>
              </w:rPr>
              <w:t>- 20 years</w:t>
            </w:r>
          </w:p>
        </w:tc>
        <w:tc>
          <w:tcPr>
            <w:tcW w:w="1323" w:type="dxa"/>
            <w:tcBorders>
              <w:bottom w:val="single" w:sz="4" w:space="0" w:color="auto"/>
            </w:tcBorders>
            <w:shd w:val="solid" w:color="000000" w:fill="000000"/>
            <w:vAlign w:val="center"/>
          </w:tcPr>
          <w:p w14:paraId="7F3000CF" w14:textId="2A9F95E7" w:rsidR="00C21FCA" w:rsidRPr="00B6635B" w:rsidRDefault="00B6635B" w:rsidP="00AE14F4">
            <w:pPr>
              <w:pStyle w:val="COMTableheadingrow"/>
              <w:keepNext w:val="0"/>
              <w:jc w:val="center"/>
              <w:rPr>
                <w:b w:val="0"/>
                <w:bCs/>
                <w:lang w:val="en-AU"/>
              </w:rPr>
            </w:pPr>
            <w:r w:rsidRPr="00B6635B">
              <w:rPr>
                <w:b w:val="0"/>
                <w:bCs/>
                <w:color w:val="000000"/>
                <w:lang w:val="en-AU"/>
                <w14:textFill>
                  <w14:solidFill>
                    <w14:srgbClr w14:val="000000">
                      <w14:alpha w14:val="100000"/>
                    </w14:srgbClr>
                  </w14:solidFill>
                </w14:textFill>
              </w:rPr>
              <w:t>|</w:t>
            </w:r>
          </w:p>
        </w:tc>
        <w:tc>
          <w:tcPr>
            <w:tcW w:w="1324" w:type="dxa"/>
            <w:tcBorders>
              <w:bottom w:val="single" w:sz="4" w:space="0" w:color="auto"/>
            </w:tcBorders>
            <w:vAlign w:val="center"/>
          </w:tcPr>
          <w:p w14:paraId="6F9BF19E" w14:textId="77777777" w:rsidR="00C21FCA" w:rsidRPr="003A235D" w:rsidRDefault="00C21FCA" w:rsidP="00AE14F4">
            <w:pPr>
              <w:pStyle w:val="COMTableheadingrow"/>
              <w:keepNext w:val="0"/>
              <w:jc w:val="center"/>
              <w:rPr>
                <w:b w:val="0"/>
                <w:bCs/>
                <w:lang w:val="en-AU"/>
              </w:rPr>
            </w:pPr>
            <w:r w:rsidRPr="003A235D">
              <w:rPr>
                <w:b w:val="0"/>
                <w:bCs/>
                <w:lang w:val="en-AU"/>
              </w:rPr>
              <w:t>0.0917</w:t>
            </w:r>
          </w:p>
        </w:tc>
        <w:tc>
          <w:tcPr>
            <w:tcW w:w="1324" w:type="dxa"/>
            <w:tcBorders>
              <w:bottom w:val="single" w:sz="4" w:space="0" w:color="auto"/>
            </w:tcBorders>
            <w:vAlign w:val="center"/>
          </w:tcPr>
          <w:p w14:paraId="4C91344E" w14:textId="7A3B85C3" w:rsidR="00C21FCA" w:rsidRPr="00B6635B" w:rsidRDefault="00B6635B" w:rsidP="00AE14F4">
            <w:pPr>
              <w:pStyle w:val="COMTableheadingrow"/>
              <w:keepNext w:val="0"/>
              <w:jc w:val="center"/>
              <w:rPr>
                <w:b w:val="0"/>
                <w:bCs/>
                <w:highlight w:val="darkGray"/>
                <w:lang w:val="en-AU"/>
              </w:rPr>
            </w:pPr>
            <w:r w:rsidRPr="00E72650">
              <w:rPr>
                <w:rFonts w:hint="eastAsia"/>
                <w:b w:val="0"/>
                <w:bCs/>
                <w:color w:val="000000"/>
                <w:spacing w:val="-187"/>
                <w:shd w:val="solid" w:color="000000" w:fill="000000"/>
                <w:fitText w:val="13" w:id="-1305203963"/>
                <w:lang w:val="en-AU"/>
                <w14:textFill>
                  <w14:solidFill>
                    <w14:srgbClr w14:val="000000">
                      <w14:alpha w14:val="100000"/>
                    </w14:srgbClr>
                  </w14:solidFill>
                </w14:textFill>
              </w:rPr>
              <w:t xml:space="preserve">　</w:t>
            </w:r>
            <w:r w:rsidRPr="00334395">
              <w:rPr>
                <w:b w:val="0"/>
                <w:bCs/>
                <w:color w:val="000000"/>
                <w:w w:val="15"/>
                <w:shd w:val="solid" w:color="000000" w:fill="000000"/>
                <w:lang w:val="en-AU"/>
                <w14:textFill>
                  <w14:solidFill>
                    <w14:srgbClr w14:val="000000">
                      <w14:alpha w14:val="100000"/>
                    </w14:srgbClr>
                  </w14:solidFill>
                </w14:textFill>
              </w:rPr>
              <w:t>|</w:t>
            </w:r>
            <w:r w:rsidRPr="00E72650">
              <w:rPr>
                <w:rFonts w:hint="eastAsia"/>
                <w:b w:val="0"/>
                <w:bCs/>
                <w:color w:val="000000"/>
                <w:w w:val="15"/>
                <w:shd w:val="solid" w:color="000000" w:fill="000000"/>
                <w:lang w:val="en-AU"/>
                <w14:textFill>
                  <w14:solidFill>
                    <w14:srgbClr w14:val="000000">
                      <w14:alpha w14:val="100000"/>
                    </w14:srgbClr>
                  </w14:solidFill>
                </w14:textFill>
              </w:rPr>
              <w:t xml:space="preserve">　</w:t>
            </w:r>
            <w:r w:rsidR="00FC614E" w:rsidRPr="00B6635B">
              <w:rPr>
                <w:b w:val="0"/>
                <w:bCs/>
                <w:vertAlign w:val="superscript"/>
                <w:lang w:val="en-AU"/>
              </w:rPr>
              <w:t>1</w:t>
            </w:r>
          </w:p>
        </w:tc>
        <w:tc>
          <w:tcPr>
            <w:tcW w:w="1324" w:type="dxa"/>
            <w:tcBorders>
              <w:bottom w:val="single" w:sz="4" w:space="0" w:color="auto"/>
            </w:tcBorders>
            <w:vAlign w:val="center"/>
          </w:tcPr>
          <w:p w14:paraId="7990828D" w14:textId="6C2D9D1B" w:rsidR="00C21FCA" w:rsidRPr="003A235D" w:rsidRDefault="00864C1B" w:rsidP="00AE14F4">
            <w:pPr>
              <w:pStyle w:val="COMTableheadingrow"/>
              <w:keepNext w:val="0"/>
              <w:jc w:val="center"/>
              <w:rPr>
                <w:b w:val="0"/>
                <w:bCs/>
                <w:lang w:val="en-AU"/>
              </w:rPr>
            </w:pPr>
            <w:r w:rsidRPr="003A235D">
              <w:rPr>
                <w:b w:val="0"/>
                <w:bCs/>
                <w:lang w:val="en-AU"/>
              </w:rPr>
              <w:t>-3%</w:t>
            </w:r>
          </w:p>
        </w:tc>
      </w:tr>
      <w:tr w:rsidR="00C21FCA" w:rsidRPr="003A235D" w14:paraId="7844815F" w14:textId="77777777" w:rsidTr="00AE14F4">
        <w:tc>
          <w:tcPr>
            <w:tcW w:w="9017" w:type="dxa"/>
            <w:gridSpan w:val="5"/>
          </w:tcPr>
          <w:p w14:paraId="28F5C99E" w14:textId="77777777" w:rsidR="00C21FCA" w:rsidRPr="003A235D" w:rsidRDefault="00C21FCA" w:rsidP="00AE14F4">
            <w:pPr>
              <w:pStyle w:val="COMTableheadingrow"/>
              <w:keepNext w:val="0"/>
              <w:rPr>
                <w:b w:val="0"/>
                <w:bCs/>
                <w:lang w:val="en-AU"/>
              </w:rPr>
            </w:pPr>
            <w:r w:rsidRPr="003A235D">
              <w:rPr>
                <w:lang w:val="en-AU"/>
              </w:rPr>
              <w:t>Health states (base case health states based on KCCQ-CSS quartiles; transitions based on EMPEROR-Preserved individual patient data)</w:t>
            </w:r>
          </w:p>
        </w:tc>
      </w:tr>
      <w:tr w:rsidR="00C21FCA" w:rsidRPr="003A235D" w14:paraId="67539B73" w14:textId="77777777" w:rsidTr="00B6635B">
        <w:tc>
          <w:tcPr>
            <w:tcW w:w="3722" w:type="dxa"/>
          </w:tcPr>
          <w:p w14:paraId="77240495" w14:textId="77777777" w:rsidR="00C21FCA" w:rsidRPr="003A235D" w:rsidRDefault="00C21FCA" w:rsidP="00AE14F4">
            <w:pPr>
              <w:pStyle w:val="COMTableheadingrow"/>
              <w:keepNext w:val="0"/>
              <w:rPr>
                <w:b w:val="0"/>
                <w:bCs/>
                <w:lang w:val="en-AU"/>
              </w:rPr>
            </w:pPr>
            <w:r w:rsidRPr="003A235D">
              <w:rPr>
                <w:b w:val="0"/>
                <w:bCs/>
                <w:iCs/>
                <w:lang w:val="en-AU"/>
              </w:rPr>
              <w:t>- empagliflozin transitions set equal to placebo transitions</w:t>
            </w:r>
          </w:p>
        </w:tc>
        <w:tc>
          <w:tcPr>
            <w:tcW w:w="1323" w:type="dxa"/>
            <w:tcBorders>
              <w:bottom w:val="single" w:sz="4" w:space="0" w:color="auto"/>
            </w:tcBorders>
            <w:shd w:val="solid" w:color="000000" w:fill="000000"/>
            <w:vAlign w:val="center"/>
          </w:tcPr>
          <w:p w14:paraId="3BD0B7B3" w14:textId="5CA7D21B" w:rsidR="00C21FCA" w:rsidRPr="00B6635B" w:rsidRDefault="00B6635B" w:rsidP="00AE14F4">
            <w:pPr>
              <w:pStyle w:val="COMTableheadingrow"/>
              <w:keepNext w:val="0"/>
              <w:jc w:val="center"/>
              <w:rPr>
                <w:b w:val="0"/>
                <w:bCs/>
                <w:iCs/>
                <w:lang w:val="en-AU"/>
              </w:rPr>
            </w:pPr>
            <w:r w:rsidRPr="00B6635B">
              <w:rPr>
                <w:rFonts w:cs="Calibri"/>
                <w:b w:val="0"/>
                <w:bCs/>
                <w:iCs/>
                <w:color w:val="000000"/>
                <w:szCs w:val="20"/>
                <w:lang w:val="en-AU"/>
                <w14:textFill>
                  <w14:solidFill>
                    <w14:srgbClr w14:val="000000">
                      <w14:alpha w14:val="100000"/>
                    </w14:srgbClr>
                  </w14:solidFill>
                </w14:textFill>
              </w:rPr>
              <w:t>|</w:t>
            </w:r>
          </w:p>
        </w:tc>
        <w:tc>
          <w:tcPr>
            <w:tcW w:w="1324" w:type="dxa"/>
            <w:vAlign w:val="center"/>
          </w:tcPr>
          <w:p w14:paraId="51241356" w14:textId="77777777" w:rsidR="00C21FCA" w:rsidRPr="003A235D" w:rsidRDefault="00C21FCA" w:rsidP="00AE14F4">
            <w:pPr>
              <w:pStyle w:val="COMTableheadingrow"/>
              <w:keepNext w:val="0"/>
              <w:jc w:val="center"/>
              <w:rPr>
                <w:b w:val="0"/>
                <w:bCs/>
                <w:iCs/>
                <w:lang w:val="en-AU"/>
              </w:rPr>
            </w:pPr>
            <w:r w:rsidRPr="003A235D">
              <w:rPr>
                <w:rFonts w:cs="Calibri"/>
                <w:b w:val="0"/>
                <w:bCs/>
                <w:iCs/>
                <w:color w:val="000000"/>
                <w:szCs w:val="20"/>
                <w:lang w:val="en-AU"/>
              </w:rPr>
              <w:t>0.0272</w:t>
            </w:r>
          </w:p>
        </w:tc>
        <w:tc>
          <w:tcPr>
            <w:tcW w:w="1324" w:type="dxa"/>
            <w:vAlign w:val="center"/>
          </w:tcPr>
          <w:p w14:paraId="7006A4C1" w14:textId="063099E1" w:rsidR="00C21FCA" w:rsidRPr="00B6635B" w:rsidRDefault="00B6635B" w:rsidP="00AE14F4">
            <w:pPr>
              <w:pStyle w:val="COMTableheadingrow"/>
              <w:keepNext w:val="0"/>
              <w:jc w:val="center"/>
              <w:rPr>
                <w:b w:val="0"/>
                <w:bCs/>
                <w:iCs/>
                <w:highlight w:val="darkGray"/>
                <w:lang w:val="en-AU"/>
              </w:rPr>
            </w:pPr>
            <w:r w:rsidRPr="00E72650">
              <w:rPr>
                <w:rFonts w:cs="Calibri" w:hint="eastAsia"/>
                <w:b w:val="0"/>
                <w:bCs/>
                <w:iCs/>
                <w:color w:val="000000"/>
                <w:spacing w:val="-187"/>
                <w:szCs w:val="20"/>
                <w:shd w:val="solid" w:color="000000" w:fill="000000"/>
                <w:fitText w:val="13" w:id="-1305203962"/>
                <w:lang w:val="en-AU"/>
                <w14:textFill>
                  <w14:solidFill>
                    <w14:srgbClr w14:val="000000">
                      <w14:alpha w14:val="100000"/>
                    </w14:srgbClr>
                  </w14:solidFill>
                </w14:textFill>
              </w:rPr>
              <w:t xml:space="preserve">　</w:t>
            </w:r>
            <w:r w:rsidRPr="00334395">
              <w:rPr>
                <w:rFonts w:cs="Calibri"/>
                <w:b w:val="0"/>
                <w:bCs/>
                <w:iCs/>
                <w:color w:val="000000"/>
                <w:w w:val="15"/>
                <w:szCs w:val="20"/>
                <w:shd w:val="solid" w:color="000000" w:fill="000000"/>
                <w:lang w:val="en-AU"/>
                <w14:textFill>
                  <w14:solidFill>
                    <w14:srgbClr w14:val="000000">
                      <w14:alpha w14:val="100000"/>
                    </w14:srgbClr>
                  </w14:solidFill>
                </w14:textFill>
              </w:rPr>
              <w:t>|</w:t>
            </w:r>
            <w:r w:rsidRPr="00E72650">
              <w:rPr>
                <w:rFonts w:cs="Calibri" w:hint="eastAsia"/>
                <w:b w:val="0"/>
                <w:bCs/>
                <w:iCs/>
                <w:color w:val="000000"/>
                <w:w w:val="15"/>
                <w:szCs w:val="20"/>
                <w:shd w:val="solid" w:color="000000" w:fill="000000"/>
                <w:lang w:val="en-AU"/>
                <w14:textFill>
                  <w14:solidFill>
                    <w14:srgbClr w14:val="000000">
                      <w14:alpha w14:val="100000"/>
                    </w14:srgbClr>
                  </w14:solidFill>
                </w14:textFill>
              </w:rPr>
              <w:t xml:space="preserve">　</w:t>
            </w:r>
            <w:r w:rsidR="00EE5627" w:rsidRPr="00FA140D">
              <w:rPr>
                <w:b w:val="0"/>
                <w:bCs/>
                <w:iCs/>
                <w:szCs w:val="20"/>
                <w:vertAlign w:val="superscript"/>
              </w:rPr>
              <w:t>3</w:t>
            </w:r>
          </w:p>
        </w:tc>
        <w:tc>
          <w:tcPr>
            <w:tcW w:w="1324" w:type="dxa"/>
            <w:vAlign w:val="center"/>
          </w:tcPr>
          <w:p w14:paraId="49EB6A23" w14:textId="3441EDFC" w:rsidR="00C21FCA" w:rsidRPr="003A235D" w:rsidRDefault="00864C1B" w:rsidP="00AE14F4">
            <w:pPr>
              <w:pStyle w:val="COMTableheadingrow"/>
              <w:keepNext w:val="0"/>
              <w:jc w:val="center"/>
              <w:rPr>
                <w:b w:val="0"/>
                <w:bCs/>
                <w:iCs/>
                <w:lang w:val="en-AU"/>
              </w:rPr>
            </w:pPr>
            <w:r w:rsidRPr="003A235D">
              <w:rPr>
                <w:rFonts w:cs="Calibri"/>
                <w:b w:val="0"/>
                <w:bCs/>
                <w:iCs/>
                <w:color w:val="000000"/>
                <w:szCs w:val="20"/>
                <w:lang w:val="en-AU"/>
              </w:rPr>
              <w:t>2</w:t>
            </w:r>
            <w:r w:rsidR="00C21FCA" w:rsidRPr="003A235D">
              <w:rPr>
                <w:rFonts w:cs="Calibri"/>
                <w:b w:val="0"/>
                <w:bCs/>
                <w:iCs/>
                <w:color w:val="000000"/>
                <w:szCs w:val="20"/>
                <w:lang w:val="en-AU"/>
              </w:rPr>
              <w:t>12%</w:t>
            </w:r>
          </w:p>
        </w:tc>
      </w:tr>
      <w:tr w:rsidR="00C21FCA" w:rsidRPr="003A235D" w14:paraId="694F81F7" w14:textId="77777777" w:rsidTr="00B6635B">
        <w:tc>
          <w:tcPr>
            <w:tcW w:w="3722" w:type="dxa"/>
          </w:tcPr>
          <w:p w14:paraId="0D7F89B6" w14:textId="77777777" w:rsidR="00C21FCA" w:rsidRPr="003A235D" w:rsidRDefault="00C21FCA" w:rsidP="00AE14F4">
            <w:pPr>
              <w:pStyle w:val="COMTableheadingrow"/>
              <w:keepNext w:val="0"/>
              <w:rPr>
                <w:b w:val="0"/>
                <w:bCs/>
                <w:lang w:val="en-AU"/>
              </w:rPr>
            </w:pPr>
            <w:r w:rsidRPr="003A235D">
              <w:rPr>
                <w:b w:val="0"/>
                <w:bCs/>
                <w:iCs/>
                <w:lang w:val="en-AU"/>
              </w:rPr>
              <w:t>- placebo transitions set equal to empagliflozin transitions</w:t>
            </w:r>
          </w:p>
        </w:tc>
        <w:tc>
          <w:tcPr>
            <w:tcW w:w="1323" w:type="dxa"/>
            <w:tcBorders>
              <w:bottom w:val="single" w:sz="4" w:space="0" w:color="auto"/>
            </w:tcBorders>
            <w:shd w:val="solid" w:color="000000" w:fill="000000"/>
            <w:vAlign w:val="center"/>
          </w:tcPr>
          <w:p w14:paraId="70D2B30D" w14:textId="556117E6" w:rsidR="00C21FCA" w:rsidRPr="00B6635B" w:rsidRDefault="00B6635B" w:rsidP="00AE14F4">
            <w:pPr>
              <w:pStyle w:val="COMTableheadingrow"/>
              <w:keepNext w:val="0"/>
              <w:jc w:val="center"/>
              <w:rPr>
                <w:b w:val="0"/>
                <w:bCs/>
                <w:iCs/>
                <w:lang w:val="en-AU"/>
              </w:rPr>
            </w:pPr>
            <w:r w:rsidRPr="00B6635B">
              <w:rPr>
                <w:rFonts w:cs="Calibri"/>
                <w:b w:val="0"/>
                <w:bCs/>
                <w:iCs/>
                <w:color w:val="000000"/>
                <w:szCs w:val="20"/>
                <w:lang w:val="en-AU"/>
                <w14:textFill>
                  <w14:solidFill>
                    <w14:srgbClr w14:val="000000">
                      <w14:alpha w14:val="100000"/>
                    </w14:srgbClr>
                  </w14:solidFill>
                </w14:textFill>
              </w:rPr>
              <w:t>|</w:t>
            </w:r>
          </w:p>
        </w:tc>
        <w:tc>
          <w:tcPr>
            <w:tcW w:w="1324" w:type="dxa"/>
            <w:vAlign w:val="center"/>
          </w:tcPr>
          <w:p w14:paraId="5E2BF2CE" w14:textId="77777777" w:rsidR="00C21FCA" w:rsidRPr="003A235D" w:rsidRDefault="00C21FCA" w:rsidP="00AE14F4">
            <w:pPr>
              <w:pStyle w:val="COMTableheadingrow"/>
              <w:keepNext w:val="0"/>
              <w:jc w:val="center"/>
              <w:rPr>
                <w:b w:val="0"/>
                <w:bCs/>
                <w:iCs/>
                <w:lang w:val="en-AU"/>
              </w:rPr>
            </w:pPr>
            <w:r w:rsidRPr="003A235D">
              <w:rPr>
                <w:rFonts w:cs="Calibri"/>
                <w:b w:val="0"/>
                <w:bCs/>
                <w:iCs/>
                <w:color w:val="000000"/>
                <w:szCs w:val="20"/>
                <w:lang w:val="en-AU"/>
              </w:rPr>
              <w:t>0.0279</w:t>
            </w:r>
          </w:p>
        </w:tc>
        <w:tc>
          <w:tcPr>
            <w:tcW w:w="1324" w:type="dxa"/>
            <w:vAlign w:val="center"/>
          </w:tcPr>
          <w:p w14:paraId="570EB70E" w14:textId="32D2854E" w:rsidR="00C21FCA" w:rsidRPr="00B6635B" w:rsidRDefault="00B6635B" w:rsidP="00AE14F4">
            <w:pPr>
              <w:pStyle w:val="COMTableheadingrow"/>
              <w:keepNext w:val="0"/>
              <w:jc w:val="center"/>
              <w:rPr>
                <w:b w:val="0"/>
                <w:bCs/>
                <w:iCs/>
                <w:highlight w:val="darkGray"/>
                <w:lang w:val="en-AU"/>
              </w:rPr>
            </w:pPr>
            <w:r w:rsidRPr="00E72650">
              <w:rPr>
                <w:rFonts w:cs="Calibri" w:hint="eastAsia"/>
                <w:b w:val="0"/>
                <w:bCs/>
                <w:iCs/>
                <w:color w:val="000000"/>
                <w:spacing w:val="-187"/>
                <w:szCs w:val="20"/>
                <w:shd w:val="solid" w:color="000000" w:fill="000000"/>
                <w:fitText w:val="13" w:id="-1305203961"/>
                <w:lang w:val="en-AU"/>
                <w14:textFill>
                  <w14:solidFill>
                    <w14:srgbClr w14:val="000000">
                      <w14:alpha w14:val="100000"/>
                    </w14:srgbClr>
                  </w14:solidFill>
                </w14:textFill>
              </w:rPr>
              <w:t xml:space="preserve">　</w:t>
            </w:r>
            <w:r w:rsidRPr="00334395">
              <w:rPr>
                <w:rFonts w:cs="Calibri"/>
                <w:b w:val="0"/>
                <w:bCs/>
                <w:iCs/>
                <w:color w:val="000000"/>
                <w:w w:val="15"/>
                <w:szCs w:val="20"/>
                <w:shd w:val="solid" w:color="000000" w:fill="000000"/>
                <w:lang w:val="en-AU"/>
                <w14:textFill>
                  <w14:solidFill>
                    <w14:srgbClr w14:val="000000">
                      <w14:alpha w14:val="100000"/>
                    </w14:srgbClr>
                  </w14:solidFill>
                </w14:textFill>
              </w:rPr>
              <w:t>|</w:t>
            </w:r>
            <w:r w:rsidRPr="00E72650">
              <w:rPr>
                <w:rFonts w:cs="Calibri" w:hint="eastAsia"/>
                <w:b w:val="0"/>
                <w:bCs/>
                <w:iCs/>
                <w:color w:val="000000"/>
                <w:w w:val="15"/>
                <w:szCs w:val="20"/>
                <w:shd w:val="solid" w:color="000000" w:fill="000000"/>
                <w:lang w:val="en-AU"/>
                <w14:textFill>
                  <w14:solidFill>
                    <w14:srgbClr w14:val="000000">
                      <w14:alpha w14:val="100000"/>
                    </w14:srgbClr>
                  </w14:solidFill>
                </w14:textFill>
              </w:rPr>
              <w:t xml:space="preserve">　</w:t>
            </w:r>
            <w:r w:rsidR="00EE5627" w:rsidRPr="00B6635B">
              <w:rPr>
                <w:b w:val="0"/>
                <w:bCs/>
                <w:iCs/>
                <w:szCs w:val="20"/>
                <w:vertAlign w:val="superscript"/>
              </w:rPr>
              <w:t>3</w:t>
            </w:r>
          </w:p>
        </w:tc>
        <w:tc>
          <w:tcPr>
            <w:tcW w:w="1324" w:type="dxa"/>
            <w:vAlign w:val="center"/>
          </w:tcPr>
          <w:p w14:paraId="6A917557" w14:textId="03108D9A" w:rsidR="00C21FCA" w:rsidRPr="003A235D" w:rsidRDefault="00864C1B" w:rsidP="00AE14F4">
            <w:pPr>
              <w:pStyle w:val="COMTableheadingrow"/>
              <w:keepNext w:val="0"/>
              <w:jc w:val="center"/>
              <w:rPr>
                <w:b w:val="0"/>
                <w:bCs/>
                <w:iCs/>
                <w:lang w:val="en-AU"/>
              </w:rPr>
            </w:pPr>
            <w:r w:rsidRPr="003A235D">
              <w:rPr>
                <w:rFonts w:cs="Calibri"/>
                <w:b w:val="0"/>
                <w:bCs/>
                <w:iCs/>
                <w:color w:val="000000"/>
                <w:szCs w:val="20"/>
                <w:lang w:val="en-AU"/>
              </w:rPr>
              <w:t>2</w:t>
            </w:r>
            <w:r w:rsidR="00C21FCA" w:rsidRPr="003A235D">
              <w:rPr>
                <w:rFonts w:cs="Calibri"/>
                <w:b w:val="0"/>
                <w:bCs/>
                <w:iCs/>
                <w:color w:val="000000"/>
                <w:szCs w:val="20"/>
                <w:lang w:val="en-AU"/>
              </w:rPr>
              <w:t>15%</w:t>
            </w:r>
          </w:p>
        </w:tc>
      </w:tr>
      <w:tr w:rsidR="00C21FCA" w:rsidRPr="003A235D" w14:paraId="6B5A343B" w14:textId="77777777" w:rsidTr="00B6635B">
        <w:tc>
          <w:tcPr>
            <w:tcW w:w="3722" w:type="dxa"/>
          </w:tcPr>
          <w:p w14:paraId="2A39C822" w14:textId="77777777" w:rsidR="00C21FCA" w:rsidRPr="003A235D" w:rsidRDefault="00C21FCA" w:rsidP="00AE14F4">
            <w:pPr>
              <w:pStyle w:val="COMTableheadingrow"/>
              <w:keepNext w:val="0"/>
              <w:rPr>
                <w:b w:val="0"/>
                <w:bCs/>
                <w:lang w:val="en-AU"/>
              </w:rPr>
            </w:pPr>
            <w:r w:rsidRPr="003A235D">
              <w:rPr>
                <w:b w:val="0"/>
                <w:bCs/>
                <w:lang w:val="en-AU"/>
              </w:rPr>
              <w:t>- health states based on NYHA class</w:t>
            </w:r>
          </w:p>
        </w:tc>
        <w:tc>
          <w:tcPr>
            <w:tcW w:w="1323" w:type="dxa"/>
            <w:shd w:val="solid" w:color="000000" w:fill="000000"/>
            <w:vAlign w:val="center"/>
          </w:tcPr>
          <w:p w14:paraId="05BF8D4F" w14:textId="4480921F" w:rsidR="00C21FCA" w:rsidRPr="00B6635B" w:rsidRDefault="00B6635B" w:rsidP="00AE14F4">
            <w:pPr>
              <w:pStyle w:val="COMTableheadingrow"/>
              <w:keepNext w:val="0"/>
              <w:jc w:val="center"/>
              <w:rPr>
                <w:b w:val="0"/>
                <w:bCs/>
                <w:lang w:val="en-AU"/>
              </w:rPr>
            </w:pPr>
            <w:r w:rsidRPr="00B6635B">
              <w:rPr>
                <w:b w:val="0"/>
                <w:bCs/>
                <w:color w:val="000000"/>
                <w:lang w:val="en-AU"/>
                <w14:textFill>
                  <w14:solidFill>
                    <w14:srgbClr w14:val="000000">
                      <w14:alpha w14:val="100000"/>
                    </w14:srgbClr>
                  </w14:solidFill>
                </w14:textFill>
              </w:rPr>
              <w:t>|</w:t>
            </w:r>
          </w:p>
        </w:tc>
        <w:tc>
          <w:tcPr>
            <w:tcW w:w="1324" w:type="dxa"/>
            <w:vAlign w:val="center"/>
          </w:tcPr>
          <w:p w14:paraId="209CB1B8" w14:textId="77777777" w:rsidR="00C21FCA" w:rsidRPr="003A235D" w:rsidRDefault="00C21FCA" w:rsidP="00AE14F4">
            <w:pPr>
              <w:pStyle w:val="COMTableheadingrow"/>
              <w:keepNext w:val="0"/>
              <w:jc w:val="center"/>
              <w:rPr>
                <w:b w:val="0"/>
                <w:bCs/>
                <w:lang w:val="en-AU"/>
              </w:rPr>
            </w:pPr>
            <w:r w:rsidRPr="003A235D">
              <w:rPr>
                <w:b w:val="0"/>
                <w:bCs/>
                <w:lang w:val="en-AU"/>
              </w:rPr>
              <w:t>0.0812</w:t>
            </w:r>
          </w:p>
        </w:tc>
        <w:tc>
          <w:tcPr>
            <w:tcW w:w="1324" w:type="dxa"/>
            <w:vAlign w:val="center"/>
          </w:tcPr>
          <w:p w14:paraId="365AA527" w14:textId="110F99F9" w:rsidR="00C21FCA" w:rsidRPr="00EE5627" w:rsidRDefault="00B6635B" w:rsidP="00AE14F4">
            <w:pPr>
              <w:pStyle w:val="COMTableheadingrow"/>
              <w:keepNext w:val="0"/>
              <w:jc w:val="center"/>
              <w:rPr>
                <w:b w:val="0"/>
                <w:bCs/>
                <w:lang w:val="en-AU"/>
              </w:rPr>
            </w:pPr>
            <w:r w:rsidRPr="00E72650">
              <w:rPr>
                <w:rFonts w:hint="eastAsia"/>
                <w:b w:val="0"/>
                <w:bCs/>
                <w:color w:val="000000"/>
                <w:spacing w:val="-187"/>
                <w:shd w:val="solid" w:color="000000" w:fill="000000"/>
                <w:fitText w:val="13" w:id="-1305203960"/>
                <w:lang w:val="en-AU"/>
                <w14:textFill>
                  <w14:solidFill>
                    <w14:srgbClr w14:val="000000">
                      <w14:alpha w14:val="100000"/>
                    </w14:srgbClr>
                  </w14:solidFill>
                </w14:textFill>
              </w:rPr>
              <w:t xml:space="preserve">　</w:t>
            </w:r>
            <w:r w:rsidRPr="00334395">
              <w:rPr>
                <w:b w:val="0"/>
                <w:bCs/>
                <w:color w:val="000000"/>
                <w:w w:val="15"/>
                <w:shd w:val="solid" w:color="000000" w:fill="000000"/>
                <w:lang w:val="en-AU"/>
                <w14:textFill>
                  <w14:solidFill>
                    <w14:srgbClr w14:val="000000">
                      <w14:alpha w14:val="100000"/>
                    </w14:srgbClr>
                  </w14:solidFill>
                </w14:textFill>
              </w:rPr>
              <w:t>|</w:t>
            </w:r>
            <w:r w:rsidRPr="00E72650">
              <w:rPr>
                <w:rFonts w:hint="eastAsia"/>
                <w:b w:val="0"/>
                <w:bCs/>
                <w:color w:val="000000"/>
                <w:w w:val="15"/>
                <w:shd w:val="solid" w:color="000000" w:fill="000000"/>
                <w:lang w:val="en-AU"/>
                <w14:textFill>
                  <w14:solidFill>
                    <w14:srgbClr w14:val="000000">
                      <w14:alpha w14:val="100000"/>
                    </w14:srgbClr>
                  </w14:solidFill>
                </w14:textFill>
              </w:rPr>
              <w:t xml:space="preserve">　</w:t>
            </w:r>
            <w:r w:rsidR="00FC614E" w:rsidRPr="00B6635B">
              <w:rPr>
                <w:b w:val="0"/>
                <w:bCs/>
                <w:vertAlign w:val="superscript"/>
                <w:lang w:val="en-AU"/>
              </w:rPr>
              <w:t>1</w:t>
            </w:r>
          </w:p>
        </w:tc>
        <w:tc>
          <w:tcPr>
            <w:tcW w:w="1324" w:type="dxa"/>
            <w:vAlign w:val="center"/>
          </w:tcPr>
          <w:p w14:paraId="4E7EA3AE" w14:textId="2D150764" w:rsidR="00C21FCA" w:rsidRPr="003A235D" w:rsidRDefault="00C21FCA" w:rsidP="00AE14F4">
            <w:pPr>
              <w:pStyle w:val="COMTableheadingrow"/>
              <w:keepNext w:val="0"/>
              <w:jc w:val="center"/>
              <w:rPr>
                <w:b w:val="0"/>
                <w:bCs/>
                <w:lang w:val="en-AU"/>
              </w:rPr>
            </w:pPr>
            <w:r w:rsidRPr="003A235D">
              <w:rPr>
                <w:b w:val="0"/>
                <w:bCs/>
                <w:lang w:val="en-AU"/>
              </w:rPr>
              <w:t>11%</w:t>
            </w:r>
          </w:p>
        </w:tc>
      </w:tr>
      <w:tr w:rsidR="00C21FCA" w:rsidRPr="003A235D" w14:paraId="5E54CC9D" w14:textId="77777777" w:rsidTr="00AE14F4">
        <w:tc>
          <w:tcPr>
            <w:tcW w:w="9017" w:type="dxa"/>
            <w:gridSpan w:val="5"/>
          </w:tcPr>
          <w:p w14:paraId="7E92BC75" w14:textId="77777777" w:rsidR="00C21FCA" w:rsidRPr="003A235D" w:rsidRDefault="00C21FCA" w:rsidP="00AE14F4">
            <w:pPr>
              <w:pStyle w:val="COMTableheadingrow"/>
              <w:keepNext w:val="0"/>
              <w:rPr>
                <w:b w:val="0"/>
                <w:bCs/>
                <w:lang w:val="en-AU"/>
              </w:rPr>
            </w:pPr>
            <w:r w:rsidRPr="003A235D">
              <w:rPr>
                <w:lang w:val="en-AU"/>
              </w:rPr>
              <w:lastRenderedPageBreak/>
              <w:t>Heart failure hospitalisation rate (base case derived using Poisson model fitted to EMPEROR-Preserved data; monthly probabilities vary by KCCQ-CSS state and treatment)</w:t>
            </w:r>
          </w:p>
        </w:tc>
      </w:tr>
      <w:tr w:rsidR="00C21FCA" w:rsidRPr="003A235D" w14:paraId="6F35B08D" w14:textId="77777777" w:rsidTr="00B6635B">
        <w:tc>
          <w:tcPr>
            <w:tcW w:w="3722" w:type="dxa"/>
          </w:tcPr>
          <w:p w14:paraId="763A8377" w14:textId="77777777" w:rsidR="00C21FCA" w:rsidRPr="003A235D" w:rsidRDefault="00C21FCA" w:rsidP="00AE14F4">
            <w:pPr>
              <w:pStyle w:val="COMTableheadingrow"/>
              <w:keepNext w:val="0"/>
              <w:rPr>
                <w:b w:val="0"/>
                <w:bCs/>
                <w:lang w:val="en-AU"/>
              </w:rPr>
            </w:pPr>
            <w:r w:rsidRPr="003A235D">
              <w:rPr>
                <w:b w:val="0"/>
                <w:bCs/>
                <w:iCs/>
                <w:lang w:val="en-AU"/>
              </w:rPr>
              <w:t>- constant monthly probability based on EMPEROR-Preserved (empagliflozin 0.53%; placebo 0.70%)</w:t>
            </w:r>
            <w:r w:rsidRPr="003A235D">
              <w:rPr>
                <w:b w:val="0"/>
                <w:bCs/>
                <w:iCs/>
                <w:vertAlign w:val="superscript"/>
                <w:lang w:val="en-AU"/>
              </w:rPr>
              <w:t>a</w:t>
            </w:r>
          </w:p>
        </w:tc>
        <w:tc>
          <w:tcPr>
            <w:tcW w:w="1323" w:type="dxa"/>
            <w:tcBorders>
              <w:bottom w:val="single" w:sz="4" w:space="0" w:color="auto"/>
            </w:tcBorders>
            <w:shd w:val="solid" w:color="000000" w:fill="000000"/>
            <w:vAlign w:val="center"/>
          </w:tcPr>
          <w:p w14:paraId="3DD263AB" w14:textId="33D1CF00" w:rsidR="00C21FCA" w:rsidRPr="00B6635B" w:rsidRDefault="00B6635B" w:rsidP="00AE14F4">
            <w:pPr>
              <w:pStyle w:val="COMTableheadingrow"/>
              <w:keepNext w:val="0"/>
              <w:jc w:val="center"/>
              <w:rPr>
                <w:b w:val="0"/>
                <w:bCs/>
                <w:iCs/>
                <w:lang w:val="en-AU"/>
              </w:rPr>
            </w:pPr>
            <w:r w:rsidRPr="00B6635B">
              <w:rPr>
                <w:rFonts w:cs="Calibri"/>
                <w:b w:val="0"/>
                <w:bCs/>
                <w:iCs/>
                <w:color w:val="000000"/>
                <w:szCs w:val="20"/>
                <w:lang w:val="en-AU"/>
                <w14:textFill>
                  <w14:solidFill>
                    <w14:srgbClr w14:val="000000">
                      <w14:alpha w14:val="100000"/>
                    </w14:srgbClr>
                  </w14:solidFill>
                </w14:textFill>
              </w:rPr>
              <w:t>|</w:t>
            </w:r>
          </w:p>
        </w:tc>
        <w:tc>
          <w:tcPr>
            <w:tcW w:w="1324" w:type="dxa"/>
            <w:vAlign w:val="center"/>
          </w:tcPr>
          <w:p w14:paraId="4B465F47" w14:textId="77777777" w:rsidR="00C21FCA" w:rsidRPr="003A235D" w:rsidRDefault="00C21FCA" w:rsidP="00AE14F4">
            <w:pPr>
              <w:pStyle w:val="COMTableheadingrow"/>
              <w:keepNext w:val="0"/>
              <w:jc w:val="center"/>
              <w:rPr>
                <w:b w:val="0"/>
                <w:bCs/>
                <w:iCs/>
                <w:lang w:val="en-AU"/>
              </w:rPr>
            </w:pPr>
            <w:r w:rsidRPr="003A235D">
              <w:rPr>
                <w:rFonts w:cs="Calibri"/>
                <w:b w:val="0"/>
                <w:bCs/>
                <w:iCs/>
                <w:color w:val="000000"/>
                <w:szCs w:val="20"/>
                <w:lang w:val="en-AU"/>
              </w:rPr>
              <w:t>0.0871</w:t>
            </w:r>
          </w:p>
        </w:tc>
        <w:tc>
          <w:tcPr>
            <w:tcW w:w="1324" w:type="dxa"/>
            <w:vAlign w:val="center"/>
          </w:tcPr>
          <w:p w14:paraId="65C1FD8F" w14:textId="029160F9" w:rsidR="00C21FCA" w:rsidRPr="00B6635B" w:rsidRDefault="00B6635B" w:rsidP="00AE14F4">
            <w:pPr>
              <w:pStyle w:val="COMTableheadingrow"/>
              <w:keepNext w:val="0"/>
              <w:jc w:val="center"/>
              <w:rPr>
                <w:b w:val="0"/>
                <w:bCs/>
                <w:iCs/>
                <w:highlight w:val="darkGray"/>
                <w:lang w:val="en-AU"/>
              </w:rPr>
            </w:pPr>
            <w:r w:rsidRPr="00E72650">
              <w:rPr>
                <w:rFonts w:cs="Calibri" w:hint="eastAsia"/>
                <w:b w:val="0"/>
                <w:bCs/>
                <w:iCs/>
                <w:color w:val="000000"/>
                <w:spacing w:val="-187"/>
                <w:szCs w:val="20"/>
                <w:shd w:val="solid" w:color="000000" w:fill="000000"/>
                <w:fitText w:val="13" w:id="-1305203959"/>
                <w:lang w:val="en-AU"/>
                <w14:textFill>
                  <w14:solidFill>
                    <w14:srgbClr w14:val="000000">
                      <w14:alpha w14:val="100000"/>
                    </w14:srgbClr>
                  </w14:solidFill>
                </w14:textFill>
              </w:rPr>
              <w:t xml:space="preserve">　</w:t>
            </w:r>
            <w:r w:rsidRPr="00334395">
              <w:rPr>
                <w:rFonts w:cs="Calibri"/>
                <w:b w:val="0"/>
                <w:bCs/>
                <w:iCs/>
                <w:color w:val="000000"/>
                <w:w w:val="15"/>
                <w:szCs w:val="20"/>
                <w:shd w:val="solid" w:color="000000" w:fill="000000"/>
                <w:lang w:val="en-AU"/>
                <w14:textFill>
                  <w14:solidFill>
                    <w14:srgbClr w14:val="000000">
                      <w14:alpha w14:val="100000"/>
                    </w14:srgbClr>
                  </w14:solidFill>
                </w14:textFill>
              </w:rPr>
              <w:t>|</w:t>
            </w:r>
            <w:r w:rsidRPr="00E72650">
              <w:rPr>
                <w:rFonts w:cs="Calibri" w:hint="eastAsia"/>
                <w:b w:val="0"/>
                <w:bCs/>
                <w:iCs/>
                <w:color w:val="000000"/>
                <w:w w:val="15"/>
                <w:szCs w:val="20"/>
                <w:shd w:val="solid" w:color="000000" w:fill="000000"/>
                <w:lang w:val="en-AU"/>
                <w14:textFill>
                  <w14:solidFill>
                    <w14:srgbClr w14:val="000000">
                      <w14:alpha w14:val="100000"/>
                    </w14:srgbClr>
                  </w14:solidFill>
                </w14:textFill>
              </w:rPr>
              <w:t xml:space="preserve">　</w:t>
            </w:r>
            <w:r w:rsidR="00FC614E" w:rsidRPr="00B6635B">
              <w:rPr>
                <w:b w:val="0"/>
                <w:bCs/>
                <w:vertAlign w:val="superscript"/>
                <w:lang w:val="en-AU"/>
              </w:rPr>
              <w:t>1</w:t>
            </w:r>
          </w:p>
        </w:tc>
        <w:tc>
          <w:tcPr>
            <w:tcW w:w="1324" w:type="dxa"/>
            <w:vAlign w:val="center"/>
          </w:tcPr>
          <w:p w14:paraId="5E293DD3" w14:textId="1AC954E2" w:rsidR="00C21FCA" w:rsidRPr="003A235D" w:rsidRDefault="00C21FCA" w:rsidP="00AE14F4">
            <w:pPr>
              <w:pStyle w:val="COMTableheadingrow"/>
              <w:keepNext w:val="0"/>
              <w:jc w:val="center"/>
              <w:rPr>
                <w:b w:val="0"/>
                <w:bCs/>
                <w:iCs/>
                <w:lang w:val="en-AU"/>
              </w:rPr>
            </w:pPr>
            <w:r w:rsidRPr="003A235D">
              <w:rPr>
                <w:rFonts w:cs="Calibri"/>
                <w:b w:val="0"/>
                <w:bCs/>
                <w:iCs/>
                <w:color w:val="000000"/>
                <w:szCs w:val="20"/>
                <w:lang w:val="en-AU"/>
              </w:rPr>
              <w:t>3%</w:t>
            </w:r>
          </w:p>
        </w:tc>
      </w:tr>
      <w:tr w:rsidR="00C21FCA" w:rsidRPr="003A235D" w14:paraId="16F44B2C" w14:textId="77777777" w:rsidTr="00B6635B">
        <w:tc>
          <w:tcPr>
            <w:tcW w:w="3722" w:type="dxa"/>
          </w:tcPr>
          <w:p w14:paraId="79C2F673" w14:textId="77777777" w:rsidR="00C21FCA" w:rsidRPr="003A235D" w:rsidRDefault="00C21FCA" w:rsidP="00AE14F4">
            <w:pPr>
              <w:pStyle w:val="COMTableheadingrow"/>
              <w:keepNext w:val="0"/>
              <w:rPr>
                <w:b w:val="0"/>
                <w:bCs/>
                <w:lang w:val="en-AU"/>
              </w:rPr>
            </w:pPr>
            <w:r w:rsidRPr="003A235D">
              <w:rPr>
                <w:b w:val="0"/>
                <w:bCs/>
                <w:iCs/>
                <w:lang w:val="en-AU"/>
              </w:rPr>
              <w:t>Halve incremental difference between empagliflozin and placebo</w:t>
            </w:r>
          </w:p>
        </w:tc>
        <w:tc>
          <w:tcPr>
            <w:tcW w:w="1323" w:type="dxa"/>
            <w:shd w:val="solid" w:color="000000" w:fill="000000"/>
            <w:vAlign w:val="center"/>
          </w:tcPr>
          <w:p w14:paraId="477582E7" w14:textId="210857C1" w:rsidR="00C21FCA" w:rsidRPr="00B6635B" w:rsidRDefault="00B6635B" w:rsidP="00AE14F4">
            <w:pPr>
              <w:pStyle w:val="COMTableheadingrow"/>
              <w:keepNext w:val="0"/>
              <w:jc w:val="center"/>
              <w:rPr>
                <w:b w:val="0"/>
                <w:bCs/>
                <w:iCs/>
                <w:lang w:val="en-AU"/>
              </w:rPr>
            </w:pPr>
            <w:r w:rsidRPr="00B6635B">
              <w:rPr>
                <w:rFonts w:cs="Calibri"/>
                <w:b w:val="0"/>
                <w:bCs/>
                <w:iCs/>
                <w:color w:val="000000"/>
                <w:szCs w:val="20"/>
                <w:lang w:val="en-AU"/>
                <w14:textFill>
                  <w14:solidFill>
                    <w14:srgbClr w14:val="000000">
                      <w14:alpha w14:val="100000"/>
                    </w14:srgbClr>
                  </w14:solidFill>
                </w14:textFill>
              </w:rPr>
              <w:t>|</w:t>
            </w:r>
          </w:p>
        </w:tc>
        <w:tc>
          <w:tcPr>
            <w:tcW w:w="1324" w:type="dxa"/>
            <w:vAlign w:val="center"/>
          </w:tcPr>
          <w:p w14:paraId="022BABC4" w14:textId="77777777" w:rsidR="00C21FCA" w:rsidRPr="003A235D" w:rsidRDefault="00C21FCA" w:rsidP="00AE14F4">
            <w:pPr>
              <w:pStyle w:val="COMTableheadingrow"/>
              <w:keepNext w:val="0"/>
              <w:jc w:val="center"/>
              <w:rPr>
                <w:b w:val="0"/>
                <w:bCs/>
                <w:iCs/>
                <w:lang w:val="en-AU"/>
              </w:rPr>
            </w:pPr>
            <w:r w:rsidRPr="003A235D">
              <w:rPr>
                <w:rFonts w:cs="Calibri"/>
                <w:b w:val="0"/>
                <w:bCs/>
                <w:iCs/>
                <w:color w:val="000000"/>
                <w:szCs w:val="20"/>
                <w:lang w:val="en-AU"/>
              </w:rPr>
              <w:t>0.0783</w:t>
            </w:r>
          </w:p>
        </w:tc>
        <w:tc>
          <w:tcPr>
            <w:tcW w:w="1324" w:type="dxa"/>
            <w:vAlign w:val="center"/>
          </w:tcPr>
          <w:p w14:paraId="60693B7E" w14:textId="44880EA7" w:rsidR="00C21FCA" w:rsidRPr="00B6635B" w:rsidRDefault="00B6635B" w:rsidP="00AE14F4">
            <w:pPr>
              <w:pStyle w:val="COMTableheadingrow"/>
              <w:keepNext w:val="0"/>
              <w:jc w:val="center"/>
              <w:rPr>
                <w:b w:val="0"/>
                <w:bCs/>
                <w:iCs/>
                <w:highlight w:val="darkGray"/>
                <w:lang w:val="en-AU"/>
              </w:rPr>
            </w:pPr>
            <w:r w:rsidRPr="00E72650">
              <w:rPr>
                <w:rFonts w:cs="Calibri" w:hint="eastAsia"/>
                <w:b w:val="0"/>
                <w:bCs/>
                <w:iCs/>
                <w:color w:val="000000"/>
                <w:spacing w:val="-187"/>
                <w:szCs w:val="20"/>
                <w:shd w:val="solid" w:color="000000" w:fill="000000"/>
                <w:fitText w:val="13" w:id="-1305203958"/>
                <w:lang w:val="en-AU"/>
                <w14:textFill>
                  <w14:solidFill>
                    <w14:srgbClr w14:val="000000">
                      <w14:alpha w14:val="100000"/>
                    </w14:srgbClr>
                  </w14:solidFill>
                </w14:textFill>
              </w:rPr>
              <w:t xml:space="preserve">　</w:t>
            </w:r>
            <w:r w:rsidRPr="00334395">
              <w:rPr>
                <w:rFonts w:cs="Calibri"/>
                <w:b w:val="0"/>
                <w:bCs/>
                <w:iCs/>
                <w:color w:val="000000"/>
                <w:w w:val="15"/>
                <w:szCs w:val="20"/>
                <w:shd w:val="solid" w:color="000000" w:fill="000000"/>
                <w:lang w:val="en-AU"/>
                <w14:textFill>
                  <w14:solidFill>
                    <w14:srgbClr w14:val="000000">
                      <w14:alpha w14:val="100000"/>
                    </w14:srgbClr>
                  </w14:solidFill>
                </w14:textFill>
              </w:rPr>
              <w:t>|</w:t>
            </w:r>
            <w:r w:rsidRPr="00E72650">
              <w:rPr>
                <w:rFonts w:cs="Calibri" w:hint="eastAsia"/>
                <w:b w:val="0"/>
                <w:bCs/>
                <w:iCs/>
                <w:color w:val="000000"/>
                <w:w w:val="15"/>
                <w:szCs w:val="20"/>
                <w:shd w:val="solid" w:color="000000" w:fill="000000"/>
                <w:lang w:val="en-AU"/>
                <w14:textFill>
                  <w14:solidFill>
                    <w14:srgbClr w14:val="000000">
                      <w14:alpha w14:val="100000"/>
                    </w14:srgbClr>
                  </w14:solidFill>
                </w14:textFill>
              </w:rPr>
              <w:t xml:space="preserve">　</w:t>
            </w:r>
            <w:r w:rsidR="00AC5A0D" w:rsidRPr="00B6635B">
              <w:rPr>
                <w:b w:val="0"/>
                <w:bCs/>
                <w:vertAlign w:val="superscript"/>
                <w:lang w:val="en-AU"/>
              </w:rPr>
              <w:t>2</w:t>
            </w:r>
          </w:p>
        </w:tc>
        <w:tc>
          <w:tcPr>
            <w:tcW w:w="1324" w:type="dxa"/>
            <w:vAlign w:val="center"/>
          </w:tcPr>
          <w:p w14:paraId="401C40F2" w14:textId="38CA2C82" w:rsidR="00C21FCA" w:rsidRPr="003A235D" w:rsidRDefault="00C21FCA" w:rsidP="00AE14F4">
            <w:pPr>
              <w:pStyle w:val="COMTableheadingrow"/>
              <w:keepNext w:val="0"/>
              <w:jc w:val="center"/>
              <w:rPr>
                <w:b w:val="0"/>
                <w:bCs/>
                <w:iCs/>
                <w:lang w:val="en-AU"/>
              </w:rPr>
            </w:pPr>
            <w:r w:rsidRPr="003A235D">
              <w:rPr>
                <w:rFonts w:cs="Calibri"/>
                <w:b w:val="0"/>
                <w:bCs/>
                <w:iCs/>
                <w:color w:val="000000"/>
                <w:szCs w:val="20"/>
                <w:lang w:val="en-AU"/>
              </w:rPr>
              <w:t>28%</w:t>
            </w:r>
          </w:p>
        </w:tc>
      </w:tr>
      <w:tr w:rsidR="00C21FCA" w:rsidRPr="003A235D" w14:paraId="28B21187" w14:textId="77777777" w:rsidTr="00AE14F4">
        <w:tc>
          <w:tcPr>
            <w:tcW w:w="9017" w:type="dxa"/>
            <w:gridSpan w:val="5"/>
          </w:tcPr>
          <w:p w14:paraId="34F4A6DC" w14:textId="77777777" w:rsidR="00C21FCA" w:rsidRPr="003A235D" w:rsidRDefault="00C21FCA" w:rsidP="00AE14F4">
            <w:pPr>
              <w:pStyle w:val="COMTableheadingrow"/>
              <w:keepNext w:val="0"/>
              <w:rPr>
                <w:b w:val="0"/>
                <w:bCs/>
                <w:lang w:val="en-AU"/>
              </w:rPr>
            </w:pPr>
            <w:r w:rsidRPr="003A235D">
              <w:rPr>
                <w:lang w:val="en-AU"/>
              </w:rPr>
              <w:t>Non-CV mortality (base case all-cause mortality based on a Weibull function fitted to KM data and extrapolated; no empagliflozin treatment effect; correction applied to ensure non-CV mortality exceeds general population mortality adjusted for CV mortality)</w:t>
            </w:r>
          </w:p>
        </w:tc>
      </w:tr>
      <w:tr w:rsidR="00DE0C9C" w:rsidRPr="003A235D" w14:paraId="467BC8B9" w14:textId="77777777" w:rsidTr="00B6635B">
        <w:tc>
          <w:tcPr>
            <w:tcW w:w="3722" w:type="dxa"/>
          </w:tcPr>
          <w:p w14:paraId="52572615" w14:textId="77777777" w:rsidR="00DE0C9C" w:rsidRPr="003A235D" w:rsidRDefault="00DE0C9C" w:rsidP="00DE0C9C">
            <w:pPr>
              <w:pStyle w:val="COMTableheadingrow"/>
              <w:keepNext w:val="0"/>
              <w:rPr>
                <w:b w:val="0"/>
                <w:bCs/>
                <w:lang w:val="en-AU"/>
              </w:rPr>
            </w:pPr>
            <w:r w:rsidRPr="003A235D">
              <w:rPr>
                <w:b w:val="0"/>
                <w:bCs/>
                <w:lang w:val="en-AU"/>
              </w:rPr>
              <w:t>- exponential function</w:t>
            </w:r>
          </w:p>
        </w:tc>
        <w:tc>
          <w:tcPr>
            <w:tcW w:w="1323" w:type="dxa"/>
            <w:tcBorders>
              <w:bottom w:val="single" w:sz="4" w:space="0" w:color="auto"/>
            </w:tcBorders>
            <w:shd w:val="solid" w:color="000000" w:fill="000000"/>
            <w:vAlign w:val="center"/>
          </w:tcPr>
          <w:p w14:paraId="745CDCC0" w14:textId="6F3D88CA" w:rsidR="00DE0C9C" w:rsidRPr="00B6635B" w:rsidRDefault="00B6635B" w:rsidP="00DE0C9C">
            <w:pPr>
              <w:pStyle w:val="COMTableheadingrow"/>
              <w:keepNext w:val="0"/>
              <w:jc w:val="center"/>
              <w:rPr>
                <w:b w:val="0"/>
                <w:bCs/>
                <w:lang w:val="en-AU"/>
              </w:rPr>
            </w:pPr>
            <w:r w:rsidRPr="00B6635B">
              <w:rPr>
                <w:rFonts w:cs="Calibri"/>
                <w:b w:val="0"/>
                <w:bCs/>
                <w:color w:val="000000"/>
                <w:szCs w:val="20"/>
                <w:lang w:val="en-AU"/>
                <w14:textFill>
                  <w14:solidFill>
                    <w14:srgbClr w14:val="000000">
                      <w14:alpha w14:val="100000"/>
                    </w14:srgbClr>
                  </w14:solidFill>
                </w14:textFill>
              </w:rPr>
              <w:t>|</w:t>
            </w:r>
          </w:p>
        </w:tc>
        <w:tc>
          <w:tcPr>
            <w:tcW w:w="1324" w:type="dxa"/>
            <w:vAlign w:val="center"/>
          </w:tcPr>
          <w:p w14:paraId="298DABE3" w14:textId="77777777" w:rsidR="00DE0C9C" w:rsidRPr="003A235D" w:rsidRDefault="00DE0C9C" w:rsidP="00DE0C9C">
            <w:pPr>
              <w:pStyle w:val="COMTableheadingrow"/>
              <w:keepNext w:val="0"/>
              <w:jc w:val="center"/>
              <w:rPr>
                <w:b w:val="0"/>
                <w:bCs/>
                <w:lang w:val="en-AU"/>
              </w:rPr>
            </w:pPr>
            <w:r w:rsidRPr="003A235D">
              <w:rPr>
                <w:rFonts w:cs="Calibri"/>
                <w:b w:val="0"/>
                <w:bCs/>
                <w:color w:val="000000"/>
                <w:szCs w:val="20"/>
                <w:lang w:val="en-AU"/>
              </w:rPr>
              <w:t>0.0966</w:t>
            </w:r>
          </w:p>
        </w:tc>
        <w:tc>
          <w:tcPr>
            <w:tcW w:w="1324" w:type="dxa"/>
            <w:vAlign w:val="center"/>
          </w:tcPr>
          <w:p w14:paraId="3B07D9F0" w14:textId="547C8D02" w:rsidR="00DE0C9C" w:rsidRPr="00B6635B" w:rsidRDefault="00B6635B" w:rsidP="00DE0C9C">
            <w:pPr>
              <w:pStyle w:val="COMTableheadingrow"/>
              <w:keepNext w:val="0"/>
              <w:jc w:val="center"/>
              <w:rPr>
                <w:b w:val="0"/>
                <w:bCs/>
                <w:highlight w:val="darkGray"/>
                <w:lang w:val="en-AU"/>
              </w:rPr>
            </w:pPr>
            <w:r w:rsidRPr="00E72650">
              <w:rPr>
                <w:rFonts w:cs="Calibri" w:hint="eastAsia"/>
                <w:b w:val="0"/>
                <w:bCs/>
                <w:color w:val="000000"/>
                <w:spacing w:val="-187"/>
                <w:szCs w:val="20"/>
                <w:shd w:val="solid" w:color="000000" w:fill="000000"/>
                <w:fitText w:val="13" w:id="-1305203957"/>
                <w:lang w:val="en-AU"/>
                <w14:textFill>
                  <w14:solidFill>
                    <w14:srgbClr w14:val="000000">
                      <w14:alpha w14:val="100000"/>
                    </w14:srgbClr>
                  </w14:solidFill>
                </w14:textFill>
              </w:rPr>
              <w:t xml:space="preserve">　</w:t>
            </w:r>
            <w:r w:rsidRPr="00334395">
              <w:rPr>
                <w:rFonts w:cs="Calibri"/>
                <w:b w:val="0"/>
                <w:bCs/>
                <w:color w:val="000000"/>
                <w:w w:val="15"/>
                <w:szCs w:val="20"/>
                <w:shd w:val="solid" w:color="000000" w:fill="000000"/>
                <w:lang w:val="en-AU"/>
                <w14:textFill>
                  <w14:solidFill>
                    <w14:srgbClr w14:val="000000">
                      <w14:alpha w14:val="100000"/>
                    </w14:srgbClr>
                  </w14:solidFill>
                </w14:textFill>
              </w:rPr>
              <w:t>|</w:t>
            </w:r>
            <w:r w:rsidRPr="00E72650">
              <w:rPr>
                <w:rFonts w:cs="Calibri" w:hint="eastAsia"/>
                <w:b w:val="0"/>
                <w:bCs/>
                <w:color w:val="000000"/>
                <w:w w:val="15"/>
                <w:szCs w:val="20"/>
                <w:shd w:val="solid" w:color="000000" w:fill="000000"/>
                <w:lang w:val="en-AU"/>
                <w14:textFill>
                  <w14:solidFill>
                    <w14:srgbClr w14:val="000000">
                      <w14:alpha w14:val="100000"/>
                    </w14:srgbClr>
                  </w14:solidFill>
                </w14:textFill>
              </w:rPr>
              <w:t xml:space="preserve">　</w:t>
            </w:r>
            <w:r w:rsidR="00FC614E" w:rsidRPr="00B6635B">
              <w:rPr>
                <w:b w:val="0"/>
                <w:bCs/>
                <w:vertAlign w:val="superscript"/>
                <w:lang w:val="en-AU"/>
              </w:rPr>
              <w:t>1</w:t>
            </w:r>
          </w:p>
        </w:tc>
        <w:tc>
          <w:tcPr>
            <w:tcW w:w="1324" w:type="dxa"/>
            <w:vAlign w:val="center"/>
          </w:tcPr>
          <w:p w14:paraId="3740A80D" w14:textId="5D0D8630" w:rsidR="00DE0C9C" w:rsidRPr="003A235D" w:rsidRDefault="00DE0C9C" w:rsidP="00DE0C9C">
            <w:pPr>
              <w:pStyle w:val="COMTableheadingrow"/>
              <w:keepNext w:val="0"/>
              <w:jc w:val="center"/>
              <w:rPr>
                <w:b w:val="0"/>
                <w:bCs/>
                <w:lang w:val="en-AU"/>
              </w:rPr>
            </w:pPr>
            <w:r w:rsidRPr="003A235D">
              <w:rPr>
                <w:rFonts w:cs="Calibri"/>
                <w:b w:val="0"/>
                <w:bCs/>
                <w:color w:val="000000"/>
                <w:szCs w:val="20"/>
                <w:lang w:val="en-AU"/>
              </w:rPr>
              <w:t>-4%</w:t>
            </w:r>
          </w:p>
        </w:tc>
      </w:tr>
      <w:tr w:rsidR="00DE0C9C" w:rsidRPr="003A235D" w14:paraId="3F2E05AF" w14:textId="77777777" w:rsidTr="00B6635B">
        <w:tc>
          <w:tcPr>
            <w:tcW w:w="3722" w:type="dxa"/>
          </w:tcPr>
          <w:p w14:paraId="15D03E6C" w14:textId="77777777" w:rsidR="00DE0C9C" w:rsidRPr="003A235D" w:rsidRDefault="00DE0C9C" w:rsidP="00DE0C9C">
            <w:pPr>
              <w:pStyle w:val="COMTableheadingrow"/>
              <w:keepNext w:val="0"/>
              <w:rPr>
                <w:b w:val="0"/>
                <w:bCs/>
                <w:lang w:val="en-AU"/>
              </w:rPr>
            </w:pPr>
            <w:r w:rsidRPr="003A235D">
              <w:rPr>
                <w:b w:val="0"/>
                <w:bCs/>
                <w:lang w:val="en-AU"/>
              </w:rPr>
              <w:t>- Gompertz function</w:t>
            </w:r>
          </w:p>
        </w:tc>
        <w:tc>
          <w:tcPr>
            <w:tcW w:w="1323" w:type="dxa"/>
            <w:tcBorders>
              <w:bottom w:val="single" w:sz="4" w:space="0" w:color="auto"/>
            </w:tcBorders>
            <w:shd w:val="solid" w:color="000000" w:fill="000000"/>
            <w:vAlign w:val="center"/>
          </w:tcPr>
          <w:p w14:paraId="70F76735" w14:textId="2AD1A0F1" w:rsidR="00DE0C9C" w:rsidRPr="00B6635B" w:rsidRDefault="00B6635B" w:rsidP="00DE0C9C">
            <w:pPr>
              <w:pStyle w:val="COMTableheadingrow"/>
              <w:keepNext w:val="0"/>
              <w:jc w:val="center"/>
              <w:rPr>
                <w:b w:val="0"/>
                <w:bCs/>
                <w:lang w:val="en-AU"/>
              </w:rPr>
            </w:pPr>
            <w:r w:rsidRPr="00B6635B">
              <w:rPr>
                <w:rFonts w:cs="Calibri"/>
                <w:b w:val="0"/>
                <w:bCs/>
                <w:color w:val="000000"/>
                <w:szCs w:val="20"/>
                <w:lang w:val="en-AU"/>
                <w14:textFill>
                  <w14:solidFill>
                    <w14:srgbClr w14:val="000000">
                      <w14:alpha w14:val="100000"/>
                    </w14:srgbClr>
                  </w14:solidFill>
                </w14:textFill>
              </w:rPr>
              <w:t>|</w:t>
            </w:r>
          </w:p>
        </w:tc>
        <w:tc>
          <w:tcPr>
            <w:tcW w:w="1324" w:type="dxa"/>
            <w:vAlign w:val="center"/>
          </w:tcPr>
          <w:p w14:paraId="5E3F6260" w14:textId="77777777" w:rsidR="00DE0C9C" w:rsidRPr="003A235D" w:rsidRDefault="00DE0C9C" w:rsidP="00DE0C9C">
            <w:pPr>
              <w:pStyle w:val="COMTableheadingrow"/>
              <w:keepNext w:val="0"/>
              <w:jc w:val="center"/>
              <w:rPr>
                <w:b w:val="0"/>
                <w:bCs/>
                <w:lang w:val="en-AU"/>
              </w:rPr>
            </w:pPr>
            <w:r w:rsidRPr="003A235D">
              <w:rPr>
                <w:rFonts w:cs="Calibri"/>
                <w:b w:val="0"/>
                <w:bCs/>
                <w:color w:val="000000"/>
                <w:szCs w:val="20"/>
                <w:lang w:val="en-AU"/>
              </w:rPr>
              <w:t>0.0640</w:t>
            </w:r>
          </w:p>
        </w:tc>
        <w:tc>
          <w:tcPr>
            <w:tcW w:w="1324" w:type="dxa"/>
            <w:vAlign w:val="center"/>
          </w:tcPr>
          <w:p w14:paraId="40ADDC1C" w14:textId="6C7D073A" w:rsidR="00DE0C9C" w:rsidRPr="00B6635B" w:rsidRDefault="00B6635B" w:rsidP="00DE0C9C">
            <w:pPr>
              <w:pStyle w:val="COMTableheadingrow"/>
              <w:keepNext w:val="0"/>
              <w:jc w:val="center"/>
              <w:rPr>
                <w:b w:val="0"/>
                <w:bCs/>
                <w:highlight w:val="darkGray"/>
                <w:lang w:val="en-AU"/>
              </w:rPr>
            </w:pPr>
            <w:r w:rsidRPr="00E72650">
              <w:rPr>
                <w:rFonts w:cs="Calibri" w:hint="eastAsia"/>
                <w:b w:val="0"/>
                <w:bCs/>
                <w:color w:val="000000"/>
                <w:spacing w:val="-187"/>
                <w:szCs w:val="20"/>
                <w:shd w:val="solid" w:color="000000" w:fill="000000"/>
                <w:fitText w:val="13" w:id="-1305203956"/>
                <w:lang w:val="en-AU"/>
                <w14:textFill>
                  <w14:solidFill>
                    <w14:srgbClr w14:val="000000">
                      <w14:alpha w14:val="100000"/>
                    </w14:srgbClr>
                  </w14:solidFill>
                </w14:textFill>
              </w:rPr>
              <w:t xml:space="preserve">　</w:t>
            </w:r>
            <w:r w:rsidRPr="00334395">
              <w:rPr>
                <w:rFonts w:cs="Calibri"/>
                <w:b w:val="0"/>
                <w:bCs/>
                <w:color w:val="000000"/>
                <w:w w:val="15"/>
                <w:szCs w:val="20"/>
                <w:shd w:val="solid" w:color="000000" w:fill="000000"/>
                <w:lang w:val="en-AU"/>
                <w14:textFill>
                  <w14:solidFill>
                    <w14:srgbClr w14:val="000000">
                      <w14:alpha w14:val="100000"/>
                    </w14:srgbClr>
                  </w14:solidFill>
                </w14:textFill>
              </w:rPr>
              <w:t>|</w:t>
            </w:r>
            <w:r w:rsidRPr="00E72650">
              <w:rPr>
                <w:rFonts w:cs="Calibri" w:hint="eastAsia"/>
                <w:b w:val="0"/>
                <w:bCs/>
                <w:color w:val="000000"/>
                <w:w w:val="15"/>
                <w:szCs w:val="20"/>
                <w:shd w:val="solid" w:color="000000" w:fill="000000"/>
                <w:lang w:val="en-AU"/>
                <w14:textFill>
                  <w14:solidFill>
                    <w14:srgbClr w14:val="000000">
                      <w14:alpha w14:val="100000"/>
                    </w14:srgbClr>
                  </w14:solidFill>
                </w14:textFill>
              </w:rPr>
              <w:t xml:space="preserve">　</w:t>
            </w:r>
            <w:r w:rsidR="00AC5A0D" w:rsidRPr="00B6635B">
              <w:rPr>
                <w:b w:val="0"/>
                <w:bCs/>
                <w:vertAlign w:val="superscript"/>
                <w:lang w:val="en-AU"/>
              </w:rPr>
              <w:t>2</w:t>
            </w:r>
          </w:p>
        </w:tc>
        <w:tc>
          <w:tcPr>
            <w:tcW w:w="1324" w:type="dxa"/>
            <w:vAlign w:val="center"/>
          </w:tcPr>
          <w:p w14:paraId="68E1F2D7" w14:textId="70D8671A" w:rsidR="00DE0C9C" w:rsidRPr="003A235D" w:rsidRDefault="00DE0C9C" w:rsidP="00DE0C9C">
            <w:pPr>
              <w:pStyle w:val="COMTableheadingrow"/>
              <w:keepNext w:val="0"/>
              <w:jc w:val="center"/>
              <w:rPr>
                <w:b w:val="0"/>
                <w:bCs/>
                <w:lang w:val="en-AU"/>
              </w:rPr>
            </w:pPr>
            <w:r w:rsidRPr="003A235D">
              <w:rPr>
                <w:rFonts w:cs="Calibri"/>
                <w:b w:val="0"/>
                <w:bCs/>
                <w:color w:val="000000"/>
                <w:szCs w:val="20"/>
                <w:lang w:val="en-AU"/>
              </w:rPr>
              <w:t>20%</w:t>
            </w:r>
          </w:p>
        </w:tc>
      </w:tr>
      <w:tr w:rsidR="00DE0C9C" w:rsidRPr="003A235D" w14:paraId="7148D6F5" w14:textId="77777777" w:rsidTr="00B6635B">
        <w:tc>
          <w:tcPr>
            <w:tcW w:w="3722" w:type="dxa"/>
          </w:tcPr>
          <w:p w14:paraId="639CF3C6" w14:textId="77777777" w:rsidR="00DE0C9C" w:rsidRPr="003A235D" w:rsidRDefault="00DE0C9C" w:rsidP="00DE0C9C">
            <w:pPr>
              <w:pStyle w:val="COMTableheadingrow"/>
              <w:keepNext w:val="0"/>
              <w:rPr>
                <w:b w:val="0"/>
                <w:bCs/>
                <w:lang w:val="en-AU"/>
              </w:rPr>
            </w:pPr>
            <w:r w:rsidRPr="003A235D">
              <w:rPr>
                <w:b w:val="0"/>
                <w:bCs/>
                <w:lang w:val="en-AU"/>
              </w:rPr>
              <w:t>- lognormal function</w:t>
            </w:r>
          </w:p>
        </w:tc>
        <w:tc>
          <w:tcPr>
            <w:tcW w:w="1323" w:type="dxa"/>
            <w:tcBorders>
              <w:bottom w:val="single" w:sz="4" w:space="0" w:color="auto"/>
            </w:tcBorders>
            <w:shd w:val="solid" w:color="000000" w:fill="000000"/>
            <w:vAlign w:val="center"/>
          </w:tcPr>
          <w:p w14:paraId="1740CDAC" w14:textId="590A3613" w:rsidR="00DE0C9C" w:rsidRPr="00B6635B" w:rsidRDefault="00B6635B" w:rsidP="00DE0C9C">
            <w:pPr>
              <w:pStyle w:val="COMTableheadingrow"/>
              <w:keepNext w:val="0"/>
              <w:jc w:val="center"/>
              <w:rPr>
                <w:b w:val="0"/>
                <w:bCs/>
                <w:lang w:val="en-AU"/>
              </w:rPr>
            </w:pPr>
            <w:r w:rsidRPr="00B6635B">
              <w:rPr>
                <w:rFonts w:cs="Calibri"/>
                <w:b w:val="0"/>
                <w:bCs/>
                <w:color w:val="000000"/>
                <w:szCs w:val="20"/>
                <w:lang w:val="en-AU"/>
                <w14:textFill>
                  <w14:solidFill>
                    <w14:srgbClr w14:val="000000">
                      <w14:alpha w14:val="100000"/>
                    </w14:srgbClr>
                  </w14:solidFill>
                </w14:textFill>
              </w:rPr>
              <w:t>|</w:t>
            </w:r>
          </w:p>
        </w:tc>
        <w:tc>
          <w:tcPr>
            <w:tcW w:w="1324" w:type="dxa"/>
            <w:vAlign w:val="center"/>
          </w:tcPr>
          <w:p w14:paraId="2C1EF1B0" w14:textId="77777777" w:rsidR="00DE0C9C" w:rsidRPr="003A235D" w:rsidRDefault="00DE0C9C" w:rsidP="00DE0C9C">
            <w:pPr>
              <w:pStyle w:val="COMTableheadingrow"/>
              <w:keepNext w:val="0"/>
              <w:jc w:val="center"/>
              <w:rPr>
                <w:b w:val="0"/>
                <w:bCs/>
                <w:lang w:val="en-AU"/>
              </w:rPr>
            </w:pPr>
            <w:r w:rsidRPr="003A235D">
              <w:rPr>
                <w:rFonts w:cs="Calibri"/>
                <w:b w:val="0"/>
                <w:bCs/>
                <w:color w:val="000000"/>
                <w:szCs w:val="20"/>
                <w:lang w:val="en-AU"/>
              </w:rPr>
              <w:t>0.1053</w:t>
            </w:r>
          </w:p>
        </w:tc>
        <w:tc>
          <w:tcPr>
            <w:tcW w:w="1324" w:type="dxa"/>
            <w:vAlign w:val="center"/>
          </w:tcPr>
          <w:p w14:paraId="3A2ABB3D" w14:textId="7652A710" w:rsidR="00DE0C9C" w:rsidRPr="00B6635B" w:rsidRDefault="00B6635B" w:rsidP="00DE0C9C">
            <w:pPr>
              <w:pStyle w:val="COMTableheadingrow"/>
              <w:keepNext w:val="0"/>
              <w:jc w:val="center"/>
              <w:rPr>
                <w:b w:val="0"/>
                <w:bCs/>
                <w:highlight w:val="darkGray"/>
                <w:lang w:val="en-AU"/>
              </w:rPr>
            </w:pPr>
            <w:r w:rsidRPr="00E72650">
              <w:rPr>
                <w:rFonts w:cs="Calibri" w:hint="eastAsia"/>
                <w:b w:val="0"/>
                <w:bCs/>
                <w:color w:val="000000"/>
                <w:spacing w:val="-187"/>
                <w:szCs w:val="20"/>
                <w:shd w:val="solid" w:color="000000" w:fill="000000"/>
                <w:fitText w:val="13" w:id="-1305203955"/>
                <w:lang w:val="en-AU"/>
                <w14:textFill>
                  <w14:solidFill>
                    <w14:srgbClr w14:val="000000">
                      <w14:alpha w14:val="100000"/>
                    </w14:srgbClr>
                  </w14:solidFill>
                </w14:textFill>
              </w:rPr>
              <w:t xml:space="preserve">　</w:t>
            </w:r>
            <w:r w:rsidRPr="00334395">
              <w:rPr>
                <w:rFonts w:cs="Calibri"/>
                <w:b w:val="0"/>
                <w:bCs/>
                <w:color w:val="000000"/>
                <w:w w:val="15"/>
                <w:szCs w:val="20"/>
                <w:shd w:val="solid" w:color="000000" w:fill="000000"/>
                <w:lang w:val="en-AU"/>
                <w14:textFill>
                  <w14:solidFill>
                    <w14:srgbClr w14:val="000000">
                      <w14:alpha w14:val="100000"/>
                    </w14:srgbClr>
                  </w14:solidFill>
                </w14:textFill>
              </w:rPr>
              <w:t>|</w:t>
            </w:r>
            <w:r w:rsidRPr="00E72650">
              <w:rPr>
                <w:rFonts w:cs="Calibri" w:hint="eastAsia"/>
                <w:b w:val="0"/>
                <w:bCs/>
                <w:color w:val="000000"/>
                <w:w w:val="15"/>
                <w:szCs w:val="20"/>
                <w:shd w:val="solid" w:color="000000" w:fill="000000"/>
                <w:lang w:val="en-AU"/>
                <w14:textFill>
                  <w14:solidFill>
                    <w14:srgbClr w14:val="000000">
                      <w14:alpha w14:val="100000"/>
                    </w14:srgbClr>
                  </w14:solidFill>
                </w14:textFill>
              </w:rPr>
              <w:t xml:space="preserve">　</w:t>
            </w:r>
            <w:r w:rsidR="00FC614E" w:rsidRPr="00B6635B">
              <w:rPr>
                <w:b w:val="0"/>
                <w:bCs/>
                <w:vertAlign w:val="superscript"/>
                <w:lang w:val="en-AU"/>
              </w:rPr>
              <w:t>1</w:t>
            </w:r>
          </w:p>
        </w:tc>
        <w:tc>
          <w:tcPr>
            <w:tcW w:w="1324" w:type="dxa"/>
            <w:vAlign w:val="center"/>
          </w:tcPr>
          <w:p w14:paraId="145DE5E2" w14:textId="249A7756" w:rsidR="00DE0C9C" w:rsidRPr="003A235D" w:rsidRDefault="00DE0C9C" w:rsidP="00DE0C9C">
            <w:pPr>
              <w:pStyle w:val="COMTableheadingrow"/>
              <w:keepNext w:val="0"/>
              <w:jc w:val="center"/>
              <w:rPr>
                <w:b w:val="0"/>
                <w:bCs/>
                <w:lang w:val="en-AU"/>
              </w:rPr>
            </w:pPr>
            <w:r w:rsidRPr="003A235D">
              <w:rPr>
                <w:rFonts w:cs="Calibri"/>
                <w:b w:val="0"/>
                <w:bCs/>
                <w:color w:val="000000"/>
                <w:szCs w:val="20"/>
                <w:lang w:val="en-AU"/>
              </w:rPr>
              <w:t>-9%</w:t>
            </w:r>
          </w:p>
        </w:tc>
      </w:tr>
      <w:tr w:rsidR="00DE0C9C" w:rsidRPr="003A235D" w14:paraId="34382173" w14:textId="77777777" w:rsidTr="00B6635B">
        <w:tc>
          <w:tcPr>
            <w:tcW w:w="3722" w:type="dxa"/>
          </w:tcPr>
          <w:p w14:paraId="126B5644" w14:textId="77777777" w:rsidR="00DE0C9C" w:rsidRPr="003A235D" w:rsidRDefault="00DE0C9C" w:rsidP="00DE0C9C">
            <w:pPr>
              <w:pStyle w:val="COMTableheadingrow"/>
              <w:keepNext w:val="0"/>
              <w:rPr>
                <w:b w:val="0"/>
                <w:bCs/>
                <w:lang w:val="en-AU"/>
              </w:rPr>
            </w:pPr>
            <w:r w:rsidRPr="003A235D">
              <w:rPr>
                <w:b w:val="0"/>
                <w:bCs/>
                <w:lang w:val="en-AU"/>
              </w:rPr>
              <w:t>- loglogistic function</w:t>
            </w:r>
          </w:p>
        </w:tc>
        <w:tc>
          <w:tcPr>
            <w:tcW w:w="1323" w:type="dxa"/>
            <w:tcBorders>
              <w:bottom w:val="single" w:sz="4" w:space="0" w:color="auto"/>
            </w:tcBorders>
            <w:shd w:val="solid" w:color="000000" w:fill="000000"/>
            <w:vAlign w:val="center"/>
          </w:tcPr>
          <w:p w14:paraId="3AD9197D" w14:textId="6BDDBA58" w:rsidR="00DE0C9C" w:rsidRPr="00B6635B" w:rsidRDefault="00B6635B" w:rsidP="00DE0C9C">
            <w:pPr>
              <w:pStyle w:val="COMTableheadingrow"/>
              <w:keepNext w:val="0"/>
              <w:jc w:val="center"/>
              <w:rPr>
                <w:b w:val="0"/>
                <w:bCs/>
                <w:lang w:val="en-AU"/>
              </w:rPr>
            </w:pPr>
            <w:r w:rsidRPr="00B6635B">
              <w:rPr>
                <w:rFonts w:cs="Calibri"/>
                <w:b w:val="0"/>
                <w:bCs/>
                <w:color w:val="000000"/>
                <w:szCs w:val="20"/>
                <w:lang w:val="en-AU"/>
                <w14:textFill>
                  <w14:solidFill>
                    <w14:srgbClr w14:val="000000">
                      <w14:alpha w14:val="100000"/>
                    </w14:srgbClr>
                  </w14:solidFill>
                </w14:textFill>
              </w:rPr>
              <w:t>|</w:t>
            </w:r>
          </w:p>
        </w:tc>
        <w:tc>
          <w:tcPr>
            <w:tcW w:w="1324" w:type="dxa"/>
            <w:vAlign w:val="center"/>
          </w:tcPr>
          <w:p w14:paraId="35B39F63" w14:textId="77777777" w:rsidR="00DE0C9C" w:rsidRPr="003A235D" w:rsidRDefault="00DE0C9C" w:rsidP="00DE0C9C">
            <w:pPr>
              <w:pStyle w:val="COMTableheadingrow"/>
              <w:keepNext w:val="0"/>
              <w:jc w:val="center"/>
              <w:rPr>
                <w:b w:val="0"/>
                <w:bCs/>
                <w:lang w:val="en-AU"/>
              </w:rPr>
            </w:pPr>
            <w:r w:rsidRPr="003A235D">
              <w:rPr>
                <w:rFonts w:cs="Calibri"/>
                <w:b w:val="0"/>
                <w:bCs/>
                <w:color w:val="000000"/>
                <w:szCs w:val="20"/>
                <w:lang w:val="en-AU"/>
              </w:rPr>
              <w:t>0.0887</w:t>
            </w:r>
          </w:p>
        </w:tc>
        <w:tc>
          <w:tcPr>
            <w:tcW w:w="1324" w:type="dxa"/>
            <w:vAlign w:val="center"/>
          </w:tcPr>
          <w:p w14:paraId="46F65DAD" w14:textId="6D40423A" w:rsidR="00DE0C9C" w:rsidRPr="00B6635B" w:rsidRDefault="00B6635B" w:rsidP="00DE0C9C">
            <w:pPr>
              <w:pStyle w:val="COMTableheadingrow"/>
              <w:keepNext w:val="0"/>
              <w:jc w:val="center"/>
              <w:rPr>
                <w:b w:val="0"/>
                <w:bCs/>
                <w:highlight w:val="darkGray"/>
                <w:lang w:val="en-AU"/>
              </w:rPr>
            </w:pPr>
            <w:r w:rsidRPr="00E72650">
              <w:rPr>
                <w:rFonts w:cs="Calibri" w:hint="eastAsia"/>
                <w:b w:val="0"/>
                <w:bCs/>
                <w:color w:val="000000"/>
                <w:spacing w:val="-187"/>
                <w:szCs w:val="20"/>
                <w:shd w:val="solid" w:color="000000" w:fill="000000"/>
                <w:fitText w:val="13" w:id="-1305203954"/>
                <w:lang w:val="en-AU"/>
                <w14:textFill>
                  <w14:solidFill>
                    <w14:srgbClr w14:val="000000">
                      <w14:alpha w14:val="100000"/>
                    </w14:srgbClr>
                  </w14:solidFill>
                </w14:textFill>
              </w:rPr>
              <w:t xml:space="preserve">　</w:t>
            </w:r>
            <w:r w:rsidRPr="00334395">
              <w:rPr>
                <w:rFonts w:cs="Calibri"/>
                <w:b w:val="0"/>
                <w:bCs/>
                <w:color w:val="000000"/>
                <w:w w:val="15"/>
                <w:szCs w:val="20"/>
                <w:shd w:val="solid" w:color="000000" w:fill="000000"/>
                <w:lang w:val="en-AU"/>
                <w14:textFill>
                  <w14:solidFill>
                    <w14:srgbClr w14:val="000000">
                      <w14:alpha w14:val="100000"/>
                    </w14:srgbClr>
                  </w14:solidFill>
                </w14:textFill>
              </w:rPr>
              <w:t>|</w:t>
            </w:r>
            <w:r w:rsidRPr="00E72650">
              <w:rPr>
                <w:rFonts w:cs="Calibri" w:hint="eastAsia"/>
                <w:b w:val="0"/>
                <w:bCs/>
                <w:color w:val="000000"/>
                <w:w w:val="15"/>
                <w:szCs w:val="20"/>
                <w:shd w:val="solid" w:color="000000" w:fill="000000"/>
                <w:lang w:val="en-AU"/>
                <w14:textFill>
                  <w14:solidFill>
                    <w14:srgbClr w14:val="000000">
                      <w14:alpha w14:val="100000"/>
                    </w14:srgbClr>
                  </w14:solidFill>
                </w14:textFill>
              </w:rPr>
              <w:t xml:space="preserve">　</w:t>
            </w:r>
            <w:r w:rsidR="00FC614E" w:rsidRPr="00B6635B">
              <w:rPr>
                <w:b w:val="0"/>
                <w:bCs/>
                <w:vertAlign w:val="superscript"/>
                <w:lang w:val="en-AU"/>
              </w:rPr>
              <w:t>1</w:t>
            </w:r>
          </w:p>
        </w:tc>
        <w:tc>
          <w:tcPr>
            <w:tcW w:w="1324" w:type="dxa"/>
            <w:vAlign w:val="center"/>
          </w:tcPr>
          <w:p w14:paraId="74747EFA" w14:textId="524FD531" w:rsidR="00DE0C9C" w:rsidRPr="003A235D" w:rsidRDefault="00DE0C9C" w:rsidP="00DE0C9C">
            <w:pPr>
              <w:pStyle w:val="COMTableheadingrow"/>
              <w:keepNext w:val="0"/>
              <w:jc w:val="center"/>
              <w:rPr>
                <w:b w:val="0"/>
                <w:bCs/>
                <w:lang w:val="en-AU"/>
              </w:rPr>
            </w:pPr>
            <w:r w:rsidRPr="003A235D">
              <w:rPr>
                <w:rFonts w:cs="Calibri"/>
                <w:b w:val="0"/>
                <w:bCs/>
                <w:color w:val="000000"/>
                <w:szCs w:val="20"/>
                <w:lang w:val="en-AU"/>
              </w:rPr>
              <w:t>1%</w:t>
            </w:r>
          </w:p>
        </w:tc>
      </w:tr>
      <w:tr w:rsidR="00DE0C9C" w:rsidRPr="003A235D" w14:paraId="3BDC51CA" w14:textId="77777777" w:rsidTr="00B6635B">
        <w:tc>
          <w:tcPr>
            <w:tcW w:w="3722" w:type="dxa"/>
          </w:tcPr>
          <w:p w14:paraId="68681084" w14:textId="77777777" w:rsidR="00DE0C9C" w:rsidRPr="003A235D" w:rsidRDefault="00DE0C9C" w:rsidP="00DE0C9C">
            <w:pPr>
              <w:pStyle w:val="COMTableheadingrow"/>
              <w:keepNext w:val="0"/>
              <w:rPr>
                <w:b w:val="0"/>
                <w:bCs/>
                <w:lang w:val="en-AU"/>
              </w:rPr>
            </w:pPr>
            <w:r w:rsidRPr="003A235D">
              <w:rPr>
                <w:b w:val="0"/>
                <w:bCs/>
                <w:lang w:val="en-AU"/>
              </w:rPr>
              <w:t>- generalised gamma</w:t>
            </w:r>
          </w:p>
        </w:tc>
        <w:tc>
          <w:tcPr>
            <w:tcW w:w="1323" w:type="dxa"/>
            <w:tcBorders>
              <w:bottom w:val="single" w:sz="4" w:space="0" w:color="auto"/>
            </w:tcBorders>
            <w:shd w:val="solid" w:color="000000" w:fill="000000"/>
            <w:vAlign w:val="center"/>
          </w:tcPr>
          <w:p w14:paraId="7B4E8CB0" w14:textId="28A581A4" w:rsidR="00DE0C9C" w:rsidRPr="00B6635B" w:rsidRDefault="00B6635B" w:rsidP="00DE0C9C">
            <w:pPr>
              <w:pStyle w:val="COMTableheadingrow"/>
              <w:keepNext w:val="0"/>
              <w:jc w:val="center"/>
              <w:rPr>
                <w:b w:val="0"/>
                <w:bCs/>
                <w:lang w:val="en-AU"/>
              </w:rPr>
            </w:pPr>
            <w:r w:rsidRPr="00B6635B">
              <w:rPr>
                <w:rFonts w:cs="Calibri"/>
                <w:b w:val="0"/>
                <w:bCs/>
                <w:color w:val="000000"/>
                <w:szCs w:val="20"/>
                <w:lang w:val="en-AU"/>
                <w14:textFill>
                  <w14:solidFill>
                    <w14:srgbClr w14:val="000000">
                      <w14:alpha w14:val="100000"/>
                    </w14:srgbClr>
                  </w14:solidFill>
                </w14:textFill>
              </w:rPr>
              <w:t>|</w:t>
            </w:r>
          </w:p>
        </w:tc>
        <w:tc>
          <w:tcPr>
            <w:tcW w:w="1324" w:type="dxa"/>
            <w:vAlign w:val="center"/>
          </w:tcPr>
          <w:p w14:paraId="0F783BFE" w14:textId="77777777" w:rsidR="00DE0C9C" w:rsidRPr="003A235D" w:rsidRDefault="00DE0C9C" w:rsidP="00DE0C9C">
            <w:pPr>
              <w:pStyle w:val="COMTableheadingrow"/>
              <w:keepNext w:val="0"/>
              <w:jc w:val="center"/>
              <w:rPr>
                <w:b w:val="0"/>
                <w:bCs/>
                <w:lang w:val="en-AU"/>
              </w:rPr>
            </w:pPr>
            <w:r w:rsidRPr="003A235D">
              <w:rPr>
                <w:rFonts w:cs="Calibri"/>
                <w:b w:val="0"/>
                <w:bCs/>
                <w:color w:val="000000"/>
                <w:szCs w:val="20"/>
                <w:lang w:val="en-AU"/>
              </w:rPr>
              <w:t>0.0869</w:t>
            </w:r>
          </w:p>
        </w:tc>
        <w:tc>
          <w:tcPr>
            <w:tcW w:w="1324" w:type="dxa"/>
            <w:vAlign w:val="center"/>
          </w:tcPr>
          <w:p w14:paraId="12A24316" w14:textId="1597D619" w:rsidR="00DE0C9C" w:rsidRPr="00B6635B" w:rsidRDefault="00B6635B" w:rsidP="00DE0C9C">
            <w:pPr>
              <w:pStyle w:val="COMTableheadingrow"/>
              <w:keepNext w:val="0"/>
              <w:jc w:val="center"/>
              <w:rPr>
                <w:b w:val="0"/>
                <w:bCs/>
                <w:highlight w:val="darkGray"/>
                <w:lang w:val="en-AU"/>
              </w:rPr>
            </w:pPr>
            <w:r w:rsidRPr="00E72650">
              <w:rPr>
                <w:rFonts w:cs="Calibri" w:hint="eastAsia"/>
                <w:b w:val="0"/>
                <w:bCs/>
                <w:color w:val="000000"/>
                <w:spacing w:val="-187"/>
                <w:szCs w:val="20"/>
                <w:shd w:val="solid" w:color="000000" w:fill="000000"/>
                <w:fitText w:val="13" w:id="-1305203953"/>
                <w:lang w:val="en-AU"/>
                <w14:textFill>
                  <w14:solidFill>
                    <w14:srgbClr w14:val="000000">
                      <w14:alpha w14:val="100000"/>
                    </w14:srgbClr>
                  </w14:solidFill>
                </w14:textFill>
              </w:rPr>
              <w:t xml:space="preserve">　</w:t>
            </w:r>
            <w:r w:rsidRPr="00334395">
              <w:rPr>
                <w:rFonts w:cs="Calibri"/>
                <w:b w:val="0"/>
                <w:bCs/>
                <w:color w:val="000000"/>
                <w:w w:val="15"/>
                <w:szCs w:val="20"/>
                <w:shd w:val="solid" w:color="000000" w:fill="000000"/>
                <w:lang w:val="en-AU"/>
                <w14:textFill>
                  <w14:solidFill>
                    <w14:srgbClr w14:val="000000">
                      <w14:alpha w14:val="100000"/>
                    </w14:srgbClr>
                  </w14:solidFill>
                </w14:textFill>
              </w:rPr>
              <w:t>|</w:t>
            </w:r>
            <w:r w:rsidRPr="00E72650">
              <w:rPr>
                <w:rFonts w:cs="Calibri" w:hint="eastAsia"/>
                <w:b w:val="0"/>
                <w:bCs/>
                <w:color w:val="000000"/>
                <w:w w:val="15"/>
                <w:szCs w:val="20"/>
                <w:shd w:val="solid" w:color="000000" w:fill="000000"/>
                <w:lang w:val="en-AU"/>
                <w14:textFill>
                  <w14:solidFill>
                    <w14:srgbClr w14:val="000000">
                      <w14:alpha w14:val="100000"/>
                    </w14:srgbClr>
                  </w14:solidFill>
                </w14:textFill>
              </w:rPr>
              <w:t xml:space="preserve">　</w:t>
            </w:r>
            <w:r w:rsidR="00FC614E" w:rsidRPr="00B6635B">
              <w:rPr>
                <w:b w:val="0"/>
                <w:bCs/>
                <w:vertAlign w:val="superscript"/>
                <w:lang w:val="en-AU"/>
              </w:rPr>
              <w:t>1</w:t>
            </w:r>
          </w:p>
        </w:tc>
        <w:tc>
          <w:tcPr>
            <w:tcW w:w="1324" w:type="dxa"/>
            <w:vAlign w:val="center"/>
          </w:tcPr>
          <w:p w14:paraId="75F4653A" w14:textId="6F59B099" w:rsidR="00DE0C9C" w:rsidRPr="003A235D" w:rsidRDefault="00DE0C9C" w:rsidP="00DE0C9C">
            <w:pPr>
              <w:pStyle w:val="COMTableheadingrow"/>
              <w:keepNext w:val="0"/>
              <w:jc w:val="center"/>
              <w:rPr>
                <w:b w:val="0"/>
                <w:bCs/>
                <w:lang w:val="en-AU"/>
              </w:rPr>
            </w:pPr>
            <w:r w:rsidRPr="003A235D">
              <w:rPr>
                <w:rFonts w:cs="Calibri"/>
                <w:b w:val="0"/>
                <w:bCs/>
                <w:color w:val="000000"/>
                <w:szCs w:val="20"/>
                <w:lang w:val="en-AU"/>
              </w:rPr>
              <w:t>0%</w:t>
            </w:r>
          </w:p>
        </w:tc>
      </w:tr>
      <w:tr w:rsidR="00DE0C9C" w:rsidRPr="003A235D" w14:paraId="5B670BE6" w14:textId="77777777" w:rsidTr="00B6635B">
        <w:tc>
          <w:tcPr>
            <w:tcW w:w="3722" w:type="dxa"/>
          </w:tcPr>
          <w:p w14:paraId="0E3A85A2" w14:textId="77777777" w:rsidR="00DE0C9C" w:rsidRPr="003A235D" w:rsidRDefault="00DE0C9C" w:rsidP="00DE0C9C">
            <w:pPr>
              <w:pStyle w:val="COMTableheadingrow"/>
              <w:keepNext w:val="0"/>
              <w:rPr>
                <w:b w:val="0"/>
                <w:bCs/>
                <w:iCs/>
                <w:lang w:val="en-AU"/>
              </w:rPr>
            </w:pPr>
            <w:r w:rsidRPr="003A235D">
              <w:rPr>
                <w:b w:val="0"/>
                <w:bCs/>
                <w:iCs/>
                <w:lang w:val="en-AU"/>
              </w:rPr>
              <w:t>- KM data used over 30 months; extrapolated using a Weibull function</w:t>
            </w:r>
          </w:p>
        </w:tc>
        <w:tc>
          <w:tcPr>
            <w:tcW w:w="1323" w:type="dxa"/>
            <w:tcBorders>
              <w:bottom w:val="single" w:sz="4" w:space="0" w:color="auto"/>
            </w:tcBorders>
            <w:shd w:val="solid" w:color="000000" w:fill="000000"/>
            <w:vAlign w:val="center"/>
          </w:tcPr>
          <w:p w14:paraId="762543C2" w14:textId="715BC058" w:rsidR="00DE0C9C" w:rsidRPr="00B6635B" w:rsidRDefault="00B6635B" w:rsidP="00DE0C9C">
            <w:pPr>
              <w:pStyle w:val="COMTableheadingrow"/>
              <w:keepNext w:val="0"/>
              <w:jc w:val="center"/>
              <w:rPr>
                <w:b w:val="0"/>
                <w:bCs/>
                <w:iCs/>
                <w:lang w:val="en-AU"/>
              </w:rPr>
            </w:pPr>
            <w:r w:rsidRPr="00B6635B">
              <w:rPr>
                <w:rFonts w:cs="Calibri"/>
                <w:b w:val="0"/>
                <w:bCs/>
                <w:iCs/>
                <w:color w:val="000000"/>
                <w:szCs w:val="20"/>
                <w:lang w:val="en-AU"/>
                <w14:textFill>
                  <w14:solidFill>
                    <w14:srgbClr w14:val="000000">
                      <w14:alpha w14:val="100000"/>
                    </w14:srgbClr>
                  </w14:solidFill>
                </w14:textFill>
              </w:rPr>
              <w:t>|</w:t>
            </w:r>
          </w:p>
        </w:tc>
        <w:tc>
          <w:tcPr>
            <w:tcW w:w="1324" w:type="dxa"/>
            <w:vAlign w:val="center"/>
          </w:tcPr>
          <w:p w14:paraId="0EA55441" w14:textId="77777777" w:rsidR="00DE0C9C" w:rsidRPr="003A235D" w:rsidRDefault="00DE0C9C" w:rsidP="00DE0C9C">
            <w:pPr>
              <w:pStyle w:val="COMTableheadingrow"/>
              <w:keepNext w:val="0"/>
              <w:jc w:val="center"/>
              <w:rPr>
                <w:b w:val="0"/>
                <w:bCs/>
                <w:iCs/>
                <w:lang w:val="en-AU"/>
              </w:rPr>
            </w:pPr>
            <w:r w:rsidRPr="003A235D">
              <w:rPr>
                <w:rFonts w:cs="Calibri"/>
                <w:b w:val="0"/>
                <w:bCs/>
                <w:iCs/>
                <w:color w:val="000000"/>
                <w:szCs w:val="20"/>
                <w:lang w:val="en-AU"/>
              </w:rPr>
              <w:t>0.0742</w:t>
            </w:r>
          </w:p>
        </w:tc>
        <w:tc>
          <w:tcPr>
            <w:tcW w:w="1324" w:type="dxa"/>
            <w:vAlign w:val="center"/>
          </w:tcPr>
          <w:p w14:paraId="779DEEF1" w14:textId="49BB6B50" w:rsidR="00DE0C9C" w:rsidRPr="00B6635B" w:rsidRDefault="00B6635B" w:rsidP="00DE0C9C">
            <w:pPr>
              <w:pStyle w:val="COMTableheadingrow"/>
              <w:keepNext w:val="0"/>
              <w:jc w:val="center"/>
              <w:rPr>
                <w:b w:val="0"/>
                <w:bCs/>
                <w:iCs/>
                <w:highlight w:val="darkGray"/>
                <w:lang w:val="en-AU"/>
              </w:rPr>
            </w:pPr>
            <w:r w:rsidRPr="00E72650">
              <w:rPr>
                <w:rFonts w:cs="Calibri" w:hint="eastAsia"/>
                <w:b w:val="0"/>
                <w:bCs/>
                <w:iCs/>
                <w:color w:val="000000"/>
                <w:spacing w:val="-187"/>
                <w:szCs w:val="20"/>
                <w:shd w:val="solid" w:color="000000" w:fill="000000"/>
                <w:fitText w:val="13" w:id="-1305203952"/>
                <w:lang w:val="en-AU"/>
                <w14:textFill>
                  <w14:solidFill>
                    <w14:srgbClr w14:val="000000">
                      <w14:alpha w14:val="100000"/>
                    </w14:srgbClr>
                  </w14:solidFill>
                </w14:textFill>
              </w:rPr>
              <w:t xml:space="preserve">　</w:t>
            </w:r>
            <w:r w:rsidRPr="00334395">
              <w:rPr>
                <w:rFonts w:cs="Calibri"/>
                <w:b w:val="0"/>
                <w:bCs/>
                <w:iCs/>
                <w:color w:val="000000"/>
                <w:w w:val="15"/>
                <w:szCs w:val="20"/>
                <w:shd w:val="solid" w:color="000000" w:fill="000000"/>
                <w:lang w:val="en-AU"/>
                <w14:textFill>
                  <w14:solidFill>
                    <w14:srgbClr w14:val="000000">
                      <w14:alpha w14:val="100000"/>
                    </w14:srgbClr>
                  </w14:solidFill>
                </w14:textFill>
              </w:rPr>
              <w:t>|</w:t>
            </w:r>
            <w:r w:rsidRPr="00E72650">
              <w:rPr>
                <w:rFonts w:cs="Calibri" w:hint="eastAsia"/>
                <w:b w:val="0"/>
                <w:bCs/>
                <w:iCs/>
                <w:color w:val="000000"/>
                <w:w w:val="15"/>
                <w:szCs w:val="20"/>
                <w:shd w:val="solid" w:color="000000" w:fill="000000"/>
                <w:lang w:val="en-AU"/>
                <w14:textFill>
                  <w14:solidFill>
                    <w14:srgbClr w14:val="000000">
                      <w14:alpha w14:val="100000"/>
                    </w14:srgbClr>
                  </w14:solidFill>
                </w14:textFill>
              </w:rPr>
              <w:t xml:space="preserve">　</w:t>
            </w:r>
            <w:r w:rsidR="00FC614E" w:rsidRPr="00B6635B">
              <w:rPr>
                <w:b w:val="0"/>
                <w:bCs/>
                <w:vertAlign w:val="superscript"/>
                <w:lang w:val="en-AU"/>
              </w:rPr>
              <w:t>1</w:t>
            </w:r>
          </w:p>
        </w:tc>
        <w:tc>
          <w:tcPr>
            <w:tcW w:w="1324" w:type="dxa"/>
            <w:vAlign w:val="center"/>
          </w:tcPr>
          <w:p w14:paraId="00E48FA3" w14:textId="3E0C7902" w:rsidR="00DE0C9C" w:rsidRPr="003A235D" w:rsidRDefault="00DE0C9C" w:rsidP="00DE0C9C">
            <w:pPr>
              <w:pStyle w:val="COMTableheadingrow"/>
              <w:keepNext w:val="0"/>
              <w:jc w:val="center"/>
              <w:rPr>
                <w:b w:val="0"/>
                <w:bCs/>
                <w:iCs/>
                <w:lang w:val="en-AU"/>
              </w:rPr>
            </w:pPr>
            <w:r w:rsidRPr="003A235D">
              <w:rPr>
                <w:rFonts w:cs="Calibri"/>
                <w:b w:val="0"/>
                <w:bCs/>
                <w:iCs/>
                <w:color w:val="000000"/>
                <w:szCs w:val="20"/>
                <w:lang w:val="en-AU"/>
              </w:rPr>
              <w:t>13%</w:t>
            </w:r>
          </w:p>
        </w:tc>
      </w:tr>
      <w:tr w:rsidR="00DE0C9C" w:rsidRPr="003A235D" w14:paraId="158B6BED" w14:textId="77777777" w:rsidTr="00B6635B">
        <w:tc>
          <w:tcPr>
            <w:tcW w:w="3722" w:type="dxa"/>
          </w:tcPr>
          <w:p w14:paraId="1B404C6D" w14:textId="77777777" w:rsidR="00DE0C9C" w:rsidRPr="003A235D" w:rsidRDefault="00DE0C9C" w:rsidP="00DE0C9C">
            <w:pPr>
              <w:pStyle w:val="COMTableheadingrow"/>
              <w:keepNext w:val="0"/>
              <w:rPr>
                <w:b w:val="0"/>
                <w:bCs/>
                <w:iCs/>
                <w:lang w:val="en-AU"/>
              </w:rPr>
            </w:pPr>
            <w:r w:rsidRPr="003A235D">
              <w:rPr>
                <w:b w:val="0"/>
                <w:bCs/>
                <w:iCs/>
                <w:lang w:val="en-AU"/>
              </w:rPr>
              <w:t>- include empagliflozin treatment effect</w:t>
            </w:r>
          </w:p>
        </w:tc>
        <w:tc>
          <w:tcPr>
            <w:tcW w:w="1323" w:type="dxa"/>
            <w:tcBorders>
              <w:bottom w:val="single" w:sz="4" w:space="0" w:color="auto"/>
            </w:tcBorders>
            <w:shd w:val="solid" w:color="000000" w:fill="000000"/>
            <w:vAlign w:val="center"/>
          </w:tcPr>
          <w:p w14:paraId="0CC0B6AF" w14:textId="046316C8" w:rsidR="00DE0C9C" w:rsidRPr="00B6635B" w:rsidRDefault="00B6635B" w:rsidP="00DE0C9C">
            <w:pPr>
              <w:pStyle w:val="COMTableheadingrow"/>
              <w:keepNext w:val="0"/>
              <w:jc w:val="center"/>
              <w:rPr>
                <w:b w:val="0"/>
                <w:bCs/>
                <w:iCs/>
                <w:lang w:val="en-AU"/>
              </w:rPr>
            </w:pPr>
            <w:r w:rsidRPr="00B6635B">
              <w:rPr>
                <w:rFonts w:cs="Calibri"/>
                <w:b w:val="0"/>
                <w:bCs/>
                <w:iCs/>
                <w:color w:val="000000"/>
                <w:szCs w:val="20"/>
                <w:lang w:val="en-AU"/>
                <w14:textFill>
                  <w14:solidFill>
                    <w14:srgbClr w14:val="000000">
                      <w14:alpha w14:val="100000"/>
                    </w14:srgbClr>
                  </w14:solidFill>
                </w14:textFill>
              </w:rPr>
              <w:t>|</w:t>
            </w:r>
          </w:p>
        </w:tc>
        <w:tc>
          <w:tcPr>
            <w:tcW w:w="1324" w:type="dxa"/>
            <w:vAlign w:val="center"/>
          </w:tcPr>
          <w:p w14:paraId="582D1D2E" w14:textId="77777777" w:rsidR="00DE0C9C" w:rsidRPr="003A235D" w:rsidRDefault="00DE0C9C" w:rsidP="00DE0C9C">
            <w:pPr>
              <w:pStyle w:val="COMTableheadingrow"/>
              <w:keepNext w:val="0"/>
              <w:jc w:val="center"/>
              <w:rPr>
                <w:b w:val="0"/>
                <w:bCs/>
                <w:iCs/>
                <w:lang w:val="en-AU"/>
              </w:rPr>
            </w:pPr>
            <w:r w:rsidRPr="003A235D">
              <w:rPr>
                <w:rFonts w:cs="Calibri"/>
                <w:b w:val="0"/>
                <w:bCs/>
                <w:iCs/>
                <w:color w:val="000000"/>
                <w:szCs w:val="20"/>
                <w:lang w:val="en-AU"/>
              </w:rPr>
              <w:t>0.0766</w:t>
            </w:r>
          </w:p>
        </w:tc>
        <w:tc>
          <w:tcPr>
            <w:tcW w:w="1324" w:type="dxa"/>
            <w:vAlign w:val="center"/>
          </w:tcPr>
          <w:p w14:paraId="55C56419" w14:textId="4889FB46" w:rsidR="00DE0C9C" w:rsidRPr="00B6635B" w:rsidRDefault="00B6635B" w:rsidP="00DE0C9C">
            <w:pPr>
              <w:pStyle w:val="COMTableheadingrow"/>
              <w:keepNext w:val="0"/>
              <w:jc w:val="center"/>
              <w:rPr>
                <w:b w:val="0"/>
                <w:bCs/>
                <w:iCs/>
                <w:highlight w:val="darkGray"/>
                <w:lang w:val="en-AU"/>
              </w:rPr>
            </w:pPr>
            <w:r w:rsidRPr="00E72650">
              <w:rPr>
                <w:rFonts w:cs="Calibri" w:hint="eastAsia"/>
                <w:b w:val="0"/>
                <w:bCs/>
                <w:iCs/>
                <w:color w:val="000000"/>
                <w:spacing w:val="-187"/>
                <w:szCs w:val="20"/>
                <w:shd w:val="solid" w:color="000000" w:fill="000000"/>
                <w:fitText w:val="13" w:id="-1305203968"/>
                <w:lang w:val="en-AU"/>
                <w14:textFill>
                  <w14:solidFill>
                    <w14:srgbClr w14:val="000000">
                      <w14:alpha w14:val="100000"/>
                    </w14:srgbClr>
                  </w14:solidFill>
                </w14:textFill>
              </w:rPr>
              <w:t xml:space="preserve">　</w:t>
            </w:r>
            <w:r w:rsidRPr="00334395">
              <w:rPr>
                <w:rFonts w:cs="Calibri"/>
                <w:b w:val="0"/>
                <w:bCs/>
                <w:iCs/>
                <w:color w:val="000000"/>
                <w:w w:val="15"/>
                <w:szCs w:val="20"/>
                <w:shd w:val="solid" w:color="000000" w:fill="000000"/>
                <w:lang w:val="en-AU"/>
                <w14:textFill>
                  <w14:solidFill>
                    <w14:srgbClr w14:val="000000">
                      <w14:alpha w14:val="100000"/>
                    </w14:srgbClr>
                  </w14:solidFill>
                </w14:textFill>
              </w:rPr>
              <w:t>|</w:t>
            </w:r>
            <w:r w:rsidRPr="00E72650">
              <w:rPr>
                <w:rFonts w:cs="Calibri" w:hint="eastAsia"/>
                <w:b w:val="0"/>
                <w:bCs/>
                <w:iCs/>
                <w:color w:val="000000"/>
                <w:w w:val="15"/>
                <w:szCs w:val="20"/>
                <w:shd w:val="solid" w:color="000000" w:fill="000000"/>
                <w:lang w:val="en-AU"/>
                <w14:textFill>
                  <w14:solidFill>
                    <w14:srgbClr w14:val="000000">
                      <w14:alpha w14:val="100000"/>
                    </w14:srgbClr>
                  </w14:solidFill>
                </w14:textFill>
              </w:rPr>
              <w:t xml:space="preserve">　</w:t>
            </w:r>
            <w:r w:rsidR="00FC614E" w:rsidRPr="00B6635B">
              <w:rPr>
                <w:b w:val="0"/>
                <w:bCs/>
                <w:vertAlign w:val="superscript"/>
                <w:lang w:val="en-AU"/>
              </w:rPr>
              <w:t>1</w:t>
            </w:r>
          </w:p>
        </w:tc>
        <w:tc>
          <w:tcPr>
            <w:tcW w:w="1324" w:type="dxa"/>
            <w:vAlign w:val="center"/>
          </w:tcPr>
          <w:p w14:paraId="109DECA0" w14:textId="180EEB71" w:rsidR="00DE0C9C" w:rsidRPr="003A235D" w:rsidRDefault="00DE0C9C" w:rsidP="00DE0C9C">
            <w:pPr>
              <w:pStyle w:val="COMTableheadingrow"/>
              <w:keepNext w:val="0"/>
              <w:jc w:val="center"/>
              <w:rPr>
                <w:b w:val="0"/>
                <w:bCs/>
                <w:iCs/>
                <w:lang w:val="en-AU"/>
              </w:rPr>
            </w:pPr>
            <w:r w:rsidRPr="003A235D">
              <w:rPr>
                <w:rFonts w:cs="Calibri"/>
                <w:b w:val="0"/>
                <w:bCs/>
                <w:iCs/>
                <w:color w:val="000000"/>
                <w:szCs w:val="20"/>
                <w:lang w:val="en-AU"/>
              </w:rPr>
              <w:t>10%</w:t>
            </w:r>
          </w:p>
        </w:tc>
      </w:tr>
      <w:tr w:rsidR="00DE0C9C" w:rsidRPr="003A235D" w14:paraId="08C2BD14" w14:textId="77777777" w:rsidTr="00B6635B">
        <w:tc>
          <w:tcPr>
            <w:tcW w:w="3722" w:type="dxa"/>
          </w:tcPr>
          <w:p w14:paraId="20B8269C" w14:textId="77777777" w:rsidR="00DE0C9C" w:rsidRPr="003A235D" w:rsidRDefault="00DE0C9C" w:rsidP="00DE0C9C">
            <w:pPr>
              <w:pStyle w:val="COMTableheadingrow"/>
              <w:keepNext w:val="0"/>
              <w:rPr>
                <w:b w:val="0"/>
                <w:bCs/>
                <w:iCs/>
                <w:lang w:val="en-AU"/>
              </w:rPr>
            </w:pPr>
            <w:r w:rsidRPr="003A235D">
              <w:rPr>
                <w:b w:val="0"/>
                <w:bCs/>
                <w:iCs/>
                <w:lang w:val="en-AU"/>
              </w:rPr>
              <w:t>- include empagliflozin treatment effect; KM data used over 30 months; extrapolated using a Weibull function</w:t>
            </w:r>
          </w:p>
        </w:tc>
        <w:tc>
          <w:tcPr>
            <w:tcW w:w="1323" w:type="dxa"/>
            <w:shd w:val="solid" w:color="000000" w:fill="000000"/>
            <w:vAlign w:val="center"/>
          </w:tcPr>
          <w:p w14:paraId="53ADFB66" w14:textId="398229FF" w:rsidR="00DE0C9C" w:rsidRPr="00B6635B" w:rsidRDefault="00B6635B" w:rsidP="00DE0C9C">
            <w:pPr>
              <w:pStyle w:val="COMTableheadingrow"/>
              <w:keepNext w:val="0"/>
              <w:jc w:val="center"/>
              <w:rPr>
                <w:b w:val="0"/>
                <w:bCs/>
                <w:iCs/>
                <w:lang w:val="en-AU"/>
              </w:rPr>
            </w:pPr>
            <w:r w:rsidRPr="00B6635B">
              <w:rPr>
                <w:rFonts w:cs="Calibri"/>
                <w:b w:val="0"/>
                <w:bCs/>
                <w:iCs/>
                <w:color w:val="000000"/>
                <w:szCs w:val="20"/>
                <w:lang w:val="en-AU"/>
                <w14:textFill>
                  <w14:solidFill>
                    <w14:srgbClr w14:val="000000">
                      <w14:alpha w14:val="100000"/>
                    </w14:srgbClr>
                  </w14:solidFill>
                </w14:textFill>
              </w:rPr>
              <w:t>|</w:t>
            </w:r>
          </w:p>
        </w:tc>
        <w:tc>
          <w:tcPr>
            <w:tcW w:w="1324" w:type="dxa"/>
            <w:vAlign w:val="center"/>
          </w:tcPr>
          <w:p w14:paraId="549251E5" w14:textId="77777777" w:rsidR="00DE0C9C" w:rsidRPr="003A235D" w:rsidRDefault="00DE0C9C" w:rsidP="00DE0C9C">
            <w:pPr>
              <w:pStyle w:val="COMTableheadingrow"/>
              <w:keepNext w:val="0"/>
              <w:jc w:val="center"/>
              <w:rPr>
                <w:b w:val="0"/>
                <w:bCs/>
                <w:iCs/>
                <w:lang w:val="en-AU"/>
              </w:rPr>
            </w:pPr>
            <w:r w:rsidRPr="003A235D">
              <w:rPr>
                <w:rFonts w:cs="Calibri"/>
                <w:b w:val="0"/>
                <w:bCs/>
                <w:iCs/>
                <w:color w:val="000000"/>
                <w:szCs w:val="20"/>
                <w:lang w:val="en-AU"/>
              </w:rPr>
              <w:t>0.0670</w:t>
            </w:r>
          </w:p>
        </w:tc>
        <w:tc>
          <w:tcPr>
            <w:tcW w:w="1324" w:type="dxa"/>
            <w:vAlign w:val="center"/>
          </w:tcPr>
          <w:p w14:paraId="0C5C8FDE" w14:textId="5B0DF628" w:rsidR="00DE0C9C" w:rsidRPr="00B6635B" w:rsidRDefault="00B6635B" w:rsidP="00DE0C9C">
            <w:pPr>
              <w:pStyle w:val="COMTableheadingrow"/>
              <w:keepNext w:val="0"/>
              <w:jc w:val="center"/>
              <w:rPr>
                <w:b w:val="0"/>
                <w:bCs/>
                <w:iCs/>
                <w:highlight w:val="darkGray"/>
                <w:lang w:val="en-AU"/>
              </w:rPr>
            </w:pPr>
            <w:r w:rsidRPr="00E72650">
              <w:rPr>
                <w:rFonts w:cs="Calibri" w:hint="eastAsia"/>
                <w:b w:val="0"/>
                <w:bCs/>
                <w:iCs/>
                <w:color w:val="000000"/>
                <w:spacing w:val="-187"/>
                <w:szCs w:val="20"/>
                <w:shd w:val="solid" w:color="000000" w:fill="000000"/>
                <w:fitText w:val="13" w:id="-1305203967"/>
                <w:lang w:val="en-AU"/>
                <w14:textFill>
                  <w14:solidFill>
                    <w14:srgbClr w14:val="000000">
                      <w14:alpha w14:val="100000"/>
                    </w14:srgbClr>
                  </w14:solidFill>
                </w14:textFill>
              </w:rPr>
              <w:t xml:space="preserve">　</w:t>
            </w:r>
            <w:r w:rsidRPr="00334395">
              <w:rPr>
                <w:rFonts w:cs="Calibri"/>
                <w:b w:val="0"/>
                <w:bCs/>
                <w:iCs/>
                <w:color w:val="000000"/>
                <w:w w:val="15"/>
                <w:szCs w:val="20"/>
                <w:shd w:val="solid" w:color="000000" w:fill="000000"/>
                <w:lang w:val="en-AU"/>
                <w14:textFill>
                  <w14:solidFill>
                    <w14:srgbClr w14:val="000000">
                      <w14:alpha w14:val="100000"/>
                    </w14:srgbClr>
                  </w14:solidFill>
                </w14:textFill>
              </w:rPr>
              <w:t>|</w:t>
            </w:r>
            <w:r w:rsidRPr="00E72650">
              <w:rPr>
                <w:rFonts w:cs="Calibri" w:hint="eastAsia"/>
                <w:b w:val="0"/>
                <w:bCs/>
                <w:iCs/>
                <w:color w:val="000000"/>
                <w:w w:val="15"/>
                <w:szCs w:val="20"/>
                <w:shd w:val="solid" w:color="000000" w:fill="000000"/>
                <w:lang w:val="en-AU"/>
                <w14:textFill>
                  <w14:solidFill>
                    <w14:srgbClr w14:val="000000">
                      <w14:alpha w14:val="100000"/>
                    </w14:srgbClr>
                  </w14:solidFill>
                </w14:textFill>
              </w:rPr>
              <w:t xml:space="preserve">　</w:t>
            </w:r>
            <w:r w:rsidR="00AC5A0D" w:rsidRPr="00B6635B">
              <w:rPr>
                <w:b w:val="0"/>
                <w:bCs/>
                <w:vertAlign w:val="superscript"/>
                <w:lang w:val="en-AU"/>
              </w:rPr>
              <w:t>2</w:t>
            </w:r>
          </w:p>
        </w:tc>
        <w:tc>
          <w:tcPr>
            <w:tcW w:w="1324" w:type="dxa"/>
            <w:vAlign w:val="center"/>
          </w:tcPr>
          <w:p w14:paraId="5607EAAC" w14:textId="1B9E763F" w:rsidR="00DE0C9C" w:rsidRPr="003A235D" w:rsidRDefault="00DE0C9C" w:rsidP="00DE0C9C">
            <w:pPr>
              <w:pStyle w:val="COMTableheadingrow"/>
              <w:keepNext w:val="0"/>
              <w:jc w:val="center"/>
              <w:rPr>
                <w:b w:val="0"/>
                <w:bCs/>
                <w:iCs/>
                <w:lang w:val="en-AU"/>
              </w:rPr>
            </w:pPr>
            <w:r w:rsidRPr="003A235D">
              <w:rPr>
                <w:rFonts w:cs="Calibri"/>
                <w:b w:val="0"/>
                <w:bCs/>
                <w:iCs/>
                <w:color w:val="000000"/>
                <w:szCs w:val="20"/>
                <w:lang w:val="en-AU"/>
              </w:rPr>
              <w:t>22%</w:t>
            </w:r>
          </w:p>
        </w:tc>
      </w:tr>
      <w:tr w:rsidR="00C21FCA" w:rsidRPr="003A235D" w14:paraId="6B9BF202" w14:textId="77777777" w:rsidTr="00AE14F4">
        <w:tc>
          <w:tcPr>
            <w:tcW w:w="9017" w:type="dxa"/>
            <w:gridSpan w:val="5"/>
          </w:tcPr>
          <w:p w14:paraId="31DC4DA8" w14:textId="77777777" w:rsidR="00C21FCA" w:rsidRPr="003A235D" w:rsidRDefault="00C21FCA" w:rsidP="00AE14F4">
            <w:pPr>
              <w:pStyle w:val="COMTableheadingrow"/>
              <w:keepNext w:val="0"/>
              <w:rPr>
                <w:b w:val="0"/>
                <w:bCs/>
                <w:lang w:val="en-AU"/>
              </w:rPr>
            </w:pPr>
            <w:r w:rsidRPr="003A235D">
              <w:rPr>
                <w:lang w:val="en-AU"/>
              </w:rPr>
              <w:t>Heart failure hospitalisation costs (base case $8,674 per event)</w:t>
            </w:r>
          </w:p>
        </w:tc>
      </w:tr>
      <w:tr w:rsidR="00C21FCA" w:rsidRPr="003A235D" w14:paraId="25712FD2" w14:textId="77777777" w:rsidTr="00B6635B">
        <w:tc>
          <w:tcPr>
            <w:tcW w:w="3722" w:type="dxa"/>
          </w:tcPr>
          <w:p w14:paraId="58A0179C" w14:textId="77777777" w:rsidR="00C21FCA" w:rsidRPr="003A235D" w:rsidRDefault="00C21FCA" w:rsidP="00AE14F4">
            <w:pPr>
              <w:pStyle w:val="COMTableheadingrow"/>
              <w:keepNext w:val="0"/>
              <w:rPr>
                <w:b w:val="0"/>
                <w:bCs/>
                <w:lang w:val="en-AU"/>
              </w:rPr>
            </w:pPr>
            <w:r w:rsidRPr="003A235D">
              <w:rPr>
                <w:b w:val="0"/>
                <w:bCs/>
                <w:iCs/>
                <w:lang w:val="en-AU"/>
              </w:rPr>
              <w:t>- increase by 50%</w:t>
            </w:r>
          </w:p>
        </w:tc>
        <w:tc>
          <w:tcPr>
            <w:tcW w:w="1323" w:type="dxa"/>
            <w:tcBorders>
              <w:bottom w:val="single" w:sz="4" w:space="0" w:color="auto"/>
            </w:tcBorders>
            <w:shd w:val="solid" w:color="000000" w:fill="000000"/>
            <w:vAlign w:val="center"/>
          </w:tcPr>
          <w:p w14:paraId="10B69045" w14:textId="6CCE489D" w:rsidR="00C21FCA" w:rsidRPr="00B6635B" w:rsidRDefault="00B6635B" w:rsidP="00AE14F4">
            <w:pPr>
              <w:pStyle w:val="COMTableheadingrow"/>
              <w:keepNext w:val="0"/>
              <w:jc w:val="center"/>
              <w:rPr>
                <w:b w:val="0"/>
                <w:bCs/>
                <w:lang w:val="en-AU"/>
              </w:rPr>
            </w:pPr>
            <w:r w:rsidRPr="00B6635B">
              <w:rPr>
                <w:rFonts w:cs="Calibri"/>
                <w:b w:val="0"/>
                <w:bCs/>
                <w:iCs/>
                <w:color w:val="000000"/>
                <w:szCs w:val="20"/>
                <w:lang w:val="en-AU"/>
                <w14:textFill>
                  <w14:solidFill>
                    <w14:srgbClr w14:val="000000">
                      <w14:alpha w14:val="100000"/>
                    </w14:srgbClr>
                  </w14:solidFill>
                </w14:textFill>
              </w:rPr>
              <w:t>|</w:t>
            </w:r>
          </w:p>
        </w:tc>
        <w:tc>
          <w:tcPr>
            <w:tcW w:w="1324" w:type="dxa"/>
            <w:vAlign w:val="center"/>
          </w:tcPr>
          <w:p w14:paraId="46C95D50" w14:textId="77777777" w:rsidR="00C21FCA" w:rsidRPr="003A235D" w:rsidRDefault="00C21FCA" w:rsidP="00AE14F4">
            <w:pPr>
              <w:pStyle w:val="COMTableheadingrow"/>
              <w:keepNext w:val="0"/>
              <w:jc w:val="center"/>
              <w:rPr>
                <w:b w:val="0"/>
                <w:bCs/>
                <w:lang w:val="en-AU"/>
              </w:rPr>
            </w:pPr>
            <w:r w:rsidRPr="003A235D">
              <w:rPr>
                <w:rFonts w:cs="Calibri"/>
                <w:b w:val="0"/>
                <w:bCs/>
                <w:iCs/>
                <w:color w:val="000000"/>
                <w:szCs w:val="20"/>
                <w:lang w:val="en-AU"/>
              </w:rPr>
              <w:t>0.0882</w:t>
            </w:r>
          </w:p>
        </w:tc>
        <w:tc>
          <w:tcPr>
            <w:tcW w:w="1324" w:type="dxa"/>
            <w:vAlign w:val="center"/>
          </w:tcPr>
          <w:p w14:paraId="360DB362" w14:textId="49040441" w:rsidR="00C21FCA" w:rsidRPr="00B6635B" w:rsidRDefault="00B6635B" w:rsidP="00AE14F4">
            <w:pPr>
              <w:pStyle w:val="COMTableheadingrow"/>
              <w:keepNext w:val="0"/>
              <w:jc w:val="center"/>
              <w:rPr>
                <w:b w:val="0"/>
                <w:bCs/>
                <w:highlight w:val="darkGray"/>
                <w:lang w:val="en-AU"/>
              </w:rPr>
            </w:pPr>
            <w:r w:rsidRPr="00E72650">
              <w:rPr>
                <w:rFonts w:cs="Calibri" w:hint="eastAsia"/>
                <w:b w:val="0"/>
                <w:bCs/>
                <w:iCs/>
                <w:color w:val="000000"/>
                <w:spacing w:val="-187"/>
                <w:szCs w:val="20"/>
                <w:shd w:val="solid" w:color="000000" w:fill="000000"/>
                <w:fitText w:val="13" w:id="-1305203966"/>
                <w:lang w:val="en-AU"/>
                <w14:textFill>
                  <w14:solidFill>
                    <w14:srgbClr w14:val="000000">
                      <w14:alpha w14:val="100000"/>
                    </w14:srgbClr>
                  </w14:solidFill>
                </w14:textFill>
              </w:rPr>
              <w:t xml:space="preserve">　</w:t>
            </w:r>
            <w:r w:rsidRPr="00334395">
              <w:rPr>
                <w:rFonts w:cs="Calibri"/>
                <w:b w:val="0"/>
                <w:bCs/>
                <w:iCs/>
                <w:color w:val="000000"/>
                <w:w w:val="15"/>
                <w:szCs w:val="20"/>
                <w:shd w:val="solid" w:color="000000" w:fill="000000"/>
                <w:lang w:val="en-AU"/>
                <w14:textFill>
                  <w14:solidFill>
                    <w14:srgbClr w14:val="000000">
                      <w14:alpha w14:val="100000"/>
                    </w14:srgbClr>
                  </w14:solidFill>
                </w14:textFill>
              </w:rPr>
              <w:t>|</w:t>
            </w:r>
            <w:r w:rsidRPr="00E72650">
              <w:rPr>
                <w:rFonts w:cs="Calibri" w:hint="eastAsia"/>
                <w:b w:val="0"/>
                <w:bCs/>
                <w:iCs/>
                <w:color w:val="000000"/>
                <w:w w:val="15"/>
                <w:szCs w:val="20"/>
                <w:shd w:val="solid" w:color="000000" w:fill="000000"/>
                <w:lang w:val="en-AU"/>
                <w14:textFill>
                  <w14:solidFill>
                    <w14:srgbClr w14:val="000000">
                      <w14:alpha w14:val="100000"/>
                    </w14:srgbClr>
                  </w14:solidFill>
                </w14:textFill>
              </w:rPr>
              <w:t xml:space="preserve">　</w:t>
            </w:r>
            <w:r w:rsidR="00FC614E" w:rsidRPr="00B6635B">
              <w:rPr>
                <w:b w:val="0"/>
                <w:bCs/>
                <w:vertAlign w:val="superscript"/>
                <w:lang w:val="en-AU"/>
              </w:rPr>
              <w:t>1</w:t>
            </w:r>
          </w:p>
        </w:tc>
        <w:tc>
          <w:tcPr>
            <w:tcW w:w="1324" w:type="dxa"/>
            <w:vAlign w:val="center"/>
          </w:tcPr>
          <w:p w14:paraId="46A790F7" w14:textId="152DF6D2" w:rsidR="00C21FCA" w:rsidRPr="003A235D" w:rsidRDefault="00DE0C9C" w:rsidP="00AE14F4">
            <w:pPr>
              <w:pStyle w:val="COMTableheadingrow"/>
              <w:keepNext w:val="0"/>
              <w:jc w:val="center"/>
              <w:rPr>
                <w:b w:val="0"/>
                <w:bCs/>
                <w:lang w:val="en-AU"/>
              </w:rPr>
            </w:pPr>
            <w:r w:rsidRPr="003A235D">
              <w:rPr>
                <w:rFonts w:cs="Calibri"/>
                <w:b w:val="0"/>
                <w:bCs/>
                <w:iCs/>
                <w:color w:val="000000"/>
                <w:szCs w:val="20"/>
                <w:lang w:val="en-AU"/>
              </w:rPr>
              <w:t>-15</w:t>
            </w:r>
            <w:r w:rsidR="00C21FCA" w:rsidRPr="003A235D">
              <w:rPr>
                <w:rFonts w:cs="Calibri"/>
                <w:b w:val="0"/>
                <w:bCs/>
                <w:iCs/>
                <w:color w:val="000000"/>
                <w:szCs w:val="20"/>
                <w:lang w:val="en-AU"/>
              </w:rPr>
              <w:t>%</w:t>
            </w:r>
          </w:p>
        </w:tc>
      </w:tr>
      <w:tr w:rsidR="00C21FCA" w:rsidRPr="003A235D" w14:paraId="78A09C91" w14:textId="77777777" w:rsidTr="00B6635B">
        <w:tc>
          <w:tcPr>
            <w:tcW w:w="3722" w:type="dxa"/>
          </w:tcPr>
          <w:p w14:paraId="024447D6" w14:textId="77777777" w:rsidR="00C21FCA" w:rsidRPr="003A235D" w:rsidRDefault="00C21FCA" w:rsidP="00AE14F4">
            <w:pPr>
              <w:pStyle w:val="COMTableheadingrow"/>
              <w:keepNext w:val="0"/>
              <w:rPr>
                <w:b w:val="0"/>
                <w:bCs/>
                <w:lang w:val="en-AU"/>
              </w:rPr>
            </w:pPr>
            <w:r w:rsidRPr="003A235D">
              <w:rPr>
                <w:b w:val="0"/>
                <w:bCs/>
                <w:iCs/>
                <w:lang w:val="en-AU"/>
              </w:rPr>
              <w:t>- decrease by 50%</w:t>
            </w:r>
          </w:p>
        </w:tc>
        <w:tc>
          <w:tcPr>
            <w:tcW w:w="1323" w:type="dxa"/>
            <w:shd w:val="solid" w:color="000000" w:fill="000000"/>
            <w:vAlign w:val="center"/>
          </w:tcPr>
          <w:p w14:paraId="1084873B" w14:textId="773C6578" w:rsidR="00C21FCA" w:rsidRPr="00B6635B" w:rsidRDefault="00B6635B" w:rsidP="00AE14F4">
            <w:pPr>
              <w:pStyle w:val="COMTableheadingrow"/>
              <w:keepNext w:val="0"/>
              <w:jc w:val="center"/>
              <w:rPr>
                <w:b w:val="0"/>
                <w:bCs/>
                <w:lang w:val="en-AU"/>
              </w:rPr>
            </w:pPr>
            <w:r w:rsidRPr="00B6635B">
              <w:rPr>
                <w:rFonts w:cs="Calibri"/>
                <w:b w:val="0"/>
                <w:bCs/>
                <w:iCs/>
                <w:color w:val="000000"/>
                <w:szCs w:val="20"/>
                <w:lang w:val="en-AU"/>
                <w14:textFill>
                  <w14:solidFill>
                    <w14:srgbClr w14:val="000000">
                      <w14:alpha w14:val="100000"/>
                    </w14:srgbClr>
                  </w14:solidFill>
                </w14:textFill>
              </w:rPr>
              <w:t>|</w:t>
            </w:r>
          </w:p>
        </w:tc>
        <w:tc>
          <w:tcPr>
            <w:tcW w:w="1324" w:type="dxa"/>
            <w:vAlign w:val="center"/>
          </w:tcPr>
          <w:p w14:paraId="47449589" w14:textId="77777777" w:rsidR="00C21FCA" w:rsidRPr="003A235D" w:rsidRDefault="00C21FCA" w:rsidP="00AE14F4">
            <w:pPr>
              <w:pStyle w:val="COMTableheadingrow"/>
              <w:keepNext w:val="0"/>
              <w:jc w:val="center"/>
              <w:rPr>
                <w:b w:val="0"/>
                <w:bCs/>
                <w:lang w:val="en-AU"/>
              </w:rPr>
            </w:pPr>
            <w:r w:rsidRPr="003A235D">
              <w:rPr>
                <w:rFonts w:cs="Calibri"/>
                <w:b w:val="0"/>
                <w:bCs/>
                <w:iCs/>
                <w:color w:val="000000"/>
                <w:szCs w:val="20"/>
                <w:lang w:val="en-AU"/>
              </w:rPr>
              <w:t>0.0882</w:t>
            </w:r>
          </w:p>
        </w:tc>
        <w:tc>
          <w:tcPr>
            <w:tcW w:w="1324" w:type="dxa"/>
            <w:vAlign w:val="center"/>
          </w:tcPr>
          <w:p w14:paraId="2D2994F8" w14:textId="4A0E24E7" w:rsidR="00C21FCA" w:rsidRPr="00B6635B" w:rsidRDefault="00B6635B" w:rsidP="00AE14F4">
            <w:pPr>
              <w:pStyle w:val="COMTableheadingrow"/>
              <w:keepNext w:val="0"/>
              <w:jc w:val="center"/>
              <w:rPr>
                <w:b w:val="0"/>
                <w:bCs/>
                <w:highlight w:val="darkGray"/>
                <w:lang w:val="en-AU"/>
              </w:rPr>
            </w:pPr>
            <w:r w:rsidRPr="00E72650">
              <w:rPr>
                <w:rFonts w:cs="Calibri" w:hint="eastAsia"/>
                <w:b w:val="0"/>
                <w:bCs/>
                <w:iCs/>
                <w:color w:val="000000"/>
                <w:spacing w:val="-187"/>
                <w:szCs w:val="20"/>
                <w:shd w:val="solid" w:color="000000" w:fill="000000"/>
                <w:fitText w:val="13" w:id="-1305203965"/>
                <w:lang w:val="en-AU"/>
                <w14:textFill>
                  <w14:solidFill>
                    <w14:srgbClr w14:val="000000">
                      <w14:alpha w14:val="100000"/>
                    </w14:srgbClr>
                  </w14:solidFill>
                </w14:textFill>
              </w:rPr>
              <w:t xml:space="preserve">　</w:t>
            </w:r>
            <w:r w:rsidRPr="00334395">
              <w:rPr>
                <w:rFonts w:cs="Calibri"/>
                <w:b w:val="0"/>
                <w:bCs/>
                <w:iCs/>
                <w:color w:val="000000"/>
                <w:w w:val="15"/>
                <w:szCs w:val="20"/>
                <w:shd w:val="solid" w:color="000000" w:fill="000000"/>
                <w:lang w:val="en-AU"/>
                <w14:textFill>
                  <w14:solidFill>
                    <w14:srgbClr w14:val="000000">
                      <w14:alpha w14:val="100000"/>
                    </w14:srgbClr>
                  </w14:solidFill>
                </w14:textFill>
              </w:rPr>
              <w:t>|</w:t>
            </w:r>
            <w:r w:rsidRPr="00E72650">
              <w:rPr>
                <w:rFonts w:cs="Calibri" w:hint="eastAsia"/>
                <w:b w:val="0"/>
                <w:bCs/>
                <w:iCs/>
                <w:color w:val="000000"/>
                <w:w w:val="15"/>
                <w:szCs w:val="20"/>
                <w:shd w:val="solid" w:color="000000" w:fill="000000"/>
                <w:lang w:val="en-AU"/>
                <w14:textFill>
                  <w14:solidFill>
                    <w14:srgbClr w14:val="000000">
                      <w14:alpha w14:val="100000"/>
                    </w14:srgbClr>
                  </w14:solidFill>
                </w14:textFill>
              </w:rPr>
              <w:t xml:space="preserve">　</w:t>
            </w:r>
            <w:r w:rsidR="00FC614E" w:rsidRPr="00B6635B">
              <w:rPr>
                <w:b w:val="0"/>
                <w:bCs/>
                <w:vertAlign w:val="superscript"/>
                <w:lang w:val="en-AU"/>
              </w:rPr>
              <w:t>1</w:t>
            </w:r>
          </w:p>
        </w:tc>
        <w:tc>
          <w:tcPr>
            <w:tcW w:w="1324" w:type="dxa"/>
            <w:vAlign w:val="center"/>
          </w:tcPr>
          <w:p w14:paraId="2F44ACA9" w14:textId="1F62899E" w:rsidR="00C21FCA" w:rsidRPr="003A235D" w:rsidRDefault="00C21FCA" w:rsidP="00AE14F4">
            <w:pPr>
              <w:pStyle w:val="COMTableheadingrow"/>
              <w:keepNext w:val="0"/>
              <w:jc w:val="center"/>
              <w:rPr>
                <w:b w:val="0"/>
                <w:bCs/>
                <w:lang w:val="en-AU"/>
              </w:rPr>
            </w:pPr>
            <w:r w:rsidRPr="003A235D">
              <w:rPr>
                <w:rFonts w:cs="Calibri"/>
                <w:b w:val="0"/>
                <w:bCs/>
                <w:iCs/>
                <w:color w:val="000000"/>
                <w:szCs w:val="20"/>
                <w:lang w:val="en-AU"/>
              </w:rPr>
              <w:t>15%</w:t>
            </w:r>
          </w:p>
        </w:tc>
      </w:tr>
      <w:tr w:rsidR="00C21FCA" w:rsidRPr="003A235D" w14:paraId="4C32D189" w14:textId="77777777" w:rsidTr="00AE14F4">
        <w:tc>
          <w:tcPr>
            <w:tcW w:w="9017" w:type="dxa"/>
            <w:gridSpan w:val="5"/>
          </w:tcPr>
          <w:p w14:paraId="44A36A53" w14:textId="77777777" w:rsidR="00C21FCA" w:rsidRPr="003A235D" w:rsidRDefault="00C21FCA" w:rsidP="00AE14F4">
            <w:pPr>
              <w:pStyle w:val="COMTableheadingrow"/>
              <w:keepNext w:val="0"/>
              <w:rPr>
                <w:b w:val="0"/>
                <w:bCs/>
                <w:lang w:val="en-AU"/>
              </w:rPr>
            </w:pPr>
            <w:r w:rsidRPr="003A235D">
              <w:rPr>
                <w:lang w:val="en-AU"/>
              </w:rPr>
              <w:t>CV death costs (base case $9,732 applied to all CV deaths)</w:t>
            </w:r>
          </w:p>
        </w:tc>
      </w:tr>
      <w:tr w:rsidR="00C21FCA" w:rsidRPr="003A235D" w14:paraId="597CEB05" w14:textId="77777777" w:rsidTr="00B6635B">
        <w:tc>
          <w:tcPr>
            <w:tcW w:w="3722" w:type="dxa"/>
          </w:tcPr>
          <w:p w14:paraId="549D5760" w14:textId="77777777" w:rsidR="00C21FCA" w:rsidRPr="003A235D" w:rsidRDefault="00C21FCA" w:rsidP="00AE14F4">
            <w:pPr>
              <w:pStyle w:val="COMTableheadingrow"/>
              <w:keepNext w:val="0"/>
              <w:rPr>
                <w:b w:val="0"/>
                <w:bCs/>
                <w:lang w:val="en-AU"/>
              </w:rPr>
            </w:pPr>
            <w:r w:rsidRPr="003A235D">
              <w:rPr>
                <w:b w:val="0"/>
                <w:bCs/>
                <w:lang w:val="en-AU"/>
              </w:rPr>
              <w:t>- CV death costs applied to 50% of CV deaths</w:t>
            </w:r>
          </w:p>
        </w:tc>
        <w:tc>
          <w:tcPr>
            <w:tcW w:w="1323" w:type="dxa"/>
            <w:tcBorders>
              <w:bottom w:val="single" w:sz="4" w:space="0" w:color="auto"/>
            </w:tcBorders>
            <w:shd w:val="solid" w:color="000000" w:fill="000000"/>
            <w:vAlign w:val="center"/>
          </w:tcPr>
          <w:p w14:paraId="332DD937" w14:textId="68EB4F28" w:rsidR="00C21FCA" w:rsidRPr="00B6635B" w:rsidRDefault="00B6635B" w:rsidP="00AE14F4">
            <w:pPr>
              <w:pStyle w:val="COMTableheadingrow"/>
              <w:keepNext w:val="0"/>
              <w:jc w:val="center"/>
              <w:rPr>
                <w:b w:val="0"/>
                <w:bCs/>
                <w:iCs/>
                <w:lang w:val="en-AU"/>
              </w:rPr>
            </w:pPr>
            <w:r w:rsidRPr="00B6635B">
              <w:rPr>
                <w:rFonts w:cs="Calibri"/>
                <w:b w:val="0"/>
                <w:bCs/>
                <w:iCs/>
                <w:color w:val="000000"/>
                <w:szCs w:val="20"/>
                <w:lang w:val="en-AU"/>
                <w14:textFill>
                  <w14:solidFill>
                    <w14:srgbClr w14:val="000000">
                      <w14:alpha w14:val="100000"/>
                    </w14:srgbClr>
                  </w14:solidFill>
                </w14:textFill>
              </w:rPr>
              <w:t>|</w:t>
            </w:r>
          </w:p>
        </w:tc>
        <w:tc>
          <w:tcPr>
            <w:tcW w:w="1324" w:type="dxa"/>
            <w:vAlign w:val="center"/>
          </w:tcPr>
          <w:p w14:paraId="00F2D692" w14:textId="77777777" w:rsidR="00C21FCA" w:rsidRPr="003A235D" w:rsidRDefault="00C21FCA" w:rsidP="00AE14F4">
            <w:pPr>
              <w:pStyle w:val="COMTableheadingrow"/>
              <w:keepNext w:val="0"/>
              <w:jc w:val="center"/>
              <w:rPr>
                <w:b w:val="0"/>
                <w:bCs/>
                <w:iCs/>
                <w:lang w:val="en-AU"/>
              </w:rPr>
            </w:pPr>
            <w:r w:rsidRPr="003A235D">
              <w:rPr>
                <w:rFonts w:cs="Calibri"/>
                <w:b w:val="0"/>
                <w:bCs/>
                <w:iCs/>
                <w:color w:val="000000"/>
                <w:szCs w:val="20"/>
                <w:lang w:val="en-AU"/>
              </w:rPr>
              <w:t>0.0882</w:t>
            </w:r>
          </w:p>
        </w:tc>
        <w:tc>
          <w:tcPr>
            <w:tcW w:w="1324" w:type="dxa"/>
            <w:vAlign w:val="center"/>
          </w:tcPr>
          <w:p w14:paraId="7F1E4C5E" w14:textId="4CBF7A22" w:rsidR="00C21FCA" w:rsidRPr="00B6635B" w:rsidRDefault="00B6635B" w:rsidP="00AE14F4">
            <w:pPr>
              <w:pStyle w:val="COMTableheadingrow"/>
              <w:keepNext w:val="0"/>
              <w:jc w:val="center"/>
              <w:rPr>
                <w:b w:val="0"/>
                <w:bCs/>
                <w:iCs/>
                <w:highlight w:val="darkGray"/>
                <w:lang w:val="en-AU"/>
              </w:rPr>
            </w:pPr>
            <w:r w:rsidRPr="00E72650">
              <w:rPr>
                <w:rFonts w:cs="Calibri" w:hint="eastAsia"/>
                <w:b w:val="0"/>
                <w:bCs/>
                <w:iCs/>
                <w:color w:val="000000"/>
                <w:spacing w:val="-187"/>
                <w:szCs w:val="20"/>
                <w:shd w:val="solid" w:color="000000" w:fill="000000"/>
                <w:fitText w:val="13" w:id="-1305203964"/>
                <w:lang w:val="en-AU"/>
                <w14:textFill>
                  <w14:solidFill>
                    <w14:srgbClr w14:val="000000">
                      <w14:alpha w14:val="100000"/>
                    </w14:srgbClr>
                  </w14:solidFill>
                </w14:textFill>
              </w:rPr>
              <w:t xml:space="preserve">　</w:t>
            </w:r>
            <w:r w:rsidRPr="00334395">
              <w:rPr>
                <w:rFonts w:cs="Calibri"/>
                <w:b w:val="0"/>
                <w:bCs/>
                <w:iCs/>
                <w:color w:val="000000"/>
                <w:w w:val="15"/>
                <w:szCs w:val="20"/>
                <w:shd w:val="solid" w:color="000000" w:fill="000000"/>
                <w:lang w:val="en-AU"/>
                <w14:textFill>
                  <w14:solidFill>
                    <w14:srgbClr w14:val="000000">
                      <w14:alpha w14:val="100000"/>
                    </w14:srgbClr>
                  </w14:solidFill>
                </w14:textFill>
              </w:rPr>
              <w:t>|</w:t>
            </w:r>
            <w:r w:rsidRPr="00E72650">
              <w:rPr>
                <w:rFonts w:cs="Calibri" w:hint="eastAsia"/>
                <w:b w:val="0"/>
                <w:bCs/>
                <w:iCs/>
                <w:color w:val="000000"/>
                <w:w w:val="15"/>
                <w:szCs w:val="20"/>
                <w:shd w:val="solid" w:color="000000" w:fill="000000"/>
                <w:lang w:val="en-AU"/>
                <w14:textFill>
                  <w14:solidFill>
                    <w14:srgbClr w14:val="000000">
                      <w14:alpha w14:val="100000"/>
                    </w14:srgbClr>
                  </w14:solidFill>
                </w14:textFill>
              </w:rPr>
              <w:t xml:space="preserve">　</w:t>
            </w:r>
            <w:r w:rsidR="00FC614E" w:rsidRPr="00B6635B">
              <w:rPr>
                <w:b w:val="0"/>
                <w:bCs/>
                <w:vertAlign w:val="superscript"/>
                <w:lang w:val="en-AU"/>
              </w:rPr>
              <w:t>1</w:t>
            </w:r>
          </w:p>
        </w:tc>
        <w:tc>
          <w:tcPr>
            <w:tcW w:w="1324" w:type="dxa"/>
            <w:vAlign w:val="center"/>
          </w:tcPr>
          <w:p w14:paraId="4864AE3B" w14:textId="7A9797FB" w:rsidR="00C21FCA" w:rsidRPr="003A235D" w:rsidRDefault="00C21FCA" w:rsidP="00AE14F4">
            <w:pPr>
              <w:pStyle w:val="COMTableheadingrow"/>
              <w:keepNext w:val="0"/>
              <w:jc w:val="center"/>
              <w:rPr>
                <w:b w:val="0"/>
                <w:bCs/>
                <w:iCs/>
                <w:lang w:val="en-AU"/>
              </w:rPr>
            </w:pPr>
            <w:r w:rsidRPr="003A235D">
              <w:rPr>
                <w:rFonts w:cs="Calibri"/>
                <w:b w:val="0"/>
                <w:bCs/>
                <w:iCs/>
                <w:color w:val="000000"/>
                <w:szCs w:val="20"/>
                <w:lang w:val="en-AU"/>
              </w:rPr>
              <w:t>4%</w:t>
            </w:r>
          </w:p>
        </w:tc>
      </w:tr>
      <w:tr w:rsidR="00C21FCA" w:rsidRPr="003A235D" w14:paraId="5E5A05CE" w14:textId="77777777" w:rsidTr="00B6635B">
        <w:tc>
          <w:tcPr>
            <w:tcW w:w="3722" w:type="dxa"/>
          </w:tcPr>
          <w:p w14:paraId="2850F3A3" w14:textId="77777777" w:rsidR="00C21FCA" w:rsidRPr="003A235D" w:rsidRDefault="00C21FCA" w:rsidP="00AE14F4">
            <w:pPr>
              <w:pStyle w:val="COMTableheadingrow"/>
              <w:keepNext w:val="0"/>
              <w:rPr>
                <w:b w:val="0"/>
                <w:bCs/>
                <w:lang w:val="en-AU"/>
              </w:rPr>
            </w:pPr>
            <w:r w:rsidRPr="003A235D">
              <w:rPr>
                <w:b w:val="0"/>
                <w:bCs/>
                <w:lang w:val="en-AU"/>
              </w:rPr>
              <w:t>- No CV death costs</w:t>
            </w:r>
          </w:p>
        </w:tc>
        <w:tc>
          <w:tcPr>
            <w:tcW w:w="1323" w:type="dxa"/>
            <w:shd w:val="solid" w:color="000000" w:fill="000000"/>
            <w:vAlign w:val="center"/>
          </w:tcPr>
          <w:p w14:paraId="449F7F5E" w14:textId="090DA447" w:rsidR="00C21FCA" w:rsidRPr="00B6635B" w:rsidRDefault="00B6635B" w:rsidP="00AE14F4">
            <w:pPr>
              <w:pStyle w:val="COMTableheadingrow"/>
              <w:keepNext w:val="0"/>
              <w:jc w:val="center"/>
              <w:rPr>
                <w:b w:val="0"/>
                <w:bCs/>
                <w:iCs/>
                <w:lang w:val="en-AU"/>
              </w:rPr>
            </w:pPr>
            <w:r w:rsidRPr="00B6635B">
              <w:rPr>
                <w:rFonts w:cs="Calibri"/>
                <w:b w:val="0"/>
                <w:bCs/>
                <w:iCs/>
                <w:color w:val="000000"/>
                <w:szCs w:val="20"/>
                <w:lang w:val="en-AU"/>
                <w14:textFill>
                  <w14:solidFill>
                    <w14:srgbClr w14:val="000000">
                      <w14:alpha w14:val="100000"/>
                    </w14:srgbClr>
                  </w14:solidFill>
                </w14:textFill>
              </w:rPr>
              <w:t>|</w:t>
            </w:r>
          </w:p>
        </w:tc>
        <w:tc>
          <w:tcPr>
            <w:tcW w:w="1324" w:type="dxa"/>
            <w:vAlign w:val="center"/>
          </w:tcPr>
          <w:p w14:paraId="35E61A1B" w14:textId="77777777" w:rsidR="00C21FCA" w:rsidRPr="003A235D" w:rsidRDefault="00C21FCA" w:rsidP="00AE14F4">
            <w:pPr>
              <w:pStyle w:val="COMTableheadingrow"/>
              <w:keepNext w:val="0"/>
              <w:jc w:val="center"/>
              <w:rPr>
                <w:b w:val="0"/>
                <w:bCs/>
                <w:iCs/>
                <w:lang w:val="en-AU"/>
              </w:rPr>
            </w:pPr>
            <w:r w:rsidRPr="003A235D">
              <w:rPr>
                <w:rFonts w:cs="Calibri"/>
                <w:b w:val="0"/>
                <w:bCs/>
                <w:iCs/>
                <w:color w:val="000000"/>
                <w:szCs w:val="20"/>
                <w:lang w:val="en-AU"/>
              </w:rPr>
              <w:t>0.0882</w:t>
            </w:r>
          </w:p>
        </w:tc>
        <w:tc>
          <w:tcPr>
            <w:tcW w:w="1324" w:type="dxa"/>
            <w:vAlign w:val="center"/>
          </w:tcPr>
          <w:p w14:paraId="5784594C" w14:textId="3149EB11" w:rsidR="00C21FCA" w:rsidRPr="00B6635B" w:rsidRDefault="00B6635B" w:rsidP="00AE14F4">
            <w:pPr>
              <w:pStyle w:val="COMTableheadingrow"/>
              <w:keepNext w:val="0"/>
              <w:jc w:val="center"/>
              <w:rPr>
                <w:b w:val="0"/>
                <w:bCs/>
                <w:iCs/>
                <w:highlight w:val="darkGray"/>
                <w:lang w:val="en-AU"/>
              </w:rPr>
            </w:pPr>
            <w:r w:rsidRPr="00E72650">
              <w:rPr>
                <w:rFonts w:cs="Calibri" w:hint="eastAsia"/>
                <w:b w:val="0"/>
                <w:bCs/>
                <w:iCs/>
                <w:color w:val="000000"/>
                <w:spacing w:val="-187"/>
                <w:szCs w:val="20"/>
                <w:shd w:val="solid" w:color="000000" w:fill="000000"/>
                <w:fitText w:val="13" w:id="-1305203963"/>
                <w:lang w:val="en-AU"/>
                <w14:textFill>
                  <w14:solidFill>
                    <w14:srgbClr w14:val="000000">
                      <w14:alpha w14:val="100000"/>
                    </w14:srgbClr>
                  </w14:solidFill>
                </w14:textFill>
              </w:rPr>
              <w:t xml:space="preserve">　</w:t>
            </w:r>
            <w:r w:rsidRPr="00334395">
              <w:rPr>
                <w:rFonts w:cs="Calibri"/>
                <w:b w:val="0"/>
                <w:bCs/>
                <w:iCs/>
                <w:color w:val="000000"/>
                <w:w w:val="15"/>
                <w:szCs w:val="20"/>
                <w:shd w:val="solid" w:color="000000" w:fill="000000"/>
                <w:lang w:val="en-AU"/>
                <w14:textFill>
                  <w14:solidFill>
                    <w14:srgbClr w14:val="000000">
                      <w14:alpha w14:val="100000"/>
                    </w14:srgbClr>
                  </w14:solidFill>
                </w14:textFill>
              </w:rPr>
              <w:t>|</w:t>
            </w:r>
            <w:r w:rsidRPr="00E72650">
              <w:rPr>
                <w:rFonts w:cs="Calibri" w:hint="eastAsia"/>
                <w:b w:val="0"/>
                <w:bCs/>
                <w:iCs/>
                <w:color w:val="000000"/>
                <w:w w:val="15"/>
                <w:szCs w:val="20"/>
                <w:shd w:val="solid" w:color="000000" w:fill="000000"/>
                <w:lang w:val="en-AU"/>
                <w14:textFill>
                  <w14:solidFill>
                    <w14:srgbClr w14:val="000000">
                      <w14:alpha w14:val="100000"/>
                    </w14:srgbClr>
                  </w14:solidFill>
                </w14:textFill>
              </w:rPr>
              <w:t xml:space="preserve">　</w:t>
            </w:r>
            <w:r w:rsidR="00FC614E" w:rsidRPr="00B6635B">
              <w:rPr>
                <w:b w:val="0"/>
                <w:bCs/>
                <w:vertAlign w:val="superscript"/>
                <w:lang w:val="en-AU"/>
              </w:rPr>
              <w:t>1</w:t>
            </w:r>
          </w:p>
        </w:tc>
        <w:tc>
          <w:tcPr>
            <w:tcW w:w="1324" w:type="dxa"/>
            <w:vAlign w:val="center"/>
          </w:tcPr>
          <w:p w14:paraId="0B628A23" w14:textId="5272F520" w:rsidR="00C21FCA" w:rsidRPr="003A235D" w:rsidRDefault="00C21FCA" w:rsidP="00AE14F4">
            <w:pPr>
              <w:pStyle w:val="COMTableheadingrow"/>
              <w:keepNext w:val="0"/>
              <w:jc w:val="center"/>
              <w:rPr>
                <w:b w:val="0"/>
                <w:bCs/>
                <w:iCs/>
                <w:lang w:val="en-AU"/>
              </w:rPr>
            </w:pPr>
            <w:r w:rsidRPr="003A235D">
              <w:rPr>
                <w:rFonts w:cs="Calibri"/>
                <w:b w:val="0"/>
                <w:bCs/>
                <w:iCs/>
                <w:color w:val="000000"/>
                <w:szCs w:val="20"/>
                <w:lang w:val="en-AU"/>
              </w:rPr>
              <w:t>8%</w:t>
            </w:r>
          </w:p>
        </w:tc>
      </w:tr>
      <w:tr w:rsidR="00C21FCA" w:rsidRPr="003A235D" w14:paraId="3C362957" w14:textId="77777777" w:rsidTr="00AE14F4">
        <w:tc>
          <w:tcPr>
            <w:tcW w:w="9017" w:type="dxa"/>
            <w:gridSpan w:val="5"/>
          </w:tcPr>
          <w:p w14:paraId="3E9D864E" w14:textId="77777777" w:rsidR="00C21FCA" w:rsidRPr="003A235D" w:rsidRDefault="00C21FCA" w:rsidP="00AE14F4">
            <w:pPr>
              <w:pStyle w:val="COMTableheadingrow"/>
              <w:keepNext w:val="0"/>
              <w:rPr>
                <w:b w:val="0"/>
                <w:bCs/>
                <w:lang w:val="en-AU"/>
              </w:rPr>
            </w:pPr>
            <w:r w:rsidRPr="003A235D">
              <w:rPr>
                <w:lang w:val="en-AU"/>
              </w:rPr>
              <w:t>Health state utilities (base case estimates from EMPEROR-Preserved, with general population utility correction)</w:t>
            </w:r>
          </w:p>
        </w:tc>
      </w:tr>
      <w:tr w:rsidR="00C21FCA" w:rsidRPr="003A235D" w14:paraId="7417760E" w14:textId="77777777" w:rsidTr="00B6635B">
        <w:tc>
          <w:tcPr>
            <w:tcW w:w="3722" w:type="dxa"/>
          </w:tcPr>
          <w:p w14:paraId="04DCC1A1" w14:textId="77777777" w:rsidR="00C21FCA" w:rsidRPr="003A235D" w:rsidRDefault="00C21FCA" w:rsidP="00AE14F4">
            <w:pPr>
              <w:pStyle w:val="COMTableheadingrow"/>
              <w:keepNext w:val="0"/>
              <w:rPr>
                <w:b w:val="0"/>
                <w:bCs/>
                <w:lang w:val="en-AU"/>
              </w:rPr>
            </w:pPr>
            <w:r w:rsidRPr="003A235D">
              <w:rPr>
                <w:b w:val="0"/>
                <w:bCs/>
                <w:lang w:val="en-AU"/>
              </w:rPr>
              <w:t>- EMPEROR-Preserved estimates, no general population correction</w:t>
            </w:r>
          </w:p>
        </w:tc>
        <w:tc>
          <w:tcPr>
            <w:tcW w:w="1323" w:type="dxa"/>
            <w:shd w:val="solid" w:color="000000" w:fill="000000"/>
            <w:vAlign w:val="center"/>
          </w:tcPr>
          <w:p w14:paraId="23FCFADB" w14:textId="0924F671" w:rsidR="00C21FCA" w:rsidRPr="00B6635B" w:rsidRDefault="00B6635B" w:rsidP="00AE14F4">
            <w:pPr>
              <w:pStyle w:val="COMTableheadingrow"/>
              <w:keepNext w:val="0"/>
              <w:jc w:val="center"/>
              <w:rPr>
                <w:b w:val="0"/>
                <w:bCs/>
                <w:lang w:val="en-AU"/>
              </w:rPr>
            </w:pPr>
            <w:r w:rsidRPr="00B6635B">
              <w:rPr>
                <w:rFonts w:cs="Calibri"/>
                <w:b w:val="0"/>
                <w:bCs/>
                <w:color w:val="000000"/>
                <w:szCs w:val="20"/>
                <w:lang w:val="en-AU"/>
                <w14:textFill>
                  <w14:solidFill>
                    <w14:srgbClr w14:val="000000">
                      <w14:alpha w14:val="100000"/>
                    </w14:srgbClr>
                  </w14:solidFill>
                </w14:textFill>
              </w:rPr>
              <w:t>|</w:t>
            </w:r>
          </w:p>
        </w:tc>
        <w:tc>
          <w:tcPr>
            <w:tcW w:w="1324" w:type="dxa"/>
            <w:vAlign w:val="center"/>
          </w:tcPr>
          <w:p w14:paraId="3B307455" w14:textId="77777777" w:rsidR="00C21FCA" w:rsidRPr="003A235D" w:rsidRDefault="00C21FCA" w:rsidP="00AE14F4">
            <w:pPr>
              <w:pStyle w:val="COMTableheadingrow"/>
              <w:keepNext w:val="0"/>
              <w:jc w:val="center"/>
              <w:rPr>
                <w:b w:val="0"/>
                <w:bCs/>
                <w:lang w:val="en-AU"/>
              </w:rPr>
            </w:pPr>
            <w:r w:rsidRPr="003A235D">
              <w:rPr>
                <w:rFonts w:cs="Calibri"/>
                <w:b w:val="0"/>
                <w:bCs/>
                <w:color w:val="000000"/>
                <w:szCs w:val="20"/>
                <w:lang w:val="en-AU"/>
              </w:rPr>
              <w:t>0.0982</w:t>
            </w:r>
          </w:p>
        </w:tc>
        <w:tc>
          <w:tcPr>
            <w:tcW w:w="1324" w:type="dxa"/>
            <w:vAlign w:val="center"/>
          </w:tcPr>
          <w:p w14:paraId="4CEBB360" w14:textId="4E62417C" w:rsidR="00C21FCA" w:rsidRPr="00EE5627" w:rsidRDefault="00B6635B" w:rsidP="00AE14F4">
            <w:pPr>
              <w:pStyle w:val="COMTableheadingrow"/>
              <w:keepNext w:val="0"/>
              <w:jc w:val="center"/>
              <w:rPr>
                <w:b w:val="0"/>
                <w:bCs/>
                <w:lang w:val="en-AU"/>
              </w:rPr>
            </w:pPr>
            <w:r w:rsidRPr="00E72650">
              <w:rPr>
                <w:rFonts w:cs="Calibri" w:hint="eastAsia"/>
                <w:b w:val="0"/>
                <w:bCs/>
                <w:color w:val="000000"/>
                <w:spacing w:val="-187"/>
                <w:szCs w:val="20"/>
                <w:shd w:val="solid" w:color="000000" w:fill="000000"/>
                <w:fitText w:val="13" w:id="-1305203962"/>
                <w:lang w:val="en-AU"/>
                <w14:textFill>
                  <w14:solidFill>
                    <w14:srgbClr w14:val="000000">
                      <w14:alpha w14:val="100000"/>
                    </w14:srgbClr>
                  </w14:solidFill>
                </w14:textFill>
              </w:rPr>
              <w:t xml:space="preserve">　</w:t>
            </w:r>
            <w:r w:rsidRPr="00334395">
              <w:rPr>
                <w:rFonts w:cs="Calibri"/>
                <w:b w:val="0"/>
                <w:bCs/>
                <w:color w:val="000000"/>
                <w:w w:val="15"/>
                <w:szCs w:val="20"/>
                <w:shd w:val="solid" w:color="000000" w:fill="000000"/>
                <w:lang w:val="en-AU"/>
                <w14:textFill>
                  <w14:solidFill>
                    <w14:srgbClr w14:val="000000">
                      <w14:alpha w14:val="100000"/>
                    </w14:srgbClr>
                  </w14:solidFill>
                </w14:textFill>
              </w:rPr>
              <w:t>|</w:t>
            </w:r>
            <w:r w:rsidRPr="00E72650">
              <w:rPr>
                <w:rFonts w:cs="Calibri" w:hint="eastAsia"/>
                <w:b w:val="0"/>
                <w:bCs/>
                <w:color w:val="000000"/>
                <w:w w:val="15"/>
                <w:szCs w:val="20"/>
                <w:shd w:val="solid" w:color="000000" w:fill="000000"/>
                <w:lang w:val="en-AU"/>
                <w14:textFill>
                  <w14:solidFill>
                    <w14:srgbClr w14:val="000000">
                      <w14:alpha w14:val="100000"/>
                    </w14:srgbClr>
                  </w14:solidFill>
                </w14:textFill>
              </w:rPr>
              <w:t xml:space="preserve">　</w:t>
            </w:r>
            <w:r w:rsidR="00FC614E" w:rsidRPr="00B6635B">
              <w:rPr>
                <w:b w:val="0"/>
                <w:bCs/>
                <w:vertAlign w:val="superscript"/>
                <w:lang w:val="en-AU"/>
              </w:rPr>
              <w:t>1</w:t>
            </w:r>
          </w:p>
        </w:tc>
        <w:tc>
          <w:tcPr>
            <w:tcW w:w="1324" w:type="dxa"/>
            <w:vAlign w:val="center"/>
          </w:tcPr>
          <w:p w14:paraId="094D4331" w14:textId="4CECABD5" w:rsidR="00C21FCA" w:rsidRPr="003A235D" w:rsidRDefault="00DE0C9C" w:rsidP="00AE14F4">
            <w:pPr>
              <w:pStyle w:val="COMTableheadingrow"/>
              <w:keepNext w:val="0"/>
              <w:jc w:val="center"/>
              <w:rPr>
                <w:b w:val="0"/>
                <w:bCs/>
                <w:lang w:val="en-AU"/>
              </w:rPr>
            </w:pPr>
            <w:r w:rsidRPr="003A235D">
              <w:rPr>
                <w:rFonts w:cs="Calibri"/>
                <w:b w:val="0"/>
                <w:bCs/>
                <w:color w:val="000000"/>
                <w:szCs w:val="20"/>
                <w:lang w:val="en-AU"/>
              </w:rPr>
              <w:t>-10</w:t>
            </w:r>
            <w:r w:rsidR="00C21FCA" w:rsidRPr="003A235D">
              <w:rPr>
                <w:rFonts w:cs="Calibri"/>
                <w:b w:val="0"/>
                <w:bCs/>
                <w:color w:val="000000"/>
                <w:szCs w:val="20"/>
                <w:lang w:val="en-AU"/>
              </w:rPr>
              <w:t>%</w:t>
            </w:r>
          </w:p>
        </w:tc>
      </w:tr>
      <w:tr w:rsidR="00C21FCA" w:rsidRPr="003A235D" w14:paraId="2E5554E8" w14:textId="77777777" w:rsidTr="00AE14F4">
        <w:tc>
          <w:tcPr>
            <w:tcW w:w="9017" w:type="dxa"/>
            <w:gridSpan w:val="5"/>
          </w:tcPr>
          <w:p w14:paraId="4318ED53" w14:textId="77777777" w:rsidR="00C21FCA" w:rsidRPr="003A235D" w:rsidRDefault="00C21FCA" w:rsidP="00AE14F4">
            <w:pPr>
              <w:pStyle w:val="COMTableheadingrow"/>
              <w:keepNext w:val="0"/>
              <w:rPr>
                <w:b w:val="0"/>
                <w:bCs/>
                <w:lang w:val="en-AU"/>
              </w:rPr>
            </w:pPr>
            <w:r w:rsidRPr="003A235D">
              <w:rPr>
                <w:lang w:val="en-AU"/>
              </w:rPr>
              <w:t>Heart failure hospitalisation QALY loss (base case 0.3354)</w:t>
            </w:r>
          </w:p>
        </w:tc>
      </w:tr>
      <w:tr w:rsidR="00C21FCA" w:rsidRPr="003A235D" w14:paraId="0550F604" w14:textId="77777777" w:rsidTr="00B6635B">
        <w:tc>
          <w:tcPr>
            <w:tcW w:w="3722" w:type="dxa"/>
          </w:tcPr>
          <w:p w14:paraId="1AA71443" w14:textId="77777777" w:rsidR="00C21FCA" w:rsidRPr="003A235D" w:rsidRDefault="00C21FCA" w:rsidP="00AE14F4">
            <w:pPr>
              <w:pStyle w:val="COMTableheadingrow"/>
              <w:keepNext w:val="0"/>
              <w:rPr>
                <w:b w:val="0"/>
                <w:bCs/>
                <w:lang w:val="en-AU"/>
              </w:rPr>
            </w:pPr>
            <w:r w:rsidRPr="003A235D">
              <w:rPr>
                <w:b w:val="0"/>
                <w:bCs/>
                <w:iCs/>
                <w:lang w:val="en-AU"/>
              </w:rPr>
              <w:t>- alternative estimate (QALY loss 0.0279)</w:t>
            </w:r>
          </w:p>
        </w:tc>
        <w:tc>
          <w:tcPr>
            <w:tcW w:w="1323" w:type="dxa"/>
            <w:tcBorders>
              <w:bottom w:val="single" w:sz="4" w:space="0" w:color="auto"/>
            </w:tcBorders>
            <w:shd w:val="solid" w:color="000000" w:fill="000000"/>
            <w:vAlign w:val="center"/>
          </w:tcPr>
          <w:p w14:paraId="16C108DD" w14:textId="666758C6" w:rsidR="00C21FCA" w:rsidRPr="00B6635B" w:rsidRDefault="00B6635B" w:rsidP="00AE14F4">
            <w:pPr>
              <w:pStyle w:val="COMTableheadingrow"/>
              <w:keepNext w:val="0"/>
              <w:jc w:val="center"/>
              <w:rPr>
                <w:b w:val="0"/>
                <w:bCs/>
                <w:lang w:val="en-AU"/>
              </w:rPr>
            </w:pPr>
            <w:r w:rsidRPr="00B6635B">
              <w:rPr>
                <w:rFonts w:cs="Calibri"/>
                <w:b w:val="0"/>
                <w:bCs/>
                <w:iCs/>
                <w:color w:val="000000"/>
                <w:szCs w:val="20"/>
                <w:lang w:val="en-AU"/>
                <w14:textFill>
                  <w14:solidFill>
                    <w14:srgbClr w14:val="000000">
                      <w14:alpha w14:val="100000"/>
                    </w14:srgbClr>
                  </w14:solidFill>
                </w14:textFill>
              </w:rPr>
              <w:t>|</w:t>
            </w:r>
          </w:p>
        </w:tc>
        <w:tc>
          <w:tcPr>
            <w:tcW w:w="1324" w:type="dxa"/>
            <w:tcBorders>
              <w:bottom w:val="single" w:sz="4" w:space="0" w:color="auto"/>
            </w:tcBorders>
            <w:vAlign w:val="center"/>
          </w:tcPr>
          <w:p w14:paraId="067DB472" w14:textId="77777777" w:rsidR="00C21FCA" w:rsidRPr="003A235D" w:rsidRDefault="00C21FCA" w:rsidP="00AE14F4">
            <w:pPr>
              <w:pStyle w:val="COMTableheadingrow"/>
              <w:keepNext w:val="0"/>
              <w:jc w:val="center"/>
              <w:rPr>
                <w:b w:val="0"/>
                <w:bCs/>
                <w:lang w:val="en-AU"/>
              </w:rPr>
            </w:pPr>
            <w:r w:rsidRPr="003A235D">
              <w:rPr>
                <w:rFonts w:cs="Calibri"/>
                <w:b w:val="0"/>
                <w:bCs/>
                <w:iCs/>
                <w:color w:val="000000"/>
                <w:szCs w:val="20"/>
                <w:lang w:val="en-AU"/>
              </w:rPr>
              <w:t>0.0680</w:t>
            </w:r>
          </w:p>
        </w:tc>
        <w:tc>
          <w:tcPr>
            <w:tcW w:w="1324" w:type="dxa"/>
            <w:tcBorders>
              <w:bottom w:val="single" w:sz="4" w:space="0" w:color="auto"/>
            </w:tcBorders>
            <w:vAlign w:val="center"/>
          </w:tcPr>
          <w:p w14:paraId="1F8028B2" w14:textId="640BA36C" w:rsidR="00C21FCA" w:rsidRPr="00B6635B" w:rsidRDefault="00B6635B" w:rsidP="00AE14F4">
            <w:pPr>
              <w:pStyle w:val="COMTableheadingrow"/>
              <w:keepNext w:val="0"/>
              <w:jc w:val="center"/>
              <w:rPr>
                <w:b w:val="0"/>
                <w:bCs/>
                <w:highlight w:val="darkGray"/>
                <w:lang w:val="en-AU"/>
              </w:rPr>
            </w:pPr>
            <w:r w:rsidRPr="00E72650">
              <w:rPr>
                <w:rFonts w:cs="Calibri" w:hint="eastAsia"/>
                <w:b w:val="0"/>
                <w:bCs/>
                <w:iCs/>
                <w:color w:val="000000"/>
                <w:spacing w:val="-187"/>
                <w:szCs w:val="20"/>
                <w:shd w:val="solid" w:color="000000" w:fill="000000"/>
                <w:fitText w:val="13" w:id="-1305203961"/>
                <w:lang w:val="en-AU"/>
                <w14:textFill>
                  <w14:solidFill>
                    <w14:srgbClr w14:val="000000">
                      <w14:alpha w14:val="100000"/>
                    </w14:srgbClr>
                  </w14:solidFill>
                </w14:textFill>
              </w:rPr>
              <w:t xml:space="preserve">　</w:t>
            </w:r>
            <w:r w:rsidRPr="00334395">
              <w:rPr>
                <w:rFonts w:cs="Calibri"/>
                <w:b w:val="0"/>
                <w:bCs/>
                <w:iCs/>
                <w:color w:val="000000"/>
                <w:w w:val="15"/>
                <w:szCs w:val="20"/>
                <w:shd w:val="solid" w:color="000000" w:fill="000000"/>
                <w:lang w:val="en-AU"/>
                <w14:textFill>
                  <w14:solidFill>
                    <w14:srgbClr w14:val="000000">
                      <w14:alpha w14:val="100000"/>
                    </w14:srgbClr>
                  </w14:solidFill>
                </w14:textFill>
              </w:rPr>
              <w:t>|</w:t>
            </w:r>
            <w:r w:rsidRPr="00E72650">
              <w:rPr>
                <w:rFonts w:cs="Calibri" w:hint="eastAsia"/>
                <w:b w:val="0"/>
                <w:bCs/>
                <w:iCs/>
                <w:color w:val="000000"/>
                <w:w w:val="15"/>
                <w:szCs w:val="20"/>
                <w:shd w:val="solid" w:color="000000" w:fill="000000"/>
                <w:lang w:val="en-AU"/>
                <w14:textFill>
                  <w14:solidFill>
                    <w14:srgbClr w14:val="000000">
                      <w14:alpha w14:val="100000"/>
                    </w14:srgbClr>
                  </w14:solidFill>
                </w14:textFill>
              </w:rPr>
              <w:t xml:space="preserve">　</w:t>
            </w:r>
            <w:r w:rsidR="00AC5A0D" w:rsidRPr="00B6635B">
              <w:rPr>
                <w:b w:val="0"/>
                <w:bCs/>
                <w:vertAlign w:val="superscript"/>
                <w:lang w:val="en-AU"/>
              </w:rPr>
              <w:t>2</w:t>
            </w:r>
          </w:p>
        </w:tc>
        <w:tc>
          <w:tcPr>
            <w:tcW w:w="1324" w:type="dxa"/>
            <w:tcBorders>
              <w:bottom w:val="single" w:sz="4" w:space="0" w:color="auto"/>
            </w:tcBorders>
            <w:vAlign w:val="center"/>
          </w:tcPr>
          <w:p w14:paraId="12A5FFBF" w14:textId="2E88E63E" w:rsidR="00C21FCA" w:rsidRPr="003A235D" w:rsidRDefault="00C21FCA" w:rsidP="00AE14F4">
            <w:pPr>
              <w:pStyle w:val="COMTableheadingrow"/>
              <w:keepNext w:val="0"/>
              <w:jc w:val="center"/>
              <w:rPr>
                <w:b w:val="0"/>
                <w:bCs/>
                <w:lang w:val="en-AU"/>
              </w:rPr>
            </w:pPr>
            <w:r w:rsidRPr="003A235D">
              <w:rPr>
                <w:rFonts w:cs="Calibri"/>
                <w:b w:val="0"/>
                <w:bCs/>
                <w:iCs/>
                <w:color w:val="000000"/>
                <w:szCs w:val="20"/>
                <w:lang w:val="en-AU"/>
              </w:rPr>
              <w:t>30%</w:t>
            </w:r>
          </w:p>
        </w:tc>
      </w:tr>
      <w:tr w:rsidR="00C21FCA" w:rsidRPr="003A235D" w14:paraId="46791B23" w14:textId="77777777" w:rsidTr="00B6635B">
        <w:tc>
          <w:tcPr>
            <w:tcW w:w="3722" w:type="dxa"/>
          </w:tcPr>
          <w:p w14:paraId="0DFAB0B4" w14:textId="77777777" w:rsidR="00C21FCA" w:rsidRPr="003A235D" w:rsidRDefault="00C21FCA" w:rsidP="00AE14F4">
            <w:pPr>
              <w:pStyle w:val="COMTableheadingrow"/>
              <w:keepNext w:val="0"/>
              <w:rPr>
                <w:b w:val="0"/>
                <w:bCs/>
                <w:iCs/>
                <w:lang w:val="en-AU"/>
              </w:rPr>
            </w:pPr>
            <w:r w:rsidRPr="003A235D">
              <w:rPr>
                <w:b w:val="0"/>
                <w:bCs/>
                <w:iCs/>
                <w:lang w:val="en-AU"/>
              </w:rPr>
              <w:t>- 50% reduction (QALY loss 0.1677)</w:t>
            </w:r>
          </w:p>
        </w:tc>
        <w:tc>
          <w:tcPr>
            <w:tcW w:w="1323" w:type="dxa"/>
            <w:tcBorders>
              <w:top w:val="single" w:sz="4" w:space="0" w:color="auto"/>
              <w:left w:val="nil"/>
              <w:bottom w:val="single" w:sz="4" w:space="0" w:color="auto"/>
              <w:right w:val="single" w:sz="4" w:space="0" w:color="auto"/>
            </w:tcBorders>
            <w:shd w:val="solid" w:color="000000" w:fill="000000"/>
            <w:vAlign w:val="center"/>
          </w:tcPr>
          <w:p w14:paraId="6559942C" w14:textId="444CA8B1" w:rsidR="00C21FCA" w:rsidRPr="00B6635B" w:rsidRDefault="00B6635B" w:rsidP="00AE14F4">
            <w:pPr>
              <w:pStyle w:val="COMTableheadingrow"/>
              <w:keepNext w:val="0"/>
              <w:jc w:val="center"/>
              <w:rPr>
                <w:b w:val="0"/>
                <w:bCs/>
                <w:iCs/>
                <w:lang w:val="en-AU"/>
              </w:rPr>
            </w:pPr>
            <w:r w:rsidRPr="00B6635B">
              <w:rPr>
                <w:rFonts w:cs="Calibri"/>
                <w:b w:val="0"/>
                <w:bCs/>
                <w:iCs/>
                <w:color w:val="000000"/>
                <w:szCs w:val="20"/>
                <w:lang w:val="en-AU"/>
                <w14:textFill>
                  <w14:solidFill>
                    <w14:srgbClr w14:val="000000">
                      <w14:alpha w14:val="100000"/>
                    </w14:srgbClr>
                  </w14:solidFill>
                </w14:textFill>
              </w:rPr>
              <w:t>|</w:t>
            </w:r>
          </w:p>
        </w:tc>
        <w:tc>
          <w:tcPr>
            <w:tcW w:w="1324" w:type="dxa"/>
            <w:tcBorders>
              <w:top w:val="single" w:sz="4" w:space="0" w:color="auto"/>
              <w:left w:val="single" w:sz="4" w:space="0" w:color="auto"/>
              <w:bottom w:val="single" w:sz="4" w:space="0" w:color="auto"/>
              <w:right w:val="single" w:sz="4" w:space="0" w:color="auto"/>
            </w:tcBorders>
            <w:shd w:val="clear" w:color="000000" w:fill="FFFFFF"/>
            <w:vAlign w:val="center"/>
          </w:tcPr>
          <w:p w14:paraId="38965153" w14:textId="77777777" w:rsidR="00C21FCA" w:rsidRPr="003A235D" w:rsidRDefault="00C21FCA" w:rsidP="00AE14F4">
            <w:pPr>
              <w:pStyle w:val="COMTableheadingrow"/>
              <w:keepNext w:val="0"/>
              <w:jc w:val="center"/>
              <w:rPr>
                <w:b w:val="0"/>
                <w:bCs/>
                <w:iCs/>
                <w:lang w:val="en-AU"/>
              </w:rPr>
            </w:pPr>
            <w:r w:rsidRPr="003A235D">
              <w:rPr>
                <w:rFonts w:cs="Calibri"/>
                <w:b w:val="0"/>
                <w:bCs/>
                <w:iCs/>
                <w:color w:val="000000"/>
                <w:szCs w:val="20"/>
                <w:lang w:val="en-AU"/>
              </w:rPr>
              <w:t>0.0772</w:t>
            </w:r>
          </w:p>
        </w:tc>
        <w:tc>
          <w:tcPr>
            <w:tcW w:w="1324" w:type="dxa"/>
            <w:tcBorders>
              <w:top w:val="single" w:sz="4" w:space="0" w:color="auto"/>
              <w:left w:val="single" w:sz="4" w:space="0" w:color="auto"/>
              <w:bottom w:val="single" w:sz="4" w:space="0" w:color="auto"/>
              <w:right w:val="single" w:sz="4" w:space="0" w:color="auto"/>
            </w:tcBorders>
            <w:shd w:val="clear" w:color="000000" w:fill="FFFFFF"/>
            <w:vAlign w:val="center"/>
          </w:tcPr>
          <w:p w14:paraId="79BAA1DC" w14:textId="32A7407A" w:rsidR="00C21FCA" w:rsidRPr="00B6635B" w:rsidRDefault="00B6635B" w:rsidP="00AE14F4">
            <w:pPr>
              <w:pStyle w:val="COMTableheadingrow"/>
              <w:keepNext w:val="0"/>
              <w:jc w:val="center"/>
              <w:rPr>
                <w:b w:val="0"/>
                <w:bCs/>
                <w:iCs/>
                <w:highlight w:val="darkGray"/>
                <w:lang w:val="en-AU"/>
              </w:rPr>
            </w:pPr>
            <w:r w:rsidRPr="00E72650">
              <w:rPr>
                <w:rFonts w:cs="Calibri" w:hint="eastAsia"/>
                <w:b w:val="0"/>
                <w:bCs/>
                <w:iCs/>
                <w:color w:val="000000"/>
                <w:spacing w:val="-187"/>
                <w:szCs w:val="20"/>
                <w:shd w:val="solid" w:color="000000" w:fill="000000"/>
                <w:fitText w:val="13" w:id="-1305203960"/>
                <w:lang w:val="en-AU"/>
                <w14:textFill>
                  <w14:solidFill>
                    <w14:srgbClr w14:val="000000">
                      <w14:alpha w14:val="100000"/>
                    </w14:srgbClr>
                  </w14:solidFill>
                </w14:textFill>
              </w:rPr>
              <w:t xml:space="preserve">　</w:t>
            </w:r>
            <w:r w:rsidRPr="00334395">
              <w:rPr>
                <w:rFonts w:cs="Calibri"/>
                <w:b w:val="0"/>
                <w:bCs/>
                <w:iCs/>
                <w:color w:val="000000"/>
                <w:w w:val="15"/>
                <w:szCs w:val="20"/>
                <w:shd w:val="solid" w:color="000000" w:fill="000000"/>
                <w:lang w:val="en-AU"/>
                <w14:textFill>
                  <w14:solidFill>
                    <w14:srgbClr w14:val="000000">
                      <w14:alpha w14:val="100000"/>
                    </w14:srgbClr>
                  </w14:solidFill>
                </w14:textFill>
              </w:rPr>
              <w:t>|</w:t>
            </w:r>
            <w:r w:rsidRPr="00E72650">
              <w:rPr>
                <w:rFonts w:cs="Calibri" w:hint="eastAsia"/>
                <w:b w:val="0"/>
                <w:bCs/>
                <w:iCs/>
                <w:color w:val="000000"/>
                <w:w w:val="15"/>
                <w:szCs w:val="20"/>
                <w:shd w:val="solid" w:color="000000" w:fill="000000"/>
                <w:lang w:val="en-AU"/>
                <w14:textFill>
                  <w14:solidFill>
                    <w14:srgbClr w14:val="000000">
                      <w14:alpha w14:val="100000"/>
                    </w14:srgbClr>
                  </w14:solidFill>
                </w14:textFill>
              </w:rPr>
              <w:t xml:space="preserve">　</w:t>
            </w:r>
            <w:r w:rsidR="00FC614E" w:rsidRPr="00B6635B">
              <w:rPr>
                <w:b w:val="0"/>
                <w:bCs/>
                <w:vertAlign w:val="superscript"/>
                <w:lang w:val="en-AU"/>
              </w:rPr>
              <w:t>1</w:t>
            </w:r>
          </w:p>
        </w:tc>
        <w:tc>
          <w:tcPr>
            <w:tcW w:w="1324" w:type="dxa"/>
            <w:tcBorders>
              <w:top w:val="single" w:sz="4" w:space="0" w:color="auto"/>
              <w:left w:val="single" w:sz="4" w:space="0" w:color="auto"/>
              <w:bottom w:val="single" w:sz="4" w:space="0" w:color="auto"/>
              <w:right w:val="single" w:sz="4" w:space="0" w:color="auto"/>
            </w:tcBorders>
            <w:shd w:val="clear" w:color="000000" w:fill="FFFFFF"/>
            <w:vAlign w:val="center"/>
          </w:tcPr>
          <w:p w14:paraId="07E0646B" w14:textId="54F5A686" w:rsidR="00C21FCA" w:rsidRPr="003A235D" w:rsidRDefault="00C21FCA" w:rsidP="00AE14F4">
            <w:pPr>
              <w:pStyle w:val="COMTableheadingrow"/>
              <w:keepNext w:val="0"/>
              <w:jc w:val="center"/>
              <w:rPr>
                <w:b w:val="0"/>
                <w:bCs/>
                <w:iCs/>
                <w:lang w:val="en-AU"/>
              </w:rPr>
            </w:pPr>
            <w:r w:rsidRPr="003A235D">
              <w:rPr>
                <w:rFonts w:cs="Calibri"/>
                <w:b w:val="0"/>
                <w:bCs/>
                <w:iCs/>
                <w:color w:val="000000"/>
                <w:szCs w:val="20"/>
                <w:lang w:val="en-AU"/>
              </w:rPr>
              <w:t>14%</w:t>
            </w:r>
          </w:p>
        </w:tc>
      </w:tr>
      <w:tr w:rsidR="00C21FCA" w:rsidRPr="003A235D" w14:paraId="14497F7B" w14:textId="77777777" w:rsidTr="00B6635B">
        <w:tc>
          <w:tcPr>
            <w:tcW w:w="3722" w:type="dxa"/>
          </w:tcPr>
          <w:p w14:paraId="2F12E562" w14:textId="77777777" w:rsidR="00C21FCA" w:rsidRPr="003A235D" w:rsidRDefault="00C21FCA" w:rsidP="00AE14F4">
            <w:pPr>
              <w:pStyle w:val="COMTableheadingrow"/>
              <w:keepNext w:val="0"/>
              <w:rPr>
                <w:b w:val="0"/>
                <w:bCs/>
                <w:lang w:val="en-AU"/>
              </w:rPr>
            </w:pPr>
            <w:r w:rsidRPr="003A235D">
              <w:rPr>
                <w:b w:val="0"/>
                <w:bCs/>
                <w:iCs/>
                <w:lang w:val="en-AU"/>
              </w:rPr>
              <w:t>- 75% reduction (QALY loss 0.0838)</w:t>
            </w:r>
          </w:p>
        </w:tc>
        <w:tc>
          <w:tcPr>
            <w:tcW w:w="1323" w:type="dxa"/>
            <w:tcBorders>
              <w:top w:val="single" w:sz="4" w:space="0" w:color="auto"/>
            </w:tcBorders>
            <w:shd w:val="solid" w:color="000000" w:fill="000000"/>
            <w:vAlign w:val="center"/>
          </w:tcPr>
          <w:p w14:paraId="02F6A803" w14:textId="251CC58B" w:rsidR="00C21FCA" w:rsidRPr="00B6635B" w:rsidRDefault="00B6635B" w:rsidP="00AE14F4">
            <w:pPr>
              <w:pStyle w:val="COMTableheadingrow"/>
              <w:keepNext w:val="0"/>
              <w:jc w:val="center"/>
              <w:rPr>
                <w:b w:val="0"/>
                <w:bCs/>
                <w:iCs/>
                <w:lang w:val="en-AU"/>
              </w:rPr>
            </w:pPr>
            <w:r w:rsidRPr="00B6635B">
              <w:rPr>
                <w:rFonts w:cs="Calibri"/>
                <w:b w:val="0"/>
                <w:bCs/>
                <w:iCs/>
                <w:color w:val="000000"/>
                <w:szCs w:val="20"/>
                <w:lang w:val="en-AU"/>
                <w14:textFill>
                  <w14:solidFill>
                    <w14:srgbClr w14:val="000000">
                      <w14:alpha w14:val="100000"/>
                    </w14:srgbClr>
                  </w14:solidFill>
                </w14:textFill>
              </w:rPr>
              <w:t>|</w:t>
            </w:r>
          </w:p>
        </w:tc>
        <w:tc>
          <w:tcPr>
            <w:tcW w:w="1324" w:type="dxa"/>
            <w:tcBorders>
              <w:top w:val="single" w:sz="4" w:space="0" w:color="auto"/>
            </w:tcBorders>
            <w:vAlign w:val="center"/>
          </w:tcPr>
          <w:p w14:paraId="4B983289" w14:textId="77777777" w:rsidR="00C21FCA" w:rsidRPr="003A235D" w:rsidRDefault="00C21FCA" w:rsidP="00AE14F4">
            <w:pPr>
              <w:pStyle w:val="COMTableheadingrow"/>
              <w:keepNext w:val="0"/>
              <w:jc w:val="center"/>
              <w:rPr>
                <w:b w:val="0"/>
                <w:bCs/>
                <w:iCs/>
                <w:lang w:val="en-AU"/>
              </w:rPr>
            </w:pPr>
            <w:r w:rsidRPr="003A235D">
              <w:rPr>
                <w:rFonts w:cs="Calibri"/>
                <w:b w:val="0"/>
                <w:bCs/>
                <w:iCs/>
                <w:color w:val="000000"/>
                <w:szCs w:val="20"/>
                <w:lang w:val="en-AU"/>
              </w:rPr>
              <w:t>0.0717</w:t>
            </w:r>
          </w:p>
        </w:tc>
        <w:tc>
          <w:tcPr>
            <w:tcW w:w="1324" w:type="dxa"/>
            <w:tcBorders>
              <w:top w:val="single" w:sz="4" w:space="0" w:color="auto"/>
            </w:tcBorders>
            <w:vAlign w:val="center"/>
          </w:tcPr>
          <w:p w14:paraId="28D79B7F" w14:textId="32A02FD7" w:rsidR="00C21FCA" w:rsidRPr="00B6635B" w:rsidRDefault="00B6635B" w:rsidP="00AE14F4">
            <w:pPr>
              <w:pStyle w:val="COMTableheadingrow"/>
              <w:keepNext w:val="0"/>
              <w:jc w:val="center"/>
              <w:rPr>
                <w:b w:val="0"/>
                <w:bCs/>
                <w:iCs/>
                <w:highlight w:val="darkGray"/>
                <w:lang w:val="en-AU"/>
              </w:rPr>
            </w:pPr>
            <w:r w:rsidRPr="00E72650">
              <w:rPr>
                <w:rFonts w:cs="Calibri" w:hint="eastAsia"/>
                <w:b w:val="0"/>
                <w:bCs/>
                <w:iCs/>
                <w:color w:val="000000"/>
                <w:spacing w:val="-187"/>
                <w:szCs w:val="20"/>
                <w:shd w:val="solid" w:color="000000" w:fill="000000"/>
                <w:fitText w:val="13" w:id="-1305203959"/>
                <w:lang w:val="en-AU"/>
                <w14:textFill>
                  <w14:solidFill>
                    <w14:srgbClr w14:val="000000">
                      <w14:alpha w14:val="100000"/>
                    </w14:srgbClr>
                  </w14:solidFill>
                </w14:textFill>
              </w:rPr>
              <w:t xml:space="preserve">　</w:t>
            </w:r>
            <w:r w:rsidRPr="00334395">
              <w:rPr>
                <w:rFonts w:cs="Calibri"/>
                <w:b w:val="0"/>
                <w:bCs/>
                <w:iCs/>
                <w:color w:val="000000"/>
                <w:w w:val="15"/>
                <w:szCs w:val="20"/>
                <w:shd w:val="solid" w:color="000000" w:fill="000000"/>
                <w:lang w:val="en-AU"/>
                <w14:textFill>
                  <w14:solidFill>
                    <w14:srgbClr w14:val="000000">
                      <w14:alpha w14:val="100000"/>
                    </w14:srgbClr>
                  </w14:solidFill>
                </w14:textFill>
              </w:rPr>
              <w:t>|</w:t>
            </w:r>
            <w:r w:rsidRPr="00E72650">
              <w:rPr>
                <w:rFonts w:cs="Calibri" w:hint="eastAsia"/>
                <w:b w:val="0"/>
                <w:bCs/>
                <w:iCs/>
                <w:color w:val="000000"/>
                <w:w w:val="15"/>
                <w:szCs w:val="20"/>
                <w:shd w:val="solid" w:color="000000" w:fill="000000"/>
                <w:lang w:val="en-AU"/>
                <w14:textFill>
                  <w14:solidFill>
                    <w14:srgbClr w14:val="000000">
                      <w14:alpha w14:val="100000"/>
                    </w14:srgbClr>
                  </w14:solidFill>
                </w14:textFill>
              </w:rPr>
              <w:t xml:space="preserve">　</w:t>
            </w:r>
            <w:r w:rsidR="00AC5A0D" w:rsidRPr="00B6635B">
              <w:rPr>
                <w:b w:val="0"/>
                <w:bCs/>
                <w:vertAlign w:val="superscript"/>
                <w:lang w:val="en-AU"/>
              </w:rPr>
              <w:t>2</w:t>
            </w:r>
          </w:p>
        </w:tc>
        <w:tc>
          <w:tcPr>
            <w:tcW w:w="1324" w:type="dxa"/>
            <w:tcBorders>
              <w:top w:val="single" w:sz="4" w:space="0" w:color="auto"/>
            </w:tcBorders>
            <w:vAlign w:val="center"/>
          </w:tcPr>
          <w:p w14:paraId="72752CED" w14:textId="6F023FE3" w:rsidR="00C21FCA" w:rsidRPr="003A235D" w:rsidRDefault="00C21FCA" w:rsidP="00AE14F4">
            <w:pPr>
              <w:pStyle w:val="COMTableheadingrow"/>
              <w:keepNext w:val="0"/>
              <w:jc w:val="center"/>
              <w:rPr>
                <w:b w:val="0"/>
                <w:bCs/>
                <w:iCs/>
                <w:lang w:val="en-AU"/>
              </w:rPr>
            </w:pPr>
            <w:r w:rsidRPr="003A235D">
              <w:rPr>
                <w:rFonts w:cs="Calibri"/>
                <w:b w:val="0"/>
                <w:bCs/>
                <w:iCs/>
                <w:color w:val="000000"/>
                <w:szCs w:val="20"/>
                <w:lang w:val="en-AU"/>
              </w:rPr>
              <w:t>23%</w:t>
            </w:r>
          </w:p>
        </w:tc>
      </w:tr>
    </w:tbl>
    <w:p w14:paraId="62AC3D11" w14:textId="18092F90" w:rsidR="00C21FCA" w:rsidRPr="003A235D" w:rsidRDefault="00C21FCA" w:rsidP="00E72650">
      <w:pPr>
        <w:pStyle w:val="TableFigureFooter"/>
      </w:pPr>
      <w:r w:rsidRPr="003A235D">
        <w:t>Source: Table 3.30, pp236-237 of the submission; ‘Att_8_Jardiance (empagliflozin) – HF with LV</w:t>
      </w:r>
      <w:r w:rsidR="0041243E" w:rsidRPr="003A235D">
        <w:t>EF</w:t>
      </w:r>
      <w:r w:rsidRPr="003A235D">
        <w:t xml:space="preserve"> more than 40 - CEA’ spreadsheet provided with the submission</w:t>
      </w:r>
    </w:p>
    <w:p w14:paraId="04AF958A" w14:textId="77777777" w:rsidR="00C21FCA" w:rsidRPr="003A235D" w:rsidRDefault="00C21FCA" w:rsidP="00E72650">
      <w:pPr>
        <w:pStyle w:val="TableFigureFooter"/>
      </w:pPr>
      <w:r w:rsidRPr="003A235D">
        <w:t>Abbreviations: CV, cardiovascular; ICER, incremental cost-effectiveness ratio; KCCQ-CSS, Kansas City Cardiomyopathy Questionnaire Clinical Summary Score; NYHA, New York Heart Association; QALY, quality adjusted life year</w:t>
      </w:r>
    </w:p>
    <w:p w14:paraId="5F0872DF" w14:textId="4D03A24C" w:rsidR="00C21FCA" w:rsidRDefault="00C21FCA" w:rsidP="00E72650">
      <w:pPr>
        <w:pStyle w:val="TableFigureFooter"/>
      </w:pPr>
      <w:r w:rsidRPr="003A235D">
        <w:rPr>
          <w:vertAlign w:val="superscript"/>
        </w:rPr>
        <w:t xml:space="preserve">a </w:t>
      </w:r>
      <w:r w:rsidRPr="003A235D">
        <w:t>Calculated during the evaluation based on 541 events in 2,991 placebo patients and 407 events in 2,997 empagliflozin over an average duration of follow-up of 25.6 months.</w:t>
      </w:r>
    </w:p>
    <w:p w14:paraId="117C9C4C" w14:textId="77777777" w:rsidR="00AC5A0D" w:rsidRPr="00EE5627" w:rsidRDefault="00AC5A0D" w:rsidP="00E72650">
      <w:pPr>
        <w:pStyle w:val="TableFigureFooter"/>
      </w:pPr>
      <w:r w:rsidRPr="00B6635B">
        <w:rPr>
          <w:i/>
        </w:rPr>
        <w:t>The redacted values correspond to the following ranges</w:t>
      </w:r>
    </w:p>
    <w:p w14:paraId="7484BEE3" w14:textId="6B11C551" w:rsidR="00AC5A0D" w:rsidRPr="00B6635B" w:rsidRDefault="00AC5A0D" w:rsidP="00E72650">
      <w:pPr>
        <w:pStyle w:val="TableFigureFooter"/>
        <w:rPr>
          <w:i/>
          <w:szCs w:val="18"/>
        </w:rPr>
      </w:pPr>
      <w:r w:rsidRPr="00B6635B">
        <w:rPr>
          <w:i/>
          <w:szCs w:val="18"/>
          <w:vertAlign w:val="superscript"/>
        </w:rPr>
        <w:t>1</w:t>
      </w:r>
      <w:r w:rsidRPr="00B6635B">
        <w:rPr>
          <w:i/>
          <w:szCs w:val="18"/>
        </w:rPr>
        <w:t xml:space="preserve"> $15,000 to &lt; $25,000</w:t>
      </w:r>
    </w:p>
    <w:p w14:paraId="321BCD6C" w14:textId="2D3E397A" w:rsidR="00AC5A0D" w:rsidRDefault="00AC5A0D" w:rsidP="00E72650">
      <w:pPr>
        <w:pStyle w:val="TableFigureFooter"/>
        <w:rPr>
          <w:i/>
          <w:szCs w:val="18"/>
        </w:rPr>
      </w:pPr>
      <w:r w:rsidRPr="00B6635B">
        <w:rPr>
          <w:i/>
          <w:szCs w:val="18"/>
          <w:vertAlign w:val="superscript"/>
        </w:rPr>
        <w:t>2</w:t>
      </w:r>
      <w:r w:rsidRPr="00B6635B">
        <w:rPr>
          <w:i/>
          <w:szCs w:val="18"/>
        </w:rPr>
        <w:t xml:space="preserve"> $25,000 to &lt; $35,0</w:t>
      </w:r>
      <w:r w:rsidR="00070FDC" w:rsidRPr="00B6635B">
        <w:rPr>
          <w:i/>
          <w:szCs w:val="18"/>
        </w:rPr>
        <w:t>00</w:t>
      </w:r>
    </w:p>
    <w:p w14:paraId="1F761E7E" w14:textId="3FF15AE4" w:rsidR="00AC5A0D" w:rsidRPr="003A235D" w:rsidRDefault="00EE5627" w:rsidP="00E72650">
      <w:pPr>
        <w:pStyle w:val="TableFigureFooter"/>
      </w:pPr>
      <w:r>
        <w:rPr>
          <w:i/>
          <w:szCs w:val="18"/>
          <w:vertAlign w:val="superscript"/>
        </w:rPr>
        <w:t>3</w:t>
      </w:r>
      <w:r>
        <w:rPr>
          <w:i/>
          <w:szCs w:val="18"/>
        </w:rPr>
        <w:t xml:space="preserve"> $55,000 to &lt; $75,000</w:t>
      </w:r>
    </w:p>
    <w:p w14:paraId="317E604E" w14:textId="6400C28A" w:rsidR="0037447E" w:rsidRPr="003A235D" w:rsidRDefault="00C21FCA" w:rsidP="00DD2B98">
      <w:pPr>
        <w:pStyle w:val="ExecSumBodyText"/>
        <w:numPr>
          <w:ilvl w:val="1"/>
          <w:numId w:val="1"/>
        </w:numPr>
      </w:pPr>
      <w:bookmarkStart w:id="66" w:name="_Ref116565760"/>
      <w:r w:rsidRPr="003A235D">
        <w:t xml:space="preserve">The impact of no survival benefit associated with empagliflozin treatment (consistent with clinical evidence) could not be adequately tested during the evaluation. This was due to the model structure that was based on KCCQ-CSS health states with mortality estimates derived from separately modelled survival curves. </w:t>
      </w:r>
      <w:r w:rsidR="0037447E" w:rsidRPr="003A235D">
        <w:rPr>
          <w:iCs/>
        </w:rPr>
        <w:t xml:space="preserve">The ESC considered that the modelled survival benefit was uncertain and therefore a sensitivity analysis was required to assess the impact of the assumed benefit, which was not possible in the </w:t>
      </w:r>
      <w:r w:rsidR="0037447E" w:rsidRPr="003A235D">
        <w:rPr>
          <w:iCs/>
        </w:rPr>
        <w:lastRenderedPageBreak/>
        <w:t xml:space="preserve">model provided. </w:t>
      </w:r>
      <w:r w:rsidR="001E6C4B" w:rsidRPr="003A235D">
        <w:rPr>
          <w:iCs/>
        </w:rPr>
        <w:t xml:space="preserve">In the absence of evidence of a survival benefit, the ESC considered that the modelled survival benefit for empagliflozin should be removed from the </w:t>
      </w:r>
      <w:r w:rsidR="002B38FF" w:rsidRPr="003A235D">
        <w:rPr>
          <w:iCs/>
        </w:rPr>
        <w:t xml:space="preserve">base in the </w:t>
      </w:r>
      <w:r w:rsidR="001E6C4B" w:rsidRPr="003A235D">
        <w:rPr>
          <w:iCs/>
        </w:rPr>
        <w:t xml:space="preserve">model. </w:t>
      </w:r>
      <w:r w:rsidR="0037447E" w:rsidRPr="003A235D">
        <w:rPr>
          <w:iCs/>
        </w:rPr>
        <w:t>Additional validation would be informative, especially in regard to the relationship between KCCQ</w:t>
      </w:r>
      <w:r w:rsidR="0037447E" w:rsidRPr="003A235D">
        <w:rPr>
          <w:iCs/>
        </w:rPr>
        <w:noBreakHyphen/>
        <w:t xml:space="preserve">CSS quartiles and cardiovascular death in the proposed population, noting that evidence from the HFrEF population </w:t>
      </w:r>
      <w:r w:rsidR="002B38FF" w:rsidRPr="003A235D">
        <w:rPr>
          <w:iCs/>
        </w:rPr>
        <w:t>was not</w:t>
      </w:r>
      <w:r w:rsidR="0037447E" w:rsidRPr="003A235D">
        <w:rPr>
          <w:iCs/>
        </w:rPr>
        <w:t xml:space="preserve"> relevant.</w:t>
      </w:r>
      <w:bookmarkEnd w:id="66"/>
    </w:p>
    <w:p w14:paraId="1D48FA18" w14:textId="4B7699ED" w:rsidR="001E6C4B" w:rsidRPr="003A235D" w:rsidRDefault="00C21FCA" w:rsidP="00DD2B98">
      <w:pPr>
        <w:pStyle w:val="ExecSumBodyText"/>
        <w:numPr>
          <w:ilvl w:val="1"/>
          <w:numId w:val="1"/>
        </w:numPr>
      </w:pPr>
      <w:bookmarkStart w:id="67" w:name="_Ref116999022"/>
      <w:r w:rsidRPr="003A235D">
        <w:t>The results were most sensitive to the heart failure hospitalisation rate, differences between treatment arms in KCCQ-CSS health state transitions, the QALY loss associated with heart failure hospitalisation, and heart failure hospitalisation costs.</w:t>
      </w:r>
      <w:bookmarkEnd w:id="67"/>
      <w:r w:rsidRPr="003A235D">
        <w:t xml:space="preserve"> </w:t>
      </w:r>
    </w:p>
    <w:p w14:paraId="5DB2A5DB" w14:textId="113F49AB" w:rsidR="00227BCB" w:rsidRPr="003A235D" w:rsidRDefault="00A9421B" w:rsidP="006D6A13">
      <w:pPr>
        <w:pStyle w:val="ExecSumBodyText"/>
        <w:numPr>
          <w:ilvl w:val="1"/>
          <w:numId w:val="1"/>
        </w:numPr>
      </w:pPr>
      <w:r w:rsidRPr="003A235D">
        <w:t>Regarding cardiovascular mortality, the Pre-PBAC response stated that traces for the cumulative incidence of adjudicated CV death show a clear separation between the empagliflozin and placebo groups from as early as day 720 and continues to widen to the point of data cut-off (</w:t>
      </w:r>
      <w:r w:rsidR="00E82751" w:rsidRPr="003A235D">
        <w:t xml:space="preserve">see paragraph </w:t>
      </w:r>
      <w:r w:rsidR="00E82751" w:rsidRPr="003A235D">
        <w:fldChar w:fldCharType="begin" w:fldLock="1"/>
      </w:r>
      <w:r w:rsidR="00E82751" w:rsidRPr="003A235D">
        <w:instrText xml:space="preserve"> REF _Ref120738995 \r \h </w:instrText>
      </w:r>
      <w:r w:rsidR="006D6A13" w:rsidRPr="003A235D">
        <w:instrText xml:space="preserve"> \* MERGEFORMAT </w:instrText>
      </w:r>
      <w:r w:rsidR="00E82751" w:rsidRPr="003A235D">
        <w:fldChar w:fldCharType="separate"/>
      </w:r>
      <w:r w:rsidR="004646F5" w:rsidRPr="003A235D">
        <w:t>6.17</w:t>
      </w:r>
      <w:r w:rsidR="00E82751" w:rsidRPr="003A235D">
        <w:fldChar w:fldCharType="end"/>
      </w:r>
      <w:r w:rsidR="00E82751" w:rsidRPr="003A235D">
        <w:t>)</w:t>
      </w:r>
      <w:r w:rsidRPr="003A235D">
        <w:t>. The</w:t>
      </w:r>
      <w:r w:rsidR="00E82751" w:rsidRPr="003A235D">
        <w:t xml:space="preserve"> Pre-PBAC response stated these</w:t>
      </w:r>
      <w:r w:rsidRPr="003A235D">
        <w:t xml:space="preserve"> results are supported by a recently published meta-analysis that pooled data from EMPEROR-Preserved and DELIVER</w:t>
      </w:r>
      <w:r w:rsidR="00BF2A79" w:rsidRPr="003A235D">
        <w:t xml:space="preserve"> (see paragraph </w:t>
      </w:r>
      <w:r w:rsidR="00BF2A79" w:rsidRPr="003A235D">
        <w:fldChar w:fldCharType="begin" w:fldLock="1"/>
      </w:r>
      <w:r w:rsidR="00BF2A79" w:rsidRPr="003A235D">
        <w:instrText xml:space="preserve"> REF _Ref120818794 \r \h </w:instrText>
      </w:r>
      <w:r w:rsidR="006D6A13" w:rsidRPr="003A235D">
        <w:instrText xml:space="preserve"> \* MERGEFORMAT </w:instrText>
      </w:r>
      <w:r w:rsidR="00BF2A79" w:rsidRPr="003A235D">
        <w:fldChar w:fldCharType="separate"/>
      </w:r>
      <w:r w:rsidR="004646F5" w:rsidRPr="003A235D">
        <w:t>6.18</w:t>
      </w:r>
      <w:r w:rsidR="00BF2A79" w:rsidRPr="003A235D">
        <w:fldChar w:fldCharType="end"/>
      </w:r>
      <w:r w:rsidR="00BF2A79" w:rsidRPr="003A235D">
        <w:t>)</w:t>
      </w:r>
      <w:r w:rsidRPr="003A235D">
        <w:t xml:space="preserve">.  </w:t>
      </w:r>
      <w:r w:rsidR="00870A10" w:rsidRPr="003A235D">
        <w:t xml:space="preserve">The PBAC considered that the meta-analysis published by Vaduganathan et al. (2022) suggested that </w:t>
      </w:r>
      <w:r w:rsidR="00BF2A79" w:rsidRPr="003A235D">
        <w:t xml:space="preserve">a </w:t>
      </w:r>
      <w:r w:rsidR="00870A10" w:rsidRPr="003A235D">
        <w:t>mode</w:t>
      </w:r>
      <w:r w:rsidR="00EB5E37" w:rsidRPr="003A235D">
        <w:t>l</w:t>
      </w:r>
      <w:r w:rsidR="00870A10" w:rsidRPr="003A235D">
        <w:t>l</w:t>
      </w:r>
      <w:r w:rsidR="00EB5E37" w:rsidRPr="003A235D">
        <w:t>ed</w:t>
      </w:r>
      <w:r w:rsidR="00870A10" w:rsidRPr="003A235D">
        <w:t xml:space="preserve"> </w:t>
      </w:r>
      <w:r w:rsidR="00BF2A79" w:rsidRPr="003A235D">
        <w:t xml:space="preserve">mortality </w:t>
      </w:r>
      <w:r w:rsidR="00870A10" w:rsidRPr="003A235D">
        <w:t>benefit was plausible.</w:t>
      </w:r>
    </w:p>
    <w:p w14:paraId="195BDE12" w14:textId="77777777" w:rsidR="00C21FCA" w:rsidRPr="003A235D" w:rsidRDefault="00C21FCA" w:rsidP="00870A10">
      <w:pPr>
        <w:pStyle w:val="COMH2-non-numbered"/>
      </w:pPr>
      <w:bookmarkStart w:id="68" w:name="_Toc22897646"/>
      <w:bookmarkStart w:id="69" w:name="_Toc114047892"/>
      <w:r w:rsidRPr="003A235D">
        <w:t>Drug cost/patient/year</w:t>
      </w:r>
      <w:bookmarkEnd w:id="68"/>
      <w:bookmarkEnd w:id="69"/>
    </w:p>
    <w:p w14:paraId="74630891" w14:textId="3FC4592D" w:rsidR="00C21FCA" w:rsidRPr="003A235D" w:rsidRDefault="00C21FCA" w:rsidP="00C21FCA">
      <w:pPr>
        <w:pStyle w:val="ExecSumBodyText"/>
        <w:numPr>
          <w:ilvl w:val="1"/>
          <w:numId w:val="1"/>
        </w:numPr>
      </w:pPr>
      <w:bookmarkStart w:id="70" w:name="_Ref104805102"/>
      <w:r w:rsidRPr="003A235D">
        <w:t>The empagliflozin drug cost per patient per year is $</w:t>
      </w:r>
      <w:r w:rsidRPr="00F514F0">
        <w:t>732.45</w:t>
      </w:r>
      <w:r w:rsidRPr="003A235D">
        <w:t>, based on the proposed DP</w:t>
      </w:r>
      <w:r w:rsidR="00B82732" w:rsidRPr="003A235D">
        <w:t>M</w:t>
      </w:r>
      <w:r w:rsidRPr="003A235D">
        <w:t>Q per script of $</w:t>
      </w:r>
      <w:r w:rsidRPr="00F514F0">
        <w:t>60.16</w:t>
      </w:r>
      <w:r w:rsidRPr="003A235D">
        <w:t xml:space="preserve"> (updated to incorporate mark-ups from 1 July 2022) / 30 days per script × 365.25 days per year, assuming 100% adherence. </w:t>
      </w:r>
      <w:r w:rsidRPr="003A235D">
        <w:rPr>
          <w:iCs/>
        </w:rPr>
        <w:t xml:space="preserve">The estimated drug costs differed between the economic analysis and the financial estimates due to differences in assumptions relating to treatment adherence and treatment persistence. </w:t>
      </w:r>
    </w:p>
    <w:p w14:paraId="164C8D14" w14:textId="35B615A4" w:rsidR="00C21FCA" w:rsidRPr="003A235D" w:rsidRDefault="00C21FCA" w:rsidP="00C21FCA">
      <w:pPr>
        <w:pStyle w:val="ExecSumBodyText"/>
        <w:numPr>
          <w:ilvl w:val="1"/>
          <w:numId w:val="1"/>
        </w:numPr>
      </w:pPr>
      <w:r w:rsidRPr="003A235D">
        <w:t>The economic analysis inc</w:t>
      </w:r>
      <w:r w:rsidRPr="00EE5627">
        <w:t>luded estimates of the costs of standard care ($699.96 per year, based on $58.33 per month</w:t>
      </w:r>
      <w:r w:rsidRPr="003A235D">
        <w:t xml:space="preserve"> × 12 months per year), applied to both arms of the model. These costs were not included in the financial estimates.</w:t>
      </w:r>
    </w:p>
    <w:p w14:paraId="11CCE90C" w14:textId="6822E31F" w:rsidR="00C21FCA" w:rsidRPr="003A235D" w:rsidRDefault="00C21FCA" w:rsidP="00C21FCA">
      <w:pPr>
        <w:pStyle w:val="COMtablefigcaption"/>
      </w:pPr>
      <w:r w:rsidRPr="003A235D">
        <w:t xml:space="preserve">Table </w:t>
      </w:r>
      <w:fldSimple w:instr=" SEQ Table \* ARABIC " w:fldLock="1">
        <w:r w:rsidR="004646F5" w:rsidRPr="003A235D">
          <w:t>13</w:t>
        </w:r>
      </w:fldSimple>
      <w:bookmarkEnd w:id="70"/>
      <w:r w:rsidRPr="003A235D">
        <w:t>: Drug cost per patient per year for empagliflozin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Table 13: Drug cost per patient per year for empagliflozin"/>
      </w:tblPr>
      <w:tblGrid>
        <w:gridCol w:w="2255"/>
        <w:gridCol w:w="2254"/>
        <w:gridCol w:w="2254"/>
        <w:gridCol w:w="2254"/>
      </w:tblGrid>
      <w:tr w:rsidR="00C21FCA" w:rsidRPr="003A235D" w14:paraId="0E3ABD2A" w14:textId="77777777" w:rsidTr="00AE14F4">
        <w:trPr>
          <w:cantSplit/>
          <w:tblHeader/>
          <w:jc w:val="center"/>
        </w:trPr>
        <w:tc>
          <w:tcPr>
            <w:tcW w:w="1250" w:type="pct"/>
            <w:tcMar>
              <w:top w:w="0" w:type="dxa"/>
              <w:left w:w="28" w:type="dxa"/>
              <w:bottom w:w="0" w:type="dxa"/>
              <w:right w:w="28" w:type="dxa"/>
            </w:tcMar>
            <w:vAlign w:val="center"/>
          </w:tcPr>
          <w:p w14:paraId="7D152E59" w14:textId="77777777" w:rsidR="00C21FCA" w:rsidRPr="003A235D" w:rsidRDefault="00C21FCA" w:rsidP="00AE14F4">
            <w:pPr>
              <w:pStyle w:val="Tableheadingrow"/>
              <w:jc w:val="center"/>
              <w:rPr>
                <w:lang w:val="en-AU"/>
              </w:rPr>
            </w:pPr>
          </w:p>
        </w:tc>
        <w:tc>
          <w:tcPr>
            <w:tcW w:w="1250" w:type="pct"/>
            <w:tcMar>
              <w:top w:w="0" w:type="dxa"/>
              <w:left w:w="28" w:type="dxa"/>
              <w:bottom w:w="0" w:type="dxa"/>
              <w:right w:w="28" w:type="dxa"/>
            </w:tcMar>
            <w:vAlign w:val="center"/>
            <w:hideMark/>
          </w:tcPr>
          <w:p w14:paraId="30A006FE" w14:textId="77777777" w:rsidR="00C21FCA" w:rsidRPr="003A235D" w:rsidRDefault="00C21FCA" w:rsidP="00AE14F4">
            <w:pPr>
              <w:pStyle w:val="Tableheadingrow"/>
              <w:jc w:val="center"/>
              <w:rPr>
                <w:lang w:val="en-AU"/>
              </w:rPr>
            </w:pPr>
            <w:r w:rsidRPr="003A235D">
              <w:rPr>
                <w:lang w:val="en-AU"/>
              </w:rPr>
              <w:t>EMPEROR-Preserved trial</w:t>
            </w:r>
          </w:p>
        </w:tc>
        <w:tc>
          <w:tcPr>
            <w:tcW w:w="1250" w:type="pct"/>
            <w:tcMar>
              <w:top w:w="0" w:type="dxa"/>
              <w:left w:w="28" w:type="dxa"/>
              <w:bottom w:w="0" w:type="dxa"/>
              <w:right w:w="28" w:type="dxa"/>
            </w:tcMar>
            <w:vAlign w:val="center"/>
            <w:hideMark/>
          </w:tcPr>
          <w:p w14:paraId="0638FF17" w14:textId="77777777" w:rsidR="00C21FCA" w:rsidRPr="003A235D" w:rsidRDefault="00C21FCA" w:rsidP="00AE14F4">
            <w:pPr>
              <w:pStyle w:val="Tableheadingrow"/>
              <w:jc w:val="center"/>
              <w:rPr>
                <w:lang w:val="en-AU"/>
              </w:rPr>
            </w:pPr>
            <w:r w:rsidRPr="003A235D">
              <w:rPr>
                <w:lang w:val="en-AU"/>
              </w:rPr>
              <w:t>Economic model</w:t>
            </w:r>
          </w:p>
        </w:tc>
        <w:tc>
          <w:tcPr>
            <w:tcW w:w="1250" w:type="pct"/>
            <w:tcMar>
              <w:top w:w="0" w:type="dxa"/>
              <w:left w:w="28" w:type="dxa"/>
              <w:bottom w:w="0" w:type="dxa"/>
              <w:right w:w="28" w:type="dxa"/>
            </w:tcMar>
            <w:vAlign w:val="center"/>
            <w:hideMark/>
          </w:tcPr>
          <w:p w14:paraId="539ECD67" w14:textId="77777777" w:rsidR="00C21FCA" w:rsidRPr="003A235D" w:rsidRDefault="00C21FCA" w:rsidP="00AE14F4">
            <w:pPr>
              <w:pStyle w:val="Tableheadingrow"/>
              <w:jc w:val="center"/>
              <w:rPr>
                <w:lang w:val="en-AU"/>
              </w:rPr>
            </w:pPr>
            <w:r w:rsidRPr="003A235D">
              <w:rPr>
                <w:lang w:val="en-AU"/>
              </w:rPr>
              <w:t>Financial estimates</w:t>
            </w:r>
          </w:p>
        </w:tc>
      </w:tr>
      <w:tr w:rsidR="00C21FCA" w:rsidRPr="003A235D" w14:paraId="2E62E85C" w14:textId="77777777" w:rsidTr="00AE14F4">
        <w:trPr>
          <w:cantSplit/>
          <w:jc w:val="center"/>
        </w:trPr>
        <w:tc>
          <w:tcPr>
            <w:tcW w:w="1250" w:type="pct"/>
            <w:tcMar>
              <w:top w:w="0" w:type="dxa"/>
              <w:left w:w="28" w:type="dxa"/>
              <w:bottom w:w="0" w:type="dxa"/>
              <w:right w:w="28" w:type="dxa"/>
            </w:tcMar>
            <w:vAlign w:val="center"/>
            <w:hideMark/>
          </w:tcPr>
          <w:p w14:paraId="7E77B870" w14:textId="77777777" w:rsidR="00C21FCA" w:rsidRPr="003A235D" w:rsidRDefault="00C21FCA" w:rsidP="00AE14F4">
            <w:pPr>
              <w:pStyle w:val="TableText"/>
            </w:pPr>
            <w:r w:rsidRPr="003A235D">
              <w:t>Daily dose</w:t>
            </w:r>
          </w:p>
        </w:tc>
        <w:tc>
          <w:tcPr>
            <w:tcW w:w="1250" w:type="pct"/>
            <w:tcMar>
              <w:top w:w="0" w:type="dxa"/>
              <w:left w:w="28" w:type="dxa"/>
              <w:bottom w:w="0" w:type="dxa"/>
              <w:right w:w="28" w:type="dxa"/>
            </w:tcMar>
            <w:vAlign w:val="center"/>
            <w:hideMark/>
          </w:tcPr>
          <w:p w14:paraId="51EBAC21" w14:textId="7736016A" w:rsidR="00C21FCA" w:rsidRPr="003A235D" w:rsidRDefault="00F935BC" w:rsidP="00AE14F4">
            <w:pPr>
              <w:pStyle w:val="TableText"/>
              <w:jc w:val="center"/>
            </w:pPr>
            <w:r w:rsidRPr="003A235D">
              <w:t>10 mg</w:t>
            </w:r>
            <w:r w:rsidR="00C21FCA" w:rsidRPr="003A235D">
              <w:t xml:space="preserve"> daily</w:t>
            </w:r>
          </w:p>
        </w:tc>
        <w:tc>
          <w:tcPr>
            <w:tcW w:w="1250" w:type="pct"/>
            <w:tcMar>
              <w:top w:w="0" w:type="dxa"/>
              <w:left w:w="28" w:type="dxa"/>
              <w:bottom w:w="0" w:type="dxa"/>
              <w:right w:w="28" w:type="dxa"/>
            </w:tcMar>
            <w:vAlign w:val="center"/>
            <w:hideMark/>
          </w:tcPr>
          <w:p w14:paraId="5937492D" w14:textId="71792759" w:rsidR="00C21FCA" w:rsidRPr="003A235D" w:rsidRDefault="00F935BC" w:rsidP="00AE14F4">
            <w:pPr>
              <w:pStyle w:val="TableText"/>
              <w:jc w:val="center"/>
            </w:pPr>
            <w:r w:rsidRPr="003A235D">
              <w:t>10 mg</w:t>
            </w:r>
            <w:r w:rsidR="00C21FCA" w:rsidRPr="003A235D">
              <w:t xml:space="preserve"> daily</w:t>
            </w:r>
          </w:p>
        </w:tc>
        <w:tc>
          <w:tcPr>
            <w:tcW w:w="1250" w:type="pct"/>
            <w:tcMar>
              <w:top w:w="0" w:type="dxa"/>
              <w:left w:w="28" w:type="dxa"/>
              <w:bottom w:w="0" w:type="dxa"/>
              <w:right w:w="28" w:type="dxa"/>
            </w:tcMar>
            <w:vAlign w:val="center"/>
            <w:hideMark/>
          </w:tcPr>
          <w:p w14:paraId="38FF1F5C" w14:textId="00192E3E" w:rsidR="00C21FCA" w:rsidRPr="003A235D" w:rsidRDefault="00F935BC" w:rsidP="00AE14F4">
            <w:pPr>
              <w:pStyle w:val="TableText"/>
              <w:jc w:val="center"/>
            </w:pPr>
            <w:r w:rsidRPr="003A235D">
              <w:t>10 mg</w:t>
            </w:r>
            <w:r w:rsidR="00C21FCA" w:rsidRPr="003A235D">
              <w:t xml:space="preserve"> daily</w:t>
            </w:r>
          </w:p>
        </w:tc>
      </w:tr>
      <w:tr w:rsidR="00C21FCA" w:rsidRPr="003A235D" w14:paraId="5FBDA669" w14:textId="77777777" w:rsidTr="00AE14F4">
        <w:trPr>
          <w:cantSplit/>
          <w:jc w:val="center"/>
        </w:trPr>
        <w:tc>
          <w:tcPr>
            <w:tcW w:w="1250" w:type="pct"/>
            <w:tcMar>
              <w:top w:w="0" w:type="dxa"/>
              <w:left w:w="28" w:type="dxa"/>
              <w:bottom w:w="0" w:type="dxa"/>
              <w:right w:w="28" w:type="dxa"/>
            </w:tcMar>
            <w:vAlign w:val="center"/>
            <w:hideMark/>
          </w:tcPr>
          <w:p w14:paraId="2378E665" w14:textId="77777777" w:rsidR="00C21FCA" w:rsidRPr="003A235D" w:rsidRDefault="00C21FCA" w:rsidP="00AE14F4">
            <w:pPr>
              <w:pStyle w:val="TableText"/>
            </w:pPr>
            <w:r w:rsidRPr="003A235D">
              <w:t>Cost per pack of 30 tablets (proposed DPMQ)</w:t>
            </w:r>
          </w:p>
        </w:tc>
        <w:tc>
          <w:tcPr>
            <w:tcW w:w="1250" w:type="pct"/>
            <w:tcMar>
              <w:top w:w="0" w:type="dxa"/>
              <w:left w:w="28" w:type="dxa"/>
              <w:bottom w:w="0" w:type="dxa"/>
              <w:right w:w="28" w:type="dxa"/>
            </w:tcMar>
            <w:vAlign w:val="center"/>
            <w:hideMark/>
          </w:tcPr>
          <w:p w14:paraId="702B636A" w14:textId="77777777" w:rsidR="00C21FCA" w:rsidRPr="003A235D" w:rsidRDefault="00C21FCA" w:rsidP="00AE14F4">
            <w:pPr>
              <w:pStyle w:val="TableText"/>
              <w:jc w:val="center"/>
            </w:pPr>
            <w:r w:rsidRPr="003A235D">
              <w:t>-</w:t>
            </w:r>
          </w:p>
        </w:tc>
        <w:tc>
          <w:tcPr>
            <w:tcW w:w="1250" w:type="pct"/>
            <w:tcMar>
              <w:top w:w="0" w:type="dxa"/>
              <w:left w:w="28" w:type="dxa"/>
              <w:bottom w:w="0" w:type="dxa"/>
              <w:right w:w="28" w:type="dxa"/>
            </w:tcMar>
            <w:vAlign w:val="center"/>
          </w:tcPr>
          <w:p w14:paraId="4B91D896" w14:textId="77777777" w:rsidR="00C21FCA" w:rsidRPr="00F514F0" w:rsidRDefault="00C21FCA" w:rsidP="00AE14F4">
            <w:pPr>
              <w:pStyle w:val="TableText"/>
              <w:jc w:val="center"/>
            </w:pPr>
            <w:r w:rsidRPr="00F514F0">
              <w:t>$60.16</w:t>
            </w:r>
            <w:r w:rsidRPr="00F514F0">
              <w:rPr>
                <w:vertAlign w:val="superscript"/>
              </w:rPr>
              <w:t>a</w:t>
            </w:r>
          </w:p>
        </w:tc>
        <w:tc>
          <w:tcPr>
            <w:tcW w:w="1250" w:type="pct"/>
            <w:tcMar>
              <w:top w:w="0" w:type="dxa"/>
              <w:left w:w="28" w:type="dxa"/>
              <w:bottom w:w="0" w:type="dxa"/>
              <w:right w:w="28" w:type="dxa"/>
            </w:tcMar>
            <w:vAlign w:val="center"/>
          </w:tcPr>
          <w:p w14:paraId="352ECEBB" w14:textId="77777777" w:rsidR="00C21FCA" w:rsidRPr="00F514F0" w:rsidRDefault="00C21FCA" w:rsidP="00AE14F4">
            <w:pPr>
              <w:pStyle w:val="TableText"/>
              <w:jc w:val="center"/>
            </w:pPr>
            <w:r w:rsidRPr="00F514F0">
              <w:t>$60.16</w:t>
            </w:r>
            <w:r w:rsidRPr="00F514F0">
              <w:rPr>
                <w:vertAlign w:val="superscript"/>
              </w:rPr>
              <w:t>a</w:t>
            </w:r>
          </w:p>
        </w:tc>
      </w:tr>
      <w:tr w:rsidR="00C21FCA" w:rsidRPr="003A235D" w14:paraId="2A2B117E" w14:textId="77777777" w:rsidTr="00AE14F4">
        <w:trPr>
          <w:cantSplit/>
          <w:jc w:val="center"/>
        </w:trPr>
        <w:tc>
          <w:tcPr>
            <w:tcW w:w="1250" w:type="pct"/>
            <w:tcMar>
              <w:top w:w="0" w:type="dxa"/>
              <w:left w:w="28" w:type="dxa"/>
              <w:bottom w:w="0" w:type="dxa"/>
              <w:right w:w="28" w:type="dxa"/>
            </w:tcMar>
            <w:vAlign w:val="center"/>
          </w:tcPr>
          <w:p w14:paraId="09A5F91E" w14:textId="77777777" w:rsidR="00C21FCA" w:rsidRPr="003A235D" w:rsidRDefault="00C21FCA" w:rsidP="00AE14F4">
            <w:pPr>
              <w:pStyle w:val="TableText"/>
            </w:pPr>
            <w:r w:rsidRPr="003A235D">
              <w:t>Adherence</w:t>
            </w:r>
          </w:p>
        </w:tc>
        <w:tc>
          <w:tcPr>
            <w:tcW w:w="1250" w:type="pct"/>
            <w:tcMar>
              <w:top w:w="0" w:type="dxa"/>
              <w:left w:w="28" w:type="dxa"/>
              <w:bottom w:w="0" w:type="dxa"/>
              <w:right w:w="28" w:type="dxa"/>
            </w:tcMar>
            <w:vAlign w:val="center"/>
          </w:tcPr>
          <w:p w14:paraId="3F52A7C0" w14:textId="77777777" w:rsidR="00C21FCA" w:rsidRPr="003A235D" w:rsidRDefault="00C21FCA" w:rsidP="00AE14F4">
            <w:pPr>
              <w:pStyle w:val="TableText"/>
              <w:jc w:val="center"/>
            </w:pPr>
            <w:r w:rsidRPr="003A235D">
              <w:t>94.96%</w:t>
            </w:r>
            <w:r w:rsidRPr="003A235D">
              <w:rPr>
                <w:vertAlign w:val="superscript"/>
              </w:rPr>
              <w:t>b</w:t>
            </w:r>
          </w:p>
        </w:tc>
        <w:tc>
          <w:tcPr>
            <w:tcW w:w="1250" w:type="pct"/>
            <w:tcMar>
              <w:top w:w="0" w:type="dxa"/>
              <w:left w:w="28" w:type="dxa"/>
              <w:bottom w:w="0" w:type="dxa"/>
              <w:right w:w="28" w:type="dxa"/>
            </w:tcMar>
            <w:vAlign w:val="center"/>
          </w:tcPr>
          <w:p w14:paraId="60FA3EE6" w14:textId="77777777" w:rsidR="00C21FCA" w:rsidRPr="00F514F0" w:rsidRDefault="00C21FCA" w:rsidP="00AE14F4">
            <w:pPr>
              <w:pStyle w:val="TableText"/>
              <w:jc w:val="center"/>
            </w:pPr>
            <w:r w:rsidRPr="00F514F0">
              <w:t>100%</w:t>
            </w:r>
          </w:p>
        </w:tc>
        <w:tc>
          <w:tcPr>
            <w:tcW w:w="1250" w:type="pct"/>
            <w:tcMar>
              <w:top w:w="0" w:type="dxa"/>
              <w:left w:w="28" w:type="dxa"/>
              <w:bottom w:w="0" w:type="dxa"/>
              <w:right w:w="28" w:type="dxa"/>
            </w:tcMar>
            <w:vAlign w:val="center"/>
          </w:tcPr>
          <w:p w14:paraId="7B4BE8B3" w14:textId="77777777" w:rsidR="00C21FCA" w:rsidRPr="00F514F0" w:rsidRDefault="00C21FCA" w:rsidP="00AE14F4">
            <w:pPr>
              <w:pStyle w:val="TableText"/>
              <w:jc w:val="center"/>
              <w:rPr>
                <w:vertAlign w:val="superscript"/>
              </w:rPr>
            </w:pPr>
            <w:r w:rsidRPr="00F514F0">
              <w:t>94.96%</w:t>
            </w:r>
            <w:r w:rsidRPr="00F514F0">
              <w:rPr>
                <w:vertAlign w:val="superscript"/>
              </w:rPr>
              <w:t>b</w:t>
            </w:r>
          </w:p>
        </w:tc>
      </w:tr>
      <w:tr w:rsidR="00C21FCA" w:rsidRPr="003A235D" w14:paraId="4F105C28" w14:textId="77777777" w:rsidTr="00AE14F4">
        <w:trPr>
          <w:cantSplit/>
          <w:jc w:val="center"/>
        </w:trPr>
        <w:tc>
          <w:tcPr>
            <w:tcW w:w="1250" w:type="pct"/>
            <w:tcMar>
              <w:top w:w="0" w:type="dxa"/>
              <w:left w:w="28" w:type="dxa"/>
              <w:bottom w:w="0" w:type="dxa"/>
              <w:right w:w="28" w:type="dxa"/>
            </w:tcMar>
            <w:vAlign w:val="center"/>
            <w:hideMark/>
          </w:tcPr>
          <w:p w14:paraId="514AC8FE" w14:textId="77777777" w:rsidR="00C21FCA" w:rsidRPr="003A235D" w:rsidRDefault="00C21FCA" w:rsidP="00AE14F4">
            <w:pPr>
              <w:pStyle w:val="TableText"/>
            </w:pPr>
            <w:r w:rsidRPr="003A235D">
              <w:t>Number of scripts per year</w:t>
            </w:r>
          </w:p>
        </w:tc>
        <w:tc>
          <w:tcPr>
            <w:tcW w:w="1250" w:type="pct"/>
            <w:tcMar>
              <w:top w:w="0" w:type="dxa"/>
              <w:left w:w="28" w:type="dxa"/>
              <w:bottom w:w="0" w:type="dxa"/>
              <w:right w:w="28" w:type="dxa"/>
            </w:tcMar>
            <w:vAlign w:val="center"/>
            <w:hideMark/>
          </w:tcPr>
          <w:p w14:paraId="3D0D9748" w14:textId="77777777" w:rsidR="00C21FCA" w:rsidRPr="003A235D" w:rsidRDefault="00C21FCA" w:rsidP="00AE14F4">
            <w:pPr>
              <w:pStyle w:val="TableText"/>
              <w:jc w:val="center"/>
            </w:pPr>
            <w:r w:rsidRPr="003A235D">
              <w:t>-</w:t>
            </w:r>
          </w:p>
        </w:tc>
        <w:tc>
          <w:tcPr>
            <w:tcW w:w="1250" w:type="pct"/>
            <w:tcMar>
              <w:top w:w="0" w:type="dxa"/>
              <w:left w:w="28" w:type="dxa"/>
              <w:bottom w:w="0" w:type="dxa"/>
              <w:right w:w="28" w:type="dxa"/>
            </w:tcMar>
            <w:vAlign w:val="center"/>
            <w:hideMark/>
          </w:tcPr>
          <w:p w14:paraId="4D718B48" w14:textId="77777777" w:rsidR="00C21FCA" w:rsidRPr="00F514F0" w:rsidRDefault="00C21FCA" w:rsidP="00AE14F4">
            <w:pPr>
              <w:pStyle w:val="TableText"/>
              <w:jc w:val="center"/>
            </w:pPr>
            <w:r w:rsidRPr="00F514F0">
              <w:t>12.175 (=365.25/30 × 100%)</w:t>
            </w:r>
          </w:p>
        </w:tc>
        <w:tc>
          <w:tcPr>
            <w:tcW w:w="1250" w:type="pct"/>
            <w:tcMar>
              <w:top w:w="0" w:type="dxa"/>
              <w:left w:w="28" w:type="dxa"/>
              <w:bottom w:w="0" w:type="dxa"/>
              <w:right w:w="28" w:type="dxa"/>
            </w:tcMar>
            <w:vAlign w:val="center"/>
            <w:hideMark/>
          </w:tcPr>
          <w:p w14:paraId="17F9391A" w14:textId="77777777" w:rsidR="00C21FCA" w:rsidRPr="00F514F0" w:rsidRDefault="00C21FCA" w:rsidP="00AE14F4">
            <w:pPr>
              <w:pStyle w:val="TableText"/>
              <w:jc w:val="center"/>
            </w:pPr>
            <w:r w:rsidRPr="00F514F0">
              <w:t>11.56 (=365.25/30 × 94.96%)</w:t>
            </w:r>
          </w:p>
        </w:tc>
      </w:tr>
      <w:tr w:rsidR="00C21FCA" w:rsidRPr="003A235D" w14:paraId="26FB10B7" w14:textId="77777777" w:rsidTr="00AE14F4">
        <w:trPr>
          <w:cantSplit/>
          <w:jc w:val="center"/>
        </w:trPr>
        <w:tc>
          <w:tcPr>
            <w:tcW w:w="1250" w:type="pct"/>
            <w:tcMar>
              <w:top w:w="0" w:type="dxa"/>
              <w:left w:w="28" w:type="dxa"/>
              <w:bottom w:w="0" w:type="dxa"/>
              <w:right w:w="28" w:type="dxa"/>
            </w:tcMar>
            <w:vAlign w:val="center"/>
            <w:hideMark/>
          </w:tcPr>
          <w:p w14:paraId="41AC4FD6" w14:textId="77777777" w:rsidR="00C21FCA" w:rsidRPr="003A235D" w:rsidRDefault="00C21FCA" w:rsidP="00AE14F4">
            <w:pPr>
              <w:pStyle w:val="TableText"/>
            </w:pPr>
            <w:r w:rsidRPr="003A235D">
              <w:t>Cost per year</w:t>
            </w:r>
          </w:p>
        </w:tc>
        <w:tc>
          <w:tcPr>
            <w:tcW w:w="1250" w:type="pct"/>
            <w:tcMar>
              <w:top w:w="0" w:type="dxa"/>
              <w:left w:w="28" w:type="dxa"/>
              <w:bottom w:w="0" w:type="dxa"/>
              <w:right w:w="28" w:type="dxa"/>
            </w:tcMar>
            <w:vAlign w:val="center"/>
            <w:hideMark/>
          </w:tcPr>
          <w:p w14:paraId="0A7F8E66" w14:textId="77777777" w:rsidR="00C21FCA" w:rsidRPr="003A235D" w:rsidRDefault="00C21FCA" w:rsidP="00AE14F4">
            <w:pPr>
              <w:pStyle w:val="TableText"/>
              <w:jc w:val="center"/>
            </w:pPr>
            <w:r w:rsidRPr="003A235D">
              <w:t>-</w:t>
            </w:r>
          </w:p>
        </w:tc>
        <w:tc>
          <w:tcPr>
            <w:tcW w:w="1250" w:type="pct"/>
            <w:tcMar>
              <w:top w:w="0" w:type="dxa"/>
              <w:left w:w="28" w:type="dxa"/>
              <w:bottom w:w="0" w:type="dxa"/>
              <w:right w:w="28" w:type="dxa"/>
            </w:tcMar>
            <w:vAlign w:val="center"/>
            <w:hideMark/>
          </w:tcPr>
          <w:p w14:paraId="5A86A7BC" w14:textId="77777777" w:rsidR="00C21FCA" w:rsidRPr="00F514F0" w:rsidRDefault="00C21FCA" w:rsidP="00AE14F4">
            <w:pPr>
              <w:pStyle w:val="TableText"/>
              <w:jc w:val="center"/>
            </w:pPr>
            <w:r w:rsidRPr="00F514F0">
              <w:t>$732.45</w:t>
            </w:r>
          </w:p>
        </w:tc>
        <w:tc>
          <w:tcPr>
            <w:tcW w:w="1250" w:type="pct"/>
            <w:tcMar>
              <w:top w:w="0" w:type="dxa"/>
              <w:left w:w="28" w:type="dxa"/>
              <w:bottom w:w="0" w:type="dxa"/>
              <w:right w:w="28" w:type="dxa"/>
            </w:tcMar>
            <w:vAlign w:val="center"/>
            <w:hideMark/>
          </w:tcPr>
          <w:p w14:paraId="7ADDB87A" w14:textId="77777777" w:rsidR="00C21FCA" w:rsidRPr="00F514F0" w:rsidRDefault="00C21FCA" w:rsidP="00AE14F4">
            <w:pPr>
              <w:pStyle w:val="TableText"/>
              <w:jc w:val="center"/>
            </w:pPr>
            <w:r w:rsidRPr="00F514F0">
              <w:t>$695.53</w:t>
            </w:r>
          </w:p>
        </w:tc>
      </w:tr>
      <w:tr w:rsidR="00C21FCA" w:rsidRPr="003A235D" w14:paraId="03C07781" w14:textId="77777777" w:rsidTr="00AE14F4">
        <w:trPr>
          <w:cantSplit/>
          <w:trHeight w:val="1389"/>
          <w:jc w:val="center"/>
        </w:trPr>
        <w:tc>
          <w:tcPr>
            <w:tcW w:w="1250" w:type="pct"/>
            <w:tcMar>
              <w:top w:w="0" w:type="dxa"/>
              <w:left w:w="28" w:type="dxa"/>
              <w:bottom w:w="0" w:type="dxa"/>
              <w:right w:w="28" w:type="dxa"/>
            </w:tcMar>
            <w:vAlign w:val="center"/>
          </w:tcPr>
          <w:p w14:paraId="08BD01A5" w14:textId="77777777" w:rsidR="00C21FCA" w:rsidRPr="003A235D" w:rsidRDefault="00C21FCA" w:rsidP="00AE14F4">
            <w:pPr>
              <w:pStyle w:val="TableText"/>
            </w:pPr>
            <w:r w:rsidRPr="003A235D">
              <w:t>Proportion of patients on treatment (persistence)</w:t>
            </w:r>
          </w:p>
        </w:tc>
        <w:tc>
          <w:tcPr>
            <w:tcW w:w="1250" w:type="pct"/>
            <w:tcMar>
              <w:top w:w="0" w:type="dxa"/>
              <w:left w:w="28" w:type="dxa"/>
              <w:bottom w:w="0" w:type="dxa"/>
              <w:right w:w="28" w:type="dxa"/>
            </w:tcMar>
            <w:vAlign w:val="center"/>
          </w:tcPr>
          <w:p w14:paraId="55F4BD27" w14:textId="77777777" w:rsidR="00C21FCA" w:rsidRPr="003A235D" w:rsidRDefault="00C21FCA" w:rsidP="00AE14F4">
            <w:pPr>
              <w:pStyle w:val="TableText"/>
              <w:jc w:val="center"/>
            </w:pPr>
            <w:r w:rsidRPr="003A235D">
              <w:t>At a median follow-up of 26 months, 68.5% of patients in the empagliflozin arm remained on treatment.</w:t>
            </w:r>
          </w:p>
        </w:tc>
        <w:tc>
          <w:tcPr>
            <w:tcW w:w="1250" w:type="pct"/>
            <w:tcMar>
              <w:top w:w="0" w:type="dxa"/>
              <w:left w:w="28" w:type="dxa"/>
              <w:bottom w:w="0" w:type="dxa"/>
              <w:right w:w="28" w:type="dxa"/>
            </w:tcMar>
          </w:tcPr>
          <w:p w14:paraId="2909736F" w14:textId="77777777" w:rsidR="00C21FCA" w:rsidRPr="003A235D" w:rsidRDefault="00C21FCA" w:rsidP="00AE14F4">
            <w:pPr>
              <w:pStyle w:val="TableText"/>
              <w:jc w:val="center"/>
            </w:pPr>
            <w:r w:rsidRPr="003A235D">
              <w:t>Year 1: 85.5%</w:t>
            </w:r>
            <w:r w:rsidRPr="003A235D">
              <w:rPr>
                <w:vertAlign w:val="superscript"/>
              </w:rPr>
              <w:t>c</w:t>
            </w:r>
          </w:p>
          <w:p w14:paraId="6A9E433C" w14:textId="77777777" w:rsidR="00C21FCA" w:rsidRPr="003A235D" w:rsidRDefault="00C21FCA" w:rsidP="00AE14F4">
            <w:pPr>
              <w:pStyle w:val="TableText"/>
              <w:jc w:val="center"/>
            </w:pPr>
            <w:r w:rsidRPr="003A235D">
              <w:t>Year 2: 73.7%</w:t>
            </w:r>
          </w:p>
          <w:p w14:paraId="548653CD" w14:textId="77777777" w:rsidR="00C21FCA" w:rsidRPr="003A235D" w:rsidRDefault="00C21FCA" w:rsidP="00AE14F4">
            <w:pPr>
              <w:pStyle w:val="TableText"/>
              <w:jc w:val="center"/>
            </w:pPr>
            <w:r w:rsidRPr="003A235D">
              <w:t>Year 3: 63.7%</w:t>
            </w:r>
          </w:p>
          <w:p w14:paraId="4049B4BE" w14:textId="77777777" w:rsidR="00C21FCA" w:rsidRPr="003A235D" w:rsidRDefault="00C21FCA" w:rsidP="00AE14F4">
            <w:pPr>
              <w:pStyle w:val="TableText"/>
              <w:jc w:val="center"/>
            </w:pPr>
            <w:r w:rsidRPr="003A235D">
              <w:t>Year 4: 54.2%</w:t>
            </w:r>
          </w:p>
          <w:p w14:paraId="66A7AB9F" w14:textId="77777777" w:rsidR="00C21FCA" w:rsidRPr="003A235D" w:rsidRDefault="00C21FCA" w:rsidP="00AE14F4">
            <w:pPr>
              <w:pStyle w:val="TableText"/>
              <w:jc w:val="center"/>
            </w:pPr>
            <w:r w:rsidRPr="003A235D">
              <w:t>Year 5: 45.5%</w:t>
            </w:r>
          </w:p>
          <w:p w14:paraId="496FE15B" w14:textId="77777777" w:rsidR="00C21FCA" w:rsidRPr="003A235D" w:rsidRDefault="00C21FCA" w:rsidP="00AE14F4">
            <w:pPr>
              <w:pStyle w:val="TableText"/>
              <w:jc w:val="center"/>
            </w:pPr>
            <w:r w:rsidRPr="003A235D">
              <w:t>Year 6: 37.6%</w:t>
            </w:r>
          </w:p>
        </w:tc>
        <w:tc>
          <w:tcPr>
            <w:tcW w:w="1250" w:type="pct"/>
            <w:tcMar>
              <w:top w:w="0" w:type="dxa"/>
              <w:left w:w="28" w:type="dxa"/>
              <w:bottom w:w="0" w:type="dxa"/>
              <w:right w:w="28" w:type="dxa"/>
            </w:tcMar>
            <w:vAlign w:val="center"/>
          </w:tcPr>
          <w:p w14:paraId="64253DCB" w14:textId="77777777" w:rsidR="00C21FCA" w:rsidRPr="003A235D" w:rsidRDefault="00C21FCA" w:rsidP="00AE14F4">
            <w:pPr>
              <w:pStyle w:val="TableText"/>
              <w:jc w:val="center"/>
            </w:pPr>
            <w:r w:rsidRPr="003A235D">
              <w:t>Not explicitly included in the prevalence approach</w:t>
            </w:r>
          </w:p>
        </w:tc>
      </w:tr>
    </w:tbl>
    <w:p w14:paraId="09B552C7" w14:textId="0E37E63E" w:rsidR="00C21FCA" w:rsidRPr="003A235D" w:rsidRDefault="00C21FCA" w:rsidP="00C21FCA">
      <w:pPr>
        <w:pStyle w:val="TableFigureFooter"/>
        <w:rPr>
          <w:iCs/>
        </w:rPr>
      </w:pPr>
      <w:r w:rsidRPr="003A235D">
        <w:rPr>
          <w:iCs/>
        </w:rPr>
        <w:t xml:space="preserve">Source: Sections 2.3 and 2.4 of the submission; </w:t>
      </w:r>
      <w:r w:rsidRPr="003A235D">
        <w:t>‘Att_8_Jardiance (empagliflozin) – HF with L</w:t>
      </w:r>
      <w:r w:rsidR="0041243E" w:rsidRPr="003A235D">
        <w:t>V</w:t>
      </w:r>
      <w:r w:rsidRPr="003A235D">
        <w:t>E</w:t>
      </w:r>
      <w:r w:rsidR="0041243E" w:rsidRPr="003A235D">
        <w:t>F</w:t>
      </w:r>
      <w:r w:rsidRPr="003A235D">
        <w:t xml:space="preserve"> more than 40 - CEA’ and ‘Att_11_Jardiance (empagliflozin) – HF with LVEF more than 40 - UCM’ spreadsheets provided with the submission</w:t>
      </w:r>
    </w:p>
    <w:p w14:paraId="0C3557A4" w14:textId="340F52E0" w:rsidR="00C21FCA" w:rsidRPr="003A235D" w:rsidRDefault="00C21FCA" w:rsidP="00C21FCA">
      <w:pPr>
        <w:pStyle w:val="TableFigureFooter"/>
      </w:pPr>
      <w:r w:rsidRPr="003A235D">
        <w:rPr>
          <w:vertAlign w:val="superscript"/>
        </w:rPr>
        <w:lastRenderedPageBreak/>
        <w:t xml:space="preserve">a </w:t>
      </w:r>
      <w:r w:rsidRPr="003A235D">
        <w:t>The DPMQ for empagliflozin has been updated to account for July 202</w:t>
      </w:r>
      <w:r w:rsidR="00D45F6B" w:rsidRPr="003A235D">
        <w:t>2</w:t>
      </w:r>
      <w:r w:rsidRPr="003A235D">
        <w:t xml:space="preserve"> changes in PBS fees and mark-ups</w:t>
      </w:r>
    </w:p>
    <w:p w14:paraId="756FDCA8" w14:textId="77777777" w:rsidR="00C21FCA" w:rsidRPr="003A235D" w:rsidRDefault="00C21FCA" w:rsidP="00C21FCA">
      <w:pPr>
        <w:pStyle w:val="TableFigureFooter"/>
      </w:pPr>
      <w:r w:rsidRPr="003A235D">
        <w:rPr>
          <w:vertAlign w:val="superscript"/>
        </w:rPr>
        <w:t xml:space="preserve">b </w:t>
      </w:r>
      <w:r w:rsidRPr="003A235D">
        <w:t>Based on a post hoc analysis presented in Attachment 4 of the submission. Overall adherence with study medication in both placebo and empagliflozin arms</w:t>
      </w:r>
    </w:p>
    <w:p w14:paraId="5F710E11" w14:textId="77777777" w:rsidR="00C21FCA" w:rsidRPr="003A235D" w:rsidRDefault="00C21FCA" w:rsidP="00C21FCA">
      <w:pPr>
        <w:pStyle w:val="TableFigureFooter"/>
      </w:pPr>
      <w:r w:rsidRPr="003A235D">
        <w:rPr>
          <w:vertAlign w:val="superscript"/>
        </w:rPr>
        <w:t>c</w:t>
      </w:r>
      <w:r w:rsidRPr="003A235D">
        <w:t xml:space="preserve"> Estimates based on the proportion of surviving patients on treatment</w:t>
      </w:r>
    </w:p>
    <w:p w14:paraId="268768EF" w14:textId="64211F2C" w:rsidR="00B60939" w:rsidRPr="003A235D" w:rsidRDefault="00B60939" w:rsidP="002B05A1">
      <w:pPr>
        <w:pStyle w:val="COMH2-non-numbered"/>
      </w:pPr>
      <w:bookmarkStart w:id="71" w:name="_Toc114047893"/>
      <w:r w:rsidRPr="003A235D">
        <w:t>Estimated PBS usage &amp; financial implications</w:t>
      </w:r>
      <w:bookmarkEnd w:id="51"/>
      <w:bookmarkEnd w:id="71"/>
    </w:p>
    <w:p w14:paraId="353E4427" w14:textId="453E6A70" w:rsidR="00111349" w:rsidRPr="003A235D" w:rsidRDefault="00C25D9C" w:rsidP="006D6A13">
      <w:pPr>
        <w:pStyle w:val="ExecSumBodyText"/>
        <w:numPr>
          <w:ilvl w:val="1"/>
          <w:numId w:val="1"/>
        </w:numPr>
      </w:pPr>
      <w:r w:rsidRPr="003A235D">
        <w:t xml:space="preserve">This submission </w:t>
      </w:r>
      <w:r w:rsidR="002D3AC5" w:rsidRPr="003A235D">
        <w:t>was</w:t>
      </w:r>
      <w:r w:rsidRPr="003A235D">
        <w:t xml:space="preserve"> not considered by DUSC.</w:t>
      </w:r>
      <w:r w:rsidR="00BC591F" w:rsidRPr="003A235D">
        <w:t xml:space="preserve"> </w:t>
      </w:r>
      <w:bookmarkStart w:id="72" w:name="_Ref104805262"/>
      <w:r w:rsidR="00111349" w:rsidRPr="003A235D">
        <w:t xml:space="preserve">The submission used an epidemiological approach to estimate the utilisation and financial impact of listing empagliflozin on the PBS/RPBS for the treatment of heart failure with </w:t>
      </w:r>
      <w:r w:rsidR="00714C87" w:rsidRPr="003A235D">
        <w:t>mildly reduced</w:t>
      </w:r>
      <w:r w:rsidR="00111349" w:rsidRPr="003A235D">
        <w:t xml:space="preserve"> or preserved ejection fraction.</w:t>
      </w:r>
    </w:p>
    <w:p w14:paraId="55703573" w14:textId="62B43A8C" w:rsidR="00111349" w:rsidRPr="003A235D" w:rsidRDefault="00111349" w:rsidP="006D6A13">
      <w:pPr>
        <w:pStyle w:val="ExecSumBodyText"/>
        <w:numPr>
          <w:ilvl w:val="1"/>
          <w:numId w:val="1"/>
        </w:numPr>
      </w:pPr>
      <w:r w:rsidRPr="003A235D">
        <w:t xml:space="preserve">Key inputs for the financial estimates are summarised in </w:t>
      </w:r>
      <w:r w:rsidR="00B851B9" w:rsidRPr="003A235D">
        <w:fldChar w:fldCharType="begin" w:fldLock="1"/>
      </w:r>
      <w:r w:rsidR="00B851B9" w:rsidRPr="003A235D">
        <w:instrText xml:space="preserve"> REF _Ref111206605 \h </w:instrText>
      </w:r>
      <w:r w:rsidR="006D6A13" w:rsidRPr="003A235D">
        <w:instrText xml:space="preserve"> \* MERGEFORMAT </w:instrText>
      </w:r>
      <w:r w:rsidR="00B851B9" w:rsidRPr="003A235D">
        <w:fldChar w:fldCharType="separate"/>
      </w:r>
      <w:r w:rsidR="004646F5" w:rsidRPr="003A235D">
        <w:t>Table 14</w:t>
      </w:r>
      <w:r w:rsidR="00B851B9" w:rsidRPr="003A235D">
        <w:fldChar w:fldCharType="end"/>
      </w:r>
      <w:r w:rsidRPr="003A235D">
        <w:t>.</w:t>
      </w:r>
    </w:p>
    <w:p w14:paraId="7FB530F4" w14:textId="2B35B2DE" w:rsidR="00661287" w:rsidRPr="003A235D" w:rsidRDefault="00661287" w:rsidP="00661287">
      <w:pPr>
        <w:pStyle w:val="COMTableheadingrow"/>
        <w:rPr>
          <w:lang w:val="en-AU"/>
        </w:rPr>
      </w:pPr>
      <w:bookmarkStart w:id="73" w:name="_Ref111206605"/>
      <w:bookmarkEnd w:id="72"/>
      <w:r w:rsidRPr="003A235D">
        <w:rPr>
          <w:lang w:val="en-AU"/>
        </w:rPr>
        <w:t xml:space="preserve">Table </w:t>
      </w:r>
      <w:r w:rsidRPr="003A235D">
        <w:rPr>
          <w:lang w:val="en-AU"/>
        </w:rPr>
        <w:fldChar w:fldCharType="begin" w:fldLock="1"/>
      </w:r>
      <w:r w:rsidRPr="003A235D">
        <w:rPr>
          <w:lang w:val="en-AU"/>
        </w:rPr>
        <w:instrText xml:space="preserve"> SEQ Table \* ARABIC </w:instrText>
      </w:r>
      <w:r w:rsidRPr="003A235D">
        <w:rPr>
          <w:lang w:val="en-AU"/>
        </w:rPr>
        <w:fldChar w:fldCharType="separate"/>
      </w:r>
      <w:r w:rsidR="004646F5" w:rsidRPr="003A235D">
        <w:rPr>
          <w:lang w:val="en-AU"/>
        </w:rPr>
        <w:t>14</w:t>
      </w:r>
      <w:r w:rsidRPr="003A235D">
        <w:rPr>
          <w:lang w:val="en-AU"/>
        </w:rPr>
        <w:fldChar w:fldCharType="end"/>
      </w:r>
      <w:bookmarkEnd w:id="73"/>
      <w:r w:rsidRPr="003A235D">
        <w:rPr>
          <w:lang w:val="en-AU"/>
        </w:rPr>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4: Key inputs for financial estimates"/>
      </w:tblPr>
      <w:tblGrid>
        <w:gridCol w:w="1271"/>
        <w:gridCol w:w="3261"/>
        <w:gridCol w:w="4485"/>
      </w:tblGrid>
      <w:tr w:rsidR="00AE1690" w:rsidRPr="003A235D" w14:paraId="551A175F" w14:textId="77777777" w:rsidTr="00AE14F4">
        <w:trPr>
          <w:tblHeader/>
        </w:trPr>
        <w:tc>
          <w:tcPr>
            <w:tcW w:w="705" w:type="pct"/>
            <w:shd w:val="clear" w:color="auto" w:fill="auto"/>
            <w:vAlign w:val="center"/>
          </w:tcPr>
          <w:p w14:paraId="3FC30BD8" w14:textId="77777777" w:rsidR="00AE1690" w:rsidRPr="003A235D" w:rsidRDefault="00AE1690" w:rsidP="00AE14F4">
            <w:pPr>
              <w:pStyle w:val="COMTableheadingrow"/>
              <w:keepNext w:val="0"/>
              <w:rPr>
                <w:lang w:val="en-AU"/>
              </w:rPr>
            </w:pPr>
            <w:r w:rsidRPr="003A235D">
              <w:rPr>
                <w:lang w:val="en-AU"/>
              </w:rPr>
              <w:t>Parameter</w:t>
            </w:r>
          </w:p>
        </w:tc>
        <w:tc>
          <w:tcPr>
            <w:tcW w:w="1808" w:type="pct"/>
            <w:shd w:val="clear" w:color="auto" w:fill="auto"/>
            <w:vAlign w:val="center"/>
          </w:tcPr>
          <w:p w14:paraId="38AA385C" w14:textId="77777777" w:rsidR="00AE1690" w:rsidRPr="003A235D" w:rsidRDefault="00AE1690" w:rsidP="00AE14F4">
            <w:pPr>
              <w:pStyle w:val="COMTableheadingrow"/>
              <w:keepNext w:val="0"/>
              <w:rPr>
                <w:lang w:val="en-AU"/>
              </w:rPr>
            </w:pPr>
            <w:r w:rsidRPr="003A235D">
              <w:rPr>
                <w:lang w:val="en-AU"/>
              </w:rPr>
              <w:t>Value applied and source</w:t>
            </w:r>
          </w:p>
        </w:tc>
        <w:tc>
          <w:tcPr>
            <w:tcW w:w="2487" w:type="pct"/>
            <w:shd w:val="clear" w:color="auto" w:fill="auto"/>
            <w:vAlign w:val="center"/>
          </w:tcPr>
          <w:p w14:paraId="7540E18F" w14:textId="77777777" w:rsidR="00AE1690" w:rsidRPr="003A235D" w:rsidRDefault="00AE1690" w:rsidP="00AE14F4">
            <w:pPr>
              <w:pStyle w:val="COMTableheadingrow"/>
              <w:keepNext w:val="0"/>
              <w:rPr>
                <w:lang w:val="en-AU"/>
              </w:rPr>
            </w:pPr>
            <w:r w:rsidRPr="003A235D">
              <w:rPr>
                <w:lang w:val="en-AU"/>
              </w:rPr>
              <w:t>Comment</w:t>
            </w:r>
          </w:p>
        </w:tc>
      </w:tr>
      <w:tr w:rsidR="00AE1690" w:rsidRPr="003A235D" w14:paraId="6FDC7153" w14:textId="77777777" w:rsidTr="00AE14F4">
        <w:tc>
          <w:tcPr>
            <w:tcW w:w="705" w:type="pct"/>
            <w:shd w:val="clear" w:color="auto" w:fill="auto"/>
            <w:vAlign w:val="center"/>
          </w:tcPr>
          <w:p w14:paraId="64FF6B0E" w14:textId="77777777" w:rsidR="00AE1690" w:rsidRPr="003A235D" w:rsidRDefault="00AE1690" w:rsidP="00AE14F4">
            <w:pPr>
              <w:pStyle w:val="COMTabletext"/>
              <w:keepNext w:val="0"/>
            </w:pPr>
            <w:r w:rsidRPr="003A235D">
              <w:t>HF prevalence</w:t>
            </w:r>
          </w:p>
        </w:tc>
        <w:tc>
          <w:tcPr>
            <w:tcW w:w="1808" w:type="pct"/>
            <w:shd w:val="clear" w:color="auto" w:fill="auto"/>
            <w:vAlign w:val="center"/>
          </w:tcPr>
          <w:p w14:paraId="35BAE63B" w14:textId="77777777" w:rsidR="00AE1690" w:rsidRPr="003A235D" w:rsidRDefault="00AE1690" w:rsidP="00AE14F4">
            <w:pPr>
              <w:pStyle w:val="COMTabletext"/>
              <w:keepNext w:val="0"/>
            </w:pPr>
            <w:r w:rsidRPr="003A235D">
              <w:t>2,199 per 100,000 adults. Based on the age-adjusted prevalence of definite or probable heart failure from a retrospective review of medical records from Australian general practices (SHAPE study). Previously used in the dapagliflozin and empagliflozin HFrEF submissions.</w:t>
            </w:r>
          </w:p>
        </w:tc>
        <w:tc>
          <w:tcPr>
            <w:tcW w:w="2487" w:type="pct"/>
            <w:shd w:val="clear" w:color="auto" w:fill="auto"/>
            <w:vAlign w:val="center"/>
          </w:tcPr>
          <w:p w14:paraId="5E1F3FB8" w14:textId="77777777" w:rsidR="00AE1690" w:rsidRPr="003A235D" w:rsidRDefault="00AE1690" w:rsidP="00AE14F4">
            <w:pPr>
              <w:pStyle w:val="COMTabletext"/>
              <w:keepNext w:val="0"/>
            </w:pPr>
            <w:r w:rsidRPr="003A235D">
              <w:t>The publication noted that the prevalence of heart failure may have been underestimated given the difficulty in identifying HFpEF patients as this condition is not as well recognised and does not have any disease-specific therapies.</w:t>
            </w:r>
          </w:p>
        </w:tc>
      </w:tr>
      <w:tr w:rsidR="00AE1690" w:rsidRPr="003A235D" w14:paraId="5B03CC02" w14:textId="77777777" w:rsidTr="00AE14F4">
        <w:tc>
          <w:tcPr>
            <w:tcW w:w="705" w:type="pct"/>
            <w:shd w:val="clear" w:color="auto" w:fill="auto"/>
            <w:vAlign w:val="center"/>
          </w:tcPr>
          <w:p w14:paraId="76F4642D" w14:textId="77777777" w:rsidR="00AE1690" w:rsidRPr="003A235D" w:rsidRDefault="00AE1690" w:rsidP="00AE14F4">
            <w:pPr>
              <w:pStyle w:val="COMTabletext"/>
              <w:keepNext w:val="0"/>
            </w:pPr>
            <w:r w:rsidRPr="003A235D">
              <w:t>Proportion with LVEF &gt; 40%</w:t>
            </w:r>
          </w:p>
        </w:tc>
        <w:tc>
          <w:tcPr>
            <w:tcW w:w="1808" w:type="pct"/>
            <w:shd w:val="clear" w:color="auto" w:fill="auto"/>
            <w:vAlign w:val="center"/>
          </w:tcPr>
          <w:p w14:paraId="18B40943" w14:textId="77777777" w:rsidR="00AE1690" w:rsidRPr="003A235D" w:rsidRDefault="00AE1690" w:rsidP="00AE14F4">
            <w:pPr>
              <w:pStyle w:val="COMTabletext"/>
              <w:keepNext w:val="0"/>
            </w:pPr>
            <w:r w:rsidRPr="003A235D">
              <w:t>43%. Complement of the assumption previously used to estimate the proportion of patients with LVEF &lt; 40 in the dapagliflozin and empagliflozin HFrEF submissions.</w:t>
            </w:r>
          </w:p>
        </w:tc>
        <w:tc>
          <w:tcPr>
            <w:tcW w:w="2487" w:type="pct"/>
            <w:shd w:val="clear" w:color="auto" w:fill="auto"/>
            <w:vAlign w:val="center"/>
          </w:tcPr>
          <w:p w14:paraId="4DD40D01" w14:textId="4F63B61E" w:rsidR="00AE1690" w:rsidRPr="003A235D" w:rsidRDefault="00AE1690" w:rsidP="00AE14F4">
            <w:pPr>
              <w:pStyle w:val="COMTabletext"/>
              <w:keepNext w:val="0"/>
              <w:rPr>
                <w:i/>
                <w:iCs/>
              </w:rPr>
            </w:pPr>
            <w:r w:rsidRPr="003A235D">
              <w:t>The assumption used in the submission is inconsistent with available Australian epidemiology data (estimates ranging between 52%-59%) and may underestimate the proportion of patients with HFmrEF and HFpEF.</w:t>
            </w:r>
            <w:r w:rsidR="009D1319" w:rsidRPr="003A235D">
              <w:t xml:space="preserve"> </w:t>
            </w:r>
            <w:r w:rsidR="009D1319" w:rsidRPr="003A235D">
              <w:rPr>
                <w:iCs/>
              </w:rPr>
              <w:t>In the PSCR the sponsor stated a willingness to accept a higher proportion that is reflective of the Australian studies, should PBAC consider it appropriate.</w:t>
            </w:r>
            <w:r w:rsidR="00CA2209" w:rsidRPr="003A235D">
              <w:rPr>
                <w:iCs/>
              </w:rPr>
              <w:t xml:space="preserve"> The pre-PBAC response proposed 55%.</w:t>
            </w:r>
          </w:p>
        </w:tc>
      </w:tr>
      <w:tr w:rsidR="00AE1690" w:rsidRPr="003A235D" w14:paraId="0E1597C6" w14:textId="77777777" w:rsidTr="00AE14F4">
        <w:tc>
          <w:tcPr>
            <w:tcW w:w="705" w:type="pct"/>
            <w:shd w:val="clear" w:color="auto" w:fill="auto"/>
            <w:vAlign w:val="center"/>
          </w:tcPr>
          <w:p w14:paraId="3BB6511A" w14:textId="77777777" w:rsidR="00AE1690" w:rsidRPr="003A235D" w:rsidRDefault="00AE1690" w:rsidP="00AE14F4">
            <w:pPr>
              <w:pStyle w:val="COMTabletext"/>
              <w:keepNext w:val="0"/>
            </w:pPr>
            <w:r w:rsidRPr="003A235D">
              <w:t>Proportion with NYHA II-IV</w:t>
            </w:r>
          </w:p>
        </w:tc>
        <w:tc>
          <w:tcPr>
            <w:tcW w:w="1808" w:type="pct"/>
            <w:shd w:val="clear" w:color="auto" w:fill="auto"/>
            <w:vAlign w:val="center"/>
          </w:tcPr>
          <w:p w14:paraId="5C522D42" w14:textId="77777777" w:rsidR="00AE1690" w:rsidRPr="003A235D" w:rsidRDefault="00AE1690" w:rsidP="00AE14F4">
            <w:pPr>
              <w:pStyle w:val="COMTabletext"/>
              <w:keepNext w:val="0"/>
            </w:pPr>
            <w:r w:rsidRPr="003A235D">
              <w:t>95%. Assumption used in the sacubitril with valsartan, dapagliflozin and empagliflozin HFrEF submissions.</w:t>
            </w:r>
          </w:p>
        </w:tc>
        <w:tc>
          <w:tcPr>
            <w:tcW w:w="2487" w:type="pct"/>
            <w:shd w:val="clear" w:color="auto" w:fill="auto"/>
            <w:vAlign w:val="center"/>
          </w:tcPr>
          <w:p w14:paraId="579F1C82" w14:textId="3F4E7D68" w:rsidR="00AE1690" w:rsidRPr="003A235D" w:rsidRDefault="00AE1690" w:rsidP="00AE14F4">
            <w:pPr>
              <w:pStyle w:val="COMTabletext"/>
              <w:keepNext w:val="0"/>
            </w:pPr>
            <w:r w:rsidRPr="003A235D">
              <w:t>The assumption was previously implemented in order to address DUSC concerns that the proportion of patients with NY</w:t>
            </w:r>
            <w:r w:rsidR="00B82732" w:rsidRPr="003A235D">
              <w:t>H</w:t>
            </w:r>
            <w:r w:rsidRPr="003A235D">
              <w:t>A I reported in the published literature for the broader heart failure population may be lower in patients with HFrEF (para 6.14; sacubitril with valsartan PSD July 2016 PBAC meeting). As a consequence,</w:t>
            </w:r>
            <w:r w:rsidR="00C72D91" w:rsidRPr="003A235D">
              <w:t xml:space="preserve"> the assumption that only 5% of patients have NY</w:t>
            </w:r>
            <w:r w:rsidR="00B82732" w:rsidRPr="003A235D">
              <w:t>H</w:t>
            </w:r>
            <w:r w:rsidR="00C72D91" w:rsidRPr="003A235D">
              <w:t xml:space="preserve">A I </w:t>
            </w:r>
            <w:r w:rsidRPr="003A235D">
              <w:t>is unlikely to be appropriate for HFmrEF and HFpEF populations.</w:t>
            </w:r>
            <w:r w:rsidR="00CA2209" w:rsidRPr="003A235D">
              <w:t xml:space="preserve"> </w:t>
            </w:r>
          </w:p>
        </w:tc>
      </w:tr>
      <w:tr w:rsidR="00AE1690" w:rsidRPr="003A235D" w14:paraId="05EA5A24" w14:textId="77777777" w:rsidTr="00AE14F4">
        <w:tc>
          <w:tcPr>
            <w:tcW w:w="705" w:type="pct"/>
            <w:shd w:val="clear" w:color="auto" w:fill="auto"/>
            <w:vAlign w:val="center"/>
          </w:tcPr>
          <w:p w14:paraId="6D6C33A9" w14:textId="77777777" w:rsidR="00AE1690" w:rsidRPr="003A235D" w:rsidRDefault="00AE1690" w:rsidP="00AE14F4">
            <w:pPr>
              <w:pStyle w:val="COMTabletext"/>
              <w:keepNext w:val="0"/>
            </w:pPr>
            <w:r w:rsidRPr="003A235D">
              <w:t>Proportion not using SGLT2 inhibitors for other indications</w:t>
            </w:r>
          </w:p>
        </w:tc>
        <w:tc>
          <w:tcPr>
            <w:tcW w:w="1808" w:type="pct"/>
            <w:shd w:val="clear" w:color="auto" w:fill="auto"/>
            <w:vAlign w:val="center"/>
          </w:tcPr>
          <w:p w14:paraId="6B06C517" w14:textId="77777777" w:rsidR="00AE1690" w:rsidRPr="003A235D" w:rsidRDefault="00AE1690" w:rsidP="00AE14F4">
            <w:pPr>
              <w:pStyle w:val="COMTabletext"/>
              <w:keepNext w:val="0"/>
            </w:pPr>
            <w:r w:rsidRPr="003A235D">
              <w:t>90.22%. Based on a sponsor-commissioned analysis of the 10% PBS sample assessing the proportion of patients being co-administered heart failure drugs and SGLT2 inhibitors between 2014-2020, with results extrapolated to 2021.</w:t>
            </w:r>
          </w:p>
        </w:tc>
        <w:tc>
          <w:tcPr>
            <w:tcW w:w="2487" w:type="pct"/>
            <w:shd w:val="clear" w:color="auto" w:fill="auto"/>
            <w:vAlign w:val="center"/>
          </w:tcPr>
          <w:p w14:paraId="23C83708" w14:textId="77777777" w:rsidR="004C0914" w:rsidRPr="003A235D" w:rsidRDefault="004C0914" w:rsidP="004C0914">
            <w:pPr>
              <w:pStyle w:val="COMTabletext"/>
              <w:keepNext w:val="0"/>
            </w:pPr>
            <w:r w:rsidRPr="003A235D">
              <w:t xml:space="preserve">It is unclear whether the subset of patients identified as using heart failure drugs in the analysis is representative of the broader heart failure population or the target population with HFmrEF and HFpEF. </w:t>
            </w:r>
          </w:p>
          <w:p w14:paraId="52F3EAAC" w14:textId="77777777" w:rsidR="004C0914" w:rsidRPr="003A235D" w:rsidRDefault="004C0914" w:rsidP="004C0914">
            <w:pPr>
              <w:pStyle w:val="COMTabletext"/>
              <w:keepNext w:val="0"/>
            </w:pPr>
          </w:p>
          <w:p w14:paraId="727EAE3C" w14:textId="77777777" w:rsidR="004C0914" w:rsidRPr="003A235D" w:rsidRDefault="004C0914" w:rsidP="004C0914">
            <w:pPr>
              <w:pStyle w:val="COMTabletext"/>
              <w:keepNext w:val="0"/>
            </w:pPr>
            <w:r w:rsidRPr="003A235D">
              <w:t>There was inadequate information on the time periods used to define co-administration and treatment persistence. Additionally, no sensitivity analyses were presented to assess the robustness of rules and definitions used in the dataset.</w:t>
            </w:r>
          </w:p>
          <w:p w14:paraId="00EF2744" w14:textId="77777777" w:rsidR="004C0914" w:rsidRPr="003A235D" w:rsidRDefault="004C0914" w:rsidP="004C0914">
            <w:pPr>
              <w:pStyle w:val="COMTabletext"/>
              <w:keepNext w:val="0"/>
            </w:pPr>
          </w:p>
          <w:p w14:paraId="71C20BBB" w14:textId="0C459959" w:rsidR="004C0914" w:rsidRPr="003A235D" w:rsidRDefault="004C0914" w:rsidP="004C0914">
            <w:pPr>
              <w:pStyle w:val="COMTabletext"/>
              <w:keepNext w:val="0"/>
            </w:pPr>
            <w:r w:rsidRPr="003A235D">
              <w:t xml:space="preserve">It was unclear why the proportion of patients using SGLT2 inhibitors was assumed to remain fixed at 2021 levels. Based on the presented analysis, the coadministration of </w:t>
            </w:r>
            <w:r w:rsidRPr="003A235D">
              <w:lastRenderedPageBreak/>
              <w:t>heart failure drugs and SGLT2 inhibitors has been steadily growing over time and may further increase in the future with recent changes in diabetes guidelines and the PBAC recommendation of dapagliflozin for chronic kidney disease (</w:t>
            </w:r>
            <w:r w:rsidR="00FB04C0" w:rsidRPr="003A235D">
              <w:t>March 2022</w:t>
            </w:r>
            <w:r w:rsidRPr="003A235D">
              <w:t xml:space="preserve">). </w:t>
            </w:r>
          </w:p>
          <w:p w14:paraId="3C48EF55" w14:textId="77777777" w:rsidR="004C0914" w:rsidRPr="003A235D" w:rsidRDefault="004C0914" w:rsidP="004C0914">
            <w:pPr>
              <w:pStyle w:val="COMTabletext"/>
              <w:keepNext w:val="0"/>
            </w:pPr>
          </w:p>
          <w:p w14:paraId="6E28FC77" w14:textId="77777777" w:rsidR="00CA2209" w:rsidRPr="003A235D" w:rsidRDefault="004C0914" w:rsidP="004C0914">
            <w:pPr>
              <w:pStyle w:val="COMTabletext"/>
              <w:keepNext w:val="0"/>
            </w:pPr>
            <w:r w:rsidRPr="003A235D">
              <w:t>The reported proportion of patients using SGLT2 inhibitors (9.78%) was lower than previous estimates for the broader heart failure population in the empagliflozin (10.6-13.5% with further additional inflation factors) and dapagliflozin (20%) submissions.</w:t>
            </w:r>
            <w:r w:rsidR="0073630E" w:rsidRPr="003A235D">
              <w:t xml:space="preserve">  The PBAC considered that the use of SGLT2 inhibitors is rapidly increasing in other indications.</w:t>
            </w:r>
            <w:r w:rsidR="00CA2209" w:rsidRPr="003A235D">
              <w:t xml:space="preserve"> </w:t>
            </w:r>
          </w:p>
          <w:p w14:paraId="4AE6EB24" w14:textId="77777777" w:rsidR="00CA2209" w:rsidRPr="003A235D" w:rsidRDefault="00CA2209" w:rsidP="004C0914">
            <w:pPr>
              <w:pStyle w:val="COMTabletext"/>
              <w:keepNext w:val="0"/>
            </w:pPr>
          </w:p>
          <w:p w14:paraId="11766416" w14:textId="356A5260" w:rsidR="00AE1690" w:rsidRPr="003A235D" w:rsidRDefault="00CA2209" w:rsidP="004C0914">
            <w:pPr>
              <w:pStyle w:val="COMTabletext"/>
              <w:keepNext w:val="0"/>
              <w:rPr>
                <w:i/>
              </w:rPr>
            </w:pPr>
            <w:r w:rsidRPr="003A235D">
              <w:t>The pre-PBAC response reduced this to 80%.</w:t>
            </w:r>
          </w:p>
        </w:tc>
      </w:tr>
      <w:tr w:rsidR="00AE1690" w:rsidRPr="003A235D" w14:paraId="75229B94" w14:textId="77777777" w:rsidTr="00AE14F4">
        <w:tc>
          <w:tcPr>
            <w:tcW w:w="705" w:type="pct"/>
            <w:shd w:val="clear" w:color="auto" w:fill="auto"/>
            <w:vAlign w:val="center"/>
          </w:tcPr>
          <w:p w14:paraId="0A90C8C2" w14:textId="77777777" w:rsidR="00AE1690" w:rsidRPr="003A235D" w:rsidRDefault="00AE1690" w:rsidP="00AE14F4">
            <w:pPr>
              <w:pStyle w:val="COMTabletext"/>
              <w:keepNext w:val="0"/>
            </w:pPr>
            <w:r w:rsidRPr="003A235D">
              <w:lastRenderedPageBreak/>
              <w:t>Empagliflozin uptake rate</w:t>
            </w:r>
          </w:p>
        </w:tc>
        <w:tc>
          <w:tcPr>
            <w:tcW w:w="1808" w:type="pct"/>
            <w:shd w:val="clear" w:color="auto" w:fill="auto"/>
            <w:vAlign w:val="center"/>
          </w:tcPr>
          <w:p w14:paraId="6F727E5C" w14:textId="77777777" w:rsidR="00AE1690" w:rsidRPr="003A235D" w:rsidRDefault="00AE1690" w:rsidP="00AE14F4">
            <w:pPr>
              <w:pStyle w:val="COMTabletext"/>
              <w:keepNext w:val="0"/>
            </w:pPr>
            <w:r w:rsidRPr="003A235D">
              <w:t>10-95%. Assumption based on high clinical need and the lack of approved therapies for patients with HFmrEF and HFpEF.</w:t>
            </w:r>
          </w:p>
        </w:tc>
        <w:tc>
          <w:tcPr>
            <w:tcW w:w="2487" w:type="pct"/>
            <w:shd w:val="clear" w:color="auto" w:fill="auto"/>
            <w:vAlign w:val="center"/>
          </w:tcPr>
          <w:p w14:paraId="16667EFE" w14:textId="0E4AA694" w:rsidR="00AE1690" w:rsidRPr="003A235D" w:rsidRDefault="00AE1690" w:rsidP="00AE14F4">
            <w:pPr>
              <w:pStyle w:val="COMTabletext"/>
              <w:keepNext w:val="0"/>
            </w:pPr>
            <w:r w:rsidRPr="003A235D">
              <w:t>While it may be reasonable to assume high uptake in the target population, the estimates used in the submission appeared implausibly high. These treatment rates are substantially higher than observed for any other treatment in the broader heart failure population (Sindone 2021). Additionally, patients with HFmrEF and HFpEF are typically older with multiple comorbidities and the addition of another therapy would likely be considered on a case-by-case basis given their current treatment burden and fragility.</w:t>
            </w:r>
            <w:r w:rsidR="009D1319" w:rsidRPr="003A235D">
              <w:t xml:space="preserve"> </w:t>
            </w:r>
            <w:r w:rsidR="009D1319" w:rsidRPr="003A235D">
              <w:rPr>
                <w:iCs/>
              </w:rPr>
              <w:t xml:space="preserve">The ESC considered uptake in the early years may be </w:t>
            </w:r>
            <w:r w:rsidR="00147B2E" w:rsidRPr="003A235D">
              <w:rPr>
                <w:iCs/>
              </w:rPr>
              <w:t>higher than forecast</w:t>
            </w:r>
            <w:r w:rsidR="009D1319" w:rsidRPr="003A235D">
              <w:rPr>
                <w:iCs/>
              </w:rPr>
              <w:t xml:space="preserve">, however agreed with the evaluation that it was implausibly high in </w:t>
            </w:r>
            <w:r w:rsidR="00147B2E" w:rsidRPr="003A235D">
              <w:rPr>
                <w:iCs/>
              </w:rPr>
              <w:t>Year 4 onwards</w:t>
            </w:r>
            <w:r w:rsidR="009D1319" w:rsidRPr="003A235D">
              <w:rPr>
                <w:iCs/>
              </w:rPr>
              <w:t>.</w:t>
            </w:r>
            <w:r w:rsidR="00CA2209" w:rsidRPr="003A235D">
              <w:rPr>
                <w:iCs/>
              </w:rPr>
              <w:t xml:space="preserve"> The pre-PBAC response proposed different uptake rates between 20-80%.</w:t>
            </w:r>
          </w:p>
        </w:tc>
      </w:tr>
      <w:tr w:rsidR="00AE1690" w:rsidRPr="003A235D" w14:paraId="687B3E44" w14:textId="77777777" w:rsidTr="00AE14F4">
        <w:tc>
          <w:tcPr>
            <w:tcW w:w="705" w:type="pct"/>
            <w:shd w:val="clear" w:color="auto" w:fill="auto"/>
            <w:vAlign w:val="center"/>
          </w:tcPr>
          <w:p w14:paraId="4BB77DA4" w14:textId="2A787A9E" w:rsidR="00AE1690" w:rsidRPr="003A235D" w:rsidRDefault="00AE1690" w:rsidP="00AE14F4">
            <w:pPr>
              <w:pStyle w:val="COMTabletext"/>
              <w:keepNext w:val="0"/>
            </w:pPr>
            <w:r w:rsidRPr="003A235D">
              <w:t xml:space="preserve">Empagliflozin </w:t>
            </w:r>
            <w:r w:rsidR="00F935BC" w:rsidRPr="003A235D">
              <w:t>10 mg</w:t>
            </w:r>
            <w:r w:rsidRPr="003A235D">
              <w:t xml:space="preserve"> scripts</w:t>
            </w:r>
          </w:p>
        </w:tc>
        <w:tc>
          <w:tcPr>
            <w:tcW w:w="1808" w:type="pct"/>
            <w:shd w:val="clear" w:color="auto" w:fill="auto"/>
            <w:vAlign w:val="center"/>
          </w:tcPr>
          <w:p w14:paraId="595BE69A" w14:textId="5CD801CD" w:rsidR="00AE1690" w:rsidRPr="003A235D" w:rsidRDefault="00AE1690" w:rsidP="00AE14F4">
            <w:pPr>
              <w:pStyle w:val="COMTabletext"/>
              <w:keepNext w:val="0"/>
            </w:pPr>
            <w:r w:rsidRPr="003A235D">
              <w:t xml:space="preserve">11.56/patient/year. Calculated based on an estimated treatment </w:t>
            </w:r>
            <w:r w:rsidR="00AC67A2" w:rsidRPr="003A235D">
              <w:t>adherence</w:t>
            </w:r>
            <w:r w:rsidRPr="003A235D">
              <w:t xml:space="preserve"> of 94.96% derived from the EMPEROR-Preserved trial</w:t>
            </w:r>
          </w:p>
        </w:tc>
        <w:tc>
          <w:tcPr>
            <w:tcW w:w="2487" w:type="pct"/>
            <w:shd w:val="clear" w:color="auto" w:fill="auto"/>
            <w:vAlign w:val="center"/>
          </w:tcPr>
          <w:p w14:paraId="35AA7C9C" w14:textId="706EAA78" w:rsidR="00AE1690" w:rsidRPr="003A235D" w:rsidRDefault="00AE1690" w:rsidP="00AE14F4">
            <w:pPr>
              <w:pStyle w:val="COMTabletext"/>
              <w:keepNext w:val="0"/>
            </w:pPr>
            <w:r w:rsidRPr="003A235D">
              <w:t xml:space="preserve">Treatment </w:t>
            </w:r>
            <w:r w:rsidR="00AC67A2" w:rsidRPr="003A235D">
              <w:t>adherence</w:t>
            </w:r>
            <w:r w:rsidRPr="003A235D">
              <w:t xml:space="preserve"> rates from the EMPEROR-Preserved trial, observed in a tightly regulated setting, are likely to overestimate treatment </w:t>
            </w:r>
            <w:r w:rsidR="00AC67A2" w:rsidRPr="003A235D">
              <w:t>adherence</w:t>
            </w:r>
            <w:r w:rsidRPr="003A235D">
              <w:t xml:space="preserve"> in the broader clinical setting</w:t>
            </w:r>
            <w:r w:rsidR="00147B2E" w:rsidRPr="003A235D">
              <w:rPr>
                <w:iCs/>
              </w:rPr>
              <w:t>, especially considering the patient population</w:t>
            </w:r>
            <w:r w:rsidRPr="003A235D">
              <w:t>.</w:t>
            </w:r>
            <w:r w:rsidR="00A11983" w:rsidRPr="003A235D">
              <w:t xml:space="preserve"> </w:t>
            </w:r>
            <w:r w:rsidR="00CA2209" w:rsidRPr="003A235D">
              <w:t>The pre-PBAC response proposed 90%</w:t>
            </w:r>
            <w:r w:rsidR="00A11983" w:rsidRPr="003A235D">
              <w:t xml:space="preserve"> compliance.</w:t>
            </w:r>
          </w:p>
        </w:tc>
      </w:tr>
    </w:tbl>
    <w:p w14:paraId="51983574" w14:textId="77777777" w:rsidR="004E667C" w:rsidRPr="003A235D" w:rsidRDefault="004E667C" w:rsidP="001939CC">
      <w:pPr>
        <w:pStyle w:val="COMTablefooter"/>
      </w:pPr>
      <w:r w:rsidRPr="003A235D">
        <w:t xml:space="preserve">Source: Table 4.1, pp239-240 of the submission </w:t>
      </w:r>
    </w:p>
    <w:p w14:paraId="454794EA" w14:textId="4314FB9D" w:rsidR="007925DF" w:rsidRPr="003A235D" w:rsidRDefault="004E667C" w:rsidP="001939CC">
      <w:pPr>
        <w:pStyle w:val="COMTablefooter"/>
      </w:pPr>
      <w:r w:rsidRPr="003A235D">
        <w:t xml:space="preserve">Abbreviations: HF, heart failure; HFmrEF, heart failure with </w:t>
      </w:r>
      <w:r w:rsidR="00714C87" w:rsidRPr="003A235D">
        <w:t>mildly reduced</w:t>
      </w:r>
      <w:r w:rsidRPr="003A235D">
        <w:t xml:space="preserve"> ejection fraction; HFpEF, heart failure with preserved ejection fraction; HFrEF, heart failure with reduced ejection fraction; LVEF, left ventricular ejection fraction; NYHA, New York Heart Association; PBS, Pharmaceutical Benefits Scheme</w:t>
      </w:r>
      <w:r w:rsidR="00FD3B91" w:rsidRPr="003A235D">
        <w:t xml:space="preserve">; SGLT2, </w:t>
      </w:r>
      <w:r w:rsidR="003F0DE7" w:rsidRPr="003A235D">
        <w:t>sodium-glucose cotransporter-2</w:t>
      </w:r>
    </w:p>
    <w:bookmarkStart w:id="74" w:name="_Ref104805295"/>
    <w:p w14:paraId="729AA0FA" w14:textId="3F4AC27E" w:rsidR="008D5A6D" w:rsidRPr="003A235D" w:rsidRDefault="0066723F" w:rsidP="006D6A13">
      <w:pPr>
        <w:pStyle w:val="ExecSumBodyText"/>
        <w:numPr>
          <w:ilvl w:val="1"/>
          <w:numId w:val="1"/>
        </w:numPr>
      </w:pPr>
      <w:r w:rsidRPr="003A235D">
        <w:fldChar w:fldCharType="begin" w:fldLock="1"/>
      </w:r>
      <w:r w:rsidRPr="003A235D">
        <w:instrText xml:space="preserve"> REF _Ref111206622 \h </w:instrText>
      </w:r>
      <w:r w:rsidR="006D6A13" w:rsidRPr="003A235D">
        <w:instrText xml:space="preserve"> \* MERGEFORMAT </w:instrText>
      </w:r>
      <w:r w:rsidRPr="003A235D">
        <w:fldChar w:fldCharType="separate"/>
      </w:r>
      <w:r w:rsidR="004646F5" w:rsidRPr="003A235D">
        <w:t>Table 15</w:t>
      </w:r>
      <w:r w:rsidRPr="003A235D">
        <w:fldChar w:fldCharType="end"/>
      </w:r>
      <w:r w:rsidRPr="003A235D">
        <w:t xml:space="preserve"> </w:t>
      </w:r>
      <w:r w:rsidR="008D5A6D" w:rsidRPr="003A235D">
        <w:t>presents the estimated use and financial impact of empagliflozin to the PBS/RPBS.</w:t>
      </w:r>
    </w:p>
    <w:p w14:paraId="3D25D06C" w14:textId="77777777" w:rsidR="006D6A13" w:rsidRPr="003A235D" w:rsidRDefault="006D6A13" w:rsidP="006D6A13"/>
    <w:p w14:paraId="38EC053C" w14:textId="3C24ABDA" w:rsidR="00C25D9C" w:rsidRPr="003A235D" w:rsidRDefault="00E16AD8" w:rsidP="00FD4ED6">
      <w:pPr>
        <w:pStyle w:val="COMtablefigcaption"/>
      </w:pPr>
      <w:bookmarkStart w:id="75" w:name="_Ref111206622"/>
      <w:r w:rsidRPr="003A235D">
        <w:lastRenderedPageBreak/>
        <w:t xml:space="preserve">Table </w:t>
      </w:r>
      <w:fldSimple w:instr=" SEQ Table \* ARABIC " w:fldLock="1">
        <w:r w:rsidR="004646F5" w:rsidRPr="003A235D">
          <w:t>15</w:t>
        </w:r>
      </w:fldSimple>
      <w:bookmarkEnd w:id="74"/>
      <w:bookmarkEnd w:id="75"/>
      <w:r w:rsidRPr="003A235D">
        <w:t>:</w:t>
      </w:r>
      <w:r w:rsidR="002A2F50" w:rsidRPr="003A235D">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5: Estimated use and financial implications"/>
      </w:tblPr>
      <w:tblGrid>
        <w:gridCol w:w="2123"/>
        <w:gridCol w:w="1133"/>
        <w:gridCol w:w="1134"/>
        <w:gridCol w:w="1134"/>
        <w:gridCol w:w="1134"/>
        <w:gridCol w:w="1134"/>
        <w:gridCol w:w="1225"/>
      </w:tblGrid>
      <w:tr w:rsidR="00FE14FA" w:rsidRPr="003A235D" w14:paraId="27969071" w14:textId="77777777" w:rsidTr="00FE14FA">
        <w:trPr>
          <w:tblHeader/>
        </w:trPr>
        <w:tc>
          <w:tcPr>
            <w:tcW w:w="1177" w:type="pct"/>
            <w:shd w:val="clear" w:color="auto" w:fill="auto"/>
            <w:vAlign w:val="center"/>
          </w:tcPr>
          <w:p w14:paraId="319DE6B0" w14:textId="77777777" w:rsidR="00810A38" w:rsidRPr="003A235D" w:rsidRDefault="00810A38" w:rsidP="00810A38">
            <w:pPr>
              <w:pStyle w:val="COMTabletext"/>
            </w:pPr>
          </w:p>
        </w:tc>
        <w:tc>
          <w:tcPr>
            <w:tcW w:w="628" w:type="pct"/>
            <w:shd w:val="clear" w:color="auto" w:fill="auto"/>
            <w:vAlign w:val="center"/>
          </w:tcPr>
          <w:p w14:paraId="11A7CEAC" w14:textId="77777777" w:rsidR="00810A38" w:rsidRPr="003A235D" w:rsidRDefault="00810A38" w:rsidP="00AE14F4">
            <w:pPr>
              <w:pStyle w:val="Tableheadingrow"/>
              <w:jc w:val="center"/>
              <w:rPr>
                <w:lang w:val="en-AU"/>
              </w:rPr>
            </w:pPr>
            <w:r w:rsidRPr="003A235D">
              <w:rPr>
                <w:lang w:val="en-AU"/>
              </w:rPr>
              <w:t>Year 1</w:t>
            </w:r>
          </w:p>
          <w:p w14:paraId="6DB06310" w14:textId="77777777" w:rsidR="00810A38" w:rsidRPr="003A235D" w:rsidRDefault="00810A38" w:rsidP="00AE14F4">
            <w:pPr>
              <w:pStyle w:val="Tableheadingrow"/>
              <w:jc w:val="center"/>
              <w:rPr>
                <w:lang w:val="en-AU"/>
              </w:rPr>
            </w:pPr>
            <w:r w:rsidRPr="003A235D">
              <w:rPr>
                <w:lang w:val="en-AU"/>
              </w:rPr>
              <w:t>(2023)</w:t>
            </w:r>
          </w:p>
        </w:tc>
        <w:tc>
          <w:tcPr>
            <w:tcW w:w="629" w:type="pct"/>
            <w:shd w:val="clear" w:color="auto" w:fill="auto"/>
            <w:vAlign w:val="center"/>
          </w:tcPr>
          <w:p w14:paraId="22D56110" w14:textId="77777777" w:rsidR="00810A38" w:rsidRPr="003A235D" w:rsidRDefault="00810A38" w:rsidP="00AE14F4">
            <w:pPr>
              <w:pStyle w:val="Tableheadingrow"/>
              <w:jc w:val="center"/>
              <w:rPr>
                <w:lang w:val="en-AU"/>
              </w:rPr>
            </w:pPr>
            <w:r w:rsidRPr="003A235D">
              <w:rPr>
                <w:lang w:val="en-AU"/>
              </w:rPr>
              <w:t>Year 2</w:t>
            </w:r>
          </w:p>
          <w:p w14:paraId="6EF96D37" w14:textId="77777777" w:rsidR="00810A38" w:rsidRPr="003A235D" w:rsidRDefault="00810A38" w:rsidP="00AE14F4">
            <w:pPr>
              <w:pStyle w:val="Tableheadingrow"/>
              <w:jc w:val="center"/>
              <w:rPr>
                <w:lang w:val="en-AU"/>
              </w:rPr>
            </w:pPr>
            <w:r w:rsidRPr="003A235D">
              <w:rPr>
                <w:lang w:val="en-AU"/>
              </w:rPr>
              <w:t>(2024)</w:t>
            </w:r>
          </w:p>
        </w:tc>
        <w:tc>
          <w:tcPr>
            <w:tcW w:w="629" w:type="pct"/>
            <w:shd w:val="clear" w:color="auto" w:fill="auto"/>
            <w:vAlign w:val="center"/>
          </w:tcPr>
          <w:p w14:paraId="71DFBEFA" w14:textId="77777777" w:rsidR="00810A38" w:rsidRPr="003A235D" w:rsidRDefault="00810A38" w:rsidP="00AE14F4">
            <w:pPr>
              <w:pStyle w:val="Tableheadingrow"/>
              <w:jc w:val="center"/>
              <w:rPr>
                <w:lang w:val="en-AU"/>
              </w:rPr>
            </w:pPr>
            <w:r w:rsidRPr="003A235D">
              <w:rPr>
                <w:lang w:val="en-AU"/>
              </w:rPr>
              <w:t>Year 3</w:t>
            </w:r>
          </w:p>
          <w:p w14:paraId="2FAE8185" w14:textId="77777777" w:rsidR="00810A38" w:rsidRPr="003A235D" w:rsidRDefault="00810A38" w:rsidP="00AE14F4">
            <w:pPr>
              <w:pStyle w:val="Tableheadingrow"/>
              <w:jc w:val="center"/>
              <w:rPr>
                <w:lang w:val="en-AU"/>
              </w:rPr>
            </w:pPr>
            <w:r w:rsidRPr="003A235D">
              <w:rPr>
                <w:lang w:val="en-AU"/>
              </w:rPr>
              <w:t>(2025)</w:t>
            </w:r>
          </w:p>
        </w:tc>
        <w:tc>
          <w:tcPr>
            <w:tcW w:w="629" w:type="pct"/>
            <w:shd w:val="clear" w:color="auto" w:fill="auto"/>
            <w:vAlign w:val="center"/>
          </w:tcPr>
          <w:p w14:paraId="54AB992A" w14:textId="77777777" w:rsidR="00810A38" w:rsidRPr="003A235D" w:rsidRDefault="00810A38" w:rsidP="00AE14F4">
            <w:pPr>
              <w:pStyle w:val="Tableheadingrow"/>
              <w:jc w:val="center"/>
              <w:rPr>
                <w:lang w:val="en-AU"/>
              </w:rPr>
            </w:pPr>
            <w:r w:rsidRPr="003A235D">
              <w:rPr>
                <w:lang w:val="en-AU"/>
              </w:rPr>
              <w:t>Year 4</w:t>
            </w:r>
          </w:p>
          <w:p w14:paraId="561FD5E5" w14:textId="77777777" w:rsidR="00810A38" w:rsidRPr="003A235D" w:rsidRDefault="00810A38" w:rsidP="00AE14F4">
            <w:pPr>
              <w:pStyle w:val="Tableheadingrow"/>
              <w:jc w:val="center"/>
              <w:rPr>
                <w:lang w:val="en-AU"/>
              </w:rPr>
            </w:pPr>
            <w:r w:rsidRPr="003A235D">
              <w:rPr>
                <w:lang w:val="en-AU"/>
              </w:rPr>
              <w:t>(2026)</w:t>
            </w:r>
          </w:p>
        </w:tc>
        <w:tc>
          <w:tcPr>
            <w:tcW w:w="629" w:type="pct"/>
            <w:shd w:val="clear" w:color="auto" w:fill="auto"/>
            <w:vAlign w:val="center"/>
          </w:tcPr>
          <w:p w14:paraId="1E5D92C7" w14:textId="77777777" w:rsidR="00810A38" w:rsidRPr="003A235D" w:rsidRDefault="00810A38" w:rsidP="00AE14F4">
            <w:pPr>
              <w:pStyle w:val="Tableheadingrow"/>
              <w:jc w:val="center"/>
              <w:rPr>
                <w:lang w:val="en-AU"/>
              </w:rPr>
            </w:pPr>
            <w:r w:rsidRPr="003A235D">
              <w:rPr>
                <w:lang w:val="en-AU"/>
              </w:rPr>
              <w:t>Year 5</w:t>
            </w:r>
          </w:p>
          <w:p w14:paraId="06D494F1" w14:textId="77777777" w:rsidR="00810A38" w:rsidRPr="003A235D" w:rsidRDefault="00810A38" w:rsidP="00AE14F4">
            <w:pPr>
              <w:pStyle w:val="Tableheadingrow"/>
              <w:jc w:val="center"/>
              <w:rPr>
                <w:lang w:val="en-AU"/>
              </w:rPr>
            </w:pPr>
            <w:r w:rsidRPr="003A235D">
              <w:rPr>
                <w:lang w:val="en-AU"/>
              </w:rPr>
              <w:t>(2027)</w:t>
            </w:r>
          </w:p>
        </w:tc>
        <w:tc>
          <w:tcPr>
            <w:tcW w:w="679" w:type="pct"/>
            <w:shd w:val="clear" w:color="auto" w:fill="auto"/>
            <w:vAlign w:val="center"/>
          </w:tcPr>
          <w:p w14:paraId="2462A151" w14:textId="77777777" w:rsidR="00810A38" w:rsidRPr="003A235D" w:rsidRDefault="00810A38" w:rsidP="00AE14F4">
            <w:pPr>
              <w:pStyle w:val="Tableheadingrow"/>
              <w:jc w:val="center"/>
              <w:rPr>
                <w:lang w:val="en-AU"/>
              </w:rPr>
            </w:pPr>
            <w:r w:rsidRPr="003A235D">
              <w:rPr>
                <w:lang w:val="en-AU"/>
              </w:rPr>
              <w:t>Year 6</w:t>
            </w:r>
          </w:p>
          <w:p w14:paraId="76D36A01" w14:textId="77777777" w:rsidR="00810A38" w:rsidRPr="003A235D" w:rsidRDefault="00810A38" w:rsidP="00AE14F4">
            <w:pPr>
              <w:pStyle w:val="Tableheadingrow"/>
              <w:jc w:val="center"/>
              <w:rPr>
                <w:lang w:val="en-AU"/>
              </w:rPr>
            </w:pPr>
            <w:r w:rsidRPr="003A235D">
              <w:rPr>
                <w:lang w:val="en-AU"/>
              </w:rPr>
              <w:t>(2028)</w:t>
            </w:r>
          </w:p>
        </w:tc>
      </w:tr>
      <w:tr w:rsidR="00FE14FA" w:rsidRPr="003A235D" w14:paraId="41A4CD24" w14:textId="77777777" w:rsidTr="00FE14FA">
        <w:tc>
          <w:tcPr>
            <w:tcW w:w="1177" w:type="pct"/>
            <w:shd w:val="clear" w:color="auto" w:fill="auto"/>
            <w:vAlign w:val="center"/>
          </w:tcPr>
          <w:p w14:paraId="562FFE10" w14:textId="77777777" w:rsidR="00810A38" w:rsidRPr="003A235D" w:rsidRDefault="00810A38" w:rsidP="00AE14F4">
            <w:pPr>
              <w:pStyle w:val="TableText"/>
            </w:pPr>
            <w:r w:rsidRPr="003A235D">
              <w:t>Adult Australian population</w:t>
            </w:r>
          </w:p>
        </w:tc>
        <w:tc>
          <w:tcPr>
            <w:tcW w:w="628" w:type="pct"/>
            <w:shd w:val="clear" w:color="auto" w:fill="auto"/>
            <w:vAlign w:val="center"/>
          </w:tcPr>
          <w:p w14:paraId="0A32A2CD" w14:textId="4833CCEA" w:rsidR="00810A38" w:rsidRPr="00B6635B" w:rsidRDefault="00B6635B" w:rsidP="00AE14F4">
            <w:pPr>
              <w:pStyle w:val="TableText"/>
              <w:jc w:val="center"/>
              <w:rPr>
                <w:highlight w:val="darkGray"/>
              </w:rPr>
            </w:pPr>
            <w:r w:rsidRPr="00642F27">
              <w:rPr>
                <w:rFonts w:hint="eastAsia"/>
                <w:color w:val="000000"/>
                <w:w w:val="19"/>
                <w:shd w:val="solid" w:color="000000" w:fill="000000"/>
                <w:fitText w:val="88" w:id="-1305203958"/>
                <w14:textFill>
                  <w14:solidFill>
                    <w14:srgbClr w14:val="000000">
                      <w14:alpha w14:val="100000"/>
                    </w14:srgbClr>
                  </w14:solidFill>
                </w14:textFill>
              </w:rPr>
              <w:t xml:space="preserve">　</w:t>
            </w:r>
            <w:r w:rsidRPr="00642F27">
              <w:rPr>
                <w:color w:val="000000"/>
                <w:w w:val="19"/>
                <w:shd w:val="solid" w:color="000000" w:fill="000000"/>
                <w:fitText w:val="88" w:id="-1305203958"/>
                <w14:textFill>
                  <w14:solidFill>
                    <w14:srgbClr w14:val="000000">
                      <w14:alpha w14:val="100000"/>
                    </w14:srgbClr>
                  </w14:solidFill>
                </w14:textFill>
              </w:rPr>
              <w:t>|</w:t>
            </w:r>
            <w:r w:rsidRPr="00642F27">
              <w:rPr>
                <w:rFonts w:hint="eastAsia"/>
                <w:color w:val="000000"/>
                <w:spacing w:val="4"/>
                <w:w w:val="19"/>
                <w:shd w:val="solid" w:color="000000" w:fill="000000"/>
                <w:fitText w:val="88" w:id="-1305203958"/>
                <w14:textFill>
                  <w14:solidFill>
                    <w14:srgbClr w14:val="000000">
                      <w14:alpha w14:val="100000"/>
                    </w14:srgbClr>
                  </w14:solidFill>
                </w14:textFill>
              </w:rPr>
              <w:t xml:space="preserve">　</w:t>
            </w:r>
            <w:r w:rsidR="00EE2946" w:rsidRPr="00B6635B">
              <w:rPr>
                <w:vertAlign w:val="superscript"/>
              </w:rPr>
              <w:t>1</w:t>
            </w:r>
          </w:p>
        </w:tc>
        <w:tc>
          <w:tcPr>
            <w:tcW w:w="629" w:type="pct"/>
            <w:shd w:val="clear" w:color="auto" w:fill="auto"/>
            <w:vAlign w:val="center"/>
          </w:tcPr>
          <w:p w14:paraId="539C5708" w14:textId="6F8504D0" w:rsidR="00810A38" w:rsidRPr="00B6635B" w:rsidRDefault="00B6635B" w:rsidP="00AE14F4">
            <w:pPr>
              <w:pStyle w:val="TableText"/>
              <w:jc w:val="center"/>
              <w:rPr>
                <w:highlight w:val="darkGray"/>
              </w:rPr>
            </w:pPr>
            <w:r w:rsidRPr="00642F27">
              <w:rPr>
                <w:rFonts w:hint="eastAsia"/>
                <w:color w:val="000000"/>
                <w:w w:val="19"/>
                <w:shd w:val="solid" w:color="000000" w:fill="000000"/>
                <w:fitText w:val="88" w:id="-1305203957"/>
                <w14:textFill>
                  <w14:solidFill>
                    <w14:srgbClr w14:val="000000">
                      <w14:alpha w14:val="100000"/>
                    </w14:srgbClr>
                  </w14:solidFill>
                </w14:textFill>
              </w:rPr>
              <w:t xml:space="preserve">　</w:t>
            </w:r>
            <w:r w:rsidRPr="00642F27">
              <w:rPr>
                <w:color w:val="000000"/>
                <w:w w:val="19"/>
                <w:shd w:val="solid" w:color="000000" w:fill="000000"/>
                <w:fitText w:val="88" w:id="-1305203957"/>
                <w14:textFill>
                  <w14:solidFill>
                    <w14:srgbClr w14:val="000000">
                      <w14:alpha w14:val="100000"/>
                    </w14:srgbClr>
                  </w14:solidFill>
                </w14:textFill>
              </w:rPr>
              <w:t>|</w:t>
            </w:r>
            <w:r w:rsidRPr="00642F27">
              <w:rPr>
                <w:rFonts w:hint="eastAsia"/>
                <w:color w:val="000000"/>
                <w:spacing w:val="4"/>
                <w:w w:val="19"/>
                <w:shd w:val="solid" w:color="000000" w:fill="000000"/>
                <w:fitText w:val="88" w:id="-1305203957"/>
                <w14:textFill>
                  <w14:solidFill>
                    <w14:srgbClr w14:val="000000">
                      <w14:alpha w14:val="100000"/>
                    </w14:srgbClr>
                  </w14:solidFill>
                </w14:textFill>
              </w:rPr>
              <w:t xml:space="preserve">　</w:t>
            </w:r>
            <w:r w:rsidR="00393DF3" w:rsidRPr="00A82FC9">
              <w:rPr>
                <w:vertAlign w:val="superscript"/>
              </w:rPr>
              <w:t>1</w:t>
            </w:r>
          </w:p>
        </w:tc>
        <w:tc>
          <w:tcPr>
            <w:tcW w:w="629" w:type="pct"/>
            <w:shd w:val="clear" w:color="auto" w:fill="auto"/>
            <w:vAlign w:val="center"/>
          </w:tcPr>
          <w:p w14:paraId="2FC3AF77" w14:textId="2180FD41" w:rsidR="00810A38" w:rsidRPr="00B6635B" w:rsidRDefault="00B6635B" w:rsidP="00AE14F4">
            <w:pPr>
              <w:pStyle w:val="TableText"/>
              <w:jc w:val="center"/>
              <w:rPr>
                <w:highlight w:val="darkGray"/>
              </w:rPr>
            </w:pPr>
            <w:r w:rsidRPr="00642F27">
              <w:rPr>
                <w:rFonts w:hint="eastAsia"/>
                <w:color w:val="000000"/>
                <w:w w:val="19"/>
                <w:shd w:val="solid" w:color="000000" w:fill="000000"/>
                <w:fitText w:val="87" w:id="-1305203956"/>
                <w14:textFill>
                  <w14:solidFill>
                    <w14:srgbClr w14:val="000000">
                      <w14:alpha w14:val="100000"/>
                    </w14:srgbClr>
                  </w14:solidFill>
                </w14:textFill>
              </w:rPr>
              <w:t xml:space="preserve">　</w:t>
            </w:r>
            <w:r w:rsidRPr="00642F27">
              <w:rPr>
                <w:color w:val="000000"/>
                <w:w w:val="19"/>
                <w:shd w:val="solid" w:color="000000" w:fill="000000"/>
                <w:fitText w:val="87" w:id="-1305203956"/>
                <w14:textFill>
                  <w14:solidFill>
                    <w14:srgbClr w14:val="000000">
                      <w14:alpha w14:val="100000"/>
                    </w14:srgbClr>
                  </w14:solidFill>
                </w14:textFill>
              </w:rPr>
              <w:t>|</w:t>
            </w:r>
            <w:r w:rsidRPr="00642F27">
              <w:rPr>
                <w:rFonts w:hint="eastAsia"/>
                <w:color w:val="000000"/>
                <w:w w:val="19"/>
                <w:shd w:val="solid" w:color="000000" w:fill="000000"/>
                <w:fitText w:val="87" w:id="-1305203956"/>
                <w14:textFill>
                  <w14:solidFill>
                    <w14:srgbClr w14:val="000000">
                      <w14:alpha w14:val="100000"/>
                    </w14:srgbClr>
                  </w14:solidFill>
                </w14:textFill>
              </w:rPr>
              <w:t xml:space="preserve">　</w:t>
            </w:r>
            <w:r w:rsidR="00393DF3" w:rsidRPr="00A82FC9">
              <w:rPr>
                <w:vertAlign w:val="superscript"/>
              </w:rPr>
              <w:t>1</w:t>
            </w:r>
          </w:p>
        </w:tc>
        <w:tc>
          <w:tcPr>
            <w:tcW w:w="629" w:type="pct"/>
            <w:shd w:val="clear" w:color="auto" w:fill="auto"/>
            <w:vAlign w:val="center"/>
          </w:tcPr>
          <w:p w14:paraId="012F2EBE" w14:textId="2275C462" w:rsidR="00810A38" w:rsidRPr="00B6635B" w:rsidRDefault="00B6635B" w:rsidP="00AE14F4">
            <w:pPr>
              <w:pStyle w:val="TableText"/>
              <w:jc w:val="center"/>
              <w:rPr>
                <w:highlight w:val="darkGray"/>
              </w:rPr>
            </w:pPr>
            <w:r w:rsidRPr="00642F27">
              <w:rPr>
                <w:rFonts w:hint="eastAsia"/>
                <w:color w:val="000000"/>
                <w:w w:val="19"/>
                <w:shd w:val="solid" w:color="000000" w:fill="000000"/>
                <w:fitText w:val="88" w:id="-1305203955"/>
                <w14:textFill>
                  <w14:solidFill>
                    <w14:srgbClr w14:val="000000">
                      <w14:alpha w14:val="100000"/>
                    </w14:srgbClr>
                  </w14:solidFill>
                </w14:textFill>
              </w:rPr>
              <w:t xml:space="preserve">　</w:t>
            </w:r>
            <w:r w:rsidRPr="00642F27">
              <w:rPr>
                <w:color w:val="000000"/>
                <w:w w:val="19"/>
                <w:shd w:val="solid" w:color="000000" w:fill="000000"/>
                <w:fitText w:val="88" w:id="-1305203955"/>
                <w14:textFill>
                  <w14:solidFill>
                    <w14:srgbClr w14:val="000000">
                      <w14:alpha w14:val="100000"/>
                    </w14:srgbClr>
                  </w14:solidFill>
                </w14:textFill>
              </w:rPr>
              <w:t>|</w:t>
            </w:r>
            <w:r w:rsidRPr="00642F27">
              <w:rPr>
                <w:rFonts w:hint="eastAsia"/>
                <w:color w:val="000000"/>
                <w:w w:val="19"/>
                <w:shd w:val="solid" w:color="000000" w:fill="000000"/>
                <w:fitText w:val="88" w:id="-1305203955"/>
                <w14:textFill>
                  <w14:solidFill>
                    <w14:srgbClr w14:val="000000">
                      <w14:alpha w14:val="100000"/>
                    </w14:srgbClr>
                  </w14:solidFill>
                </w14:textFill>
              </w:rPr>
              <w:t xml:space="preserve">　</w:t>
            </w:r>
            <w:r w:rsidR="00393DF3" w:rsidRPr="00A82FC9">
              <w:rPr>
                <w:vertAlign w:val="superscript"/>
              </w:rPr>
              <w:t>1</w:t>
            </w:r>
          </w:p>
        </w:tc>
        <w:tc>
          <w:tcPr>
            <w:tcW w:w="629" w:type="pct"/>
            <w:shd w:val="clear" w:color="auto" w:fill="auto"/>
            <w:vAlign w:val="center"/>
          </w:tcPr>
          <w:p w14:paraId="0A20DF95" w14:textId="72099921" w:rsidR="00810A38" w:rsidRPr="00B6635B" w:rsidRDefault="00B6635B" w:rsidP="00AE14F4">
            <w:pPr>
              <w:pStyle w:val="TableText"/>
              <w:jc w:val="center"/>
              <w:rPr>
                <w:highlight w:val="darkGray"/>
              </w:rPr>
            </w:pPr>
            <w:r w:rsidRPr="00642F27">
              <w:rPr>
                <w:rFonts w:hint="eastAsia"/>
                <w:color w:val="000000"/>
                <w:w w:val="19"/>
                <w:shd w:val="solid" w:color="000000" w:fill="000000"/>
                <w:fitText w:val="88" w:id="-1305203954"/>
                <w14:textFill>
                  <w14:solidFill>
                    <w14:srgbClr w14:val="000000">
                      <w14:alpha w14:val="100000"/>
                    </w14:srgbClr>
                  </w14:solidFill>
                </w14:textFill>
              </w:rPr>
              <w:t xml:space="preserve">　</w:t>
            </w:r>
            <w:r w:rsidRPr="00642F27">
              <w:rPr>
                <w:color w:val="000000"/>
                <w:w w:val="19"/>
                <w:shd w:val="solid" w:color="000000" w:fill="000000"/>
                <w:fitText w:val="88" w:id="-1305203954"/>
                <w14:textFill>
                  <w14:solidFill>
                    <w14:srgbClr w14:val="000000">
                      <w14:alpha w14:val="100000"/>
                    </w14:srgbClr>
                  </w14:solidFill>
                </w14:textFill>
              </w:rPr>
              <w:t>|</w:t>
            </w:r>
            <w:r w:rsidRPr="00642F27">
              <w:rPr>
                <w:rFonts w:hint="eastAsia"/>
                <w:color w:val="000000"/>
                <w:w w:val="19"/>
                <w:shd w:val="solid" w:color="000000" w:fill="000000"/>
                <w:fitText w:val="88" w:id="-1305203954"/>
                <w14:textFill>
                  <w14:solidFill>
                    <w14:srgbClr w14:val="000000">
                      <w14:alpha w14:val="100000"/>
                    </w14:srgbClr>
                  </w14:solidFill>
                </w14:textFill>
              </w:rPr>
              <w:t xml:space="preserve">　</w:t>
            </w:r>
            <w:r w:rsidR="00393DF3" w:rsidRPr="00A82FC9">
              <w:rPr>
                <w:vertAlign w:val="superscript"/>
              </w:rPr>
              <w:t>1</w:t>
            </w:r>
          </w:p>
        </w:tc>
        <w:tc>
          <w:tcPr>
            <w:tcW w:w="679" w:type="pct"/>
            <w:shd w:val="clear" w:color="auto" w:fill="auto"/>
            <w:vAlign w:val="center"/>
          </w:tcPr>
          <w:p w14:paraId="2A2DFF38" w14:textId="1BE9BCA5" w:rsidR="00810A38" w:rsidRPr="00B6635B" w:rsidRDefault="00B6635B" w:rsidP="00AE14F4">
            <w:pPr>
              <w:pStyle w:val="TableText"/>
              <w:jc w:val="center"/>
              <w:rPr>
                <w:highlight w:val="darkGray"/>
              </w:rPr>
            </w:pPr>
            <w:r w:rsidRPr="00642F27">
              <w:rPr>
                <w:rFonts w:hint="eastAsia"/>
                <w:color w:val="000000"/>
                <w:w w:val="15"/>
                <w:shd w:val="solid" w:color="000000" w:fill="000000"/>
                <w:fitText w:val="50" w:id="-1305203953"/>
                <w14:textFill>
                  <w14:solidFill>
                    <w14:srgbClr w14:val="000000">
                      <w14:alpha w14:val="100000"/>
                    </w14:srgbClr>
                  </w14:solidFill>
                </w14:textFill>
              </w:rPr>
              <w:t xml:space="preserve">　</w:t>
            </w:r>
            <w:r w:rsidRPr="00642F27">
              <w:rPr>
                <w:color w:val="000000"/>
                <w:w w:val="15"/>
                <w:shd w:val="solid" w:color="000000" w:fill="000000"/>
                <w:fitText w:val="50" w:id="-1305203953"/>
                <w14:textFill>
                  <w14:solidFill>
                    <w14:srgbClr w14:val="000000">
                      <w14:alpha w14:val="100000"/>
                    </w14:srgbClr>
                  </w14:solidFill>
                </w14:textFill>
              </w:rPr>
              <w:t>|</w:t>
            </w:r>
            <w:r w:rsidRPr="00642F27">
              <w:rPr>
                <w:rFonts w:hint="eastAsia"/>
                <w:color w:val="000000"/>
                <w:spacing w:val="-15"/>
                <w:w w:val="15"/>
                <w:shd w:val="solid" w:color="000000" w:fill="000000"/>
                <w:fitText w:val="50" w:id="-1305203953"/>
                <w14:textFill>
                  <w14:solidFill>
                    <w14:srgbClr w14:val="000000">
                      <w14:alpha w14:val="100000"/>
                    </w14:srgbClr>
                  </w14:solidFill>
                </w14:textFill>
              </w:rPr>
              <w:t xml:space="preserve">　</w:t>
            </w:r>
            <w:r w:rsidR="00393DF3" w:rsidRPr="00A82FC9">
              <w:rPr>
                <w:vertAlign w:val="superscript"/>
              </w:rPr>
              <w:t>1</w:t>
            </w:r>
          </w:p>
        </w:tc>
      </w:tr>
      <w:tr w:rsidR="00FE14FA" w:rsidRPr="003A235D" w14:paraId="05D1B609" w14:textId="77777777" w:rsidTr="00FE14FA">
        <w:tc>
          <w:tcPr>
            <w:tcW w:w="1177" w:type="pct"/>
            <w:shd w:val="clear" w:color="auto" w:fill="auto"/>
            <w:vAlign w:val="center"/>
          </w:tcPr>
          <w:p w14:paraId="6A5EAC57" w14:textId="77777777" w:rsidR="00810A38" w:rsidRPr="003A235D" w:rsidRDefault="00810A38" w:rsidP="00AE14F4">
            <w:pPr>
              <w:pStyle w:val="TableText"/>
            </w:pPr>
            <w:r w:rsidRPr="003A235D">
              <w:t xml:space="preserve">HF prevalence </w:t>
            </w:r>
            <w:r w:rsidRPr="003A235D">
              <w:br/>
              <w:t>(2,199 per 100,000 adults)</w:t>
            </w:r>
          </w:p>
        </w:tc>
        <w:tc>
          <w:tcPr>
            <w:tcW w:w="628" w:type="pct"/>
            <w:shd w:val="clear" w:color="auto" w:fill="auto"/>
            <w:vAlign w:val="center"/>
          </w:tcPr>
          <w:p w14:paraId="4D066810" w14:textId="22B252ED" w:rsidR="00810A38" w:rsidRPr="00B6635B" w:rsidRDefault="00B6635B" w:rsidP="00AE14F4">
            <w:pPr>
              <w:pStyle w:val="TableText"/>
              <w:jc w:val="center"/>
              <w:rPr>
                <w:highlight w:val="darkGray"/>
              </w:rPr>
            </w:pPr>
            <w:r w:rsidRPr="00642F27">
              <w:rPr>
                <w:rFonts w:hint="eastAsia"/>
                <w:color w:val="000000"/>
                <w:w w:val="19"/>
                <w:shd w:val="solid" w:color="000000" w:fill="000000"/>
                <w:fitText w:val="88" w:id="-1305203952"/>
                <w14:textFill>
                  <w14:solidFill>
                    <w14:srgbClr w14:val="000000">
                      <w14:alpha w14:val="100000"/>
                    </w14:srgbClr>
                  </w14:solidFill>
                </w14:textFill>
              </w:rPr>
              <w:t xml:space="preserve">　</w:t>
            </w:r>
            <w:r w:rsidRPr="00642F27">
              <w:rPr>
                <w:color w:val="000000"/>
                <w:w w:val="19"/>
                <w:shd w:val="solid" w:color="000000" w:fill="000000"/>
                <w:fitText w:val="88" w:id="-1305203952"/>
                <w14:textFill>
                  <w14:solidFill>
                    <w14:srgbClr w14:val="000000">
                      <w14:alpha w14:val="100000"/>
                    </w14:srgbClr>
                  </w14:solidFill>
                </w14:textFill>
              </w:rPr>
              <w:t>|</w:t>
            </w:r>
            <w:r w:rsidRPr="00642F27">
              <w:rPr>
                <w:rFonts w:hint="eastAsia"/>
                <w:color w:val="000000"/>
                <w:w w:val="19"/>
                <w:shd w:val="solid" w:color="000000" w:fill="000000"/>
                <w:fitText w:val="88" w:id="-1305203952"/>
                <w14:textFill>
                  <w14:solidFill>
                    <w14:srgbClr w14:val="000000">
                      <w14:alpha w14:val="100000"/>
                    </w14:srgbClr>
                  </w14:solidFill>
                </w14:textFill>
              </w:rPr>
              <w:t xml:space="preserve">　</w:t>
            </w:r>
            <w:r w:rsidR="00EE2946">
              <w:rPr>
                <w:vertAlign w:val="superscript"/>
              </w:rPr>
              <w:t>2</w:t>
            </w:r>
          </w:p>
        </w:tc>
        <w:tc>
          <w:tcPr>
            <w:tcW w:w="629" w:type="pct"/>
            <w:shd w:val="clear" w:color="auto" w:fill="auto"/>
            <w:vAlign w:val="center"/>
          </w:tcPr>
          <w:p w14:paraId="09D2FB38" w14:textId="51597903" w:rsidR="00810A38" w:rsidRPr="00B6635B" w:rsidRDefault="00B6635B" w:rsidP="00AE14F4">
            <w:pPr>
              <w:pStyle w:val="TableText"/>
              <w:jc w:val="center"/>
              <w:rPr>
                <w:highlight w:val="darkGray"/>
              </w:rPr>
            </w:pPr>
            <w:r w:rsidRPr="00642F27">
              <w:rPr>
                <w:rFonts w:hint="eastAsia"/>
                <w:color w:val="000000"/>
                <w:w w:val="19"/>
                <w:shd w:val="solid" w:color="000000" w:fill="000000"/>
                <w:fitText w:val="88" w:id="-1305203968"/>
                <w14:textFill>
                  <w14:solidFill>
                    <w14:srgbClr w14:val="000000">
                      <w14:alpha w14:val="100000"/>
                    </w14:srgbClr>
                  </w14:solidFill>
                </w14:textFill>
              </w:rPr>
              <w:t xml:space="preserve">　</w:t>
            </w:r>
            <w:r w:rsidRPr="00642F27">
              <w:rPr>
                <w:color w:val="000000"/>
                <w:w w:val="19"/>
                <w:shd w:val="solid" w:color="000000" w:fill="000000"/>
                <w:fitText w:val="88" w:id="-1305203968"/>
                <w14:textFill>
                  <w14:solidFill>
                    <w14:srgbClr w14:val="000000">
                      <w14:alpha w14:val="100000"/>
                    </w14:srgbClr>
                  </w14:solidFill>
                </w14:textFill>
              </w:rPr>
              <w:t>|</w:t>
            </w:r>
            <w:r w:rsidRPr="00642F27">
              <w:rPr>
                <w:rFonts w:hint="eastAsia"/>
                <w:color w:val="000000"/>
                <w:w w:val="19"/>
                <w:shd w:val="solid" w:color="000000" w:fill="000000"/>
                <w:fitText w:val="88" w:id="-1305203968"/>
                <w14:textFill>
                  <w14:solidFill>
                    <w14:srgbClr w14:val="000000">
                      <w14:alpha w14:val="100000"/>
                    </w14:srgbClr>
                  </w14:solidFill>
                </w14:textFill>
              </w:rPr>
              <w:t xml:space="preserve">　</w:t>
            </w:r>
            <w:r w:rsidR="00393DF3">
              <w:rPr>
                <w:vertAlign w:val="superscript"/>
              </w:rPr>
              <w:t>2</w:t>
            </w:r>
          </w:p>
        </w:tc>
        <w:tc>
          <w:tcPr>
            <w:tcW w:w="629" w:type="pct"/>
            <w:shd w:val="clear" w:color="auto" w:fill="auto"/>
            <w:vAlign w:val="center"/>
          </w:tcPr>
          <w:p w14:paraId="7DFC38CE" w14:textId="7894DA76" w:rsidR="00810A38" w:rsidRPr="00B6635B" w:rsidRDefault="00B6635B" w:rsidP="00AE14F4">
            <w:pPr>
              <w:pStyle w:val="TableText"/>
              <w:jc w:val="center"/>
              <w:rPr>
                <w:highlight w:val="darkGray"/>
              </w:rPr>
            </w:pPr>
            <w:r w:rsidRPr="00642F27">
              <w:rPr>
                <w:rFonts w:hint="eastAsia"/>
                <w:color w:val="000000"/>
                <w:w w:val="19"/>
                <w:shd w:val="solid" w:color="000000" w:fill="000000"/>
                <w:fitText w:val="87" w:id="-1305203967"/>
                <w14:textFill>
                  <w14:solidFill>
                    <w14:srgbClr w14:val="000000">
                      <w14:alpha w14:val="100000"/>
                    </w14:srgbClr>
                  </w14:solidFill>
                </w14:textFill>
              </w:rPr>
              <w:t xml:space="preserve">　</w:t>
            </w:r>
            <w:r w:rsidRPr="00642F27">
              <w:rPr>
                <w:color w:val="000000"/>
                <w:w w:val="19"/>
                <w:shd w:val="solid" w:color="000000" w:fill="000000"/>
                <w:fitText w:val="87" w:id="-1305203967"/>
                <w14:textFill>
                  <w14:solidFill>
                    <w14:srgbClr w14:val="000000">
                      <w14:alpha w14:val="100000"/>
                    </w14:srgbClr>
                  </w14:solidFill>
                </w14:textFill>
              </w:rPr>
              <w:t>|</w:t>
            </w:r>
            <w:r w:rsidRPr="00642F27">
              <w:rPr>
                <w:rFonts w:hint="eastAsia"/>
                <w:color w:val="000000"/>
                <w:w w:val="19"/>
                <w:shd w:val="solid" w:color="000000" w:fill="000000"/>
                <w:fitText w:val="87" w:id="-1305203967"/>
                <w14:textFill>
                  <w14:solidFill>
                    <w14:srgbClr w14:val="000000">
                      <w14:alpha w14:val="100000"/>
                    </w14:srgbClr>
                  </w14:solidFill>
                </w14:textFill>
              </w:rPr>
              <w:t xml:space="preserve">　</w:t>
            </w:r>
            <w:r w:rsidR="00393DF3">
              <w:rPr>
                <w:vertAlign w:val="superscript"/>
              </w:rPr>
              <w:t>2</w:t>
            </w:r>
          </w:p>
        </w:tc>
        <w:tc>
          <w:tcPr>
            <w:tcW w:w="629" w:type="pct"/>
            <w:shd w:val="clear" w:color="auto" w:fill="auto"/>
            <w:vAlign w:val="center"/>
          </w:tcPr>
          <w:p w14:paraId="501C3025" w14:textId="34B69FAA" w:rsidR="00810A38" w:rsidRPr="00B6635B" w:rsidRDefault="00B6635B" w:rsidP="00AE14F4">
            <w:pPr>
              <w:pStyle w:val="TableText"/>
              <w:jc w:val="center"/>
              <w:rPr>
                <w:highlight w:val="darkGray"/>
              </w:rPr>
            </w:pPr>
            <w:r w:rsidRPr="00642F27">
              <w:rPr>
                <w:rFonts w:hint="eastAsia"/>
                <w:color w:val="000000"/>
                <w:w w:val="19"/>
                <w:shd w:val="solid" w:color="000000" w:fill="000000"/>
                <w:fitText w:val="88" w:id="-1305203966"/>
                <w14:textFill>
                  <w14:solidFill>
                    <w14:srgbClr w14:val="000000">
                      <w14:alpha w14:val="100000"/>
                    </w14:srgbClr>
                  </w14:solidFill>
                </w14:textFill>
              </w:rPr>
              <w:t xml:space="preserve">　</w:t>
            </w:r>
            <w:r w:rsidRPr="00642F27">
              <w:rPr>
                <w:color w:val="000000"/>
                <w:w w:val="19"/>
                <w:shd w:val="solid" w:color="000000" w:fill="000000"/>
                <w:fitText w:val="88" w:id="-1305203966"/>
                <w14:textFill>
                  <w14:solidFill>
                    <w14:srgbClr w14:val="000000">
                      <w14:alpha w14:val="100000"/>
                    </w14:srgbClr>
                  </w14:solidFill>
                </w14:textFill>
              </w:rPr>
              <w:t>|</w:t>
            </w:r>
            <w:r w:rsidRPr="00642F27">
              <w:rPr>
                <w:rFonts w:hint="eastAsia"/>
                <w:color w:val="000000"/>
                <w:w w:val="19"/>
                <w:shd w:val="solid" w:color="000000" w:fill="000000"/>
                <w:fitText w:val="88" w:id="-1305203966"/>
                <w14:textFill>
                  <w14:solidFill>
                    <w14:srgbClr w14:val="000000">
                      <w14:alpha w14:val="100000"/>
                    </w14:srgbClr>
                  </w14:solidFill>
                </w14:textFill>
              </w:rPr>
              <w:t xml:space="preserve">　</w:t>
            </w:r>
            <w:r w:rsidR="00393DF3">
              <w:rPr>
                <w:vertAlign w:val="superscript"/>
              </w:rPr>
              <w:t>2</w:t>
            </w:r>
          </w:p>
        </w:tc>
        <w:tc>
          <w:tcPr>
            <w:tcW w:w="629" w:type="pct"/>
            <w:shd w:val="clear" w:color="auto" w:fill="auto"/>
            <w:vAlign w:val="center"/>
          </w:tcPr>
          <w:p w14:paraId="646FD847" w14:textId="5F047871" w:rsidR="00810A38" w:rsidRPr="00B6635B" w:rsidRDefault="00B6635B" w:rsidP="00AE14F4">
            <w:pPr>
              <w:pStyle w:val="TableText"/>
              <w:jc w:val="center"/>
              <w:rPr>
                <w:highlight w:val="darkGray"/>
              </w:rPr>
            </w:pPr>
            <w:r w:rsidRPr="00642F27">
              <w:rPr>
                <w:rFonts w:hint="eastAsia"/>
                <w:color w:val="000000"/>
                <w:w w:val="19"/>
                <w:shd w:val="solid" w:color="000000" w:fill="000000"/>
                <w:fitText w:val="88" w:id="-1305203965"/>
                <w14:textFill>
                  <w14:solidFill>
                    <w14:srgbClr w14:val="000000">
                      <w14:alpha w14:val="100000"/>
                    </w14:srgbClr>
                  </w14:solidFill>
                </w14:textFill>
              </w:rPr>
              <w:t xml:space="preserve">　</w:t>
            </w:r>
            <w:r w:rsidRPr="00642F27">
              <w:rPr>
                <w:color w:val="000000"/>
                <w:w w:val="19"/>
                <w:shd w:val="solid" w:color="000000" w:fill="000000"/>
                <w:fitText w:val="88" w:id="-1305203965"/>
                <w14:textFill>
                  <w14:solidFill>
                    <w14:srgbClr w14:val="000000">
                      <w14:alpha w14:val="100000"/>
                    </w14:srgbClr>
                  </w14:solidFill>
                </w14:textFill>
              </w:rPr>
              <w:t>|</w:t>
            </w:r>
            <w:r w:rsidRPr="00642F27">
              <w:rPr>
                <w:rFonts w:hint="eastAsia"/>
                <w:color w:val="000000"/>
                <w:spacing w:val="4"/>
                <w:w w:val="19"/>
                <w:shd w:val="solid" w:color="000000" w:fill="000000"/>
                <w:fitText w:val="88" w:id="-1305203965"/>
                <w14:textFill>
                  <w14:solidFill>
                    <w14:srgbClr w14:val="000000">
                      <w14:alpha w14:val="100000"/>
                    </w14:srgbClr>
                  </w14:solidFill>
                </w14:textFill>
              </w:rPr>
              <w:t xml:space="preserve">　</w:t>
            </w:r>
            <w:r w:rsidR="00393DF3">
              <w:rPr>
                <w:vertAlign w:val="superscript"/>
              </w:rPr>
              <w:t>2</w:t>
            </w:r>
          </w:p>
        </w:tc>
        <w:tc>
          <w:tcPr>
            <w:tcW w:w="679" w:type="pct"/>
            <w:shd w:val="clear" w:color="auto" w:fill="auto"/>
            <w:vAlign w:val="center"/>
          </w:tcPr>
          <w:p w14:paraId="31C8F7A8" w14:textId="666A7D57" w:rsidR="00810A38" w:rsidRPr="00B6635B" w:rsidRDefault="00B6635B" w:rsidP="00AE14F4">
            <w:pPr>
              <w:pStyle w:val="TableText"/>
              <w:jc w:val="center"/>
              <w:rPr>
                <w:highlight w:val="darkGray"/>
              </w:rPr>
            </w:pPr>
            <w:r w:rsidRPr="00642F27">
              <w:rPr>
                <w:rFonts w:hint="eastAsia"/>
                <w:color w:val="000000"/>
                <w:w w:val="15"/>
                <w:shd w:val="solid" w:color="000000" w:fill="000000"/>
                <w:fitText w:val="50" w:id="-1305203964"/>
                <w14:textFill>
                  <w14:solidFill>
                    <w14:srgbClr w14:val="000000">
                      <w14:alpha w14:val="100000"/>
                    </w14:srgbClr>
                  </w14:solidFill>
                </w14:textFill>
              </w:rPr>
              <w:t xml:space="preserve">　</w:t>
            </w:r>
            <w:r w:rsidRPr="00642F27">
              <w:rPr>
                <w:color w:val="000000"/>
                <w:w w:val="15"/>
                <w:shd w:val="solid" w:color="000000" w:fill="000000"/>
                <w:fitText w:val="50" w:id="-1305203964"/>
                <w14:textFill>
                  <w14:solidFill>
                    <w14:srgbClr w14:val="000000">
                      <w14:alpha w14:val="100000"/>
                    </w14:srgbClr>
                  </w14:solidFill>
                </w14:textFill>
              </w:rPr>
              <w:t>|</w:t>
            </w:r>
            <w:r w:rsidRPr="00642F27">
              <w:rPr>
                <w:rFonts w:hint="eastAsia"/>
                <w:color w:val="000000"/>
                <w:spacing w:val="-15"/>
                <w:w w:val="15"/>
                <w:shd w:val="solid" w:color="000000" w:fill="000000"/>
                <w:fitText w:val="50" w:id="-1305203964"/>
                <w14:textFill>
                  <w14:solidFill>
                    <w14:srgbClr w14:val="000000">
                      <w14:alpha w14:val="100000"/>
                    </w14:srgbClr>
                  </w14:solidFill>
                </w14:textFill>
              </w:rPr>
              <w:t xml:space="preserve">　</w:t>
            </w:r>
            <w:r w:rsidR="00393DF3">
              <w:rPr>
                <w:vertAlign w:val="superscript"/>
              </w:rPr>
              <w:t>2</w:t>
            </w:r>
          </w:p>
        </w:tc>
      </w:tr>
      <w:tr w:rsidR="00FE14FA" w:rsidRPr="003A235D" w14:paraId="70BB13FF" w14:textId="77777777" w:rsidTr="00FE14FA">
        <w:tc>
          <w:tcPr>
            <w:tcW w:w="1177" w:type="pct"/>
            <w:shd w:val="clear" w:color="auto" w:fill="auto"/>
            <w:vAlign w:val="center"/>
          </w:tcPr>
          <w:p w14:paraId="59412E1E" w14:textId="77777777" w:rsidR="00810A38" w:rsidRPr="00EE5627" w:rsidRDefault="00810A38" w:rsidP="00AE14F4">
            <w:pPr>
              <w:pStyle w:val="TableText"/>
            </w:pPr>
            <w:r w:rsidRPr="00EE5627">
              <w:t>Proportion with LVEF &gt; 40% (43%)</w:t>
            </w:r>
          </w:p>
        </w:tc>
        <w:tc>
          <w:tcPr>
            <w:tcW w:w="628" w:type="pct"/>
            <w:shd w:val="clear" w:color="auto" w:fill="auto"/>
            <w:vAlign w:val="center"/>
          </w:tcPr>
          <w:p w14:paraId="34930D3D" w14:textId="17D5F5B1" w:rsidR="00810A38" w:rsidRPr="00B6635B" w:rsidRDefault="00B6635B" w:rsidP="00AE14F4">
            <w:pPr>
              <w:pStyle w:val="TableText"/>
              <w:jc w:val="center"/>
              <w:rPr>
                <w:highlight w:val="darkGray"/>
              </w:rPr>
            </w:pPr>
            <w:r w:rsidRPr="00642F27">
              <w:rPr>
                <w:rFonts w:hint="eastAsia"/>
                <w:color w:val="000000"/>
                <w:w w:val="19"/>
                <w:shd w:val="solid" w:color="000000" w:fill="000000"/>
                <w:fitText w:val="88" w:id="-1305203963"/>
                <w14:textFill>
                  <w14:solidFill>
                    <w14:srgbClr w14:val="000000">
                      <w14:alpha w14:val="100000"/>
                    </w14:srgbClr>
                  </w14:solidFill>
                </w14:textFill>
              </w:rPr>
              <w:t xml:space="preserve">　</w:t>
            </w:r>
            <w:r w:rsidRPr="00642F27">
              <w:rPr>
                <w:color w:val="000000"/>
                <w:w w:val="19"/>
                <w:shd w:val="solid" w:color="000000" w:fill="000000"/>
                <w:fitText w:val="88" w:id="-1305203963"/>
                <w14:textFill>
                  <w14:solidFill>
                    <w14:srgbClr w14:val="000000">
                      <w14:alpha w14:val="100000"/>
                    </w14:srgbClr>
                  </w14:solidFill>
                </w14:textFill>
              </w:rPr>
              <w:t>|</w:t>
            </w:r>
            <w:r w:rsidRPr="00642F27">
              <w:rPr>
                <w:rFonts w:hint="eastAsia"/>
                <w:color w:val="000000"/>
                <w:w w:val="19"/>
                <w:shd w:val="solid" w:color="000000" w:fill="000000"/>
                <w:fitText w:val="88" w:id="-1305203963"/>
                <w14:textFill>
                  <w14:solidFill>
                    <w14:srgbClr w14:val="000000">
                      <w14:alpha w14:val="100000"/>
                    </w14:srgbClr>
                  </w14:solidFill>
                </w14:textFill>
              </w:rPr>
              <w:t xml:space="preserve">　</w:t>
            </w:r>
            <w:r w:rsidR="00EE2946">
              <w:rPr>
                <w:vertAlign w:val="superscript"/>
              </w:rPr>
              <w:t>3</w:t>
            </w:r>
          </w:p>
        </w:tc>
        <w:tc>
          <w:tcPr>
            <w:tcW w:w="629" w:type="pct"/>
            <w:shd w:val="clear" w:color="auto" w:fill="auto"/>
            <w:vAlign w:val="center"/>
          </w:tcPr>
          <w:p w14:paraId="086FBCEC" w14:textId="56FEC574" w:rsidR="00810A38" w:rsidRPr="00B6635B" w:rsidRDefault="00B6635B" w:rsidP="00AE14F4">
            <w:pPr>
              <w:pStyle w:val="TableText"/>
              <w:jc w:val="center"/>
              <w:rPr>
                <w:highlight w:val="darkGray"/>
              </w:rPr>
            </w:pPr>
            <w:r w:rsidRPr="00642F27">
              <w:rPr>
                <w:rFonts w:hint="eastAsia"/>
                <w:color w:val="000000"/>
                <w:w w:val="19"/>
                <w:shd w:val="solid" w:color="000000" w:fill="000000"/>
                <w:fitText w:val="88" w:id="-1305203962"/>
                <w14:textFill>
                  <w14:solidFill>
                    <w14:srgbClr w14:val="000000">
                      <w14:alpha w14:val="100000"/>
                    </w14:srgbClr>
                  </w14:solidFill>
                </w14:textFill>
              </w:rPr>
              <w:t xml:space="preserve">　</w:t>
            </w:r>
            <w:r w:rsidRPr="00642F27">
              <w:rPr>
                <w:color w:val="000000"/>
                <w:w w:val="19"/>
                <w:shd w:val="solid" w:color="000000" w:fill="000000"/>
                <w:fitText w:val="88" w:id="-1305203962"/>
                <w14:textFill>
                  <w14:solidFill>
                    <w14:srgbClr w14:val="000000">
                      <w14:alpha w14:val="100000"/>
                    </w14:srgbClr>
                  </w14:solidFill>
                </w14:textFill>
              </w:rPr>
              <w:t>|</w:t>
            </w:r>
            <w:r w:rsidRPr="00642F27">
              <w:rPr>
                <w:rFonts w:hint="eastAsia"/>
                <w:color w:val="000000"/>
                <w:w w:val="19"/>
                <w:shd w:val="solid" w:color="000000" w:fill="000000"/>
                <w:fitText w:val="88" w:id="-1305203962"/>
                <w14:textFill>
                  <w14:solidFill>
                    <w14:srgbClr w14:val="000000">
                      <w14:alpha w14:val="100000"/>
                    </w14:srgbClr>
                  </w14:solidFill>
                </w14:textFill>
              </w:rPr>
              <w:t xml:space="preserve">　</w:t>
            </w:r>
            <w:r w:rsidR="00393DF3">
              <w:rPr>
                <w:vertAlign w:val="superscript"/>
              </w:rPr>
              <w:t>9</w:t>
            </w:r>
          </w:p>
        </w:tc>
        <w:tc>
          <w:tcPr>
            <w:tcW w:w="629" w:type="pct"/>
            <w:shd w:val="clear" w:color="auto" w:fill="auto"/>
            <w:vAlign w:val="center"/>
          </w:tcPr>
          <w:p w14:paraId="41AF6275" w14:textId="28912BB0" w:rsidR="00810A38" w:rsidRPr="00B6635B" w:rsidRDefault="00B6635B" w:rsidP="00AE14F4">
            <w:pPr>
              <w:pStyle w:val="TableText"/>
              <w:jc w:val="center"/>
              <w:rPr>
                <w:highlight w:val="darkGray"/>
              </w:rPr>
            </w:pPr>
            <w:r w:rsidRPr="00642F27">
              <w:rPr>
                <w:rFonts w:hint="eastAsia"/>
                <w:color w:val="000000"/>
                <w:w w:val="19"/>
                <w:shd w:val="solid" w:color="000000" w:fill="000000"/>
                <w:fitText w:val="87" w:id="-1305203961"/>
                <w14:textFill>
                  <w14:solidFill>
                    <w14:srgbClr w14:val="000000">
                      <w14:alpha w14:val="100000"/>
                    </w14:srgbClr>
                  </w14:solidFill>
                </w14:textFill>
              </w:rPr>
              <w:t xml:space="preserve">　</w:t>
            </w:r>
            <w:r w:rsidRPr="00642F27">
              <w:rPr>
                <w:color w:val="000000"/>
                <w:w w:val="19"/>
                <w:shd w:val="solid" w:color="000000" w:fill="000000"/>
                <w:fitText w:val="87" w:id="-1305203961"/>
                <w14:textFill>
                  <w14:solidFill>
                    <w14:srgbClr w14:val="000000">
                      <w14:alpha w14:val="100000"/>
                    </w14:srgbClr>
                  </w14:solidFill>
                </w14:textFill>
              </w:rPr>
              <w:t>|</w:t>
            </w:r>
            <w:r w:rsidRPr="00642F27">
              <w:rPr>
                <w:rFonts w:hint="eastAsia"/>
                <w:color w:val="000000"/>
                <w:w w:val="19"/>
                <w:shd w:val="solid" w:color="000000" w:fill="000000"/>
                <w:fitText w:val="87" w:id="-1305203961"/>
                <w14:textFill>
                  <w14:solidFill>
                    <w14:srgbClr w14:val="000000">
                      <w14:alpha w14:val="100000"/>
                    </w14:srgbClr>
                  </w14:solidFill>
                </w14:textFill>
              </w:rPr>
              <w:t xml:space="preserve">　</w:t>
            </w:r>
            <w:r w:rsidR="00393DF3">
              <w:rPr>
                <w:vertAlign w:val="superscript"/>
              </w:rPr>
              <w:t>9</w:t>
            </w:r>
          </w:p>
        </w:tc>
        <w:tc>
          <w:tcPr>
            <w:tcW w:w="629" w:type="pct"/>
            <w:shd w:val="clear" w:color="auto" w:fill="auto"/>
            <w:vAlign w:val="center"/>
          </w:tcPr>
          <w:p w14:paraId="0060E93E" w14:textId="6DD7ECAC" w:rsidR="00810A38" w:rsidRPr="00B6635B" w:rsidRDefault="00B6635B" w:rsidP="00AE14F4">
            <w:pPr>
              <w:pStyle w:val="TableText"/>
              <w:jc w:val="center"/>
              <w:rPr>
                <w:highlight w:val="darkGray"/>
              </w:rPr>
            </w:pPr>
            <w:r w:rsidRPr="00642F27">
              <w:rPr>
                <w:rFonts w:hint="eastAsia"/>
                <w:color w:val="000000"/>
                <w:w w:val="19"/>
                <w:shd w:val="solid" w:color="000000" w:fill="000000"/>
                <w:fitText w:val="88" w:id="-1305203960"/>
                <w14:textFill>
                  <w14:solidFill>
                    <w14:srgbClr w14:val="000000">
                      <w14:alpha w14:val="100000"/>
                    </w14:srgbClr>
                  </w14:solidFill>
                </w14:textFill>
              </w:rPr>
              <w:t xml:space="preserve">　</w:t>
            </w:r>
            <w:r w:rsidRPr="00642F27">
              <w:rPr>
                <w:color w:val="000000"/>
                <w:w w:val="19"/>
                <w:shd w:val="solid" w:color="000000" w:fill="000000"/>
                <w:fitText w:val="88" w:id="-1305203960"/>
                <w14:textFill>
                  <w14:solidFill>
                    <w14:srgbClr w14:val="000000">
                      <w14:alpha w14:val="100000"/>
                    </w14:srgbClr>
                  </w14:solidFill>
                </w14:textFill>
              </w:rPr>
              <w:t>|</w:t>
            </w:r>
            <w:r w:rsidRPr="00642F27">
              <w:rPr>
                <w:rFonts w:hint="eastAsia"/>
                <w:color w:val="000000"/>
                <w:w w:val="19"/>
                <w:shd w:val="solid" w:color="000000" w:fill="000000"/>
                <w:fitText w:val="88" w:id="-1305203960"/>
                <w14:textFill>
                  <w14:solidFill>
                    <w14:srgbClr w14:val="000000">
                      <w14:alpha w14:val="100000"/>
                    </w14:srgbClr>
                  </w14:solidFill>
                </w14:textFill>
              </w:rPr>
              <w:t xml:space="preserve">　</w:t>
            </w:r>
            <w:r w:rsidR="00393DF3">
              <w:rPr>
                <w:vertAlign w:val="superscript"/>
              </w:rPr>
              <w:t>9</w:t>
            </w:r>
          </w:p>
        </w:tc>
        <w:tc>
          <w:tcPr>
            <w:tcW w:w="629" w:type="pct"/>
            <w:shd w:val="clear" w:color="auto" w:fill="auto"/>
            <w:vAlign w:val="center"/>
          </w:tcPr>
          <w:p w14:paraId="20E08E9F" w14:textId="27EE8E93" w:rsidR="00810A38" w:rsidRPr="00B6635B" w:rsidRDefault="00B6635B" w:rsidP="00AE14F4">
            <w:pPr>
              <w:pStyle w:val="TableText"/>
              <w:jc w:val="center"/>
              <w:rPr>
                <w:highlight w:val="darkGray"/>
              </w:rPr>
            </w:pPr>
            <w:r w:rsidRPr="00642F27">
              <w:rPr>
                <w:rFonts w:hint="eastAsia"/>
                <w:color w:val="000000"/>
                <w:w w:val="19"/>
                <w:shd w:val="solid" w:color="000000" w:fill="000000"/>
                <w:fitText w:val="88" w:id="-1305203959"/>
                <w14:textFill>
                  <w14:solidFill>
                    <w14:srgbClr w14:val="000000">
                      <w14:alpha w14:val="100000"/>
                    </w14:srgbClr>
                  </w14:solidFill>
                </w14:textFill>
              </w:rPr>
              <w:t xml:space="preserve">　</w:t>
            </w:r>
            <w:r w:rsidRPr="00642F27">
              <w:rPr>
                <w:color w:val="000000"/>
                <w:w w:val="19"/>
                <w:shd w:val="solid" w:color="000000" w:fill="000000"/>
                <w:fitText w:val="88" w:id="-1305203959"/>
                <w14:textFill>
                  <w14:solidFill>
                    <w14:srgbClr w14:val="000000">
                      <w14:alpha w14:val="100000"/>
                    </w14:srgbClr>
                  </w14:solidFill>
                </w14:textFill>
              </w:rPr>
              <w:t>|</w:t>
            </w:r>
            <w:r w:rsidRPr="00642F27">
              <w:rPr>
                <w:rFonts w:hint="eastAsia"/>
                <w:color w:val="000000"/>
                <w:w w:val="19"/>
                <w:shd w:val="solid" w:color="000000" w:fill="000000"/>
                <w:fitText w:val="88" w:id="-1305203959"/>
                <w14:textFill>
                  <w14:solidFill>
                    <w14:srgbClr w14:val="000000">
                      <w14:alpha w14:val="100000"/>
                    </w14:srgbClr>
                  </w14:solidFill>
                </w14:textFill>
              </w:rPr>
              <w:t xml:space="preserve">　</w:t>
            </w:r>
            <w:r w:rsidR="00393DF3">
              <w:rPr>
                <w:vertAlign w:val="superscript"/>
              </w:rPr>
              <w:t>9</w:t>
            </w:r>
          </w:p>
        </w:tc>
        <w:tc>
          <w:tcPr>
            <w:tcW w:w="679" w:type="pct"/>
            <w:shd w:val="clear" w:color="auto" w:fill="auto"/>
            <w:vAlign w:val="center"/>
          </w:tcPr>
          <w:p w14:paraId="61CC2BD9" w14:textId="03C507F9" w:rsidR="00810A38" w:rsidRPr="00B6635B" w:rsidRDefault="00B6635B" w:rsidP="00AE14F4">
            <w:pPr>
              <w:pStyle w:val="TableText"/>
              <w:jc w:val="center"/>
              <w:rPr>
                <w:highlight w:val="darkGray"/>
              </w:rPr>
            </w:pPr>
            <w:r w:rsidRPr="00642F27">
              <w:rPr>
                <w:rFonts w:hint="eastAsia"/>
                <w:color w:val="000000"/>
                <w:w w:val="15"/>
                <w:shd w:val="solid" w:color="000000" w:fill="000000"/>
                <w:fitText w:val="50" w:id="-1305203958"/>
                <w14:textFill>
                  <w14:solidFill>
                    <w14:srgbClr w14:val="000000">
                      <w14:alpha w14:val="100000"/>
                    </w14:srgbClr>
                  </w14:solidFill>
                </w14:textFill>
              </w:rPr>
              <w:t xml:space="preserve">　</w:t>
            </w:r>
            <w:r w:rsidRPr="00642F27">
              <w:rPr>
                <w:color w:val="000000"/>
                <w:w w:val="15"/>
                <w:shd w:val="solid" w:color="000000" w:fill="000000"/>
                <w:fitText w:val="50" w:id="-1305203958"/>
                <w14:textFill>
                  <w14:solidFill>
                    <w14:srgbClr w14:val="000000">
                      <w14:alpha w14:val="100000"/>
                    </w14:srgbClr>
                  </w14:solidFill>
                </w14:textFill>
              </w:rPr>
              <w:t>|</w:t>
            </w:r>
            <w:r w:rsidRPr="00642F27">
              <w:rPr>
                <w:rFonts w:hint="eastAsia"/>
                <w:color w:val="000000"/>
                <w:spacing w:val="-15"/>
                <w:w w:val="15"/>
                <w:shd w:val="solid" w:color="000000" w:fill="000000"/>
                <w:fitText w:val="50" w:id="-1305203958"/>
                <w14:textFill>
                  <w14:solidFill>
                    <w14:srgbClr w14:val="000000">
                      <w14:alpha w14:val="100000"/>
                    </w14:srgbClr>
                  </w14:solidFill>
                </w14:textFill>
              </w:rPr>
              <w:t xml:space="preserve">　</w:t>
            </w:r>
            <w:r w:rsidR="00393DF3">
              <w:rPr>
                <w:vertAlign w:val="superscript"/>
              </w:rPr>
              <w:t>9</w:t>
            </w:r>
          </w:p>
        </w:tc>
      </w:tr>
      <w:tr w:rsidR="00FE14FA" w:rsidRPr="003A235D" w14:paraId="7A9CED59" w14:textId="77777777" w:rsidTr="00FE14FA">
        <w:tc>
          <w:tcPr>
            <w:tcW w:w="1177" w:type="pct"/>
            <w:shd w:val="clear" w:color="auto" w:fill="auto"/>
            <w:vAlign w:val="center"/>
          </w:tcPr>
          <w:p w14:paraId="53FB1A9E" w14:textId="77777777" w:rsidR="00810A38" w:rsidRPr="00EE5627" w:rsidRDefault="00810A38" w:rsidP="00AE14F4">
            <w:pPr>
              <w:pStyle w:val="TableText"/>
            </w:pPr>
            <w:r w:rsidRPr="00EE5627">
              <w:t>Proportion with NYHA II-IV (95%)</w:t>
            </w:r>
          </w:p>
        </w:tc>
        <w:tc>
          <w:tcPr>
            <w:tcW w:w="628" w:type="pct"/>
            <w:shd w:val="clear" w:color="auto" w:fill="auto"/>
            <w:vAlign w:val="center"/>
          </w:tcPr>
          <w:p w14:paraId="6338F856" w14:textId="5CC6F93E" w:rsidR="00810A38" w:rsidRPr="00B6635B" w:rsidRDefault="00B6635B" w:rsidP="00AE14F4">
            <w:pPr>
              <w:pStyle w:val="TableText"/>
              <w:jc w:val="center"/>
              <w:rPr>
                <w:highlight w:val="darkGray"/>
              </w:rPr>
            </w:pPr>
            <w:r w:rsidRPr="00642F27">
              <w:rPr>
                <w:rFonts w:hint="eastAsia"/>
                <w:color w:val="000000"/>
                <w:w w:val="19"/>
                <w:shd w:val="solid" w:color="000000" w:fill="000000"/>
                <w:fitText w:val="88" w:id="-1305203957"/>
                <w14:textFill>
                  <w14:solidFill>
                    <w14:srgbClr w14:val="000000">
                      <w14:alpha w14:val="100000"/>
                    </w14:srgbClr>
                  </w14:solidFill>
                </w14:textFill>
              </w:rPr>
              <w:t xml:space="preserve">　</w:t>
            </w:r>
            <w:r w:rsidRPr="00642F27">
              <w:rPr>
                <w:color w:val="000000"/>
                <w:w w:val="19"/>
                <w:shd w:val="solid" w:color="000000" w:fill="000000"/>
                <w:fitText w:val="88" w:id="-1305203957"/>
                <w14:textFill>
                  <w14:solidFill>
                    <w14:srgbClr w14:val="000000">
                      <w14:alpha w14:val="100000"/>
                    </w14:srgbClr>
                  </w14:solidFill>
                </w14:textFill>
              </w:rPr>
              <w:t>|</w:t>
            </w:r>
            <w:r w:rsidRPr="00642F27">
              <w:rPr>
                <w:rFonts w:hint="eastAsia"/>
                <w:color w:val="000000"/>
                <w:spacing w:val="4"/>
                <w:w w:val="19"/>
                <w:shd w:val="solid" w:color="000000" w:fill="000000"/>
                <w:fitText w:val="88" w:id="-1305203957"/>
                <w14:textFill>
                  <w14:solidFill>
                    <w14:srgbClr w14:val="000000">
                      <w14:alpha w14:val="100000"/>
                    </w14:srgbClr>
                  </w14:solidFill>
                </w14:textFill>
              </w:rPr>
              <w:t xml:space="preserve">　</w:t>
            </w:r>
            <w:r w:rsidR="00EE2946">
              <w:rPr>
                <w:vertAlign w:val="superscript"/>
              </w:rPr>
              <w:t>3</w:t>
            </w:r>
          </w:p>
        </w:tc>
        <w:tc>
          <w:tcPr>
            <w:tcW w:w="629" w:type="pct"/>
            <w:shd w:val="clear" w:color="auto" w:fill="auto"/>
            <w:vAlign w:val="center"/>
          </w:tcPr>
          <w:p w14:paraId="1B9BEC63" w14:textId="725168BA" w:rsidR="00810A38" w:rsidRPr="00B6635B" w:rsidRDefault="00B6635B" w:rsidP="00AE14F4">
            <w:pPr>
              <w:pStyle w:val="TableText"/>
              <w:jc w:val="center"/>
              <w:rPr>
                <w:highlight w:val="darkGray"/>
              </w:rPr>
            </w:pPr>
            <w:r w:rsidRPr="00642F27">
              <w:rPr>
                <w:rFonts w:hint="eastAsia"/>
                <w:color w:val="000000"/>
                <w:w w:val="19"/>
                <w:shd w:val="solid" w:color="000000" w:fill="000000"/>
                <w:fitText w:val="88" w:id="-1305203956"/>
                <w14:textFill>
                  <w14:solidFill>
                    <w14:srgbClr w14:val="000000">
                      <w14:alpha w14:val="100000"/>
                    </w14:srgbClr>
                  </w14:solidFill>
                </w14:textFill>
              </w:rPr>
              <w:t xml:space="preserve">　</w:t>
            </w:r>
            <w:r w:rsidRPr="00642F27">
              <w:rPr>
                <w:color w:val="000000"/>
                <w:w w:val="19"/>
                <w:shd w:val="solid" w:color="000000" w:fill="000000"/>
                <w:fitText w:val="88" w:id="-1305203956"/>
                <w14:textFill>
                  <w14:solidFill>
                    <w14:srgbClr w14:val="000000">
                      <w14:alpha w14:val="100000"/>
                    </w14:srgbClr>
                  </w14:solidFill>
                </w14:textFill>
              </w:rPr>
              <w:t>|</w:t>
            </w:r>
            <w:r w:rsidRPr="00642F27">
              <w:rPr>
                <w:rFonts w:hint="eastAsia"/>
                <w:color w:val="000000"/>
                <w:spacing w:val="4"/>
                <w:w w:val="19"/>
                <w:shd w:val="solid" w:color="000000" w:fill="000000"/>
                <w:fitText w:val="88" w:id="-1305203956"/>
                <w14:textFill>
                  <w14:solidFill>
                    <w14:srgbClr w14:val="000000">
                      <w14:alpha w14:val="100000"/>
                    </w14:srgbClr>
                  </w14:solidFill>
                </w14:textFill>
              </w:rPr>
              <w:t xml:space="preserve">　</w:t>
            </w:r>
            <w:r w:rsidR="00393DF3">
              <w:rPr>
                <w:vertAlign w:val="superscript"/>
              </w:rPr>
              <w:t>3</w:t>
            </w:r>
          </w:p>
        </w:tc>
        <w:tc>
          <w:tcPr>
            <w:tcW w:w="629" w:type="pct"/>
            <w:shd w:val="clear" w:color="auto" w:fill="auto"/>
            <w:vAlign w:val="center"/>
          </w:tcPr>
          <w:p w14:paraId="47C85015" w14:textId="4A467396" w:rsidR="00810A38" w:rsidRPr="00B6635B" w:rsidRDefault="00B6635B" w:rsidP="00AE14F4">
            <w:pPr>
              <w:pStyle w:val="TableText"/>
              <w:jc w:val="center"/>
              <w:rPr>
                <w:highlight w:val="darkGray"/>
              </w:rPr>
            </w:pPr>
            <w:r w:rsidRPr="00642F27">
              <w:rPr>
                <w:rFonts w:hint="eastAsia"/>
                <w:color w:val="000000"/>
                <w:w w:val="19"/>
                <w:shd w:val="solid" w:color="000000" w:fill="000000"/>
                <w:fitText w:val="87" w:id="-1305203955"/>
                <w14:textFill>
                  <w14:solidFill>
                    <w14:srgbClr w14:val="000000">
                      <w14:alpha w14:val="100000"/>
                    </w14:srgbClr>
                  </w14:solidFill>
                </w14:textFill>
              </w:rPr>
              <w:t xml:space="preserve">　</w:t>
            </w:r>
            <w:r w:rsidRPr="00642F27">
              <w:rPr>
                <w:color w:val="000000"/>
                <w:w w:val="19"/>
                <w:shd w:val="solid" w:color="000000" w:fill="000000"/>
                <w:fitText w:val="87" w:id="-1305203955"/>
                <w14:textFill>
                  <w14:solidFill>
                    <w14:srgbClr w14:val="000000">
                      <w14:alpha w14:val="100000"/>
                    </w14:srgbClr>
                  </w14:solidFill>
                </w14:textFill>
              </w:rPr>
              <w:t>|</w:t>
            </w:r>
            <w:r w:rsidRPr="00642F27">
              <w:rPr>
                <w:rFonts w:hint="eastAsia"/>
                <w:color w:val="000000"/>
                <w:spacing w:val="3"/>
                <w:w w:val="19"/>
                <w:shd w:val="solid" w:color="000000" w:fill="000000"/>
                <w:fitText w:val="87" w:id="-1305203955"/>
                <w14:textFill>
                  <w14:solidFill>
                    <w14:srgbClr w14:val="000000">
                      <w14:alpha w14:val="100000"/>
                    </w14:srgbClr>
                  </w14:solidFill>
                </w14:textFill>
              </w:rPr>
              <w:t xml:space="preserve">　</w:t>
            </w:r>
            <w:r w:rsidR="00393DF3">
              <w:rPr>
                <w:vertAlign w:val="superscript"/>
              </w:rPr>
              <w:t>3</w:t>
            </w:r>
          </w:p>
        </w:tc>
        <w:tc>
          <w:tcPr>
            <w:tcW w:w="629" w:type="pct"/>
            <w:shd w:val="clear" w:color="auto" w:fill="auto"/>
            <w:vAlign w:val="center"/>
          </w:tcPr>
          <w:p w14:paraId="6AB4FF5B" w14:textId="0435A3ED" w:rsidR="00810A38" w:rsidRPr="00B6635B" w:rsidRDefault="00B6635B" w:rsidP="00AE14F4">
            <w:pPr>
              <w:pStyle w:val="TableText"/>
              <w:jc w:val="center"/>
              <w:rPr>
                <w:highlight w:val="darkGray"/>
              </w:rPr>
            </w:pPr>
            <w:r w:rsidRPr="00642F27">
              <w:rPr>
                <w:rFonts w:hint="eastAsia"/>
                <w:color w:val="000000"/>
                <w:w w:val="19"/>
                <w:shd w:val="solid" w:color="000000" w:fill="000000"/>
                <w:fitText w:val="88" w:id="-1305203712"/>
                <w14:textFill>
                  <w14:solidFill>
                    <w14:srgbClr w14:val="000000">
                      <w14:alpha w14:val="100000"/>
                    </w14:srgbClr>
                  </w14:solidFill>
                </w14:textFill>
              </w:rPr>
              <w:t xml:space="preserve">　</w:t>
            </w:r>
            <w:r w:rsidRPr="00642F27">
              <w:rPr>
                <w:color w:val="000000"/>
                <w:w w:val="19"/>
                <w:shd w:val="solid" w:color="000000" w:fill="000000"/>
                <w:fitText w:val="88" w:id="-1305203712"/>
                <w14:textFill>
                  <w14:solidFill>
                    <w14:srgbClr w14:val="000000">
                      <w14:alpha w14:val="100000"/>
                    </w14:srgbClr>
                  </w14:solidFill>
                </w14:textFill>
              </w:rPr>
              <w:t>|</w:t>
            </w:r>
            <w:r w:rsidRPr="00642F27">
              <w:rPr>
                <w:rFonts w:hint="eastAsia"/>
                <w:color w:val="000000"/>
                <w:spacing w:val="4"/>
                <w:w w:val="19"/>
                <w:shd w:val="solid" w:color="000000" w:fill="000000"/>
                <w:fitText w:val="88" w:id="-1305203712"/>
                <w14:textFill>
                  <w14:solidFill>
                    <w14:srgbClr w14:val="000000">
                      <w14:alpha w14:val="100000"/>
                    </w14:srgbClr>
                  </w14:solidFill>
                </w14:textFill>
              </w:rPr>
              <w:t xml:space="preserve">　</w:t>
            </w:r>
            <w:r w:rsidR="00393DF3">
              <w:rPr>
                <w:vertAlign w:val="superscript"/>
              </w:rPr>
              <w:t>3</w:t>
            </w:r>
          </w:p>
        </w:tc>
        <w:tc>
          <w:tcPr>
            <w:tcW w:w="629" w:type="pct"/>
            <w:shd w:val="clear" w:color="auto" w:fill="auto"/>
            <w:vAlign w:val="center"/>
          </w:tcPr>
          <w:p w14:paraId="3CB53C12" w14:textId="09130FE7" w:rsidR="00810A38" w:rsidRPr="00B6635B" w:rsidRDefault="00B6635B" w:rsidP="00AE14F4">
            <w:pPr>
              <w:pStyle w:val="TableText"/>
              <w:jc w:val="center"/>
              <w:rPr>
                <w:highlight w:val="darkGray"/>
              </w:rPr>
            </w:pPr>
            <w:r w:rsidRPr="00642F27">
              <w:rPr>
                <w:rFonts w:hint="eastAsia"/>
                <w:color w:val="000000"/>
                <w:w w:val="19"/>
                <w:shd w:val="solid" w:color="000000" w:fill="000000"/>
                <w:fitText w:val="88" w:id="-1305203711"/>
                <w14:textFill>
                  <w14:solidFill>
                    <w14:srgbClr w14:val="000000">
                      <w14:alpha w14:val="100000"/>
                    </w14:srgbClr>
                  </w14:solidFill>
                </w14:textFill>
              </w:rPr>
              <w:t xml:space="preserve">　</w:t>
            </w:r>
            <w:r w:rsidRPr="00642F27">
              <w:rPr>
                <w:color w:val="000000"/>
                <w:w w:val="19"/>
                <w:shd w:val="solid" w:color="000000" w:fill="000000"/>
                <w:fitText w:val="88" w:id="-1305203711"/>
                <w14:textFill>
                  <w14:solidFill>
                    <w14:srgbClr w14:val="000000">
                      <w14:alpha w14:val="100000"/>
                    </w14:srgbClr>
                  </w14:solidFill>
                </w14:textFill>
              </w:rPr>
              <w:t>|</w:t>
            </w:r>
            <w:r w:rsidRPr="00642F27">
              <w:rPr>
                <w:rFonts w:hint="eastAsia"/>
                <w:color w:val="000000"/>
                <w:spacing w:val="4"/>
                <w:w w:val="19"/>
                <w:shd w:val="solid" w:color="000000" w:fill="000000"/>
                <w:fitText w:val="88" w:id="-1305203711"/>
                <w14:textFill>
                  <w14:solidFill>
                    <w14:srgbClr w14:val="000000">
                      <w14:alpha w14:val="100000"/>
                    </w14:srgbClr>
                  </w14:solidFill>
                </w14:textFill>
              </w:rPr>
              <w:t xml:space="preserve">　</w:t>
            </w:r>
            <w:r w:rsidR="00393DF3">
              <w:rPr>
                <w:vertAlign w:val="superscript"/>
              </w:rPr>
              <w:t>9</w:t>
            </w:r>
          </w:p>
        </w:tc>
        <w:tc>
          <w:tcPr>
            <w:tcW w:w="679" w:type="pct"/>
            <w:shd w:val="clear" w:color="auto" w:fill="auto"/>
            <w:vAlign w:val="center"/>
          </w:tcPr>
          <w:p w14:paraId="0FCE5B9A" w14:textId="16FF7D4F" w:rsidR="00810A38" w:rsidRPr="00B6635B" w:rsidRDefault="00B6635B" w:rsidP="00AE14F4">
            <w:pPr>
              <w:pStyle w:val="TableText"/>
              <w:jc w:val="center"/>
              <w:rPr>
                <w:highlight w:val="darkGray"/>
              </w:rPr>
            </w:pPr>
            <w:r w:rsidRPr="00642F27">
              <w:rPr>
                <w:rFonts w:hint="eastAsia"/>
                <w:color w:val="000000"/>
                <w:w w:val="15"/>
                <w:shd w:val="solid" w:color="000000" w:fill="000000"/>
                <w:fitText w:val="50" w:id="-1305203710"/>
                <w14:textFill>
                  <w14:solidFill>
                    <w14:srgbClr w14:val="000000">
                      <w14:alpha w14:val="100000"/>
                    </w14:srgbClr>
                  </w14:solidFill>
                </w14:textFill>
              </w:rPr>
              <w:t xml:space="preserve">　</w:t>
            </w:r>
            <w:r w:rsidRPr="00642F27">
              <w:rPr>
                <w:color w:val="000000"/>
                <w:w w:val="15"/>
                <w:shd w:val="solid" w:color="000000" w:fill="000000"/>
                <w:fitText w:val="50" w:id="-1305203710"/>
                <w14:textFill>
                  <w14:solidFill>
                    <w14:srgbClr w14:val="000000">
                      <w14:alpha w14:val="100000"/>
                    </w14:srgbClr>
                  </w14:solidFill>
                </w14:textFill>
              </w:rPr>
              <w:t>|</w:t>
            </w:r>
            <w:r w:rsidRPr="00642F27">
              <w:rPr>
                <w:rFonts w:hint="eastAsia"/>
                <w:color w:val="000000"/>
                <w:spacing w:val="-15"/>
                <w:w w:val="15"/>
                <w:shd w:val="solid" w:color="000000" w:fill="000000"/>
                <w:fitText w:val="50" w:id="-1305203710"/>
                <w14:textFill>
                  <w14:solidFill>
                    <w14:srgbClr w14:val="000000">
                      <w14:alpha w14:val="100000"/>
                    </w14:srgbClr>
                  </w14:solidFill>
                </w14:textFill>
              </w:rPr>
              <w:t xml:space="preserve">　</w:t>
            </w:r>
            <w:r w:rsidR="00393DF3">
              <w:rPr>
                <w:vertAlign w:val="superscript"/>
              </w:rPr>
              <w:t>9</w:t>
            </w:r>
          </w:p>
        </w:tc>
      </w:tr>
      <w:tr w:rsidR="00FE14FA" w:rsidRPr="003A235D" w14:paraId="6D2E4FCB" w14:textId="77777777" w:rsidTr="00FE14FA">
        <w:tc>
          <w:tcPr>
            <w:tcW w:w="1177" w:type="pct"/>
            <w:shd w:val="clear" w:color="auto" w:fill="auto"/>
            <w:vAlign w:val="center"/>
          </w:tcPr>
          <w:p w14:paraId="714A5754" w14:textId="77777777" w:rsidR="00810A38" w:rsidRPr="00EE5627" w:rsidRDefault="00810A38" w:rsidP="00AE14F4">
            <w:pPr>
              <w:pStyle w:val="TableText"/>
            </w:pPr>
            <w:r w:rsidRPr="00EE5627">
              <w:t>Proportion not using SGLT2 inhibitors for other indications (90%)</w:t>
            </w:r>
          </w:p>
        </w:tc>
        <w:tc>
          <w:tcPr>
            <w:tcW w:w="628" w:type="pct"/>
            <w:shd w:val="clear" w:color="auto" w:fill="auto"/>
            <w:vAlign w:val="center"/>
          </w:tcPr>
          <w:p w14:paraId="4C053637" w14:textId="567BE954" w:rsidR="00810A38" w:rsidRPr="00B6635B" w:rsidRDefault="00B6635B" w:rsidP="00AE14F4">
            <w:pPr>
              <w:pStyle w:val="TableText"/>
              <w:jc w:val="center"/>
              <w:rPr>
                <w:highlight w:val="darkGray"/>
              </w:rPr>
            </w:pPr>
            <w:r w:rsidRPr="00642F27">
              <w:rPr>
                <w:rFonts w:hint="eastAsia"/>
                <w:color w:val="000000"/>
                <w:w w:val="19"/>
                <w:shd w:val="solid" w:color="000000" w:fill="000000"/>
                <w:fitText w:val="88" w:id="-1305203709"/>
                <w14:textFill>
                  <w14:solidFill>
                    <w14:srgbClr w14:val="000000">
                      <w14:alpha w14:val="100000"/>
                    </w14:srgbClr>
                  </w14:solidFill>
                </w14:textFill>
              </w:rPr>
              <w:t xml:space="preserve">　</w:t>
            </w:r>
            <w:r w:rsidRPr="00642F27">
              <w:rPr>
                <w:color w:val="000000"/>
                <w:w w:val="19"/>
                <w:shd w:val="solid" w:color="000000" w:fill="000000"/>
                <w:fitText w:val="88" w:id="-1305203709"/>
                <w14:textFill>
                  <w14:solidFill>
                    <w14:srgbClr w14:val="000000">
                      <w14:alpha w14:val="100000"/>
                    </w14:srgbClr>
                  </w14:solidFill>
                </w14:textFill>
              </w:rPr>
              <w:t>|</w:t>
            </w:r>
            <w:r w:rsidRPr="00642F27">
              <w:rPr>
                <w:rFonts w:hint="eastAsia"/>
                <w:color w:val="000000"/>
                <w:w w:val="19"/>
                <w:shd w:val="solid" w:color="000000" w:fill="000000"/>
                <w:fitText w:val="88" w:id="-1305203709"/>
                <w14:textFill>
                  <w14:solidFill>
                    <w14:srgbClr w14:val="000000">
                      <w14:alpha w14:val="100000"/>
                    </w14:srgbClr>
                  </w14:solidFill>
                </w14:textFill>
              </w:rPr>
              <w:t xml:space="preserve">　</w:t>
            </w:r>
            <w:r w:rsidR="00EE2946">
              <w:rPr>
                <w:vertAlign w:val="superscript"/>
              </w:rPr>
              <w:t>3</w:t>
            </w:r>
          </w:p>
        </w:tc>
        <w:tc>
          <w:tcPr>
            <w:tcW w:w="629" w:type="pct"/>
            <w:shd w:val="clear" w:color="auto" w:fill="auto"/>
            <w:vAlign w:val="center"/>
          </w:tcPr>
          <w:p w14:paraId="7EFDA9D4" w14:textId="1C4FAC1B" w:rsidR="00810A38" w:rsidRPr="00B6635B" w:rsidRDefault="00B6635B" w:rsidP="00AE14F4">
            <w:pPr>
              <w:pStyle w:val="TableText"/>
              <w:jc w:val="center"/>
              <w:rPr>
                <w:highlight w:val="darkGray"/>
              </w:rPr>
            </w:pPr>
            <w:r w:rsidRPr="00642F27">
              <w:rPr>
                <w:rFonts w:hint="eastAsia"/>
                <w:color w:val="000000"/>
                <w:w w:val="19"/>
                <w:shd w:val="solid" w:color="000000" w:fill="000000"/>
                <w:fitText w:val="88" w:id="-1305203708"/>
                <w14:textFill>
                  <w14:solidFill>
                    <w14:srgbClr w14:val="000000">
                      <w14:alpha w14:val="100000"/>
                    </w14:srgbClr>
                  </w14:solidFill>
                </w14:textFill>
              </w:rPr>
              <w:t xml:space="preserve">　</w:t>
            </w:r>
            <w:r w:rsidRPr="00642F27">
              <w:rPr>
                <w:color w:val="000000"/>
                <w:w w:val="19"/>
                <w:shd w:val="solid" w:color="000000" w:fill="000000"/>
                <w:fitText w:val="88" w:id="-1305203708"/>
                <w14:textFill>
                  <w14:solidFill>
                    <w14:srgbClr w14:val="000000">
                      <w14:alpha w14:val="100000"/>
                    </w14:srgbClr>
                  </w14:solidFill>
                </w14:textFill>
              </w:rPr>
              <w:t>|</w:t>
            </w:r>
            <w:r w:rsidRPr="00642F27">
              <w:rPr>
                <w:rFonts w:hint="eastAsia"/>
                <w:color w:val="000000"/>
                <w:w w:val="19"/>
                <w:shd w:val="solid" w:color="000000" w:fill="000000"/>
                <w:fitText w:val="88" w:id="-1305203708"/>
                <w14:textFill>
                  <w14:solidFill>
                    <w14:srgbClr w14:val="000000">
                      <w14:alpha w14:val="100000"/>
                    </w14:srgbClr>
                  </w14:solidFill>
                </w14:textFill>
              </w:rPr>
              <w:t xml:space="preserve">　</w:t>
            </w:r>
            <w:r w:rsidR="00393DF3">
              <w:rPr>
                <w:vertAlign w:val="superscript"/>
              </w:rPr>
              <w:t>3</w:t>
            </w:r>
          </w:p>
        </w:tc>
        <w:tc>
          <w:tcPr>
            <w:tcW w:w="629" w:type="pct"/>
            <w:shd w:val="clear" w:color="auto" w:fill="auto"/>
            <w:vAlign w:val="center"/>
          </w:tcPr>
          <w:p w14:paraId="64691FA7" w14:textId="25F3B5B6" w:rsidR="00810A38" w:rsidRPr="00B6635B" w:rsidRDefault="00B6635B" w:rsidP="00AE14F4">
            <w:pPr>
              <w:pStyle w:val="TableText"/>
              <w:jc w:val="center"/>
              <w:rPr>
                <w:highlight w:val="darkGray"/>
              </w:rPr>
            </w:pPr>
            <w:r w:rsidRPr="00642F27">
              <w:rPr>
                <w:rFonts w:hint="eastAsia"/>
                <w:color w:val="000000"/>
                <w:w w:val="19"/>
                <w:shd w:val="solid" w:color="000000" w:fill="000000"/>
                <w:fitText w:val="87" w:id="-1305203707"/>
                <w14:textFill>
                  <w14:solidFill>
                    <w14:srgbClr w14:val="000000">
                      <w14:alpha w14:val="100000"/>
                    </w14:srgbClr>
                  </w14:solidFill>
                </w14:textFill>
              </w:rPr>
              <w:t xml:space="preserve">　</w:t>
            </w:r>
            <w:r w:rsidRPr="00642F27">
              <w:rPr>
                <w:color w:val="000000"/>
                <w:w w:val="19"/>
                <w:shd w:val="solid" w:color="000000" w:fill="000000"/>
                <w:fitText w:val="87" w:id="-1305203707"/>
                <w14:textFill>
                  <w14:solidFill>
                    <w14:srgbClr w14:val="000000">
                      <w14:alpha w14:val="100000"/>
                    </w14:srgbClr>
                  </w14:solidFill>
                </w14:textFill>
              </w:rPr>
              <w:t>|</w:t>
            </w:r>
            <w:r w:rsidRPr="00642F27">
              <w:rPr>
                <w:rFonts w:hint="eastAsia"/>
                <w:color w:val="000000"/>
                <w:w w:val="19"/>
                <w:shd w:val="solid" w:color="000000" w:fill="000000"/>
                <w:fitText w:val="87" w:id="-1305203707"/>
                <w14:textFill>
                  <w14:solidFill>
                    <w14:srgbClr w14:val="000000">
                      <w14:alpha w14:val="100000"/>
                    </w14:srgbClr>
                  </w14:solidFill>
                </w14:textFill>
              </w:rPr>
              <w:t xml:space="preserve">　</w:t>
            </w:r>
            <w:r w:rsidR="00393DF3">
              <w:rPr>
                <w:vertAlign w:val="superscript"/>
              </w:rPr>
              <w:t>3</w:t>
            </w:r>
          </w:p>
        </w:tc>
        <w:tc>
          <w:tcPr>
            <w:tcW w:w="629" w:type="pct"/>
            <w:shd w:val="clear" w:color="auto" w:fill="auto"/>
            <w:vAlign w:val="center"/>
          </w:tcPr>
          <w:p w14:paraId="2FF02A67" w14:textId="70046728" w:rsidR="00810A38" w:rsidRPr="00B6635B" w:rsidRDefault="00B6635B" w:rsidP="00AE14F4">
            <w:pPr>
              <w:pStyle w:val="TableText"/>
              <w:jc w:val="center"/>
              <w:rPr>
                <w:highlight w:val="darkGray"/>
              </w:rPr>
            </w:pPr>
            <w:r w:rsidRPr="00642F27">
              <w:rPr>
                <w:rFonts w:hint="eastAsia"/>
                <w:color w:val="000000"/>
                <w:w w:val="19"/>
                <w:shd w:val="solid" w:color="000000" w:fill="000000"/>
                <w:fitText w:val="88" w:id="-1305203706"/>
                <w14:textFill>
                  <w14:solidFill>
                    <w14:srgbClr w14:val="000000">
                      <w14:alpha w14:val="100000"/>
                    </w14:srgbClr>
                  </w14:solidFill>
                </w14:textFill>
              </w:rPr>
              <w:t xml:space="preserve">　</w:t>
            </w:r>
            <w:r w:rsidRPr="00642F27">
              <w:rPr>
                <w:color w:val="000000"/>
                <w:w w:val="19"/>
                <w:shd w:val="solid" w:color="000000" w:fill="000000"/>
                <w:fitText w:val="88" w:id="-1305203706"/>
                <w14:textFill>
                  <w14:solidFill>
                    <w14:srgbClr w14:val="000000">
                      <w14:alpha w14:val="100000"/>
                    </w14:srgbClr>
                  </w14:solidFill>
                </w14:textFill>
              </w:rPr>
              <w:t>|</w:t>
            </w:r>
            <w:r w:rsidRPr="00642F27">
              <w:rPr>
                <w:rFonts w:hint="eastAsia"/>
                <w:color w:val="000000"/>
                <w:w w:val="19"/>
                <w:shd w:val="solid" w:color="000000" w:fill="000000"/>
                <w:fitText w:val="88" w:id="-1305203706"/>
                <w14:textFill>
                  <w14:solidFill>
                    <w14:srgbClr w14:val="000000">
                      <w14:alpha w14:val="100000"/>
                    </w14:srgbClr>
                  </w14:solidFill>
                </w14:textFill>
              </w:rPr>
              <w:t xml:space="preserve">　</w:t>
            </w:r>
            <w:r w:rsidR="00393DF3">
              <w:rPr>
                <w:vertAlign w:val="superscript"/>
              </w:rPr>
              <w:t>3</w:t>
            </w:r>
          </w:p>
        </w:tc>
        <w:tc>
          <w:tcPr>
            <w:tcW w:w="629" w:type="pct"/>
            <w:shd w:val="clear" w:color="auto" w:fill="auto"/>
            <w:vAlign w:val="center"/>
          </w:tcPr>
          <w:p w14:paraId="2B977801" w14:textId="6118C0CC" w:rsidR="00810A38" w:rsidRPr="00B6635B" w:rsidRDefault="00B6635B" w:rsidP="00AE14F4">
            <w:pPr>
              <w:pStyle w:val="TableText"/>
              <w:jc w:val="center"/>
              <w:rPr>
                <w:highlight w:val="darkGray"/>
              </w:rPr>
            </w:pPr>
            <w:r w:rsidRPr="00642F27">
              <w:rPr>
                <w:rFonts w:hint="eastAsia"/>
                <w:color w:val="000000"/>
                <w:w w:val="19"/>
                <w:shd w:val="solid" w:color="000000" w:fill="000000"/>
                <w:fitText w:val="88" w:id="-1305203705"/>
                <w14:textFill>
                  <w14:solidFill>
                    <w14:srgbClr w14:val="000000">
                      <w14:alpha w14:val="100000"/>
                    </w14:srgbClr>
                  </w14:solidFill>
                </w14:textFill>
              </w:rPr>
              <w:t xml:space="preserve">　</w:t>
            </w:r>
            <w:r w:rsidRPr="00642F27">
              <w:rPr>
                <w:color w:val="000000"/>
                <w:w w:val="19"/>
                <w:shd w:val="solid" w:color="000000" w:fill="000000"/>
                <w:fitText w:val="88" w:id="-1305203705"/>
                <w14:textFill>
                  <w14:solidFill>
                    <w14:srgbClr w14:val="000000">
                      <w14:alpha w14:val="100000"/>
                    </w14:srgbClr>
                  </w14:solidFill>
                </w14:textFill>
              </w:rPr>
              <w:t>|</w:t>
            </w:r>
            <w:r w:rsidRPr="00642F27">
              <w:rPr>
                <w:rFonts w:hint="eastAsia"/>
                <w:color w:val="000000"/>
                <w:spacing w:val="4"/>
                <w:w w:val="19"/>
                <w:shd w:val="solid" w:color="000000" w:fill="000000"/>
                <w:fitText w:val="88" w:id="-1305203705"/>
                <w14:textFill>
                  <w14:solidFill>
                    <w14:srgbClr w14:val="000000">
                      <w14:alpha w14:val="100000"/>
                    </w14:srgbClr>
                  </w14:solidFill>
                </w14:textFill>
              </w:rPr>
              <w:t xml:space="preserve">　</w:t>
            </w:r>
            <w:r w:rsidR="00393DF3">
              <w:rPr>
                <w:vertAlign w:val="superscript"/>
              </w:rPr>
              <w:t>3</w:t>
            </w:r>
          </w:p>
        </w:tc>
        <w:tc>
          <w:tcPr>
            <w:tcW w:w="679" w:type="pct"/>
            <w:shd w:val="clear" w:color="auto" w:fill="auto"/>
            <w:vAlign w:val="center"/>
          </w:tcPr>
          <w:p w14:paraId="6CE375E2" w14:textId="5F443692" w:rsidR="00810A38" w:rsidRPr="00B6635B" w:rsidRDefault="00B6635B" w:rsidP="00AE14F4">
            <w:pPr>
              <w:pStyle w:val="TableText"/>
              <w:jc w:val="center"/>
              <w:rPr>
                <w:highlight w:val="darkGray"/>
              </w:rPr>
            </w:pPr>
            <w:r w:rsidRPr="00642F27">
              <w:rPr>
                <w:rFonts w:hint="eastAsia"/>
                <w:color w:val="000000"/>
                <w:w w:val="15"/>
                <w:shd w:val="solid" w:color="000000" w:fill="000000"/>
                <w:fitText w:val="50" w:id="-1305203704"/>
                <w14:textFill>
                  <w14:solidFill>
                    <w14:srgbClr w14:val="000000">
                      <w14:alpha w14:val="100000"/>
                    </w14:srgbClr>
                  </w14:solidFill>
                </w14:textFill>
              </w:rPr>
              <w:t xml:space="preserve">　</w:t>
            </w:r>
            <w:r w:rsidRPr="00642F27">
              <w:rPr>
                <w:color w:val="000000"/>
                <w:w w:val="15"/>
                <w:shd w:val="solid" w:color="000000" w:fill="000000"/>
                <w:fitText w:val="50" w:id="-1305203704"/>
                <w14:textFill>
                  <w14:solidFill>
                    <w14:srgbClr w14:val="000000">
                      <w14:alpha w14:val="100000"/>
                    </w14:srgbClr>
                  </w14:solidFill>
                </w14:textFill>
              </w:rPr>
              <w:t>|</w:t>
            </w:r>
            <w:r w:rsidRPr="00642F27">
              <w:rPr>
                <w:rFonts w:hint="eastAsia"/>
                <w:color w:val="000000"/>
                <w:spacing w:val="-15"/>
                <w:w w:val="15"/>
                <w:shd w:val="solid" w:color="000000" w:fill="000000"/>
                <w:fitText w:val="50" w:id="-1305203704"/>
                <w14:textFill>
                  <w14:solidFill>
                    <w14:srgbClr w14:val="000000">
                      <w14:alpha w14:val="100000"/>
                    </w14:srgbClr>
                  </w14:solidFill>
                </w14:textFill>
              </w:rPr>
              <w:t xml:space="preserve">　</w:t>
            </w:r>
            <w:r w:rsidR="00393DF3">
              <w:rPr>
                <w:vertAlign w:val="superscript"/>
              </w:rPr>
              <w:t>3</w:t>
            </w:r>
          </w:p>
        </w:tc>
      </w:tr>
      <w:tr w:rsidR="00FE14FA" w:rsidRPr="003A235D" w14:paraId="14B3747C" w14:textId="77777777" w:rsidTr="00FE14FA">
        <w:tc>
          <w:tcPr>
            <w:tcW w:w="1177" w:type="pct"/>
            <w:shd w:val="clear" w:color="auto" w:fill="auto"/>
            <w:vAlign w:val="center"/>
          </w:tcPr>
          <w:p w14:paraId="24B7FFC8" w14:textId="77777777" w:rsidR="00810A38" w:rsidRPr="003A235D" w:rsidRDefault="00810A38" w:rsidP="00AE14F4">
            <w:pPr>
              <w:pStyle w:val="TableText"/>
              <w:rPr>
                <w:vertAlign w:val="superscript"/>
              </w:rPr>
            </w:pPr>
            <w:r w:rsidRPr="003A235D">
              <w:t>Uptake</w:t>
            </w:r>
          </w:p>
        </w:tc>
        <w:tc>
          <w:tcPr>
            <w:tcW w:w="628" w:type="pct"/>
            <w:shd w:val="clear" w:color="auto" w:fill="auto"/>
            <w:vAlign w:val="center"/>
          </w:tcPr>
          <w:p w14:paraId="41DC57D3" w14:textId="740D70B7" w:rsidR="00810A38" w:rsidRPr="00E30BFE" w:rsidRDefault="00B6635B" w:rsidP="00AE14F4">
            <w:pPr>
              <w:pStyle w:val="TableText"/>
              <w:jc w:val="center"/>
            </w:pPr>
            <w:r w:rsidRPr="00642F27">
              <w:rPr>
                <w:rFonts w:hint="eastAsia"/>
                <w:color w:val="000000"/>
                <w:w w:val="28"/>
                <w:shd w:val="solid" w:color="000000" w:fill="000000"/>
                <w:fitText w:val="126" w:id="-1305203703"/>
                <w14:textFill>
                  <w14:solidFill>
                    <w14:srgbClr w14:val="000000">
                      <w14:alpha w14:val="100000"/>
                    </w14:srgbClr>
                  </w14:solidFill>
                </w14:textFill>
              </w:rPr>
              <w:t xml:space="preserve">　</w:t>
            </w:r>
            <w:r w:rsidRPr="00642F27">
              <w:rPr>
                <w:color w:val="000000"/>
                <w:w w:val="28"/>
                <w:shd w:val="solid" w:color="000000" w:fill="000000"/>
                <w:fitText w:val="126" w:id="-1305203703"/>
                <w14:textFill>
                  <w14:solidFill>
                    <w14:srgbClr w14:val="000000">
                      <w14:alpha w14:val="100000"/>
                    </w14:srgbClr>
                  </w14:solidFill>
                </w14:textFill>
              </w:rPr>
              <w:t>|</w:t>
            </w:r>
            <w:r w:rsidRPr="00642F27">
              <w:rPr>
                <w:rFonts w:hint="eastAsia"/>
                <w:color w:val="000000"/>
                <w:w w:val="28"/>
                <w:shd w:val="solid" w:color="000000" w:fill="000000"/>
                <w:fitText w:val="126" w:id="-1305203703"/>
                <w14:textFill>
                  <w14:solidFill>
                    <w14:srgbClr w14:val="000000">
                      <w14:alpha w14:val="100000"/>
                    </w14:srgbClr>
                  </w14:solidFill>
                </w14:textFill>
              </w:rPr>
              <w:t xml:space="preserve">　</w:t>
            </w:r>
            <w:r w:rsidR="00810A38" w:rsidRPr="00E30BFE">
              <w:t>%</w:t>
            </w:r>
          </w:p>
        </w:tc>
        <w:tc>
          <w:tcPr>
            <w:tcW w:w="629" w:type="pct"/>
            <w:shd w:val="clear" w:color="auto" w:fill="auto"/>
            <w:vAlign w:val="center"/>
          </w:tcPr>
          <w:p w14:paraId="3D220E06" w14:textId="147A76A7" w:rsidR="00810A38" w:rsidRPr="00E30BFE" w:rsidRDefault="00B6635B" w:rsidP="00AE14F4">
            <w:pPr>
              <w:pStyle w:val="TableText"/>
              <w:jc w:val="center"/>
            </w:pPr>
            <w:r w:rsidRPr="00642F27">
              <w:rPr>
                <w:rFonts w:hint="eastAsia"/>
                <w:color w:val="000000"/>
                <w:w w:val="28"/>
                <w:shd w:val="solid" w:color="000000" w:fill="000000"/>
                <w:fitText w:val="125" w:id="-1305203702"/>
                <w14:textFill>
                  <w14:solidFill>
                    <w14:srgbClr w14:val="000000">
                      <w14:alpha w14:val="100000"/>
                    </w14:srgbClr>
                  </w14:solidFill>
                </w14:textFill>
              </w:rPr>
              <w:t xml:space="preserve">　</w:t>
            </w:r>
            <w:r w:rsidRPr="00642F27">
              <w:rPr>
                <w:color w:val="000000"/>
                <w:w w:val="28"/>
                <w:shd w:val="solid" w:color="000000" w:fill="000000"/>
                <w:fitText w:val="125" w:id="-1305203702"/>
                <w14:textFill>
                  <w14:solidFill>
                    <w14:srgbClr w14:val="000000">
                      <w14:alpha w14:val="100000"/>
                    </w14:srgbClr>
                  </w14:solidFill>
                </w14:textFill>
              </w:rPr>
              <w:t>|</w:t>
            </w:r>
            <w:r w:rsidRPr="00642F27">
              <w:rPr>
                <w:rFonts w:hint="eastAsia"/>
                <w:color w:val="000000"/>
                <w:w w:val="28"/>
                <w:shd w:val="solid" w:color="000000" w:fill="000000"/>
                <w:fitText w:val="125" w:id="-1305203702"/>
                <w14:textFill>
                  <w14:solidFill>
                    <w14:srgbClr w14:val="000000">
                      <w14:alpha w14:val="100000"/>
                    </w14:srgbClr>
                  </w14:solidFill>
                </w14:textFill>
              </w:rPr>
              <w:t xml:space="preserve">　</w:t>
            </w:r>
            <w:r w:rsidR="00810A38" w:rsidRPr="00E30BFE">
              <w:t>%</w:t>
            </w:r>
          </w:p>
        </w:tc>
        <w:tc>
          <w:tcPr>
            <w:tcW w:w="629" w:type="pct"/>
            <w:shd w:val="clear" w:color="auto" w:fill="auto"/>
            <w:vAlign w:val="center"/>
          </w:tcPr>
          <w:p w14:paraId="5E80C3E2" w14:textId="6DBD65E7" w:rsidR="00810A38" w:rsidRPr="00E30BFE" w:rsidRDefault="00B6635B" w:rsidP="00AE14F4">
            <w:pPr>
              <w:pStyle w:val="TableText"/>
              <w:jc w:val="center"/>
            </w:pPr>
            <w:r w:rsidRPr="00642F27">
              <w:rPr>
                <w:rFonts w:hint="eastAsia"/>
                <w:color w:val="000000"/>
                <w:w w:val="28"/>
                <w:shd w:val="solid" w:color="000000" w:fill="000000"/>
                <w:fitText w:val="125" w:id="-1305203701"/>
                <w14:textFill>
                  <w14:solidFill>
                    <w14:srgbClr w14:val="000000">
                      <w14:alpha w14:val="100000"/>
                    </w14:srgbClr>
                  </w14:solidFill>
                </w14:textFill>
              </w:rPr>
              <w:t xml:space="preserve">　</w:t>
            </w:r>
            <w:r w:rsidRPr="00642F27">
              <w:rPr>
                <w:color w:val="000000"/>
                <w:w w:val="28"/>
                <w:shd w:val="solid" w:color="000000" w:fill="000000"/>
                <w:fitText w:val="125" w:id="-1305203701"/>
                <w14:textFill>
                  <w14:solidFill>
                    <w14:srgbClr w14:val="000000">
                      <w14:alpha w14:val="100000"/>
                    </w14:srgbClr>
                  </w14:solidFill>
                </w14:textFill>
              </w:rPr>
              <w:t>|</w:t>
            </w:r>
            <w:r w:rsidRPr="00642F27">
              <w:rPr>
                <w:rFonts w:hint="eastAsia"/>
                <w:color w:val="000000"/>
                <w:w w:val="28"/>
                <w:shd w:val="solid" w:color="000000" w:fill="000000"/>
                <w:fitText w:val="125" w:id="-1305203701"/>
                <w14:textFill>
                  <w14:solidFill>
                    <w14:srgbClr w14:val="000000">
                      <w14:alpha w14:val="100000"/>
                    </w14:srgbClr>
                  </w14:solidFill>
                </w14:textFill>
              </w:rPr>
              <w:t xml:space="preserve">　</w:t>
            </w:r>
            <w:r w:rsidR="00810A38" w:rsidRPr="00E30BFE">
              <w:t>%</w:t>
            </w:r>
          </w:p>
        </w:tc>
        <w:tc>
          <w:tcPr>
            <w:tcW w:w="629" w:type="pct"/>
            <w:shd w:val="clear" w:color="auto" w:fill="auto"/>
            <w:vAlign w:val="center"/>
          </w:tcPr>
          <w:p w14:paraId="0CE7AECA" w14:textId="02633FCD" w:rsidR="00810A38" w:rsidRPr="00E30BFE" w:rsidRDefault="00B6635B" w:rsidP="00AE14F4">
            <w:pPr>
              <w:pStyle w:val="TableText"/>
              <w:jc w:val="center"/>
            </w:pPr>
            <w:r w:rsidRPr="00642F27">
              <w:rPr>
                <w:rFonts w:hint="eastAsia"/>
                <w:color w:val="000000"/>
                <w:w w:val="28"/>
                <w:shd w:val="solid" w:color="000000" w:fill="000000"/>
                <w:fitText w:val="125" w:id="-1305203700"/>
                <w14:textFill>
                  <w14:solidFill>
                    <w14:srgbClr w14:val="000000">
                      <w14:alpha w14:val="100000"/>
                    </w14:srgbClr>
                  </w14:solidFill>
                </w14:textFill>
              </w:rPr>
              <w:t xml:space="preserve">　</w:t>
            </w:r>
            <w:r w:rsidRPr="00642F27">
              <w:rPr>
                <w:color w:val="000000"/>
                <w:w w:val="28"/>
                <w:shd w:val="solid" w:color="000000" w:fill="000000"/>
                <w:fitText w:val="125" w:id="-1305203700"/>
                <w14:textFill>
                  <w14:solidFill>
                    <w14:srgbClr w14:val="000000">
                      <w14:alpha w14:val="100000"/>
                    </w14:srgbClr>
                  </w14:solidFill>
                </w14:textFill>
              </w:rPr>
              <w:t>|</w:t>
            </w:r>
            <w:r w:rsidRPr="00642F27">
              <w:rPr>
                <w:rFonts w:hint="eastAsia"/>
                <w:color w:val="000000"/>
                <w:w w:val="28"/>
                <w:shd w:val="solid" w:color="000000" w:fill="000000"/>
                <w:fitText w:val="125" w:id="-1305203700"/>
                <w14:textFill>
                  <w14:solidFill>
                    <w14:srgbClr w14:val="000000">
                      <w14:alpha w14:val="100000"/>
                    </w14:srgbClr>
                  </w14:solidFill>
                </w14:textFill>
              </w:rPr>
              <w:t xml:space="preserve">　</w:t>
            </w:r>
            <w:r w:rsidR="00810A38" w:rsidRPr="00E30BFE">
              <w:t>%</w:t>
            </w:r>
          </w:p>
        </w:tc>
        <w:tc>
          <w:tcPr>
            <w:tcW w:w="629" w:type="pct"/>
            <w:shd w:val="clear" w:color="auto" w:fill="auto"/>
            <w:vAlign w:val="center"/>
          </w:tcPr>
          <w:p w14:paraId="2F292E43" w14:textId="1B4B44ED" w:rsidR="00810A38" w:rsidRPr="00E30BFE" w:rsidRDefault="00B6635B" w:rsidP="00AE14F4">
            <w:pPr>
              <w:pStyle w:val="TableText"/>
              <w:jc w:val="center"/>
            </w:pPr>
            <w:r w:rsidRPr="00642F27">
              <w:rPr>
                <w:rFonts w:hint="eastAsia"/>
                <w:color w:val="000000"/>
                <w:w w:val="28"/>
                <w:shd w:val="solid" w:color="000000" w:fill="000000"/>
                <w:fitText w:val="125" w:id="-1305203699"/>
                <w14:textFill>
                  <w14:solidFill>
                    <w14:srgbClr w14:val="000000">
                      <w14:alpha w14:val="100000"/>
                    </w14:srgbClr>
                  </w14:solidFill>
                </w14:textFill>
              </w:rPr>
              <w:t xml:space="preserve">　</w:t>
            </w:r>
            <w:r w:rsidRPr="00642F27">
              <w:rPr>
                <w:color w:val="000000"/>
                <w:w w:val="28"/>
                <w:shd w:val="solid" w:color="000000" w:fill="000000"/>
                <w:fitText w:val="125" w:id="-1305203699"/>
                <w14:textFill>
                  <w14:solidFill>
                    <w14:srgbClr w14:val="000000">
                      <w14:alpha w14:val="100000"/>
                    </w14:srgbClr>
                  </w14:solidFill>
                </w14:textFill>
              </w:rPr>
              <w:t>|</w:t>
            </w:r>
            <w:r w:rsidRPr="00642F27">
              <w:rPr>
                <w:rFonts w:hint="eastAsia"/>
                <w:color w:val="000000"/>
                <w:spacing w:val="3"/>
                <w:w w:val="28"/>
                <w:shd w:val="solid" w:color="000000" w:fill="000000"/>
                <w:fitText w:val="125" w:id="-1305203699"/>
                <w14:textFill>
                  <w14:solidFill>
                    <w14:srgbClr w14:val="000000">
                      <w14:alpha w14:val="100000"/>
                    </w14:srgbClr>
                  </w14:solidFill>
                </w14:textFill>
              </w:rPr>
              <w:t xml:space="preserve">　</w:t>
            </w:r>
            <w:r w:rsidR="00810A38" w:rsidRPr="00E30BFE">
              <w:t>%</w:t>
            </w:r>
          </w:p>
        </w:tc>
        <w:tc>
          <w:tcPr>
            <w:tcW w:w="679" w:type="pct"/>
            <w:shd w:val="clear" w:color="auto" w:fill="auto"/>
            <w:vAlign w:val="center"/>
          </w:tcPr>
          <w:p w14:paraId="59E080A1" w14:textId="402775D3" w:rsidR="00810A38" w:rsidRPr="00E30BFE" w:rsidRDefault="00B6635B" w:rsidP="00AE14F4">
            <w:pPr>
              <w:pStyle w:val="TableText"/>
              <w:jc w:val="center"/>
            </w:pPr>
            <w:r w:rsidRPr="00642F27">
              <w:rPr>
                <w:rFonts w:hint="eastAsia"/>
                <w:color w:val="000000"/>
                <w:w w:val="16"/>
                <w:shd w:val="solid" w:color="000000" w:fill="000000"/>
                <w:fitText w:val="75" w:id="-1305203698"/>
                <w14:textFill>
                  <w14:solidFill>
                    <w14:srgbClr w14:val="000000">
                      <w14:alpha w14:val="100000"/>
                    </w14:srgbClr>
                  </w14:solidFill>
                </w14:textFill>
              </w:rPr>
              <w:t xml:space="preserve">　</w:t>
            </w:r>
            <w:r w:rsidRPr="00642F27">
              <w:rPr>
                <w:color w:val="000000"/>
                <w:w w:val="16"/>
                <w:shd w:val="solid" w:color="000000" w:fill="000000"/>
                <w:fitText w:val="75" w:id="-1305203698"/>
                <w14:textFill>
                  <w14:solidFill>
                    <w14:srgbClr w14:val="000000">
                      <w14:alpha w14:val="100000"/>
                    </w14:srgbClr>
                  </w14:solidFill>
                </w14:textFill>
              </w:rPr>
              <w:t>|</w:t>
            </w:r>
            <w:r w:rsidRPr="00642F27">
              <w:rPr>
                <w:rFonts w:hint="eastAsia"/>
                <w:color w:val="000000"/>
                <w:w w:val="16"/>
                <w:shd w:val="solid" w:color="000000" w:fill="000000"/>
                <w:fitText w:val="75" w:id="-1305203698"/>
                <w14:textFill>
                  <w14:solidFill>
                    <w14:srgbClr w14:val="000000">
                      <w14:alpha w14:val="100000"/>
                    </w14:srgbClr>
                  </w14:solidFill>
                </w14:textFill>
              </w:rPr>
              <w:t xml:space="preserve">　</w:t>
            </w:r>
            <w:r w:rsidR="00810A38" w:rsidRPr="00E30BFE">
              <w:t>%</w:t>
            </w:r>
          </w:p>
        </w:tc>
      </w:tr>
      <w:tr w:rsidR="00FE14FA" w:rsidRPr="003A235D" w14:paraId="29078F07" w14:textId="77777777" w:rsidTr="00FE14FA">
        <w:tc>
          <w:tcPr>
            <w:tcW w:w="1177" w:type="pct"/>
            <w:shd w:val="clear" w:color="auto" w:fill="auto"/>
            <w:vAlign w:val="center"/>
          </w:tcPr>
          <w:p w14:paraId="43888446" w14:textId="77777777" w:rsidR="00810A38" w:rsidRPr="003A235D" w:rsidRDefault="00810A38" w:rsidP="00AE14F4">
            <w:pPr>
              <w:pStyle w:val="TableText"/>
            </w:pPr>
            <w:r w:rsidRPr="003A235D">
              <w:t>Patients treated with empagliflozin</w:t>
            </w:r>
          </w:p>
        </w:tc>
        <w:tc>
          <w:tcPr>
            <w:tcW w:w="628" w:type="pct"/>
            <w:shd w:val="clear" w:color="auto" w:fill="auto"/>
            <w:vAlign w:val="center"/>
          </w:tcPr>
          <w:p w14:paraId="6747595A" w14:textId="05043E21" w:rsidR="00810A38" w:rsidRPr="00B6635B" w:rsidRDefault="00B6635B" w:rsidP="00AE14F4">
            <w:pPr>
              <w:pStyle w:val="TableText"/>
              <w:jc w:val="center"/>
              <w:rPr>
                <w:highlight w:val="darkGray"/>
              </w:rPr>
            </w:pPr>
            <w:r w:rsidRPr="00642F27">
              <w:rPr>
                <w:rFonts w:hint="eastAsia"/>
                <w:color w:val="000000"/>
                <w:w w:val="19"/>
                <w:shd w:val="solid" w:color="000000" w:fill="000000"/>
                <w:fitText w:val="88" w:id="-1305203697"/>
                <w14:textFill>
                  <w14:solidFill>
                    <w14:srgbClr w14:val="000000">
                      <w14:alpha w14:val="100000"/>
                    </w14:srgbClr>
                  </w14:solidFill>
                </w14:textFill>
              </w:rPr>
              <w:t xml:space="preserve">　</w:t>
            </w:r>
            <w:r w:rsidRPr="00642F27">
              <w:rPr>
                <w:color w:val="000000"/>
                <w:w w:val="19"/>
                <w:shd w:val="solid" w:color="000000" w:fill="000000"/>
                <w:fitText w:val="88" w:id="-1305203697"/>
                <w14:textFill>
                  <w14:solidFill>
                    <w14:srgbClr w14:val="000000">
                      <w14:alpha w14:val="100000"/>
                    </w14:srgbClr>
                  </w14:solidFill>
                </w14:textFill>
              </w:rPr>
              <w:t>|</w:t>
            </w:r>
            <w:r w:rsidRPr="00642F27">
              <w:rPr>
                <w:rFonts w:hint="eastAsia"/>
                <w:color w:val="000000"/>
                <w:w w:val="19"/>
                <w:shd w:val="solid" w:color="000000" w:fill="000000"/>
                <w:fitText w:val="88" w:id="-1305203697"/>
                <w14:textFill>
                  <w14:solidFill>
                    <w14:srgbClr w14:val="000000">
                      <w14:alpha w14:val="100000"/>
                    </w14:srgbClr>
                  </w14:solidFill>
                </w14:textFill>
              </w:rPr>
              <w:t xml:space="preserve">　</w:t>
            </w:r>
            <w:r w:rsidR="00EE2946">
              <w:rPr>
                <w:vertAlign w:val="superscript"/>
              </w:rPr>
              <w:t>4</w:t>
            </w:r>
          </w:p>
        </w:tc>
        <w:tc>
          <w:tcPr>
            <w:tcW w:w="629" w:type="pct"/>
            <w:shd w:val="clear" w:color="auto" w:fill="auto"/>
            <w:vAlign w:val="center"/>
          </w:tcPr>
          <w:p w14:paraId="373BCF6D" w14:textId="6B2195EF" w:rsidR="00810A38" w:rsidRPr="00B6635B" w:rsidRDefault="00B6635B" w:rsidP="00AE14F4">
            <w:pPr>
              <w:pStyle w:val="TableText"/>
              <w:jc w:val="center"/>
              <w:rPr>
                <w:highlight w:val="darkGray"/>
              </w:rPr>
            </w:pPr>
            <w:r w:rsidRPr="00642F27">
              <w:rPr>
                <w:rFonts w:hint="eastAsia"/>
                <w:color w:val="000000"/>
                <w:w w:val="28"/>
                <w:shd w:val="solid" w:color="000000" w:fill="000000"/>
                <w:fitText w:val="126" w:id="-1305203696"/>
                <w14:textFill>
                  <w14:solidFill>
                    <w14:srgbClr w14:val="000000">
                      <w14:alpha w14:val="100000"/>
                    </w14:srgbClr>
                  </w14:solidFill>
                </w14:textFill>
              </w:rPr>
              <w:t xml:space="preserve">　</w:t>
            </w:r>
            <w:r w:rsidRPr="00642F27">
              <w:rPr>
                <w:color w:val="000000"/>
                <w:w w:val="28"/>
                <w:shd w:val="solid" w:color="000000" w:fill="000000"/>
                <w:fitText w:val="126" w:id="-1305203696"/>
                <w14:textFill>
                  <w14:solidFill>
                    <w14:srgbClr w14:val="000000">
                      <w14:alpha w14:val="100000"/>
                    </w14:srgbClr>
                  </w14:solidFill>
                </w14:textFill>
              </w:rPr>
              <w:t>|</w:t>
            </w:r>
            <w:r w:rsidRPr="00642F27">
              <w:rPr>
                <w:rFonts w:hint="eastAsia"/>
                <w:color w:val="000000"/>
                <w:spacing w:val="4"/>
                <w:w w:val="28"/>
                <w:shd w:val="solid" w:color="000000" w:fill="000000"/>
                <w:fitText w:val="126" w:id="-1305203696"/>
                <w14:textFill>
                  <w14:solidFill>
                    <w14:srgbClr w14:val="000000">
                      <w14:alpha w14:val="100000"/>
                    </w14:srgbClr>
                  </w14:solidFill>
                </w14:textFill>
              </w:rPr>
              <w:t xml:space="preserve">　</w:t>
            </w:r>
            <w:r w:rsidR="00393DF3">
              <w:rPr>
                <w:vertAlign w:val="superscript"/>
              </w:rPr>
              <w:t>10</w:t>
            </w:r>
          </w:p>
        </w:tc>
        <w:tc>
          <w:tcPr>
            <w:tcW w:w="629" w:type="pct"/>
            <w:shd w:val="clear" w:color="auto" w:fill="auto"/>
            <w:vAlign w:val="center"/>
          </w:tcPr>
          <w:p w14:paraId="0C915A7F" w14:textId="53C4D154" w:rsidR="00810A38" w:rsidRPr="00B6635B" w:rsidRDefault="00B6635B" w:rsidP="00AE14F4">
            <w:pPr>
              <w:pStyle w:val="TableText"/>
              <w:jc w:val="center"/>
              <w:rPr>
                <w:highlight w:val="darkGray"/>
              </w:rPr>
            </w:pPr>
            <w:r w:rsidRPr="00642F27">
              <w:rPr>
                <w:rFonts w:hint="eastAsia"/>
                <w:color w:val="000000"/>
                <w:w w:val="28"/>
                <w:shd w:val="solid" w:color="000000" w:fill="000000"/>
                <w:fitText w:val="125" w:id="-1305203712"/>
                <w14:textFill>
                  <w14:solidFill>
                    <w14:srgbClr w14:val="000000">
                      <w14:alpha w14:val="100000"/>
                    </w14:srgbClr>
                  </w14:solidFill>
                </w14:textFill>
              </w:rPr>
              <w:t xml:space="preserve">　</w:t>
            </w:r>
            <w:r w:rsidRPr="00642F27">
              <w:rPr>
                <w:color w:val="000000"/>
                <w:w w:val="28"/>
                <w:shd w:val="solid" w:color="000000" w:fill="000000"/>
                <w:fitText w:val="125" w:id="-1305203712"/>
                <w14:textFill>
                  <w14:solidFill>
                    <w14:srgbClr w14:val="000000">
                      <w14:alpha w14:val="100000"/>
                    </w14:srgbClr>
                  </w14:solidFill>
                </w14:textFill>
              </w:rPr>
              <w:t>|</w:t>
            </w:r>
            <w:r w:rsidRPr="00642F27">
              <w:rPr>
                <w:rFonts w:hint="eastAsia"/>
                <w:color w:val="000000"/>
                <w:w w:val="28"/>
                <w:shd w:val="solid" w:color="000000" w:fill="000000"/>
                <w:fitText w:val="125" w:id="-1305203712"/>
                <w14:textFill>
                  <w14:solidFill>
                    <w14:srgbClr w14:val="000000">
                      <w14:alpha w14:val="100000"/>
                    </w14:srgbClr>
                  </w14:solidFill>
                </w14:textFill>
              </w:rPr>
              <w:t xml:space="preserve">　</w:t>
            </w:r>
            <w:r w:rsidR="008722FD">
              <w:rPr>
                <w:vertAlign w:val="superscript"/>
              </w:rPr>
              <w:t>13</w:t>
            </w:r>
          </w:p>
        </w:tc>
        <w:tc>
          <w:tcPr>
            <w:tcW w:w="629" w:type="pct"/>
            <w:shd w:val="clear" w:color="auto" w:fill="auto"/>
            <w:vAlign w:val="center"/>
          </w:tcPr>
          <w:p w14:paraId="3F498211" w14:textId="3FBC6FD5" w:rsidR="00810A38" w:rsidRPr="00B6635B" w:rsidRDefault="00B6635B" w:rsidP="00AE14F4">
            <w:pPr>
              <w:pStyle w:val="TableText"/>
              <w:jc w:val="center"/>
              <w:rPr>
                <w:highlight w:val="darkGray"/>
              </w:rPr>
            </w:pPr>
            <w:r w:rsidRPr="00642F27">
              <w:rPr>
                <w:rFonts w:hint="eastAsia"/>
                <w:color w:val="000000"/>
                <w:w w:val="19"/>
                <w:shd w:val="solid" w:color="000000" w:fill="000000"/>
                <w:fitText w:val="88" w:id="-1305203711"/>
                <w14:textFill>
                  <w14:solidFill>
                    <w14:srgbClr w14:val="000000">
                      <w14:alpha w14:val="100000"/>
                    </w14:srgbClr>
                  </w14:solidFill>
                </w14:textFill>
              </w:rPr>
              <w:t xml:space="preserve">　</w:t>
            </w:r>
            <w:r w:rsidRPr="00642F27">
              <w:rPr>
                <w:color w:val="000000"/>
                <w:w w:val="19"/>
                <w:shd w:val="solid" w:color="000000" w:fill="000000"/>
                <w:fitText w:val="88" w:id="-1305203711"/>
                <w14:textFill>
                  <w14:solidFill>
                    <w14:srgbClr w14:val="000000">
                      <w14:alpha w14:val="100000"/>
                    </w14:srgbClr>
                  </w14:solidFill>
                </w14:textFill>
              </w:rPr>
              <w:t>|</w:t>
            </w:r>
            <w:r w:rsidRPr="00642F27">
              <w:rPr>
                <w:rFonts w:hint="eastAsia"/>
                <w:color w:val="000000"/>
                <w:w w:val="19"/>
                <w:shd w:val="solid" w:color="000000" w:fill="000000"/>
                <w:fitText w:val="88" w:id="-1305203711"/>
                <w14:textFill>
                  <w14:solidFill>
                    <w14:srgbClr w14:val="000000">
                      <w14:alpha w14:val="100000"/>
                    </w14:srgbClr>
                  </w14:solidFill>
                </w14:textFill>
              </w:rPr>
              <w:t xml:space="preserve">　</w:t>
            </w:r>
            <w:r w:rsidR="00393DF3">
              <w:rPr>
                <w:vertAlign w:val="superscript"/>
              </w:rPr>
              <w:t>3</w:t>
            </w:r>
          </w:p>
        </w:tc>
        <w:tc>
          <w:tcPr>
            <w:tcW w:w="629" w:type="pct"/>
            <w:shd w:val="clear" w:color="auto" w:fill="auto"/>
            <w:vAlign w:val="center"/>
          </w:tcPr>
          <w:p w14:paraId="020FAE68" w14:textId="351A433A" w:rsidR="00810A38" w:rsidRPr="00B6635B" w:rsidRDefault="00B6635B" w:rsidP="00AE14F4">
            <w:pPr>
              <w:pStyle w:val="TableText"/>
              <w:jc w:val="center"/>
              <w:rPr>
                <w:highlight w:val="darkGray"/>
              </w:rPr>
            </w:pPr>
            <w:r w:rsidRPr="00642F27">
              <w:rPr>
                <w:rFonts w:hint="eastAsia"/>
                <w:color w:val="000000"/>
                <w:w w:val="19"/>
                <w:shd w:val="solid" w:color="000000" w:fill="000000"/>
                <w:fitText w:val="88" w:id="-1305203710"/>
                <w14:textFill>
                  <w14:solidFill>
                    <w14:srgbClr w14:val="000000">
                      <w14:alpha w14:val="100000"/>
                    </w14:srgbClr>
                  </w14:solidFill>
                </w14:textFill>
              </w:rPr>
              <w:t xml:space="preserve">　</w:t>
            </w:r>
            <w:r w:rsidRPr="00642F27">
              <w:rPr>
                <w:color w:val="000000"/>
                <w:w w:val="19"/>
                <w:shd w:val="solid" w:color="000000" w:fill="000000"/>
                <w:fitText w:val="88" w:id="-1305203710"/>
                <w14:textFill>
                  <w14:solidFill>
                    <w14:srgbClr w14:val="000000">
                      <w14:alpha w14:val="100000"/>
                    </w14:srgbClr>
                  </w14:solidFill>
                </w14:textFill>
              </w:rPr>
              <w:t>|</w:t>
            </w:r>
            <w:r w:rsidRPr="00642F27">
              <w:rPr>
                <w:rFonts w:hint="eastAsia"/>
                <w:color w:val="000000"/>
                <w:w w:val="19"/>
                <w:shd w:val="solid" w:color="000000" w:fill="000000"/>
                <w:fitText w:val="88" w:id="-1305203710"/>
                <w14:textFill>
                  <w14:solidFill>
                    <w14:srgbClr w14:val="000000">
                      <w14:alpha w14:val="100000"/>
                    </w14:srgbClr>
                  </w14:solidFill>
                </w14:textFill>
              </w:rPr>
              <w:t xml:space="preserve">　</w:t>
            </w:r>
            <w:r w:rsidR="00393DF3">
              <w:rPr>
                <w:vertAlign w:val="superscript"/>
              </w:rPr>
              <w:t>3</w:t>
            </w:r>
          </w:p>
        </w:tc>
        <w:tc>
          <w:tcPr>
            <w:tcW w:w="679" w:type="pct"/>
            <w:shd w:val="clear" w:color="auto" w:fill="auto"/>
            <w:vAlign w:val="center"/>
          </w:tcPr>
          <w:p w14:paraId="2EA2724C" w14:textId="0504CFF4" w:rsidR="00810A38" w:rsidRPr="00B6635B" w:rsidRDefault="00B6635B" w:rsidP="00AE14F4">
            <w:pPr>
              <w:pStyle w:val="TableText"/>
              <w:jc w:val="center"/>
              <w:rPr>
                <w:highlight w:val="darkGray"/>
              </w:rPr>
            </w:pPr>
            <w:r w:rsidRPr="00642F27">
              <w:rPr>
                <w:rFonts w:hint="eastAsia"/>
                <w:color w:val="000000"/>
                <w:w w:val="15"/>
                <w:shd w:val="solid" w:color="000000" w:fill="000000"/>
                <w:fitText w:val="50" w:id="-1305203709"/>
                <w14:textFill>
                  <w14:solidFill>
                    <w14:srgbClr w14:val="000000">
                      <w14:alpha w14:val="100000"/>
                    </w14:srgbClr>
                  </w14:solidFill>
                </w14:textFill>
              </w:rPr>
              <w:t xml:space="preserve">　</w:t>
            </w:r>
            <w:r w:rsidRPr="00642F27">
              <w:rPr>
                <w:color w:val="000000"/>
                <w:w w:val="15"/>
                <w:shd w:val="solid" w:color="000000" w:fill="000000"/>
                <w:fitText w:val="50" w:id="-1305203709"/>
                <w14:textFill>
                  <w14:solidFill>
                    <w14:srgbClr w14:val="000000">
                      <w14:alpha w14:val="100000"/>
                    </w14:srgbClr>
                  </w14:solidFill>
                </w14:textFill>
              </w:rPr>
              <w:t>|</w:t>
            </w:r>
            <w:r w:rsidRPr="00642F27">
              <w:rPr>
                <w:rFonts w:hint="eastAsia"/>
                <w:color w:val="000000"/>
                <w:spacing w:val="-15"/>
                <w:w w:val="15"/>
                <w:shd w:val="solid" w:color="000000" w:fill="000000"/>
                <w:fitText w:val="50" w:id="-1305203709"/>
                <w14:textFill>
                  <w14:solidFill>
                    <w14:srgbClr w14:val="000000">
                      <w14:alpha w14:val="100000"/>
                    </w14:srgbClr>
                  </w14:solidFill>
                </w14:textFill>
              </w:rPr>
              <w:t xml:space="preserve">　</w:t>
            </w:r>
            <w:r w:rsidR="00393DF3">
              <w:rPr>
                <w:vertAlign w:val="superscript"/>
              </w:rPr>
              <w:t>3</w:t>
            </w:r>
          </w:p>
        </w:tc>
      </w:tr>
      <w:tr w:rsidR="00FE14FA" w:rsidRPr="003A235D" w14:paraId="593FB06B" w14:textId="77777777" w:rsidTr="00FE14FA">
        <w:tc>
          <w:tcPr>
            <w:tcW w:w="1177" w:type="pct"/>
            <w:shd w:val="clear" w:color="auto" w:fill="auto"/>
            <w:vAlign w:val="center"/>
          </w:tcPr>
          <w:p w14:paraId="2206B99D" w14:textId="32F7F761" w:rsidR="00810A38" w:rsidRPr="003A235D" w:rsidRDefault="00810A38" w:rsidP="00AE14F4">
            <w:pPr>
              <w:pStyle w:val="TableText"/>
            </w:pPr>
            <w:r w:rsidRPr="003A235D">
              <w:t xml:space="preserve">Empagliflozin </w:t>
            </w:r>
            <w:r w:rsidR="00F935BC" w:rsidRPr="003A235D">
              <w:t>10 mg</w:t>
            </w:r>
            <w:r w:rsidRPr="003A235D">
              <w:t xml:space="preserve"> scripts (</w:t>
            </w:r>
            <w:r w:rsidRPr="00EE5627">
              <w:t>11.56/patient</w:t>
            </w:r>
            <w:r w:rsidRPr="003A235D">
              <w:t>/year)</w:t>
            </w:r>
          </w:p>
        </w:tc>
        <w:tc>
          <w:tcPr>
            <w:tcW w:w="628" w:type="pct"/>
            <w:shd w:val="clear" w:color="auto" w:fill="auto"/>
            <w:vAlign w:val="center"/>
          </w:tcPr>
          <w:p w14:paraId="770B8D1B" w14:textId="6CE7E9DE" w:rsidR="00810A38" w:rsidRPr="00B6635B" w:rsidRDefault="00B6635B" w:rsidP="00AE14F4">
            <w:pPr>
              <w:pStyle w:val="TableText"/>
              <w:jc w:val="center"/>
              <w:rPr>
                <w:highlight w:val="darkGray"/>
              </w:rPr>
            </w:pPr>
            <w:r w:rsidRPr="00642F27">
              <w:rPr>
                <w:rFonts w:hint="eastAsia"/>
                <w:color w:val="000000"/>
                <w:w w:val="19"/>
                <w:shd w:val="solid" w:color="000000" w:fill="000000"/>
                <w:fitText w:val="88" w:id="-1305203708"/>
                <w14:textFill>
                  <w14:solidFill>
                    <w14:srgbClr w14:val="000000">
                      <w14:alpha w14:val="100000"/>
                    </w14:srgbClr>
                  </w14:solidFill>
                </w14:textFill>
              </w:rPr>
              <w:t xml:space="preserve">　</w:t>
            </w:r>
            <w:r w:rsidRPr="00642F27">
              <w:rPr>
                <w:color w:val="000000"/>
                <w:w w:val="19"/>
                <w:shd w:val="solid" w:color="000000" w:fill="000000"/>
                <w:fitText w:val="88" w:id="-1305203708"/>
                <w14:textFill>
                  <w14:solidFill>
                    <w14:srgbClr w14:val="000000">
                      <w14:alpha w14:val="100000"/>
                    </w14:srgbClr>
                  </w14:solidFill>
                </w14:textFill>
              </w:rPr>
              <w:t>|</w:t>
            </w:r>
            <w:r w:rsidRPr="00642F27">
              <w:rPr>
                <w:rFonts w:hint="eastAsia"/>
                <w:color w:val="000000"/>
                <w:spacing w:val="4"/>
                <w:w w:val="19"/>
                <w:shd w:val="solid" w:color="000000" w:fill="000000"/>
                <w:fitText w:val="88" w:id="-1305203708"/>
                <w14:textFill>
                  <w14:solidFill>
                    <w14:srgbClr w14:val="000000">
                      <w14:alpha w14:val="100000"/>
                    </w14:srgbClr>
                  </w14:solidFill>
                </w14:textFill>
              </w:rPr>
              <w:t xml:space="preserve">　</w:t>
            </w:r>
            <w:r w:rsidR="00EE2946">
              <w:rPr>
                <w:vertAlign w:val="superscript"/>
              </w:rPr>
              <w:t>3</w:t>
            </w:r>
          </w:p>
        </w:tc>
        <w:tc>
          <w:tcPr>
            <w:tcW w:w="629" w:type="pct"/>
            <w:shd w:val="clear" w:color="auto" w:fill="auto"/>
            <w:vAlign w:val="center"/>
          </w:tcPr>
          <w:p w14:paraId="1131332E" w14:textId="671B122C" w:rsidR="00810A38" w:rsidRPr="00B6635B" w:rsidRDefault="00B6635B" w:rsidP="00AE14F4">
            <w:pPr>
              <w:pStyle w:val="TableText"/>
              <w:jc w:val="center"/>
              <w:rPr>
                <w:highlight w:val="darkGray"/>
              </w:rPr>
            </w:pPr>
            <w:r w:rsidRPr="00642F27">
              <w:rPr>
                <w:rFonts w:hint="eastAsia"/>
                <w:color w:val="000000"/>
                <w:w w:val="28"/>
                <w:shd w:val="solid" w:color="000000" w:fill="000000"/>
                <w:fitText w:val="126" w:id="-1305203707"/>
                <w14:textFill>
                  <w14:solidFill>
                    <w14:srgbClr w14:val="000000">
                      <w14:alpha w14:val="100000"/>
                    </w14:srgbClr>
                  </w14:solidFill>
                </w14:textFill>
              </w:rPr>
              <w:t xml:space="preserve">　</w:t>
            </w:r>
            <w:r w:rsidRPr="00642F27">
              <w:rPr>
                <w:color w:val="000000"/>
                <w:w w:val="28"/>
                <w:shd w:val="solid" w:color="000000" w:fill="000000"/>
                <w:fitText w:val="126" w:id="-1305203707"/>
                <w14:textFill>
                  <w14:solidFill>
                    <w14:srgbClr w14:val="000000">
                      <w14:alpha w14:val="100000"/>
                    </w14:srgbClr>
                  </w14:solidFill>
                </w14:textFill>
              </w:rPr>
              <w:t>|</w:t>
            </w:r>
            <w:r w:rsidRPr="00642F27">
              <w:rPr>
                <w:rFonts w:hint="eastAsia"/>
                <w:color w:val="000000"/>
                <w:w w:val="28"/>
                <w:shd w:val="solid" w:color="000000" w:fill="000000"/>
                <w:fitText w:val="126" w:id="-1305203707"/>
                <w14:textFill>
                  <w14:solidFill>
                    <w14:srgbClr w14:val="000000">
                      <w14:alpha w14:val="100000"/>
                    </w14:srgbClr>
                  </w14:solidFill>
                </w14:textFill>
              </w:rPr>
              <w:t xml:space="preserve">　</w:t>
            </w:r>
            <w:r w:rsidR="00393DF3">
              <w:rPr>
                <w:vertAlign w:val="superscript"/>
              </w:rPr>
              <w:t>11</w:t>
            </w:r>
          </w:p>
        </w:tc>
        <w:tc>
          <w:tcPr>
            <w:tcW w:w="629" w:type="pct"/>
            <w:shd w:val="clear" w:color="auto" w:fill="auto"/>
            <w:vAlign w:val="center"/>
          </w:tcPr>
          <w:p w14:paraId="2785349E" w14:textId="480BDF1B" w:rsidR="00810A38" w:rsidRPr="00B6635B" w:rsidRDefault="00B6635B" w:rsidP="00AE14F4">
            <w:pPr>
              <w:pStyle w:val="TableText"/>
              <w:jc w:val="center"/>
              <w:rPr>
                <w:highlight w:val="darkGray"/>
              </w:rPr>
            </w:pPr>
            <w:r w:rsidRPr="00642F27">
              <w:rPr>
                <w:rFonts w:hint="eastAsia"/>
                <w:color w:val="000000"/>
                <w:w w:val="19"/>
                <w:shd w:val="solid" w:color="000000" w:fill="000000"/>
                <w:fitText w:val="87" w:id="-1305203706"/>
                <w14:textFill>
                  <w14:solidFill>
                    <w14:srgbClr w14:val="000000">
                      <w14:alpha w14:val="100000"/>
                    </w14:srgbClr>
                  </w14:solidFill>
                </w14:textFill>
              </w:rPr>
              <w:t xml:space="preserve">　</w:t>
            </w:r>
            <w:r w:rsidRPr="00642F27">
              <w:rPr>
                <w:color w:val="000000"/>
                <w:w w:val="19"/>
                <w:shd w:val="solid" w:color="000000" w:fill="000000"/>
                <w:fitText w:val="87" w:id="-1305203706"/>
                <w14:textFill>
                  <w14:solidFill>
                    <w14:srgbClr w14:val="000000">
                      <w14:alpha w14:val="100000"/>
                    </w14:srgbClr>
                  </w14:solidFill>
                </w14:textFill>
              </w:rPr>
              <w:t>|</w:t>
            </w:r>
            <w:r w:rsidRPr="00642F27">
              <w:rPr>
                <w:rFonts w:hint="eastAsia"/>
                <w:color w:val="000000"/>
                <w:spacing w:val="3"/>
                <w:w w:val="19"/>
                <w:shd w:val="solid" w:color="000000" w:fill="000000"/>
                <w:fitText w:val="87" w:id="-1305203706"/>
                <w14:textFill>
                  <w14:solidFill>
                    <w14:srgbClr w14:val="000000">
                      <w14:alpha w14:val="100000"/>
                    </w14:srgbClr>
                  </w14:solidFill>
                </w14:textFill>
              </w:rPr>
              <w:t xml:space="preserve">　</w:t>
            </w:r>
            <w:r w:rsidR="008722FD">
              <w:rPr>
                <w:vertAlign w:val="superscript"/>
              </w:rPr>
              <w:t>7</w:t>
            </w:r>
          </w:p>
        </w:tc>
        <w:tc>
          <w:tcPr>
            <w:tcW w:w="629" w:type="pct"/>
            <w:shd w:val="clear" w:color="auto" w:fill="auto"/>
            <w:vAlign w:val="center"/>
          </w:tcPr>
          <w:p w14:paraId="3C40611F" w14:textId="566A6EBC" w:rsidR="00810A38" w:rsidRPr="00B6635B" w:rsidRDefault="00B6635B" w:rsidP="00AE14F4">
            <w:pPr>
              <w:pStyle w:val="TableText"/>
              <w:jc w:val="center"/>
              <w:rPr>
                <w:highlight w:val="darkGray"/>
              </w:rPr>
            </w:pPr>
            <w:r w:rsidRPr="00642F27">
              <w:rPr>
                <w:rFonts w:hint="eastAsia"/>
                <w:color w:val="000000"/>
                <w:w w:val="19"/>
                <w:shd w:val="solid" w:color="000000" w:fill="000000"/>
                <w:fitText w:val="88" w:id="-1305203705"/>
                <w14:textFill>
                  <w14:solidFill>
                    <w14:srgbClr w14:val="000000">
                      <w14:alpha w14:val="100000"/>
                    </w14:srgbClr>
                  </w14:solidFill>
                </w14:textFill>
              </w:rPr>
              <w:t xml:space="preserve">　</w:t>
            </w:r>
            <w:r w:rsidRPr="00642F27">
              <w:rPr>
                <w:color w:val="000000"/>
                <w:w w:val="19"/>
                <w:shd w:val="solid" w:color="000000" w:fill="000000"/>
                <w:fitText w:val="88" w:id="-1305203705"/>
                <w14:textFill>
                  <w14:solidFill>
                    <w14:srgbClr w14:val="000000">
                      <w14:alpha w14:val="100000"/>
                    </w14:srgbClr>
                  </w14:solidFill>
                </w14:textFill>
              </w:rPr>
              <w:t>|</w:t>
            </w:r>
            <w:r w:rsidRPr="00642F27">
              <w:rPr>
                <w:rFonts w:hint="eastAsia"/>
                <w:color w:val="000000"/>
                <w:spacing w:val="4"/>
                <w:w w:val="19"/>
                <w:shd w:val="solid" w:color="000000" w:fill="000000"/>
                <w:fitText w:val="88" w:id="-1305203705"/>
                <w14:textFill>
                  <w14:solidFill>
                    <w14:srgbClr w14:val="000000">
                      <w14:alpha w14:val="100000"/>
                    </w14:srgbClr>
                  </w14:solidFill>
                </w14:textFill>
              </w:rPr>
              <w:t xml:space="preserve">　</w:t>
            </w:r>
            <w:r w:rsidR="008722FD">
              <w:rPr>
                <w:vertAlign w:val="superscript"/>
              </w:rPr>
              <w:t>7</w:t>
            </w:r>
          </w:p>
        </w:tc>
        <w:tc>
          <w:tcPr>
            <w:tcW w:w="629" w:type="pct"/>
            <w:shd w:val="clear" w:color="auto" w:fill="auto"/>
            <w:vAlign w:val="center"/>
          </w:tcPr>
          <w:p w14:paraId="0CDAC64B" w14:textId="7CDF4A81" w:rsidR="00810A38" w:rsidRPr="00B6635B" w:rsidRDefault="00B6635B" w:rsidP="00AE14F4">
            <w:pPr>
              <w:pStyle w:val="TableText"/>
              <w:jc w:val="center"/>
              <w:rPr>
                <w:highlight w:val="darkGray"/>
              </w:rPr>
            </w:pPr>
            <w:r w:rsidRPr="00642F27">
              <w:rPr>
                <w:rFonts w:hint="eastAsia"/>
                <w:color w:val="000000"/>
                <w:w w:val="19"/>
                <w:shd w:val="solid" w:color="000000" w:fill="000000"/>
                <w:fitText w:val="88" w:id="-1305203704"/>
                <w14:textFill>
                  <w14:solidFill>
                    <w14:srgbClr w14:val="000000">
                      <w14:alpha w14:val="100000"/>
                    </w14:srgbClr>
                  </w14:solidFill>
                </w14:textFill>
              </w:rPr>
              <w:t xml:space="preserve">　</w:t>
            </w:r>
            <w:r w:rsidRPr="00642F27">
              <w:rPr>
                <w:color w:val="000000"/>
                <w:w w:val="19"/>
                <w:shd w:val="solid" w:color="000000" w:fill="000000"/>
                <w:fitText w:val="88" w:id="-1305203704"/>
                <w14:textFill>
                  <w14:solidFill>
                    <w14:srgbClr w14:val="000000">
                      <w14:alpha w14:val="100000"/>
                    </w14:srgbClr>
                  </w14:solidFill>
                </w14:textFill>
              </w:rPr>
              <w:t>|</w:t>
            </w:r>
            <w:r w:rsidRPr="00642F27">
              <w:rPr>
                <w:rFonts w:hint="eastAsia"/>
                <w:color w:val="000000"/>
                <w:w w:val="19"/>
                <w:shd w:val="solid" w:color="000000" w:fill="000000"/>
                <w:fitText w:val="88" w:id="-1305203704"/>
                <w14:textFill>
                  <w14:solidFill>
                    <w14:srgbClr w14:val="000000">
                      <w14:alpha w14:val="100000"/>
                    </w14:srgbClr>
                  </w14:solidFill>
                </w14:textFill>
              </w:rPr>
              <w:t xml:space="preserve">　</w:t>
            </w:r>
            <w:r w:rsidR="008722FD">
              <w:rPr>
                <w:vertAlign w:val="superscript"/>
              </w:rPr>
              <w:t>7</w:t>
            </w:r>
          </w:p>
        </w:tc>
        <w:tc>
          <w:tcPr>
            <w:tcW w:w="679" w:type="pct"/>
            <w:shd w:val="clear" w:color="auto" w:fill="auto"/>
            <w:vAlign w:val="center"/>
          </w:tcPr>
          <w:p w14:paraId="3FF5F187" w14:textId="097D9D43" w:rsidR="00810A38" w:rsidRPr="00B6635B" w:rsidRDefault="00B6635B" w:rsidP="00AE14F4">
            <w:pPr>
              <w:pStyle w:val="TableText"/>
              <w:jc w:val="center"/>
              <w:rPr>
                <w:highlight w:val="darkGray"/>
              </w:rPr>
            </w:pPr>
            <w:r w:rsidRPr="00642F27">
              <w:rPr>
                <w:rFonts w:hint="eastAsia"/>
                <w:color w:val="000000"/>
                <w:w w:val="15"/>
                <w:shd w:val="solid" w:color="000000" w:fill="000000"/>
                <w:fitText w:val="50" w:id="-1305203703"/>
                <w14:textFill>
                  <w14:solidFill>
                    <w14:srgbClr w14:val="000000">
                      <w14:alpha w14:val="100000"/>
                    </w14:srgbClr>
                  </w14:solidFill>
                </w14:textFill>
              </w:rPr>
              <w:t xml:space="preserve">　</w:t>
            </w:r>
            <w:r w:rsidRPr="00642F27">
              <w:rPr>
                <w:color w:val="000000"/>
                <w:w w:val="15"/>
                <w:shd w:val="solid" w:color="000000" w:fill="000000"/>
                <w:fitText w:val="50" w:id="-1305203703"/>
                <w14:textFill>
                  <w14:solidFill>
                    <w14:srgbClr w14:val="000000">
                      <w14:alpha w14:val="100000"/>
                    </w14:srgbClr>
                  </w14:solidFill>
                </w14:textFill>
              </w:rPr>
              <w:t>|</w:t>
            </w:r>
            <w:r w:rsidRPr="00642F27">
              <w:rPr>
                <w:rFonts w:hint="eastAsia"/>
                <w:color w:val="000000"/>
                <w:spacing w:val="-15"/>
                <w:w w:val="15"/>
                <w:shd w:val="solid" w:color="000000" w:fill="000000"/>
                <w:fitText w:val="50" w:id="-1305203703"/>
                <w14:textFill>
                  <w14:solidFill>
                    <w14:srgbClr w14:val="000000">
                      <w14:alpha w14:val="100000"/>
                    </w14:srgbClr>
                  </w14:solidFill>
                </w14:textFill>
              </w:rPr>
              <w:t xml:space="preserve">　</w:t>
            </w:r>
            <w:r w:rsidR="008722FD">
              <w:rPr>
                <w:vertAlign w:val="superscript"/>
              </w:rPr>
              <w:t>7</w:t>
            </w:r>
          </w:p>
        </w:tc>
      </w:tr>
      <w:tr w:rsidR="00FE14FA" w:rsidRPr="003A235D" w14:paraId="124DF502" w14:textId="77777777" w:rsidTr="00FE14FA">
        <w:tc>
          <w:tcPr>
            <w:tcW w:w="1177" w:type="pct"/>
            <w:shd w:val="clear" w:color="auto" w:fill="auto"/>
            <w:vAlign w:val="center"/>
          </w:tcPr>
          <w:p w14:paraId="7B5FD3AE" w14:textId="77777777" w:rsidR="00810A38" w:rsidRPr="003A235D" w:rsidRDefault="00810A38" w:rsidP="00AE14F4">
            <w:pPr>
              <w:pStyle w:val="TableText"/>
            </w:pPr>
            <w:r w:rsidRPr="003A235D">
              <w:t xml:space="preserve">Cost to PBS/RPBS (DPMQ </w:t>
            </w:r>
            <w:r w:rsidRPr="00EE5627">
              <w:t>$60.10)</w:t>
            </w:r>
          </w:p>
        </w:tc>
        <w:tc>
          <w:tcPr>
            <w:tcW w:w="628" w:type="pct"/>
            <w:shd w:val="clear" w:color="auto" w:fill="auto"/>
            <w:vAlign w:val="center"/>
          </w:tcPr>
          <w:p w14:paraId="2648C01C" w14:textId="65180FBA" w:rsidR="00810A38" w:rsidRPr="003A235D" w:rsidRDefault="00B6635B" w:rsidP="00AE14F4">
            <w:pPr>
              <w:pStyle w:val="TableText"/>
              <w:jc w:val="center"/>
            </w:pPr>
            <w:r w:rsidRPr="00642F27">
              <w:rPr>
                <w:rFonts w:hint="eastAsia"/>
                <w:color w:val="000000"/>
                <w:w w:val="19"/>
                <w:shd w:val="solid" w:color="000000" w:fill="000000"/>
                <w:fitText w:val="88" w:id="-1305203702"/>
                <w14:textFill>
                  <w14:solidFill>
                    <w14:srgbClr w14:val="000000">
                      <w14:alpha w14:val="100000"/>
                    </w14:srgbClr>
                  </w14:solidFill>
                </w14:textFill>
              </w:rPr>
              <w:t xml:space="preserve">　</w:t>
            </w:r>
            <w:r w:rsidRPr="00642F27">
              <w:rPr>
                <w:color w:val="000000"/>
                <w:w w:val="19"/>
                <w:shd w:val="solid" w:color="000000" w:fill="000000"/>
                <w:fitText w:val="88" w:id="-1305203702"/>
                <w14:textFill>
                  <w14:solidFill>
                    <w14:srgbClr w14:val="000000">
                      <w14:alpha w14:val="100000"/>
                    </w14:srgbClr>
                  </w14:solidFill>
                </w14:textFill>
              </w:rPr>
              <w:t>|</w:t>
            </w:r>
            <w:r w:rsidRPr="00642F27">
              <w:rPr>
                <w:rFonts w:hint="eastAsia"/>
                <w:color w:val="000000"/>
                <w:w w:val="19"/>
                <w:shd w:val="solid" w:color="000000" w:fill="000000"/>
                <w:fitText w:val="88" w:id="-1305203702"/>
                <w14:textFill>
                  <w14:solidFill>
                    <w14:srgbClr w14:val="000000">
                      <w14:alpha w14:val="100000"/>
                    </w14:srgbClr>
                  </w14:solidFill>
                </w14:textFill>
              </w:rPr>
              <w:t xml:space="preserve">　</w:t>
            </w:r>
            <w:r w:rsidR="00EE2946">
              <w:rPr>
                <w:vertAlign w:val="superscript"/>
              </w:rPr>
              <w:t>5</w:t>
            </w:r>
          </w:p>
        </w:tc>
        <w:tc>
          <w:tcPr>
            <w:tcW w:w="629" w:type="pct"/>
            <w:shd w:val="clear" w:color="auto" w:fill="auto"/>
            <w:vAlign w:val="center"/>
          </w:tcPr>
          <w:p w14:paraId="4FFEBC6D" w14:textId="1B07E909" w:rsidR="00810A38" w:rsidRPr="003A235D" w:rsidRDefault="00B6635B" w:rsidP="00AE14F4">
            <w:pPr>
              <w:pStyle w:val="TableText"/>
              <w:jc w:val="center"/>
            </w:pPr>
            <w:r w:rsidRPr="00642F27">
              <w:rPr>
                <w:rFonts w:hint="eastAsia"/>
                <w:color w:val="000000"/>
                <w:w w:val="28"/>
                <w:shd w:val="solid" w:color="000000" w:fill="000000"/>
                <w:fitText w:val="126" w:id="-1305203701"/>
                <w14:textFill>
                  <w14:solidFill>
                    <w14:srgbClr w14:val="000000">
                      <w14:alpha w14:val="100000"/>
                    </w14:srgbClr>
                  </w14:solidFill>
                </w14:textFill>
              </w:rPr>
              <w:t xml:space="preserve">　</w:t>
            </w:r>
            <w:r w:rsidRPr="00642F27">
              <w:rPr>
                <w:color w:val="000000"/>
                <w:w w:val="28"/>
                <w:shd w:val="solid" w:color="000000" w:fill="000000"/>
                <w:fitText w:val="126" w:id="-1305203701"/>
                <w14:textFill>
                  <w14:solidFill>
                    <w14:srgbClr w14:val="000000">
                      <w14:alpha w14:val="100000"/>
                    </w14:srgbClr>
                  </w14:solidFill>
                </w14:textFill>
              </w:rPr>
              <w:t>|</w:t>
            </w:r>
            <w:r w:rsidRPr="00642F27">
              <w:rPr>
                <w:rFonts w:hint="eastAsia"/>
                <w:color w:val="000000"/>
                <w:w w:val="28"/>
                <w:shd w:val="solid" w:color="000000" w:fill="000000"/>
                <w:fitText w:val="126" w:id="-1305203701"/>
                <w14:textFill>
                  <w14:solidFill>
                    <w14:srgbClr w14:val="000000">
                      <w14:alpha w14:val="100000"/>
                    </w14:srgbClr>
                  </w14:solidFill>
                </w14:textFill>
              </w:rPr>
              <w:t xml:space="preserve">　</w:t>
            </w:r>
            <w:r w:rsidR="00393DF3">
              <w:rPr>
                <w:vertAlign w:val="superscript"/>
              </w:rPr>
              <w:t>12</w:t>
            </w:r>
          </w:p>
        </w:tc>
        <w:tc>
          <w:tcPr>
            <w:tcW w:w="629" w:type="pct"/>
            <w:shd w:val="clear" w:color="auto" w:fill="auto"/>
            <w:vAlign w:val="center"/>
          </w:tcPr>
          <w:p w14:paraId="7A8F7BA9" w14:textId="2BF51F3E" w:rsidR="00810A38" w:rsidRPr="003A235D" w:rsidRDefault="00B6635B" w:rsidP="00AE14F4">
            <w:pPr>
              <w:pStyle w:val="TableText"/>
              <w:jc w:val="center"/>
            </w:pPr>
            <w:r w:rsidRPr="00642F27">
              <w:rPr>
                <w:rFonts w:hint="eastAsia"/>
                <w:color w:val="000000"/>
                <w:w w:val="28"/>
                <w:shd w:val="solid" w:color="000000" w:fill="000000"/>
                <w:fitText w:val="125" w:id="-1305203700"/>
                <w14:textFill>
                  <w14:solidFill>
                    <w14:srgbClr w14:val="000000">
                      <w14:alpha w14:val="100000"/>
                    </w14:srgbClr>
                  </w14:solidFill>
                </w14:textFill>
              </w:rPr>
              <w:t xml:space="preserve">　</w:t>
            </w:r>
            <w:r w:rsidRPr="00642F27">
              <w:rPr>
                <w:color w:val="000000"/>
                <w:w w:val="28"/>
                <w:shd w:val="solid" w:color="000000" w:fill="000000"/>
                <w:fitText w:val="125" w:id="-1305203700"/>
                <w14:textFill>
                  <w14:solidFill>
                    <w14:srgbClr w14:val="000000">
                      <w14:alpha w14:val="100000"/>
                    </w14:srgbClr>
                  </w14:solidFill>
                </w14:textFill>
              </w:rPr>
              <w:t>|</w:t>
            </w:r>
            <w:r w:rsidRPr="00642F27">
              <w:rPr>
                <w:rFonts w:hint="eastAsia"/>
                <w:color w:val="000000"/>
                <w:spacing w:val="3"/>
                <w:w w:val="28"/>
                <w:shd w:val="solid" w:color="000000" w:fill="000000"/>
                <w:fitText w:val="125" w:id="-1305203700"/>
                <w14:textFill>
                  <w14:solidFill>
                    <w14:srgbClr w14:val="000000">
                      <w14:alpha w14:val="100000"/>
                    </w14:srgbClr>
                  </w14:solidFill>
                </w14:textFill>
              </w:rPr>
              <w:t xml:space="preserve">　</w:t>
            </w:r>
            <w:r w:rsidR="008722FD">
              <w:rPr>
                <w:vertAlign w:val="superscript"/>
              </w:rPr>
              <w:t>14</w:t>
            </w:r>
          </w:p>
        </w:tc>
        <w:tc>
          <w:tcPr>
            <w:tcW w:w="629" w:type="pct"/>
            <w:shd w:val="clear" w:color="auto" w:fill="auto"/>
            <w:vAlign w:val="center"/>
          </w:tcPr>
          <w:p w14:paraId="6D87E8F8" w14:textId="72429E60" w:rsidR="00810A38" w:rsidRPr="003A235D" w:rsidRDefault="00B6635B" w:rsidP="00AE14F4">
            <w:pPr>
              <w:pStyle w:val="TableText"/>
              <w:jc w:val="center"/>
            </w:pPr>
            <w:r w:rsidRPr="00642F27">
              <w:rPr>
                <w:rFonts w:hint="eastAsia"/>
                <w:color w:val="000000"/>
                <w:w w:val="28"/>
                <w:shd w:val="solid" w:color="000000" w:fill="000000"/>
                <w:fitText w:val="125" w:id="-1305203699"/>
                <w14:textFill>
                  <w14:solidFill>
                    <w14:srgbClr w14:val="000000">
                      <w14:alpha w14:val="100000"/>
                    </w14:srgbClr>
                  </w14:solidFill>
                </w14:textFill>
              </w:rPr>
              <w:t xml:space="preserve">　</w:t>
            </w:r>
            <w:r w:rsidRPr="00642F27">
              <w:rPr>
                <w:color w:val="000000"/>
                <w:w w:val="28"/>
                <w:shd w:val="solid" w:color="000000" w:fill="000000"/>
                <w:fitText w:val="125" w:id="-1305203699"/>
                <w14:textFill>
                  <w14:solidFill>
                    <w14:srgbClr w14:val="000000">
                      <w14:alpha w14:val="100000"/>
                    </w14:srgbClr>
                  </w14:solidFill>
                </w14:textFill>
              </w:rPr>
              <w:t>|</w:t>
            </w:r>
            <w:r w:rsidRPr="00642F27">
              <w:rPr>
                <w:rFonts w:hint="eastAsia"/>
                <w:color w:val="000000"/>
                <w:w w:val="28"/>
                <w:shd w:val="solid" w:color="000000" w:fill="000000"/>
                <w:fitText w:val="125" w:id="-1305203699"/>
                <w14:textFill>
                  <w14:solidFill>
                    <w14:srgbClr w14:val="000000">
                      <w14:alpha w14:val="100000"/>
                    </w14:srgbClr>
                  </w14:solidFill>
                </w14:textFill>
              </w:rPr>
              <w:t xml:space="preserve">　</w:t>
            </w:r>
            <w:r w:rsidR="000B6325">
              <w:rPr>
                <w:vertAlign w:val="superscript"/>
              </w:rPr>
              <w:t>17</w:t>
            </w:r>
          </w:p>
        </w:tc>
        <w:tc>
          <w:tcPr>
            <w:tcW w:w="629" w:type="pct"/>
            <w:shd w:val="clear" w:color="auto" w:fill="auto"/>
            <w:vAlign w:val="center"/>
          </w:tcPr>
          <w:p w14:paraId="12016590" w14:textId="26B7398B" w:rsidR="00810A38" w:rsidRPr="003A235D" w:rsidRDefault="00B6635B" w:rsidP="00AE14F4">
            <w:pPr>
              <w:pStyle w:val="TableText"/>
              <w:jc w:val="center"/>
            </w:pPr>
            <w:r w:rsidRPr="00642F27">
              <w:rPr>
                <w:rFonts w:hint="eastAsia"/>
                <w:color w:val="000000"/>
                <w:w w:val="28"/>
                <w:shd w:val="solid" w:color="000000" w:fill="000000"/>
                <w:fitText w:val="125" w:id="-1305203698"/>
                <w14:textFill>
                  <w14:solidFill>
                    <w14:srgbClr w14:val="000000">
                      <w14:alpha w14:val="100000"/>
                    </w14:srgbClr>
                  </w14:solidFill>
                </w14:textFill>
              </w:rPr>
              <w:t xml:space="preserve">　</w:t>
            </w:r>
            <w:r w:rsidRPr="00642F27">
              <w:rPr>
                <w:color w:val="000000"/>
                <w:w w:val="28"/>
                <w:shd w:val="solid" w:color="000000" w:fill="000000"/>
                <w:fitText w:val="125" w:id="-1305203698"/>
                <w14:textFill>
                  <w14:solidFill>
                    <w14:srgbClr w14:val="000000">
                      <w14:alpha w14:val="100000"/>
                    </w14:srgbClr>
                  </w14:solidFill>
                </w14:textFill>
              </w:rPr>
              <w:t>|</w:t>
            </w:r>
            <w:r w:rsidRPr="00642F27">
              <w:rPr>
                <w:rFonts w:hint="eastAsia"/>
                <w:color w:val="000000"/>
                <w:w w:val="28"/>
                <w:shd w:val="solid" w:color="000000" w:fill="000000"/>
                <w:fitText w:val="125" w:id="-1305203698"/>
                <w14:textFill>
                  <w14:solidFill>
                    <w14:srgbClr w14:val="000000">
                      <w14:alpha w14:val="100000"/>
                    </w14:srgbClr>
                  </w14:solidFill>
                </w14:textFill>
              </w:rPr>
              <w:t xml:space="preserve">　</w:t>
            </w:r>
            <w:r w:rsidR="000B6325">
              <w:rPr>
                <w:vertAlign w:val="superscript"/>
              </w:rPr>
              <w:t>19</w:t>
            </w:r>
          </w:p>
        </w:tc>
        <w:tc>
          <w:tcPr>
            <w:tcW w:w="679" w:type="pct"/>
            <w:shd w:val="clear" w:color="auto" w:fill="auto"/>
            <w:vAlign w:val="center"/>
          </w:tcPr>
          <w:p w14:paraId="5AA1F557" w14:textId="445A8E13" w:rsidR="00810A38" w:rsidRPr="003A235D" w:rsidRDefault="00B6635B" w:rsidP="00AE14F4">
            <w:pPr>
              <w:pStyle w:val="TableText"/>
              <w:jc w:val="center"/>
            </w:pPr>
            <w:r w:rsidRPr="00642F27">
              <w:rPr>
                <w:rFonts w:hint="eastAsia"/>
                <w:color w:val="000000"/>
                <w:w w:val="15"/>
                <w:shd w:val="solid" w:color="000000" w:fill="000000"/>
                <w:fitText w:val="63" w:id="-1305203697"/>
                <w14:textFill>
                  <w14:solidFill>
                    <w14:srgbClr w14:val="000000">
                      <w14:alpha w14:val="100000"/>
                    </w14:srgbClr>
                  </w14:solidFill>
                </w14:textFill>
              </w:rPr>
              <w:t xml:space="preserve">　</w:t>
            </w:r>
            <w:r w:rsidRPr="00642F27">
              <w:rPr>
                <w:color w:val="000000"/>
                <w:w w:val="15"/>
                <w:shd w:val="solid" w:color="000000" w:fill="000000"/>
                <w:fitText w:val="63" w:id="-1305203697"/>
                <w14:textFill>
                  <w14:solidFill>
                    <w14:srgbClr w14:val="000000">
                      <w14:alpha w14:val="100000"/>
                    </w14:srgbClr>
                  </w14:solidFill>
                </w14:textFill>
              </w:rPr>
              <w:t>|</w:t>
            </w:r>
            <w:r w:rsidRPr="00642F27">
              <w:rPr>
                <w:rFonts w:hint="eastAsia"/>
                <w:color w:val="000000"/>
                <w:spacing w:val="-2"/>
                <w:w w:val="15"/>
                <w:shd w:val="solid" w:color="000000" w:fill="000000"/>
                <w:fitText w:val="63" w:id="-1305203697"/>
                <w14:textFill>
                  <w14:solidFill>
                    <w14:srgbClr w14:val="000000">
                      <w14:alpha w14:val="100000"/>
                    </w14:srgbClr>
                  </w14:solidFill>
                </w14:textFill>
              </w:rPr>
              <w:t xml:space="preserve">　</w:t>
            </w:r>
            <w:r w:rsidR="007062F7">
              <w:rPr>
                <w:vertAlign w:val="superscript"/>
              </w:rPr>
              <w:t>19</w:t>
            </w:r>
          </w:p>
        </w:tc>
      </w:tr>
      <w:tr w:rsidR="00FE14FA" w:rsidRPr="003A235D" w14:paraId="6B9C0170" w14:textId="77777777" w:rsidTr="00FE14FA">
        <w:tc>
          <w:tcPr>
            <w:tcW w:w="1177" w:type="pct"/>
            <w:shd w:val="clear" w:color="auto" w:fill="auto"/>
            <w:vAlign w:val="center"/>
          </w:tcPr>
          <w:p w14:paraId="53BCFE81" w14:textId="5E553524" w:rsidR="00810A38" w:rsidRPr="003A235D" w:rsidRDefault="00810A38" w:rsidP="00AE14F4">
            <w:pPr>
              <w:pStyle w:val="TableText"/>
              <w:rPr>
                <w:i/>
                <w:iCs/>
              </w:rPr>
            </w:pPr>
            <w:r w:rsidRPr="003A235D">
              <w:t>Patient copayment ($</w:t>
            </w:r>
            <w:r w:rsidR="00B6635B" w:rsidRPr="00642F27">
              <w:rPr>
                <w:color w:val="000000"/>
                <w:spacing w:val="64"/>
                <w:shd w:val="solid" w:color="000000" w:fill="000000"/>
                <w:fitText w:val="363" w:id="-1305203696"/>
                <w14:textFill>
                  <w14:solidFill>
                    <w14:srgbClr w14:val="000000">
                      <w14:alpha w14:val="100000"/>
                    </w14:srgbClr>
                  </w14:solidFill>
                </w14:textFill>
              </w:rPr>
              <w:t>|||</w:t>
            </w:r>
            <w:r w:rsidR="00B6635B" w:rsidRPr="00642F27">
              <w:rPr>
                <w:color w:val="000000"/>
                <w:spacing w:val="1"/>
                <w:shd w:val="solid" w:color="000000" w:fill="000000"/>
                <w:fitText w:val="363" w:id="-1305203696"/>
                <w14:textFill>
                  <w14:solidFill>
                    <w14:srgbClr w14:val="000000">
                      <w14:alpha w14:val="100000"/>
                    </w14:srgbClr>
                  </w14:solidFill>
                </w14:textFill>
              </w:rPr>
              <w:t>|</w:t>
            </w:r>
            <w:r w:rsidRPr="00EE5627">
              <w:t xml:space="preserve"> per script)</w:t>
            </w:r>
          </w:p>
        </w:tc>
        <w:tc>
          <w:tcPr>
            <w:tcW w:w="628" w:type="pct"/>
            <w:shd w:val="clear" w:color="auto" w:fill="auto"/>
          </w:tcPr>
          <w:p w14:paraId="147C7E39" w14:textId="540F7D98" w:rsidR="00810A38" w:rsidRPr="00B6635B" w:rsidRDefault="00B6635B" w:rsidP="00AE14F4">
            <w:pPr>
              <w:pStyle w:val="TableText"/>
              <w:jc w:val="center"/>
              <w:rPr>
                <w:highlight w:val="darkGray"/>
              </w:rPr>
            </w:pPr>
            <w:r w:rsidRPr="00642F27">
              <w:rPr>
                <w:rFonts w:hint="eastAsia"/>
                <w:color w:val="000000"/>
                <w:w w:val="19"/>
                <w:shd w:val="solid" w:color="000000" w:fill="000000"/>
                <w:fitText w:val="88" w:id="-1305203712"/>
                <w14:textFill>
                  <w14:solidFill>
                    <w14:srgbClr w14:val="000000">
                      <w14:alpha w14:val="100000"/>
                    </w14:srgbClr>
                  </w14:solidFill>
                </w14:textFill>
              </w:rPr>
              <w:t xml:space="preserve">　</w:t>
            </w:r>
            <w:r w:rsidRPr="00642F27">
              <w:rPr>
                <w:color w:val="000000"/>
                <w:w w:val="19"/>
                <w:shd w:val="solid" w:color="000000" w:fill="000000"/>
                <w:fitText w:val="88" w:id="-1305203712"/>
                <w14:textFill>
                  <w14:solidFill>
                    <w14:srgbClr w14:val="000000">
                      <w14:alpha w14:val="100000"/>
                    </w14:srgbClr>
                  </w14:solidFill>
                </w14:textFill>
              </w:rPr>
              <w:t>|</w:t>
            </w:r>
            <w:r w:rsidRPr="00642F27">
              <w:rPr>
                <w:rFonts w:hint="eastAsia"/>
                <w:color w:val="000000"/>
                <w:spacing w:val="4"/>
                <w:w w:val="19"/>
                <w:shd w:val="solid" w:color="000000" w:fill="000000"/>
                <w:fitText w:val="88" w:id="-1305203712"/>
                <w14:textFill>
                  <w14:solidFill>
                    <w14:srgbClr w14:val="000000">
                      <w14:alpha w14:val="100000"/>
                    </w14:srgbClr>
                  </w14:solidFill>
                </w14:textFill>
              </w:rPr>
              <w:t xml:space="preserve">　</w:t>
            </w:r>
            <w:r w:rsidR="00EE2946">
              <w:rPr>
                <w:vertAlign w:val="superscript"/>
              </w:rPr>
              <w:t>6</w:t>
            </w:r>
          </w:p>
        </w:tc>
        <w:tc>
          <w:tcPr>
            <w:tcW w:w="629" w:type="pct"/>
            <w:shd w:val="clear" w:color="auto" w:fill="auto"/>
          </w:tcPr>
          <w:p w14:paraId="0702FEA4" w14:textId="103A2416" w:rsidR="00810A38" w:rsidRPr="00B6635B" w:rsidRDefault="00B6635B" w:rsidP="00AE14F4">
            <w:pPr>
              <w:pStyle w:val="TableText"/>
              <w:jc w:val="center"/>
              <w:rPr>
                <w:highlight w:val="darkGray"/>
              </w:rPr>
            </w:pPr>
            <w:r w:rsidRPr="00642F27">
              <w:rPr>
                <w:rFonts w:hint="eastAsia"/>
                <w:color w:val="000000"/>
                <w:w w:val="19"/>
                <w:shd w:val="solid" w:color="000000" w:fill="000000"/>
                <w:fitText w:val="88" w:id="-1305203711"/>
                <w14:textFill>
                  <w14:solidFill>
                    <w14:srgbClr w14:val="000000">
                      <w14:alpha w14:val="100000"/>
                    </w14:srgbClr>
                  </w14:solidFill>
                </w14:textFill>
              </w:rPr>
              <w:t xml:space="preserve">　</w:t>
            </w:r>
            <w:r w:rsidRPr="00642F27">
              <w:rPr>
                <w:color w:val="000000"/>
                <w:w w:val="19"/>
                <w:shd w:val="solid" w:color="000000" w:fill="000000"/>
                <w:fitText w:val="88" w:id="-1305203711"/>
                <w14:textFill>
                  <w14:solidFill>
                    <w14:srgbClr w14:val="000000">
                      <w14:alpha w14:val="100000"/>
                    </w14:srgbClr>
                  </w14:solidFill>
                </w14:textFill>
              </w:rPr>
              <w:t>|</w:t>
            </w:r>
            <w:r w:rsidRPr="00642F27">
              <w:rPr>
                <w:rFonts w:hint="eastAsia"/>
                <w:color w:val="000000"/>
                <w:w w:val="19"/>
                <w:shd w:val="solid" w:color="000000" w:fill="000000"/>
                <w:fitText w:val="88" w:id="-1305203711"/>
                <w14:textFill>
                  <w14:solidFill>
                    <w14:srgbClr w14:val="000000">
                      <w14:alpha w14:val="100000"/>
                    </w14:srgbClr>
                  </w14:solidFill>
                </w14:textFill>
              </w:rPr>
              <w:t xml:space="preserve">　</w:t>
            </w:r>
            <w:r w:rsidR="00393DF3">
              <w:rPr>
                <w:vertAlign w:val="superscript"/>
              </w:rPr>
              <w:t>6</w:t>
            </w:r>
          </w:p>
        </w:tc>
        <w:tc>
          <w:tcPr>
            <w:tcW w:w="629" w:type="pct"/>
            <w:shd w:val="clear" w:color="auto" w:fill="auto"/>
          </w:tcPr>
          <w:p w14:paraId="18EF9A52" w14:textId="2F848155" w:rsidR="00810A38" w:rsidRPr="00B6635B" w:rsidRDefault="00B6635B" w:rsidP="00AE14F4">
            <w:pPr>
              <w:pStyle w:val="TableText"/>
              <w:jc w:val="center"/>
              <w:rPr>
                <w:highlight w:val="darkGray"/>
              </w:rPr>
            </w:pPr>
            <w:r w:rsidRPr="00642F27">
              <w:rPr>
                <w:rFonts w:hint="eastAsia"/>
                <w:color w:val="000000"/>
                <w:w w:val="19"/>
                <w:shd w:val="solid" w:color="000000" w:fill="000000"/>
                <w:fitText w:val="87" w:id="-1305203710"/>
                <w14:textFill>
                  <w14:solidFill>
                    <w14:srgbClr w14:val="000000">
                      <w14:alpha w14:val="100000"/>
                    </w14:srgbClr>
                  </w14:solidFill>
                </w14:textFill>
              </w:rPr>
              <w:t xml:space="preserve">　</w:t>
            </w:r>
            <w:r w:rsidRPr="00642F27">
              <w:rPr>
                <w:color w:val="000000"/>
                <w:w w:val="19"/>
                <w:shd w:val="solid" w:color="000000" w:fill="000000"/>
                <w:fitText w:val="87" w:id="-1305203710"/>
                <w14:textFill>
                  <w14:solidFill>
                    <w14:srgbClr w14:val="000000">
                      <w14:alpha w14:val="100000"/>
                    </w14:srgbClr>
                  </w14:solidFill>
                </w14:textFill>
              </w:rPr>
              <w:t>|</w:t>
            </w:r>
            <w:r w:rsidRPr="00642F27">
              <w:rPr>
                <w:rFonts w:hint="eastAsia"/>
                <w:color w:val="000000"/>
                <w:spacing w:val="3"/>
                <w:w w:val="19"/>
                <w:shd w:val="solid" w:color="000000" w:fill="000000"/>
                <w:fitText w:val="87" w:id="-1305203710"/>
                <w14:textFill>
                  <w14:solidFill>
                    <w14:srgbClr w14:val="000000">
                      <w14:alpha w14:val="100000"/>
                    </w14:srgbClr>
                  </w14:solidFill>
                </w14:textFill>
              </w:rPr>
              <w:t xml:space="preserve">　</w:t>
            </w:r>
            <w:r w:rsidR="00393DF3">
              <w:rPr>
                <w:vertAlign w:val="superscript"/>
              </w:rPr>
              <w:t>6</w:t>
            </w:r>
          </w:p>
        </w:tc>
        <w:tc>
          <w:tcPr>
            <w:tcW w:w="629" w:type="pct"/>
            <w:shd w:val="clear" w:color="auto" w:fill="auto"/>
          </w:tcPr>
          <w:p w14:paraId="3AFFECDE" w14:textId="353675F5" w:rsidR="00810A38" w:rsidRPr="00B6635B" w:rsidRDefault="00B6635B" w:rsidP="00AE14F4">
            <w:pPr>
              <w:pStyle w:val="TableText"/>
              <w:jc w:val="center"/>
              <w:rPr>
                <w:highlight w:val="darkGray"/>
              </w:rPr>
            </w:pPr>
            <w:r w:rsidRPr="00642F27">
              <w:rPr>
                <w:rFonts w:hint="eastAsia"/>
                <w:color w:val="000000"/>
                <w:w w:val="19"/>
                <w:shd w:val="solid" w:color="000000" w:fill="000000"/>
                <w:fitText w:val="88" w:id="-1305203709"/>
                <w14:textFill>
                  <w14:solidFill>
                    <w14:srgbClr w14:val="000000">
                      <w14:alpha w14:val="100000"/>
                    </w14:srgbClr>
                  </w14:solidFill>
                </w14:textFill>
              </w:rPr>
              <w:t xml:space="preserve">　</w:t>
            </w:r>
            <w:r w:rsidRPr="00642F27">
              <w:rPr>
                <w:color w:val="000000"/>
                <w:w w:val="19"/>
                <w:shd w:val="solid" w:color="000000" w:fill="000000"/>
                <w:fitText w:val="88" w:id="-1305203709"/>
                <w14:textFill>
                  <w14:solidFill>
                    <w14:srgbClr w14:val="000000">
                      <w14:alpha w14:val="100000"/>
                    </w14:srgbClr>
                  </w14:solidFill>
                </w14:textFill>
              </w:rPr>
              <w:t>|</w:t>
            </w:r>
            <w:r w:rsidRPr="00642F27">
              <w:rPr>
                <w:rFonts w:hint="eastAsia"/>
                <w:color w:val="000000"/>
                <w:spacing w:val="4"/>
                <w:w w:val="19"/>
                <w:shd w:val="solid" w:color="000000" w:fill="000000"/>
                <w:fitText w:val="88" w:id="-1305203709"/>
                <w14:textFill>
                  <w14:solidFill>
                    <w14:srgbClr w14:val="000000">
                      <w14:alpha w14:val="100000"/>
                    </w14:srgbClr>
                  </w14:solidFill>
                </w14:textFill>
              </w:rPr>
              <w:t xml:space="preserve">　</w:t>
            </w:r>
            <w:r w:rsidR="00393DF3">
              <w:rPr>
                <w:vertAlign w:val="superscript"/>
              </w:rPr>
              <w:t>6</w:t>
            </w:r>
          </w:p>
        </w:tc>
        <w:tc>
          <w:tcPr>
            <w:tcW w:w="629" w:type="pct"/>
            <w:shd w:val="clear" w:color="auto" w:fill="auto"/>
          </w:tcPr>
          <w:p w14:paraId="072ED984" w14:textId="7890F10B" w:rsidR="00810A38" w:rsidRPr="00B6635B" w:rsidRDefault="00B6635B" w:rsidP="00AE14F4">
            <w:pPr>
              <w:pStyle w:val="TableText"/>
              <w:jc w:val="center"/>
              <w:rPr>
                <w:highlight w:val="darkGray"/>
              </w:rPr>
            </w:pPr>
            <w:r w:rsidRPr="00642F27">
              <w:rPr>
                <w:rFonts w:hint="eastAsia"/>
                <w:color w:val="000000"/>
                <w:w w:val="19"/>
                <w:shd w:val="solid" w:color="000000" w:fill="000000"/>
                <w:fitText w:val="88" w:id="-1305203708"/>
                <w14:textFill>
                  <w14:solidFill>
                    <w14:srgbClr w14:val="000000">
                      <w14:alpha w14:val="100000"/>
                    </w14:srgbClr>
                  </w14:solidFill>
                </w14:textFill>
              </w:rPr>
              <w:t xml:space="preserve">　</w:t>
            </w:r>
            <w:r w:rsidRPr="00642F27">
              <w:rPr>
                <w:color w:val="000000"/>
                <w:w w:val="19"/>
                <w:shd w:val="solid" w:color="000000" w:fill="000000"/>
                <w:fitText w:val="88" w:id="-1305203708"/>
                <w14:textFill>
                  <w14:solidFill>
                    <w14:srgbClr w14:val="000000">
                      <w14:alpha w14:val="100000"/>
                    </w14:srgbClr>
                  </w14:solidFill>
                </w14:textFill>
              </w:rPr>
              <w:t>|</w:t>
            </w:r>
            <w:r w:rsidRPr="00642F27">
              <w:rPr>
                <w:rFonts w:hint="eastAsia"/>
                <w:color w:val="000000"/>
                <w:w w:val="19"/>
                <w:shd w:val="solid" w:color="000000" w:fill="000000"/>
                <w:fitText w:val="88" w:id="-1305203708"/>
                <w14:textFill>
                  <w14:solidFill>
                    <w14:srgbClr w14:val="000000">
                      <w14:alpha w14:val="100000"/>
                    </w14:srgbClr>
                  </w14:solidFill>
                </w14:textFill>
              </w:rPr>
              <w:t xml:space="preserve">　</w:t>
            </w:r>
            <w:r w:rsidR="00393DF3">
              <w:rPr>
                <w:vertAlign w:val="superscript"/>
              </w:rPr>
              <w:t>6</w:t>
            </w:r>
          </w:p>
        </w:tc>
        <w:tc>
          <w:tcPr>
            <w:tcW w:w="679" w:type="pct"/>
            <w:shd w:val="clear" w:color="auto" w:fill="auto"/>
          </w:tcPr>
          <w:p w14:paraId="2B5B60C4" w14:textId="10897BB9" w:rsidR="00810A38" w:rsidRPr="00B6635B" w:rsidRDefault="00B6635B" w:rsidP="00AE14F4">
            <w:pPr>
              <w:pStyle w:val="TableText"/>
              <w:jc w:val="center"/>
              <w:rPr>
                <w:highlight w:val="darkGray"/>
              </w:rPr>
            </w:pPr>
            <w:r w:rsidRPr="00642F27">
              <w:rPr>
                <w:rFonts w:hint="eastAsia"/>
                <w:color w:val="000000"/>
                <w:w w:val="15"/>
                <w:shd w:val="solid" w:color="000000" w:fill="000000"/>
                <w:fitText w:val="50" w:id="-1305203707"/>
                <w14:textFill>
                  <w14:solidFill>
                    <w14:srgbClr w14:val="000000">
                      <w14:alpha w14:val="100000"/>
                    </w14:srgbClr>
                  </w14:solidFill>
                </w14:textFill>
              </w:rPr>
              <w:t xml:space="preserve">　</w:t>
            </w:r>
            <w:r w:rsidRPr="00642F27">
              <w:rPr>
                <w:color w:val="000000"/>
                <w:w w:val="15"/>
                <w:shd w:val="solid" w:color="000000" w:fill="000000"/>
                <w:fitText w:val="50" w:id="-1305203707"/>
                <w14:textFill>
                  <w14:solidFill>
                    <w14:srgbClr w14:val="000000">
                      <w14:alpha w14:val="100000"/>
                    </w14:srgbClr>
                  </w14:solidFill>
                </w14:textFill>
              </w:rPr>
              <w:t>|</w:t>
            </w:r>
            <w:r w:rsidRPr="00642F27">
              <w:rPr>
                <w:rFonts w:hint="eastAsia"/>
                <w:color w:val="000000"/>
                <w:spacing w:val="-15"/>
                <w:w w:val="15"/>
                <w:shd w:val="solid" w:color="000000" w:fill="000000"/>
                <w:fitText w:val="50" w:id="-1305203707"/>
                <w14:textFill>
                  <w14:solidFill>
                    <w14:srgbClr w14:val="000000">
                      <w14:alpha w14:val="100000"/>
                    </w14:srgbClr>
                  </w14:solidFill>
                </w14:textFill>
              </w:rPr>
              <w:t xml:space="preserve">　</w:t>
            </w:r>
            <w:r w:rsidR="00393DF3">
              <w:rPr>
                <w:vertAlign w:val="superscript"/>
              </w:rPr>
              <w:t>6</w:t>
            </w:r>
          </w:p>
        </w:tc>
      </w:tr>
      <w:tr w:rsidR="00FE14FA" w:rsidRPr="003A235D" w14:paraId="5E3D1A62" w14:textId="77777777" w:rsidTr="00FE14FA">
        <w:tc>
          <w:tcPr>
            <w:tcW w:w="1177" w:type="pct"/>
            <w:shd w:val="clear" w:color="auto" w:fill="auto"/>
            <w:vAlign w:val="center"/>
          </w:tcPr>
          <w:p w14:paraId="5AF01567" w14:textId="77777777" w:rsidR="00810A38" w:rsidRPr="003A235D" w:rsidRDefault="00810A38" w:rsidP="00AE14F4">
            <w:pPr>
              <w:pStyle w:val="TableText"/>
              <w:rPr>
                <w:b/>
                <w:bCs w:val="0"/>
              </w:rPr>
            </w:pPr>
            <w:r w:rsidRPr="003A235D">
              <w:rPr>
                <w:b/>
                <w:bCs w:val="0"/>
              </w:rPr>
              <w:t>Net cost to PBS/RPBS</w:t>
            </w:r>
          </w:p>
        </w:tc>
        <w:tc>
          <w:tcPr>
            <w:tcW w:w="628" w:type="pct"/>
            <w:shd w:val="clear" w:color="auto" w:fill="auto"/>
          </w:tcPr>
          <w:p w14:paraId="47720A07" w14:textId="4EAA107A" w:rsidR="00810A38" w:rsidRPr="003A235D" w:rsidRDefault="00B6635B" w:rsidP="00AE14F4">
            <w:pPr>
              <w:pStyle w:val="TableText"/>
              <w:jc w:val="center"/>
              <w:rPr>
                <w:b/>
                <w:bCs w:val="0"/>
              </w:rPr>
            </w:pPr>
            <w:r w:rsidRPr="00642F27">
              <w:rPr>
                <w:rFonts w:hint="eastAsia"/>
                <w:b/>
                <w:bCs w:val="0"/>
                <w:color w:val="000000"/>
                <w:w w:val="19"/>
                <w:shd w:val="solid" w:color="000000" w:fill="000000"/>
                <w:fitText w:val="88" w:id="-1305203706"/>
                <w14:textFill>
                  <w14:solidFill>
                    <w14:srgbClr w14:val="000000">
                      <w14:alpha w14:val="100000"/>
                    </w14:srgbClr>
                  </w14:solidFill>
                </w14:textFill>
              </w:rPr>
              <w:t xml:space="preserve">　</w:t>
            </w:r>
            <w:r w:rsidRPr="00642F27">
              <w:rPr>
                <w:b/>
                <w:bCs w:val="0"/>
                <w:color w:val="000000"/>
                <w:w w:val="19"/>
                <w:shd w:val="solid" w:color="000000" w:fill="000000"/>
                <w:fitText w:val="88" w:id="-1305203706"/>
                <w14:textFill>
                  <w14:solidFill>
                    <w14:srgbClr w14:val="000000">
                      <w14:alpha w14:val="100000"/>
                    </w14:srgbClr>
                  </w14:solidFill>
                </w14:textFill>
              </w:rPr>
              <w:t>|</w:t>
            </w:r>
            <w:r w:rsidRPr="00642F27">
              <w:rPr>
                <w:rFonts w:hint="eastAsia"/>
                <w:b/>
                <w:bCs w:val="0"/>
                <w:color w:val="000000"/>
                <w:w w:val="19"/>
                <w:shd w:val="solid" w:color="000000" w:fill="000000"/>
                <w:fitText w:val="88" w:id="-1305203706"/>
                <w14:textFill>
                  <w14:solidFill>
                    <w14:srgbClr w14:val="000000">
                      <w14:alpha w14:val="100000"/>
                    </w14:srgbClr>
                  </w14:solidFill>
                </w14:textFill>
              </w:rPr>
              <w:t xml:space="preserve">　</w:t>
            </w:r>
            <w:r w:rsidR="00EE2946">
              <w:rPr>
                <w:vertAlign w:val="superscript"/>
              </w:rPr>
              <w:t>7</w:t>
            </w:r>
          </w:p>
        </w:tc>
        <w:tc>
          <w:tcPr>
            <w:tcW w:w="629" w:type="pct"/>
            <w:shd w:val="clear" w:color="auto" w:fill="auto"/>
          </w:tcPr>
          <w:p w14:paraId="7CF780D0" w14:textId="670D1C81" w:rsidR="00810A38" w:rsidRPr="003A235D" w:rsidRDefault="00B6635B" w:rsidP="00AE14F4">
            <w:pPr>
              <w:pStyle w:val="TableText"/>
              <w:jc w:val="center"/>
              <w:rPr>
                <w:b/>
                <w:bCs w:val="0"/>
              </w:rPr>
            </w:pPr>
            <w:r w:rsidRPr="00642F27">
              <w:rPr>
                <w:rFonts w:hint="eastAsia"/>
                <w:b/>
                <w:bCs w:val="0"/>
                <w:color w:val="000000"/>
                <w:w w:val="19"/>
                <w:shd w:val="solid" w:color="000000" w:fill="000000"/>
                <w:fitText w:val="88" w:id="-1305203705"/>
                <w14:textFill>
                  <w14:solidFill>
                    <w14:srgbClr w14:val="000000">
                      <w14:alpha w14:val="100000"/>
                    </w14:srgbClr>
                  </w14:solidFill>
                </w14:textFill>
              </w:rPr>
              <w:t xml:space="preserve">　</w:t>
            </w:r>
            <w:r w:rsidRPr="00642F27">
              <w:rPr>
                <w:b/>
                <w:bCs w:val="0"/>
                <w:color w:val="000000"/>
                <w:w w:val="19"/>
                <w:shd w:val="solid" w:color="000000" w:fill="000000"/>
                <w:fitText w:val="88" w:id="-1305203705"/>
                <w14:textFill>
                  <w14:solidFill>
                    <w14:srgbClr w14:val="000000">
                      <w14:alpha w14:val="100000"/>
                    </w14:srgbClr>
                  </w14:solidFill>
                </w14:textFill>
              </w:rPr>
              <w:t>|</w:t>
            </w:r>
            <w:r w:rsidRPr="00642F27">
              <w:rPr>
                <w:rFonts w:hint="eastAsia"/>
                <w:b/>
                <w:bCs w:val="0"/>
                <w:color w:val="000000"/>
                <w:w w:val="19"/>
                <w:shd w:val="solid" w:color="000000" w:fill="000000"/>
                <w:fitText w:val="88" w:id="-1305203705"/>
                <w14:textFill>
                  <w14:solidFill>
                    <w14:srgbClr w14:val="000000">
                      <w14:alpha w14:val="100000"/>
                    </w14:srgbClr>
                  </w14:solidFill>
                </w14:textFill>
              </w:rPr>
              <w:t xml:space="preserve">　</w:t>
            </w:r>
            <w:r w:rsidR="008722FD">
              <w:rPr>
                <w:vertAlign w:val="superscript"/>
              </w:rPr>
              <w:t>8</w:t>
            </w:r>
          </w:p>
        </w:tc>
        <w:tc>
          <w:tcPr>
            <w:tcW w:w="629" w:type="pct"/>
            <w:shd w:val="clear" w:color="auto" w:fill="auto"/>
          </w:tcPr>
          <w:p w14:paraId="3E159656" w14:textId="12311832" w:rsidR="00810A38" w:rsidRPr="003A235D" w:rsidRDefault="00B6635B" w:rsidP="00AE14F4">
            <w:pPr>
              <w:pStyle w:val="TableText"/>
              <w:jc w:val="center"/>
              <w:rPr>
                <w:b/>
                <w:bCs w:val="0"/>
              </w:rPr>
            </w:pPr>
            <w:r w:rsidRPr="00642F27">
              <w:rPr>
                <w:rFonts w:hint="eastAsia"/>
                <w:b/>
                <w:bCs w:val="0"/>
                <w:color w:val="000000"/>
                <w:w w:val="27"/>
                <w:shd w:val="solid" w:color="000000" w:fill="000000"/>
                <w:fitText w:val="125" w:id="-1305203704"/>
                <w14:textFill>
                  <w14:solidFill>
                    <w14:srgbClr w14:val="000000">
                      <w14:alpha w14:val="100000"/>
                    </w14:srgbClr>
                  </w14:solidFill>
                </w14:textFill>
              </w:rPr>
              <w:t xml:space="preserve">　</w:t>
            </w:r>
            <w:r w:rsidRPr="00642F27">
              <w:rPr>
                <w:b/>
                <w:bCs w:val="0"/>
                <w:color w:val="000000"/>
                <w:w w:val="27"/>
                <w:shd w:val="solid" w:color="000000" w:fill="000000"/>
                <w:fitText w:val="125" w:id="-1305203704"/>
                <w14:textFill>
                  <w14:solidFill>
                    <w14:srgbClr w14:val="000000">
                      <w14:alpha w14:val="100000"/>
                    </w14:srgbClr>
                  </w14:solidFill>
                </w14:textFill>
              </w:rPr>
              <w:t>|</w:t>
            </w:r>
            <w:r w:rsidRPr="00642F27">
              <w:rPr>
                <w:rFonts w:hint="eastAsia"/>
                <w:b/>
                <w:bCs w:val="0"/>
                <w:color w:val="000000"/>
                <w:w w:val="27"/>
                <w:shd w:val="solid" w:color="000000" w:fill="000000"/>
                <w:fitText w:val="125" w:id="-1305203704"/>
                <w14:textFill>
                  <w14:solidFill>
                    <w14:srgbClr w14:val="000000">
                      <w14:alpha w14:val="100000"/>
                    </w14:srgbClr>
                  </w14:solidFill>
                </w14:textFill>
              </w:rPr>
              <w:t xml:space="preserve">　</w:t>
            </w:r>
            <w:r w:rsidR="008722FD">
              <w:rPr>
                <w:vertAlign w:val="superscript"/>
              </w:rPr>
              <w:t>15</w:t>
            </w:r>
          </w:p>
        </w:tc>
        <w:tc>
          <w:tcPr>
            <w:tcW w:w="629" w:type="pct"/>
            <w:shd w:val="clear" w:color="auto" w:fill="auto"/>
          </w:tcPr>
          <w:p w14:paraId="5D3534F0" w14:textId="66E2F5B0" w:rsidR="00810A38" w:rsidRPr="003A235D" w:rsidRDefault="00B6635B" w:rsidP="00AE14F4">
            <w:pPr>
              <w:pStyle w:val="TableText"/>
              <w:jc w:val="center"/>
              <w:rPr>
                <w:b/>
                <w:bCs w:val="0"/>
              </w:rPr>
            </w:pPr>
            <w:r w:rsidRPr="00642F27">
              <w:rPr>
                <w:rFonts w:hint="eastAsia"/>
                <w:b/>
                <w:bCs w:val="0"/>
                <w:color w:val="000000"/>
                <w:w w:val="27"/>
                <w:shd w:val="solid" w:color="000000" w:fill="000000"/>
                <w:fitText w:val="125" w:id="-1305203703"/>
                <w14:textFill>
                  <w14:solidFill>
                    <w14:srgbClr w14:val="000000">
                      <w14:alpha w14:val="100000"/>
                    </w14:srgbClr>
                  </w14:solidFill>
                </w14:textFill>
              </w:rPr>
              <w:t xml:space="preserve">　</w:t>
            </w:r>
            <w:r w:rsidRPr="00642F27">
              <w:rPr>
                <w:b/>
                <w:bCs w:val="0"/>
                <w:color w:val="000000"/>
                <w:w w:val="27"/>
                <w:shd w:val="solid" w:color="000000" w:fill="000000"/>
                <w:fitText w:val="125" w:id="-1305203703"/>
                <w14:textFill>
                  <w14:solidFill>
                    <w14:srgbClr w14:val="000000">
                      <w14:alpha w14:val="100000"/>
                    </w14:srgbClr>
                  </w14:solidFill>
                </w14:textFill>
              </w:rPr>
              <w:t>|</w:t>
            </w:r>
            <w:r w:rsidRPr="00642F27">
              <w:rPr>
                <w:rFonts w:hint="eastAsia"/>
                <w:b/>
                <w:bCs w:val="0"/>
                <w:color w:val="000000"/>
                <w:w w:val="27"/>
                <w:shd w:val="solid" w:color="000000" w:fill="000000"/>
                <w:fitText w:val="125" w:id="-1305203703"/>
                <w14:textFill>
                  <w14:solidFill>
                    <w14:srgbClr w14:val="000000">
                      <w14:alpha w14:val="100000"/>
                    </w14:srgbClr>
                  </w14:solidFill>
                </w14:textFill>
              </w:rPr>
              <w:t xml:space="preserve">　</w:t>
            </w:r>
            <w:r w:rsidR="000B6325">
              <w:rPr>
                <w:vertAlign w:val="superscript"/>
              </w:rPr>
              <w:t>18</w:t>
            </w:r>
          </w:p>
        </w:tc>
        <w:tc>
          <w:tcPr>
            <w:tcW w:w="629" w:type="pct"/>
            <w:shd w:val="clear" w:color="auto" w:fill="auto"/>
          </w:tcPr>
          <w:p w14:paraId="5D3CB0E7" w14:textId="79786E0D" w:rsidR="00810A38" w:rsidRPr="003A235D" w:rsidRDefault="00B6635B" w:rsidP="00AE14F4">
            <w:pPr>
              <w:pStyle w:val="TableText"/>
              <w:jc w:val="center"/>
              <w:rPr>
                <w:b/>
                <w:bCs w:val="0"/>
              </w:rPr>
            </w:pPr>
            <w:r w:rsidRPr="00642F27">
              <w:rPr>
                <w:rFonts w:hint="eastAsia"/>
                <w:b/>
                <w:bCs w:val="0"/>
                <w:color w:val="000000"/>
                <w:w w:val="27"/>
                <w:shd w:val="solid" w:color="000000" w:fill="000000"/>
                <w:fitText w:val="125" w:id="-1305203702"/>
                <w14:textFill>
                  <w14:solidFill>
                    <w14:srgbClr w14:val="000000">
                      <w14:alpha w14:val="100000"/>
                    </w14:srgbClr>
                  </w14:solidFill>
                </w14:textFill>
              </w:rPr>
              <w:t xml:space="preserve">　</w:t>
            </w:r>
            <w:r w:rsidRPr="00642F27">
              <w:rPr>
                <w:b/>
                <w:bCs w:val="0"/>
                <w:color w:val="000000"/>
                <w:w w:val="27"/>
                <w:shd w:val="solid" w:color="000000" w:fill="000000"/>
                <w:fitText w:val="125" w:id="-1305203702"/>
                <w14:textFill>
                  <w14:solidFill>
                    <w14:srgbClr w14:val="000000">
                      <w14:alpha w14:val="100000"/>
                    </w14:srgbClr>
                  </w14:solidFill>
                </w14:textFill>
              </w:rPr>
              <w:t>|</w:t>
            </w:r>
            <w:r w:rsidRPr="00642F27">
              <w:rPr>
                <w:rFonts w:hint="eastAsia"/>
                <w:b/>
                <w:bCs w:val="0"/>
                <w:color w:val="000000"/>
                <w:w w:val="27"/>
                <w:shd w:val="solid" w:color="000000" w:fill="000000"/>
                <w:fitText w:val="125" w:id="-1305203702"/>
                <w14:textFill>
                  <w14:solidFill>
                    <w14:srgbClr w14:val="000000">
                      <w14:alpha w14:val="100000"/>
                    </w14:srgbClr>
                  </w14:solidFill>
                </w14:textFill>
              </w:rPr>
              <w:t xml:space="preserve">　</w:t>
            </w:r>
            <w:r w:rsidR="000B6325">
              <w:rPr>
                <w:vertAlign w:val="superscript"/>
              </w:rPr>
              <w:t>20</w:t>
            </w:r>
          </w:p>
        </w:tc>
        <w:tc>
          <w:tcPr>
            <w:tcW w:w="679" w:type="pct"/>
            <w:shd w:val="clear" w:color="auto" w:fill="auto"/>
          </w:tcPr>
          <w:p w14:paraId="7C5B8653" w14:textId="7376849A" w:rsidR="00810A38" w:rsidRPr="003A235D" w:rsidRDefault="00B6635B" w:rsidP="00AE14F4">
            <w:pPr>
              <w:pStyle w:val="TableText"/>
              <w:jc w:val="center"/>
              <w:rPr>
                <w:b/>
                <w:bCs w:val="0"/>
              </w:rPr>
            </w:pPr>
            <w:r w:rsidRPr="00642F27">
              <w:rPr>
                <w:rFonts w:hint="eastAsia"/>
                <w:b/>
                <w:bCs w:val="0"/>
                <w:color w:val="000000"/>
                <w:w w:val="15"/>
                <w:shd w:val="solid" w:color="000000" w:fill="000000"/>
                <w:fitText w:val="63" w:id="-1305203701"/>
                <w14:textFill>
                  <w14:solidFill>
                    <w14:srgbClr w14:val="000000">
                      <w14:alpha w14:val="100000"/>
                    </w14:srgbClr>
                  </w14:solidFill>
                </w14:textFill>
              </w:rPr>
              <w:t xml:space="preserve">　</w:t>
            </w:r>
            <w:r w:rsidRPr="00642F27">
              <w:rPr>
                <w:b/>
                <w:bCs w:val="0"/>
                <w:color w:val="000000"/>
                <w:w w:val="15"/>
                <w:shd w:val="solid" w:color="000000" w:fill="000000"/>
                <w:fitText w:val="63" w:id="-1305203701"/>
                <w14:textFill>
                  <w14:solidFill>
                    <w14:srgbClr w14:val="000000">
                      <w14:alpha w14:val="100000"/>
                    </w14:srgbClr>
                  </w14:solidFill>
                </w14:textFill>
              </w:rPr>
              <w:t>|</w:t>
            </w:r>
            <w:r w:rsidRPr="00642F27">
              <w:rPr>
                <w:rFonts w:hint="eastAsia"/>
                <w:b/>
                <w:bCs w:val="0"/>
                <w:color w:val="000000"/>
                <w:w w:val="15"/>
                <w:shd w:val="solid" w:color="000000" w:fill="000000"/>
                <w:fitText w:val="63" w:id="-1305203701"/>
                <w14:textFill>
                  <w14:solidFill>
                    <w14:srgbClr w14:val="000000">
                      <w14:alpha w14:val="100000"/>
                    </w14:srgbClr>
                  </w14:solidFill>
                </w14:textFill>
              </w:rPr>
              <w:t xml:space="preserve">　</w:t>
            </w:r>
            <w:r w:rsidR="007062F7">
              <w:rPr>
                <w:vertAlign w:val="superscript"/>
              </w:rPr>
              <w:t>19</w:t>
            </w:r>
          </w:p>
        </w:tc>
      </w:tr>
      <w:tr w:rsidR="00F718F3" w:rsidRPr="003A235D" w14:paraId="0DC17750" w14:textId="77777777" w:rsidTr="00F718F3">
        <w:tc>
          <w:tcPr>
            <w:tcW w:w="5000" w:type="pct"/>
            <w:gridSpan w:val="7"/>
            <w:shd w:val="clear" w:color="auto" w:fill="auto"/>
            <w:vAlign w:val="center"/>
          </w:tcPr>
          <w:p w14:paraId="243E86AE" w14:textId="4AC5820A" w:rsidR="00F718F3" w:rsidRPr="003A235D" w:rsidRDefault="00B27D78" w:rsidP="00F718F3">
            <w:pPr>
              <w:pStyle w:val="TableText"/>
              <w:rPr>
                <w:b/>
                <w:bCs w:val="0"/>
              </w:rPr>
            </w:pPr>
            <w:r w:rsidRPr="003A235D">
              <w:rPr>
                <w:b/>
              </w:rPr>
              <w:t xml:space="preserve">Revised inputs for financial estimates and proposed risk share </w:t>
            </w:r>
            <w:r w:rsidR="00F718F3" w:rsidRPr="003A235D">
              <w:rPr>
                <w:b/>
                <w:sz w:val="22"/>
                <w:szCs w:val="22"/>
              </w:rPr>
              <w:t xml:space="preserve">– </w:t>
            </w:r>
            <w:r w:rsidR="00F718F3" w:rsidRPr="003A235D">
              <w:rPr>
                <w:b/>
                <w:szCs w:val="20"/>
              </w:rPr>
              <w:t>Pre-PBAC response</w:t>
            </w:r>
            <w:r w:rsidR="00F718F3" w:rsidRPr="003A235D">
              <w:rPr>
                <w:b/>
                <w:sz w:val="22"/>
                <w:szCs w:val="22"/>
              </w:rPr>
              <w:t xml:space="preserve"> </w:t>
            </w:r>
          </w:p>
        </w:tc>
      </w:tr>
      <w:tr w:rsidR="00FE14FA" w:rsidRPr="003A235D" w14:paraId="7CE86ABC" w14:textId="77777777" w:rsidTr="00FE14FA">
        <w:tc>
          <w:tcPr>
            <w:tcW w:w="1177" w:type="pct"/>
            <w:shd w:val="clear" w:color="auto" w:fill="auto"/>
            <w:vAlign w:val="center"/>
          </w:tcPr>
          <w:p w14:paraId="5339D02D" w14:textId="013C8395" w:rsidR="00F718F3" w:rsidRPr="003A235D" w:rsidRDefault="00F718F3" w:rsidP="00F718F3">
            <w:pPr>
              <w:pStyle w:val="TableText"/>
              <w:rPr>
                <w:b/>
                <w:bCs w:val="0"/>
                <w:szCs w:val="20"/>
              </w:rPr>
            </w:pPr>
            <w:r w:rsidRPr="003A235D">
              <w:rPr>
                <w:szCs w:val="20"/>
              </w:rPr>
              <w:t>Cost to PBS/RPBS less co-payments</w:t>
            </w:r>
          </w:p>
        </w:tc>
        <w:tc>
          <w:tcPr>
            <w:tcW w:w="628" w:type="pct"/>
            <w:shd w:val="clear" w:color="auto" w:fill="auto"/>
            <w:vAlign w:val="center"/>
          </w:tcPr>
          <w:p w14:paraId="6BF4233D" w14:textId="4513A455" w:rsidR="00F718F3" w:rsidRPr="003A235D" w:rsidRDefault="00B6635B" w:rsidP="00F718F3">
            <w:pPr>
              <w:pStyle w:val="TableText"/>
              <w:jc w:val="center"/>
              <w:rPr>
                <w:b/>
                <w:bCs w:val="0"/>
                <w:szCs w:val="20"/>
              </w:rPr>
            </w:pPr>
            <w:r w:rsidRPr="00642F27">
              <w:rPr>
                <w:rFonts w:hint="eastAsia"/>
                <w:color w:val="000000"/>
                <w:w w:val="19"/>
                <w:szCs w:val="20"/>
                <w:shd w:val="solid" w:color="000000" w:fill="000000"/>
                <w:fitText w:val="88" w:id="-1305203700"/>
                <w14:textFill>
                  <w14:solidFill>
                    <w14:srgbClr w14:val="000000">
                      <w14:alpha w14:val="100000"/>
                    </w14:srgbClr>
                  </w14:solidFill>
                </w14:textFill>
              </w:rPr>
              <w:t xml:space="preserve">　</w:t>
            </w:r>
            <w:r w:rsidRPr="00642F27">
              <w:rPr>
                <w:color w:val="000000"/>
                <w:w w:val="19"/>
                <w:szCs w:val="20"/>
                <w:shd w:val="solid" w:color="000000" w:fill="000000"/>
                <w:fitText w:val="88" w:id="-1305203700"/>
                <w14:textFill>
                  <w14:solidFill>
                    <w14:srgbClr w14:val="000000">
                      <w14:alpha w14:val="100000"/>
                    </w14:srgbClr>
                  </w14:solidFill>
                </w14:textFill>
              </w:rPr>
              <w:t>|</w:t>
            </w:r>
            <w:r w:rsidRPr="00642F27">
              <w:rPr>
                <w:rFonts w:hint="eastAsia"/>
                <w:color w:val="000000"/>
                <w:spacing w:val="4"/>
                <w:w w:val="19"/>
                <w:szCs w:val="20"/>
                <w:shd w:val="solid" w:color="000000" w:fill="000000"/>
                <w:fitText w:val="88" w:id="-1305203700"/>
                <w14:textFill>
                  <w14:solidFill>
                    <w14:srgbClr w14:val="000000">
                      <w14:alpha w14:val="100000"/>
                    </w14:srgbClr>
                  </w14:solidFill>
                </w14:textFill>
              </w:rPr>
              <w:t xml:space="preserve">　</w:t>
            </w:r>
            <w:r w:rsidR="00EE2946">
              <w:rPr>
                <w:vertAlign w:val="superscript"/>
              </w:rPr>
              <w:t>8</w:t>
            </w:r>
          </w:p>
        </w:tc>
        <w:tc>
          <w:tcPr>
            <w:tcW w:w="629" w:type="pct"/>
            <w:shd w:val="clear" w:color="auto" w:fill="auto"/>
            <w:vAlign w:val="center"/>
          </w:tcPr>
          <w:p w14:paraId="0FF8D3A6" w14:textId="60DEC779" w:rsidR="00F718F3" w:rsidRPr="003A235D" w:rsidRDefault="00B6635B" w:rsidP="00F718F3">
            <w:pPr>
              <w:pStyle w:val="TableText"/>
              <w:jc w:val="center"/>
              <w:rPr>
                <w:b/>
                <w:bCs w:val="0"/>
                <w:szCs w:val="20"/>
              </w:rPr>
            </w:pPr>
            <w:r w:rsidRPr="00642F27">
              <w:rPr>
                <w:rFonts w:hint="eastAsia"/>
                <w:color w:val="000000"/>
                <w:w w:val="28"/>
                <w:szCs w:val="20"/>
                <w:shd w:val="solid" w:color="000000" w:fill="000000"/>
                <w:fitText w:val="126" w:id="-1305203699"/>
                <w14:textFill>
                  <w14:solidFill>
                    <w14:srgbClr w14:val="000000">
                      <w14:alpha w14:val="100000"/>
                    </w14:srgbClr>
                  </w14:solidFill>
                </w14:textFill>
              </w:rPr>
              <w:t xml:space="preserve">　</w:t>
            </w:r>
            <w:r w:rsidRPr="00642F27">
              <w:rPr>
                <w:color w:val="000000"/>
                <w:w w:val="28"/>
                <w:szCs w:val="20"/>
                <w:shd w:val="solid" w:color="000000" w:fill="000000"/>
                <w:fitText w:val="126" w:id="-1305203699"/>
                <w14:textFill>
                  <w14:solidFill>
                    <w14:srgbClr w14:val="000000">
                      <w14:alpha w14:val="100000"/>
                    </w14:srgbClr>
                  </w14:solidFill>
                </w14:textFill>
              </w:rPr>
              <w:t>|</w:t>
            </w:r>
            <w:r w:rsidRPr="00642F27">
              <w:rPr>
                <w:rFonts w:hint="eastAsia"/>
                <w:color w:val="000000"/>
                <w:spacing w:val="4"/>
                <w:w w:val="28"/>
                <w:szCs w:val="20"/>
                <w:shd w:val="solid" w:color="000000" w:fill="000000"/>
                <w:fitText w:val="126" w:id="-1305203699"/>
                <w14:textFill>
                  <w14:solidFill>
                    <w14:srgbClr w14:val="000000">
                      <w14:alpha w14:val="100000"/>
                    </w14:srgbClr>
                  </w14:solidFill>
                </w14:textFill>
              </w:rPr>
              <w:t xml:space="preserve">　</w:t>
            </w:r>
            <w:r w:rsidR="00393DF3">
              <w:rPr>
                <w:vertAlign w:val="superscript"/>
              </w:rPr>
              <w:t>12</w:t>
            </w:r>
          </w:p>
        </w:tc>
        <w:tc>
          <w:tcPr>
            <w:tcW w:w="629" w:type="pct"/>
            <w:shd w:val="clear" w:color="auto" w:fill="auto"/>
            <w:vAlign w:val="center"/>
          </w:tcPr>
          <w:p w14:paraId="57DC3DC7" w14:textId="401DC29D" w:rsidR="00F718F3" w:rsidRPr="003A235D" w:rsidRDefault="00B6635B" w:rsidP="00F718F3">
            <w:pPr>
              <w:pStyle w:val="TableText"/>
              <w:jc w:val="center"/>
              <w:rPr>
                <w:b/>
                <w:bCs w:val="0"/>
                <w:szCs w:val="20"/>
              </w:rPr>
            </w:pPr>
            <w:r w:rsidRPr="00642F27">
              <w:rPr>
                <w:rFonts w:hint="eastAsia"/>
                <w:color w:val="000000"/>
                <w:w w:val="28"/>
                <w:szCs w:val="20"/>
                <w:shd w:val="solid" w:color="000000" w:fill="000000"/>
                <w:fitText w:val="125" w:id="-1305203698"/>
                <w14:textFill>
                  <w14:solidFill>
                    <w14:srgbClr w14:val="000000">
                      <w14:alpha w14:val="100000"/>
                    </w14:srgbClr>
                  </w14:solidFill>
                </w14:textFill>
              </w:rPr>
              <w:t xml:space="preserve">　</w:t>
            </w:r>
            <w:r w:rsidRPr="00642F27">
              <w:rPr>
                <w:color w:val="000000"/>
                <w:w w:val="28"/>
                <w:szCs w:val="20"/>
                <w:shd w:val="solid" w:color="000000" w:fill="000000"/>
                <w:fitText w:val="125" w:id="-1305203698"/>
                <w14:textFill>
                  <w14:solidFill>
                    <w14:srgbClr w14:val="000000">
                      <w14:alpha w14:val="100000"/>
                    </w14:srgbClr>
                  </w14:solidFill>
                </w14:textFill>
              </w:rPr>
              <w:t>|</w:t>
            </w:r>
            <w:r w:rsidRPr="00642F27">
              <w:rPr>
                <w:rFonts w:hint="eastAsia"/>
                <w:color w:val="000000"/>
                <w:spacing w:val="3"/>
                <w:w w:val="28"/>
                <w:szCs w:val="20"/>
                <w:shd w:val="solid" w:color="000000" w:fill="000000"/>
                <w:fitText w:val="125" w:id="-1305203698"/>
                <w14:textFill>
                  <w14:solidFill>
                    <w14:srgbClr w14:val="000000">
                      <w14:alpha w14:val="100000"/>
                    </w14:srgbClr>
                  </w14:solidFill>
                </w14:textFill>
              </w:rPr>
              <w:t xml:space="preserve">　</w:t>
            </w:r>
            <w:r w:rsidR="000B6325">
              <w:rPr>
                <w:vertAlign w:val="superscript"/>
              </w:rPr>
              <w:t>16</w:t>
            </w:r>
          </w:p>
        </w:tc>
        <w:tc>
          <w:tcPr>
            <w:tcW w:w="629" w:type="pct"/>
            <w:shd w:val="clear" w:color="auto" w:fill="auto"/>
            <w:vAlign w:val="center"/>
          </w:tcPr>
          <w:p w14:paraId="373AD728" w14:textId="27712CDA" w:rsidR="00F718F3" w:rsidRPr="003A235D" w:rsidRDefault="00B6635B" w:rsidP="00F718F3">
            <w:pPr>
              <w:pStyle w:val="TableText"/>
              <w:jc w:val="center"/>
              <w:rPr>
                <w:b/>
                <w:bCs w:val="0"/>
                <w:szCs w:val="20"/>
              </w:rPr>
            </w:pPr>
            <w:r w:rsidRPr="00642F27">
              <w:rPr>
                <w:rFonts w:hint="eastAsia"/>
                <w:color w:val="000000"/>
                <w:w w:val="28"/>
                <w:szCs w:val="20"/>
                <w:shd w:val="solid" w:color="000000" w:fill="000000"/>
                <w:fitText w:val="125" w:id="-1305203697"/>
                <w14:textFill>
                  <w14:solidFill>
                    <w14:srgbClr w14:val="000000">
                      <w14:alpha w14:val="100000"/>
                    </w14:srgbClr>
                  </w14:solidFill>
                </w14:textFill>
              </w:rPr>
              <w:t xml:space="preserve">　</w:t>
            </w:r>
            <w:r w:rsidRPr="00642F27">
              <w:rPr>
                <w:color w:val="000000"/>
                <w:w w:val="28"/>
                <w:szCs w:val="20"/>
                <w:shd w:val="solid" w:color="000000" w:fill="000000"/>
                <w:fitText w:val="125" w:id="-1305203697"/>
                <w14:textFill>
                  <w14:solidFill>
                    <w14:srgbClr w14:val="000000">
                      <w14:alpha w14:val="100000"/>
                    </w14:srgbClr>
                  </w14:solidFill>
                </w14:textFill>
              </w:rPr>
              <w:t>|</w:t>
            </w:r>
            <w:r w:rsidRPr="00642F27">
              <w:rPr>
                <w:rFonts w:hint="eastAsia"/>
                <w:color w:val="000000"/>
                <w:spacing w:val="3"/>
                <w:w w:val="28"/>
                <w:szCs w:val="20"/>
                <w:shd w:val="solid" w:color="000000" w:fill="000000"/>
                <w:fitText w:val="125" w:id="-1305203697"/>
                <w14:textFill>
                  <w14:solidFill>
                    <w14:srgbClr w14:val="000000">
                      <w14:alpha w14:val="100000"/>
                    </w14:srgbClr>
                  </w14:solidFill>
                </w14:textFill>
              </w:rPr>
              <w:t xml:space="preserve">　</w:t>
            </w:r>
            <w:r w:rsidR="000B6325">
              <w:rPr>
                <w:vertAlign w:val="superscript"/>
              </w:rPr>
              <w:t>14</w:t>
            </w:r>
          </w:p>
        </w:tc>
        <w:tc>
          <w:tcPr>
            <w:tcW w:w="629" w:type="pct"/>
            <w:shd w:val="clear" w:color="auto" w:fill="auto"/>
            <w:vAlign w:val="center"/>
          </w:tcPr>
          <w:p w14:paraId="675CE788" w14:textId="2559BCA6" w:rsidR="00F718F3" w:rsidRPr="003A235D" w:rsidRDefault="00B6635B" w:rsidP="00F718F3">
            <w:pPr>
              <w:pStyle w:val="TableText"/>
              <w:jc w:val="center"/>
              <w:rPr>
                <w:b/>
                <w:bCs w:val="0"/>
                <w:szCs w:val="20"/>
              </w:rPr>
            </w:pPr>
            <w:r w:rsidRPr="00642F27">
              <w:rPr>
                <w:rFonts w:hint="eastAsia"/>
                <w:color w:val="000000"/>
                <w:w w:val="28"/>
                <w:szCs w:val="20"/>
                <w:shd w:val="solid" w:color="000000" w:fill="000000"/>
                <w:fitText w:val="125" w:id="-1305203696"/>
                <w14:textFill>
                  <w14:solidFill>
                    <w14:srgbClr w14:val="000000">
                      <w14:alpha w14:val="100000"/>
                    </w14:srgbClr>
                  </w14:solidFill>
                </w14:textFill>
              </w:rPr>
              <w:t xml:space="preserve">　</w:t>
            </w:r>
            <w:r w:rsidRPr="00642F27">
              <w:rPr>
                <w:color w:val="000000"/>
                <w:w w:val="28"/>
                <w:szCs w:val="20"/>
                <w:shd w:val="solid" w:color="000000" w:fill="000000"/>
                <w:fitText w:val="125" w:id="-1305203696"/>
                <w14:textFill>
                  <w14:solidFill>
                    <w14:srgbClr w14:val="000000">
                      <w14:alpha w14:val="100000"/>
                    </w14:srgbClr>
                  </w14:solidFill>
                </w14:textFill>
              </w:rPr>
              <w:t>|</w:t>
            </w:r>
            <w:r w:rsidRPr="00642F27">
              <w:rPr>
                <w:rFonts w:hint="eastAsia"/>
                <w:color w:val="000000"/>
                <w:w w:val="28"/>
                <w:szCs w:val="20"/>
                <w:shd w:val="solid" w:color="000000" w:fill="000000"/>
                <w:fitText w:val="125" w:id="-1305203696"/>
                <w14:textFill>
                  <w14:solidFill>
                    <w14:srgbClr w14:val="000000">
                      <w14:alpha w14:val="100000"/>
                    </w14:srgbClr>
                  </w14:solidFill>
                </w14:textFill>
              </w:rPr>
              <w:t xml:space="preserve">　</w:t>
            </w:r>
            <w:r w:rsidR="000B6325">
              <w:rPr>
                <w:vertAlign w:val="superscript"/>
              </w:rPr>
              <w:t>18</w:t>
            </w:r>
          </w:p>
        </w:tc>
        <w:tc>
          <w:tcPr>
            <w:tcW w:w="679" w:type="pct"/>
            <w:shd w:val="clear" w:color="auto" w:fill="auto"/>
            <w:vAlign w:val="center"/>
          </w:tcPr>
          <w:p w14:paraId="722B299D" w14:textId="61F176CD" w:rsidR="00F718F3" w:rsidRPr="003A235D" w:rsidRDefault="00B6635B" w:rsidP="00F718F3">
            <w:pPr>
              <w:pStyle w:val="TableText"/>
              <w:jc w:val="center"/>
              <w:rPr>
                <w:b/>
                <w:bCs w:val="0"/>
                <w:szCs w:val="20"/>
              </w:rPr>
            </w:pPr>
            <w:r w:rsidRPr="00642F27">
              <w:rPr>
                <w:rFonts w:hint="eastAsia"/>
                <w:color w:val="000000"/>
                <w:w w:val="15"/>
                <w:szCs w:val="20"/>
                <w:shd w:val="solid" w:color="000000" w:fill="000000"/>
                <w:fitText w:val="63" w:id="-1305203712"/>
                <w14:textFill>
                  <w14:solidFill>
                    <w14:srgbClr w14:val="000000">
                      <w14:alpha w14:val="100000"/>
                    </w14:srgbClr>
                  </w14:solidFill>
                </w14:textFill>
              </w:rPr>
              <w:t xml:space="preserve">　</w:t>
            </w:r>
            <w:r w:rsidRPr="00642F27">
              <w:rPr>
                <w:color w:val="000000"/>
                <w:w w:val="15"/>
                <w:szCs w:val="20"/>
                <w:shd w:val="solid" w:color="000000" w:fill="000000"/>
                <w:fitText w:val="63" w:id="-1305203712"/>
                <w14:textFill>
                  <w14:solidFill>
                    <w14:srgbClr w14:val="000000">
                      <w14:alpha w14:val="100000"/>
                    </w14:srgbClr>
                  </w14:solidFill>
                </w14:textFill>
              </w:rPr>
              <w:t>|</w:t>
            </w:r>
            <w:r w:rsidRPr="00642F27">
              <w:rPr>
                <w:rFonts w:hint="eastAsia"/>
                <w:color w:val="000000"/>
                <w:w w:val="15"/>
                <w:szCs w:val="20"/>
                <w:shd w:val="solid" w:color="000000" w:fill="000000"/>
                <w:fitText w:val="63" w:id="-1305203712"/>
                <w14:textFill>
                  <w14:solidFill>
                    <w14:srgbClr w14:val="000000">
                      <w14:alpha w14:val="100000"/>
                    </w14:srgbClr>
                  </w14:solidFill>
                </w14:textFill>
              </w:rPr>
              <w:t xml:space="preserve">　</w:t>
            </w:r>
            <w:r w:rsidR="000B6325">
              <w:rPr>
                <w:vertAlign w:val="superscript"/>
              </w:rPr>
              <w:t>20</w:t>
            </w:r>
          </w:p>
        </w:tc>
      </w:tr>
    </w:tbl>
    <w:p w14:paraId="692A01BB" w14:textId="77777777" w:rsidR="00810A38" w:rsidRPr="003A235D" w:rsidRDefault="00810A38" w:rsidP="00FB61FD">
      <w:pPr>
        <w:pStyle w:val="TableFigureFooter"/>
      </w:pPr>
      <w:r w:rsidRPr="003A235D">
        <w:t>Source: Table 4.8, p244; Table 4.9, p245; Table 4.10, p245; Table 4.11, p245; Table 4.12, p246; Table 4.13, p246 of the submission</w:t>
      </w:r>
    </w:p>
    <w:p w14:paraId="0B9164DD" w14:textId="338D1EF8" w:rsidR="00810A38" w:rsidRPr="003A235D" w:rsidRDefault="00810A38">
      <w:pPr>
        <w:pStyle w:val="TableFigureFooter"/>
      </w:pPr>
      <w:r w:rsidRPr="003A235D">
        <w:t>Abbreviations: DPMQ, dispensed price per maximum quantity; HF, heart failure; LVEF, left ventricular ejection fraction; NYHA, New York Heart Association; PBS, Pharmaceutical Benefits Scheme; RPBS, Repatriation Pharmaceutical Benefits Scheme</w:t>
      </w:r>
    </w:p>
    <w:p w14:paraId="47E9E37D" w14:textId="302EE337" w:rsidR="0066723F" w:rsidRPr="003A235D" w:rsidRDefault="0066723F">
      <w:pPr>
        <w:pStyle w:val="TableFigureFooter"/>
      </w:pPr>
      <w:r w:rsidRPr="003A235D">
        <w:t xml:space="preserve">Note: </w:t>
      </w:r>
      <w:r w:rsidR="000B2666" w:rsidRPr="003A235D">
        <w:t xml:space="preserve">Costs were calculated using a </w:t>
      </w:r>
      <w:r w:rsidR="00CF61BD" w:rsidRPr="003A235D">
        <w:t xml:space="preserve">DPMQ of </w:t>
      </w:r>
      <w:r w:rsidR="00CF61BD" w:rsidRPr="00EE5627">
        <w:t>$60.10</w:t>
      </w:r>
      <w:r w:rsidR="000B2666" w:rsidRPr="00EE5627">
        <w:t>,</w:t>
      </w:r>
      <w:r w:rsidR="00CF61BD" w:rsidRPr="00EE5627">
        <w:t xml:space="preserve"> based on mark-ups at 1 June 2022; markups were updated on 1 July 2022</w:t>
      </w:r>
      <w:r w:rsidR="000B2666" w:rsidRPr="00EE5627">
        <w:t>, resulting in a new DPMQ of $60.16.</w:t>
      </w:r>
    </w:p>
    <w:p w14:paraId="4C994F75" w14:textId="77777777" w:rsidR="004A31ED" w:rsidRPr="00B6635B" w:rsidRDefault="004A31ED" w:rsidP="00E72650">
      <w:pPr>
        <w:pStyle w:val="TableFigureFooter"/>
        <w:rPr>
          <w:i/>
        </w:rPr>
      </w:pPr>
      <w:r w:rsidRPr="00B6635B">
        <w:rPr>
          <w:i/>
        </w:rPr>
        <w:t>The redacted values correspond to the following ranges:</w:t>
      </w:r>
    </w:p>
    <w:p w14:paraId="68504369" w14:textId="77777777" w:rsidR="00EE2946" w:rsidRPr="00B6635B" w:rsidRDefault="004A31ED" w:rsidP="00E72650">
      <w:pPr>
        <w:pStyle w:val="TableFigureFooter"/>
        <w:rPr>
          <w:i/>
          <w:szCs w:val="18"/>
        </w:rPr>
      </w:pPr>
      <w:r w:rsidRPr="00B6635B">
        <w:rPr>
          <w:i/>
          <w:szCs w:val="18"/>
          <w:vertAlign w:val="superscript"/>
        </w:rPr>
        <w:t>1</w:t>
      </w:r>
      <w:r w:rsidRPr="00B6635B">
        <w:rPr>
          <w:i/>
          <w:szCs w:val="18"/>
        </w:rPr>
        <w:t xml:space="preserve"> </w:t>
      </w:r>
      <w:r w:rsidR="00EE2946" w:rsidRPr="00B6635B">
        <w:rPr>
          <w:i/>
          <w:szCs w:val="18"/>
        </w:rPr>
        <w:t>&gt; 10,000,000</w:t>
      </w:r>
    </w:p>
    <w:p w14:paraId="3EC8C6F7" w14:textId="32687CAE" w:rsidR="004A31ED" w:rsidRPr="00B6635B" w:rsidRDefault="004A31ED" w:rsidP="00E72650">
      <w:pPr>
        <w:pStyle w:val="TableFigureFooter"/>
        <w:rPr>
          <w:i/>
          <w:szCs w:val="18"/>
        </w:rPr>
      </w:pPr>
      <w:r w:rsidRPr="00B6635B">
        <w:rPr>
          <w:i/>
          <w:szCs w:val="18"/>
          <w:vertAlign w:val="superscript"/>
        </w:rPr>
        <w:t>2</w:t>
      </w:r>
      <w:r w:rsidRPr="00B6635B">
        <w:rPr>
          <w:i/>
          <w:szCs w:val="18"/>
        </w:rPr>
        <w:t xml:space="preserve"> </w:t>
      </w:r>
      <w:r w:rsidR="00EE2946" w:rsidRPr="00B6635B">
        <w:rPr>
          <w:i/>
          <w:szCs w:val="18"/>
        </w:rPr>
        <w:t xml:space="preserve">400,000 to &lt; 500,000 </w:t>
      </w:r>
    </w:p>
    <w:p w14:paraId="3785CB92" w14:textId="7306A771" w:rsidR="004A31ED" w:rsidRPr="00B6635B" w:rsidRDefault="004A31ED" w:rsidP="00E72650">
      <w:pPr>
        <w:pStyle w:val="TableFigureFooter"/>
        <w:rPr>
          <w:i/>
          <w:szCs w:val="18"/>
        </w:rPr>
      </w:pPr>
      <w:r w:rsidRPr="00B6635B">
        <w:rPr>
          <w:i/>
          <w:szCs w:val="18"/>
          <w:vertAlign w:val="superscript"/>
        </w:rPr>
        <w:t xml:space="preserve">3 </w:t>
      </w:r>
      <w:r w:rsidR="00EE2946" w:rsidRPr="00B6635B">
        <w:rPr>
          <w:i/>
          <w:szCs w:val="18"/>
        </w:rPr>
        <w:t>100,000 to &lt; 200,000</w:t>
      </w:r>
    </w:p>
    <w:p w14:paraId="22DF71B7" w14:textId="058DA5A3" w:rsidR="004A31ED" w:rsidRPr="00B6635B" w:rsidRDefault="004A31ED" w:rsidP="00E72650">
      <w:pPr>
        <w:pStyle w:val="TableFigureFooter"/>
        <w:rPr>
          <w:i/>
          <w:szCs w:val="18"/>
        </w:rPr>
      </w:pPr>
      <w:r w:rsidRPr="00B6635B">
        <w:rPr>
          <w:i/>
          <w:szCs w:val="18"/>
          <w:vertAlign w:val="superscript"/>
        </w:rPr>
        <w:t xml:space="preserve">4 </w:t>
      </w:r>
      <w:r w:rsidR="00EE2946" w:rsidRPr="00B6635B">
        <w:rPr>
          <w:i/>
          <w:szCs w:val="18"/>
        </w:rPr>
        <w:t>10,000 to &lt; 20,000</w:t>
      </w:r>
    </w:p>
    <w:p w14:paraId="711A2C81" w14:textId="10AA3D6E" w:rsidR="004A31ED" w:rsidRPr="00B6635B" w:rsidRDefault="004A31ED" w:rsidP="00E72650">
      <w:pPr>
        <w:pStyle w:val="TableFigureFooter"/>
        <w:rPr>
          <w:i/>
          <w:szCs w:val="18"/>
        </w:rPr>
      </w:pPr>
      <w:r w:rsidRPr="00B6635B">
        <w:rPr>
          <w:i/>
          <w:szCs w:val="18"/>
          <w:vertAlign w:val="superscript"/>
        </w:rPr>
        <w:t>5</w:t>
      </w:r>
      <w:r w:rsidRPr="00B6635B">
        <w:rPr>
          <w:i/>
          <w:szCs w:val="18"/>
        </w:rPr>
        <w:t xml:space="preserve"> </w:t>
      </w:r>
      <w:r w:rsidR="00EE2946" w:rsidRPr="00B6635B">
        <w:rPr>
          <w:i/>
          <w:szCs w:val="18"/>
        </w:rPr>
        <w:t xml:space="preserve">$10 million to &lt;$20 million </w:t>
      </w:r>
    </w:p>
    <w:p w14:paraId="142A4574" w14:textId="3B77B944" w:rsidR="004A31ED" w:rsidRPr="00B6635B" w:rsidRDefault="004A31ED" w:rsidP="00E72650">
      <w:pPr>
        <w:pStyle w:val="TableFigureFooter"/>
        <w:rPr>
          <w:i/>
          <w:szCs w:val="18"/>
        </w:rPr>
      </w:pPr>
      <w:r w:rsidRPr="00B6635B">
        <w:rPr>
          <w:i/>
          <w:szCs w:val="18"/>
          <w:vertAlign w:val="superscript"/>
        </w:rPr>
        <w:t>6</w:t>
      </w:r>
      <w:r w:rsidR="00EE2946" w:rsidRPr="00B6635B">
        <w:rPr>
          <w:i/>
          <w:szCs w:val="18"/>
        </w:rPr>
        <w:t>Net cost saving</w:t>
      </w:r>
    </w:p>
    <w:p w14:paraId="0C259BCA" w14:textId="77777777" w:rsidR="00EE2946" w:rsidRPr="00B6635B" w:rsidRDefault="004A31ED" w:rsidP="00E72650">
      <w:pPr>
        <w:pStyle w:val="TableFigureFooter"/>
        <w:rPr>
          <w:i/>
          <w:szCs w:val="18"/>
        </w:rPr>
      </w:pPr>
      <w:r w:rsidRPr="00B6635B">
        <w:rPr>
          <w:i/>
          <w:szCs w:val="18"/>
          <w:vertAlign w:val="superscript"/>
        </w:rPr>
        <w:t xml:space="preserve">7 </w:t>
      </w:r>
      <w:r w:rsidR="00EE2946" w:rsidRPr="00B6635B">
        <w:rPr>
          <w:i/>
          <w:szCs w:val="18"/>
        </w:rPr>
        <w:t xml:space="preserve">$0 to &lt;$10 million </w:t>
      </w:r>
    </w:p>
    <w:p w14:paraId="74F4A32A" w14:textId="77777777" w:rsidR="004A31ED" w:rsidRPr="00B6635B" w:rsidRDefault="004A31ED" w:rsidP="00E72650">
      <w:pPr>
        <w:pStyle w:val="TableFigureFooter"/>
        <w:rPr>
          <w:i/>
          <w:szCs w:val="18"/>
          <w:vertAlign w:val="superscript"/>
        </w:rPr>
      </w:pPr>
      <w:r w:rsidRPr="00B6635B">
        <w:rPr>
          <w:szCs w:val="18"/>
          <w:vertAlign w:val="superscript"/>
        </w:rPr>
        <w:t xml:space="preserve">8 </w:t>
      </w:r>
      <w:r w:rsidRPr="00B6635B">
        <w:rPr>
          <w:i/>
          <w:szCs w:val="18"/>
        </w:rPr>
        <w:t>$20 million to &lt;$30 million</w:t>
      </w:r>
    </w:p>
    <w:p w14:paraId="68248980" w14:textId="74997443" w:rsidR="004A31ED" w:rsidRPr="00B6635B" w:rsidRDefault="004A31ED" w:rsidP="00E72650">
      <w:pPr>
        <w:pStyle w:val="TableFigureFooter"/>
        <w:rPr>
          <w:i/>
          <w:szCs w:val="18"/>
        </w:rPr>
      </w:pPr>
      <w:r w:rsidRPr="00B6635B">
        <w:rPr>
          <w:szCs w:val="18"/>
          <w:vertAlign w:val="superscript"/>
        </w:rPr>
        <w:t>9</w:t>
      </w:r>
      <w:r w:rsidR="00393DF3" w:rsidRPr="00B6635B">
        <w:rPr>
          <w:i/>
          <w:szCs w:val="18"/>
        </w:rPr>
        <w:t>200,000 to &lt; 300,000</w:t>
      </w:r>
    </w:p>
    <w:p w14:paraId="5CBBEE75" w14:textId="3291A0B4" w:rsidR="004A31ED" w:rsidRPr="00B6635B" w:rsidRDefault="004A31ED" w:rsidP="00E72650">
      <w:pPr>
        <w:pStyle w:val="TableFigureFooter"/>
        <w:rPr>
          <w:i/>
          <w:szCs w:val="18"/>
        </w:rPr>
      </w:pPr>
      <w:r w:rsidRPr="00B6635B">
        <w:rPr>
          <w:i/>
          <w:szCs w:val="18"/>
          <w:vertAlign w:val="superscript"/>
        </w:rPr>
        <w:t>10</w:t>
      </w:r>
      <w:r w:rsidRPr="00B6635B">
        <w:rPr>
          <w:i/>
          <w:szCs w:val="18"/>
        </w:rPr>
        <w:t xml:space="preserve"> </w:t>
      </w:r>
      <w:r w:rsidR="00393DF3" w:rsidRPr="00B6635B">
        <w:rPr>
          <w:i/>
          <w:szCs w:val="18"/>
        </w:rPr>
        <w:t>40,000 to &lt; 50,000</w:t>
      </w:r>
    </w:p>
    <w:p w14:paraId="30B7DB1E" w14:textId="72C8AF45" w:rsidR="004A31ED" w:rsidRPr="00B6635B" w:rsidRDefault="004A31ED" w:rsidP="00E72650">
      <w:pPr>
        <w:pStyle w:val="TableFigureFooter"/>
        <w:rPr>
          <w:i/>
          <w:szCs w:val="18"/>
        </w:rPr>
      </w:pPr>
      <w:r w:rsidRPr="00B6635B">
        <w:rPr>
          <w:i/>
          <w:szCs w:val="18"/>
          <w:vertAlign w:val="superscript"/>
        </w:rPr>
        <w:t>11</w:t>
      </w:r>
      <w:r w:rsidRPr="00B6635B">
        <w:rPr>
          <w:i/>
          <w:szCs w:val="18"/>
        </w:rPr>
        <w:t xml:space="preserve"> </w:t>
      </w:r>
      <w:r w:rsidR="00393DF3" w:rsidRPr="00B6635B">
        <w:rPr>
          <w:i/>
          <w:szCs w:val="18"/>
        </w:rPr>
        <w:t>500,000 to &lt; 600,000</w:t>
      </w:r>
    </w:p>
    <w:p w14:paraId="30D4A7F7" w14:textId="77777777" w:rsidR="00393DF3" w:rsidRPr="00B6635B" w:rsidRDefault="004A31ED" w:rsidP="00E72650">
      <w:pPr>
        <w:pStyle w:val="TableFigureFooter"/>
        <w:rPr>
          <w:i/>
          <w:szCs w:val="18"/>
        </w:rPr>
      </w:pPr>
      <w:r w:rsidRPr="00B6635B">
        <w:rPr>
          <w:i/>
          <w:szCs w:val="18"/>
          <w:vertAlign w:val="superscript"/>
        </w:rPr>
        <w:t>12</w:t>
      </w:r>
      <w:r w:rsidRPr="00B6635B">
        <w:rPr>
          <w:i/>
          <w:szCs w:val="18"/>
        </w:rPr>
        <w:t xml:space="preserve"> </w:t>
      </w:r>
      <w:r w:rsidR="00393DF3" w:rsidRPr="00B6635B">
        <w:rPr>
          <w:i/>
          <w:szCs w:val="18"/>
        </w:rPr>
        <w:t>$30 million to &lt; $40 million</w:t>
      </w:r>
    </w:p>
    <w:p w14:paraId="62BBAFEC" w14:textId="63CB10CA" w:rsidR="004A31ED" w:rsidRPr="00B6635B" w:rsidRDefault="004A31ED" w:rsidP="00E72650">
      <w:pPr>
        <w:pStyle w:val="TableFigureFooter"/>
        <w:rPr>
          <w:i/>
          <w:szCs w:val="18"/>
        </w:rPr>
      </w:pPr>
      <w:r w:rsidRPr="00B6635B">
        <w:rPr>
          <w:i/>
          <w:szCs w:val="18"/>
          <w:vertAlign w:val="superscript"/>
        </w:rPr>
        <w:t xml:space="preserve">13 </w:t>
      </w:r>
      <w:r w:rsidR="008722FD" w:rsidRPr="00B6635B">
        <w:rPr>
          <w:i/>
          <w:szCs w:val="18"/>
        </w:rPr>
        <w:t>80,000 to &lt; 90,000</w:t>
      </w:r>
    </w:p>
    <w:p w14:paraId="5558CCD2" w14:textId="3CF1B38A" w:rsidR="004A31ED" w:rsidRPr="00B6635B" w:rsidRDefault="004A31ED" w:rsidP="00E72650">
      <w:pPr>
        <w:pStyle w:val="TableFigureFooter"/>
        <w:rPr>
          <w:i/>
          <w:szCs w:val="18"/>
        </w:rPr>
      </w:pPr>
      <w:r w:rsidRPr="00B6635B">
        <w:rPr>
          <w:i/>
          <w:szCs w:val="18"/>
          <w:vertAlign w:val="superscript"/>
        </w:rPr>
        <w:t>14</w:t>
      </w:r>
      <w:r w:rsidRPr="00B6635B">
        <w:rPr>
          <w:i/>
          <w:szCs w:val="18"/>
        </w:rPr>
        <w:t xml:space="preserve"> </w:t>
      </w:r>
      <w:r w:rsidR="008722FD" w:rsidRPr="00B6635B">
        <w:rPr>
          <w:i/>
          <w:szCs w:val="18"/>
        </w:rPr>
        <w:t xml:space="preserve">$60 million to &lt; $70 million </w:t>
      </w:r>
    </w:p>
    <w:p w14:paraId="4AB67732" w14:textId="5278C1E3" w:rsidR="004A31ED" w:rsidRPr="00B6635B" w:rsidRDefault="004A31ED" w:rsidP="00E72650">
      <w:pPr>
        <w:pStyle w:val="TableFigureFooter"/>
        <w:rPr>
          <w:i/>
          <w:szCs w:val="18"/>
        </w:rPr>
      </w:pPr>
      <w:r w:rsidRPr="00B6635B">
        <w:rPr>
          <w:i/>
          <w:szCs w:val="18"/>
          <w:vertAlign w:val="superscript"/>
        </w:rPr>
        <w:t>15</w:t>
      </w:r>
      <w:r w:rsidRPr="00B6635B">
        <w:rPr>
          <w:i/>
          <w:szCs w:val="18"/>
        </w:rPr>
        <w:t xml:space="preserve"> </w:t>
      </w:r>
      <w:r w:rsidR="000B6325" w:rsidRPr="00B6635B">
        <w:rPr>
          <w:i/>
          <w:szCs w:val="18"/>
        </w:rPr>
        <w:t xml:space="preserve">$50 million to &lt; $60 million </w:t>
      </w:r>
    </w:p>
    <w:p w14:paraId="5316AA2B" w14:textId="2938BFE3" w:rsidR="000B6325" w:rsidRPr="00B6635B" w:rsidRDefault="000B6325" w:rsidP="00E72650">
      <w:pPr>
        <w:pStyle w:val="TableFigureFooter"/>
        <w:rPr>
          <w:i/>
          <w:szCs w:val="18"/>
        </w:rPr>
      </w:pPr>
      <w:r w:rsidRPr="00B6635B">
        <w:rPr>
          <w:i/>
          <w:szCs w:val="18"/>
          <w:vertAlign w:val="superscript"/>
        </w:rPr>
        <w:t xml:space="preserve">16 </w:t>
      </w:r>
      <w:r w:rsidRPr="00B6635B">
        <w:rPr>
          <w:i/>
          <w:szCs w:val="18"/>
        </w:rPr>
        <w:t xml:space="preserve">$40 million to &lt; $50 million </w:t>
      </w:r>
    </w:p>
    <w:p w14:paraId="06EB8B23" w14:textId="384EF76C" w:rsidR="000B6325" w:rsidRPr="00B6635B" w:rsidRDefault="007062F7" w:rsidP="00E72650">
      <w:pPr>
        <w:pStyle w:val="TableFigureFooter"/>
        <w:rPr>
          <w:i/>
          <w:szCs w:val="18"/>
        </w:rPr>
      </w:pPr>
      <w:r w:rsidRPr="00B6635B">
        <w:rPr>
          <w:i/>
          <w:szCs w:val="18"/>
          <w:vertAlign w:val="superscript"/>
        </w:rPr>
        <w:t xml:space="preserve">17 </w:t>
      </w:r>
      <w:r w:rsidR="00334395" w:rsidRPr="00E72650">
        <w:rPr>
          <w:i/>
          <w:szCs w:val="18"/>
        </w:rPr>
        <w:t>$</w:t>
      </w:r>
      <w:r w:rsidR="000B6325" w:rsidRPr="00B6635B">
        <w:rPr>
          <w:i/>
          <w:szCs w:val="18"/>
        </w:rPr>
        <w:t>80 million to &lt; $90 million</w:t>
      </w:r>
    </w:p>
    <w:p w14:paraId="049AEA3E" w14:textId="399AA650" w:rsidR="007062F7" w:rsidRPr="00B6635B" w:rsidRDefault="007062F7" w:rsidP="00E72650">
      <w:pPr>
        <w:pStyle w:val="TableFigureFooter"/>
        <w:rPr>
          <w:i/>
          <w:szCs w:val="18"/>
        </w:rPr>
      </w:pPr>
      <w:r w:rsidRPr="00B6635B">
        <w:rPr>
          <w:i/>
          <w:szCs w:val="18"/>
          <w:vertAlign w:val="superscript"/>
        </w:rPr>
        <w:t xml:space="preserve">18 </w:t>
      </w:r>
      <w:r w:rsidR="000B6325" w:rsidRPr="00B6635B">
        <w:rPr>
          <w:i/>
          <w:szCs w:val="18"/>
        </w:rPr>
        <w:t>$70 million to &lt; $80 million</w:t>
      </w:r>
    </w:p>
    <w:p w14:paraId="126A99ED" w14:textId="2F80BB8B" w:rsidR="007062F7" w:rsidRPr="00B6635B" w:rsidRDefault="007062F7" w:rsidP="00E72650">
      <w:pPr>
        <w:pStyle w:val="TableFigureFooter"/>
        <w:rPr>
          <w:i/>
          <w:szCs w:val="18"/>
        </w:rPr>
      </w:pPr>
      <w:r w:rsidRPr="00B6635B">
        <w:rPr>
          <w:i/>
          <w:szCs w:val="18"/>
          <w:vertAlign w:val="superscript"/>
        </w:rPr>
        <w:t xml:space="preserve">19 </w:t>
      </w:r>
      <w:r w:rsidRPr="00B6635B">
        <w:rPr>
          <w:i/>
          <w:szCs w:val="18"/>
        </w:rPr>
        <w:t>$100 million to &lt; $200 million</w:t>
      </w:r>
    </w:p>
    <w:p w14:paraId="49118FB9" w14:textId="6DB04BC8" w:rsidR="000B6325" w:rsidRPr="00B6635B" w:rsidRDefault="007062F7" w:rsidP="00E72650">
      <w:pPr>
        <w:pStyle w:val="TableFigureFooter"/>
        <w:rPr>
          <w:szCs w:val="18"/>
        </w:rPr>
      </w:pPr>
      <w:r w:rsidRPr="00B6635B">
        <w:rPr>
          <w:i/>
          <w:szCs w:val="18"/>
          <w:vertAlign w:val="superscript"/>
        </w:rPr>
        <w:t xml:space="preserve">20 </w:t>
      </w:r>
      <w:r w:rsidRPr="00B6635B">
        <w:rPr>
          <w:i/>
          <w:szCs w:val="18"/>
        </w:rPr>
        <w:t>$90 million to &lt; $100 million</w:t>
      </w:r>
    </w:p>
    <w:p w14:paraId="7D0AFC74" w14:textId="3B33FE7A" w:rsidR="00A11983" w:rsidRPr="003A235D" w:rsidRDefault="006F0A0E" w:rsidP="000B7D07">
      <w:pPr>
        <w:pStyle w:val="ExecSumBodyText"/>
        <w:numPr>
          <w:ilvl w:val="1"/>
          <w:numId w:val="1"/>
        </w:numPr>
      </w:pPr>
      <w:r w:rsidRPr="003A235D">
        <w:t xml:space="preserve">The estimated net cost to the PBS/RPBS for empagliflozin was </w:t>
      </w:r>
      <w:r w:rsidR="0074752E" w:rsidRPr="0074752E">
        <w:t>$10 million to &lt; $20 million</w:t>
      </w:r>
      <w:r w:rsidR="00E30BFE">
        <w:t xml:space="preserve"> </w:t>
      </w:r>
      <w:r w:rsidRPr="003A235D">
        <w:t xml:space="preserve">in Year 1, increasing to </w:t>
      </w:r>
      <w:r w:rsidR="0074752E" w:rsidRPr="0074752E">
        <w:t>$100 million to &lt; $200 million</w:t>
      </w:r>
      <w:r w:rsidR="00E30BFE">
        <w:t xml:space="preserve"> </w:t>
      </w:r>
      <w:r w:rsidRPr="003A235D">
        <w:t xml:space="preserve">in Year 6, with a </w:t>
      </w:r>
      <w:r w:rsidRPr="003A235D">
        <w:lastRenderedPageBreak/>
        <w:t xml:space="preserve">cumulative total of </w:t>
      </w:r>
      <w:r w:rsidR="0074752E" w:rsidRPr="0074752E">
        <w:t>$300 million to &lt; $400 million</w:t>
      </w:r>
      <w:r w:rsidR="00E30BFE">
        <w:t xml:space="preserve"> </w:t>
      </w:r>
      <w:r w:rsidRPr="003A235D">
        <w:t>over the first 6 years of listing.</w:t>
      </w:r>
      <w:r w:rsidR="005C64D8" w:rsidRPr="003A235D">
        <w:t xml:space="preserve">  The Pre-PBAC response provided revised financial estimates and proposed a risk sharing arrangement based on these estimates with a cumulative total of </w:t>
      </w:r>
      <w:r w:rsidR="0074752E" w:rsidRPr="0074752E">
        <w:t>$300 million to &lt; $400 million</w:t>
      </w:r>
      <w:r w:rsidR="00E30BFE">
        <w:t xml:space="preserve"> </w:t>
      </w:r>
      <w:r w:rsidR="005C64D8" w:rsidRPr="003A235D">
        <w:t xml:space="preserve">over the first 6 years of listing (see </w:t>
      </w:r>
      <w:r w:rsidR="005C64D8" w:rsidRPr="003A235D">
        <w:fldChar w:fldCharType="begin" w:fldLock="1"/>
      </w:r>
      <w:r w:rsidR="005C64D8" w:rsidRPr="003A235D">
        <w:instrText xml:space="preserve"> REF _Ref111206622 \h  \* MERGEFORMAT </w:instrText>
      </w:r>
      <w:r w:rsidR="005C64D8" w:rsidRPr="003A235D">
        <w:fldChar w:fldCharType="separate"/>
      </w:r>
      <w:r w:rsidR="004646F5" w:rsidRPr="003A235D">
        <w:t>Table 15</w:t>
      </w:r>
      <w:r w:rsidR="005C64D8" w:rsidRPr="003A235D">
        <w:fldChar w:fldCharType="end"/>
      </w:r>
      <w:r w:rsidR="005C64D8" w:rsidRPr="003A235D">
        <w:t xml:space="preserve">).  </w:t>
      </w:r>
      <w:r w:rsidR="002A3C87" w:rsidRPr="003A235D">
        <w:t xml:space="preserve">Heart failure with </w:t>
      </w:r>
      <w:r w:rsidR="00714C87" w:rsidRPr="003A235D">
        <w:t>mildly reduced</w:t>
      </w:r>
      <w:r w:rsidR="002A3C87" w:rsidRPr="003A235D">
        <w:t xml:space="preserve"> or preserved ejection fraction appears to be a relatively common but under-recognised condition in </w:t>
      </w:r>
      <w:r w:rsidR="00FD3B91" w:rsidRPr="003A235D">
        <w:t>older</w:t>
      </w:r>
      <w:r w:rsidR="002A3C87" w:rsidRPr="003A235D">
        <w:t xml:space="preserve"> populations. Overall, there are limited data to reliably inform Australian estimates of prevalence and functional status.</w:t>
      </w:r>
      <w:r w:rsidR="00572FB1" w:rsidRPr="003A235D">
        <w:t xml:space="preserve"> </w:t>
      </w:r>
    </w:p>
    <w:p w14:paraId="4F5F9CCF" w14:textId="4C9C7884" w:rsidR="00A11983" w:rsidRPr="003A235D" w:rsidRDefault="002D56C9" w:rsidP="000B7D07">
      <w:pPr>
        <w:pStyle w:val="ExecSumBodyText"/>
        <w:numPr>
          <w:ilvl w:val="1"/>
          <w:numId w:val="1"/>
        </w:numPr>
      </w:pPr>
      <w:r w:rsidRPr="003A235D">
        <w:t>In regard to the proportion of patients with LVEF &gt; 40%, th</w:t>
      </w:r>
      <w:r w:rsidR="00572FB1" w:rsidRPr="003A235D">
        <w:t xml:space="preserve">e PSCR stated that a conservative estimate of 43% was used in the submission as this represents the complement of the proportion of patients with LVEF ≤40% which was accepted by the PBAC during its evaluation of dapagliflozin (Dapagliflozin PSD, September 2021). </w:t>
      </w:r>
      <w:r w:rsidRPr="003A235D">
        <w:t>The PSCR</w:t>
      </w:r>
      <w:r w:rsidR="00572FB1" w:rsidRPr="003A235D">
        <w:t xml:space="preserve"> agree</w:t>
      </w:r>
      <w:r w:rsidRPr="003A235D">
        <w:t>d</w:t>
      </w:r>
      <w:r w:rsidR="00572FB1" w:rsidRPr="003A235D">
        <w:t xml:space="preserve"> with the Commentary that this could be an underestimation as Australian epidemiological studies have reported a higher proportion ranging from 52% to 59%</w:t>
      </w:r>
      <w:r w:rsidRPr="003A235D">
        <w:t xml:space="preserve"> (see </w:t>
      </w:r>
      <w:r w:rsidRPr="003A235D">
        <w:fldChar w:fldCharType="begin" w:fldLock="1"/>
      </w:r>
      <w:r w:rsidRPr="003A235D">
        <w:instrText xml:space="preserve"> REF _Ref111206605 \h </w:instrText>
      </w:r>
      <w:r w:rsidR="003F0C0B" w:rsidRPr="003A235D">
        <w:instrText xml:space="preserve"> \* MERGEFORMAT </w:instrText>
      </w:r>
      <w:r w:rsidRPr="003A235D">
        <w:fldChar w:fldCharType="separate"/>
      </w:r>
      <w:r w:rsidR="004646F5" w:rsidRPr="003A235D">
        <w:t>Table 14</w:t>
      </w:r>
      <w:r w:rsidRPr="003A235D">
        <w:fldChar w:fldCharType="end"/>
      </w:r>
      <w:r w:rsidRPr="003A235D">
        <w:t>)</w:t>
      </w:r>
      <w:r w:rsidR="00572FB1" w:rsidRPr="003A235D">
        <w:t xml:space="preserve">. </w:t>
      </w:r>
    </w:p>
    <w:p w14:paraId="1BBECA9C" w14:textId="0B7E92C1" w:rsidR="002A3C87" w:rsidRPr="003A235D" w:rsidRDefault="002A3C87" w:rsidP="000B7D07">
      <w:pPr>
        <w:pStyle w:val="ExecSumBodyText"/>
        <w:numPr>
          <w:ilvl w:val="1"/>
          <w:numId w:val="1"/>
        </w:numPr>
      </w:pPr>
      <w:bookmarkStart w:id="76" w:name="_Ref116474889"/>
      <w:r w:rsidRPr="003A235D">
        <w:t xml:space="preserve">The estimation of the proportion of patients already using SGLT2 inhibitors for other indications (diabetes, heart failure) was based on an analysis of the 10% PBS sample which may not be applicable to </w:t>
      </w:r>
      <w:r w:rsidR="00147B2E" w:rsidRPr="003A235D">
        <w:t xml:space="preserve">the </w:t>
      </w:r>
      <w:r w:rsidRPr="003A235D">
        <w:t>target population, was poorly documented and included an unrealistic assumption of fixed utilisation over time</w:t>
      </w:r>
      <w:r w:rsidR="00E72D63" w:rsidRPr="003A235D">
        <w:t xml:space="preserve"> (particularly given the March 2022 PBAC recommendation to extend the dapagliflozin listing to include chronic kidney disease)</w:t>
      </w:r>
      <w:r w:rsidRPr="003A235D">
        <w:t>.</w:t>
      </w:r>
      <w:bookmarkEnd w:id="76"/>
      <w:r w:rsidR="00A11983" w:rsidRPr="003A235D">
        <w:t xml:space="preserve"> </w:t>
      </w:r>
    </w:p>
    <w:p w14:paraId="0DE78AE1" w14:textId="338E9B17" w:rsidR="009A2325" w:rsidRPr="003A235D" w:rsidRDefault="002A3C87" w:rsidP="000B7D07">
      <w:pPr>
        <w:pStyle w:val="ExecSumBodyText"/>
        <w:numPr>
          <w:ilvl w:val="1"/>
          <w:numId w:val="1"/>
        </w:numPr>
      </w:pPr>
      <w:bookmarkStart w:id="77" w:name="_Ref116474827"/>
      <w:bookmarkStart w:id="78" w:name="_Hlk120740264"/>
      <w:r w:rsidRPr="003A235D">
        <w:t xml:space="preserve">The proposed uptake (up to 95% in the 6th year) and treatment </w:t>
      </w:r>
      <w:r w:rsidR="00292DD0" w:rsidRPr="003A235D">
        <w:t>adherenc</w:t>
      </w:r>
      <w:r w:rsidRPr="003A235D">
        <w:t>e (94.96%) estimates for empagliflozin use in the target population appear to be implausibly high and are unlikely to be reflective of clinical practice.</w:t>
      </w:r>
      <w:bookmarkStart w:id="79" w:name="_Ref116999139"/>
      <w:bookmarkEnd w:id="77"/>
      <w:bookmarkEnd w:id="78"/>
      <w:r w:rsidR="00A11983" w:rsidRPr="003A235D">
        <w:t xml:space="preserve"> </w:t>
      </w:r>
      <w:r w:rsidR="009A2325" w:rsidRPr="003A235D">
        <w:t>The ESC noted that HFpEF/HFmrEF is a common condition and considered there was significant financial uncertainty associated with the proposed PBS listing as summarised below.  The ESC considered the population has a very high unmet need, and that uptake of empagliflozin may be rapid after PBS listing.</w:t>
      </w:r>
      <w:bookmarkEnd w:id="79"/>
      <w:r w:rsidR="00E503B6" w:rsidRPr="003A235D">
        <w:t xml:space="preserve">  </w:t>
      </w:r>
    </w:p>
    <w:p w14:paraId="381E2760" w14:textId="03B2D16E" w:rsidR="00E92E32" w:rsidRPr="003A235D" w:rsidRDefault="003F0C0B" w:rsidP="000B7D07">
      <w:pPr>
        <w:pStyle w:val="ExecSumBodyText"/>
        <w:numPr>
          <w:ilvl w:val="1"/>
          <w:numId w:val="1"/>
        </w:numPr>
      </w:pPr>
      <w:bookmarkStart w:id="80" w:name="_Ref116999141"/>
      <w:r w:rsidRPr="003A235D">
        <w:t>T</w:t>
      </w:r>
      <w:r w:rsidR="00E92E32" w:rsidRPr="003A235D">
        <w:t>he ESC considered the estimated use and financial implications to the RPBS/PBS of listing empagliflozin were uncertain for the following reasons:</w:t>
      </w:r>
      <w:bookmarkEnd w:id="80"/>
    </w:p>
    <w:p w14:paraId="203EF4C2" w14:textId="01261FE4" w:rsidR="009A2325" w:rsidRPr="003A235D" w:rsidRDefault="009A2325" w:rsidP="00DA7D2A">
      <w:pPr>
        <w:pStyle w:val="COMexecsumnumberedpara"/>
        <w:numPr>
          <w:ilvl w:val="1"/>
          <w:numId w:val="12"/>
        </w:numPr>
        <w:rPr>
          <w:iCs/>
        </w:rPr>
      </w:pPr>
      <w:r w:rsidRPr="003A235D">
        <w:rPr>
          <w:iCs/>
        </w:rPr>
        <w:t xml:space="preserve">The prevalence may have been underestimated given the difficulty in identifying HFpEF patients as this condition is not as well recognised compared with HFrEF (see </w:t>
      </w:r>
      <w:r w:rsidRPr="003A235D">
        <w:rPr>
          <w:iCs/>
        </w:rPr>
        <w:fldChar w:fldCharType="begin" w:fldLock="1"/>
      </w:r>
      <w:r w:rsidRPr="003A235D">
        <w:rPr>
          <w:iCs/>
        </w:rPr>
        <w:instrText xml:space="preserve"> REF _Ref111206605 \h  \* MERGEFORMAT </w:instrText>
      </w:r>
      <w:r w:rsidRPr="003A235D">
        <w:rPr>
          <w:iCs/>
        </w:rPr>
      </w:r>
      <w:r w:rsidRPr="003A235D">
        <w:rPr>
          <w:iCs/>
        </w:rPr>
        <w:fldChar w:fldCharType="separate"/>
      </w:r>
      <w:r w:rsidR="004646F5" w:rsidRPr="003A235D">
        <w:rPr>
          <w:iCs/>
        </w:rPr>
        <w:t>Table 14</w:t>
      </w:r>
      <w:r w:rsidRPr="003A235D">
        <w:rPr>
          <w:iCs/>
        </w:rPr>
        <w:fldChar w:fldCharType="end"/>
      </w:r>
      <w:r w:rsidRPr="003A235D">
        <w:rPr>
          <w:iCs/>
        </w:rPr>
        <w:t>)</w:t>
      </w:r>
      <w:r w:rsidR="00097528">
        <w:rPr>
          <w:iCs/>
        </w:rPr>
        <w:t>.</w:t>
      </w:r>
    </w:p>
    <w:p w14:paraId="2A4084A1" w14:textId="0462878B" w:rsidR="009A2325" w:rsidRPr="003A235D" w:rsidRDefault="009A2325" w:rsidP="00374E94">
      <w:pPr>
        <w:pStyle w:val="ListParagraph"/>
        <w:numPr>
          <w:ilvl w:val="1"/>
          <w:numId w:val="12"/>
        </w:numPr>
        <w:rPr>
          <w:iCs/>
        </w:rPr>
      </w:pPr>
      <w:r w:rsidRPr="003A235D">
        <w:rPr>
          <w:iCs/>
        </w:rPr>
        <w:t xml:space="preserve">Assumption used on the proportion of HF patients with LVEF&gt;40% is inconsistent with available Australian epidemiology data (submission used 43%, other estimates ranging between 52%-59%; see </w:t>
      </w:r>
      <w:r w:rsidRPr="003A235D">
        <w:rPr>
          <w:iCs/>
        </w:rPr>
        <w:fldChar w:fldCharType="begin" w:fldLock="1"/>
      </w:r>
      <w:r w:rsidRPr="003A235D">
        <w:rPr>
          <w:iCs/>
        </w:rPr>
        <w:instrText xml:space="preserve"> REF _Ref111206605 \h  \* MERGEFORMAT </w:instrText>
      </w:r>
      <w:r w:rsidRPr="003A235D">
        <w:rPr>
          <w:iCs/>
        </w:rPr>
      </w:r>
      <w:r w:rsidRPr="003A235D">
        <w:rPr>
          <w:iCs/>
        </w:rPr>
        <w:fldChar w:fldCharType="separate"/>
      </w:r>
      <w:r w:rsidR="004646F5" w:rsidRPr="003A235D">
        <w:rPr>
          <w:iCs/>
        </w:rPr>
        <w:t>Table 14</w:t>
      </w:r>
      <w:r w:rsidRPr="003A235D">
        <w:rPr>
          <w:iCs/>
        </w:rPr>
        <w:fldChar w:fldCharType="end"/>
      </w:r>
      <w:r w:rsidRPr="003A235D">
        <w:rPr>
          <w:iCs/>
        </w:rPr>
        <w:t>)</w:t>
      </w:r>
      <w:r w:rsidR="00B72A46" w:rsidRPr="003A235D">
        <w:rPr>
          <w:iCs/>
        </w:rPr>
        <w:t>.</w:t>
      </w:r>
      <w:r w:rsidRPr="003A235D">
        <w:rPr>
          <w:iCs/>
        </w:rPr>
        <w:t xml:space="preserve"> </w:t>
      </w:r>
      <w:r w:rsidR="00B72A46" w:rsidRPr="003A235D">
        <w:rPr>
          <w:iCs/>
        </w:rPr>
        <w:t xml:space="preserve">The pre-PBAC response revised this estimate from 43% to 55%, which was the </w:t>
      </w:r>
      <w:r w:rsidR="00930D12" w:rsidRPr="003A235D">
        <w:rPr>
          <w:iCs/>
        </w:rPr>
        <w:t>midpoint</w:t>
      </w:r>
      <w:r w:rsidR="00B72A46" w:rsidRPr="003A235D">
        <w:rPr>
          <w:iCs/>
        </w:rPr>
        <w:t xml:space="preserve"> of estimates from Australian epidemiology data (52% to 59%).</w:t>
      </w:r>
    </w:p>
    <w:p w14:paraId="311FD2E1" w14:textId="597C801A" w:rsidR="000D3356" w:rsidRPr="003A235D" w:rsidRDefault="000D3356" w:rsidP="00DA7D2A">
      <w:pPr>
        <w:pStyle w:val="COMexecsumnumberedpara"/>
        <w:numPr>
          <w:ilvl w:val="1"/>
          <w:numId w:val="12"/>
        </w:numPr>
        <w:rPr>
          <w:iCs/>
        </w:rPr>
      </w:pPr>
      <w:r w:rsidRPr="003A235D">
        <w:rPr>
          <w:iCs/>
        </w:rPr>
        <w:lastRenderedPageBreak/>
        <w:t xml:space="preserve">The risk of empagliflozin use outside the requested restriction is high (see paragraph </w:t>
      </w:r>
      <w:r w:rsidRPr="003A235D">
        <w:rPr>
          <w:iCs/>
        </w:rPr>
        <w:fldChar w:fldCharType="begin" w:fldLock="1"/>
      </w:r>
      <w:r w:rsidRPr="003A235D">
        <w:rPr>
          <w:iCs/>
        </w:rPr>
        <w:instrText xml:space="preserve"> REF _Ref116474866 \r \h  \* MERGEFORMAT </w:instrText>
      </w:r>
      <w:r w:rsidRPr="003A235D">
        <w:rPr>
          <w:iCs/>
        </w:rPr>
      </w:r>
      <w:r w:rsidRPr="003A235D">
        <w:rPr>
          <w:iCs/>
        </w:rPr>
        <w:fldChar w:fldCharType="separate"/>
      </w:r>
      <w:r w:rsidR="004646F5" w:rsidRPr="003A235D">
        <w:rPr>
          <w:iCs/>
        </w:rPr>
        <w:t>6.68</w:t>
      </w:r>
      <w:r w:rsidRPr="003A235D">
        <w:rPr>
          <w:iCs/>
        </w:rPr>
        <w:fldChar w:fldCharType="end"/>
      </w:r>
      <w:r w:rsidRPr="003A235D">
        <w:rPr>
          <w:iCs/>
        </w:rPr>
        <w:t>)</w:t>
      </w:r>
      <w:r w:rsidR="00B72A46" w:rsidRPr="003A235D">
        <w:rPr>
          <w:iCs/>
        </w:rPr>
        <w:t>.</w:t>
      </w:r>
    </w:p>
    <w:p w14:paraId="082CD947" w14:textId="1B143879" w:rsidR="009A2325" w:rsidRPr="003A235D" w:rsidRDefault="009A2325" w:rsidP="00374E94">
      <w:pPr>
        <w:pStyle w:val="ListParagraph"/>
        <w:numPr>
          <w:ilvl w:val="1"/>
          <w:numId w:val="12"/>
        </w:numPr>
        <w:rPr>
          <w:iCs/>
        </w:rPr>
      </w:pPr>
      <w:r w:rsidRPr="003A235D">
        <w:rPr>
          <w:iCs/>
        </w:rPr>
        <w:t xml:space="preserve">Submission’s estimate of the proportion using SGLT2 inhibitors (9.78%) was lower than previous estimates used in previous empagliflozin (10.6-13.5% with further additional inflation factors) and dapagliflozin (20%) submissions (see </w:t>
      </w:r>
      <w:r w:rsidRPr="003A235D">
        <w:rPr>
          <w:iCs/>
        </w:rPr>
        <w:fldChar w:fldCharType="begin" w:fldLock="1"/>
      </w:r>
      <w:r w:rsidRPr="003A235D">
        <w:rPr>
          <w:iCs/>
        </w:rPr>
        <w:instrText xml:space="preserve"> REF _Ref111206605 \h  \* MERGEFORMAT </w:instrText>
      </w:r>
      <w:r w:rsidRPr="003A235D">
        <w:rPr>
          <w:iCs/>
        </w:rPr>
      </w:r>
      <w:r w:rsidRPr="003A235D">
        <w:rPr>
          <w:iCs/>
        </w:rPr>
        <w:fldChar w:fldCharType="separate"/>
      </w:r>
      <w:r w:rsidR="004646F5" w:rsidRPr="003A235D">
        <w:rPr>
          <w:iCs/>
        </w:rPr>
        <w:t>Table 14</w:t>
      </w:r>
      <w:r w:rsidRPr="003A235D">
        <w:rPr>
          <w:iCs/>
        </w:rPr>
        <w:fldChar w:fldCharType="end"/>
      </w:r>
      <w:r w:rsidRPr="003A235D">
        <w:rPr>
          <w:iCs/>
        </w:rPr>
        <w:t xml:space="preserve">, and paragraph </w:t>
      </w:r>
      <w:r w:rsidRPr="003A235D">
        <w:rPr>
          <w:iCs/>
        </w:rPr>
        <w:fldChar w:fldCharType="begin" w:fldLock="1"/>
      </w:r>
      <w:r w:rsidRPr="003A235D">
        <w:rPr>
          <w:iCs/>
        </w:rPr>
        <w:instrText xml:space="preserve"> REF _Ref116474889 \r \h </w:instrText>
      </w:r>
      <w:r w:rsidR="007B1E21" w:rsidRPr="003A235D">
        <w:rPr>
          <w:iCs/>
        </w:rPr>
        <w:instrText xml:space="preserve"> \* MERGEFORMAT </w:instrText>
      </w:r>
      <w:r w:rsidRPr="003A235D">
        <w:rPr>
          <w:iCs/>
        </w:rPr>
      </w:r>
      <w:r w:rsidRPr="003A235D">
        <w:rPr>
          <w:iCs/>
        </w:rPr>
        <w:fldChar w:fldCharType="separate"/>
      </w:r>
      <w:r w:rsidR="004646F5" w:rsidRPr="003A235D">
        <w:rPr>
          <w:iCs/>
        </w:rPr>
        <w:t>6.63</w:t>
      </w:r>
      <w:r w:rsidRPr="003A235D">
        <w:rPr>
          <w:iCs/>
        </w:rPr>
        <w:fldChar w:fldCharType="end"/>
      </w:r>
      <w:r w:rsidRPr="003A235D">
        <w:rPr>
          <w:iCs/>
        </w:rPr>
        <w:t>)</w:t>
      </w:r>
      <w:r w:rsidR="00B72A46" w:rsidRPr="003A235D">
        <w:rPr>
          <w:iCs/>
        </w:rPr>
        <w:t>. The pre-PBAC response revised this estimate to 20%, which was consistent with the estimate assumed in the dapagliflozin submission for HFrEF.</w:t>
      </w:r>
    </w:p>
    <w:p w14:paraId="66AF97CF" w14:textId="3F446AE8" w:rsidR="00F75B97" w:rsidRPr="00E72650" w:rsidRDefault="003F0C0B" w:rsidP="00E72650">
      <w:pPr>
        <w:pStyle w:val="COMexecsumnumberedpara"/>
        <w:numPr>
          <w:ilvl w:val="1"/>
          <w:numId w:val="12"/>
        </w:numPr>
        <w:rPr>
          <w:iCs/>
        </w:rPr>
      </w:pPr>
      <w:r w:rsidRPr="003A235D">
        <w:rPr>
          <w:iCs/>
        </w:rPr>
        <w:t>Peak u</w:t>
      </w:r>
      <w:r w:rsidR="00934851" w:rsidRPr="003A235D">
        <w:rPr>
          <w:iCs/>
        </w:rPr>
        <w:t xml:space="preserve">ptake rates and treatment adherence (95%) </w:t>
      </w:r>
      <w:r w:rsidRPr="003A235D">
        <w:rPr>
          <w:iCs/>
        </w:rPr>
        <w:t xml:space="preserve">appear </w:t>
      </w:r>
      <w:r w:rsidR="00934851" w:rsidRPr="003A235D">
        <w:rPr>
          <w:iCs/>
        </w:rPr>
        <w:t xml:space="preserve">very high (see paragraph </w:t>
      </w:r>
      <w:r w:rsidR="00934851" w:rsidRPr="003A235D">
        <w:rPr>
          <w:iCs/>
        </w:rPr>
        <w:fldChar w:fldCharType="begin" w:fldLock="1"/>
      </w:r>
      <w:r w:rsidR="00934851" w:rsidRPr="003A235D">
        <w:rPr>
          <w:iCs/>
        </w:rPr>
        <w:instrText xml:space="preserve"> REF _Ref116474827 \r \h </w:instrText>
      </w:r>
      <w:r w:rsidR="009A2325" w:rsidRPr="003A235D">
        <w:rPr>
          <w:iCs/>
        </w:rPr>
        <w:instrText xml:space="preserve"> \* MERGEFORMAT </w:instrText>
      </w:r>
      <w:r w:rsidR="00934851" w:rsidRPr="003A235D">
        <w:rPr>
          <w:iCs/>
        </w:rPr>
      </w:r>
      <w:r w:rsidR="00934851" w:rsidRPr="003A235D">
        <w:rPr>
          <w:iCs/>
        </w:rPr>
        <w:fldChar w:fldCharType="separate"/>
      </w:r>
      <w:r w:rsidR="004646F5" w:rsidRPr="003A235D">
        <w:rPr>
          <w:iCs/>
        </w:rPr>
        <w:t>6.64</w:t>
      </w:r>
      <w:r w:rsidR="00934851" w:rsidRPr="003A235D">
        <w:rPr>
          <w:iCs/>
        </w:rPr>
        <w:fldChar w:fldCharType="end"/>
      </w:r>
      <w:r w:rsidR="00934851" w:rsidRPr="003A235D">
        <w:rPr>
          <w:iCs/>
        </w:rPr>
        <w:t>).</w:t>
      </w:r>
      <w:r w:rsidR="00E503B6" w:rsidRPr="003A235D">
        <w:rPr>
          <w:iCs/>
        </w:rPr>
        <w:t xml:space="preserve">  The ESC considered a more reasonable span for uptake rates would be from 20% in Year 1 to </w:t>
      </w:r>
      <w:r w:rsidR="00147B2E" w:rsidRPr="003A235D">
        <w:rPr>
          <w:iCs/>
        </w:rPr>
        <w:t>70</w:t>
      </w:r>
      <w:r w:rsidR="00E503B6" w:rsidRPr="003A235D">
        <w:rPr>
          <w:iCs/>
        </w:rPr>
        <w:t>% in year 6.</w:t>
      </w:r>
      <w:r w:rsidR="00B72A46" w:rsidRPr="003A235D">
        <w:rPr>
          <w:iCs/>
        </w:rPr>
        <w:t xml:space="preserve"> The pre-PBAC response proposed revised uptake over 6 years between 20-80%. The higher uptake rate towards Year 6 was proposed based on the likely availability of additional SGLT2 inhibitors and limited access to new treatments in this patient population.</w:t>
      </w:r>
    </w:p>
    <w:p w14:paraId="2238DEE9" w14:textId="3E6A228B" w:rsidR="00576972" w:rsidRPr="003A235D" w:rsidRDefault="00576972" w:rsidP="00606FBA">
      <w:pPr>
        <w:pStyle w:val="COMH2-non-numbered"/>
      </w:pPr>
      <w:bookmarkStart w:id="81" w:name="_Toc22897648"/>
      <w:bookmarkStart w:id="82" w:name="_Toc114047894"/>
      <w:r w:rsidRPr="003A235D">
        <w:t>Quality Use of Medicines</w:t>
      </w:r>
      <w:bookmarkEnd w:id="81"/>
      <w:bookmarkEnd w:id="82"/>
    </w:p>
    <w:p w14:paraId="2A290872" w14:textId="77777777" w:rsidR="003438BB" w:rsidRPr="003A235D" w:rsidRDefault="003438BB" w:rsidP="000B7D07">
      <w:pPr>
        <w:pStyle w:val="ExecSumBodyText"/>
        <w:numPr>
          <w:ilvl w:val="1"/>
          <w:numId w:val="1"/>
        </w:numPr>
      </w:pPr>
      <w:r w:rsidRPr="003A235D">
        <w:t>The submission identified a number of potential quality use of medicines issues including:</w:t>
      </w:r>
    </w:p>
    <w:p w14:paraId="403430D8" w14:textId="57BA493E" w:rsidR="007B57C9" w:rsidRPr="003A235D" w:rsidRDefault="007B57C9" w:rsidP="00633BDB">
      <w:pPr>
        <w:pStyle w:val="COMexecsummbulletlist"/>
        <w:spacing w:after="0"/>
        <w:ind w:hanging="357"/>
      </w:pPr>
      <w:r w:rsidRPr="003A235D">
        <w:t xml:space="preserve">The use of inappropriate dose strengths: empagliflozin is currently listed for diabetes with two dose strengths (10 and </w:t>
      </w:r>
      <w:r w:rsidR="00F935BC" w:rsidRPr="003A235D">
        <w:t>25 mg</w:t>
      </w:r>
      <w:r w:rsidRPr="003A235D">
        <w:t>) while only one dose strength is proposed for heart failure (</w:t>
      </w:r>
      <w:r w:rsidR="00F935BC" w:rsidRPr="003A235D">
        <w:t>10 mg</w:t>
      </w:r>
      <w:r w:rsidRPr="003A235D">
        <w:t>).</w:t>
      </w:r>
    </w:p>
    <w:p w14:paraId="2D42AE3B" w14:textId="77777777" w:rsidR="007B57C9" w:rsidRPr="003A235D" w:rsidRDefault="007B57C9" w:rsidP="00633BDB">
      <w:pPr>
        <w:pStyle w:val="COMexecsummbulletlist"/>
        <w:spacing w:after="0"/>
        <w:ind w:hanging="357"/>
      </w:pPr>
      <w:r w:rsidRPr="003A235D">
        <w:t>Inadvertent co-prescribing of empagliflozin with other SGLT2 inhibitors used for the treatment of diabetes.</w:t>
      </w:r>
    </w:p>
    <w:p w14:paraId="7222C627" w14:textId="38955BCD" w:rsidR="007B57C9" w:rsidRPr="003A235D" w:rsidRDefault="007B57C9" w:rsidP="00633BDB">
      <w:pPr>
        <w:pStyle w:val="COMexecsummbulletlist"/>
        <w:spacing w:after="0"/>
        <w:ind w:hanging="357"/>
      </w:pPr>
      <w:r w:rsidRPr="003A235D">
        <w:t>Confusion about dosing in renal impairment given the different proposed eGFR cutoffs for diabetes (30mL/min/1.73</w:t>
      </w:r>
      <w:r w:rsidR="008F1876" w:rsidRPr="003A235D">
        <w:t> </w:t>
      </w:r>
      <w:r w:rsidRPr="003A235D">
        <w:t>m</w:t>
      </w:r>
      <w:r w:rsidRPr="003A235D">
        <w:rPr>
          <w:vertAlign w:val="superscript"/>
        </w:rPr>
        <w:t>2</w:t>
      </w:r>
      <w:r w:rsidRPr="003A235D">
        <w:t>) and heart failure (20mL/min/1.73</w:t>
      </w:r>
      <w:r w:rsidR="008F1876" w:rsidRPr="003A235D">
        <w:t> </w:t>
      </w:r>
      <w:r w:rsidRPr="003A235D">
        <w:t>m</w:t>
      </w:r>
      <w:r w:rsidRPr="003A235D">
        <w:rPr>
          <w:vertAlign w:val="superscript"/>
        </w:rPr>
        <w:t>2</w:t>
      </w:r>
      <w:r w:rsidRPr="003A235D">
        <w:t>).</w:t>
      </w:r>
    </w:p>
    <w:p w14:paraId="3B18B344" w14:textId="77777777" w:rsidR="007B57C9" w:rsidRPr="003A235D" w:rsidRDefault="007B57C9" w:rsidP="007B57C9">
      <w:pPr>
        <w:pStyle w:val="COMexecsummbulletlist"/>
      </w:pPr>
      <w:r w:rsidRPr="003A235D">
        <w:t>The management of adverse events.</w:t>
      </w:r>
    </w:p>
    <w:p w14:paraId="38BD0AEF" w14:textId="4E08380B" w:rsidR="00576972" w:rsidRPr="003A235D" w:rsidRDefault="00660A6C" w:rsidP="000B7D07">
      <w:pPr>
        <w:pStyle w:val="ExecSumBodyText"/>
        <w:numPr>
          <w:ilvl w:val="1"/>
          <w:numId w:val="1"/>
        </w:numPr>
      </w:pPr>
      <w:r w:rsidRPr="003A235D">
        <w:t xml:space="preserve">To address these concerns, the submission proposed a series of quality use of medicine initiatives including face-to-face interactions, digital content and print materials for patients and healthcare professionals to ensure appropriate use of empagliflozin in heart failure patients with </w:t>
      </w:r>
      <w:r w:rsidR="00714C87" w:rsidRPr="003A235D">
        <w:t>mildly reduced</w:t>
      </w:r>
      <w:r w:rsidRPr="003A235D">
        <w:t xml:space="preserve"> or preserved ejection fraction.</w:t>
      </w:r>
    </w:p>
    <w:p w14:paraId="6015A395" w14:textId="2EDB6A4E" w:rsidR="00576972" w:rsidRPr="003A235D" w:rsidRDefault="00576972" w:rsidP="00606FBA">
      <w:pPr>
        <w:pStyle w:val="COMH2-non-numbered"/>
      </w:pPr>
      <w:bookmarkStart w:id="83" w:name="_Toc22897649"/>
      <w:bookmarkStart w:id="84" w:name="_Toc114047895"/>
      <w:r w:rsidRPr="003A235D">
        <w:t>Financial Management – Risk Sharing Arrangements</w:t>
      </w:r>
      <w:bookmarkEnd w:id="83"/>
      <w:bookmarkEnd w:id="84"/>
    </w:p>
    <w:p w14:paraId="5308A074" w14:textId="526AF3C9" w:rsidR="00A11983" w:rsidRPr="003A235D" w:rsidRDefault="00A11983" w:rsidP="000B7D07">
      <w:pPr>
        <w:pStyle w:val="ExecSumBodyText"/>
        <w:numPr>
          <w:ilvl w:val="1"/>
          <w:numId w:val="1"/>
        </w:numPr>
      </w:pPr>
      <w:bookmarkStart w:id="85" w:name="_Ref116474866"/>
      <w:r w:rsidRPr="003A235D">
        <w:t>The ESC considered there was substantial risk of usage in patients with unexplained breathlessness without HFmrEF/HFpEF and due to other causes, including age, body habitus, respiratory disease, physical deconditioning etc.</w:t>
      </w:r>
      <w:bookmarkEnd w:id="85"/>
    </w:p>
    <w:p w14:paraId="48739D37" w14:textId="6C42AFCE" w:rsidR="00E1373C" w:rsidRPr="003A235D" w:rsidRDefault="00145731" w:rsidP="000B7D07">
      <w:pPr>
        <w:pStyle w:val="ExecSumBodyText"/>
        <w:numPr>
          <w:ilvl w:val="1"/>
          <w:numId w:val="1"/>
        </w:numPr>
      </w:pPr>
      <w:r w:rsidRPr="003A235D">
        <w:lastRenderedPageBreak/>
        <w:t xml:space="preserve">The Pre-PBAC response proposed a risk sharing arrangement as shown in </w:t>
      </w:r>
      <w:r w:rsidRPr="003A235D">
        <w:fldChar w:fldCharType="begin" w:fldLock="1"/>
      </w:r>
      <w:r w:rsidRPr="003A235D">
        <w:instrText xml:space="preserve"> REF _Ref111206622 \h  \* MERGEFORMAT </w:instrText>
      </w:r>
      <w:r w:rsidRPr="003A235D">
        <w:fldChar w:fldCharType="separate"/>
      </w:r>
      <w:r w:rsidR="004646F5" w:rsidRPr="003A235D">
        <w:t>Table 15</w:t>
      </w:r>
      <w:r w:rsidRPr="003A235D">
        <w:fldChar w:fldCharType="end"/>
      </w:r>
      <w:r w:rsidRPr="003A235D">
        <w:t xml:space="preserve">), a rebate of </w:t>
      </w:r>
      <w:r w:rsidRPr="0015397C">
        <w:t>50%</w:t>
      </w:r>
      <w:r w:rsidRPr="003A235D">
        <w:t xml:space="preserve"> above the caps was proposed.</w:t>
      </w:r>
      <w:r w:rsidR="00BC55EA" w:rsidRPr="003A235D">
        <w:t xml:space="preserve">  </w:t>
      </w:r>
    </w:p>
    <w:p w14:paraId="16632744" w14:textId="77777777" w:rsidR="00E1373C" w:rsidRPr="003A235D" w:rsidRDefault="00E1373C" w:rsidP="00E1373C">
      <w:pPr>
        <w:ind w:firstLine="709"/>
        <w:rPr>
          <w:rFonts w:asciiTheme="minorHAnsi" w:hAnsiTheme="minorHAnsi"/>
          <w:i/>
        </w:rPr>
      </w:pPr>
      <w:r w:rsidRPr="003A235D">
        <w:rPr>
          <w:rFonts w:asciiTheme="minorHAnsi" w:hAnsiTheme="minorHAnsi"/>
          <w:i/>
        </w:rPr>
        <w:t>For more detail on PBAC’s view, see section 7 PBAC outcome.</w:t>
      </w:r>
    </w:p>
    <w:p w14:paraId="5BE37417" w14:textId="2ED1A387" w:rsidR="002D3AC5" w:rsidRPr="003A235D" w:rsidRDefault="002D3AC5">
      <w:pPr>
        <w:jc w:val="left"/>
      </w:pPr>
    </w:p>
    <w:p w14:paraId="03A23436" w14:textId="77777777" w:rsidR="00D05825" w:rsidRPr="003A235D" w:rsidRDefault="00D05825" w:rsidP="001148CD">
      <w:pPr>
        <w:pStyle w:val="COMH1numbered"/>
      </w:pPr>
      <w:bookmarkStart w:id="86" w:name="_Hlk76381249"/>
      <w:r w:rsidRPr="003A235D">
        <w:t>PBAC Outcome</w:t>
      </w:r>
    </w:p>
    <w:p w14:paraId="5FB0D664" w14:textId="446D6656" w:rsidR="005F5983" w:rsidRPr="003A235D" w:rsidRDefault="005F5983" w:rsidP="00D05825">
      <w:pPr>
        <w:widowControl w:val="0"/>
        <w:numPr>
          <w:ilvl w:val="1"/>
          <w:numId w:val="1"/>
        </w:numPr>
        <w:spacing w:after="120"/>
        <w:ind w:left="720" w:hanging="720"/>
        <w:rPr>
          <w:rFonts w:asciiTheme="minorHAnsi" w:hAnsiTheme="minorHAnsi"/>
          <w:snapToGrid w:val="0"/>
        </w:rPr>
      </w:pPr>
      <w:bookmarkStart w:id="87" w:name="_Hlk120866835"/>
      <w:bookmarkStart w:id="88" w:name="_Hlk111543188"/>
      <w:r w:rsidRPr="003A235D">
        <w:rPr>
          <w:rFonts w:asciiTheme="minorHAnsi" w:hAnsiTheme="minorHAnsi"/>
          <w:snapToGrid w:val="0"/>
        </w:rPr>
        <w:t xml:space="preserve">The PBAC did not recommended empagliflozin for the treatment of chronic heart failure in patients with a left ventricular ejection fraction greater than 40%.  The PBAC considered there was a high </w:t>
      </w:r>
      <w:r w:rsidR="00BC6C06" w:rsidRPr="003A235D">
        <w:rPr>
          <w:rFonts w:asciiTheme="minorHAnsi" w:hAnsiTheme="minorHAnsi"/>
          <w:snapToGrid w:val="0"/>
        </w:rPr>
        <w:t xml:space="preserve">unmet </w:t>
      </w:r>
      <w:r w:rsidRPr="003A235D">
        <w:rPr>
          <w:rFonts w:asciiTheme="minorHAnsi" w:hAnsiTheme="minorHAnsi"/>
          <w:snapToGrid w:val="0"/>
        </w:rPr>
        <w:t xml:space="preserve">clinical need for effective treatments for patients with this condition. The PBAC </w:t>
      </w:r>
      <w:r w:rsidR="00144EE6" w:rsidRPr="003A235D">
        <w:rPr>
          <w:rFonts w:asciiTheme="minorHAnsi" w:hAnsiTheme="minorHAnsi"/>
          <w:snapToGrid w:val="0"/>
        </w:rPr>
        <w:t>not</w:t>
      </w:r>
      <w:r w:rsidRPr="003A235D">
        <w:rPr>
          <w:rFonts w:asciiTheme="minorHAnsi" w:hAnsiTheme="minorHAnsi"/>
          <w:snapToGrid w:val="0"/>
        </w:rPr>
        <w:t xml:space="preserve">ed that empagliflozin </w:t>
      </w:r>
      <w:r w:rsidR="00B41721" w:rsidRPr="003A235D">
        <w:rPr>
          <w:rFonts w:asciiTheme="minorHAnsi" w:hAnsiTheme="minorHAnsi"/>
          <w:snapToGrid w:val="0"/>
        </w:rPr>
        <w:t xml:space="preserve">when added to </w:t>
      </w:r>
      <w:r w:rsidRPr="003A235D">
        <w:rPr>
          <w:rFonts w:asciiTheme="minorHAnsi" w:hAnsiTheme="minorHAnsi"/>
          <w:snapToGrid w:val="0"/>
        </w:rPr>
        <w:t xml:space="preserve">standard care </w:t>
      </w:r>
      <w:r w:rsidR="00B1619F" w:rsidRPr="003A235D">
        <w:rPr>
          <w:rFonts w:asciiTheme="minorHAnsi" w:hAnsiTheme="minorHAnsi"/>
          <w:snapToGrid w:val="0"/>
        </w:rPr>
        <w:t xml:space="preserve">provided a </w:t>
      </w:r>
      <w:r w:rsidR="00144EE6" w:rsidRPr="003A235D">
        <w:rPr>
          <w:rFonts w:asciiTheme="minorHAnsi" w:hAnsiTheme="minorHAnsi"/>
          <w:snapToGrid w:val="0"/>
        </w:rPr>
        <w:t xml:space="preserve">statistically </w:t>
      </w:r>
      <w:r w:rsidR="00B1619F" w:rsidRPr="003A235D">
        <w:rPr>
          <w:lang w:eastAsia="en-US"/>
        </w:rPr>
        <w:t>significant improvement in efficacy</w:t>
      </w:r>
      <w:r w:rsidR="0079551E" w:rsidRPr="003A235D">
        <w:rPr>
          <w:lang w:eastAsia="en-US"/>
        </w:rPr>
        <w:t xml:space="preserve"> over</w:t>
      </w:r>
      <w:r w:rsidRPr="003A235D">
        <w:rPr>
          <w:rFonts w:asciiTheme="minorHAnsi" w:hAnsiTheme="minorHAnsi"/>
          <w:snapToGrid w:val="0"/>
        </w:rPr>
        <w:t xml:space="preserve"> standard care </w:t>
      </w:r>
      <w:r w:rsidR="00B1619F" w:rsidRPr="003A235D">
        <w:rPr>
          <w:rFonts w:asciiTheme="minorHAnsi" w:hAnsiTheme="minorHAnsi"/>
          <w:snapToGrid w:val="0"/>
        </w:rPr>
        <w:t xml:space="preserve">alone </w:t>
      </w:r>
      <w:r w:rsidRPr="003A235D">
        <w:rPr>
          <w:rFonts w:asciiTheme="minorHAnsi" w:hAnsiTheme="minorHAnsi"/>
          <w:snapToGrid w:val="0"/>
        </w:rPr>
        <w:t xml:space="preserve">in the proposed population. </w:t>
      </w:r>
      <w:r w:rsidR="00B1619F" w:rsidRPr="003A235D">
        <w:rPr>
          <w:rFonts w:asciiTheme="minorHAnsi" w:hAnsiTheme="minorHAnsi"/>
          <w:snapToGrid w:val="0"/>
        </w:rPr>
        <w:t xml:space="preserve">However, </w:t>
      </w:r>
      <w:r w:rsidR="0079551E" w:rsidRPr="003A235D">
        <w:rPr>
          <w:rFonts w:asciiTheme="minorHAnsi" w:hAnsiTheme="minorHAnsi"/>
          <w:snapToGrid w:val="0"/>
        </w:rPr>
        <w:t xml:space="preserve">the reduction in hospitalisations due to heart failure were modest and </w:t>
      </w:r>
      <w:r w:rsidR="00B1619F" w:rsidRPr="003A235D">
        <w:rPr>
          <w:rFonts w:asciiTheme="minorHAnsi" w:hAnsiTheme="minorHAnsi"/>
          <w:snapToGrid w:val="0"/>
        </w:rPr>
        <w:t xml:space="preserve">there remained </w:t>
      </w:r>
      <w:r w:rsidR="00371436" w:rsidRPr="003A235D">
        <w:rPr>
          <w:rFonts w:asciiTheme="minorHAnsi" w:hAnsiTheme="minorHAnsi"/>
          <w:snapToGrid w:val="0"/>
        </w:rPr>
        <w:t xml:space="preserve">considerable </w:t>
      </w:r>
      <w:r w:rsidR="00B1619F" w:rsidRPr="003A235D">
        <w:rPr>
          <w:rFonts w:asciiTheme="minorHAnsi" w:hAnsiTheme="minorHAnsi"/>
          <w:snapToGrid w:val="0"/>
        </w:rPr>
        <w:t xml:space="preserve">uncertainty in the </w:t>
      </w:r>
      <w:r w:rsidR="0079551E" w:rsidRPr="003A235D">
        <w:rPr>
          <w:rFonts w:asciiTheme="minorHAnsi" w:hAnsiTheme="minorHAnsi"/>
          <w:snapToGrid w:val="0"/>
        </w:rPr>
        <w:t>extent</w:t>
      </w:r>
      <w:r w:rsidR="00B1619F" w:rsidRPr="003A235D">
        <w:rPr>
          <w:rFonts w:asciiTheme="minorHAnsi" w:hAnsiTheme="minorHAnsi"/>
          <w:snapToGrid w:val="0"/>
        </w:rPr>
        <w:t xml:space="preserve"> of any mortality benefit</w:t>
      </w:r>
      <w:r w:rsidR="0079551E" w:rsidRPr="003A235D">
        <w:rPr>
          <w:rFonts w:asciiTheme="minorHAnsi" w:hAnsiTheme="minorHAnsi"/>
          <w:snapToGrid w:val="0"/>
        </w:rPr>
        <w:t xml:space="preserve">. </w:t>
      </w:r>
      <w:r w:rsidR="00B1619F" w:rsidRPr="003A235D">
        <w:rPr>
          <w:rFonts w:asciiTheme="minorHAnsi" w:hAnsiTheme="minorHAnsi"/>
          <w:snapToGrid w:val="0"/>
        </w:rPr>
        <w:t xml:space="preserve"> </w:t>
      </w:r>
      <w:r w:rsidRPr="003A235D">
        <w:rPr>
          <w:rFonts w:asciiTheme="minorHAnsi" w:hAnsiTheme="minorHAnsi"/>
          <w:snapToGrid w:val="0"/>
        </w:rPr>
        <w:t>The PBAC</w:t>
      </w:r>
      <w:r w:rsidR="00A06240" w:rsidRPr="003A235D">
        <w:rPr>
          <w:rFonts w:asciiTheme="minorHAnsi" w:hAnsiTheme="minorHAnsi"/>
          <w:snapToGrid w:val="0"/>
        </w:rPr>
        <w:t xml:space="preserve"> noted the economic model did not adequately capture the progressive nature of the disease. </w:t>
      </w:r>
      <w:r w:rsidRPr="003A235D">
        <w:rPr>
          <w:rFonts w:asciiTheme="minorHAnsi" w:hAnsiTheme="minorHAnsi"/>
          <w:snapToGrid w:val="0"/>
        </w:rPr>
        <w:t xml:space="preserve"> </w:t>
      </w:r>
      <w:r w:rsidR="00A06240" w:rsidRPr="003A235D">
        <w:rPr>
          <w:rFonts w:asciiTheme="minorHAnsi" w:hAnsiTheme="minorHAnsi"/>
          <w:snapToGrid w:val="0"/>
        </w:rPr>
        <w:t>The PBAC</w:t>
      </w:r>
      <w:r w:rsidR="0079551E" w:rsidRPr="003A235D">
        <w:rPr>
          <w:rFonts w:asciiTheme="minorHAnsi" w:hAnsiTheme="minorHAnsi"/>
          <w:snapToGrid w:val="0"/>
        </w:rPr>
        <w:t xml:space="preserve"> </w:t>
      </w:r>
      <w:r w:rsidRPr="003A235D">
        <w:rPr>
          <w:rFonts w:asciiTheme="minorHAnsi" w:hAnsiTheme="minorHAnsi"/>
          <w:snapToGrid w:val="0"/>
        </w:rPr>
        <w:t xml:space="preserve">considered that </w:t>
      </w:r>
      <w:r w:rsidR="0079551E" w:rsidRPr="003A235D">
        <w:rPr>
          <w:rFonts w:asciiTheme="minorHAnsi" w:hAnsiTheme="minorHAnsi"/>
          <w:snapToGrid w:val="0"/>
        </w:rPr>
        <w:t xml:space="preserve">a price reduction to achieve a lower </w:t>
      </w:r>
      <w:r w:rsidRPr="003A235D">
        <w:rPr>
          <w:rFonts w:asciiTheme="minorHAnsi" w:hAnsiTheme="minorHAnsi"/>
          <w:snapToGrid w:val="0"/>
        </w:rPr>
        <w:t>incremental cost-effectiveness ratio</w:t>
      </w:r>
      <w:r w:rsidR="00BB1591" w:rsidRPr="003A235D">
        <w:rPr>
          <w:rFonts w:asciiTheme="minorHAnsi" w:hAnsiTheme="minorHAnsi"/>
          <w:snapToGrid w:val="0"/>
        </w:rPr>
        <w:t xml:space="preserve"> (ICER)</w:t>
      </w:r>
      <w:r w:rsidRPr="003A235D">
        <w:rPr>
          <w:rFonts w:asciiTheme="minorHAnsi" w:hAnsiTheme="minorHAnsi"/>
          <w:snapToGrid w:val="0"/>
        </w:rPr>
        <w:t xml:space="preserve"> was </w:t>
      </w:r>
      <w:r w:rsidR="0079551E" w:rsidRPr="003A235D">
        <w:rPr>
          <w:rFonts w:asciiTheme="minorHAnsi" w:hAnsiTheme="minorHAnsi"/>
          <w:snapToGrid w:val="0"/>
        </w:rPr>
        <w:t xml:space="preserve">required </w:t>
      </w:r>
      <w:r w:rsidR="00315375" w:rsidRPr="003A235D">
        <w:rPr>
          <w:rFonts w:asciiTheme="minorHAnsi" w:hAnsiTheme="minorHAnsi"/>
          <w:snapToGrid w:val="0"/>
        </w:rPr>
        <w:t>to reflect</w:t>
      </w:r>
      <w:r w:rsidR="0079551E" w:rsidRPr="003A235D">
        <w:rPr>
          <w:rFonts w:asciiTheme="minorHAnsi" w:hAnsiTheme="minorHAnsi"/>
          <w:snapToGrid w:val="0"/>
        </w:rPr>
        <w:t xml:space="preserve"> </w:t>
      </w:r>
      <w:r w:rsidRPr="003A235D">
        <w:rPr>
          <w:rFonts w:asciiTheme="minorHAnsi" w:hAnsiTheme="minorHAnsi"/>
          <w:snapToGrid w:val="0"/>
        </w:rPr>
        <w:t xml:space="preserve">the </w:t>
      </w:r>
      <w:r w:rsidR="0079551E" w:rsidRPr="003A235D">
        <w:rPr>
          <w:rFonts w:asciiTheme="minorHAnsi" w:hAnsiTheme="minorHAnsi"/>
          <w:snapToGrid w:val="0"/>
        </w:rPr>
        <w:t xml:space="preserve">moderate </w:t>
      </w:r>
      <w:r w:rsidRPr="003A235D">
        <w:rPr>
          <w:rFonts w:asciiTheme="minorHAnsi" w:hAnsiTheme="minorHAnsi"/>
          <w:snapToGrid w:val="0"/>
        </w:rPr>
        <w:t xml:space="preserve">clinical benefits shown in the clinical </w:t>
      </w:r>
      <w:r w:rsidR="00BC55EA" w:rsidRPr="003A235D">
        <w:rPr>
          <w:rFonts w:asciiTheme="minorHAnsi" w:hAnsiTheme="minorHAnsi"/>
          <w:snapToGrid w:val="0"/>
        </w:rPr>
        <w:t>evidence</w:t>
      </w:r>
      <w:r w:rsidR="00A06240" w:rsidRPr="003A235D">
        <w:rPr>
          <w:rFonts w:asciiTheme="minorHAnsi" w:hAnsiTheme="minorHAnsi"/>
          <w:snapToGrid w:val="0"/>
        </w:rPr>
        <w:t xml:space="preserve"> and the uncertain extrapolated benefit</w:t>
      </w:r>
      <w:r w:rsidRPr="003A235D">
        <w:rPr>
          <w:rFonts w:asciiTheme="minorHAnsi" w:hAnsiTheme="minorHAnsi"/>
          <w:snapToGrid w:val="0"/>
        </w:rPr>
        <w:t>. The PBAC considered that a risk sharing arrangement would be required due to a high risk of utilisation outside the proposed restriction.</w:t>
      </w:r>
    </w:p>
    <w:bookmarkEnd w:id="87"/>
    <w:p w14:paraId="199F82CB" w14:textId="313D021A" w:rsidR="00392E6E" w:rsidRPr="003A235D" w:rsidRDefault="00392E6E" w:rsidP="000D12B8">
      <w:pPr>
        <w:widowControl w:val="0"/>
        <w:numPr>
          <w:ilvl w:val="1"/>
          <w:numId w:val="1"/>
        </w:numPr>
        <w:spacing w:after="120"/>
        <w:ind w:left="720" w:hanging="720"/>
        <w:rPr>
          <w:rFonts w:eastAsia="Calibri"/>
        </w:rPr>
      </w:pPr>
      <w:r w:rsidRPr="003A235D">
        <w:rPr>
          <w:rFonts w:eastAsia="Calibri"/>
        </w:rPr>
        <w:t xml:space="preserve">The PBAC welcomed the expert advice from the sponsor hearing and agreed that there was an unmet need for effective treatments in </w:t>
      </w:r>
      <w:r w:rsidRPr="003A235D">
        <w:t>chronic heart failure with mildly reduced or preserved ejection fraction (</w:t>
      </w:r>
      <w:r w:rsidRPr="003A235D">
        <w:rPr>
          <w:iCs/>
        </w:rPr>
        <w:t>HFmrEF/</w:t>
      </w:r>
      <w:r w:rsidRPr="003A235D">
        <w:rPr>
          <w:szCs w:val="18"/>
        </w:rPr>
        <w:t>HFpEF).</w:t>
      </w:r>
      <w:r w:rsidRPr="003A235D">
        <w:rPr>
          <w:rFonts w:eastAsia="Calibri"/>
        </w:rPr>
        <w:t xml:space="preserve"> </w:t>
      </w:r>
    </w:p>
    <w:p w14:paraId="111FBBE2" w14:textId="16DC39BB" w:rsidR="00CE2024" w:rsidRPr="003A235D" w:rsidRDefault="00CE2024" w:rsidP="000D12B8">
      <w:pPr>
        <w:widowControl w:val="0"/>
        <w:numPr>
          <w:ilvl w:val="1"/>
          <w:numId w:val="1"/>
        </w:numPr>
        <w:spacing w:after="120"/>
        <w:ind w:left="720" w:hanging="720"/>
        <w:rPr>
          <w:rFonts w:eastAsia="Calibri"/>
        </w:rPr>
      </w:pPr>
      <w:r w:rsidRPr="003A235D">
        <w:rPr>
          <w:rFonts w:eastAsia="Calibri"/>
        </w:rPr>
        <w:t>The PBAC accepted the nominated comparator of standard care was appropriate, noting that dapagliflozin may be a near market comparator</w:t>
      </w:r>
      <w:r w:rsidR="003E1BF3" w:rsidRPr="003A235D">
        <w:rPr>
          <w:rFonts w:eastAsia="Calibri"/>
        </w:rPr>
        <w:t xml:space="preserve"> with the recent publication of the DELIVER trial</w:t>
      </w:r>
      <w:r w:rsidR="003E1BF3" w:rsidRPr="003A235D">
        <w:rPr>
          <w:rStyle w:val="FootnoteReference"/>
          <w:rFonts w:eastAsia="Calibri"/>
        </w:rPr>
        <w:footnoteReference w:id="4"/>
      </w:r>
      <w:r w:rsidR="003E1BF3" w:rsidRPr="003A235D">
        <w:rPr>
          <w:rFonts w:eastAsia="Calibri"/>
        </w:rPr>
        <w:t xml:space="preserve"> and TGA regulation dossier</w:t>
      </w:r>
      <w:r w:rsidR="003E1BF3" w:rsidRPr="003A235D">
        <w:rPr>
          <w:rStyle w:val="FootnoteReference"/>
          <w:rFonts w:eastAsia="Calibri"/>
        </w:rPr>
        <w:footnoteReference w:id="5"/>
      </w:r>
      <w:r w:rsidR="003E1BF3" w:rsidRPr="003A235D">
        <w:rPr>
          <w:rFonts w:eastAsia="Calibri"/>
        </w:rPr>
        <w:t>.</w:t>
      </w:r>
    </w:p>
    <w:p w14:paraId="7D118C02" w14:textId="48FD22EF" w:rsidR="004A1DAE" w:rsidRPr="003A235D" w:rsidRDefault="004A1DAE" w:rsidP="000D12B8">
      <w:pPr>
        <w:widowControl w:val="0"/>
        <w:numPr>
          <w:ilvl w:val="1"/>
          <w:numId w:val="1"/>
        </w:numPr>
        <w:spacing w:after="120"/>
        <w:ind w:left="720" w:hanging="720"/>
        <w:rPr>
          <w:rFonts w:eastAsia="Calibri"/>
        </w:rPr>
      </w:pPr>
      <w:r w:rsidRPr="003A235D">
        <w:rPr>
          <w:rFonts w:eastAsia="Calibri"/>
        </w:rPr>
        <w:t>The PBAC noted that t</w:t>
      </w:r>
      <w:r w:rsidRPr="003A235D">
        <w:t xml:space="preserve">he submission was based on one head-to-head randomised trial </w:t>
      </w:r>
      <w:r w:rsidR="00DD15DB" w:rsidRPr="003A235D">
        <w:t>(</w:t>
      </w:r>
      <w:r w:rsidR="00DD15DB" w:rsidRPr="003A235D">
        <w:rPr>
          <w:rFonts w:eastAsia="Calibri"/>
        </w:rPr>
        <w:t>n=</w:t>
      </w:r>
      <w:r w:rsidR="00DD15DB" w:rsidRPr="003A235D">
        <w:t xml:space="preserve">5,998) </w:t>
      </w:r>
      <w:r w:rsidRPr="003A235D">
        <w:t xml:space="preserve">comparing empagliflozin plus standard care versus placebo plus standard care in patients with </w:t>
      </w:r>
      <w:r w:rsidR="000D12B8" w:rsidRPr="003A235D">
        <w:t>(</w:t>
      </w:r>
      <w:r w:rsidR="000D12B8" w:rsidRPr="003A235D">
        <w:rPr>
          <w:iCs/>
        </w:rPr>
        <w:t>HFmrEF/</w:t>
      </w:r>
      <w:r w:rsidRPr="003A235D">
        <w:rPr>
          <w:szCs w:val="18"/>
        </w:rPr>
        <w:t>HFpEF</w:t>
      </w:r>
      <w:r w:rsidR="000D12B8" w:rsidRPr="003A235D">
        <w:rPr>
          <w:szCs w:val="18"/>
        </w:rPr>
        <w:t>)</w:t>
      </w:r>
      <w:r w:rsidR="00DD15DB" w:rsidRPr="003A235D">
        <w:rPr>
          <w:szCs w:val="18"/>
        </w:rPr>
        <w:t xml:space="preserve"> </w:t>
      </w:r>
      <w:r w:rsidRPr="003A235D">
        <w:t>(EMPEROR-Preserved).</w:t>
      </w:r>
      <w:r w:rsidR="00DD15DB" w:rsidRPr="003A235D">
        <w:t xml:space="preserve"> </w:t>
      </w:r>
      <w:r w:rsidRPr="003A235D">
        <w:rPr>
          <w:rFonts w:eastAsia="Calibri"/>
        </w:rPr>
        <w:t xml:space="preserve">Treatment with empagliflozin was associated with a statistically significant improvement in the primary composite endpoint of time to cardiovascular death, or hospitalisation for heart failure compared to placebo (hazard ratio: 0.79; 95% CI 0.69, 0.90), over a median duration of </w:t>
      </w:r>
      <w:r w:rsidRPr="003A235D">
        <w:rPr>
          <w:rFonts w:eastAsia="Calibri"/>
          <w:iCs/>
        </w:rPr>
        <w:t>follow-up of 26</w:t>
      </w:r>
      <w:r w:rsidRPr="003A235D">
        <w:rPr>
          <w:rFonts w:eastAsia="Calibri"/>
        </w:rPr>
        <w:t xml:space="preserve"> months. </w:t>
      </w:r>
      <w:r w:rsidR="00DD15DB" w:rsidRPr="003A235D">
        <w:rPr>
          <w:rFonts w:eastAsia="Calibri"/>
        </w:rPr>
        <w:t>The</w:t>
      </w:r>
      <w:r w:rsidRPr="003A235D">
        <w:rPr>
          <w:rFonts w:eastAsia="Calibri"/>
          <w:iCs/>
        </w:rPr>
        <w:t xml:space="preserve"> </w:t>
      </w:r>
      <w:r w:rsidR="00DD15DB" w:rsidRPr="003A235D">
        <w:rPr>
          <w:rFonts w:eastAsia="Calibri"/>
          <w:iCs/>
        </w:rPr>
        <w:t>PBAC</w:t>
      </w:r>
      <w:r w:rsidRPr="003A235D">
        <w:rPr>
          <w:rFonts w:eastAsia="Calibri"/>
          <w:iCs/>
        </w:rPr>
        <w:t xml:space="preserve"> noted that the absolute risk reduction in the primary composite endpoint (3.2% over a median follow-up of 26 </w:t>
      </w:r>
      <w:r w:rsidRPr="003A235D">
        <w:rPr>
          <w:rFonts w:eastAsia="Calibri"/>
          <w:iCs/>
        </w:rPr>
        <w:lastRenderedPageBreak/>
        <w:t>months) was lower than for the HFrEF population for empagliflozin in EMPEROR-Reduced (5.3% over a median duration of follow-up of 16 months</w:t>
      </w:r>
      <w:r w:rsidR="00DD15DB" w:rsidRPr="003A235D">
        <w:rPr>
          <w:rFonts w:eastAsia="Calibri"/>
          <w:iCs/>
        </w:rPr>
        <w:t xml:space="preserve">, see paragraph </w:t>
      </w:r>
      <w:r w:rsidR="00DD15DB" w:rsidRPr="003A235D">
        <w:rPr>
          <w:rFonts w:eastAsia="Calibri"/>
          <w:iCs/>
        </w:rPr>
        <w:fldChar w:fldCharType="begin" w:fldLock="1"/>
      </w:r>
      <w:r w:rsidR="00DD15DB" w:rsidRPr="003A235D">
        <w:rPr>
          <w:rFonts w:eastAsia="Calibri"/>
          <w:iCs/>
        </w:rPr>
        <w:instrText xml:space="preserve"> REF _Ref116565032 \r \h </w:instrText>
      </w:r>
      <w:r w:rsidR="00DD15DB" w:rsidRPr="003A235D">
        <w:rPr>
          <w:rFonts w:eastAsia="Calibri"/>
          <w:iCs/>
        </w:rPr>
      </w:r>
      <w:r w:rsidR="00DD15DB" w:rsidRPr="003A235D">
        <w:rPr>
          <w:rFonts w:eastAsia="Calibri"/>
          <w:iCs/>
        </w:rPr>
        <w:fldChar w:fldCharType="separate"/>
      </w:r>
      <w:r w:rsidR="004646F5" w:rsidRPr="003A235D">
        <w:rPr>
          <w:rFonts w:eastAsia="Calibri"/>
          <w:iCs/>
        </w:rPr>
        <w:t>6.11</w:t>
      </w:r>
      <w:r w:rsidR="00DD15DB" w:rsidRPr="003A235D">
        <w:rPr>
          <w:rFonts w:eastAsia="Calibri"/>
          <w:iCs/>
        </w:rPr>
        <w:fldChar w:fldCharType="end"/>
      </w:r>
      <w:r w:rsidRPr="003A235D">
        <w:rPr>
          <w:rFonts w:eastAsia="Calibri"/>
          <w:iCs/>
        </w:rPr>
        <w:t xml:space="preserve">). The </w:t>
      </w:r>
      <w:r w:rsidR="00DD15DB" w:rsidRPr="003A235D">
        <w:rPr>
          <w:rFonts w:eastAsia="Calibri"/>
          <w:iCs/>
        </w:rPr>
        <w:t>PBAC</w:t>
      </w:r>
      <w:r w:rsidRPr="003A235D">
        <w:rPr>
          <w:rFonts w:eastAsia="Calibri"/>
          <w:iCs/>
        </w:rPr>
        <w:t xml:space="preserve"> </w:t>
      </w:r>
      <w:r w:rsidR="00DD15DB" w:rsidRPr="003A235D">
        <w:rPr>
          <w:rFonts w:eastAsia="Calibri"/>
          <w:iCs/>
        </w:rPr>
        <w:t xml:space="preserve">considered this </w:t>
      </w:r>
      <w:r w:rsidR="00245143" w:rsidRPr="003A235D">
        <w:rPr>
          <w:rFonts w:eastAsia="Calibri"/>
          <w:iCs/>
        </w:rPr>
        <w:t xml:space="preserve">reflected </w:t>
      </w:r>
      <w:r w:rsidR="00DD15DB" w:rsidRPr="003A235D">
        <w:rPr>
          <w:rFonts w:eastAsia="Calibri"/>
          <w:iCs/>
        </w:rPr>
        <w:t>a more</w:t>
      </w:r>
      <w:r w:rsidRPr="003A235D">
        <w:rPr>
          <w:rFonts w:eastAsia="Calibri"/>
          <w:iCs/>
        </w:rPr>
        <w:t xml:space="preserve"> modest treatment effect </w:t>
      </w:r>
      <w:r w:rsidR="00245143" w:rsidRPr="003A235D">
        <w:rPr>
          <w:rFonts w:eastAsia="Calibri"/>
          <w:iCs/>
        </w:rPr>
        <w:t xml:space="preserve">for empagliflozin </w:t>
      </w:r>
      <w:r w:rsidRPr="003A235D">
        <w:rPr>
          <w:rFonts w:eastAsia="Calibri"/>
          <w:iCs/>
        </w:rPr>
        <w:t>in the HFmrEF/HFpEF population compared with the HFrEF population.</w:t>
      </w:r>
    </w:p>
    <w:p w14:paraId="6E901DB4" w14:textId="6DB4D382" w:rsidR="001C7C0D" w:rsidRPr="003A235D" w:rsidRDefault="001C7C0D" w:rsidP="00EA566F">
      <w:pPr>
        <w:widowControl w:val="0"/>
        <w:numPr>
          <w:ilvl w:val="1"/>
          <w:numId w:val="1"/>
        </w:numPr>
        <w:spacing w:after="120"/>
        <w:ind w:left="720" w:hanging="720"/>
      </w:pPr>
      <w:r w:rsidRPr="003A235D">
        <w:t xml:space="preserve">The PBAC noted that efficacy of empagliflozin had been demonstrated over </w:t>
      </w:r>
      <w:r w:rsidR="00D32C76" w:rsidRPr="003A235D">
        <w:t xml:space="preserve">pooled </w:t>
      </w:r>
      <w:r w:rsidRPr="003A235D">
        <w:t>LVEF subg</w:t>
      </w:r>
      <w:r w:rsidR="00315375" w:rsidRPr="003A235D">
        <w:t>r</w:t>
      </w:r>
      <w:r w:rsidRPr="003A235D">
        <w:t>oups in EMPEROR-Reduced and EMPEROR-Preserved (</w:t>
      </w:r>
      <w:r w:rsidR="00A83803" w:rsidRPr="003A235D">
        <w:fldChar w:fldCharType="begin" w:fldLock="1"/>
      </w:r>
      <w:r w:rsidR="00A83803" w:rsidRPr="003A235D">
        <w:instrText xml:space="preserve"> REF _Ref111131630 \h </w:instrText>
      </w:r>
      <w:r w:rsidR="00A83803" w:rsidRPr="003A235D">
        <w:fldChar w:fldCharType="separate"/>
      </w:r>
      <w:r w:rsidR="004646F5" w:rsidRPr="003A235D">
        <w:t>Table 7</w:t>
      </w:r>
      <w:r w:rsidR="00A83803" w:rsidRPr="003A235D">
        <w:fldChar w:fldCharType="end"/>
      </w:r>
      <w:r w:rsidRPr="003A235D">
        <w:t>).The PBAC considered that the LVEF</w:t>
      </w:r>
      <w:r w:rsidR="007D71A9" w:rsidRPr="003A235D">
        <w:t xml:space="preserve"> </w:t>
      </w:r>
      <w:r w:rsidRPr="003A235D">
        <w:t>≥</w:t>
      </w:r>
      <w:r w:rsidR="007D71A9" w:rsidRPr="003A235D">
        <w:t xml:space="preserve"> </w:t>
      </w:r>
      <w:r w:rsidRPr="003A235D">
        <w:t xml:space="preserve">65% subgroup was likely a very heterogenous population, including many patients who did not have HFpEF, </w:t>
      </w:r>
      <w:r w:rsidR="007D71A9" w:rsidRPr="003A235D">
        <w:t xml:space="preserve">which was </w:t>
      </w:r>
      <w:r w:rsidRPr="003A235D">
        <w:t xml:space="preserve">consistent with the conclusions of the study authors (see paragraph </w:t>
      </w:r>
      <w:r w:rsidRPr="003A235D">
        <w:fldChar w:fldCharType="begin" w:fldLock="1"/>
      </w:r>
      <w:r w:rsidRPr="003A235D">
        <w:instrText xml:space="preserve"> REF _Ref120787874 \r \h </w:instrText>
      </w:r>
      <w:r w:rsidRPr="003A235D">
        <w:fldChar w:fldCharType="separate"/>
      </w:r>
      <w:r w:rsidR="004646F5" w:rsidRPr="003A235D">
        <w:t>6.25</w:t>
      </w:r>
      <w:r w:rsidRPr="003A235D">
        <w:fldChar w:fldCharType="end"/>
      </w:r>
      <w:r w:rsidRPr="003A235D">
        <w:t>).</w:t>
      </w:r>
    </w:p>
    <w:p w14:paraId="5E53D642" w14:textId="345B951D" w:rsidR="00CF1AA7" w:rsidRPr="003A235D" w:rsidRDefault="00CF1AA7" w:rsidP="00EA566F">
      <w:pPr>
        <w:widowControl w:val="0"/>
        <w:numPr>
          <w:ilvl w:val="1"/>
          <w:numId w:val="1"/>
        </w:numPr>
        <w:spacing w:after="120"/>
        <w:ind w:left="720" w:hanging="720"/>
      </w:pPr>
      <w:r w:rsidRPr="003A235D">
        <w:t>The PBAC noted the underlying event rate differed for the HFmrEF/HFpEF population compared with the HFrEF population, for example the event rate for CV death in the EMPEROR</w:t>
      </w:r>
      <w:r w:rsidRPr="003A235D">
        <w:noBreakHyphen/>
        <w:t xml:space="preserve">Preserved trial (3.8 per 100 patient years in the placebo arm of the trial) was much lower than that in the EMPEROR-Reduced trial (8.1 per 100 patient years, see paragraph </w:t>
      </w:r>
      <w:r w:rsidRPr="003A235D">
        <w:fldChar w:fldCharType="begin" w:fldLock="1"/>
      </w:r>
      <w:r w:rsidRPr="003A235D">
        <w:instrText xml:space="preserve"> REF _Ref120738995 \r \h </w:instrText>
      </w:r>
      <w:r w:rsidR="00EA566F" w:rsidRPr="003A235D">
        <w:instrText xml:space="preserve"> \* MERGEFORMAT </w:instrText>
      </w:r>
      <w:r w:rsidRPr="003A235D">
        <w:fldChar w:fldCharType="separate"/>
      </w:r>
      <w:r w:rsidR="004646F5" w:rsidRPr="003A235D">
        <w:t>6.17</w:t>
      </w:r>
      <w:r w:rsidRPr="003A235D">
        <w:fldChar w:fldCharType="end"/>
      </w:r>
      <w:r w:rsidRPr="003A235D">
        <w:t>).</w:t>
      </w:r>
      <w:r w:rsidR="007D71A9" w:rsidRPr="003A235D">
        <w:t xml:space="preserve"> Although these </w:t>
      </w:r>
      <w:r w:rsidR="000E0146" w:rsidRPr="003A235D">
        <w:t>event rate</w:t>
      </w:r>
      <w:r w:rsidR="007D71A9" w:rsidRPr="003A235D">
        <w:t xml:space="preserve">s contributed to </w:t>
      </w:r>
      <w:r w:rsidR="00BB1591" w:rsidRPr="003A235D">
        <w:t xml:space="preserve">the </w:t>
      </w:r>
      <w:r w:rsidR="007D71A9" w:rsidRPr="003A235D">
        <w:t xml:space="preserve">uncertain extent of benefit in </w:t>
      </w:r>
      <w:r w:rsidR="00BB1591" w:rsidRPr="003A235D">
        <w:t xml:space="preserve">a </w:t>
      </w:r>
      <w:r w:rsidR="007D71A9" w:rsidRPr="003A235D">
        <w:t xml:space="preserve">reduction in CV mortality, the PBAC noted the meta-analysis of the dapagliflozin and empagliflozin trials showed that SGLT2 inhibitors reduced CV mortality by 12% with nominal significance (see paragraph </w:t>
      </w:r>
      <w:r w:rsidR="007D71A9" w:rsidRPr="003A235D">
        <w:fldChar w:fldCharType="begin" w:fldLock="1"/>
      </w:r>
      <w:r w:rsidR="007D71A9" w:rsidRPr="003A235D">
        <w:instrText xml:space="preserve"> REF _Ref120818794 \r \h </w:instrText>
      </w:r>
      <w:r w:rsidR="007D71A9" w:rsidRPr="003A235D">
        <w:fldChar w:fldCharType="separate"/>
      </w:r>
      <w:r w:rsidR="004646F5" w:rsidRPr="003A235D">
        <w:t>6.18</w:t>
      </w:r>
      <w:r w:rsidR="007D71A9" w:rsidRPr="003A235D">
        <w:fldChar w:fldCharType="end"/>
      </w:r>
      <w:r w:rsidR="007D71A9" w:rsidRPr="003A235D">
        <w:t>). Coupled with the clinically meaningful improvements in KCCQ clinical summary scores</w:t>
      </w:r>
      <w:r w:rsidR="00195535" w:rsidRPr="003A235D">
        <w:t xml:space="preserve"> (see paragraph </w:t>
      </w:r>
      <w:r w:rsidR="00195535" w:rsidRPr="003A235D">
        <w:fldChar w:fldCharType="begin" w:fldLock="1"/>
      </w:r>
      <w:r w:rsidR="00195535" w:rsidRPr="003A235D">
        <w:instrText xml:space="preserve"> REF _Ref120819102 \r \h </w:instrText>
      </w:r>
      <w:r w:rsidR="00195535" w:rsidRPr="003A235D">
        <w:fldChar w:fldCharType="separate"/>
      </w:r>
      <w:r w:rsidR="004646F5" w:rsidRPr="003A235D">
        <w:t>6.20</w:t>
      </w:r>
      <w:r w:rsidR="00195535" w:rsidRPr="003A235D">
        <w:fldChar w:fldCharType="end"/>
      </w:r>
      <w:r w:rsidR="00195535" w:rsidRPr="003A235D">
        <w:t>)</w:t>
      </w:r>
      <w:r w:rsidR="007D71A9" w:rsidRPr="003A235D">
        <w:t xml:space="preserve">, </w:t>
      </w:r>
      <w:r w:rsidR="00371436" w:rsidRPr="003A235D">
        <w:t xml:space="preserve">the PBAC </w:t>
      </w:r>
      <w:r w:rsidR="000A3D21" w:rsidRPr="003A235D">
        <w:t xml:space="preserve">considered </w:t>
      </w:r>
      <w:r w:rsidR="00371436" w:rsidRPr="003A235D">
        <w:t xml:space="preserve">that </w:t>
      </w:r>
      <w:r w:rsidR="007D71A9" w:rsidRPr="003A235D">
        <w:t xml:space="preserve">some </w:t>
      </w:r>
      <w:r w:rsidR="00195535" w:rsidRPr="003A235D">
        <w:t xml:space="preserve">CV </w:t>
      </w:r>
      <w:r w:rsidR="007D71A9" w:rsidRPr="003A235D">
        <w:t xml:space="preserve">mortality benefit </w:t>
      </w:r>
      <w:r w:rsidR="00371436" w:rsidRPr="003A235D">
        <w:t xml:space="preserve">could plausibly </w:t>
      </w:r>
      <w:r w:rsidR="007D71A9" w:rsidRPr="003A235D">
        <w:t xml:space="preserve">be </w:t>
      </w:r>
      <w:r w:rsidR="00195535" w:rsidRPr="003A235D">
        <w:t>expected.</w:t>
      </w:r>
    </w:p>
    <w:p w14:paraId="171F7A7A" w14:textId="22B2FBE9" w:rsidR="005108F6" w:rsidRPr="003A235D" w:rsidRDefault="005108F6" w:rsidP="00EA566F">
      <w:pPr>
        <w:widowControl w:val="0"/>
        <w:numPr>
          <w:ilvl w:val="1"/>
          <w:numId w:val="1"/>
        </w:numPr>
        <w:spacing w:after="120"/>
        <w:ind w:left="720" w:hanging="720"/>
      </w:pPr>
      <w:r w:rsidRPr="003A235D">
        <w:t xml:space="preserve">The PBAC considered that the safety profile </w:t>
      </w:r>
      <w:r w:rsidR="00BB1591" w:rsidRPr="003A235D">
        <w:t xml:space="preserve">of </w:t>
      </w:r>
      <w:r w:rsidRPr="003A235D">
        <w:t xml:space="preserve">empagliflozin is well understood due to its use in other indications, and the results from the EMPEROR-Preserved trial were consistent with the known safety profile of empagliflozin in the treatment of type 2 diabetes and HFrEF, with no unexpected safety signals detected.  </w:t>
      </w:r>
      <w:r w:rsidRPr="003A235D">
        <w:rPr>
          <w:iCs/>
        </w:rPr>
        <w:t>The PBAC noted that the proportion of patients experiencing adverse events was similar for the empagliflozin and placebo groups (85.9% vs 86.5%, respectively)</w:t>
      </w:r>
      <w:r w:rsidR="00631E9B" w:rsidRPr="003A235D">
        <w:rPr>
          <w:iCs/>
        </w:rPr>
        <w:t xml:space="preserve"> and the claim of non-inferior comparative safety to standard care was accepted</w:t>
      </w:r>
      <w:r w:rsidRPr="003A235D">
        <w:rPr>
          <w:iCs/>
        </w:rPr>
        <w:t>.</w:t>
      </w:r>
    </w:p>
    <w:p w14:paraId="03BD2550" w14:textId="7BD028F5" w:rsidR="0067488B" w:rsidRPr="003A235D" w:rsidRDefault="00D13E81" w:rsidP="0067488B">
      <w:pPr>
        <w:pStyle w:val="COMexecsumnumberedpara"/>
        <w:ind w:left="709" w:hanging="709"/>
      </w:pPr>
      <w:r w:rsidRPr="003A235D">
        <w:t>The submission presented a cost-utility analysis of empagliflozin plus standard care versus standard care alone, in patients with HFmrEF/HFpEF based on the results of the EMPEROR-Preserved trial. The PBAC noted that the health states were defined based on KCCQ-CSS quartiles and considered that KCCQ score was a validated and accepted measure in this population, but that multiple inputs and assumptions in the economic model were inconsistent with disease progression</w:t>
      </w:r>
      <w:r w:rsidR="00BB1591" w:rsidRPr="003A235D">
        <w:t>. In particular it was noted</w:t>
      </w:r>
      <w:r w:rsidR="0067488B" w:rsidRPr="003A235D">
        <w:t>:</w:t>
      </w:r>
    </w:p>
    <w:p w14:paraId="0A4D1242" w14:textId="7BC04C51" w:rsidR="0067488B" w:rsidRPr="003A235D" w:rsidRDefault="0067488B" w:rsidP="0067488B">
      <w:pPr>
        <w:pStyle w:val="COMexecsummbulletlist"/>
        <w:spacing w:after="0"/>
        <w:ind w:left="1134" w:hanging="357"/>
      </w:pPr>
      <w:r w:rsidRPr="003A235D">
        <w:t xml:space="preserve">hospitalisation for heart failure was included as a transient event associated with a cost and a disutility but did not alter the health state to which subjects moved in the subsequent cycle, and did not affect mortality rates. The model does not </w:t>
      </w:r>
      <w:r w:rsidRPr="003A235D">
        <w:lastRenderedPageBreak/>
        <w:t>account for mortality impacts associated with re-admissions to hospital, as well as declining utility and increases in ongoing costs.</w:t>
      </w:r>
    </w:p>
    <w:p w14:paraId="49C21730" w14:textId="458C7501" w:rsidR="0067488B" w:rsidRPr="003A235D" w:rsidRDefault="0067488B" w:rsidP="0067488B">
      <w:pPr>
        <w:pStyle w:val="COMexecsummbulletlist"/>
        <w:ind w:left="1134" w:hanging="357"/>
      </w:pPr>
      <w:r w:rsidRPr="003A235D">
        <w:t xml:space="preserve">constant transition probabilities between KCCQ-CSS quartile health states from 9 months to the end of the 15 year model time horizon were derived from individual patient data from the EMPEROR-Preserved trial over the 9-12 month period. This did not adequately reflect longer term health outcomes in a progressive disease. </w:t>
      </w:r>
    </w:p>
    <w:p w14:paraId="46DD2C40" w14:textId="505594AC" w:rsidR="00227BCB" w:rsidRPr="003A235D" w:rsidRDefault="00D13E81" w:rsidP="0067488B">
      <w:pPr>
        <w:pStyle w:val="ExecSumBodyText"/>
        <w:numPr>
          <w:ilvl w:val="1"/>
          <w:numId w:val="1"/>
        </w:numPr>
        <w:rPr>
          <w:iCs/>
          <w:snapToGrid/>
        </w:rPr>
      </w:pPr>
      <w:r w:rsidRPr="003A235D">
        <w:t xml:space="preserve">Based on the modelled economic evaluation, treatment with empagliflozin plus standard care was associated with an </w:t>
      </w:r>
      <w:r w:rsidR="00BB1591" w:rsidRPr="003A235D">
        <w:t>ICER</w:t>
      </w:r>
      <w:r w:rsidRPr="003A235D">
        <w:t xml:space="preserve"> of </w:t>
      </w:r>
      <w:r w:rsidR="0074752E" w:rsidRPr="0074752E">
        <w:t>$15,000 to &lt; $25,000</w:t>
      </w:r>
      <w:r w:rsidR="00BB1591" w:rsidRPr="003A235D">
        <w:t xml:space="preserve"> per QALY gained</w:t>
      </w:r>
      <w:r w:rsidRPr="003A235D">
        <w:t xml:space="preserve"> compared to standard care alone for the treatment of HFmrEF/HFpEF</w:t>
      </w:r>
      <w:r w:rsidR="00953D29" w:rsidRPr="003A235D">
        <w:t xml:space="preserve">. </w:t>
      </w:r>
      <w:r w:rsidR="00BC55EA" w:rsidRPr="003A235D">
        <w:t xml:space="preserve">The PBAC considered that </w:t>
      </w:r>
      <w:r w:rsidR="0067488B" w:rsidRPr="003A235D">
        <w:t xml:space="preserve">a lower </w:t>
      </w:r>
      <w:r w:rsidR="00BB1591" w:rsidRPr="003A235D">
        <w:t>ICER</w:t>
      </w:r>
      <w:r w:rsidR="00BC55EA" w:rsidRPr="003A235D">
        <w:t xml:space="preserve"> was </w:t>
      </w:r>
      <w:r w:rsidR="0067488B" w:rsidRPr="003A235D">
        <w:t>required</w:t>
      </w:r>
      <w:r w:rsidR="00BC55EA" w:rsidRPr="003A235D">
        <w:t xml:space="preserve"> </w:t>
      </w:r>
      <w:r w:rsidR="0067488B" w:rsidRPr="003A235D">
        <w:t>to</w:t>
      </w:r>
      <w:r w:rsidR="00156504" w:rsidRPr="003A235D">
        <w:t xml:space="preserve"> reflect the model uncertainty and</w:t>
      </w:r>
      <w:r w:rsidR="0067488B" w:rsidRPr="003A235D">
        <w:t xml:space="preserve"> </w:t>
      </w:r>
      <w:r w:rsidR="00BC55EA" w:rsidRPr="003A235D">
        <w:t xml:space="preserve">the modest clinical benefits shown in the clinical evidence.  </w:t>
      </w:r>
      <w:r w:rsidR="00156504" w:rsidRPr="003A235D">
        <w:t>T</w:t>
      </w:r>
      <w:r w:rsidR="00156504" w:rsidRPr="003A235D">
        <w:rPr>
          <w:iCs/>
        </w:rPr>
        <w:t xml:space="preserve">he PBAC advised that use of the submission model and inputs would be appropriate in a resubmission </w:t>
      </w:r>
      <w:r w:rsidR="00156504" w:rsidRPr="003A235D">
        <w:t xml:space="preserve">if the price was reduced to correspond to an ICER of less than </w:t>
      </w:r>
      <w:r w:rsidR="0074752E" w:rsidRPr="0074752E">
        <w:t>$15,000 to &lt; $25,000</w:t>
      </w:r>
      <w:r w:rsidR="00231464">
        <w:t xml:space="preserve"> </w:t>
      </w:r>
      <w:r w:rsidR="00BB1591" w:rsidRPr="003A235D">
        <w:t xml:space="preserve">per </w:t>
      </w:r>
      <w:r w:rsidR="00156504" w:rsidRPr="003A235D">
        <w:t>QALY</w:t>
      </w:r>
      <w:r w:rsidR="00BB1591" w:rsidRPr="003A235D">
        <w:t xml:space="preserve"> gained</w:t>
      </w:r>
      <w:r w:rsidR="00156504" w:rsidRPr="003A235D">
        <w:t>.</w:t>
      </w:r>
    </w:p>
    <w:p w14:paraId="43933BCD" w14:textId="62EE6D31" w:rsidR="005F2BFB" w:rsidRPr="003A235D" w:rsidDel="00EA566F" w:rsidRDefault="00E43CC2" w:rsidP="00374E94">
      <w:pPr>
        <w:pStyle w:val="ExecSumBodyText"/>
        <w:widowControl w:val="0"/>
        <w:numPr>
          <w:ilvl w:val="1"/>
          <w:numId w:val="1"/>
        </w:numPr>
      </w:pPr>
      <w:bookmarkStart w:id="89" w:name="_Ref121225690"/>
      <w:r w:rsidRPr="003A235D" w:rsidDel="00EA566F">
        <w:t xml:space="preserve">The PBAC considered that HFmrEF/HFpEF is a relatively common but often under-recognised condition in older populations.  The PBAC considered there is a substantial risk of leakage of empagliflozin to populations with dyspnoea of multifactorial aetiology and which may not exclusively or predominantly be due to HFpEF, resulting in use in populations where cost-effectiveness has not been demonstrated and creating considerable financial uncertainty. </w:t>
      </w:r>
      <w:r w:rsidR="005F2BFB" w:rsidRPr="003A235D" w:rsidDel="00EA566F">
        <w:t>The PBAC noted that the pre-PBAC response had presented revised financial estimates, which acknowledged the concerns raised by the ESC.  The PBAC considered that the adjustments applied in the revised estimates were reasonable (see paragraph</w:t>
      </w:r>
      <w:r w:rsidR="00B72A46" w:rsidRPr="003A235D">
        <w:t xml:space="preserve"> </w:t>
      </w:r>
      <w:r w:rsidR="00B72A46" w:rsidRPr="003A235D">
        <w:fldChar w:fldCharType="begin" w:fldLock="1"/>
      </w:r>
      <w:r w:rsidR="00B72A46" w:rsidRPr="003A235D">
        <w:instrText xml:space="preserve"> REF _Ref116999141 \r \h </w:instrText>
      </w:r>
      <w:r w:rsidR="00B72A46" w:rsidRPr="003A235D">
        <w:fldChar w:fldCharType="separate"/>
      </w:r>
      <w:r w:rsidR="004646F5" w:rsidRPr="003A235D">
        <w:t>6.65</w:t>
      </w:r>
      <w:r w:rsidR="00B72A46" w:rsidRPr="003A235D">
        <w:fldChar w:fldCharType="end"/>
      </w:r>
      <w:r w:rsidR="005F2BFB" w:rsidRPr="003A235D" w:rsidDel="00EA566F">
        <w:t>).</w:t>
      </w:r>
      <w:bookmarkEnd w:id="89"/>
      <w:r w:rsidR="005F2BFB" w:rsidRPr="003A235D" w:rsidDel="00EA566F">
        <w:t xml:space="preserve"> </w:t>
      </w:r>
    </w:p>
    <w:p w14:paraId="05DF3D36" w14:textId="77CCA2FB" w:rsidR="00D509C3" w:rsidRPr="003A235D" w:rsidRDefault="00D509C3" w:rsidP="00D509C3">
      <w:pPr>
        <w:widowControl w:val="0"/>
        <w:numPr>
          <w:ilvl w:val="1"/>
          <w:numId w:val="1"/>
        </w:numPr>
        <w:spacing w:after="120"/>
        <w:ind w:left="720" w:hanging="720"/>
        <w:rPr>
          <w:rFonts w:asciiTheme="minorHAnsi" w:hAnsiTheme="minorHAnsi"/>
          <w:snapToGrid w:val="0"/>
        </w:rPr>
      </w:pPr>
      <w:bookmarkStart w:id="90" w:name="_Ref120801950"/>
      <w:r w:rsidRPr="003A235D">
        <w:rPr>
          <w:rFonts w:asciiTheme="minorHAnsi" w:hAnsiTheme="minorHAnsi"/>
          <w:snapToGrid w:val="0"/>
        </w:rPr>
        <w:t xml:space="preserve">The PBAC considered that a risk sharing arrangement would be required due to a high risk of utilisation outside the proposed restriction.  The PBAC considered that a rebate of </w:t>
      </w:r>
      <w:r w:rsidRPr="00E30BFE">
        <w:rPr>
          <w:rFonts w:asciiTheme="minorHAnsi" w:hAnsiTheme="minorHAnsi"/>
          <w:snapToGrid w:val="0"/>
        </w:rPr>
        <w:t>100%</w:t>
      </w:r>
      <w:r w:rsidRPr="003A235D">
        <w:rPr>
          <w:rFonts w:asciiTheme="minorHAnsi" w:hAnsiTheme="minorHAnsi"/>
          <w:snapToGrid w:val="0"/>
        </w:rPr>
        <w:t xml:space="preserve"> above the caps would be appropriate. The PBAC noted that risk sharing arrangements are in place for empagliflozin in its HFrEF indication currently.  The PBAC considered a separate cap would be appropriate for the proposed </w:t>
      </w:r>
      <w:r w:rsidRPr="003A235D">
        <w:t>HFmrEF/HFpEF</w:t>
      </w:r>
      <w:r w:rsidRPr="003A235D">
        <w:rPr>
          <w:rFonts w:asciiTheme="minorHAnsi" w:hAnsiTheme="minorHAnsi"/>
          <w:snapToGrid w:val="0"/>
        </w:rPr>
        <w:t xml:space="preserve"> listing due to the substantial risk of leakage for this indication </w:t>
      </w:r>
      <w:r w:rsidR="00A831C1" w:rsidRPr="003A235D">
        <w:t xml:space="preserve">as described in </w:t>
      </w:r>
      <w:r w:rsidR="00F43800" w:rsidRPr="003A235D">
        <w:rPr>
          <w:rFonts w:asciiTheme="minorHAnsi" w:hAnsiTheme="minorHAnsi"/>
          <w:snapToGrid w:val="0"/>
        </w:rPr>
        <w:t xml:space="preserve">paragraph </w:t>
      </w:r>
      <w:r w:rsidR="00F43800" w:rsidRPr="003A235D">
        <w:rPr>
          <w:rFonts w:asciiTheme="minorHAnsi" w:hAnsiTheme="minorHAnsi"/>
          <w:snapToGrid w:val="0"/>
        </w:rPr>
        <w:fldChar w:fldCharType="begin" w:fldLock="1"/>
      </w:r>
      <w:r w:rsidR="00F43800" w:rsidRPr="003A235D">
        <w:rPr>
          <w:rFonts w:asciiTheme="minorHAnsi" w:hAnsiTheme="minorHAnsi"/>
          <w:snapToGrid w:val="0"/>
        </w:rPr>
        <w:instrText xml:space="preserve"> REF _Ref121225690 \r \h </w:instrText>
      </w:r>
      <w:r w:rsidR="00F43800" w:rsidRPr="003A235D">
        <w:rPr>
          <w:rFonts w:asciiTheme="minorHAnsi" w:hAnsiTheme="minorHAnsi"/>
          <w:snapToGrid w:val="0"/>
        </w:rPr>
      </w:r>
      <w:r w:rsidR="00F43800" w:rsidRPr="003A235D">
        <w:rPr>
          <w:rFonts w:asciiTheme="minorHAnsi" w:hAnsiTheme="minorHAnsi"/>
          <w:snapToGrid w:val="0"/>
        </w:rPr>
        <w:fldChar w:fldCharType="separate"/>
      </w:r>
      <w:r w:rsidR="004646F5" w:rsidRPr="003A235D">
        <w:rPr>
          <w:rFonts w:asciiTheme="minorHAnsi" w:hAnsiTheme="minorHAnsi"/>
          <w:snapToGrid w:val="0"/>
        </w:rPr>
        <w:t>7.10</w:t>
      </w:r>
      <w:r w:rsidR="00F43800" w:rsidRPr="003A235D">
        <w:rPr>
          <w:rFonts w:asciiTheme="minorHAnsi" w:hAnsiTheme="minorHAnsi"/>
          <w:snapToGrid w:val="0"/>
        </w:rPr>
        <w:fldChar w:fldCharType="end"/>
      </w:r>
      <w:r w:rsidRPr="003A235D">
        <w:rPr>
          <w:rFonts w:asciiTheme="minorHAnsi" w:hAnsiTheme="minorHAnsi"/>
          <w:snapToGrid w:val="0"/>
        </w:rPr>
        <w:t>.</w:t>
      </w:r>
      <w:bookmarkEnd w:id="90"/>
    </w:p>
    <w:bookmarkEnd w:id="88"/>
    <w:p w14:paraId="2C57883C" w14:textId="6DA31764" w:rsidR="00544556" w:rsidRPr="003A235D" w:rsidRDefault="00544556" w:rsidP="00544556">
      <w:pPr>
        <w:widowControl w:val="0"/>
        <w:numPr>
          <w:ilvl w:val="1"/>
          <w:numId w:val="1"/>
        </w:numPr>
        <w:spacing w:after="120"/>
        <w:ind w:left="720" w:hanging="720"/>
      </w:pPr>
      <w:r w:rsidRPr="003A235D">
        <w:t xml:space="preserve">The PBAC considered the outstanding issues may be addressed in a simple resubmission for empagliflozin </w:t>
      </w:r>
      <w:r w:rsidRPr="003A235D">
        <w:rPr>
          <w:rFonts w:asciiTheme="minorHAnsi" w:hAnsiTheme="minorHAnsi"/>
          <w:snapToGrid w:val="0"/>
        </w:rPr>
        <w:t xml:space="preserve">using the early re-entry pathway. </w:t>
      </w:r>
      <w:r w:rsidRPr="003A235D">
        <w:t>If the sponsor accepts this pathway, the following changes may address these outstanding issues without requiring further re-evaluation.</w:t>
      </w:r>
    </w:p>
    <w:p w14:paraId="7041CFC7" w14:textId="2A38BB7D" w:rsidR="00544556" w:rsidRPr="003A235D" w:rsidRDefault="00544556" w:rsidP="00544556">
      <w:pPr>
        <w:pStyle w:val="ListParagraph"/>
        <w:widowControl w:val="0"/>
        <w:numPr>
          <w:ilvl w:val="0"/>
          <w:numId w:val="24"/>
        </w:numPr>
        <w:spacing w:after="160"/>
        <w:ind w:left="1134" w:hanging="425"/>
      </w:pPr>
      <w:r w:rsidRPr="003A235D">
        <w:t xml:space="preserve">Use of the </w:t>
      </w:r>
      <w:r w:rsidR="00810B24" w:rsidRPr="003A235D">
        <w:t xml:space="preserve">current </w:t>
      </w:r>
      <w:r w:rsidR="00DE01A4" w:rsidRPr="003A235D">
        <w:t>submission</w:t>
      </w:r>
      <w:r w:rsidRPr="003A235D">
        <w:t xml:space="preserve"> economic model </w:t>
      </w:r>
      <w:r w:rsidR="00810B24" w:rsidRPr="003A235D">
        <w:t xml:space="preserve">with a price reduction to achieve an ICER of less than </w:t>
      </w:r>
      <w:r w:rsidR="0074752E" w:rsidRPr="0074752E">
        <w:t>$15,000 to &lt; $25,000</w:t>
      </w:r>
      <w:r w:rsidR="00097528">
        <w:t xml:space="preserve"> </w:t>
      </w:r>
      <w:r w:rsidR="00BB1591" w:rsidRPr="003A235D">
        <w:t xml:space="preserve">per </w:t>
      </w:r>
      <w:r w:rsidR="00810B24" w:rsidRPr="003A235D">
        <w:t>QALY gained</w:t>
      </w:r>
      <w:r w:rsidRPr="003A235D">
        <w:t xml:space="preserve">.  </w:t>
      </w:r>
    </w:p>
    <w:p w14:paraId="27CCF95C" w14:textId="4D4E411A" w:rsidR="00544556" w:rsidRPr="003A235D" w:rsidRDefault="00544556" w:rsidP="00544556">
      <w:pPr>
        <w:pStyle w:val="ListParagraph"/>
        <w:widowControl w:val="0"/>
        <w:numPr>
          <w:ilvl w:val="0"/>
          <w:numId w:val="24"/>
        </w:numPr>
        <w:spacing w:after="160"/>
        <w:ind w:left="1134" w:hanging="425"/>
      </w:pPr>
      <w:r w:rsidRPr="003A235D">
        <w:t xml:space="preserve">Revised financial estimates </w:t>
      </w:r>
      <w:r w:rsidR="005F2BFB" w:rsidRPr="003A235D">
        <w:t xml:space="preserve">using the inputs from the pre-PBAC response </w:t>
      </w:r>
      <w:r w:rsidRPr="003A235D">
        <w:t xml:space="preserve">and recalculation of the financial implications using the revised </w:t>
      </w:r>
      <w:r w:rsidR="005F2BFB" w:rsidRPr="003A235D">
        <w:t>empagliflozin</w:t>
      </w:r>
      <w:r w:rsidRPr="003A235D">
        <w:t xml:space="preserve"> price. </w:t>
      </w:r>
    </w:p>
    <w:p w14:paraId="071915F4" w14:textId="07B3EFE8" w:rsidR="00544556" w:rsidRPr="003A235D" w:rsidRDefault="00815687" w:rsidP="00810B24">
      <w:pPr>
        <w:pStyle w:val="ListBullet"/>
        <w:tabs>
          <w:tab w:val="clear" w:pos="360"/>
          <w:tab w:val="num" w:pos="1069"/>
        </w:tabs>
        <w:spacing w:after="120"/>
        <w:ind w:left="1066" w:hanging="357"/>
      </w:pPr>
      <w:r w:rsidRPr="003A235D">
        <w:lastRenderedPageBreak/>
        <w:t>A r</w:t>
      </w:r>
      <w:r w:rsidR="00544556" w:rsidRPr="003A235D">
        <w:t xml:space="preserve">isk sharing arrangement </w:t>
      </w:r>
      <w:r w:rsidR="000A3D21" w:rsidRPr="003A235D">
        <w:t xml:space="preserve">with a </w:t>
      </w:r>
      <w:r w:rsidR="00544556" w:rsidRPr="00E30BFE">
        <w:t>100% rebate</w:t>
      </w:r>
      <w:r w:rsidR="00544556" w:rsidRPr="003A235D">
        <w:t xml:space="preserve"> above the caps</w:t>
      </w:r>
      <w:r w:rsidRPr="003A235D">
        <w:t xml:space="preserve">, based on the </w:t>
      </w:r>
      <w:r w:rsidR="00810B24" w:rsidRPr="003A235D">
        <w:t>revised financial estimates</w:t>
      </w:r>
      <w:r w:rsidR="00544556" w:rsidRPr="003A235D">
        <w:t>.</w:t>
      </w:r>
    </w:p>
    <w:p w14:paraId="573FCC19" w14:textId="4585CDF2" w:rsidR="009A2399" w:rsidRPr="003A235D" w:rsidRDefault="009A2399" w:rsidP="00544556">
      <w:pPr>
        <w:pStyle w:val="ExecSumBodyText"/>
        <w:numPr>
          <w:ilvl w:val="1"/>
          <w:numId w:val="1"/>
        </w:numPr>
      </w:pPr>
      <w:r w:rsidRPr="003A235D">
        <w:t>The early re-entry resubmission must be lodged by week 7 of the current PBAC cycle or the next cycle. If the issues cannot be addressed by the sponsor in a simple resubmission and the early re-entry timing is not acceptable, a standard re-entry pathway is available.</w:t>
      </w:r>
    </w:p>
    <w:p w14:paraId="43E89E07" w14:textId="7DE18770" w:rsidR="00815687" w:rsidRPr="003A235D" w:rsidRDefault="00815687" w:rsidP="00815687">
      <w:pPr>
        <w:pStyle w:val="ExecSumBodyText"/>
        <w:numPr>
          <w:ilvl w:val="1"/>
          <w:numId w:val="1"/>
        </w:numPr>
      </w:pPr>
      <w:r w:rsidRPr="003A235D">
        <w:rPr>
          <w:bCs/>
          <w:iCs/>
        </w:rPr>
        <w:t xml:space="preserve">With regard to the restriction, the PBAC noted that </w:t>
      </w:r>
      <w:r w:rsidRPr="003A235D">
        <w:t xml:space="preserve">one of the proposed diagnostic tests (NT-proBNP testing) is not routinely used in Australian clinical practice.  </w:t>
      </w:r>
      <w:r w:rsidRPr="003A235D">
        <w:rPr>
          <w:iCs/>
        </w:rPr>
        <w:t>The PBAC considered that the criterion in relation to NT-proBNP testing should be retained as one of the options for determination of eligibility for empagliflozin, however it should only apply for patients with elevated NT-proBNP levels “in the absence of another cause”.</w:t>
      </w:r>
      <w:r w:rsidRPr="003A235D">
        <w:t xml:space="preserve"> The PBAC </w:t>
      </w:r>
      <w:r w:rsidR="00D61CBB" w:rsidRPr="003A235D">
        <w:t xml:space="preserve">emphasised </w:t>
      </w:r>
      <w:r w:rsidRPr="003A235D">
        <w:t xml:space="preserve">that patients would </w:t>
      </w:r>
      <w:r w:rsidR="00B03F99" w:rsidRPr="003A235D">
        <w:t xml:space="preserve">not </w:t>
      </w:r>
      <w:r w:rsidR="00F814F5" w:rsidRPr="003A235D">
        <w:t>need to seek</w:t>
      </w:r>
      <w:r w:rsidR="00B03F99" w:rsidRPr="003A235D">
        <w:t xml:space="preserve"> NT-proBNP testing to </w:t>
      </w:r>
      <w:r w:rsidRPr="003A235D">
        <w:t xml:space="preserve">access </w:t>
      </w:r>
      <w:r w:rsidRPr="003A235D">
        <w:rPr>
          <w:iCs/>
        </w:rPr>
        <w:t xml:space="preserve">reimbursed empagliflozin treatment </w:t>
      </w:r>
      <w:r w:rsidR="00F814F5" w:rsidRPr="003A235D">
        <w:rPr>
          <w:iCs/>
        </w:rPr>
        <w:t>but</w:t>
      </w:r>
      <w:r w:rsidR="00B03F99" w:rsidRPr="003A235D">
        <w:rPr>
          <w:iCs/>
        </w:rPr>
        <w:t xml:space="preserve"> that </w:t>
      </w:r>
      <w:r w:rsidR="00F814F5" w:rsidRPr="003A235D">
        <w:rPr>
          <w:iCs/>
        </w:rPr>
        <w:t xml:space="preserve">a small number of patients </w:t>
      </w:r>
      <w:r w:rsidR="00D61CBB" w:rsidRPr="003A235D">
        <w:rPr>
          <w:iCs/>
        </w:rPr>
        <w:t>may</w:t>
      </w:r>
      <w:r w:rsidR="00F814F5" w:rsidRPr="003A235D">
        <w:rPr>
          <w:iCs/>
        </w:rPr>
        <w:t xml:space="preserve"> have these results available if levels have previously been tested.</w:t>
      </w:r>
      <w:r w:rsidRPr="003A235D">
        <w:rPr>
          <w:iCs/>
        </w:rPr>
        <w:t xml:space="preserve"> </w:t>
      </w:r>
      <w:r w:rsidRPr="003A235D">
        <w:t xml:space="preserve">The PBAC </w:t>
      </w:r>
      <w:r w:rsidR="00816B64" w:rsidRPr="003A235D">
        <w:t xml:space="preserve">agreed with the ESC’s </w:t>
      </w:r>
      <w:r w:rsidRPr="003A235D">
        <w:t xml:space="preserve">recommended revision to the proposed restriction to reflect that the requirement for documented evidence of structural changes in the heart on echocardiography would apply for all patients, in addition to at least one of </w:t>
      </w:r>
      <w:r w:rsidR="000A3D21" w:rsidRPr="003A235D">
        <w:t xml:space="preserve">four </w:t>
      </w:r>
      <w:r w:rsidRPr="003A235D">
        <w:t xml:space="preserve">additional criteria, </w:t>
      </w:r>
      <w:r w:rsidR="00F814F5" w:rsidRPr="003A235D">
        <w:t>including</w:t>
      </w:r>
      <w:r w:rsidRPr="003A235D">
        <w:t xml:space="preserve"> </w:t>
      </w:r>
      <w:r w:rsidRPr="003A235D">
        <w:rPr>
          <w:iCs/>
        </w:rPr>
        <w:t xml:space="preserve">NT-proBNP criterion (see paragraph </w:t>
      </w:r>
      <w:r w:rsidRPr="003A235D">
        <w:rPr>
          <w:iCs/>
        </w:rPr>
        <w:fldChar w:fldCharType="begin" w:fldLock="1"/>
      </w:r>
      <w:r w:rsidRPr="003A235D">
        <w:rPr>
          <w:iCs/>
        </w:rPr>
        <w:instrText xml:space="preserve"> REF _Ref120800479 \r \h </w:instrText>
      </w:r>
      <w:r w:rsidRPr="003A235D">
        <w:rPr>
          <w:iCs/>
        </w:rPr>
      </w:r>
      <w:r w:rsidRPr="003A235D">
        <w:rPr>
          <w:iCs/>
        </w:rPr>
        <w:fldChar w:fldCharType="separate"/>
      </w:r>
      <w:r w:rsidR="004646F5" w:rsidRPr="003A235D">
        <w:rPr>
          <w:iCs/>
        </w:rPr>
        <w:t>3.7</w:t>
      </w:r>
      <w:r w:rsidRPr="003A235D">
        <w:rPr>
          <w:iCs/>
        </w:rPr>
        <w:fldChar w:fldCharType="end"/>
      </w:r>
      <w:r w:rsidRPr="003A235D">
        <w:rPr>
          <w:iCs/>
        </w:rPr>
        <w:t>)</w:t>
      </w:r>
      <w:r w:rsidRPr="003A235D">
        <w:t>.</w:t>
      </w:r>
    </w:p>
    <w:p w14:paraId="54BD7C1B" w14:textId="6E946460" w:rsidR="00FC3DE7" w:rsidRPr="003A235D" w:rsidRDefault="00FC3DE7" w:rsidP="00FC3DE7">
      <w:pPr>
        <w:pStyle w:val="ExecSumBodyText"/>
        <w:numPr>
          <w:ilvl w:val="1"/>
          <w:numId w:val="1"/>
        </w:numPr>
      </w:pPr>
      <w:r w:rsidRPr="003A235D">
        <w:t xml:space="preserve">The PBAC also agreed with the ESC that it was appropriate not to require concomitant use with optimal standard chronic heart failure treatment including a beta-blocker and an ACEi/ARB/ARNi (which currently applies in the restriction for patients with LVEF ≤40%), given there is a lack of evidence for specific disease-modifying therapies for heart failure patients with preserved ejection fraction </w:t>
      </w:r>
      <w:r w:rsidRPr="003A235D">
        <w:rPr>
          <w:iCs/>
        </w:rPr>
        <w:t xml:space="preserve">(see paragraph </w:t>
      </w:r>
      <w:r w:rsidRPr="003A235D">
        <w:rPr>
          <w:iCs/>
        </w:rPr>
        <w:fldChar w:fldCharType="begin" w:fldLock="1"/>
      </w:r>
      <w:r w:rsidRPr="003A235D">
        <w:rPr>
          <w:iCs/>
        </w:rPr>
        <w:instrText xml:space="preserve"> REF _Ref120808655 \r \h </w:instrText>
      </w:r>
      <w:r w:rsidRPr="003A235D">
        <w:rPr>
          <w:iCs/>
        </w:rPr>
      </w:r>
      <w:r w:rsidRPr="003A235D">
        <w:rPr>
          <w:iCs/>
        </w:rPr>
        <w:fldChar w:fldCharType="separate"/>
      </w:r>
      <w:r w:rsidR="004646F5" w:rsidRPr="003A235D">
        <w:rPr>
          <w:iCs/>
        </w:rPr>
        <w:t>3.5</w:t>
      </w:r>
      <w:r w:rsidRPr="003A235D">
        <w:rPr>
          <w:iCs/>
        </w:rPr>
        <w:fldChar w:fldCharType="end"/>
      </w:r>
      <w:r w:rsidRPr="003A235D">
        <w:rPr>
          <w:iCs/>
        </w:rPr>
        <w:t>)</w:t>
      </w:r>
      <w:r w:rsidRPr="003A235D">
        <w:t xml:space="preserve">. </w:t>
      </w:r>
    </w:p>
    <w:p w14:paraId="3F117E2C" w14:textId="5B865EC8" w:rsidR="00544556" w:rsidRPr="003A235D" w:rsidRDefault="00544556" w:rsidP="00544556">
      <w:pPr>
        <w:widowControl w:val="0"/>
        <w:numPr>
          <w:ilvl w:val="1"/>
          <w:numId w:val="1"/>
        </w:numPr>
        <w:spacing w:after="120"/>
        <w:ind w:left="720" w:hanging="720"/>
        <w:rPr>
          <w:rFonts w:asciiTheme="minorHAnsi" w:hAnsiTheme="minorHAnsi"/>
          <w:bCs/>
          <w:i/>
          <w:snapToGrid w:val="0"/>
        </w:rPr>
      </w:pPr>
      <w:r w:rsidRPr="003A235D">
        <w:rPr>
          <w:rFonts w:asciiTheme="minorHAnsi" w:hAnsiTheme="minorHAnsi"/>
          <w:bCs/>
          <w:snapToGrid w:val="0"/>
        </w:rPr>
        <w:t>The PBAC noted that this submission is eligible for an Independent Review.</w:t>
      </w:r>
      <w:r w:rsidRPr="003A235D" w:rsidDel="005E3289">
        <w:rPr>
          <w:rFonts w:asciiTheme="minorHAnsi" w:hAnsiTheme="minorHAnsi"/>
          <w:bCs/>
          <w:snapToGrid w:val="0"/>
        </w:rPr>
        <w:t xml:space="preserve"> </w:t>
      </w:r>
    </w:p>
    <w:p w14:paraId="18C7D390" w14:textId="77777777" w:rsidR="00D05825" w:rsidRPr="003A235D" w:rsidRDefault="00D05825" w:rsidP="00D05825">
      <w:pPr>
        <w:spacing w:before="240"/>
        <w:rPr>
          <w:rFonts w:asciiTheme="minorHAnsi" w:hAnsiTheme="minorHAnsi"/>
          <w:b/>
          <w:bCs/>
          <w:snapToGrid w:val="0"/>
        </w:rPr>
      </w:pPr>
      <w:r w:rsidRPr="003A235D">
        <w:rPr>
          <w:rFonts w:asciiTheme="minorHAnsi" w:hAnsiTheme="minorHAnsi"/>
          <w:b/>
          <w:bCs/>
          <w:snapToGrid w:val="0"/>
        </w:rPr>
        <w:t>Outcome:</w:t>
      </w:r>
    </w:p>
    <w:p w14:paraId="3B7B48BC" w14:textId="4F47A436" w:rsidR="00D05825" w:rsidRDefault="00D05825" w:rsidP="000145B9">
      <w:pPr>
        <w:rPr>
          <w:rFonts w:asciiTheme="minorHAnsi" w:hAnsiTheme="minorHAnsi"/>
          <w:bCs/>
          <w:snapToGrid w:val="0"/>
        </w:rPr>
      </w:pPr>
      <w:r w:rsidRPr="003A235D">
        <w:rPr>
          <w:rFonts w:asciiTheme="minorHAnsi" w:hAnsiTheme="minorHAnsi"/>
          <w:bCs/>
          <w:snapToGrid w:val="0"/>
        </w:rPr>
        <w:t xml:space="preserve">Not recommended </w:t>
      </w:r>
      <w:bookmarkEnd w:id="86"/>
    </w:p>
    <w:p w14:paraId="0A7380AA" w14:textId="2F093BC1" w:rsidR="00A21E85" w:rsidRDefault="00A21E85" w:rsidP="000145B9">
      <w:pPr>
        <w:rPr>
          <w:rFonts w:asciiTheme="minorHAnsi" w:hAnsiTheme="minorHAnsi"/>
          <w:bCs/>
          <w:snapToGrid w:val="0"/>
        </w:rPr>
      </w:pPr>
    </w:p>
    <w:p w14:paraId="6EA41ABE" w14:textId="3A93607F" w:rsidR="00A21E85" w:rsidRPr="00A21E85" w:rsidRDefault="00A21E85" w:rsidP="00A21E85">
      <w:pPr>
        <w:pStyle w:val="COMH1numbered"/>
      </w:pPr>
      <w:r w:rsidRPr="00A21E85">
        <w:t>Context for Decision</w:t>
      </w:r>
    </w:p>
    <w:p w14:paraId="46FD332D" w14:textId="77777777" w:rsidR="0060102C" w:rsidRDefault="00A21E85" w:rsidP="00A21E85">
      <w:pPr>
        <w:spacing w:after="120"/>
        <w:ind w:left="720"/>
        <w:rPr>
          <w:rFonts w:asciiTheme="minorHAnsi" w:hAnsiTheme="minorHAnsi"/>
          <w:bCs/>
          <w:lang w:val="en-GB"/>
        </w:rPr>
      </w:pPr>
      <w:r w:rsidRPr="007129F2">
        <w:rPr>
          <w:rFonts w:asciiTheme="minorHAnsi" w:hAnsiTheme="minorHAnsi"/>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w:t>
      </w:r>
    </w:p>
    <w:p w14:paraId="28A2E9BB" w14:textId="208C71F9" w:rsidR="00A21E85" w:rsidRPr="007129F2" w:rsidRDefault="00A21E85" w:rsidP="00A21E85">
      <w:pPr>
        <w:spacing w:after="120"/>
        <w:ind w:left="720"/>
        <w:rPr>
          <w:rFonts w:asciiTheme="minorHAnsi" w:hAnsiTheme="minorHAnsi"/>
          <w:bCs/>
          <w:lang w:val="en-GB"/>
        </w:rPr>
      </w:pPr>
      <w:r w:rsidRPr="007129F2">
        <w:rPr>
          <w:rFonts w:asciiTheme="minorHAnsi" w:hAnsiTheme="minorHAnsi"/>
          <w:bCs/>
          <w:lang w:val="en-GB"/>
        </w:rPr>
        <w:t>through the PBS. The PBAC welcomes applications containing new information at any time.</w:t>
      </w:r>
    </w:p>
    <w:p w14:paraId="0CED6468" w14:textId="46A986FB" w:rsidR="00A21E85" w:rsidRPr="00A21E85" w:rsidRDefault="00A21E85" w:rsidP="00A21E85">
      <w:pPr>
        <w:pStyle w:val="COMH1numbered"/>
      </w:pPr>
      <w:r>
        <w:lastRenderedPageBreak/>
        <w:t>Sponsor’s Comment</w:t>
      </w:r>
    </w:p>
    <w:p w14:paraId="2E3F4992" w14:textId="77777777" w:rsidR="00A21E85" w:rsidRPr="001179AC" w:rsidRDefault="00A21E85" w:rsidP="00A21E85">
      <w:pPr>
        <w:spacing w:after="120"/>
        <w:ind w:left="426" w:firstLine="294"/>
        <w:rPr>
          <w:rFonts w:asciiTheme="minorHAnsi" w:hAnsiTheme="minorHAnsi"/>
          <w:bCs/>
        </w:rPr>
      </w:pPr>
      <w:r w:rsidRPr="00C07617">
        <w:rPr>
          <w:rFonts w:asciiTheme="minorHAnsi" w:hAnsiTheme="minorHAnsi"/>
          <w:bCs/>
        </w:rPr>
        <w:t>The sponsor had no comment.</w:t>
      </w:r>
    </w:p>
    <w:p w14:paraId="1046291E" w14:textId="073FF049" w:rsidR="00A21E85" w:rsidRDefault="00A21E85" w:rsidP="000145B9">
      <w:pPr>
        <w:rPr>
          <w:rFonts w:asciiTheme="minorHAnsi" w:hAnsiTheme="minorHAnsi"/>
          <w:bCs/>
          <w:snapToGrid w:val="0"/>
        </w:rPr>
      </w:pPr>
    </w:p>
    <w:p w14:paraId="3AF1D39F" w14:textId="6A504FF4" w:rsidR="00F04147" w:rsidRDefault="00F04147" w:rsidP="000145B9">
      <w:pPr>
        <w:rPr>
          <w:rFonts w:asciiTheme="minorHAnsi" w:hAnsiTheme="minorHAnsi"/>
          <w:bCs/>
          <w:snapToGrid w:val="0"/>
        </w:rPr>
      </w:pPr>
    </w:p>
    <w:p w14:paraId="261831A3" w14:textId="09350692" w:rsidR="00F04147" w:rsidRDefault="00F04147" w:rsidP="000145B9">
      <w:pPr>
        <w:rPr>
          <w:rFonts w:asciiTheme="minorHAnsi" w:hAnsiTheme="minorHAnsi"/>
          <w:bCs/>
          <w:snapToGrid w:val="0"/>
        </w:rPr>
      </w:pPr>
    </w:p>
    <w:p w14:paraId="5249C609" w14:textId="733F2D8B" w:rsidR="00F04147" w:rsidRDefault="00F04147" w:rsidP="000145B9">
      <w:pPr>
        <w:rPr>
          <w:rFonts w:asciiTheme="minorHAnsi" w:hAnsiTheme="minorHAnsi"/>
          <w:bCs/>
          <w:snapToGrid w:val="0"/>
        </w:rPr>
      </w:pPr>
    </w:p>
    <w:p w14:paraId="59C32B60" w14:textId="2F63E1B6" w:rsidR="00F04147" w:rsidRDefault="00F04147" w:rsidP="000145B9">
      <w:pPr>
        <w:rPr>
          <w:rFonts w:asciiTheme="minorHAnsi" w:hAnsiTheme="minorHAnsi"/>
          <w:bCs/>
          <w:snapToGrid w:val="0"/>
        </w:rPr>
      </w:pPr>
    </w:p>
    <w:p w14:paraId="25D6C2CF" w14:textId="3AFC41D0" w:rsidR="00F04147" w:rsidRDefault="00F04147" w:rsidP="000145B9">
      <w:pPr>
        <w:rPr>
          <w:rFonts w:asciiTheme="minorHAnsi" w:hAnsiTheme="minorHAnsi"/>
          <w:bCs/>
          <w:snapToGrid w:val="0"/>
        </w:rPr>
      </w:pPr>
    </w:p>
    <w:p w14:paraId="7A758E64" w14:textId="0AE49DA0" w:rsidR="00F04147" w:rsidRDefault="00F04147" w:rsidP="000145B9">
      <w:pPr>
        <w:rPr>
          <w:rFonts w:asciiTheme="minorHAnsi" w:hAnsiTheme="minorHAnsi"/>
          <w:bCs/>
          <w:snapToGrid w:val="0"/>
        </w:rPr>
      </w:pPr>
    </w:p>
    <w:p w14:paraId="5FAA1958" w14:textId="3EC61914" w:rsidR="00F04147" w:rsidRPr="001E1ED1" w:rsidRDefault="00F04147" w:rsidP="00F04147">
      <w:pPr>
        <w:pStyle w:val="1MainTitle"/>
        <w:pageBreakBefore/>
        <w:ind w:left="1134" w:hanging="1134"/>
        <w:jc w:val="left"/>
        <w:rPr>
          <w:rFonts w:eastAsia="Calibri"/>
          <w:color w:val="FF0000"/>
          <w:sz w:val="28"/>
          <w:szCs w:val="28"/>
        </w:rPr>
      </w:pPr>
      <w:r w:rsidRPr="004A2200">
        <w:rPr>
          <w:rFonts w:eastAsia="Calibri"/>
          <w:color w:val="FF0000"/>
          <w:sz w:val="28"/>
          <w:szCs w:val="28"/>
        </w:rPr>
        <w:lastRenderedPageBreak/>
        <w:t xml:space="preserve">Addendum to the November 2022 PBAC </w:t>
      </w:r>
      <w:r w:rsidR="00E06E7B">
        <w:rPr>
          <w:rFonts w:eastAsia="Calibri"/>
          <w:color w:val="FF0000"/>
          <w:sz w:val="28"/>
          <w:szCs w:val="28"/>
        </w:rPr>
        <w:t>PSD</w:t>
      </w:r>
      <w:r w:rsidRPr="001E1ED1">
        <w:rPr>
          <w:rFonts w:eastAsia="Calibri"/>
          <w:color w:val="FF0000"/>
          <w:sz w:val="28"/>
          <w:szCs w:val="28"/>
        </w:rPr>
        <w:t>:</w:t>
      </w:r>
    </w:p>
    <w:p w14:paraId="7AAF746E" w14:textId="1CFB1F9A" w:rsidR="00097528" w:rsidRPr="004A2200" w:rsidRDefault="00596219" w:rsidP="00E72650">
      <w:pPr>
        <w:pStyle w:val="2-SectionHeading"/>
      </w:pPr>
      <w:r>
        <w:t xml:space="preserve">OOS  </w:t>
      </w:r>
      <w:r w:rsidR="00334395" w:rsidRPr="003A235D">
        <w:t>EMPAGLIFLOZIN,</w:t>
      </w:r>
      <w:r w:rsidR="00334395" w:rsidRPr="003A235D">
        <w:br/>
        <w:t>Tablet 10 mg,</w:t>
      </w:r>
      <w:r w:rsidR="00334395" w:rsidRPr="003A235D">
        <w:br/>
        <w:t>Jardiance</w:t>
      </w:r>
      <w:r w:rsidR="00334395" w:rsidRPr="003A235D">
        <w:rPr>
          <w:vertAlign w:val="superscript"/>
        </w:rPr>
        <w:t>®</w:t>
      </w:r>
      <w:r w:rsidR="00334395" w:rsidRPr="003A235D">
        <w:t>,</w:t>
      </w:r>
      <w:r w:rsidR="00334395" w:rsidRPr="003A235D">
        <w:br/>
        <w:t>Boehringer Ingelheim Pty Ltd.</w:t>
      </w:r>
    </w:p>
    <w:p w14:paraId="562B81E3" w14:textId="77777777" w:rsidR="00F04147" w:rsidRPr="004A2200" w:rsidRDefault="00F04147" w:rsidP="00F04147">
      <w:pPr>
        <w:pStyle w:val="COMH1numbered"/>
      </w:pPr>
      <w:bookmarkStart w:id="91" w:name="_Ref125105896"/>
      <w:r w:rsidRPr="004A2200">
        <w:t>Background</w:t>
      </w:r>
      <w:bookmarkEnd w:id="91"/>
    </w:p>
    <w:p w14:paraId="5E22D095" w14:textId="77777777" w:rsidR="00F04147" w:rsidRPr="004A2200" w:rsidRDefault="00F04147" w:rsidP="00F04147">
      <w:pPr>
        <w:pStyle w:val="ExecSumBodyText"/>
        <w:numPr>
          <w:ilvl w:val="1"/>
          <w:numId w:val="36"/>
        </w:numPr>
        <w:snapToGrid w:val="0"/>
      </w:pPr>
      <w:r w:rsidRPr="004A2200">
        <w:t xml:space="preserve">At the November 2022 meeting, the PBAC did not recommend empagliflozin for the treatment of chronic heart failure in patients with a left ventricular ejection fraction (LVEF) greater than 40%. The PBAC considered that the outstanding issues could be addressed in a simple resubmission using the early re-entry pathway if the matters outlined in Table 1 were addressed. </w:t>
      </w:r>
    </w:p>
    <w:p w14:paraId="78A8CC47" w14:textId="77777777" w:rsidR="00F04147" w:rsidRPr="004A2200" w:rsidRDefault="00F04147" w:rsidP="00F04147">
      <w:pPr>
        <w:pStyle w:val="ExecSumBodyText"/>
        <w:numPr>
          <w:ilvl w:val="1"/>
          <w:numId w:val="36"/>
        </w:numPr>
        <w:snapToGrid w:val="0"/>
      </w:pPr>
      <w:r w:rsidRPr="004A2200">
        <w:t>Following the November 2022 meeting, the sponsor submitted a letter for PBAC consideration on 16 December 2022. A summary of the issues addressed in that letter is also outlined in Table 1.</w:t>
      </w:r>
    </w:p>
    <w:p w14:paraId="7EB1AC10" w14:textId="77777777" w:rsidR="00F04147" w:rsidRPr="004A2200" w:rsidRDefault="00F04147" w:rsidP="00F04147">
      <w:pPr>
        <w:keepNext/>
        <w:rPr>
          <w:rFonts w:ascii="Arial Narrow" w:hAnsi="Arial Narrow"/>
          <w:b/>
          <w:bCs/>
          <w:sz w:val="20"/>
          <w:szCs w:val="20"/>
        </w:rPr>
      </w:pPr>
      <w:r w:rsidRPr="004A2200">
        <w:rPr>
          <w:rFonts w:ascii="Arial Narrow" w:eastAsiaTheme="majorEastAsia" w:hAnsi="Arial Narrow" w:cstheme="majorBidi"/>
          <w:b/>
          <w:bCs/>
          <w:sz w:val="20"/>
        </w:rPr>
        <w:t xml:space="preserve">Table 1: Issues to be addressed (November 2022 PBAC </w:t>
      </w:r>
      <w:r>
        <w:rPr>
          <w:rFonts w:ascii="Arial Narrow" w:eastAsiaTheme="majorEastAsia" w:hAnsi="Arial Narrow" w:cstheme="majorBidi"/>
          <w:b/>
          <w:bCs/>
          <w:sz w:val="20"/>
        </w:rPr>
        <w:t>PSD</w:t>
      </w:r>
      <w:r w:rsidRPr="004A2200">
        <w:rPr>
          <w:rFonts w:ascii="Arial Narrow" w:eastAsiaTheme="majorEastAsia" w:hAnsi="Arial Narrow" w:cstheme="majorBidi"/>
          <w:b/>
          <w:bCs/>
          <w:sz w:val="20"/>
        </w:rPr>
        <w:t>)</w:t>
      </w:r>
    </w:p>
    <w:tbl>
      <w:tblPr>
        <w:tblStyle w:val="TableGrid"/>
        <w:tblW w:w="0" w:type="auto"/>
        <w:tblLook w:val="04A0" w:firstRow="1" w:lastRow="0" w:firstColumn="1" w:lastColumn="0" w:noHBand="0" w:noVBand="1"/>
      </w:tblPr>
      <w:tblGrid>
        <w:gridCol w:w="308"/>
        <w:gridCol w:w="4082"/>
        <w:gridCol w:w="4626"/>
      </w:tblGrid>
      <w:tr w:rsidR="00F04147" w:rsidRPr="004A2200" w14:paraId="61D02768" w14:textId="77777777" w:rsidTr="00214401">
        <w:trPr>
          <w:trHeight w:val="20"/>
        </w:trPr>
        <w:tc>
          <w:tcPr>
            <w:tcW w:w="4390" w:type="dxa"/>
            <w:gridSpan w:val="2"/>
          </w:tcPr>
          <w:p w14:paraId="0122CDCA" w14:textId="77777777" w:rsidR="00F04147" w:rsidRPr="004A2200" w:rsidRDefault="00F04147" w:rsidP="00214401">
            <w:pPr>
              <w:pStyle w:val="COMtablefigcaption"/>
            </w:pPr>
            <w:r w:rsidRPr="004A2200">
              <w:t>Matter of Concern</w:t>
            </w:r>
          </w:p>
        </w:tc>
        <w:tc>
          <w:tcPr>
            <w:tcW w:w="4626" w:type="dxa"/>
          </w:tcPr>
          <w:p w14:paraId="2F3D681F" w14:textId="77777777" w:rsidR="00F04147" w:rsidRPr="004A2200" w:rsidRDefault="00F04147" w:rsidP="00214401">
            <w:pPr>
              <w:pStyle w:val="COMtablefigcaption"/>
            </w:pPr>
            <w:r w:rsidRPr="004A2200">
              <w:t>Letter from sponsor (16 December 2022)</w:t>
            </w:r>
          </w:p>
        </w:tc>
      </w:tr>
      <w:tr w:rsidR="00F04147" w:rsidRPr="004A2200" w14:paraId="40A0D6B9" w14:textId="77777777" w:rsidTr="00214401">
        <w:trPr>
          <w:trHeight w:val="20"/>
        </w:trPr>
        <w:tc>
          <w:tcPr>
            <w:tcW w:w="0" w:type="auto"/>
            <w:gridSpan w:val="3"/>
          </w:tcPr>
          <w:p w14:paraId="0984A454" w14:textId="77777777" w:rsidR="00F04147" w:rsidRPr="004A2200" w:rsidRDefault="00F04147" w:rsidP="00214401">
            <w:pPr>
              <w:pStyle w:val="COMtablefigcaption"/>
            </w:pPr>
            <w:r w:rsidRPr="004A2200">
              <w:t>Matters Raised by PBAC (</w:t>
            </w:r>
            <w:r>
              <w:t>PSD</w:t>
            </w:r>
            <w:r w:rsidRPr="004A2200">
              <w:t>, para 7.12)</w:t>
            </w:r>
          </w:p>
        </w:tc>
      </w:tr>
      <w:tr w:rsidR="00F04147" w:rsidRPr="004A2200" w14:paraId="4A004711" w14:textId="77777777" w:rsidTr="00214401">
        <w:trPr>
          <w:trHeight w:val="20"/>
        </w:trPr>
        <w:tc>
          <w:tcPr>
            <w:tcW w:w="0" w:type="auto"/>
          </w:tcPr>
          <w:p w14:paraId="755A577D" w14:textId="77777777" w:rsidR="00F04147" w:rsidRPr="004A2200" w:rsidRDefault="00F04147" w:rsidP="00214401">
            <w:pPr>
              <w:pStyle w:val="COMTabletext"/>
            </w:pPr>
            <w:r w:rsidRPr="004A2200">
              <w:t>1</w:t>
            </w:r>
          </w:p>
        </w:tc>
        <w:tc>
          <w:tcPr>
            <w:tcW w:w="4082" w:type="dxa"/>
          </w:tcPr>
          <w:p w14:paraId="25DB3FE9" w14:textId="433B04DE" w:rsidR="00F04147" w:rsidRPr="004A2200" w:rsidRDefault="00F04147" w:rsidP="00214401">
            <w:pPr>
              <w:pStyle w:val="COMTabletext"/>
            </w:pPr>
            <w:r w:rsidRPr="004A2200">
              <w:t xml:space="preserve">Use of the current submission economic model with a price reduction to achieve an ICER of less than </w:t>
            </w:r>
            <w:r w:rsidRPr="00334395">
              <w:t>$</w:t>
            </w:r>
            <w:r w:rsidR="00683B96" w:rsidRPr="00642F27">
              <w:rPr>
                <w:color w:val="000000"/>
                <w:spacing w:val="48"/>
                <w:shd w:val="solid" w:color="000000" w:fill="000000"/>
                <w:fitText w:val="500" w:id="-1279594240"/>
                <w14:textFill>
                  <w14:solidFill>
                    <w14:srgbClr w14:val="000000">
                      <w14:alpha w14:val="100000"/>
                    </w14:srgbClr>
                  </w14:solidFill>
                </w14:textFill>
              </w:rPr>
              <w:t>|||||</w:t>
            </w:r>
            <w:r w:rsidR="00683B96" w:rsidRPr="00642F27">
              <w:rPr>
                <w:color w:val="000000"/>
                <w:spacing w:val="5"/>
                <w:shd w:val="solid" w:color="000000" w:fill="000000"/>
                <w:fitText w:val="500" w:id="-1279594240"/>
                <w14:textFill>
                  <w14:solidFill>
                    <w14:srgbClr w14:val="000000">
                      <w14:alpha w14:val="100000"/>
                    </w14:srgbClr>
                  </w14:solidFill>
                </w14:textFill>
              </w:rPr>
              <w:t>|</w:t>
            </w:r>
            <w:r w:rsidR="00334395">
              <w:rPr>
                <w:vertAlign w:val="superscript"/>
              </w:rPr>
              <w:t>1</w:t>
            </w:r>
            <w:r w:rsidRPr="004A2200">
              <w:t xml:space="preserve"> per QALY gained.  </w:t>
            </w:r>
          </w:p>
          <w:p w14:paraId="672F9DE4" w14:textId="77777777" w:rsidR="00F04147" w:rsidRPr="004A2200" w:rsidRDefault="00F04147" w:rsidP="00214401">
            <w:pPr>
              <w:pStyle w:val="COMTabletext"/>
            </w:pPr>
          </w:p>
          <w:p w14:paraId="28C92246" w14:textId="38AFDC51" w:rsidR="00F04147" w:rsidRPr="004A2200" w:rsidRDefault="00F04147" w:rsidP="00214401">
            <w:pPr>
              <w:pStyle w:val="COMTabletext"/>
            </w:pPr>
            <w:r w:rsidRPr="004A2200">
              <w:t>An ICER of $</w:t>
            </w:r>
            <w:r w:rsidR="00683B96" w:rsidRPr="00642F27">
              <w:rPr>
                <w:color w:val="000000"/>
                <w:spacing w:val="48"/>
                <w:shd w:val="solid" w:color="000000" w:fill="000000"/>
                <w:fitText w:val="500" w:id="-1279594239"/>
                <w14:textFill>
                  <w14:solidFill>
                    <w14:srgbClr w14:val="000000">
                      <w14:alpha w14:val="100000"/>
                    </w14:srgbClr>
                  </w14:solidFill>
                </w14:textFill>
              </w:rPr>
              <w:t>|||||</w:t>
            </w:r>
            <w:r w:rsidR="00683B96" w:rsidRPr="00642F27">
              <w:rPr>
                <w:color w:val="000000"/>
                <w:spacing w:val="5"/>
                <w:shd w:val="solid" w:color="000000" w:fill="000000"/>
                <w:fitText w:val="500" w:id="-1279594239"/>
                <w14:textFill>
                  <w14:solidFill>
                    <w14:srgbClr w14:val="000000">
                      <w14:alpha w14:val="100000"/>
                    </w14:srgbClr>
                  </w14:solidFill>
                </w14:textFill>
              </w:rPr>
              <w:t>|</w:t>
            </w:r>
            <w:r w:rsidR="00334395" w:rsidRPr="00E72650">
              <w:rPr>
                <w:vertAlign w:val="superscript"/>
              </w:rPr>
              <w:t>1</w:t>
            </w:r>
            <w:r w:rsidRPr="00334395">
              <w:t>/</w:t>
            </w:r>
            <w:r w:rsidRPr="004A2200">
              <w:t>QALY gained corresponds to AEMP = $</w:t>
            </w:r>
            <w:r w:rsidR="00683B96" w:rsidRPr="00642F27">
              <w:rPr>
                <w:color w:val="000000"/>
                <w:spacing w:val="48"/>
                <w:shd w:val="solid" w:color="000000" w:fill="000000"/>
                <w:fitText w:val="500" w:id="-1279594238"/>
                <w14:textFill>
                  <w14:solidFill>
                    <w14:srgbClr w14:val="000000">
                      <w14:alpha w14:val="100000"/>
                    </w14:srgbClr>
                  </w14:solidFill>
                </w14:textFill>
              </w:rPr>
              <w:t>|||||</w:t>
            </w:r>
            <w:r w:rsidR="00683B96" w:rsidRPr="00642F27">
              <w:rPr>
                <w:color w:val="000000"/>
                <w:spacing w:val="5"/>
                <w:shd w:val="solid" w:color="000000" w:fill="000000"/>
                <w:fitText w:val="500" w:id="-1279594238"/>
                <w14:textFill>
                  <w14:solidFill>
                    <w14:srgbClr w14:val="000000">
                      <w14:alpha w14:val="100000"/>
                    </w14:srgbClr>
                  </w14:solidFill>
                </w14:textFill>
              </w:rPr>
              <w:t>|</w:t>
            </w:r>
            <w:r w:rsidRPr="004A2200">
              <w:t xml:space="preserve"> for empagliflozin, reflecting </w:t>
            </w:r>
            <w:r w:rsidR="00683B96" w:rsidRPr="00642F27">
              <w:rPr>
                <w:color w:val="000000"/>
                <w:spacing w:val="48"/>
                <w:shd w:val="solid" w:color="000000" w:fill="000000"/>
                <w:fitText w:val="500" w:id="-1279594237"/>
                <w14:textFill>
                  <w14:solidFill>
                    <w14:srgbClr w14:val="000000">
                      <w14:alpha w14:val="100000"/>
                    </w14:srgbClr>
                  </w14:solidFill>
                </w14:textFill>
              </w:rPr>
              <w:t>|||||</w:t>
            </w:r>
            <w:r w:rsidR="00683B96" w:rsidRPr="00642F27">
              <w:rPr>
                <w:color w:val="000000"/>
                <w:spacing w:val="5"/>
                <w:shd w:val="solid" w:color="000000" w:fill="000000"/>
                <w:fitText w:val="500" w:id="-1279594237"/>
                <w14:textFill>
                  <w14:solidFill>
                    <w14:srgbClr w14:val="000000">
                      <w14:alpha w14:val="100000"/>
                    </w14:srgbClr>
                  </w14:solidFill>
                </w14:textFill>
              </w:rPr>
              <w:t>|</w:t>
            </w:r>
            <w:r w:rsidRPr="004A2200">
              <w:t xml:space="preserve">% reduction from submission price (AEMP=$44.66).  </w:t>
            </w:r>
          </w:p>
        </w:tc>
        <w:tc>
          <w:tcPr>
            <w:tcW w:w="4626" w:type="dxa"/>
          </w:tcPr>
          <w:p w14:paraId="4734A73A" w14:textId="52AA7A77" w:rsidR="00F04147" w:rsidRPr="004A2200" w:rsidRDefault="00F04147" w:rsidP="00214401">
            <w:pPr>
              <w:pStyle w:val="COMTabletext"/>
            </w:pPr>
            <w:r w:rsidRPr="004A2200">
              <w:t>The sponsor proposed a reduced price for empagliflozin, AEMP= $</w:t>
            </w:r>
            <w:r w:rsidR="00683B96" w:rsidRPr="00642F27">
              <w:rPr>
                <w:color w:val="000000"/>
                <w:spacing w:val="48"/>
                <w:shd w:val="solid" w:color="000000" w:fill="000000"/>
                <w:fitText w:val="500" w:id="-1279594236"/>
                <w14:textFill>
                  <w14:solidFill>
                    <w14:srgbClr w14:val="000000">
                      <w14:alpha w14:val="100000"/>
                    </w14:srgbClr>
                  </w14:solidFill>
                </w14:textFill>
              </w:rPr>
              <w:t>|||||</w:t>
            </w:r>
            <w:r w:rsidR="00683B96" w:rsidRPr="00642F27">
              <w:rPr>
                <w:color w:val="000000"/>
                <w:spacing w:val="5"/>
                <w:shd w:val="solid" w:color="000000" w:fill="000000"/>
                <w:fitText w:val="500" w:id="-1279594236"/>
                <w14:textFill>
                  <w14:solidFill>
                    <w14:srgbClr w14:val="000000">
                      <w14:alpha w14:val="100000"/>
                    </w14:srgbClr>
                  </w14:solidFill>
                </w14:textFill>
              </w:rPr>
              <w:t>|</w:t>
            </w:r>
            <w:r w:rsidRPr="004A2200">
              <w:t xml:space="preserve">, reflecting a </w:t>
            </w:r>
            <w:r w:rsidR="00683B96" w:rsidRPr="00642F27">
              <w:rPr>
                <w:color w:val="000000"/>
                <w:spacing w:val="48"/>
                <w:shd w:val="solid" w:color="000000" w:fill="000000"/>
                <w:fitText w:val="500" w:id="-1279594235"/>
                <w14:textFill>
                  <w14:solidFill>
                    <w14:srgbClr w14:val="000000">
                      <w14:alpha w14:val="100000"/>
                    </w14:srgbClr>
                  </w14:solidFill>
                </w14:textFill>
              </w:rPr>
              <w:t>|||||</w:t>
            </w:r>
            <w:r w:rsidR="00683B96" w:rsidRPr="00642F27">
              <w:rPr>
                <w:color w:val="000000"/>
                <w:spacing w:val="5"/>
                <w:shd w:val="solid" w:color="000000" w:fill="000000"/>
                <w:fitText w:val="500" w:id="-1279594235"/>
                <w14:textFill>
                  <w14:solidFill>
                    <w14:srgbClr w14:val="000000">
                      <w14:alpha w14:val="100000"/>
                    </w14:srgbClr>
                  </w14:solidFill>
                </w14:textFill>
              </w:rPr>
              <w:t>|</w:t>
            </w:r>
            <w:r w:rsidRPr="004A2200">
              <w:t>% reduction. The corresponding ICER is $</w:t>
            </w:r>
            <w:r w:rsidR="00683B96" w:rsidRPr="00642F27">
              <w:rPr>
                <w:color w:val="000000"/>
                <w:spacing w:val="48"/>
                <w:shd w:val="solid" w:color="000000" w:fill="000000"/>
                <w:fitText w:val="500" w:id="-1279594234"/>
                <w14:textFill>
                  <w14:solidFill>
                    <w14:srgbClr w14:val="000000">
                      <w14:alpha w14:val="100000"/>
                    </w14:srgbClr>
                  </w14:solidFill>
                </w14:textFill>
              </w:rPr>
              <w:t>|||||</w:t>
            </w:r>
            <w:r w:rsidR="00683B96" w:rsidRPr="00642F27">
              <w:rPr>
                <w:color w:val="000000"/>
                <w:spacing w:val="5"/>
                <w:shd w:val="solid" w:color="000000" w:fill="000000"/>
                <w:fitText w:val="500" w:id="-1279594234"/>
                <w14:textFill>
                  <w14:solidFill>
                    <w14:srgbClr w14:val="000000">
                      <w14:alpha w14:val="100000"/>
                    </w14:srgbClr>
                  </w14:solidFill>
                </w14:textFill>
              </w:rPr>
              <w:t>|</w:t>
            </w:r>
            <w:r w:rsidR="00334395">
              <w:rPr>
                <w:vertAlign w:val="superscript"/>
              </w:rPr>
              <w:t>1</w:t>
            </w:r>
            <w:r w:rsidRPr="004A2200">
              <w:t xml:space="preserve">/QALY. </w:t>
            </w:r>
          </w:p>
        </w:tc>
      </w:tr>
      <w:tr w:rsidR="00F04147" w:rsidRPr="004A2200" w14:paraId="17B1B86D" w14:textId="77777777" w:rsidTr="00214401">
        <w:trPr>
          <w:trHeight w:val="20"/>
        </w:trPr>
        <w:tc>
          <w:tcPr>
            <w:tcW w:w="0" w:type="auto"/>
          </w:tcPr>
          <w:p w14:paraId="07B33FB4" w14:textId="77777777" w:rsidR="00F04147" w:rsidRPr="004A2200" w:rsidRDefault="00F04147" w:rsidP="00214401">
            <w:pPr>
              <w:pStyle w:val="COMTabletext"/>
            </w:pPr>
            <w:r w:rsidRPr="004A2200">
              <w:t>2</w:t>
            </w:r>
          </w:p>
        </w:tc>
        <w:tc>
          <w:tcPr>
            <w:tcW w:w="4082" w:type="dxa"/>
          </w:tcPr>
          <w:p w14:paraId="029F9EC8" w14:textId="77777777" w:rsidR="00F04147" w:rsidRPr="004A2200" w:rsidRDefault="00F04147" w:rsidP="00214401">
            <w:pPr>
              <w:pStyle w:val="COMTabletext"/>
            </w:pPr>
            <w:r w:rsidRPr="004A2200">
              <w:t xml:space="preserve">Revised financial estimates using the inputs from the pre-PBAC response and recalculation of the financial implications using the revised empagliflozin price. </w:t>
            </w:r>
          </w:p>
        </w:tc>
        <w:tc>
          <w:tcPr>
            <w:tcW w:w="4626" w:type="dxa"/>
          </w:tcPr>
          <w:p w14:paraId="409B0F96" w14:textId="77777777" w:rsidR="00F04147" w:rsidRPr="004A2200" w:rsidRDefault="00F04147" w:rsidP="00214401">
            <w:pPr>
              <w:pStyle w:val="COMTabletext"/>
            </w:pPr>
            <w:r w:rsidRPr="004A2200">
              <w:t>The sponsor provided revised estimates, see Table 2.</w:t>
            </w:r>
          </w:p>
        </w:tc>
      </w:tr>
      <w:tr w:rsidR="00F04147" w:rsidRPr="004A2200" w14:paraId="5A4801E9" w14:textId="77777777" w:rsidTr="00214401">
        <w:trPr>
          <w:trHeight w:val="20"/>
        </w:trPr>
        <w:tc>
          <w:tcPr>
            <w:tcW w:w="0" w:type="auto"/>
          </w:tcPr>
          <w:p w14:paraId="17FCEA4B" w14:textId="77777777" w:rsidR="00F04147" w:rsidRPr="004A2200" w:rsidRDefault="00F04147" w:rsidP="00214401">
            <w:pPr>
              <w:pStyle w:val="COMTabletext"/>
            </w:pPr>
            <w:r w:rsidRPr="004A2200">
              <w:t>3</w:t>
            </w:r>
          </w:p>
        </w:tc>
        <w:tc>
          <w:tcPr>
            <w:tcW w:w="4082" w:type="dxa"/>
          </w:tcPr>
          <w:p w14:paraId="5CB4F7AA" w14:textId="77777777" w:rsidR="00F04147" w:rsidRPr="004A2200" w:rsidRDefault="00F04147" w:rsidP="00214401">
            <w:pPr>
              <w:pStyle w:val="COMTabletext"/>
            </w:pPr>
            <w:r w:rsidRPr="004A2200">
              <w:t>A risk sharing arrangement with a 100% rebate above the caps, based on the revised financial estimates.</w:t>
            </w:r>
          </w:p>
        </w:tc>
        <w:tc>
          <w:tcPr>
            <w:tcW w:w="4626" w:type="dxa"/>
          </w:tcPr>
          <w:p w14:paraId="258E2C58" w14:textId="67F850AF" w:rsidR="00F04147" w:rsidRPr="004A2200" w:rsidRDefault="00F04147" w:rsidP="00214401">
            <w:pPr>
              <w:pStyle w:val="COMTabletext"/>
            </w:pPr>
            <w:r w:rsidRPr="004A2200">
              <w:t xml:space="preserve">The letter stated that the sponsor will accept a risk sharing arrangement with </w:t>
            </w:r>
            <w:r w:rsidR="00683B96" w:rsidRPr="00642F27">
              <w:rPr>
                <w:color w:val="000000"/>
                <w:spacing w:val="48"/>
                <w:shd w:val="solid" w:color="000000" w:fill="000000"/>
                <w:fitText w:val="500" w:id="-1279594233"/>
                <w14:textFill>
                  <w14:solidFill>
                    <w14:srgbClr w14:val="000000">
                      <w14:alpha w14:val="100000"/>
                    </w14:srgbClr>
                  </w14:solidFill>
                </w14:textFill>
              </w:rPr>
              <w:t>|||||</w:t>
            </w:r>
            <w:r w:rsidR="00683B96" w:rsidRPr="00642F27">
              <w:rPr>
                <w:color w:val="000000"/>
                <w:spacing w:val="5"/>
                <w:shd w:val="solid" w:color="000000" w:fill="000000"/>
                <w:fitText w:val="500" w:id="-1279594233"/>
                <w14:textFill>
                  <w14:solidFill>
                    <w14:srgbClr w14:val="000000">
                      <w14:alpha w14:val="100000"/>
                    </w14:srgbClr>
                  </w14:solidFill>
                </w14:textFill>
              </w:rPr>
              <w:t>|</w:t>
            </w:r>
            <w:r w:rsidRPr="004A2200">
              <w:t xml:space="preserve"> rebate above agreed caps.</w:t>
            </w:r>
          </w:p>
        </w:tc>
      </w:tr>
      <w:tr w:rsidR="00F04147" w:rsidRPr="004A2200" w14:paraId="5ECE6D16" w14:textId="77777777" w:rsidTr="00214401">
        <w:trPr>
          <w:trHeight w:val="20"/>
        </w:trPr>
        <w:tc>
          <w:tcPr>
            <w:tcW w:w="0" w:type="auto"/>
            <w:gridSpan w:val="3"/>
          </w:tcPr>
          <w:p w14:paraId="177E2E99" w14:textId="77777777" w:rsidR="00F04147" w:rsidRPr="004A2200" w:rsidRDefault="00F04147" w:rsidP="00214401">
            <w:pPr>
              <w:pStyle w:val="COMTabletext"/>
              <w:rPr>
                <w:b/>
                <w:bCs w:val="0"/>
              </w:rPr>
            </w:pPr>
            <w:r w:rsidRPr="004A2200">
              <w:rPr>
                <w:b/>
                <w:bCs w:val="0"/>
              </w:rPr>
              <w:t xml:space="preserve">Additional matters raised by Sponsor </w:t>
            </w:r>
          </w:p>
        </w:tc>
      </w:tr>
      <w:tr w:rsidR="00F04147" w:rsidRPr="004A2200" w14:paraId="79E7C16D" w14:textId="77777777" w:rsidTr="00214401">
        <w:trPr>
          <w:trHeight w:val="20"/>
        </w:trPr>
        <w:tc>
          <w:tcPr>
            <w:tcW w:w="0" w:type="auto"/>
          </w:tcPr>
          <w:p w14:paraId="303BC61A" w14:textId="77777777" w:rsidR="00F04147" w:rsidRPr="004A2200" w:rsidRDefault="00F04147" w:rsidP="00214401">
            <w:pPr>
              <w:pStyle w:val="COMTabletext"/>
            </w:pPr>
            <w:r w:rsidRPr="004A2200">
              <w:t>4</w:t>
            </w:r>
          </w:p>
        </w:tc>
        <w:tc>
          <w:tcPr>
            <w:tcW w:w="4082" w:type="dxa"/>
          </w:tcPr>
          <w:p w14:paraId="002B9683" w14:textId="77777777" w:rsidR="00F04147" w:rsidRPr="004A2200" w:rsidRDefault="00F04147" w:rsidP="00214401">
            <w:pPr>
              <w:pStyle w:val="COMTabletext"/>
            </w:pPr>
            <w:r w:rsidRPr="004A2200">
              <w:t>Restriction wording</w:t>
            </w:r>
          </w:p>
        </w:tc>
        <w:tc>
          <w:tcPr>
            <w:tcW w:w="4626" w:type="dxa"/>
          </w:tcPr>
          <w:p w14:paraId="2339C282" w14:textId="77777777" w:rsidR="00F04147" w:rsidRPr="004A2200" w:rsidRDefault="00F04147" w:rsidP="00214401">
            <w:pPr>
              <w:pStyle w:val="COMTabletext"/>
            </w:pPr>
            <w:r w:rsidRPr="004A2200">
              <w:t>The sponsor requests the PBAC consider revised restriction wording – see below.</w:t>
            </w:r>
          </w:p>
        </w:tc>
      </w:tr>
      <w:tr w:rsidR="00F04147" w:rsidRPr="004A2200" w14:paraId="30673C5A" w14:textId="77777777" w:rsidTr="00214401">
        <w:trPr>
          <w:trHeight w:val="20"/>
        </w:trPr>
        <w:tc>
          <w:tcPr>
            <w:tcW w:w="0" w:type="auto"/>
          </w:tcPr>
          <w:p w14:paraId="4AF476C5" w14:textId="77777777" w:rsidR="00F04147" w:rsidRPr="004A2200" w:rsidRDefault="00F04147" w:rsidP="00214401">
            <w:pPr>
              <w:pStyle w:val="COMTabletext"/>
            </w:pPr>
            <w:r w:rsidRPr="004A2200">
              <w:t>5</w:t>
            </w:r>
          </w:p>
        </w:tc>
        <w:tc>
          <w:tcPr>
            <w:tcW w:w="4082" w:type="dxa"/>
          </w:tcPr>
          <w:p w14:paraId="1F7D4D4B" w14:textId="77777777" w:rsidR="00F04147" w:rsidRPr="004A2200" w:rsidRDefault="00F04147" w:rsidP="00214401">
            <w:pPr>
              <w:pStyle w:val="COMTabletext"/>
            </w:pPr>
            <w:r w:rsidRPr="004A2200">
              <w:t>Special Pricing Arrangement</w:t>
            </w:r>
          </w:p>
        </w:tc>
        <w:tc>
          <w:tcPr>
            <w:tcW w:w="4626" w:type="dxa"/>
          </w:tcPr>
          <w:p w14:paraId="250AF50A" w14:textId="77777777" w:rsidR="00F04147" w:rsidRPr="004A2200" w:rsidRDefault="00F04147" w:rsidP="00214401">
            <w:pPr>
              <w:pStyle w:val="COMTabletext"/>
            </w:pPr>
            <w:r w:rsidRPr="004A2200">
              <w:t xml:space="preserve">The sponsor requests a special pricing arrangement </w:t>
            </w:r>
          </w:p>
        </w:tc>
      </w:tr>
    </w:tbl>
    <w:p w14:paraId="0383199F" w14:textId="0FB459EC" w:rsidR="00F04147" w:rsidRDefault="00F04147" w:rsidP="00E72650">
      <w:pPr>
        <w:pStyle w:val="TableFigureFooter"/>
      </w:pPr>
      <w:r w:rsidRPr="00876DBC">
        <w:t xml:space="preserve">Source: Empagliflozin, PBAC </w:t>
      </w:r>
      <w:r>
        <w:t>Public Summary Document (PSD)</w:t>
      </w:r>
      <w:r w:rsidRPr="00876DBC">
        <w:t>, November 2022 PBAC meeting; Letter from Boehringer Ingelheim, 16 December 2022.</w:t>
      </w:r>
    </w:p>
    <w:p w14:paraId="14EA6ADC" w14:textId="00122F46" w:rsidR="00334395" w:rsidRDefault="00334395" w:rsidP="00E72650">
      <w:pPr>
        <w:pStyle w:val="TableFigureFooter"/>
      </w:pPr>
    </w:p>
    <w:p w14:paraId="54AC507E" w14:textId="00E99512" w:rsidR="00334395" w:rsidRDefault="00334395" w:rsidP="00E72650">
      <w:pPr>
        <w:pStyle w:val="TableFigureFooter"/>
        <w:rPr>
          <w:i/>
        </w:rPr>
      </w:pPr>
      <w:r w:rsidRPr="009A6D58">
        <w:rPr>
          <w:i/>
        </w:rPr>
        <w:t>The redacted values correspond to the following ranges</w:t>
      </w:r>
    </w:p>
    <w:p w14:paraId="577AA2D4" w14:textId="390ABB34" w:rsidR="00F04147" w:rsidRPr="004A2200" w:rsidRDefault="00334395" w:rsidP="00E72650">
      <w:pPr>
        <w:pStyle w:val="TableFigureFooter"/>
      </w:pPr>
      <w:r w:rsidRPr="00E72650">
        <w:rPr>
          <w:vertAlign w:val="superscript"/>
        </w:rPr>
        <w:t>1</w:t>
      </w:r>
      <w:r w:rsidRPr="00E72650">
        <w:t>$15,000 to &lt; $25,000</w:t>
      </w:r>
    </w:p>
    <w:p w14:paraId="16C59674" w14:textId="4ABD3372" w:rsidR="00F04147" w:rsidRPr="004A2200" w:rsidRDefault="00F04147" w:rsidP="00F04147">
      <w:pPr>
        <w:pStyle w:val="ExecSumBodyText"/>
        <w:numPr>
          <w:ilvl w:val="1"/>
          <w:numId w:val="36"/>
        </w:numPr>
        <w:snapToGrid w:val="0"/>
      </w:pPr>
      <w:r w:rsidRPr="004A2200">
        <w:t xml:space="preserve">Revised financial estimates using the inputs from the November 2022 pre-PBAC response and recalculation of the financial implications using the revised empagliflozin price from the 16 December 2022 letter are presented in Table 2. A risk sharing </w:t>
      </w:r>
      <w:r w:rsidRPr="004A2200">
        <w:lastRenderedPageBreak/>
        <w:t xml:space="preserve">arrangement with </w:t>
      </w:r>
      <w:r w:rsidR="00683B96" w:rsidRPr="00A46B28">
        <w:rPr>
          <w:color w:val="000000"/>
          <w:w w:val="15"/>
          <w:shd w:val="solid" w:color="000000" w:fill="000000"/>
          <w:fitText w:val="-20" w:id="-1279594232"/>
          <w14:textFill>
            <w14:solidFill>
              <w14:srgbClr w14:val="000000">
                <w14:alpha w14:val="100000"/>
              </w14:srgbClr>
            </w14:solidFill>
          </w14:textFill>
        </w:rPr>
        <w:t xml:space="preserve">|  </w:t>
      </w:r>
      <w:r w:rsidR="00683B96" w:rsidRPr="00A46B28">
        <w:rPr>
          <w:color w:val="000000"/>
          <w:spacing w:val="-69"/>
          <w:w w:val="15"/>
          <w:shd w:val="solid" w:color="000000" w:fill="000000"/>
          <w:fitText w:val="-20" w:id="-1279594232"/>
          <w14:textFill>
            <w14:solidFill>
              <w14:srgbClr w14:val="000000">
                <w14:alpha w14:val="100000"/>
              </w14:srgbClr>
            </w14:solidFill>
          </w14:textFill>
        </w:rPr>
        <w:t>|</w:t>
      </w:r>
      <w:r w:rsidRPr="004A2200">
        <w:t xml:space="preserve"> rebate above the revised caps in Table 2 was also accepted by the sponsor.</w:t>
      </w:r>
    </w:p>
    <w:p w14:paraId="3529A826" w14:textId="77777777" w:rsidR="00F04147" w:rsidRPr="004A2200" w:rsidRDefault="00F04147" w:rsidP="00F04147">
      <w:pPr>
        <w:pStyle w:val="COMtablefigcaption"/>
      </w:pPr>
      <w:r w:rsidRPr="004A2200">
        <w:t xml:space="preserve">Table 2: Revised estimated use and financial implications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 Revised estimated use and financial implications "/>
      </w:tblPr>
      <w:tblGrid>
        <w:gridCol w:w="3597"/>
        <w:gridCol w:w="697"/>
        <w:gridCol w:w="697"/>
        <w:gridCol w:w="697"/>
        <w:gridCol w:w="697"/>
        <w:gridCol w:w="697"/>
        <w:gridCol w:w="697"/>
        <w:gridCol w:w="757"/>
      </w:tblGrid>
      <w:tr w:rsidR="00F04147" w:rsidRPr="004A2200" w14:paraId="5F2F496A" w14:textId="77777777" w:rsidTr="00214401">
        <w:trPr>
          <w:tblHeader/>
        </w:trPr>
        <w:tc>
          <w:tcPr>
            <w:tcW w:w="0" w:type="auto"/>
            <w:tcBorders>
              <w:top w:val="single" w:sz="4" w:space="0" w:color="auto"/>
              <w:left w:val="single" w:sz="4" w:space="0" w:color="auto"/>
              <w:bottom w:val="single" w:sz="4" w:space="0" w:color="auto"/>
              <w:right w:val="single" w:sz="4" w:space="0" w:color="auto"/>
            </w:tcBorders>
            <w:vAlign w:val="center"/>
          </w:tcPr>
          <w:p w14:paraId="1A2482A3" w14:textId="77777777" w:rsidR="00F04147" w:rsidRPr="004A2200" w:rsidRDefault="00F04147" w:rsidP="00214401">
            <w:pPr>
              <w:pStyle w:val="COMTabletext"/>
              <w:rPr>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5B46FF9" w14:textId="77777777" w:rsidR="00F04147" w:rsidRPr="004A2200" w:rsidRDefault="00F04147" w:rsidP="00214401">
            <w:pPr>
              <w:pStyle w:val="Tableheadingrow"/>
              <w:jc w:val="center"/>
              <w:rPr>
                <w:szCs w:val="20"/>
                <w:lang w:val="en-AU"/>
              </w:rPr>
            </w:pPr>
            <w:r w:rsidRPr="004A2200">
              <w:rPr>
                <w:szCs w:val="20"/>
                <w:lang w:val="en-AU"/>
              </w:rPr>
              <w:t>Year 1</w:t>
            </w:r>
          </w:p>
          <w:p w14:paraId="7638653E" w14:textId="77777777" w:rsidR="00F04147" w:rsidRPr="004A2200" w:rsidRDefault="00F04147" w:rsidP="00214401">
            <w:pPr>
              <w:pStyle w:val="Tableheadingrow"/>
              <w:jc w:val="center"/>
              <w:rPr>
                <w:szCs w:val="20"/>
                <w:lang w:val="en-AU"/>
              </w:rPr>
            </w:pPr>
            <w:r w:rsidRPr="004A2200">
              <w:rPr>
                <w:szCs w:val="20"/>
                <w:lang w:val="en-AU"/>
              </w:rPr>
              <w:t>(2023)</w:t>
            </w:r>
          </w:p>
        </w:tc>
        <w:tc>
          <w:tcPr>
            <w:tcW w:w="0" w:type="auto"/>
            <w:tcBorders>
              <w:top w:val="single" w:sz="4" w:space="0" w:color="auto"/>
              <w:left w:val="single" w:sz="4" w:space="0" w:color="auto"/>
              <w:bottom w:val="single" w:sz="4" w:space="0" w:color="auto"/>
              <w:right w:val="single" w:sz="4" w:space="0" w:color="auto"/>
            </w:tcBorders>
            <w:vAlign w:val="center"/>
            <w:hideMark/>
          </w:tcPr>
          <w:p w14:paraId="6C90E7CB" w14:textId="77777777" w:rsidR="00F04147" w:rsidRPr="004A2200" w:rsidRDefault="00F04147" w:rsidP="00214401">
            <w:pPr>
              <w:pStyle w:val="Tableheadingrow"/>
              <w:jc w:val="center"/>
              <w:rPr>
                <w:szCs w:val="20"/>
                <w:lang w:val="en-AU"/>
              </w:rPr>
            </w:pPr>
            <w:r w:rsidRPr="004A2200">
              <w:rPr>
                <w:szCs w:val="20"/>
                <w:lang w:val="en-AU"/>
              </w:rPr>
              <w:t>Year 2</w:t>
            </w:r>
          </w:p>
          <w:p w14:paraId="0E1942B9" w14:textId="77777777" w:rsidR="00F04147" w:rsidRPr="004A2200" w:rsidRDefault="00F04147" w:rsidP="00214401">
            <w:pPr>
              <w:pStyle w:val="Tableheadingrow"/>
              <w:jc w:val="center"/>
              <w:rPr>
                <w:szCs w:val="20"/>
                <w:lang w:val="en-AU"/>
              </w:rPr>
            </w:pPr>
            <w:r w:rsidRPr="004A2200">
              <w:rPr>
                <w:szCs w:val="20"/>
                <w:lang w:val="en-AU"/>
              </w:rPr>
              <w:t>(2024)</w:t>
            </w:r>
          </w:p>
        </w:tc>
        <w:tc>
          <w:tcPr>
            <w:tcW w:w="0" w:type="auto"/>
            <w:tcBorders>
              <w:top w:val="single" w:sz="4" w:space="0" w:color="auto"/>
              <w:left w:val="single" w:sz="4" w:space="0" w:color="auto"/>
              <w:bottom w:val="single" w:sz="4" w:space="0" w:color="auto"/>
              <w:right w:val="single" w:sz="4" w:space="0" w:color="auto"/>
            </w:tcBorders>
            <w:vAlign w:val="center"/>
            <w:hideMark/>
          </w:tcPr>
          <w:p w14:paraId="7A215CF0" w14:textId="77777777" w:rsidR="00F04147" w:rsidRPr="004A2200" w:rsidRDefault="00F04147" w:rsidP="00214401">
            <w:pPr>
              <w:pStyle w:val="Tableheadingrow"/>
              <w:jc w:val="center"/>
              <w:rPr>
                <w:szCs w:val="20"/>
                <w:lang w:val="en-AU"/>
              </w:rPr>
            </w:pPr>
            <w:r w:rsidRPr="004A2200">
              <w:rPr>
                <w:szCs w:val="20"/>
                <w:lang w:val="en-AU"/>
              </w:rPr>
              <w:t>Year 3</w:t>
            </w:r>
          </w:p>
          <w:p w14:paraId="6CF76A0E" w14:textId="77777777" w:rsidR="00F04147" w:rsidRPr="004A2200" w:rsidRDefault="00F04147" w:rsidP="00214401">
            <w:pPr>
              <w:pStyle w:val="Tableheadingrow"/>
              <w:jc w:val="center"/>
              <w:rPr>
                <w:szCs w:val="20"/>
                <w:lang w:val="en-AU"/>
              </w:rPr>
            </w:pPr>
            <w:r w:rsidRPr="004A2200">
              <w:rPr>
                <w:szCs w:val="20"/>
                <w:lang w:val="en-AU"/>
              </w:rPr>
              <w:t>(2025)</w:t>
            </w:r>
          </w:p>
        </w:tc>
        <w:tc>
          <w:tcPr>
            <w:tcW w:w="0" w:type="auto"/>
            <w:tcBorders>
              <w:top w:val="single" w:sz="4" w:space="0" w:color="auto"/>
              <w:left w:val="single" w:sz="4" w:space="0" w:color="auto"/>
              <w:bottom w:val="single" w:sz="4" w:space="0" w:color="auto"/>
              <w:right w:val="single" w:sz="4" w:space="0" w:color="auto"/>
            </w:tcBorders>
            <w:vAlign w:val="center"/>
            <w:hideMark/>
          </w:tcPr>
          <w:p w14:paraId="6AAC997D" w14:textId="77777777" w:rsidR="00F04147" w:rsidRPr="004A2200" w:rsidRDefault="00F04147" w:rsidP="00214401">
            <w:pPr>
              <w:pStyle w:val="Tableheadingrow"/>
              <w:jc w:val="center"/>
              <w:rPr>
                <w:szCs w:val="20"/>
                <w:lang w:val="en-AU"/>
              </w:rPr>
            </w:pPr>
            <w:r w:rsidRPr="004A2200">
              <w:rPr>
                <w:szCs w:val="20"/>
                <w:lang w:val="en-AU"/>
              </w:rPr>
              <w:t>Year 4</w:t>
            </w:r>
          </w:p>
          <w:p w14:paraId="7A893ABB" w14:textId="77777777" w:rsidR="00F04147" w:rsidRPr="004A2200" w:rsidRDefault="00F04147" w:rsidP="00214401">
            <w:pPr>
              <w:pStyle w:val="Tableheadingrow"/>
              <w:jc w:val="center"/>
              <w:rPr>
                <w:szCs w:val="20"/>
                <w:lang w:val="en-AU"/>
              </w:rPr>
            </w:pPr>
            <w:r w:rsidRPr="004A2200">
              <w:rPr>
                <w:szCs w:val="20"/>
                <w:lang w:val="en-AU"/>
              </w:rPr>
              <w:t>(2026)</w:t>
            </w:r>
          </w:p>
        </w:tc>
        <w:tc>
          <w:tcPr>
            <w:tcW w:w="0" w:type="auto"/>
            <w:tcBorders>
              <w:top w:val="single" w:sz="4" w:space="0" w:color="auto"/>
              <w:left w:val="single" w:sz="4" w:space="0" w:color="auto"/>
              <w:bottom w:val="single" w:sz="4" w:space="0" w:color="auto"/>
              <w:right w:val="single" w:sz="4" w:space="0" w:color="auto"/>
            </w:tcBorders>
            <w:vAlign w:val="center"/>
            <w:hideMark/>
          </w:tcPr>
          <w:p w14:paraId="7D9F0E77" w14:textId="77777777" w:rsidR="00F04147" w:rsidRPr="004A2200" w:rsidRDefault="00F04147" w:rsidP="00214401">
            <w:pPr>
              <w:pStyle w:val="Tableheadingrow"/>
              <w:jc w:val="center"/>
              <w:rPr>
                <w:szCs w:val="20"/>
                <w:lang w:val="en-AU"/>
              </w:rPr>
            </w:pPr>
            <w:r w:rsidRPr="004A2200">
              <w:rPr>
                <w:szCs w:val="20"/>
                <w:lang w:val="en-AU"/>
              </w:rPr>
              <w:t>Year 5</w:t>
            </w:r>
          </w:p>
          <w:p w14:paraId="59FAF938" w14:textId="77777777" w:rsidR="00F04147" w:rsidRPr="004A2200" w:rsidRDefault="00F04147" w:rsidP="00214401">
            <w:pPr>
              <w:pStyle w:val="Tableheadingrow"/>
              <w:jc w:val="center"/>
              <w:rPr>
                <w:szCs w:val="20"/>
                <w:lang w:val="en-AU"/>
              </w:rPr>
            </w:pPr>
            <w:r w:rsidRPr="004A2200">
              <w:rPr>
                <w:szCs w:val="20"/>
                <w:lang w:val="en-AU"/>
              </w:rPr>
              <w:t>(2027)</w:t>
            </w:r>
          </w:p>
        </w:tc>
        <w:tc>
          <w:tcPr>
            <w:tcW w:w="0" w:type="auto"/>
            <w:tcBorders>
              <w:top w:val="single" w:sz="4" w:space="0" w:color="auto"/>
              <w:left w:val="single" w:sz="4" w:space="0" w:color="auto"/>
              <w:bottom w:val="single" w:sz="4" w:space="0" w:color="auto"/>
              <w:right w:val="single" w:sz="4" w:space="0" w:color="auto"/>
            </w:tcBorders>
            <w:vAlign w:val="center"/>
          </w:tcPr>
          <w:p w14:paraId="0C37BB47" w14:textId="77777777" w:rsidR="00F04147" w:rsidRPr="004A2200" w:rsidRDefault="00F04147" w:rsidP="00214401">
            <w:pPr>
              <w:pStyle w:val="Tableheadingrow"/>
              <w:jc w:val="center"/>
              <w:rPr>
                <w:szCs w:val="20"/>
                <w:lang w:val="en-AU"/>
              </w:rPr>
            </w:pPr>
            <w:r w:rsidRPr="004A2200">
              <w:rPr>
                <w:szCs w:val="20"/>
                <w:lang w:val="en-AU"/>
              </w:rPr>
              <w:t>Year 6</w:t>
            </w:r>
          </w:p>
          <w:p w14:paraId="511855C7" w14:textId="77777777" w:rsidR="00F04147" w:rsidRPr="004A2200" w:rsidRDefault="00F04147" w:rsidP="00214401">
            <w:pPr>
              <w:pStyle w:val="Tableheadingrow"/>
              <w:jc w:val="center"/>
              <w:rPr>
                <w:szCs w:val="20"/>
                <w:lang w:val="en-AU"/>
              </w:rPr>
            </w:pPr>
            <w:r w:rsidRPr="004A2200">
              <w:rPr>
                <w:szCs w:val="20"/>
                <w:lang w:val="en-AU"/>
              </w:rPr>
              <w:t>(2028)</w:t>
            </w:r>
          </w:p>
        </w:tc>
        <w:tc>
          <w:tcPr>
            <w:tcW w:w="0" w:type="auto"/>
            <w:tcBorders>
              <w:top w:val="single" w:sz="4" w:space="0" w:color="auto"/>
              <w:left w:val="single" w:sz="4" w:space="0" w:color="auto"/>
              <w:bottom w:val="single" w:sz="4" w:space="0" w:color="auto"/>
              <w:right w:val="single" w:sz="4" w:space="0" w:color="auto"/>
            </w:tcBorders>
            <w:vAlign w:val="center"/>
            <w:hideMark/>
          </w:tcPr>
          <w:p w14:paraId="2D9F9BF8" w14:textId="77777777" w:rsidR="00F04147" w:rsidRPr="004A2200" w:rsidRDefault="00F04147" w:rsidP="00214401">
            <w:pPr>
              <w:pStyle w:val="Tableheadingrow"/>
              <w:jc w:val="center"/>
              <w:rPr>
                <w:szCs w:val="20"/>
                <w:lang w:val="en-AU"/>
              </w:rPr>
            </w:pPr>
            <w:r w:rsidRPr="004A2200">
              <w:rPr>
                <w:szCs w:val="20"/>
                <w:lang w:val="en-AU"/>
              </w:rPr>
              <w:t>Y1-Y6</w:t>
            </w:r>
          </w:p>
        </w:tc>
      </w:tr>
      <w:tr w:rsidR="00F04147" w:rsidRPr="004A2200" w14:paraId="58999569" w14:textId="77777777" w:rsidTr="00214401">
        <w:trPr>
          <w:tblHeader/>
        </w:trPr>
        <w:tc>
          <w:tcPr>
            <w:tcW w:w="0" w:type="auto"/>
            <w:gridSpan w:val="8"/>
            <w:tcBorders>
              <w:top w:val="single" w:sz="4" w:space="0" w:color="auto"/>
              <w:left w:val="single" w:sz="4" w:space="0" w:color="auto"/>
              <w:bottom w:val="single" w:sz="4" w:space="0" w:color="auto"/>
              <w:right w:val="single" w:sz="4" w:space="0" w:color="auto"/>
            </w:tcBorders>
            <w:vAlign w:val="center"/>
          </w:tcPr>
          <w:p w14:paraId="34205CEC" w14:textId="77777777" w:rsidR="00F04147" w:rsidRPr="001E1ED1" w:rsidRDefault="00F04147" w:rsidP="00214401">
            <w:pPr>
              <w:pStyle w:val="Tableheadingrow"/>
              <w:rPr>
                <w:szCs w:val="20"/>
                <w:lang w:val="en-AU"/>
              </w:rPr>
            </w:pPr>
            <w:r w:rsidRPr="004A2200">
              <w:rPr>
                <w:szCs w:val="20"/>
                <w:lang w:val="en-AU"/>
              </w:rPr>
              <w:t>Current estimates (Letter dated 16 Dec 2022)</w:t>
            </w:r>
          </w:p>
        </w:tc>
      </w:tr>
      <w:tr w:rsidR="00F04147" w:rsidRPr="004A2200" w14:paraId="218D85C1" w14:textId="77777777" w:rsidTr="00683B96">
        <w:tc>
          <w:tcPr>
            <w:tcW w:w="0" w:type="auto"/>
            <w:tcBorders>
              <w:top w:val="single" w:sz="4" w:space="0" w:color="auto"/>
              <w:left w:val="single" w:sz="4" w:space="0" w:color="auto"/>
              <w:bottom w:val="single" w:sz="4" w:space="0" w:color="auto"/>
              <w:right w:val="single" w:sz="4" w:space="0" w:color="auto"/>
            </w:tcBorders>
            <w:vAlign w:val="center"/>
          </w:tcPr>
          <w:p w14:paraId="1705C885" w14:textId="01219722" w:rsidR="00F04147" w:rsidRPr="004A2200" w:rsidRDefault="00F04147" w:rsidP="00214401">
            <w:pPr>
              <w:pStyle w:val="TableText"/>
              <w:rPr>
                <w:szCs w:val="20"/>
              </w:rPr>
            </w:pPr>
            <w:r w:rsidRPr="004A2200">
              <w:rPr>
                <w:szCs w:val="20"/>
              </w:rPr>
              <w:t>Net cost PBS / RPBS (Effective AEMP=$</w:t>
            </w:r>
            <w:r w:rsidR="00683B96" w:rsidRPr="00642F27">
              <w:rPr>
                <w:color w:val="000000"/>
                <w:spacing w:val="48"/>
                <w:szCs w:val="20"/>
                <w:shd w:val="solid" w:color="000000" w:fill="000000"/>
                <w:fitText w:val="500" w:id="-1279594231"/>
                <w14:textFill>
                  <w14:solidFill>
                    <w14:srgbClr w14:val="000000">
                      <w14:alpha w14:val="100000"/>
                    </w14:srgbClr>
                  </w14:solidFill>
                </w14:textFill>
              </w:rPr>
              <w:t>|||||</w:t>
            </w:r>
            <w:r w:rsidR="00683B96" w:rsidRPr="00642F27">
              <w:rPr>
                <w:color w:val="000000"/>
                <w:spacing w:val="5"/>
                <w:szCs w:val="20"/>
                <w:shd w:val="solid" w:color="000000" w:fill="000000"/>
                <w:fitText w:val="500" w:id="-1279594231"/>
                <w14:textFill>
                  <w14:solidFill>
                    <w14:srgbClr w14:val="000000">
                      <w14:alpha w14:val="100000"/>
                    </w14:srgbClr>
                  </w14:solidFill>
                </w14:textFill>
              </w:rPr>
              <w:t>|</w:t>
            </w:r>
            <w:r w:rsidRPr="004A2200">
              <w:rPr>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53EA54F5" w14:textId="5403503C" w:rsidR="00F04147" w:rsidRPr="00E72650" w:rsidRDefault="00F04147" w:rsidP="00214401">
            <w:pPr>
              <w:pStyle w:val="TableText"/>
              <w:jc w:val="center"/>
              <w:rPr>
                <w:szCs w:val="20"/>
                <w:vertAlign w:val="superscript"/>
              </w:rPr>
            </w:pPr>
            <w:r w:rsidRPr="004A2200">
              <w:rPr>
                <w:rFonts w:cs="Arial"/>
                <w:color w:val="000000"/>
                <w:szCs w:val="20"/>
              </w:rPr>
              <w:t>$</w:t>
            </w:r>
            <w:r w:rsidR="00683B96" w:rsidRPr="00642F27">
              <w:rPr>
                <w:rFonts w:cs="Arial"/>
                <w:color w:val="000000"/>
                <w:spacing w:val="46"/>
                <w:szCs w:val="20"/>
                <w:shd w:val="solid" w:color="000000" w:fill="000000"/>
                <w:fitText w:val="490" w:id="-1279594230"/>
                <w14:textFill>
                  <w14:solidFill>
                    <w14:srgbClr w14:val="000000">
                      <w14:alpha w14:val="100000"/>
                    </w14:srgbClr>
                  </w14:solidFill>
                </w14:textFill>
              </w:rPr>
              <w:t>|||||</w:t>
            </w:r>
            <w:r w:rsidR="00683B96" w:rsidRPr="00642F27">
              <w:rPr>
                <w:rFonts w:cs="Arial"/>
                <w:color w:val="000000"/>
                <w:spacing w:val="5"/>
                <w:szCs w:val="20"/>
                <w:shd w:val="solid" w:color="000000" w:fill="000000"/>
                <w:fitText w:val="490" w:id="-1279594230"/>
                <w14:textFill>
                  <w14:solidFill>
                    <w14:srgbClr w14:val="000000">
                      <w14:alpha w14:val="100000"/>
                    </w14:srgbClr>
                  </w14:solidFill>
                </w14:textFill>
              </w:rPr>
              <w:t>|</w:t>
            </w:r>
            <w:r w:rsidR="00334395">
              <w:rPr>
                <w:rFonts w:cs="Arial"/>
                <w:color w:val="000000"/>
                <w:szCs w:val="20"/>
                <w:vertAlign w:val="superscript"/>
              </w:rPr>
              <w:t>1</w:t>
            </w:r>
          </w:p>
        </w:tc>
        <w:tc>
          <w:tcPr>
            <w:tcW w:w="0" w:type="auto"/>
            <w:tcBorders>
              <w:top w:val="single" w:sz="4" w:space="0" w:color="auto"/>
              <w:left w:val="single" w:sz="4" w:space="0" w:color="auto"/>
              <w:bottom w:val="single" w:sz="4" w:space="0" w:color="auto"/>
              <w:right w:val="single" w:sz="4" w:space="0" w:color="auto"/>
            </w:tcBorders>
            <w:vAlign w:val="center"/>
          </w:tcPr>
          <w:p w14:paraId="5FCA0F26" w14:textId="79258BD9" w:rsidR="00F04147" w:rsidRPr="00E72650" w:rsidRDefault="00F04147" w:rsidP="00214401">
            <w:pPr>
              <w:pStyle w:val="TableText"/>
              <w:jc w:val="center"/>
              <w:rPr>
                <w:szCs w:val="20"/>
                <w:vertAlign w:val="superscript"/>
              </w:rPr>
            </w:pPr>
            <w:r w:rsidRPr="004A2200">
              <w:rPr>
                <w:rFonts w:cs="Arial"/>
                <w:color w:val="000000"/>
                <w:szCs w:val="20"/>
              </w:rPr>
              <w:t>$</w:t>
            </w:r>
            <w:r w:rsidR="00683B96" w:rsidRPr="00642F27">
              <w:rPr>
                <w:rFonts w:cs="Arial"/>
                <w:color w:val="000000"/>
                <w:spacing w:val="46"/>
                <w:szCs w:val="20"/>
                <w:shd w:val="solid" w:color="000000" w:fill="000000"/>
                <w:fitText w:val="490" w:id="-1279594229"/>
                <w14:textFill>
                  <w14:solidFill>
                    <w14:srgbClr w14:val="000000">
                      <w14:alpha w14:val="100000"/>
                    </w14:srgbClr>
                  </w14:solidFill>
                </w14:textFill>
              </w:rPr>
              <w:t>|||||</w:t>
            </w:r>
            <w:r w:rsidR="00683B96" w:rsidRPr="00642F27">
              <w:rPr>
                <w:rFonts w:cs="Arial"/>
                <w:color w:val="000000"/>
                <w:spacing w:val="5"/>
                <w:szCs w:val="20"/>
                <w:shd w:val="solid" w:color="000000" w:fill="000000"/>
                <w:fitText w:val="490" w:id="-1279594229"/>
                <w14:textFill>
                  <w14:solidFill>
                    <w14:srgbClr w14:val="000000">
                      <w14:alpha w14:val="100000"/>
                    </w14:srgbClr>
                  </w14:solidFill>
                </w14:textFill>
              </w:rPr>
              <w:t>|</w:t>
            </w:r>
            <w:r w:rsidR="00334395">
              <w:rPr>
                <w:rFonts w:cs="Arial"/>
                <w:color w:val="000000"/>
                <w:szCs w:val="20"/>
                <w:vertAlign w:val="superscript"/>
              </w:rPr>
              <w:t>2</w:t>
            </w:r>
          </w:p>
        </w:tc>
        <w:tc>
          <w:tcPr>
            <w:tcW w:w="0" w:type="auto"/>
            <w:tcBorders>
              <w:top w:val="single" w:sz="4" w:space="0" w:color="auto"/>
              <w:left w:val="single" w:sz="4" w:space="0" w:color="auto"/>
              <w:bottom w:val="single" w:sz="4" w:space="0" w:color="auto"/>
              <w:right w:val="single" w:sz="4" w:space="0" w:color="auto"/>
            </w:tcBorders>
            <w:vAlign w:val="center"/>
          </w:tcPr>
          <w:p w14:paraId="65B3FDF8" w14:textId="6AE273E1" w:rsidR="00F04147" w:rsidRPr="00E72650" w:rsidRDefault="00F04147" w:rsidP="00214401">
            <w:pPr>
              <w:pStyle w:val="TableText"/>
              <w:jc w:val="center"/>
              <w:rPr>
                <w:szCs w:val="20"/>
                <w:vertAlign w:val="superscript"/>
              </w:rPr>
            </w:pPr>
            <w:r w:rsidRPr="004A2200">
              <w:rPr>
                <w:rFonts w:cs="Arial"/>
                <w:color w:val="000000"/>
                <w:szCs w:val="20"/>
              </w:rPr>
              <w:t>$</w:t>
            </w:r>
            <w:r w:rsidR="00683B96" w:rsidRPr="00642F27">
              <w:rPr>
                <w:rFonts w:cs="Arial"/>
                <w:color w:val="000000"/>
                <w:spacing w:val="46"/>
                <w:szCs w:val="20"/>
                <w:shd w:val="solid" w:color="000000" w:fill="000000"/>
                <w:fitText w:val="490" w:id="-1279594228"/>
                <w14:textFill>
                  <w14:solidFill>
                    <w14:srgbClr w14:val="000000">
                      <w14:alpha w14:val="100000"/>
                    </w14:srgbClr>
                  </w14:solidFill>
                </w14:textFill>
              </w:rPr>
              <w:t>|||||</w:t>
            </w:r>
            <w:r w:rsidR="00683B96" w:rsidRPr="00642F27">
              <w:rPr>
                <w:rFonts w:cs="Arial"/>
                <w:color w:val="000000"/>
                <w:spacing w:val="5"/>
                <w:szCs w:val="20"/>
                <w:shd w:val="solid" w:color="000000" w:fill="000000"/>
                <w:fitText w:val="490" w:id="-1279594228"/>
                <w14:textFill>
                  <w14:solidFill>
                    <w14:srgbClr w14:val="000000">
                      <w14:alpha w14:val="100000"/>
                    </w14:srgbClr>
                  </w14:solidFill>
                </w14:textFill>
              </w:rPr>
              <w:t>|</w:t>
            </w:r>
            <w:r w:rsidR="00334395">
              <w:rPr>
                <w:rFonts w:cs="Arial"/>
                <w:color w:val="000000"/>
                <w:szCs w:val="20"/>
                <w:vertAlign w:val="superscript"/>
              </w:rPr>
              <w:t>3</w:t>
            </w:r>
          </w:p>
        </w:tc>
        <w:tc>
          <w:tcPr>
            <w:tcW w:w="0" w:type="auto"/>
            <w:tcBorders>
              <w:top w:val="single" w:sz="4" w:space="0" w:color="auto"/>
              <w:left w:val="single" w:sz="4" w:space="0" w:color="auto"/>
              <w:bottom w:val="single" w:sz="4" w:space="0" w:color="auto"/>
              <w:right w:val="single" w:sz="4" w:space="0" w:color="auto"/>
            </w:tcBorders>
            <w:vAlign w:val="center"/>
          </w:tcPr>
          <w:p w14:paraId="4522F2C7" w14:textId="2F19CBA2" w:rsidR="00F04147" w:rsidRPr="00E72650" w:rsidRDefault="00F04147" w:rsidP="00214401">
            <w:pPr>
              <w:pStyle w:val="TableText"/>
              <w:jc w:val="center"/>
              <w:rPr>
                <w:szCs w:val="20"/>
                <w:vertAlign w:val="superscript"/>
              </w:rPr>
            </w:pPr>
            <w:r w:rsidRPr="004A2200">
              <w:rPr>
                <w:rFonts w:cs="Arial"/>
                <w:color w:val="000000"/>
                <w:szCs w:val="20"/>
              </w:rPr>
              <w:t>$</w:t>
            </w:r>
            <w:r w:rsidR="00683B96" w:rsidRPr="00642F27">
              <w:rPr>
                <w:rFonts w:cs="Arial"/>
                <w:color w:val="000000"/>
                <w:spacing w:val="46"/>
                <w:szCs w:val="20"/>
                <w:shd w:val="solid" w:color="000000" w:fill="000000"/>
                <w:fitText w:val="490" w:id="-1279594227"/>
                <w14:textFill>
                  <w14:solidFill>
                    <w14:srgbClr w14:val="000000">
                      <w14:alpha w14:val="100000"/>
                    </w14:srgbClr>
                  </w14:solidFill>
                </w14:textFill>
              </w:rPr>
              <w:t>|||||</w:t>
            </w:r>
            <w:r w:rsidR="00683B96" w:rsidRPr="00642F27">
              <w:rPr>
                <w:rFonts w:cs="Arial"/>
                <w:color w:val="000000"/>
                <w:spacing w:val="5"/>
                <w:szCs w:val="20"/>
                <w:shd w:val="solid" w:color="000000" w:fill="000000"/>
                <w:fitText w:val="490" w:id="-1279594227"/>
                <w14:textFill>
                  <w14:solidFill>
                    <w14:srgbClr w14:val="000000">
                      <w14:alpha w14:val="100000"/>
                    </w14:srgbClr>
                  </w14:solidFill>
                </w14:textFill>
              </w:rPr>
              <w:t>|</w:t>
            </w:r>
            <w:r w:rsidR="00334395">
              <w:rPr>
                <w:rFonts w:cs="Arial"/>
                <w:color w:val="000000"/>
                <w:szCs w:val="20"/>
                <w:vertAlign w:val="superscript"/>
              </w:rPr>
              <w:t>4</w:t>
            </w:r>
          </w:p>
        </w:tc>
        <w:tc>
          <w:tcPr>
            <w:tcW w:w="0" w:type="auto"/>
            <w:tcBorders>
              <w:top w:val="single" w:sz="4" w:space="0" w:color="auto"/>
              <w:left w:val="single" w:sz="4" w:space="0" w:color="auto"/>
              <w:bottom w:val="single" w:sz="4" w:space="0" w:color="auto"/>
              <w:right w:val="single" w:sz="4" w:space="0" w:color="auto"/>
            </w:tcBorders>
            <w:vAlign w:val="center"/>
          </w:tcPr>
          <w:p w14:paraId="68C89468" w14:textId="7FA4C5A8" w:rsidR="00F04147" w:rsidRPr="00E72650" w:rsidRDefault="00F04147" w:rsidP="00214401">
            <w:pPr>
              <w:pStyle w:val="TableText"/>
              <w:jc w:val="center"/>
              <w:rPr>
                <w:szCs w:val="20"/>
                <w:vertAlign w:val="superscript"/>
              </w:rPr>
            </w:pPr>
            <w:r w:rsidRPr="004A2200">
              <w:rPr>
                <w:rFonts w:cs="Arial"/>
                <w:color w:val="000000"/>
                <w:szCs w:val="20"/>
              </w:rPr>
              <w:t>$</w:t>
            </w:r>
            <w:r w:rsidR="00683B96" w:rsidRPr="00642F27">
              <w:rPr>
                <w:rFonts w:cs="Arial"/>
                <w:color w:val="000000"/>
                <w:spacing w:val="46"/>
                <w:szCs w:val="20"/>
                <w:shd w:val="solid" w:color="000000" w:fill="000000"/>
                <w:fitText w:val="490" w:id="-1279594226"/>
                <w14:textFill>
                  <w14:solidFill>
                    <w14:srgbClr w14:val="000000">
                      <w14:alpha w14:val="100000"/>
                    </w14:srgbClr>
                  </w14:solidFill>
                </w14:textFill>
              </w:rPr>
              <w:t>|||||</w:t>
            </w:r>
            <w:r w:rsidR="00683B96" w:rsidRPr="00642F27">
              <w:rPr>
                <w:rFonts w:cs="Arial"/>
                <w:color w:val="000000"/>
                <w:spacing w:val="5"/>
                <w:szCs w:val="20"/>
                <w:shd w:val="solid" w:color="000000" w:fill="000000"/>
                <w:fitText w:val="490" w:id="-1279594226"/>
                <w14:textFill>
                  <w14:solidFill>
                    <w14:srgbClr w14:val="000000">
                      <w14:alpha w14:val="100000"/>
                    </w14:srgbClr>
                  </w14:solidFill>
                </w14:textFill>
              </w:rPr>
              <w:t>|</w:t>
            </w:r>
            <w:r w:rsidR="00334395">
              <w:rPr>
                <w:rFonts w:cs="Arial"/>
                <w:color w:val="000000"/>
                <w:szCs w:val="20"/>
                <w:vertAlign w:val="superscript"/>
              </w:rPr>
              <w:t>5</w:t>
            </w:r>
          </w:p>
        </w:tc>
        <w:tc>
          <w:tcPr>
            <w:tcW w:w="0" w:type="auto"/>
            <w:tcBorders>
              <w:top w:val="single" w:sz="4" w:space="0" w:color="auto"/>
              <w:left w:val="single" w:sz="4" w:space="0" w:color="auto"/>
              <w:bottom w:val="single" w:sz="4" w:space="0" w:color="auto"/>
              <w:right w:val="single" w:sz="4" w:space="0" w:color="auto"/>
            </w:tcBorders>
            <w:vAlign w:val="center"/>
          </w:tcPr>
          <w:p w14:paraId="71F24AFF" w14:textId="7F5C87F2" w:rsidR="00F04147" w:rsidRPr="00E72650" w:rsidRDefault="00F04147" w:rsidP="00214401">
            <w:pPr>
              <w:pStyle w:val="TableText"/>
              <w:jc w:val="center"/>
              <w:rPr>
                <w:rFonts w:cs="Arial"/>
                <w:color w:val="000000"/>
                <w:szCs w:val="20"/>
                <w:vertAlign w:val="superscript"/>
              </w:rPr>
            </w:pPr>
            <w:r w:rsidRPr="004A2200">
              <w:rPr>
                <w:rFonts w:cs="Arial"/>
                <w:color w:val="000000"/>
                <w:szCs w:val="20"/>
              </w:rPr>
              <w:t>$</w:t>
            </w:r>
            <w:r w:rsidR="00683B96" w:rsidRPr="00642F27">
              <w:rPr>
                <w:rFonts w:cs="Arial"/>
                <w:color w:val="000000"/>
                <w:spacing w:val="46"/>
                <w:szCs w:val="20"/>
                <w:shd w:val="solid" w:color="000000" w:fill="000000"/>
                <w:fitText w:val="490" w:id="-1279594225"/>
                <w14:textFill>
                  <w14:solidFill>
                    <w14:srgbClr w14:val="000000">
                      <w14:alpha w14:val="100000"/>
                    </w14:srgbClr>
                  </w14:solidFill>
                </w14:textFill>
              </w:rPr>
              <w:t>|||||</w:t>
            </w:r>
            <w:r w:rsidR="00683B96" w:rsidRPr="00642F27">
              <w:rPr>
                <w:rFonts w:cs="Arial"/>
                <w:color w:val="000000"/>
                <w:spacing w:val="5"/>
                <w:szCs w:val="20"/>
                <w:shd w:val="solid" w:color="000000" w:fill="000000"/>
                <w:fitText w:val="490" w:id="-1279594225"/>
                <w14:textFill>
                  <w14:solidFill>
                    <w14:srgbClr w14:val="000000">
                      <w14:alpha w14:val="100000"/>
                    </w14:srgbClr>
                  </w14:solidFill>
                </w14:textFill>
              </w:rPr>
              <w:t>|</w:t>
            </w:r>
            <w:r w:rsidR="0077717E">
              <w:rPr>
                <w:rFonts w:cs="Arial"/>
                <w:color w:val="000000"/>
                <w:szCs w:val="20"/>
                <w:vertAlign w:val="superscript"/>
              </w:rPr>
              <w:t>6</w:t>
            </w:r>
          </w:p>
        </w:tc>
        <w:tc>
          <w:tcPr>
            <w:tcW w:w="0" w:type="auto"/>
            <w:tcBorders>
              <w:top w:val="single" w:sz="4" w:space="0" w:color="auto"/>
              <w:left w:val="single" w:sz="4" w:space="0" w:color="auto"/>
              <w:bottom w:val="single" w:sz="4" w:space="0" w:color="auto"/>
              <w:right w:val="single" w:sz="4" w:space="0" w:color="auto"/>
            </w:tcBorders>
            <w:vAlign w:val="center"/>
          </w:tcPr>
          <w:p w14:paraId="77340415" w14:textId="150CACF5" w:rsidR="00F04147" w:rsidRPr="00E72650" w:rsidRDefault="00F04147" w:rsidP="00214401">
            <w:pPr>
              <w:jc w:val="center"/>
              <w:rPr>
                <w:rFonts w:ascii="Arial Narrow" w:hAnsi="Arial Narrow"/>
                <w:bCs/>
                <w:color w:val="000000"/>
                <w:sz w:val="20"/>
                <w:szCs w:val="20"/>
                <w:vertAlign w:val="superscript"/>
              </w:rPr>
            </w:pPr>
            <w:r w:rsidRPr="004A2200">
              <w:rPr>
                <w:rFonts w:ascii="Arial Narrow" w:hAnsi="Arial Narrow"/>
                <w:bCs/>
                <w:color w:val="000000"/>
                <w:sz w:val="20"/>
                <w:szCs w:val="20"/>
              </w:rPr>
              <w:t>$</w:t>
            </w:r>
            <w:r w:rsidR="00683B96" w:rsidRPr="00642F27">
              <w:rPr>
                <w:rFonts w:ascii="Arial Narrow" w:hAnsi="Arial Narrow"/>
                <w:bCs/>
                <w:color w:val="000000"/>
                <w:spacing w:val="42"/>
                <w:sz w:val="20"/>
                <w:szCs w:val="20"/>
                <w:shd w:val="solid" w:color="000000" w:fill="000000"/>
                <w:fitText w:val="470" w:id="-1279594224"/>
                <w14:textFill>
                  <w14:solidFill>
                    <w14:srgbClr w14:val="000000">
                      <w14:alpha w14:val="100000"/>
                    </w14:srgbClr>
                  </w14:solidFill>
                </w14:textFill>
              </w:rPr>
              <w:t>|||||</w:t>
            </w:r>
            <w:r w:rsidR="00683B96" w:rsidRPr="00642F27">
              <w:rPr>
                <w:rFonts w:ascii="Arial Narrow" w:hAnsi="Arial Narrow"/>
                <w:bCs/>
                <w:color w:val="000000"/>
                <w:spacing w:val="5"/>
                <w:sz w:val="20"/>
                <w:szCs w:val="20"/>
                <w:shd w:val="solid" w:color="000000" w:fill="000000"/>
                <w:fitText w:val="470" w:id="-1279594224"/>
                <w14:textFill>
                  <w14:solidFill>
                    <w14:srgbClr w14:val="000000">
                      <w14:alpha w14:val="100000"/>
                    </w14:srgbClr>
                  </w14:solidFill>
                </w14:textFill>
              </w:rPr>
              <w:t>|</w:t>
            </w:r>
            <w:r w:rsidR="0077717E">
              <w:rPr>
                <w:rFonts w:ascii="Arial Narrow" w:hAnsi="Arial Narrow"/>
                <w:bCs/>
                <w:color w:val="000000"/>
                <w:sz w:val="20"/>
                <w:szCs w:val="20"/>
                <w:vertAlign w:val="superscript"/>
              </w:rPr>
              <w:t>7</w:t>
            </w:r>
          </w:p>
        </w:tc>
      </w:tr>
      <w:tr w:rsidR="00F04147" w:rsidRPr="004A2200" w14:paraId="1AC2C012" w14:textId="77777777" w:rsidTr="00683B96">
        <w:tc>
          <w:tcPr>
            <w:tcW w:w="0" w:type="auto"/>
            <w:tcBorders>
              <w:top w:val="single" w:sz="4" w:space="0" w:color="auto"/>
              <w:left w:val="single" w:sz="4" w:space="0" w:color="auto"/>
              <w:bottom w:val="single" w:sz="4" w:space="0" w:color="auto"/>
              <w:right w:val="single" w:sz="4" w:space="0" w:color="auto"/>
            </w:tcBorders>
            <w:vAlign w:val="center"/>
          </w:tcPr>
          <w:p w14:paraId="4D50F4C9" w14:textId="77777777" w:rsidR="00F04147" w:rsidRPr="004A2200" w:rsidRDefault="00F04147" w:rsidP="00214401">
            <w:pPr>
              <w:pStyle w:val="TableText"/>
              <w:rPr>
                <w:szCs w:val="20"/>
              </w:rPr>
            </w:pPr>
            <w:r w:rsidRPr="004A2200">
              <w:rPr>
                <w:szCs w:val="20"/>
              </w:rPr>
              <w:t>Proposed rebate above caps</w:t>
            </w:r>
          </w:p>
        </w:tc>
        <w:tc>
          <w:tcPr>
            <w:tcW w:w="0" w:type="auto"/>
            <w:tcBorders>
              <w:top w:val="single" w:sz="4" w:space="0" w:color="auto"/>
              <w:left w:val="single" w:sz="4" w:space="0" w:color="auto"/>
              <w:bottom w:val="single" w:sz="4" w:space="0" w:color="auto"/>
              <w:right w:val="single" w:sz="4" w:space="0" w:color="auto"/>
            </w:tcBorders>
            <w:shd w:val="solid" w:color="000000" w:fill="000000"/>
            <w:vAlign w:val="center"/>
          </w:tcPr>
          <w:p w14:paraId="35CB9B49" w14:textId="1C683701" w:rsidR="00F04147" w:rsidRPr="004A2200" w:rsidRDefault="00683B96" w:rsidP="00214401">
            <w:pPr>
              <w:pStyle w:val="TableText"/>
              <w:jc w:val="center"/>
              <w:rPr>
                <w:rFonts w:cs="Arial"/>
                <w:color w:val="000000"/>
                <w:szCs w:val="20"/>
              </w:rPr>
            </w:pPr>
            <w:r w:rsidRPr="00642F27">
              <w:rPr>
                <w:rFonts w:cs="Arial"/>
                <w:color w:val="000000"/>
                <w:spacing w:val="32"/>
                <w:szCs w:val="20"/>
                <w:fitText w:val="420" w:id="-1279594240"/>
                <w14:textFill>
                  <w14:solidFill>
                    <w14:srgbClr w14:val="000000">
                      <w14:alpha w14:val="100000"/>
                    </w14:srgbClr>
                  </w14:solidFill>
                </w14:textFill>
              </w:rPr>
              <w:t>|||||</w:t>
            </w:r>
            <w:r w:rsidRPr="00642F27">
              <w:rPr>
                <w:rFonts w:cs="Arial"/>
                <w:color w:val="000000"/>
                <w:spacing w:val="5"/>
                <w:szCs w:val="20"/>
                <w:fitText w:val="420" w:id="-1279594240"/>
                <w14:textFill>
                  <w14:solidFill>
                    <w14:srgbClr w14:val="000000">
                      <w14:alpha w14:val="100000"/>
                    </w14:srgbClr>
                  </w14:solidFill>
                </w14:textFill>
              </w:rPr>
              <w:t>|</w:t>
            </w:r>
          </w:p>
        </w:tc>
        <w:tc>
          <w:tcPr>
            <w:tcW w:w="0" w:type="auto"/>
            <w:tcBorders>
              <w:top w:val="single" w:sz="4" w:space="0" w:color="auto"/>
              <w:left w:val="single" w:sz="4" w:space="0" w:color="auto"/>
              <w:bottom w:val="single" w:sz="4" w:space="0" w:color="auto"/>
              <w:right w:val="single" w:sz="4" w:space="0" w:color="auto"/>
            </w:tcBorders>
            <w:shd w:val="solid" w:color="000000" w:fill="000000"/>
            <w:vAlign w:val="center"/>
          </w:tcPr>
          <w:p w14:paraId="5F11184F" w14:textId="6274B571" w:rsidR="00F04147" w:rsidRPr="004A2200" w:rsidRDefault="00683B96" w:rsidP="00214401">
            <w:pPr>
              <w:pStyle w:val="TableText"/>
              <w:jc w:val="center"/>
              <w:rPr>
                <w:rFonts w:cs="Arial"/>
                <w:color w:val="000000"/>
                <w:szCs w:val="20"/>
              </w:rPr>
            </w:pPr>
            <w:r w:rsidRPr="00642F27">
              <w:rPr>
                <w:rFonts w:cs="Arial"/>
                <w:color w:val="000000"/>
                <w:spacing w:val="32"/>
                <w:szCs w:val="20"/>
                <w:fitText w:val="420" w:id="-1279594239"/>
                <w14:textFill>
                  <w14:solidFill>
                    <w14:srgbClr w14:val="000000">
                      <w14:alpha w14:val="100000"/>
                    </w14:srgbClr>
                  </w14:solidFill>
                </w14:textFill>
              </w:rPr>
              <w:t>|||||</w:t>
            </w:r>
            <w:r w:rsidRPr="00642F27">
              <w:rPr>
                <w:rFonts w:cs="Arial"/>
                <w:color w:val="000000"/>
                <w:spacing w:val="5"/>
                <w:szCs w:val="20"/>
                <w:fitText w:val="420" w:id="-1279594239"/>
                <w14:textFill>
                  <w14:solidFill>
                    <w14:srgbClr w14:val="000000">
                      <w14:alpha w14:val="100000"/>
                    </w14:srgbClr>
                  </w14:solidFill>
                </w14:textFill>
              </w:rPr>
              <w:t>|</w:t>
            </w:r>
          </w:p>
        </w:tc>
        <w:tc>
          <w:tcPr>
            <w:tcW w:w="0" w:type="auto"/>
            <w:tcBorders>
              <w:top w:val="single" w:sz="4" w:space="0" w:color="auto"/>
              <w:left w:val="single" w:sz="4" w:space="0" w:color="auto"/>
              <w:bottom w:val="single" w:sz="4" w:space="0" w:color="auto"/>
              <w:right w:val="single" w:sz="4" w:space="0" w:color="auto"/>
            </w:tcBorders>
            <w:shd w:val="solid" w:color="000000" w:fill="000000"/>
            <w:vAlign w:val="center"/>
          </w:tcPr>
          <w:p w14:paraId="2DDE71E8" w14:textId="7AE174C7" w:rsidR="00F04147" w:rsidRPr="004A2200" w:rsidRDefault="00683B96" w:rsidP="00214401">
            <w:pPr>
              <w:pStyle w:val="TableText"/>
              <w:jc w:val="center"/>
              <w:rPr>
                <w:rFonts w:cs="Arial"/>
                <w:color w:val="000000"/>
                <w:szCs w:val="20"/>
              </w:rPr>
            </w:pPr>
            <w:r w:rsidRPr="00642F27">
              <w:rPr>
                <w:rFonts w:cs="Arial"/>
                <w:color w:val="000000"/>
                <w:spacing w:val="32"/>
                <w:szCs w:val="20"/>
                <w:fitText w:val="420" w:id="-1279594238"/>
                <w14:textFill>
                  <w14:solidFill>
                    <w14:srgbClr w14:val="000000">
                      <w14:alpha w14:val="100000"/>
                    </w14:srgbClr>
                  </w14:solidFill>
                </w14:textFill>
              </w:rPr>
              <w:t>|||||</w:t>
            </w:r>
            <w:r w:rsidRPr="00642F27">
              <w:rPr>
                <w:rFonts w:cs="Arial"/>
                <w:color w:val="000000"/>
                <w:spacing w:val="5"/>
                <w:szCs w:val="20"/>
                <w:fitText w:val="420" w:id="-1279594238"/>
                <w14:textFill>
                  <w14:solidFill>
                    <w14:srgbClr w14:val="000000">
                      <w14:alpha w14:val="100000"/>
                    </w14:srgbClr>
                  </w14:solidFill>
                </w14:textFill>
              </w:rPr>
              <w:t>|</w:t>
            </w:r>
          </w:p>
        </w:tc>
        <w:tc>
          <w:tcPr>
            <w:tcW w:w="0" w:type="auto"/>
            <w:tcBorders>
              <w:top w:val="single" w:sz="4" w:space="0" w:color="auto"/>
              <w:left w:val="single" w:sz="4" w:space="0" w:color="auto"/>
              <w:bottom w:val="single" w:sz="4" w:space="0" w:color="auto"/>
              <w:right w:val="single" w:sz="4" w:space="0" w:color="auto"/>
            </w:tcBorders>
            <w:shd w:val="solid" w:color="000000" w:fill="000000"/>
            <w:vAlign w:val="center"/>
          </w:tcPr>
          <w:p w14:paraId="49C497A3" w14:textId="6B2A83C5" w:rsidR="00F04147" w:rsidRPr="004A2200" w:rsidRDefault="00683B96" w:rsidP="00214401">
            <w:pPr>
              <w:pStyle w:val="TableText"/>
              <w:jc w:val="center"/>
              <w:rPr>
                <w:rFonts w:cs="Arial"/>
                <w:color w:val="000000"/>
                <w:szCs w:val="20"/>
              </w:rPr>
            </w:pPr>
            <w:r w:rsidRPr="00642F27">
              <w:rPr>
                <w:rFonts w:cs="Arial"/>
                <w:color w:val="000000"/>
                <w:spacing w:val="32"/>
                <w:szCs w:val="20"/>
                <w:fitText w:val="420" w:id="-1279594237"/>
                <w14:textFill>
                  <w14:solidFill>
                    <w14:srgbClr w14:val="000000">
                      <w14:alpha w14:val="100000"/>
                    </w14:srgbClr>
                  </w14:solidFill>
                </w14:textFill>
              </w:rPr>
              <w:t>|||||</w:t>
            </w:r>
            <w:r w:rsidRPr="00642F27">
              <w:rPr>
                <w:rFonts w:cs="Arial"/>
                <w:color w:val="000000"/>
                <w:spacing w:val="5"/>
                <w:szCs w:val="20"/>
                <w:fitText w:val="420" w:id="-1279594237"/>
                <w14:textFill>
                  <w14:solidFill>
                    <w14:srgbClr w14:val="000000">
                      <w14:alpha w14:val="100000"/>
                    </w14:srgbClr>
                  </w14:solidFill>
                </w14:textFill>
              </w:rPr>
              <w:t>|</w:t>
            </w:r>
          </w:p>
        </w:tc>
        <w:tc>
          <w:tcPr>
            <w:tcW w:w="0" w:type="auto"/>
            <w:tcBorders>
              <w:top w:val="single" w:sz="4" w:space="0" w:color="auto"/>
              <w:left w:val="single" w:sz="4" w:space="0" w:color="auto"/>
              <w:bottom w:val="single" w:sz="4" w:space="0" w:color="auto"/>
              <w:right w:val="single" w:sz="4" w:space="0" w:color="auto"/>
            </w:tcBorders>
            <w:shd w:val="solid" w:color="000000" w:fill="000000"/>
            <w:vAlign w:val="center"/>
          </w:tcPr>
          <w:p w14:paraId="15FA3790" w14:textId="4CAFC0A7" w:rsidR="00F04147" w:rsidRPr="004A2200" w:rsidRDefault="00683B96" w:rsidP="00214401">
            <w:pPr>
              <w:pStyle w:val="TableText"/>
              <w:jc w:val="center"/>
              <w:rPr>
                <w:rFonts w:cs="Arial"/>
                <w:color w:val="000000"/>
                <w:szCs w:val="20"/>
              </w:rPr>
            </w:pPr>
            <w:r w:rsidRPr="00642F27">
              <w:rPr>
                <w:rFonts w:cs="Arial"/>
                <w:color w:val="000000"/>
                <w:spacing w:val="32"/>
                <w:szCs w:val="20"/>
                <w:fitText w:val="420" w:id="-1279594236"/>
                <w14:textFill>
                  <w14:solidFill>
                    <w14:srgbClr w14:val="000000">
                      <w14:alpha w14:val="100000"/>
                    </w14:srgbClr>
                  </w14:solidFill>
                </w14:textFill>
              </w:rPr>
              <w:t>|||||</w:t>
            </w:r>
            <w:r w:rsidRPr="00642F27">
              <w:rPr>
                <w:rFonts w:cs="Arial"/>
                <w:color w:val="000000"/>
                <w:spacing w:val="5"/>
                <w:szCs w:val="20"/>
                <w:fitText w:val="420" w:id="-1279594236"/>
                <w14:textFill>
                  <w14:solidFill>
                    <w14:srgbClr w14:val="000000">
                      <w14:alpha w14:val="100000"/>
                    </w14:srgbClr>
                  </w14:solidFill>
                </w14:textFill>
              </w:rPr>
              <w:t>|</w:t>
            </w:r>
          </w:p>
        </w:tc>
        <w:tc>
          <w:tcPr>
            <w:tcW w:w="0" w:type="auto"/>
            <w:tcBorders>
              <w:top w:val="single" w:sz="4" w:space="0" w:color="auto"/>
              <w:left w:val="single" w:sz="4" w:space="0" w:color="auto"/>
              <w:bottom w:val="single" w:sz="4" w:space="0" w:color="auto"/>
              <w:right w:val="single" w:sz="4" w:space="0" w:color="auto"/>
            </w:tcBorders>
            <w:shd w:val="solid" w:color="000000" w:fill="000000"/>
            <w:vAlign w:val="center"/>
          </w:tcPr>
          <w:p w14:paraId="3B323FA4" w14:textId="39D84291" w:rsidR="00F04147" w:rsidRPr="004A2200" w:rsidRDefault="00683B96" w:rsidP="00214401">
            <w:pPr>
              <w:pStyle w:val="TableText"/>
              <w:jc w:val="center"/>
              <w:rPr>
                <w:rFonts w:cs="Arial"/>
                <w:color w:val="000000"/>
                <w:szCs w:val="20"/>
              </w:rPr>
            </w:pPr>
            <w:r w:rsidRPr="00642F27">
              <w:rPr>
                <w:rFonts w:cs="Arial"/>
                <w:color w:val="000000"/>
                <w:spacing w:val="32"/>
                <w:szCs w:val="20"/>
                <w:fitText w:val="420" w:id="-1279594235"/>
                <w14:textFill>
                  <w14:solidFill>
                    <w14:srgbClr w14:val="000000">
                      <w14:alpha w14:val="100000"/>
                    </w14:srgbClr>
                  </w14:solidFill>
                </w14:textFill>
              </w:rPr>
              <w:t>|||||</w:t>
            </w:r>
            <w:r w:rsidRPr="00642F27">
              <w:rPr>
                <w:rFonts w:cs="Arial"/>
                <w:color w:val="000000"/>
                <w:spacing w:val="5"/>
                <w:szCs w:val="20"/>
                <w:fitText w:val="420" w:id="-1279594235"/>
                <w14:textFill>
                  <w14:solidFill>
                    <w14:srgbClr w14:val="000000">
                      <w14:alpha w14:val="100000"/>
                    </w14:srgbClr>
                  </w14:solidFill>
                </w14:textFill>
              </w:rPr>
              <w:t>|</w:t>
            </w:r>
          </w:p>
        </w:tc>
        <w:tc>
          <w:tcPr>
            <w:tcW w:w="0" w:type="auto"/>
            <w:tcBorders>
              <w:top w:val="single" w:sz="4" w:space="0" w:color="auto"/>
              <w:left w:val="single" w:sz="4" w:space="0" w:color="auto"/>
              <w:bottom w:val="single" w:sz="4" w:space="0" w:color="auto"/>
              <w:right w:val="single" w:sz="4" w:space="0" w:color="auto"/>
            </w:tcBorders>
            <w:vAlign w:val="center"/>
          </w:tcPr>
          <w:p w14:paraId="11C0567D" w14:textId="77777777" w:rsidR="00F04147" w:rsidRPr="004A2200" w:rsidRDefault="00F04147" w:rsidP="00214401">
            <w:pPr>
              <w:jc w:val="center"/>
              <w:rPr>
                <w:rFonts w:ascii="Arial Narrow" w:hAnsi="Arial Narrow"/>
                <w:bCs/>
                <w:color w:val="000000"/>
                <w:sz w:val="20"/>
                <w:szCs w:val="20"/>
              </w:rPr>
            </w:pPr>
          </w:p>
        </w:tc>
      </w:tr>
      <w:tr w:rsidR="00F04147" w:rsidRPr="004A2200" w14:paraId="4518C61D" w14:textId="77777777" w:rsidTr="00214401">
        <w:tc>
          <w:tcPr>
            <w:tcW w:w="0" w:type="auto"/>
            <w:gridSpan w:val="8"/>
            <w:tcBorders>
              <w:top w:val="single" w:sz="4" w:space="0" w:color="auto"/>
              <w:left w:val="single" w:sz="4" w:space="0" w:color="auto"/>
              <w:bottom w:val="single" w:sz="4" w:space="0" w:color="auto"/>
              <w:right w:val="single" w:sz="4" w:space="0" w:color="auto"/>
            </w:tcBorders>
            <w:vAlign w:val="center"/>
          </w:tcPr>
          <w:p w14:paraId="3C4F3108" w14:textId="77777777" w:rsidR="00F04147" w:rsidRPr="004A2200" w:rsidRDefault="00F04147" w:rsidP="00214401">
            <w:pPr>
              <w:jc w:val="left"/>
              <w:rPr>
                <w:rFonts w:ascii="Arial Narrow" w:hAnsi="Arial Narrow"/>
                <w:color w:val="000000"/>
                <w:sz w:val="20"/>
                <w:szCs w:val="20"/>
              </w:rPr>
            </w:pPr>
            <w:r w:rsidRPr="004A2200">
              <w:rPr>
                <w:rFonts w:ascii="Arial Narrow" w:hAnsi="Arial Narrow"/>
                <w:b/>
                <w:sz w:val="20"/>
                <w:szCs w:val="20"/>
              </w:rPr>
              <w:t>November 2022 Pre-PBAC response</w:t>
            </w:r>
          </w:p>
        </w:tc>
      </w:tr>
      <w:tr w:rsidR="00F04147" w:rsidRPr="004A2200" w14:paraId="19551425" w14:textId="77777777" w:rsidTr="00214401">
        <w:tc>
          <w:tcPr>
            <w:tcW w:w="0" w:type="auto"/>
            <w:tcBorders>
              <w:top w:val="single" w:sz="4" w:space="0" w:color="auto"/>
              <w:left w:val="single" w:sz="4" w:space="0" w:color="auto"/>
              <w:bottom w:val="single" w:sz="4" w:space="0" w:color="auto"/>
              <w:right w:val="single" w:sz="4" w:space="0" w:color="auto"/>
            </w:tcBorders>
            <w:vAlign w:val="center"/>
          </w:tcPr>
          <w:p w14:paraId="627527F1" w14:textId="77777777" w:rsidR="00F04147" w:rsidRPr="004A2200" w:rsidRDefault="00F04147" w:rsidP="00214401">
            <w:pPr>
              <w:pStyle w:val="TableText"/>
              <w:rPr>
                <w:b/>
                <w:szCs w:val="20"/>
              </w:rPr>
            </w:pPr>
            <w:r w:rsidRPr="004A2200">
              <w:rPr>
                <w:szCs w:val="20"/>
              </w:rPr>
              <w:t>Net cost PBS / RPBS (Effective AEMP=$44.66)</w:t>
            </w:r>
          </w:p>
        </w:tc>
        <w:tc>
          <w:tcPr>
            <w:tcW w:w="0" w:type="auto"/>
            <w:tcBorders>
              <w:top w:val="single" w:sz="4" w:space="0" w:color="auto"/>
              <w:left w:val="single" w:sz="4" w:space="0" w:color="auto"/>
              <w:bottom w:val="single" w:sz="4" w:space="0" w:color="auto"/>
              <w:right w:val="single" w:sz="4" w:space="0" w:color="auto"/>
            </w:tcBorders>
            <w:vAlign w:val="center"/>
          </w:tcPr>
          <w:p w14:paraId="438A277C" w14:textId="4A870383" w:rsidR="00F04147" w:rsidRPr="00E72650" w:rsidRDefault="00F04147" w:rsidP="00214401">
            <w:pPr>
              <w:pStyle w:val="TableText"/>
              <w:jc w:val="center"/>
              <w:rPr>
                <w:szCs w:val="20"/>
                <w:vertAlign w:val="superscript"/>
              </w:rPr>
            </w:pPr>
            <w:r w:rsidRPr="004A2200">
              <w:rPr>
                <w:szCs w:val="20"/>
              </w:rPr>
              <w:t>$</w:t>
            </w:r>
            <w:r w:rsidR="00683B96" w:rsidRPr="00642F27">
              <w:rPr>
                <w:color w:val="000000"/>
                <w:spacing w:val="46"/>
                <w:szCs w:val="20"/>
                <w:shd w:val="solid" w:color="000000" w:fill="000000"/>
                <w:fitText w:val="490" w:id="-1279594234"/>
                <w14:textFill>
                  <w14:solidFill>
                    <w14:srgbClr w14:val="000000">
                      <w14:alpha w14:val="100000"/>
                    </w14:srgbClr>
                  </w14:solidFill>
                </w14:textFill>
              </w:rPr>
              <w:t>|||||</w:t>
            </w:r>
            <w:r w:rsidR="00683B96" w:rsidRPr="00642F27">
              <w:rPr>
                <w:color w:val="000000"/>
                <w:spacing w:val="5"/>
                <w:szCs w:val="20"/>
                <w:shd w:val="solid" w:color="000000" w:fill="000000"/>
                <w:fitText w:val="490" w:id="-1279594234"/>
                <w14:textFill>
                  <w14:solidFill>
                    <w14:srgbClr w14:val="000000">
                      <w14:alpha w14:val="100000"/>
                    </w14:srgbClr>
                  </w14:solidFill>
                </w14:textFill>
              </w:rPr>
              <w:t>|</w:t>
            </w:r>
            <w:r w:rsidR="0077717E">
              <w:rPr>
                <w:szCs w:val="20"/>
                <w:vertAlign w:val="superscript"/>
              </w:rPr>
              <w:t>2</w:t>
            </w:r>
          </w:p>
        </w:tc>
        <w:tc>
          <w:tcPr>
            <w:tcW w:w="0" w:type="auto"/>
            <w:tcBorders>
              <w:top w:val="single" w:sz="4" w:space="0" w:color="auto"/>
              <w:left w:val="single" w:sz="4" w:space="0" w:color="auto"/>
              <w:bottom w:val="single" w:sz="4" w:space="0" w:color="auto"/>
              <w:right w:val="single" w:sz="4" w:space="0" w:color="auto"/>
            </w:tcBorders>
            <w:vAlign w:val="center"/>
          </w:tcPr>
          <w:p w14:paraId="26199F35" w14:textId="4EF3702F" w:rsidR="00F04147" w:rsidRPr="00E72650" w:rsidRDefault="00F04147" w:rsidP="00214401">
            <w:pPr>
              <w:pStyle w:val="TableText"/>
              <w:jc w:val="center"/>
              <w:rPr>
                <w:szCs w:val="20"/>
                <w:vertAlign w:val="superscript"/>
              </w:rPr>
            </w:pPr>
            <w:r w:rsidRPr="004A2200">
              <w:rPr>
                <w:szCs w:val="20"/>
              </w:rPr>
              <w:t>$</w:t>
            </w:r>
            <w:r w:rsidR="00683B96" w:rsidRPr="00642F27">
              <w:rPr>
                <w:color w:val="000000"/>
                <w:spacing w:val="46"/>
                <w:szCs w:val="20"/>
                <w:shd w:val="solid" w:color="000000" w:fill="000000"/>
                <w:fitText w:val="490" w:id="-1279594233"/>
                <w14:textFill>
                  <w14:solidFill>
                    <w14:srgbClr w14:val="000000">
                      <w14:alpha w14:val="100000"/>
                    </w14:srgbClr>
                  </w14:solidFill>
                </w14:textFill>
              </w:rPr>
              <w:t>|||||</w:t>
            </w:r>
            <w:r w:rsidR="00683B96" w:rsidRPr="00642F27">
              <w:rPr>
                <w:color w:val="000000"/>
                <w:spacing w:val="5"/>
                <w:szCs w:val="20"/>
                <w:shd w:val="solid" w:color="000000" w:fill="000000"/>
                <w:fitText w:val="490" w:id="-1279594233"/>
                <w14:textFill>
                  <w14:solidFill>
                    <w14:srgbClr w14:val="000000">
                      <w14:alpha w14:val="100000"/>
                    </w14:srgbClr>
                  </w14:solidFill>
                </w14:textFill>
              </w:rPr>
              <w:t>|</w:t>
            </w:r>
            <w:r w:rsidR="0077717E">
              <w:rPr>
                <w:szCs w:val="20"/>
                <w:vertAlign w:val="superscript"/>
              </w:rPr>
              <w:t>3</w:t>
            </w:r>
          </w:p>
        </w:tc>
        <w:tc>
          <w:tcPr>
            <w:tcW w:w="0" w:type="auto"/>
            <w:tcBorders>
              <w:top w:val="single" w:sz="4" w:space="0" w:color="auto"/>
              <w:left w:val="single" w:sz="4" w:space="0" w:color="auto"/>
              <w:bottom w:val="single" w:sz="4" w:space="0" w:color="auto"/>
              <w:right w:val="single" w:sz="4" w:space="0" w:color="auto"/>
            </w:tcBorders>
            <w:vAlign w:val="center"/>
          </w:tcPr>
          <w:p w14:paraId="3FFD81F4" w14:textId="30ADEEF6" w:rsidR="00F04147" w:rsidRPr="00E72650" w:rsidRDefault="00F04147" w:rsidP="00214401">
            <w:pPr>
              <w:pStyle w:val="TableText"/>
              <w:jc w:val="center"/>
              <w:rPr>
                <w:szCs w:val="20"/>
                <w:vertAlign w:val="superscript"/>
              </w:rPr>
            </w:pPr>
            <w:r w:rsidRPr="004A2200">
              <w:rPr>
                <w:szCs w:val="20"/>
              </w:rPr>
              <w:t>$</w:t>
            </w:r>
            <w:r w:rsidR="00683B96" w:rsidRPr="00642F27">
              <w:rPr>
                <w:color w:val="000000"/>
                <w:spacing w:val="46"/>
                <w:szCs w:val="20"/>
                <w:shd w:val="solid" w:color="000000" w:fill="000000"/>
                <w:fitText w:val="490" w:id="-1279594232"/>
                <w14:textFill>
                  <w14:solidFill>
                    <w14:srgbClr w14:val="000000">
                      <w14:alpha w14:val="100000"/>
                    </w14:srgbClr>
                  </w14:solidFill>
                </w14:textFill>
              </w:rPr>
              <w:t>|||||</w:t>
            </w:r>
            <w:r w:rsidR="00683B96" w:rsidRPr="00642F27">
              <w:rPr>
                <w:color w:val="000000"/>
                <w:spacing w:val="5"/>
                <w:szCs w:val="20"/>
                <w:shd w:val="solid" w:color="000000" w:fill="000000"/>
                <w:fitText w:val="490" w:id="-1279594232"/>
                <w14:textFill>
                  <w14:solidFill>
                    <w14:srgbClr w14:val="000000">
                      <w14:alpha w14:val="100000"/>
                    </w14:srgbClr>
                  </w14:solidFill>
                </w14:textFill>
              </w:rPr>
              <w:t>|</w:t>
            </w:r>
            <w:r w:rsidR="0077717E">
              <w:rPr>
                <w:szCs w:val="20"/>
                <w:vertAlign w:val="superscript"/>
              </w:rPr>
              <w:t>4</w:t>
            </w:r>
          </w:p>
        </w:tc>
        <w:tc>
          <w:tcPr>
            <w:tcW w:w="0" w:type="auto"/>
            <w:tcBorders>
              <w:top w:val="single" w:sz="4" w:space="0" w:color="auto"/>
              <w:left w:val="single" w:sz="4" w:space="0" w:color="auto"/>
              <w:bottom w:val="single" w:sz="4" w:space="0" w:color="auto"/>
              <w:right w:val="single" w:sz="4" w:space="0" w:color="auto"/>
            </w:tcBorders>
            <w:vAlign w:val="center"/>
          </w:tcPr>
          <w:p w14:paraId="7B6F5557" w14:textId="0E1687A6" w:rsidR="00F04147" w:rsidRPr="00E72650" w:rsidRDefault="00F04147" w:rsidP="00214401">
            <w:pPr>
              <w:pStyle w:val="TableText"/>
              <w:jc w:val="center"/>
              <w:rPr>
                <w:szCs w:val="20"/>
                <w:vertAlign w:val="superscript"/>
              </w:rPr>
            </w:pPr>
            <w:r w:rsidRPr="004A2200">
              <w:rPr>
                <w:szCs w:val="20"/>
              </w:rPr>
              <w:t>$</w:t>
            </w:r>
            <w:r w:rsidR="00683B96" w:rsidRPr="00642F27">
              <w:rPr>
                <w:color w:val="000000"/>
                <w:spacing w:val="46"/>
                <w:szCs w:val="20"/>
                <w:shd w:val="solid" w:color="000000" w:fill="000000"/>
                <w:fitText w:val="490" w:id="-1279594231"/>
                <w14:textFill>
                  <w14:solidFill>
                    <w14:srgbClr w14:val="000000">
                      <w14:alpha w14:val="100000"/>
                    </w14:srgbClr>
                  </w14:solidFill>
                </w14:textFill>
              </w:rPr>
              <w:t>|||||</w:t>
            </w:r>
            <w:r w:rsidR="00683B96" w:rsidRPr="00642F27">
              <w:rPr>
                <w:color w:val="000000"/>
                <w:spacing w:val="5"/>
                <w:szCs w:val="20"/>
                <w:shd w:val="solid" w:color="000000" w:fill="000000"/>
                <w:fitText w:val="490" w:id="-1279594231"/>
                <w14:textFill>
                  <w14:solidFill>
                    <w14:srgbClr w14:val="000000">
                      <w14:alpha w14:val="100000"/>
                    </w14:srgbClr>
                  </w14:solidFill>
                </w14:textFill>
              </w:rPr>
              <w:t>|</w:t>
            </w:r>
            <w:r w:rsidR="0077717E">
              <w:rPr>
                <w:szCs w:val="20"/>
                <w:vertAlign w:val="superscript"/>
              </w:rPr>
              <w:t>8</w:t>
            </w:r>
          </w:p>
        </w:tc>
        <w:tc>
          <w:tcPr>
            <w:tcW w:w="0" w:type="auto"/>
            <w:tcBorders>
              <w:top w:val="single" w:sz="4" w:space="0" w:color="auto"/>
              <w:left w:val="single" w:sz="4" w:space="0" w:color="auto"/>
              <w:bottom w:val="single" w:sz="4" w:space="0" w:color="auto"/>
              <w:right w:val="single" w:sz="4" w:space="0" w:color="auto"/>
            </w:tcBorders>
            <w:vAlign w:val="center"/>
          </w:tcPr>
          <w:p w14:paraId="7929D36D" w14:textId="1CA65A89" w:rsidR="00F04147" w:rsidRPr="00E72650" w:rsidRDefault="00F04147" w:rsidP="00214401">
            <w:pPr>
              <w:pStyle w:val="TableText"/>
              <w:jc w:val="center"/>
              <w:rPr>
                <w:szCs w:val="20"/>
                <w:vertAlign w:val="superscript"/>
              </w:rPr>
            </w:pPr>
            <w:r w:rsidRPr="004A2200">
              <w:rPr>
                <w:szCs w:val="20"/>
              </w:rPr>
              <w:t>$</w:t>
            </w:r>
            <w:r w:rsidR="00683B96" w:rsidRPr="00642F27">
              <w:rPr>
                <w:color w:val="000000"/>
                <w:spacing w:val="46"/>
                <w:szCs w:val="20"/>
                <w:shd w:val="solid" w:color="000000" w:fill="000000"/>
                <w:fitText w:val="490" w:id="-1279594230"/>
                <w14:textFill>
                  <w14:solidFill>
                    <w14:srgbClr w14:val="000000">
                      <w14:alpha w14:val="100000"/>
                    </w14:srgbClr>
                  </w14:solidFill>
                </w14:textFill>
              </w:rPr>
              <w:t>|||||</w:t>
            </w:r>
            <w:r w:rsidR="00683B96" w:rsidRPr="00642F27">
              <w:rPr>
                <w:color w:val="000000"/>
                <w:spacing w:val="5"/>
                <w:szCs w:val="20"/>
                <w:shd w:val="solid" w:color="000000" w:fill="000000"/>
                <w:fitText w:val="490" w:id="-1279594230"/>
                <w14:textFill>
                  <w14:solidFill>
                    <w14:srgbClr w14:val="000000">
                      <w14:alpha w14:val="100000"/>
                    </w14:srgbClr>
                  </w14:solidFill>
                </w14:textFill>
              </w:rPr>
              <w:t>|</w:t>
            </w:r>
            <w:r w:rsidR="0077717E">
              <w:rPr>
                <w:szCs w:val="20"/>
                <w:vertAlign w:val="superscript"/>
              </w:rPr>
              <w:t>6</w:t>
            </w:r>
          </w:p>
        </w:tc>
        <w:tc>
          <w:tcPr>
            <w:tcW w:w="0" w:type="auto"/>
            <w:tcBorders>
              <w:top w:val="single" w:sz="4" w:space="0" w:color="auto"/>
              <w:left w:val="single" w:sz="4" w:space="0" w:color="auto"/>
              <w:bottom w:val="single" w:sz="4" w:space="0" w:color="auto"/>
              <w:right w:val="single" w:sz="4" w:space="0" w:color="auto"/>
            </w:tcBorders>
            <w:vAlign w:val="center"/>
          </w:tcPr>
          <w:p w14:paraId="54A1014B" w14:textId="3C819307" w:rsidR="00F04147" w:rsidRPr="00E72650" w:rsidRDefault="00F04147" w:rsidP="00214401">
            <w:pPr>
              <w:pStyle w:val="TableText"/>
              <w:jc w:val="center"/>
              <w:rPr>
                <w:szCs w:val="20"/>
                <w:vertAlign w:val="superscript"/>
              </w:rPr>
            </w:pPr>
            <w:r w:rsidRPr="004A2200">
              <w:rPr>
                <w:szCs w:val="20"/>
              </w:rPr>
              <w:t>$</w:t>
            </w:r>
            <w:r w:rsidR="00683B96" w:rsidRPr="00642F27">
              <w:rPr>
                <w:color w:val="000000"/>
                <w:spacing w:val="46"/>
                <w:szCs w:val="20"/>
                <w:shd w:val="solid" w:color="000000" w:fill="000000"/>
                <w:fitText w:val="490" w:id="-1279594229"/>
                <w14:textFill>
                  <w14:solidFill>
                    <w14:srgbClr w14:val="000000">
                      <w14:alpha w14:val="100000"/>
                    </w14:srgbClr>
                  </w14:solidFill>
                </w14:textFill>
              </w:rPr>
              <w:t>|||||</w:t>
            </w:r>
            <w:r w:rsidR="00683B96" w:rsidRPr="00642F27">
              <w:rPr>
                <w:color w:val="000000"/>
                <w:spacing w:val="5"/>
                <w:szCs w:val="20"/>
                <w:shd w:val="solid" w:color="000000" w:fill="000000"/>
                <w:fitText w:val="490" w:id="-1279594229"/>
                <w14:textFill>
                  <w14:solidFill>
                    <w14:srgbClr w14:val="000000">
                      <w14:alpha w14:val="100000"/>
                    </w14:srgbClr>
                  </w14:solidFill>
                </w14:textFill>
              </w:rPr>
              <w:t>|</w:t>
            </w:r>
            <w:r w:rsidR="0077717E">
              <w:rPr>
                <w:szCs w:val="20"/>
                <w:vertAlign w:val="superscript"/>
              </w:rPr>
              <w:t>9</w:t>
            </w:r>
          </w:p>
        </w:tc>
        <w:tc>
          <w:tcPr>
            <w:tcW w:w="0" w:type="auto"/>
            <w:tcBorders>
              <w:top w:val="single" w:sz="4" w:space="0" w:color="auto"/>
              <w:left w:val="single" w:sz="4" w:space="0" w:color="auto"/>
              <w:bottom w:val="single" w:sz="4" w:space="0" w:color="auto"/>
              <w:right w:val="single" w:sz="4" w:space="0" w:color="auto"/>
            </w:tcBorders>
            <w:vAlign w:val="center"/>
          </w:tcPr>
          <w:p w14:paraId="3FBB8E76" w14:textId="30FA084E" w:rsidR="00F04147" w:rsidRPr="00E72650" w:rsidRDefault="00F04147" w:rsidP="00214401">
            <w:pPr>
              <w:jc w:val="center"/>
              <w:rPr>
                <w:rFonts w:ascii="Arial Narrow" w:hAnsi="Arial Narrow"/>
                <w:color w:val="000000"/>
                <w:sz w:val="20"/>
                <w:szCs w:val="20"/>
                <w:vertAlign w:val="superscript"/>
              </w:rPr>
            </w:pPr>
            <w:r w:rsidRPr="004A2200">
              <w:rPr>
                <w:rFonts w:ascii="Arial Narrow" w:hAnsi="Arial Narrow"/>
                <w:color w:val="000000"/>
                <w:sz w:val="20"/>
                <w:szCs w:val="20"/>
              </w:rPr>
              <w:t>$</w:t>
            </w:r>
            <w:r w:rsidR="00683B96" w:rsidRPr="00642F27">
              <w:rPr>
                <w:rFonts w:ascii="Arial Narrow" w:hAnsi="Arial Narrow"/>
                <w:color w:val="000000"/>
                <w:spacing w:val="46"/>
                <w:sz w:val="20"/>
                <w:szCs w:val="20"/>
                <w:shd w:val="solid" w:color="000000" w:fill="000000"/>
                <w:fitText w:val="490" w:id="-1279594228"/>
                <w14:textFill>
                  <w14:solidFill>
                    <w14:srgbClr w14:val="000000">
                      <w14:alpha w14:val="100000"/>
                    </w14:srgbClr>
                  </w14:solidFill>
                </w14:textFill>
              </w:rPr>
              <w:t>|||||</w:t>
            </w:r>
            <w:r w:rsidR="00683B96" w:rsidRPr="00642F27">
              <w:rPr>
                <w:rFonts w:ascii="Arial Narrow" w:hAnsi="Arial Narrow"/>
                <w:color w:val="000000"/>
                <w:spacing w:val="5"/>
                <w:sz w:val="20"/>
                <w:szCs w:val="20"/>
                <w:shd w:val="solid" w:color="000000" w:fill="000000"/>
                <w:fitText w:val="490" w:id="-1279594228"/>
                <w14:textFill>
                  <w14:solidFill>
                    <w14:srgbClr w14:val="000000">
                      <w14:alpha w14:val="100000"/>
                    </w14:srgbClr>
                  </w14:solidFill>
                </w14:textFill>
              </w:rPr>
              <w:t>|</w:t>
            </w:r>
            <w:r w:rsidR="0077717E">
              <w:rPr>
                <w:rFonts w:ascii="Arial Narrow" w:hAnsi="Arial Narrow"/>
                <w:color w:val="000000"/>
                <w:sz w:val="20"/>
                <w:szCs w:val="20"/>
                <w:vertAlign w:val="superscript"/>
              </w:rPr>
              <w:t>10</w:t>
            </w:r>
          </w:p>
        </w:tc>
      </w:tr>
    </w:tbl>
    <w:p w14:paraId="6FF289A8" w14:textId="054A0249" w:rsidR="00F04147" w:rsidRDefault="00F04147" w:rsidP="00F04147">
      <w:pPr>
        <w:rPr>
          <w:rFonts w:ascii="Arial Narrow" w:hAnsi="Arial Narrow"/>
          <w:sz w:val="18"/>
          <w:szCs w:val="18"/>
        </w:rPr>
      </w:pPr>
      <w:r w:rsidRPr="00876DBC">
        <w:rPr>
          <w:rFonts w:ascii="Arial Narrow" w:hAnsi="Arial Narrow"/>
          <w:sz w:val="18"/>
          <w:szCs w:val="18"/>
        </w:rPr>
        <w:t xml:space="preserve">Source: Empagliflozin, PBAC </w:t>
      </w:r>
      <w:r>
        <w:rPr>
          <w:rFonts w:ascii="Arial Narrow" w:hAnsi="Arial Narrow"/>
          <w:sz w:val="18"/>
          <w:szCs w:val="18"/>
        </w:rPr>
        <w:t>Public Summary Document</w:t>
      </w:r>
      <w:r w:rsidRPr="00876DBC">
        <w:rPr>
          <w:rFonts w:ascii="Arial Narrow" w:hAnsi="Arial Narrow"/>
          <w:sz w:val="18"/>
          <w:szCs w:val="18"/>
        </w:rPr>
        <w:t>, November 2022; Letter from Boehringer Ingelheim, 16 December 2022.</w:t>
      </w:r>
    </w:p>
    <w:p w14:paraId="03466F4F" w14:textId="4028D36F" w:rsidR="00334395" w:rsidRDefault="00334395" w:rsidP="00F04147">
      <w:pPr>
        <w:rPr>
          <w:rFonts w:ascii="Arial Narrow" w:hAnsi="Arial Narrow"/>
          <w:sz w:val="18"/>
          <w:szCs w:val="18"/>
        </w:rPr>
      </w:pPr>
    </w:p>
    <w:p w14:paraId="4705BF6C" w14:textId="77777777" w:rsidR="00334395" w:rsidRPr="0077717E" w:rsidRDefault="00334395" w:rsidP="00334395">
      <w:pPr>
        <w:rPr>
          <w:rFonts w:ascii="Arial Narrow" w:hAnsi="Arial Narrow"/>
          <w:i/>
          <w:sz w:val="18"/>
          <w:szCs w:val="18"/>
        </w:rPr>
      </w:pPr>
      <w:r w:rsidRPr="0077717E">
        <w:rPr>
          <w:rFonts w:ascii="Arial Narrow" w:hAnsi="Arial Narrow"/>
          <w:i/>
          <w:sz w:val="18"/>
          <w:szCs w:val="18"/>
        </w:rPr>
        <w:t xml:space="preserve">The redacted values correspond to the following ranges: </w:t>
      </w:r>
    </w:p>
    <w:p w14:paraId="46F9501C" w14:textId="5A837446" w:rsidR="00334395" w:rsidRPr="00E72650" w:rsidRDefault="00334395" w:rsidP="00334395">
      <w:pPr>
        <w:ind w:right="150"/>
        <w:rPr>
          <w:rFonts w:ascii="Arial Narrow" w:hAnsi="Arial Narrow"/>
          <w:i/>
          <w:color w:val="333333"/>
          <w:sz w:val="18"/>
          <w:szCs w:val="18"/>
        </w:rPr>
      </w:pPr>
      <w:r w:rsidRPr="00E72650">
        <w:rPr>
          <w:rFonts w:ascii="Arial Narrow" w:hAnsi="Arial Narrow"/>
          <w:i/>
          <w:color w:val="333333"/>
          <w:sz w:val="18"/>
          <w:szCs w:val="18"/>
          <w:vertAlign w:val="superscript"/>
        </w:rPr>
        <w:t>1</w:t>
      </w:r>
      <w:r w:rsidRPr="00E72650">
        <w:rPr>
          <w:rFonts w:ascii="Arial Narrow" w:hAnsi="Arial Narrow"/>
          <w:i/>
          <w:color w:val="333333"/>
          <w:sz w:val="18"/>
          <w:szCs w:val="18"/>
        </w:rPr>
        <w:t>$10 million to &lt; $20 million</w:t>
      </w:r>
    </w:p>
    <w:p w14:paraId="76916C3E" w14:textId="7B62BE44" w:rsidR="00334395" w:rsidRPr="00E72650" w:rsidRDefault="00334395" w:rsidP="00334395">
      <w:pPr>
        <w:ind w:right="150"/>
        <w:rPr>
          <w:rFonts w:ascii="Arial Narrow" w:hAnsi="Arial Narrow"/>
          <w:i/>
          <w:color w:val="333333"/>
          <w:sz w:val="18"/>
          <w:szCs w:val="18"/>
        </w:rPr>
      </w:pPr>
      <w:r w:rsidRPr="00E72650">
        <w:rPr>
          <w:rFonts w:ascii="Arial Narrow" w:hAnsi="Arial Narrow"/>
          <w:i/>
          <w:color w:val="333333"/>
          <w:sz w:val="18"/>
          <w:szCs w:val="18"/>
          <w:vertAlign w:val="superscript"/>
        </w:rPr>
        <w:t>2</w:t>
      </w:r>
      <w:r w:rsidRPr="00E72650">
        <w:rPr>
          <w:rFonts w:ascii="Arial Narrow" w:hAnsi="Arial Narrow"/>
          <w:i/>
          <w:color w:val="333333"/>
          <w:sz w:val="18"/>
          <w:szCs w:val="18"/>
        </w:rPr>
        <w:t>$20 million to &lt; $30 million</w:t>
      </w:r>
    </w:p>
    <w:p w14:paraId="049A8B25" w14:textId="4335479C" w:rsidR="00334395" w:rsidRPr="00E72650" w:rsidRDefault="00334395" w:rsidP="00334395">
      <w:pPr>
        <w:ind w:right="150"/>
        <w:rPr>
          <w:rFonts w:ascii="Arial Narrow" w:hAnsi="Arial Narrow"/>
          <w:i/>
          <w:color w:val="333333"/>
          <w:sz w:val="18"/>
          <w:szCs w:val="18"/>
        </w:rPr>
      </w:pPr>
      <w:r w:rsidRPr="00E72650">
        <w:rPr>
          <w:rFonts w:ascii="Arial Narrow" w:hAnsi="Arial Narrow"/>
          <w:i/>
          <w:color w:val="333333"/>
          <w:sz w:val="18"/>
          <w:szCs w:val="18"/>
          <w:vertAlign w:val="superscript"/>
        </w:rPr>
        <w:t>3</w:t>
      </w:r>
      <w:r w:rsidRPr="00E72650">
        <w:rPr>
          <w:rFonts w:ascii="Arial Narrow" w:hAnsi="Arial Narrow"/>
          <w:i/>
          <w:color w:val="333333"/>
          <w:sz w:val="18"/>
          <w:szCs w:val="18"/>
        </w:rPr>
        <w:t>$30 million to &lt; $40 million</w:t>
      </w:r>
    </w:p>
    <w:p w14:paraId="1F8B49DA" w14:textId="7B904D71" w:rsidR="00334395" w:rsidRPr="00E72650" w:rsidRDefault="00334395" w:rsidP="00334395">
      <w:pPr>
        <w:ind w:right="150"/>
        <w:rPr>
          <w:rFonts w:ascii="Arial Narrow" w:hAnsi="Arial Narrow"/>
          <w:b/>
          <w:i/>
          <w:color w:val="333333"/>
          <w:sz w:val="18"/>
          <w:szCs w:val="18"/>
        </w:rPr>
      </w:pPr>
      <w:r w:rsidRPr="00E72650">
        <w:rPr>
          <w:rFonts w:ascii="Arial Narrow" w:hAnsi="Arial Narrow"/>
          <w:i/>
          <w:color w:val="333333"/>
          <w:sz w:val="18"/>
          <w:szCs w:val="18"/>
          <w:vertAlign w:val="superscript"/>
        </w:rPr>
        <w:t>4</w:t>
      </w:r>
      <w:r w:rsidRPr="00E72650">
        <w:rPr>
          <w:rFonts w:ascii="Arial Narrow" w:hAnsi="Arial Narrow"/>
          <w:i/>
          <w:color w:val="333333"/>
          <w:sz w:val="18"/>
          <w:szCs w:val="18"/>
        </w:rPr>
        <w:t>$40 million to &lt; $50 million</w:t>
      </w:r>
    </w:p>
    <w:p w14:paraId="674AEF49" w14:textId="4AF8B36B" w:rsidR="00334395" w:rsidRPr="00E72650" w:rsidRDefault="00334395" w:rsidP="00334395">
      <w:pPr>
        <w:ind w:right="150"/>
        <w:rPr>
          <w:rFonts w:ascii="Arial Narrow" w:hAnsi="Arial Narrow"/>
          <w:i/>
          <w:color w:val="333333"/>
          <w:sz w:val="18"/>
          <w:szCs w:val="18"/>
        </w:rPr>
      </w:pPr>
      <w:r w:rsidRPr="00E72650">
        <w:rPr>
          <w:rFonts w:ascii="Arial Narrow" w:hAnsi="Arial Narrow"/>
          <w:i/>
          <w:color w:val="333333"/>
          <w:sz w:val="18"/>
          <w:szCs w:val="18"/>
          <w:vertAlign w:val="superscript"/>
        </w:rPr>
        <w:t>5</w:t>
      </w:r>
      <w:r w:rsidRPr="00E72650">
        <w:rPr>
          <w:rFonts w:ascii="Arial Narrow" w:hAnsi="Arial Narrow"/>
          <w:i/>
          <w:color w:val="333333"/>
          <w:sz w:val="18"/>
          <w:szCs w:val="18"/>
        </w:rPr>
        <w:t>$50 million to &lt; $60 million</w:t>
      </w:r>
    </w:p>
    <w:p w14:paraId="442A7C9E" w14:textId="66F6A083" w:rsidR="0077717E" w:rsidRPr="00E72650" w:rsidRDefault="0077717E" w:rsidP="0077717E">
      <w:pPr>
        <w:ind w:right="150"/>
        <w:rPr>
          <w:rFonts w:ascii="Arial Narrow" w:hAnsi="Arial Narrow"/>
          <w:i/>
          <w:color w:val="333333"/>
          <w:sz w:val="18"/>
          <w:szCs w:val="18"/>
        </w:rPr>
      </w:pPr>
      <w:r w:rsidRPr="00E72650">
        <w:rPr>
          <w:rFonts w:ascii="Arial Narrow" w:hAnsi="Arial Narrow"/>
          <w:i/>
          <w:color w:val="333333"/>
          <w:sz w:val="18"/>
          <w:szCs w:val="18"/>
          <w:vertAlign w:val="superscript"/>
        </w:rPr>
        <w:t>6</w:t>
      </w:r>
      <w:r w:rsidRPr="00E72650">
        <w:rPr>
          <w:rFonts w:ascii="Arial Narrow" w:hAnsi="Arial Narrow"/>
          <w:i/>
          <w:color w:val="333333"/>
          <w:sz w:val="18"/>
          <w:szCs w:val="18"/>
        </w:rPr>
        <w:t>$70 million to &lt; $80 million</w:t>
      </w:r>
    </w:p>
    <w:p w14:paraId="69F7ECF9" w14:textId="2F1D6D01" w:rsidR="00334395" w:rsidRPr="00E72650" w:rsidRDefault="0077717E" w:rsidP="00334395">
      <w:pPr>
        <w:ind w:right="150"/>
        <w:rPr>
          <w:rFonts w:ascii="Arial Narrow" w:hAnsi="Arial Narrow"/>
          <w:i/>
          <w:color w:val="333333"/>
          <w:sz w:val="18"/>
          <w:szCs w:val="18"/>
        </w:rPr>
      </w:pPr>
      <w:r w:rsidRPr="00E72650">
        <w:rPr>
          <w:rFonts w:ascii="Arial Narrow" w:hAnsi="Arial Narrow"/>
          <w:i/>
          <w:color w:val="333333"/>
          <w:sz w:val="18"/>
          <w:szCs w:val="18"/>
          <w:vertAlign w:val="superscript"/>
        </w:rPr>
        <w:t>7</w:t>
      </w:r>
      <w:r w:rsidRPr="00E72650">
        <w:rPr>
          <w:rFonts w:ascii="Arial Narrow" w:hAnsi="Arial Narrow"/>
          <w:i/>
          <w:color w:val="333333"/>
          <w:sz w:val="18"/>
          <w:szCs w:val="18"/>
        </w:rPr>
        <w:t>$200 million to &lt; $300 million</w:t>
      </w:r>
    </w:p>
    <w:p w14:paraId="13786969" w14:textId="7E93A0B6" w:rsidR="0077717E" w:rsidRPr="00E72650" w:rsidRDefault="0077717E" w:rsidP="0077717E">
      <w:pPr>
        <w:ind w:right="150"/>
        <w:rPr>
          <w:rFonts w:ascii="Arial Narrow" w:hAnsi="Arial Narrow"/>
          <w:i/>
          <w:color w:val="333333"/>
          <w:sz w:val="18"/>
          <w:szCs w:val="18"/>
        </w:rPr>
      </w:pPr>
      <w:r w:rsidRPr="00E72650">
        <w:rPr>
          <w:rFonts w:ascii="Arial Narrow" w:hAnsi="Arial Narrow"/>
          <w:i/>
          <w:color w:val="333333"/>
          <w:sz w:val="18"/>
          <w:szCs w:val="18"/>
          <w:vertAlign w:val="superscript"/>
        </w:rPr>
        <w:t>8</w:t>
      </w:r>
      <w:r w:rsidRPr="00E72650">
        <w:rPr>
          <w:rFonts w:ascii="Arial Narrow" w:hAnsi="Arial Narrow"/>
          <w:i/>
          <w:color w:val="333333"/>
          <w:sz w:val="18"/>
          <w:szCs w:val="18"/>
        </w:rPr>
        <w:t>$60 million to &lt; $70 million</w:t>
      </w:r>
    </w:p>
    <w:p w14:paraId="5F2DC746" w14:textId="4DF41F0B" w:rsidR="0077717E" w:rsidRPr="00E72650" w:rsidRDefault="0077717E" w:rsidP="0077717E">
      <w:pPr>
        <w:ind w:right="150"/>
        <w:rPr>
          <w:rFonts w:ascii="Arial Narrow" w:hAnsi="Arial Narrow"/>
          <w:b/>
          <w:i/>
          <w:color w:val="333333"/>
          <w:sz w:val="18"/>
          <w:szCs w:val="18"/>
        </w:rPr>
      </w:pPr>
      <w:r w:rsidRPr="00E72650">
        <w:rPr>
          <w:rFonts w:ascii="Arial Narrow" w:hAnsi="Arial Narrow"/>
          <w:i/>
          <w:color w:val="333333"/>
          <w:sz w:val="18"/>
          <w:szCs w:val="18"/>
          <w:vertAlign w:val="superscript"/>
        </w:rPr>
        <w:t>9</w:t>
      </w:r>
      <w:r w:rsidRPr="00E72650">
        <w:rPr>
          <w:rFonts w:ascii="Arial Narrow" w:hAnsi="Arial Narrow"/>
          <w:i/>
          <w:color w:val="333333"/>
          <w:sz w:val="18"/>
          <w:szCs w:val="18"/>
        </w:rPr>
        <w:t>$90 million to &lt; $100 million</w:t>
      </w:r>
    </w:p>
    <w:p w14:paraId="794429D5" w14:textId="6BBC92E7" w:rsidR="00334395" w:rsidRPr="00876DBC" w:rsidRDefault="0077717E" w:rsidP="00E72650">
      <w:pPr>
        <w:ind w:right="150"/>
        <w:rPr>
          <w:rFonts w:ascii="Arial Narrow" w:hAnsi="Arial Narrow"/>
          <w:sz w:val="18"/>
          <w:szCs w:val="18"/>
        </w:rPr>
      </w:pPr>
      <w:r w:rsidRPr="00E72650">
        <w:rPr>
          <w:rFonts w:ascii="Arial Narrow" w:hAnsi="Arial Narrow"/>
          <w:i/>
          <w:color w:val="333333"/>
          <w:sz w:val="18"/>
          <w:szCs w:val="18"/>
          <w:vertAlign w:val="superscript"/>
        </w:rPr>
        <w:t>10</w:t>
      </w:r>
      <w:r w:rsidRPr="00E72650">
        <w:rPr>
          <w:rFonts w:ascii="Arial Narrow" w:hAnsi="Arial Narrow"/>
          <w:i/>
          <w:color w:val="333333"/>
          <w:sz w:val="18"/>
          <w:szCs w:val="18"/>
        </w:rPr>
        <w:t>$300 million to &lt; $400 million</w:t>
      </w:r>
    </w:p>
    <w:p w14:paraId="4697F767" w14:textId="77777777" w:rsidR="00F04147" w:rsidRPr="004A2200" w:rsidRDefault="00F04147" w:rsidP="00F04147">
      <w:pPr>
        <w:pStyle w:val="COMH1numbered"/>
      </w:pPr>
      <w:r w:rsidRPr="004A2200">
        <w:rPr>
          <w:bCs/>
        </w:rPr>
        <w:t xml:space="preserve">Other </w:t>
      </w:r>
      <w:r w:rsidRPr="004A2200">
        <w:t>considerations</w:t>
      </w:r>
    </w:p>
    <w:p w14:paraId="4EFB108B" w14:textId="77777777" w:rsidR="00F04147" w:rsidRPr="004A2200" w:rsidRDefault="00F04147" w:rsidP="00F04147">
      <w:pPr>
        <w:pStyle w:val="COMH2-non-numbered"/>
      </w:pPr>
      <w:r w:rsidRPr="004A2200">
        <w:t>Requested restriction</w:t>
      </w:r>
    </w:p>
    <w:p w14:paraId="10B69471" w14:textId="77777777" w:rsidR="00F04147" w:rsidRPr="004A2200" w:rsidRDefault="00F04147" w:rsidP="00F04147">
      <w:pPr>
        <w:pStyle w:val="ExecSumBodyText"/>
        <w:numPr>
          <w:ilvl w:val="1"/>
          <w:numId w:val="1"/>
        </w:numPr>
        <w:snapToGrid w:val="0"/>
      </w:pPr>
      <w:r w:rsidRPr="004A2200">
        <w:t xml:space="preserve">In November 2022, the PBAC recommended revision to the proposed restriction to reflect that the requirement for documented evidence of structural changes in the heart on echocardiography would apply for all patients, in addition to at least one of four additional criteria, including </w:t>
      </w:r>
      <w:r w:rsidRPr="004A2200">
        <w:rPr>
          <w:iCs/>
        </w:rPr>
        <w:t xml:space="preserve">NT-proBNP criterion (see paragraphs </w:t>
      </w:r>
      <w:r w:rsidRPr="001E1ED1">
        <w:rPr>
          <w:iCs/>
        </w:rPr>
        <w:fldChar w:fldCharType="begin" w:fldLock="1"/>
      </w:r>
      <w:r w:rsidRPr="004A2200">
        <w:rPr>
          <w:iCs/>
        </w:rPr>
        <w:instrText xml:space="preserve"> REF _Ref120800479 \r \h </w:instrText>
      </w:r>
      <w:r w:rsidRPr="001E1ED1">
        <w:rPr>
          <w:iCs/>
        </w:rPr>
      </w:r>
      <w:r w:rsidRPr="001E1ED1">
        <w:rPr>
          <w:iCs/>
        </w:rPr>
        <w:fldChar w:fldCharType="separate"/>
      </w:r>
      <w:r w:rsidRPr="001E1ED1">
        <w:rPr>
          <w:iCs/>
        </w:rPr>
        <w:t>3.7</w:t>
      </w:r>
      <w:r w:rsidRPr="001E1ED1">
        <w:rPr>
          <w:iCs/>
        </w:rPr>
        <w:fldChar w:fldCharType="end"/>
      </w:r>
      <w:r w:rsidRPr="001E1ED1">
        <w:rPr>
          <w:iCs/>
        </w:rPr>
        <w:t xml:space="preserve"> and 7.14 above</w:t>
      </w:r>
      <w:r w:rsidRPr="004A2200">
        <w:rPr>
          <w:iCs/>
        </w:rPr>
        <w:t>)</w:t>
      </w:r>
      <w:r w:rsidRPr="004A2200">
        <w:t>.</w:t>
      </w:r>
    </w:p>
    <w:p w14:paraId="476974C3" w14:textId="77777777" w:rsidR="00F04147" w:rsidRPr="004A2200" w:rsidRDefault="00F04147" w:rsidP="00F04147">
      <w:pPr>
        <w:pStyle w:val="ExecSumBodyText"/>
        <w:numPr>
          <w:ilvl w:val="1"/>
          <w:numId w:val="36"/>
        </w:numPr>
        <w:snapToGrid w:val="0"/>
      </w:pPr>
      <w:r w:rsidRPr="004A2200">
        <w:t>The sponsor letter from 16 December 2022 highlighted a concern that this requirement would exclude a small subset of patients who (a) may not have overt structural changes on echocardiography but have evidence of diastolic dysfunction such as high filling pressure that would be diagnostic of heart failure, or (b) have no or poorly documented echocardiography results from prior hospitalisation for heart failure event.</w:t>
      </w:r>
    </w:p>
    <w:p w14:paraId="33B14225" w14:textId="77777777" w:rsidR="00F04147" w:rsidRPr="004A2200" w:rsidRDefault="00F04147" w:rsidP="00F04147">
      <w:pPr>
        <w:pStyle w:val="ExecSumBodyText"/>
        <w:numPr>
          <w:ilvl w:val="1"/>
          <w:numId w:val="36"/>
        </w:numPr>
        <w:snapToGrid w:val="0"/>
      </w:pPr>
      <w:r w:rsidRPr="004A2200">
        <w:t>The letter requested the PBAC accept the Secretariat revised wording from the November 2022 submission (see proposed wording under paragraph 3.1 above) or alternatively a further revision to the wording be made to more closely reflect current Australian clinical guidelines (see Figure 1 below).</w:t>
      </w:r>
    </w:p>
    <w:p w14:paraId="32434F19" w14:textId="437F7A08" w:rsidR="00F04147" w:rsidRPr="004A2200" w:rsidRDefault="00F04147" w:rsidP="002276F5">
      <w:pPr>
        <w:pStyle w:val="TableFigureCaption"/>
      </w:pPr>
      <w:r w:rsidRPr="004A2200">
        <w:lastRenderedPageBreak/>
        <w:t>Figure 1: Proposed alternative wording for the clinical criteria for the restriction</w:t>
      </w:r>
      <w:r w:rsidR="00FD0E07" w:rsidRPr="004A2200">
        <w:rPr>
          <w:noProof/>
        </w:rPr>
        <w:drawing>
          <wp:inline distT="0" distB="0" distL="0" distR="0" wp14:anchorId="6A58DB38" wp14:editId="4804FA7F">
            <wp:extent cx="5732145" cy="2891790"/>
            <wp:effectExtent l="0" t="0" r="1905" b="3810"/>
            <wp:docPr id="1" name="Picture 1" descr="Figure 1: Proposed alternative wording for the clinical criteria for the restri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1: Proposed alternative wording for the clinical criteria for the restriction"/>
                    <pic:cNvPicPr>
                      <a:picLocks noChangeAspect="1" noChangeArrowheads="1"/>
                    </pic:cNvPicPr>
                  </pic:nvPicPr>
                  <pic:blipFill rotWithShape="1">
                    <a:blip r:embed="rId11">
                      <a:extLst>
                        <a:ext uri="{28A0092B-C50C-407E-A947-70E740481C1C}">
                          <a14:useLocalDpi xmlns:a14="http://schemas.microsoft.com/office/drawing/2010/main" val="0"/>
                        </a:ext>
                      </a:extLst>
                    </a:blip>
                    <a:srcRect b="4918"/>
                    <a:stretch/>
                  </pic:blipFill>
                  <pic:spPr bwMode="auto">
                    <a:xfrm>
                      <a:off x="0" y="0"/>
                      <a:ext cx="5732145" cy="2891790"/>
                    </a:xfrm>
                    <a:prstGeom prst="rect">
                      <a:avLst/>
                    </a:prstGeom>
                    <a:noFill/>
                    <a:ln>
                      <a:noFill/>
                    </a:ln>
                    <a:extLst>
                      <a:ext uri="{53640926-AAD7-44D8-BBD7-CCE9431645EC}">
                        <a14:shadowObscured xmlns:a14="http://schemas.microsoft.com/office/drawing/2010/main"/>
                      </a:ext>
                    </a:extLst>
                  </pic:spPr>
                </pic:pic>
              </a:graphicData>
            </a:graphic>
          </wp:inline>
        </w:drawing>
      </w:r>
    </w:p>
    <w:p w14:paraId="5B3E3AC3" w14:textId="77777777" w:rsidR="00F04147" w:rsidRPr="00876DBC" w:rsidRDefault="00F04147" w:rsidP="00F04147">
      <w:pPr>
        <w:pStyle w:val="ExecSumBodyText"/>
        <w:snapToGrid w:val="0"/>
        <w:rPr>
          <w:sz w:val="22"/>
          <w:szCs w:val="22"/>
        </w:rPr>
      </w:pPr>
      <w:r w:rsidRPr="00876DBC">
        <w:rPr>
          <w:rFonts w:ascii="Arial Narrow" w:hAnsi="Arial Narrow"/>
          <w:sz w:val="18"/>
          <w:szCs w:val="18"/>
        </w:rPr>
        <w:t>Source: letter from Boehringer Ingelheim, 16 December 2022.</w:t>
      </w:r>
    </w:p>
    <w:p w14:paraId="7D612C05" w14:textId="77777777" w:rsidR="00F04147" w:rsidRPr="004A2200" w:rsidRDefault="00F04147" w:rsidP="00F04147">
      <w:pPr>
        <w:pStyle w:val="COMH1numbered"/>
      </w:pPr>
      <w:r w:rsidRPr="004A2200">
        <w:t xml:space="preserve">PBAC </w:t>
      </w:r>
      <w:r w:rsidRPr="004A2200">
        <w:rPr>
          <w:bCs/>
        </w:rPr>
        <w:t>Outcome</w:t>
      </w:r>
    </w:p>
    <w:p w14:paraId="13E2AC36" w14:textId="77777777" w:rsidR="00F04147" w:rsidRPr="004A2200" w:rsidRDefault="00F04147" w:rsidP="00F04147">
      <w:pPr>
        <w:pStyle w:val="ExecSumBodyText"/>
        <w:numPr>
          <w:ilvl w:val="1"/>
          <w:numId w:val="36"/>
        </w:numPr>
        <w:snapToGrid w:val="0"/>
      </w:pPr>
      <w:r w:rsidRPr="004A2200">
        <w:t>The PBAC recommended extending the existing listing of empagliflozin to include a General Schedule Authority Required (Streamlined) listing for the treatment of chronic heart failure in patients with a left ventricular ejection fraction greater than 40%.  The PBAC considered there was a high unmet clinical need for effective treatments for patients with this condition. The PBAC noted that empagliflozin when added to standard care provided a statistically significant improvement in efficacy over standard care alone in the proposed population</w:t>
      </w:r>
      <w:r w:rsidRPr="004A2200">
        <w:rPr>
          <w:bCs/>
        </w:rPr>
        <w:t xml:space="preserve"> based on the primary composite outcome in EMPEROR-Preserved (time to first cardiovascular death or hospitalisation for heart failure)</w:t>
      </w:r>
      <w:r w:rsidRPr="004A2200">
        <w:t xml:space="preserve">. The PBAC considered that the sponsor had addressed the substantive outstanding issues identified at the November 2022 PBAC meeting via the proposed price reduction and risk sharing arrangement.  </w:t>
      </w:r>
      <w:r w:rsidRPr="004A2200">
        <w:rPr>
          <w:rFonts w:ascii="Calibri" w:hAnsi="Calibri"/>
          <w:snapToGrid/>
        </w:rPr>
        <w:t xml:space="preserve">The PBAC’s recommendation for listing was based on, among other matters, its assessment, as described above, that the cost-effectiveness of empagliflozin would be acceptable at the price proposed in the revised offer of 16 December 2022. </w:t>
      </w:r>
    </w:p>
    <w:p w14:paraId="79F558C6" w14:textId="49300019" w:rsidR="00F04147" w:rsidRPr="004A2200" w:rsidRDefault="00F04147" w:rsidP="00F04147">
      <w:pPr>
        <w:pStyle w:val="ExecSumBodyText"/>
        <w:numPr>
          <w:ilvl w:val="1"/>
          <w:numId w:val="36"/>
        </w:numPr>
        <w:snapToGrid w:val="0"/>
      </w:pPr>
      <w:r w:rsidRPr="004A2200">
        <w:t xml:space="preserve">The PBAC noted the revised price offered was </w:t>
      </w:r>
      <w:r w:rsidR="00683B96" w:rsidRPr="00642F27">
        <w:rPr>
          <w:color w:val="000000"/>
          <w:w w:val="62"/>
          <w:shd w:val="solid" w:color="000000" w:fill="000000"/>
          <w:fitText w:val="620" w:id="-1279594227"/>
          <w14:textFill>
            <w14:solidFill>
              <w14:srgbClr w14:val="000000">
                <w14:alpha w14:val="100000"/>
              </w14:srgbClr>
            </w14:solidFill>
          </w14:textFill>
        </w:rPr>
        <w:t>||||  ||||</w:t>
      </w:r>
      <w:r w:rsidRPr="004A2200">
        <w:t xml:space="preserve">% below the current price for chronic heart failure in patients with LVEF ≤40% and resulted in an ICER of </w:t>
      </w:r>
      <w:r w:rsidR="0077717E" w:rsidRPr="0077717E">
        <w:t>$15,000 to &lt; $25,000</w:t>
      </w:r>
      <w:r w:rsidRPr="004A2200">
        <w:t xml:space="preserve">/QALY gained for patients with chronic heart failure in patients with LVEF &gt;40%. This price reduction was deemed acceptable in reference to the issues raised in section 7 regarding a more modest treatment effect in patients with chronic heart failure with preserved or mildly reduced ejection fraction (HFpEF or HFmrEF) compared to those with chronic heart failure with reduced ejection fraction (HRrF), and the model uncertainty. </w:t>
      </w:r>
    </w:p>
    <w:p w14:paraId="545B96DE" w14:textId="4BCA1D47" w:rsidR="00F04147" w:rsidRPr="001E1ED1" w:rsidRDefault="00F04147" w:rsidP="00F04147">
      <w:pPr>
        <w:pStyle w:val="ExecSumBodyText"/>
        <w:widowControl w:val="0"/>
        <w:numPr>
          <w:ilvl w:val="1"/>
          <w:numId w:val="36"/>
        </w:numPr>
        <w:snapToGrid w:val="0"/>
      </w:pPr>
      <w:r w:rsidRPr="004A2200">
        <w:lastRenderedPageBreak/>
        <w:t xml:space="preserve">The PBAC noted the proposed RSA now included a </w:t>
      </w:r>
      <w:r w:rsidR="00683B96" w:rsidRPr="00642F27">
        <w:rPr>
          <w:color w:val="000000"/>
          <w:w w:val="63"/>
          <w:shd w:val="solid" w:color="000000" w:fill="000000"/>
          <w:fitText w:val="630" w:id="-1279594226"/>
          <w14:textFill>
            <w14:solidFill>
              <w14:srgbClr w14:val="000000">
                <w14:alpha w14:val="100000"/>
              </w14:srgbClr>
            </w14:solidFill>
          </w14:textFill>
        </w:rPr>
        <w:t>||||  ||||</w:t>
      </w:r>
      <w:r w:rsidRPr="004A2200">
        <w:t xml:space="preserve"> rebate over the revised caps, which aligned with the November 2022 PBAC advice.  The PBAC recalled that in November 2022, it had considered a separate cap would be appropriate for the proposed HFmrEF/HFpEF listing due to the substantial risk of leakage for this indication into populations with dyspnoea of multifactorial aetiology and which may not exclusively or predominantly be due to HFpEF (see paragraph </w:t>
      </w:r>
      <w:r w:rsidRPr="001E1ED1">
        <w:fldChar w:fldCharType="begin" w:fldLock="1"/>
      </w:r>
      <w:r w:rsidRPr="004A2200">
        <w:instrText xml:space="preserve"> REF _Ref120801950 \r \h </w:instrText>
      </w:r>
      <w:r w:rsidRPr="001E1ED1">
        <w:fldChar w:fldCharType="separate"/>
      </w:r>
      <w:r w:rsidRPr="001E1ED1">
        <w:t>7.11</w:t>
      </w:r>
      <w:r w:rsidRPr="001E1ED1">
        <w:fldChar w:fldCharType="end"/>
      </w:r>
      <w:r w:rsidRPr="001E1ED1">
        <w:t>).</w:t>
      </w:r>
    </w:p>
    <w:p w14:paraId="58B7B510" w14:textId="77777777" w:rsidR="00F04147" w:rsidRPr="004A2200" w:rsidRDefault="00F04147" w:rsidP="00F04147">
      <w:pPr>
        <w:pStyle w:val="ExecSumBodyText"/>
        <w:numPr>
          <w:ilvl w:val="1"/>
          <w:numId w:val="36"/>
        </w:numPr>
        <w:snapToGrid w:val="0"/>
      </w:pPr>
      <w:r w:rsidRPr="004A2200">
        <w:t xml:space="preserve">The PBAC noted the request for modification of the proposed restriction criteria, however considered that the criteria were appropriate as documented in the November 2022 PBAC </w:t>
      </w:r>
      <w:r>
        <w:t>PSD</w:t>
      </w:r>
      <w:r w:rsidRPr="004A2200">
        <w:t xml:space="preserve"> (paragraph 3.7 and 7.14).  The PBAC advised the wording was chosen to ensure that patients who do not have HFpEF do not receive it, rather than inadvertently excluding people who do have HFpEF. The PBAC disagreed with the sponsor that the population who does not have structural changes would be a “small but vulnerable patient population” and that access to echocardiography should pose a block to access to the drug. A cardiac reason for HFpEF (left ventricular hypertrophy (LVH), valvular disease etc) is a necessary prerequisite for access otherwise patients with symptoms, but who have multiple other (potential) causes of dyspnoea (age, physical fitness, body mass index (BMI) etc) can be diagnosed with HFpEF. The PBAC considered that all patients treated with empagliflozin for HFpEF should have had an echocardiogram at least in the last 12 months. Thus, the PBAC considered the approaches proffered by the sponsor are not going to be sufficiently targeted, and the PBAC requirement that evidence of structural change is a necessary but insufficient criteria (i.e. cannot be an OR but must be an AND) should remain.  </w:t>
      </w:r>
    </w:p>
    <w:p w14:paraId="1AAA0EAA" w14:textId="77777777" w:rsidR="00F04147" w:rsidRPr="001E1ED1" w:rsidRDefault="00F04147" w:rsidP="00F04147">
      <w:pPr>
        <w:pStyle w:val="ExecSumBodyText"/>
        <w:numPr>
          <w:ilvl w:val="1"/>
          <w:numId w:val="36"/>
        </w:numPr>
        <w:snapToGrid w:val="0"/>
      </w:pPr>
      <w:r w:rsidRPr="004A2200">
        <w:t xml:space="preserve">The PBAC considered that a further clinician meeting could be held to discuss any residual </w:t>
      </w:r>
      <w:r w:rsidRPr="001E1ED1">
        <w:t>concerns about the proposed restriction criteria if required.</w:t>
      </w:r>
    </w:p>
    <w:p w14:paraId="09016029" w14:textId="77777777" w:rsidR="00F04147" w:rsidRPr="001E1ED1" w:rsidRDefault="00F04147" w:rsidP="00F04147">
      <w:pPr>
        <w:widowControl w:val="0"/>
        <w:numPr>
          <w:ilvl w:val="1"/>
          <w:numId w:val="1"/>
        </w:numPr>
        <w:spacing w:after="120"/>
        <w:ind w:left="720" w:hanging="720"/>
        <w:rPr>
          <w:rFonts w:asciiTheme="minorHAnsi" w:hAnsiTheme="minorHAnsi"/>
          <w:bCs/>
          <w:snapToGrid w:val="0"/>
          <w:lang w:eastAsia="en-US"/>
        </w:rPr>
      </w:pPr>
      <w:r w:rsidRPr="001E1ED1">
        <w:rPr>
          <w:rFonts w:asciiTheme="minorHAnsi" w:hAnsiTheme="minorHAnsi"/>
          <w:bCs/>
          <w:snapToGrid w:val="0"/>
          <w:lang w:eastAsia="en-US"/>
        </w:rPr>
        <w:t>The PBAC advised that empaglif</w:t>
      </w:r>
      <w:r>
        <w:rPr>
          <w:rFonts w:asciiTheme="minorHAnsi" w:hAnsiTheme="minorHAnsi"/>
          <w:bCs/>
          <w:snapToGrid w:val="0"/>
          <w:lang w:eastAsia="en-US"/>
        </w:rPr>
        <w:t>l</w:t>
      </w:r>
      <w:r w:rsidRPr="001E1ED1">
        <w:rPr>
          <w:rFonts w:asciiTheme="minorHAnsi" w:hAnsiTheme="minorHAnsi"/>
          <w:bCs/>
          <w:snapToGrid w:val="0"/>
          <w:lang w:eastAsia="en-US"/>
        </w:rPr>
        <w:t xml:space="preserve">ozin is suitable for prescribing by nurse practitioners </w:t>
      </w:r>
      <w:r w:rsidRPr="001E1ED1">
        <w:t xml:space="preserve">within collaborative arrangements as continuing therapy only. This would be consistent with existing arrangements for empagliflozin for LVEF ≤40%. </w:t>
      </w:r>
    </w:p>
    <w:p w14:paraId="14D2B48D" w14:textId="77777777" w:rsidR="00F04147" w:rsidRPr="001E1ED1" w:rsidRDefault="00F04147" w:rsidP="00F04147">
      <w:pPr>
        <w:widowControl w:val="0"/>
        <w:numPr>
          <w:ilvl w:val="1"/>
          <w:numId w:val="1"/>
        </w:numPr>
        <w:spacing w:after="120"/>
        <w:ind w:left="720" w:hanging="720"/>
        <w:jc w:val="left"/>
        <w:rPr>
          <w:rFonts w:asciiTheme="minorHAnsi" w:hAnsiTheme="minorHAnsi"/>
          <w:bCs/>
          <w:snapToGrid w:val="0"/>
          <w:lang w:eastAsia="en-US"/>
        </w:rPr>
      </w:pPr>
      <w:r w:rsidRPr="001E1ED1">
        <w:rPr>
          <w:rFonts w:asciiTheme="minorHAnsi" w:hAnsiTheme="minorHAnsi"/>
          <w:bCs/>
          <w:snapToGrid w:val="0"/>
          <w:lang w:eastAsia="en-US"/>
        </w:rPr>
        <w:t xml:space="preserve">The PBAC recommended that the Early Supply Rule should apply to the proposed listing, which would be consistent with the current PBS listings for empagliflozin. </w:t>
      </w:r>
    </w:p>
    <w:p w14:paraId="72654CC7" w14:textId="77777777" w:rsidR="00F04147" w:rsidRPr="004A2200" w:rsidRDefault="00F04147" w:rsidP="00F04147">
      <w:pPr>
        <w:widowControl w:val="0"/>
        <w:numPr>
          <w:ilvl w:val="1"/>
          <w:numId w:val="1"/>
        </w:numPr>
        <w:spacing w:after="120"/>
        <w:ind w:left="720" w:hanging="720"/>
        <w:rPr>
          <w:rFonts w:asciiTheme="minorHAnsi" w:hAnsiTheme="minorHAnsi"/>
          <w:bCs/>
          <w:snapToGrid w:val="0"/>
          <w:lang w:eastAsia="en-US"/>
        </w:rPr>
      </w:pPr>
      <w:r w:rsidRPr="004A2200">
        <w:rPr>
          <w:rFonts w:asciiTheme="minorHAnsi" w:hAnsiTheme="minorHAnsi" w:cstheme="minorHAnsi"/>
          <w:lang w:eastAsia="en-US"/>
        </w:rPr>
        <w:t xml:space="preserve">The PBAC found that the criteria prescribed by the </w:t>
      </w:r>
      <w:r w:rsidRPr="004A2200">
        <w:rPr>
          <w:rFonts w:asciiTheme="minorHAnsi" w:hAnsiTheme="minorHAnsi" w:cstheme="minorHAnsi"/>
          <w:i/>
          <w:lang w:eastAsia="en-US"/>
        </w:rPr>
        <w:t>National Health (Pharmaceuticals and Vaccines – Cost Recovery) Regulations 2022</w:t>
      </w:r>
      <w:r w:rsidRPr="004A2200">
        <w:rPr>
          <w:rFonts w:asciiTheme="minorHAnsi" w:hAnsiTheme="minorHAnsi" w:cstheme="minorHAnsi"/>
          <w:lang w:eastAsia="en-US"/>
        </w:rPr>
        <w:t xml:space="preserve"> for Pricing Pathway A were not met. Specifically the PBAC found that in the circumstances of its recommendation for empagliflozin:</w:t>
      </w:r>
    </w:p>
    <w:p w14:paraId="333F5A0A" w14:textId="77777777" w:rsidR="00F04147" w:rsidRPr="00FC49EB" w:rsidRDefault="00F04147" w:rsidP="00F04147">
      <w:pPr>
        <w:widowControl w:val="0"/>
        <w:numPr>
          <w:ilvl w:val="2"/>
          <w:numId w:val="21"/>
        </w:numPr>
        <w:spacing w:after="120"/>
        <w:rPr>
          <w:rFonts w:asciiTheme="minorHAnsi" w:hAnsiTheme="minorHAnsi" w:cstheme="minorHAnsi"/>
          <w:u w:val="single"/>
          <w:lang w:eastAsia="en-US"/>
        </w:rPr>
      </w:pPr>
      <w:r w:rsidRPr="00FC49EB">
        <w:rPr>
          <w:rFonts w:asciiTheme="minorHAnsi" w:hAnsiTheme="minorHAnsi" w:cstheme="minorHAnsi"/>
        </w:rPr>
        <w:t xml:space="preserve">The treatment is not expected to provide a substantial and clinically relevant improvement in efficacy, over alternative therapies, on the basis that </w:t>
      </w:r>
      <w:r w:rsidRPr="001E1ED1">
        <w:t xml:space="preserve">the treatment effect in the proposed PBS population </w:t>
      </w:r>
      <w:r w:rsidRPr="00FC49EB">
        <w:t>is modest with uncertainty as to the degree of substantial and clinically relevant improvement in efficacy, over alternative therapies</w:t>
      </w:r>
      <w:r w:rsidRPr="001E1ED1">
        <w:t>.</w:t>
      </w:r>
    </w:p>
    <w:p w14:paraId="206E1344" w14:textId="77777777" w:rsidR="00F04147" w:rsidRPr="004A2200" w:rsidRDefault="00F04147" w:rsidP="00F04147">
      <w:pPr>
        <w:widowControl w:val="0"/>
        <w:numPr>
          <w:ilvl w:val="2"/>
          <w:numId w:val="21"/>
        </w:numPr>
        <w:spacing w:after="120"/>
        <w:rPr>
          <w:rFonts w:asciiTheme="minorHAnsi" w:hAnsiTheme="minorHAnsi" w:cstheme="minorHAnsi"/>
          <w:u w:val="single"/>
          <w:lang w:eastAsia="en-US"/>
        </w:rPr>
      </w:pPr>
      <w:r w:rsidRPr="004A2200">
        <w:rPr>
          <w:rFonts w:asciiTheme="minorHAnsi" w:hAnsiTheme="minorHAnsi" w:cstheme="minorHAnsi"/>
        </w:rPr>
        <w:t>The treatment is expected to address a high and urgent unmet clinical need because t</w:t>
      </w:r>
      <w:r w:rsidRPr="001E1ED1">
        <w:t>here are currently no effective treatments for patients with HFmrEF/HFpE</w:t>
      </w:r>
      <w:r w:rsidRPr="004A2200">
        <w:t>F.</w:t>
      </w:r>
    </w:p>
    <w:p w14:paraId="39E5E52E" w14:textId="77777777" w:rsidR="00F04147" w:rsidRPr="001E1ED1" w:rsidRDefault="00F04147" w:rsidP="00F04147">
      <w:pPr>
        <w:widowControl w:val="0"/>
        <w:numPr>
          <w:ilvl w:val="2"/>
          <w:numId w:val="21"/>
        </w:numPr>
        <w:spacing w:after="120"/>
        <w:rPr>
          <w:rFonts w:asciiTheme="minorHAnsi" w:hAnsiTheme="minorHAnsi" w:cstheme="minorHAnsi"/>
          <w:u w:val="single"/>
          <w:lang w:eastAsia="en-US"/>
        </w:rPr>
      </w:pPr>
      <w:r w:rsidRPr="004A2200">
        <w:rPr>
          <w:rFonts w:asciiTheme="minorHAnsi" w:hAnsiTheme="minorHAnsi" w:cstheme="minorHAnsi"/>
        </w:rPr>
        <w:t>It was not necessary to make a finding in relation to whether it would be in the public interest for the subsequent pricing application to be progressed under Pricing Pathway A because one or more of the preceding tests had failed.</w:t>
      </w:r>
    </w:p>
    <w:p w14:paraId="4395E882" w14:textId="77777777" w:rsidR="00F04147" w:rsidRPr="004A2200" w:rsidRDefault="00F04147" w:rsidP="00F04147">
      <w:pPr>
        <w:widowControl w:val="0"/>
        <w:numPr>
          <w:ilvl w:val="1"/>
          <w:numId w:val="1"/>
        </w:numPr>
        <w:spacing w:after="120"/>
        <w:ind w:left="720" w:hanging="720"/>
        <w:rPr>
          <w:rFonts w:asciiTheme="minorHAnsi" w:hAnsiTheme="minorHAnsi"/>
          <w:bCs/>
          <w:i/>
          <w:snapToGrid w:val="0"/>
          <w:lang w:eastAsia="en-US"/>
        </w:rPr>
      </w:pPr>
      <w:r w:rsidRPr="004A2200">
        <w:rPr>
          <w:rFonts w:asciiTheme="minorHAnsi" w:hAnsiTheme="minorHAnsi"/>
          <w:bCs/>
          <w:snapToGrid w:val="0"/>
          <w:lang w:eastAsia="en-US"/>
        </w:rPr>
        <w:t xml:space="preserve">The PBAC noted that this submission is not eligible for an Independent Review </w:t>
      </w:r>
      <w:r w:rsidRPr="004A2200">
        <w:rPr>
          <w:snapToGrid w:val="0"/>
        </w:rPr>
        <w:t>as it received a positive recommendation</w:t>
      </w:r>
      <w:r w:rsidRPr="004A2200">
        <w:rPr>
          <w:rFonts w:asciiTheme="minorHAnsi" w:hAnsiTheme="minorHAnsi"/>
          <w:bCs/>
          <w:snapToGrid w:val="0"/>
          <w:lang w:eastAsia="en-US"/>
        </w:rPr>
        <w:t xml:space="preserve">. </w:t>
      </w:r>
    </w:p>
    <w:p w14:paraId="6905920D" w14:textId="77777777" w:rsidR="00F04147" w:rsidRPr="004A2200" w:rsidRDefault="00F04147" w:rsidP="00F04147">
      <w:pPr>
        <w:widowControl w:val="0"/>
        <w:tabs>
          <w:tab w:val="left" w:pos="360"/>
        </w:tabs>
        <w:autoSpaceDE w:val="0"/>
        <w:autoSpaceDN w:val="0"/>
        <w:adjustRightInd w:val="0"/>
        <w:rPr>
          <w:rFonts w:asciiTheme="minorHAnsi" w:hAnsiTheme="minorHAnsi" w:cstheme="minorHAnsi"/>
          <w:b/>
          <w:bCs/>
          <w:snapToGrid w:val="0"/>
          <w:szCs w:val="22"/>
          <w:lang w:eastAsia="en-US"/>
        </w:rPr>
      </w:pPr>
      <w:r w:rsidRPr="004A2200">
        <w:rPr>
          <w:rFonts w:asciiTheme="minorHAnsi" w:hAnsiTheme="minorHAnsi" w:cstheme="minorHAnsi"/>
          <w:b/>
          <w:bCs/>
          <w:snapToGrid w:val="0"/>
          <w:szCs w:val="22"/>
          <w:lang w:eastAsia="en-US"/>
        </w:rPr>
        <w:t>Outcome:</w:t>
      </w:r>
    </w:p>
    <w:p w14:paraId="15C0D9DD" w14:textId="77777777" w:rsidR="00F04147" w:rsidRPr="004A2200" w:rsidRDefault="00F04147" w:rsidP="00F04147">
      <w:pPr>
        <w:widowControl w:val="0"/>
        <w:rPr>
          <w:snapToGrid w:val="0"/>
          <w:szCs w:val="22"/>
          <w:lang w:eastAsia="en-US"/>
        </w:rPr>
      </w:pPr>
      <w:r w:rsidRPr="004A2200">
        <w:rPr>
          <w:snapToGrid w:val="0"/>
          <w:szCs w:val="22"/>
          <w:lang w:eastAsia="en-US"/>
        </w:rPr>
        <w:t>Recommended</w:t>
      </w:r>
    </w:p>
    <w:p w14:paraId="22729E4C" w14:textId="77777777" w:rsidR="00F04147" w:rsidRPr="004A2200" w:rsidRDefault="00F04147" w:rsidP="00F04147">
      <w:pPr>
        <w:pStyle w:val="2-SectionHeading"/>
        <w:numPr>
          <w:ilvl w:val="0"/>
          <w:numId w:val="1"/>
        </w:numPr>
      </w:pPr>
      <w:bookmarkStart w:id="92" w:name="_Ref118728963"/>
      <w:r w:rsidRPr="004A2200">
        <w:t>Recommended listing</w:t>
      </w:r>
      <w:bookmarkEnd w:id="92"/>
    </w:p>
    <w:p w14:paraId="222F8721" w14:textId="77777777" w:rsidR="00F04147" w:rsidRPr="004A2200" w:rsidRDefault="00F04147" w:rsidP="00F04147">
      <w:pPr>
        <w:pStyle w:val="3-BodyText"/>
        <w:numPr>
          <w:ilvl w:val="1"/>
          <w:numId w:val="1"/>
        </w:numPr>
      </w:pPr>
      <w:r w:rsidRPr="004A2200">
        <w:t>Add new item: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40"/>
        <w:gridCol w:w="1423"/>
        <w:gridCol w:w="700"/>
        <w:gridCol w:w="698"/>
        <w:gridCol w:w="700"/>
        <w:gridCol w:w="2656"/>
      </w:tblGrid>
      <w:tr w:rsidR="00F04147" w:rsidRPr="00BB090F" w14:paraId="73B3577D" w14:textId="77777777" w:rsidTr="00214401">
        <w:trPr>
          <w:cantSplit/>
          <w:trHeight w:val="20"/>
        </w:trPr>
        <w:tc>
          <w:tcPr>
            <w:tcW w:w="1575" w:type="pct"/>
            <w:vAlign w:val="center"/>
          </w:tcPr>
          <w:p w14:paraId="145FB556" w14:textId="77777777" w:rsidR="00F04147" w:rsidRPr="00BB090F" w:rsidRDefault="00F04147" w:rsidP="00214401">
            <w:pPr>
              <w:keepNext/>
              <w:keepLines/>
              <w:rPr>
                <w:rFonts w:ascii="Arial Narrow" w:hAnsi="Arial Narrow"/>
                <w:b/>
                <w:bCs/>
                <w:sz w:val="20"/>
                <w:szCs w:val="20"/>
              </w:rPr>
            </w:pPr>
            <w:r w:rsidRPr="00BB090F">
              <w:rPr>
                <w:rFonts w:ascii="Arial Narrow" w:hAnsi="Arial Narrow"/>
                <w:b/>
                <w:bCs/>
                <w:sz w:val="20"/>
                <w:szCs w:val="20"/>
              </w:rPr>
              <w:t>MEDICINAL PRODUCT</w:t>
            </w:r>
          </w:p>
          <w:p w14:paraId="36BC6E7F" w14:textId="77777777" w:rsidR="00F04147" w:rsidRPr="00BB090F" w:rsidRDefault="00F04147" w:rsidP="00214401">
            <w:pPr>
              <w:keepNext/>
              <w:keepLines/>
              <w:rPr>
                <w:rFonts w:ascii="Arial Narrow" w:hAnsi="Arial Narrow"/>
                <w:b/>
                <w:sz w:val="20"/>
                <w:szCs w:val="20"/>
              </w:rPr>
            </w:pPr>
            <w:r w:rsidRPr="00BB090F">
              <w:rPr>
                <w:rFonts w:ascii="Arial Narrow" w:hAnsi="Arial Narrow"/>
                <w:b/>
                <w:bCs/>
                <w:sz w:val="20"/>
                <w:szCs w:val="20"/>
              </w:rPr>
              <w:t>medicinal product pack</w:t>
            </w:r>
          </w:p>
        </w:tc>
        <w:tc>
          <w:tcPr>
            <w:tcW w:w="789" w:type="pct"/>
            <w:vAlign w:val="center"/>
          </w:tcPr>
          <w:p w14:paraId="75E7D833" w14:textId="77777777" w:rsidR="00F04147" w:rsidRPr="00BB090F" w:rsidRDefault="00F04147" w:rsidP="00214401">
            <w:pPr>
              <w:keepNext/>
              <w:keepLines/>
              <w:jc w:val="center"/>
              <w:rPr>
                <w:rFonts w:ascii="Arial Narrow" w:hAnsi="Arial Narrow"/>
                <w:b/>
                <w:sz w:val="20"/>
                <w:szCs w:val="20"/>
              </w:rPr>
            </w:pPr>
            <w:r w:rsidRPr="00BB090F">
              <w:rPr>
                <w:rFonts w:ascii="Arial Narrow" w:hAnsi="Arial Narrow"/>
                <w:b/>
                <w:sz w:val="20"/>
                <w:szCs w:val="20"/>
              </w:rPr>
              <w:t>PBS item code</w:t>
            </w:r>
          </w:p>
        </w:tc>
        <w:tc>
          <w:tcPr>
            <w:tcW w:w="388" w:type="pct"/>
            <w:vAlign w:val="center"/>
          </w:tcPr>
          <w:p w14:paraId="5A5E031A" w14:textId="77777777" w:rsidR="00F04147" w:rsidRPr="00BB090F" w:rsidRDefault="00F04147" w:rsidP="00214401">
            <w:pPr>
              <w:keepNext/>
              <w:keepLines/>
              <w:jc w:val="center"/>
              <w:rPr>
                <w:rFonts w:ascii="Arial Narrow" w:hAnsi="Arial Narrow"/>
                <w:b/>
                <w:sz w:val="20"/>
                <w:szCs w:val="20"/>
              </w:rPr>
            </w:pPr>
            <w:r w:rsidRPr="00BB090F">
              <w:rPr>
                <w:rFonts w:ascii="Arial Narrow" w:hAnsi="Arial Narrow"/>
                <w:b/>
                <w:sz w:val="20"/>
                <w:szCs w:val="20"/>
              </w:rPr>
              <w:t>Max. qty packs</w:t>
            </w:r>
          </w:p>
        </w:tc>
        <w:tc>
          <w:tcPr>
            <w:tcW w:w="387" w:type="pct"/>
            <w:vAlign w:val="center"/>
          </w:tcPr>
          <w:p w14:paraId="63A9EFE8" w14:textId="77777777" w:rsidR="00F04147" w:rsidRPr="00BB090F" w:rsidRDefault="00F04147" w:rsidP="00214401">
            <w:pPr>
              <w:keepNext/>
              <w:keepLines/>
              <w:jc w:val="center"/>
              <w:rPr>
                <w:rFonts w:ascii="Arial Narrow" w:hAnsi="Arial Narrow"/>
                <w:b/>
                <w:sz w:val="20"/>
                <w:szCs w:val="20"/>
              </w:rPr>
            </w:pPr>
            <w:r w:rsidRPr="00BB090F">
              <w:rPr>
                <w:rFonts w:ascii="Arial Narrow" w:hAnsi="Arial Narrow"/>
                <w:b/>
                <w:sz w:val="20"/>
                <w:szCs w:val="20"/>
              </w:rPr>
              <w:t>Max. qty units</w:t>
            </w:r>
          </w:p>
        </w:tc>
        <w:tc>
          <w:tcPr>
            <w:tcW w:w="388" w:type="pct"/>
            <w:vAlign w:val="center"/>
          </w:tcPr>
          <w:p w14:paraId="096593F7" w14:textId="77777777" w:rsidR="00F04147" w:rsidRPr="00BB090F" w:rsidRDefault="00F04147" w:rsidP="00214401">
            <w:pPr>
              <w:keepNext/>
              <w:keepLines/>
              <w:jc w:val="center"/>
              <w:rPr>
                <w:rFonts w:ascii="Arial Narrow" w:hAnsi="Arial Narrow"/>
                <w:b/>
                <w:sz w:val="20"/>
                <w:szCs w:val="20"/>
              </w:rPr>
            </w:pPr>
            <w:r w:rsidRPr="00BB090F">
              <w:rPr>
                <w:rFonts w:ascii="Arial Narrow" w:hAnsi="Arial Narrow"/>
                <w:b/>
                <w:sz w:val="20"/>
                <w:szCs w:val="20"/>
              </w:rPr>
              <w:t>№.of</w:t>
            </w:r>
          </w:p>
          <w:p w14:paraId="18EA27CD" w14:textId="77777777" w:rsidR="00F04147" w:rsidRPr="00BB090F" w:rsidRDefault="00F04147" w:rsidP="00214401">
            <w:pPr>
              <w:keepNext/>
              <w:keepLines/>
              <w:jc w:val="center"/>
              <w:rPr>
                <w:rFonts w:ascii="Arial Narrow" w:hAnsi="Arial Narrow"/>
                <w:b/>
                <w:sz w:val="20"/>
                <w:szCs w:val="20"/>
              </w:rPr>
            </w:pPr>
            <w:r w:rsidRPr="00BB090F">
              <w:rPr>
                <w:rFonts w:ascii="Arial Narrow" w:hAnsi="Arial Narrow"/>
                <w:b/>
                <w:sz w:val="20"/>
                <w:szCs w:val="20"/>
              </w:rPr>
              <w:t>Rpts</w:t>
            </w:r>
          </w:p>
        </w:tc>
        <w:tc>
          <w:tcPr>
            <w:tcW w:w="1473" w:type="pct"/>
            <w:vAlign w:val="center"/>
          </w:tcPr>
          <w:p w14:paraId="6A05985F" w14:textId="77777777" w:rsidR="00F04147" w:rsidRPr="00BB090F" w:rsidRDefault="00F04147" w:rsidP="00214401">
            <w:pPr>
              <w:keepNext/>
              <w:keepLines/>
              <w:rPr>
                <w:rFonts w:ascii="Arial Narrow" w:hAnsi="Arial Narrow"/>
                <w:b/>
                <w:sz w:val="20"/>
                <w:szCs w:val="20"/>
              </w:rPr>
            </w:pPr>
            <w:r w:rsidRPr="00BB090F">
              <w:rPr>
                <w:rFonts w:ascii="Arial Narrow" w:hAnsi="Arial Narrow"/>
                <w:b/>
                <w:sz w:val="20"/>
                <w:szCs w:val="20"/>
              </w:rPr>
              <w:t>Available brands</w:t>
            </w:r>
          </w:p>
        </w:tc>
      </w:tr>
      <w:tr w:rsidR="00F04147" w:rsidRPr="00BB090F" w14:paraId="5329FA33" w14:textId="77777777" w:rsidTr="00214401">
        <w:trPr>
          <w:cantSplit/>
          <w:trHeight w:val="20"/>
        </w:trPr>
        <w:tc>
          <w:tcPr>
            <w:tcW w:w="5000" w:type="pct"/>
            <w:gridSpan w:val="6"/>
            <w:vAlign w:val="center"/>
          </w:tcPr>
          <w:p w14:paraId="42305497" w14:textId="77777777" w:rsidR="00F04147" w:rsidRPr="00BB090F" w:rsidRDefault="00F04147" w:rsidP="00214401">
            <w:pPr>
              <w:keepNext/>
              <w:keepLines/>
              <w:rPr>
                <w:rFonts w:ascii="Arial Narrow" w:hAnsi="Arial Narrow"/>
                <w:sz w:val="20"/>
                <w:szCs w:val="20"/>
              </w:rPr>
            </w:pPr>
            <w:r w:rsidRPr="00BB090F">
              <w:rPr>
                <w:rFonts w:ascii="Arial Narrow" w:hAnsi="Arial Narrow"/>
                <w:sz w:val="20"/>
                <w:szCs w:val="20"/>
              </w:rPr>
              <w:t>EMPAGLIFLOZIN</w:t>
            </w:r>
          </w:p>
        </w:tc>
      </w:tr>
      <w:tr w:rsidR="00F04147" w:rsidRPr="00BB090F" w14:paraId="654E789F" w14:textId="77777777" w:rsidTr="00214401">
        <w:trPr>
          <w:cantSplit/>
          <w:trHeight w:val="20"/>
        </w:trPr>
        <w:tc>
          <w:tcPr>
            <w:tcW w:w="1575" w:type="pct"/>
            <w:vAlign w:val="center"/>
          </w:tcPr>
          <w:p w14:paraId="0C704C19" w14:textId="77777777" w:rsidR="00F04147" w:rsidRPr="00BB090F" w:rsidRDefault="00F04147" w:rsidP="00214401">
            <w:pPr>
              <w:keepNext/>
              <w:keepLines/>
              <w:rPr>
                <w:rFonts w:ascii="Arial Narrow" w:hAnsi="Arial Narrow"/>
                <w:sz w:val="20"/>
                <w:szCs w:val="20"/>
              </w:rPr>
            </w:pPr>
            <w:r w:rsidRPr="00BB090F">
              <w:rPr>
                <w:rFonts w:ascii="Arial Narrow" w:hAnsi="Arial Narrow"/>
                <w:sz w:val="20"/>
                <w:szCs w:val="20"/>
              </w:rPr>
              <w:t>empagliflozin 10 mg tablet, 30 </w:t>
            </w:r>
          </w:p>
        </w:tc>
        <w:tc>
          <w:tcPr>
            <w:tcW w:w="789" w:type="pct"/>
            <w:vAlign w:val="center"/>
          </w:tcPr>
          <w:p w14:paraId="4B241F31" w14:textId="77777777" w:rsidR="00F04147" w:rsidRPr="00BB090F" w:rsidRDefault="00F04147" w:rsidP="00214401">
            <w:pPr>
              <w:keepNext/>
              <w:rPr>
                <w:rFonts w:ascii="Arial Narrow" w:hAnsi="Arial Narrow"/>
                <w:sz w:val="20"/>
                <w:szCs w:val="20"/>
                <w:highlight w:val="yellow"/>
              </w:rPr>
            </w:pPr>
            <w:r w:rsidRPr="00BB090F">
              <w:rPr>
                <w:rFonts w:ascii="Arial Narrow" w:hAnsi="Arial Narrow"/>
                <w:sz w:val="20"/>
                <w:szCs w:val="20"/>
              </w:rPr>
              <w:t>NEW</w:t>
            </w:r>
          </w:p>
        </w:tc>
        <w:tc>
          <w:tcPr>
            <w:tcW w:w="388" w:type="pct"/>
            <w:vAlign w:val="center"/>
          </w:tcPr>
          <w:p w14:paraId="43CD78E9" w14:textId="77777777" w:rsidR="00F04147" w:rsidRPr="00BB090F" w:rsidRDefault="00F04147" w:rsidP="00214401">
            <w:pPr>
              <w:keepNext/>
              <w:keepLines/>
              <w:jc w:val="center"/>
              <w:rPr>
                <w:rFonts w:ascii="Arial Narrow" w:hAnsi="Arial Narrow"/>
                <w:sz w:val="20"/>
                <w:szCs w:val="20"/>
              </w:rPr>
            </w:pPr>
            <w:r w:rsidRPr="00BB090F">
              <w:rPr>
                <w:rFonts w:ascii="Arial Narrow" w:hAnsi="Arial Narrow"/>
                <w:sz w:val="20"/>
                <w:szCs w:val="20"/>
              </w:rPr>
              <w:t>1</w:t>
            </w:r>
          </w:p>
        </w:tc>
        <w:tc>
          <w:tcPr>
            <w:tcW w:w="387" w:type="pct"/>
            <w:vAlign w:val="center"/>
          </w:tcPr>
          <w:p w14:paraId="3CA461E1" w14:textId="77777777" w:rsidR="00F04147" w:rsidRPr="00BB090F" w:rsidRDefault="00F04147" w:rsidP="00214401">
            <w:pPr>
              <w:keepNext/>
              <w:keepLines/>
              <w:jc w:val="center"/>
              <w:rPr>
                <w:rFonts w:ascii="Arial Narrow" w:hAnsi="Arial Narrow"/>
                <w:sz w:val="20"/>
                <w:szCs w:val="20"/>
              </w:rPr>
            </w:pPr>
            <w:r w:rsidRPr="00BB090F">
              <w:rPr>
                <w:rFonts w:ascii="Arial Narrow" w:hAnsi="Arial Narrow"/>
                <w:sz w:val="20"/>
                <w:szCs w:val="20"/>
              </w:rPr>
              <w:t>30</w:t>
            </w:r>
          </w:p>
        </w:tc>
        <w:tc>
          <w:tcPr>
            <w:tcW w:w="388" w:type="pct"/>
            <w:vAlign w:val="center"/>
          </w:tcPr>
          <w:p w14:paraId="094BC969" w14:textId="77777777" w:rsidR="00F04147" w:rsidRPr="00BB090F" w:rsidRDefault="00F04147" w:rsidP="00214401">
            <w:pPr>
              <w:keepNext/>
              <w:keepLines/>
              <w:jc w:val="center"/>
              <w:rPr>
                <w:rFonts w:ascii="Arial Narrow" w:hAnsi="Arial Narrow"/>
                <w:sz w:val="20"/>
                <w:szCs w:val="20"/>
              </w:rPr>
            </w:pPr>
            <w:r w:rsidRPr="00BB090F">
              <w:rPr>
                <w:rFonts w:ascii="Arial Narrow" w:hAnsi="Arial Narrow"/>
                <w:sz w:val="20"/>
                <w:szCs w:val="20"/>
              </w:rPr>
              <w:t>5</w:t>
            </w:r>
          </w:p>
        </w:tc>
        <w:tc>
          <w:tcPr>
            <w:tcW w:w="1473" w:type="pct"/>
            <w:vAlign w:val="center"/>
          </w:tcPr>
          <w:p w14:paraId="3B7A7E5D" w14:textId="77777777" w:rsidR="00F04147" w:rsidRPr="00BB090F" w:rsidRDefault="00F04147" w:rsidP="00214401">
            <w:pPr>
              <w:keepNext/>
              <w:keepLines/>
              <w:rPr>
                <w:rFonts w:ascii="Arial Narrow" w:hAnsi="Arial Narrow"/>
                <w:sz w:val="20"/>
                <w:szCs w:val="20"/>
              </w:rPr>
            </w:pPr>
            <w:r w:rsidRPr="00BB090F">
              <w:rPr>
                <w:rFonts w:ascii="Arial Narrow" w:hAnsi="Arial Narrow"/>
                <w:sz w:val="20"/>
                <w:szCs w:val="20"/>
              </w:rPr>
              <w:t>Jardiance</w:t>
            </w:r>
          </w:p>
        </w:tc>
      </w:tr>
      <w:tr w:rsidR="00F04147" w:rsidRPr="00BB090F" w14:paraId="6A7B7510" w14:textId="77777777" w:rsidTr="00214401">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right w:val="single" w:sz="4" w:space="0" w:color="auto"/>
            </w:tcBorders>
            <w:vAlign w:val="center"/>
          </w:tcPr>
          <w:p w14:paraId="0E764681" w14:textId="77777777" w:rsidR="00F04147" w:rsidRPr="00BB090F" w:rsidRDefault="00F04147" w:rsidP="00214401">
            <w:pPr>
              <w:keepNext/>
              <w:rPr>
                <w:rFonts w:ascii="Arial Narrow" w:hAnsi="Arial Narrow"/>
                <w:sz w:val="20"/>
                <w:szCs w:val="20"/>
              </w:rPr>
            </w:pPr>
          </w:p>
        </w:tc>
      </w:tr>
      <w:tr w:rsidR="00F04147" w:rsidRPr="00BB090F" w14:paraId="425EAA0B" w14:textId="77777777" w:rsidTr="00214401">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right w:val="single" w:sz="4" w:space="0" w:color="auto"/>
            </w:tcBorders>
            <w:vAlign w:val="center"/>
          </w:tcPr>
          <w:p w14:paraId="1D46DB7A" w14:textId="77777777" w:rsidR="00F04147" w:rsidRPr="00BB090F" w:rsidRDefault="00F04147" w:rsidP="00214401">
            <w:pPr>
              <w:keepLines/>
              <w:rPr>
                <w:rFonts w:ascii="Arial Narrow" w:hAnsi="Arial Narrow"/>
                <w:b/>
                <w:sz w:val="20"/>
                <w:szCs w:val="20"/>
              </w:rPr>
            </w:pPr>
            <w:r w:rsidRPr="00BB090F">
              <w:rPr>
                <w:rFonts w:ascii="Arial Narrow" w:hAnsi="Arial Narrow"/>
                <w:b/>
                <w:sz w:val="20"/>
                <w:szCs w:val="20"/>
              </w:rPr>
              <w:t xml:space="preserve">Restriction Summary  / Treatment of Concept: </w:t>
            </w:r>
          </w:p>
        </w:tc>
      </w:tr>
      <w:tr w:rsidR="00F04147" w:rsidRPr="00BB090F" w14:paraId="696E9F73" w14:textId="77777777" w:rsidTr="00214401">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44AE2FDA" w14:textId="77777777" w:rsidR="00F04147" w:rsidRPr="00BB090F" w:rsidRDefault="00F04147" w:rsidP="00214401">
            <w:pPr>
              <w:keepLines/>
              <w:rPr>
                <w:rFonts w:ascii="Arial Narrow" w:hAnsi="Arial Narrow"/>
                <w:sz w:val="20"/>
                <w:szCs w:val="20"/>
              </w:rPr>
            </w:pPr>
            <w:r w:rsidRPr="00BB090F">
              <w:rPr>
                <w:rFonts w:ascii="Arial Narrow" w:hAnsi="Arial Narrow"/>
                <w:b/>
                <w:sz w:val="20"/>
                <w:szCs w:val="20"/>
              </w:rPr>
              <w:t xml:space="preserve">Category / Program: </w:t>
            </w:r>
            <w:r w:rsidRPr="00BB090F">
              <w:rPr>
                <w:rFonts w:ascii="Arial Narrow" w:hAnsi="Arial Narrow"/>
                <w:sz w:val="20"/>
                <w:szCs w:val="20"/>
              </w:rPr>
              <w:t xml:space="preserve">GENERAL – General Schedule (Code GE) </w:t>
            </w:r>
          </w:p>
        </w:tc>
      </w:tr>
      <w:tr w:rsidR="00F04147" w:rsidRPr="00BB090F" w14:paraId="04DA841F" w14:textId="77777777" w:rsidTr="00214401">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53E7F623" w14:textId="77777777" w:rsidR="00F04147" w:rsidRPr="00BB090F" w:rsidRDefault="00F04147" w:rsidP="00214401">
            <w:pPr>
              <w:keepLines/>
              <w:rPr>
                <w:rFonts w:ascii="Arial Narrow" w:hAnsi="Arial Narrow"/>
                <w:b/>
                <w:sz w:val="20"/>
                <w:szCs w:val="20"/>
              </w:rPr>
            </w:pPr>
            <w:r w:rsidRPr="00BB090F">
              <w:rPr>
                <w:rFonts w:ascii="Arial Narrow" w:hAnsi="Arial Narrow"/>
                <w:b/>
                <w:sz w:val="20"/>
                <w:szCs w:val="20"/>
              </w:rPr>
              <w:t xml:space="preserve">Prescriber type: </w:t>
            </w:r>
            <w:r w:rsidRPr="00BB090F">
              <w:rPr>
                <w:rFonts w:ascii="Arial Narrow" w:hAnsi="Arial Narrow"/>
                <w:sz w:val="20"/>
                <w:szCs w:val="20"/>
              </w:rPr>
              <w:fldChar w:fldCharType="begin" w:fldLock="1">
                <w:ffData>
                  <w:name w:val="Check1"/>
                  <w:enabled/>
                  <w:calcOnExit w:val="0"/>
                  <w:checkBox>
                    <w:sizeAuto/>
                    <w:default w:val="0"/>
                  </w:checkBox>
                </w:ffData>
              </w:fldChar>
            </w:r>
            <w:r w:rsidRPr="00BB090F">
              <w:rPr>
                <w:rFonts w:ascii="Arial Narrow" w:hAnsi="Arial Narrow"/>
                <w:sz w:val="20"/>
                <w:szCs w:val="20"/>
              </w:rPr>
              <w:instrText xml:space="preserve"> FORMCHECKBOX </w:instrText>
            </w:r>
            <w:r w:rsidR="00A46B28">
              <w:rPr>
                <w:rFonts w:ascii="Arial Narrow" w:hAnsi="Arial Narrow"/>
                <w:sz w:val="20"/>
                <w:szCs w:val="20"/>
              </w:rPr>
            </w:r>
            <w:r w:rsidR="00A46B28">
              <w:rPr>
                <w:rFonts w:ascii="Arial Narrow" w:hAnsi="Arial Narrow"/>
                <w:sz w:val="20"/>
                <w:szCs w:val="20"/>
              </w:rPr>
              <w:fldChar w:fldCharType="separate"/>
            </w:r>
            <w:r w:rsidRPr="00BB090F">
              <w:rPr>
                <w:rFonts w:ascii="Arial Narrow" w:hAnsi="Arial Narrow"/>
                <w:sz w:val="20"/>
                <w:szCs w:val="20"/>
              </w:rPr>
              <w:fldChar w:fldCharType="end"/>
            </w:r>
            <w:r w:rsidRPr="00BB090F">
              <w:rPr>
                <w:rFonts w:ascii="Arial Narrow" w:hAnsi="Arial Narrow"/>
                <w:sz w:val="20"/>
                <w:szCs w:val="20"/>
              </w:rPr>
              <w:t xml:space="preserve">Dental </w:t>
            </w:r>
            <w:r w:rsidRPr="00BB090F">
              <w:rPr>
                <w:rFonts w:ascii="Arial Narrow" w:hAnsi="Arial Narrow"/>
                <w:sz w:val="20"/>
                <w:szCs w:val="20"/>
              </w:rPr>
              <w:fldChar w:fldCharType="begin" w:fldLock="1">
                <w:ffData>
                  <w:name w:val=""/>
                  <w:enabled/>
                  <w:calcOnExit w:val="0"/>
                  <w:checkBox>
                    <w:sizeAuto/>
                    <w:default w:val="1"/>
                  </w:checkBox>
                </w:ffData>
              </w:fldChar>
            </w:r>
            <w:r w:rsidRPr="00BB090F">
              <w:rPr>
                <w:rFonts w:ascii="Arial Narrow" w:hAnsi="Arial Narrow"/>
                <w:sz w:val="20"/>
                <w:szCs w:val="20"/>
              </w:rPr>
              <w:instrText xml:space="preserve"> FORMCHECKBOX </w:instrText>
            </w:r>
            <w:r w:rsidR="00A46B28">
              <w:rPr>
                <w:rFonts w:ascii="Arial Narrow" w:hAnsi="Arial Narrow"/>
                <w:sz w:val="20"/>
                <w:szCs w:val="20"/>
              </w:rPr>
            </w:r>
            <w:r w:rsidR="00A46B28">
              <w:rPr>
                <w:rFonts w:ascii="Arial Narrow" w:hAnsi="Arial Narrow"/>
                <w:sz w:val="20"/>
                <w:szCs w:val="20"/>
              </w:rPr>
              <w:fldChar w:fldCharType="separate"/>
            </w:r>
            <w:r w:rsidRPr="00BB090F">
              <w:rPr>
                <w:rFonts w:ascii="Arial Narrow" w:hAnsi="Arial Narrow"/>
                <w:sz w:val="20"/>
                <w:szCs w:val="20"/>
              </w:rPr>
              <w:fldChar w:fldCharType="end"/>
            </w:r>
            <w:r w:rsidRPr="00BB090F">
              <w:rPr>
                <w:rFonts w:ascii="Arial Narrow" w:hAnsi="Arial Narrow"/>
                <w:sz w:val="20"/>
                <w:szCs w:val="20"/>
              </w:rPr>
              <w:t xml:space="preserve">Medical Practitioners </w:t>
            </w:r>
            <w:r w:rsidRPr="00BB090F">
              <w:rPr>
                <w:rFonts w:ascii="Arial Narrow" w:hAnsi="Arial Narrow"/>
                <w:sz w:val="20"/>
                <w:szCs w:val="20"/>
              </w:rPr>
              <w:fldChar w:fldCharType="begin" w:fldLock="1">
                <w:ffData>
                  <w:name w:val="Check3"/>
                  <w:enabled/>
                  <w:calcOnExit w:val="0"/>
                  <w:checkBox>
                    <w:sizeAuto/>
                    <w:default w:val="1"/>
                  </w:checkBox>
                </w:ffData>
              </w:fldChar>
            </w:r>
            <w:r w:rsidRPr="00BB090F">
              <w:rPr>
                <w:rFonts w:ascii="Arial Narrow" w:hAnsi="Arial Narrow"/>
                <w:sz w:val="20"/>
                <w:szCs w:val="20"/>
              </w:rPr>
              <w:instrText xml:space="preserve"> FORMCHECKBOX </w:instrText>
            </w:r>
            <w:r w:rsidR="00A46B28">
              <w:rPr>
                <w:rFonts w:ascii="Arial Narrow" w:hAnsi="Arial Narrow"/>
                <w:sz w:val="20"/>
                <w:szCs w:val="20"/>
              </w:rPr>
            </w:r>
            <w:r w:rsidR="00A46B28">
              <w:rPr>
                <w:rFonts w:ascii="Arial Narrow" w:hAnsi="Arial Narrow"/>
                <w:sz w:val="20"/>
                <w:szCs w:val="20"/>
              </w:rPr>
              <w:fldChar w:fldCharType="separate"/>
            </w:r>
            <w:r w:rsidRPr="00BB090F">
              <w:rPr>
                <w:rFonts w:ascii="Arial Narrow" w:hAnsi="Arial Narrow"/>
                <w:sz w:val="20"/>
                <w:szCs w:val="20"/>
              </w:rPr>
              <w:fldChar w:fldCharType="end"/>
            </w:r>
            <w:r w:rsidRPr="00BB090F">
              <w:rPr>
                <w:rFonts w:ascii="Arial Narrow" w:hAnsi="Arial Narrow"/>
                <w:sz w:val="20"/>
                <w:szCs w:val="20"/>
              </w:rPr>
              <w:t xml:space="preserve">Nurse practitioners </w:t>
            </w:r>
            <w:r w:rsidRPr="00BB090F">
              <w:rPr>
                <w:rFonts w:ascii="Arial Narrow" w:hAnsi="Arial Narrow"/>
                <w:sz w:val="20"/>
                <w:szCs w:val="20"/>
              </w:rPr>
              <w:fldChar w:fldCharType="begin" w:fldLock="1">
                <w:ffData>
                  <w:name w:val=""/>
                  <w:enabled/>
                  <w:calcOnExit w:val="0"/>
                  <w:checkBox>
                    <w:sizeAuto/>
                    <w:default w:val="0"/>
                  </w:checkBox>
                </w:ffData>
              </w:fldChar>
            </w:r>
            <w:r w:rsidRPr="00BB090F">
              <w:rPr>
                <w:rFonts w:ascii="Arial Narrow" w:hAnsi="Arial Narrow"/>
                <w:sz w:val="20"/>
                <w:szCs w:val="20"/>
              </w:rPr>
              <w:instrText xml:space="preserve"> FORMCHECKBOX </w:instrText>
            </w:r>
            <w:r w:rsidR="00A46B28">
              <w:rPr>
                <w:rFonts w:ascii="Arial Narrow" w:hAnsi="Arial Narrow"/>
                <w:sz w:val="20"/>
                <w:szCs w:val="20"/>
              </w:rPr>
            </w:r>
            <w:r w:rsidR="00A46B28">
              <w:rPr>
                <w:rFonts w:ascii="Arial Narrow" w:hAnsi="Arial Narrow"/>
                <w:sz w:val="20"/>
                <w:szCs w:val="20"/>
              </w:rPr>
              <w:fldChar w:fldCharType="separate"/>
            </w:r>
            <w:r w:rsidRPr="00BB090F">
              <w:rPr>
                <w:rFonts w:ascii="Arial Narrow" w:hAnsi="Arial Narrow"/>
                <w:sz w:val="20"/>
                <w:szCs w:val="20"/>
              </w:rPr>
              <w:fldChar w:fldCharType="end"/>
            </w:r>
            <w:r w:rsidRPr="00BB090F">
              <w:rPr>
                <w:rFonts w:ascii="Arial Narrow" w:hAnsi="Arial Narrow"/>
                <w:sz w:val="20"/>
                <w:szCs w:val="20"/>
              </w:rPr>
              <w:t xml:space="preserve">Optometrists </w:t>
            </w:r>
            <w:r w:rsidRPr="00BB090F">
              <w:rPr>
                <w:rFonts w:ascii="Arial Narrow" w:hAnsi="Arial Narrow"/>
                <w:sz w:val="20"/>
                <w:szCs w:val="20"/>
              </w:rPr>
              <w:fldChar w:fldCharType="begin" w:fldLock="1">
                <w:ffData>
                  <w:name w:val="Check5"/>
                  <w:enabled/>
                  <w:calcOnExit w:val="0"/>
                  <w:checkBox>
                    <w:sizeAuto/>
                    <w:default w:val="0"/>
                  </w:checkBox>
                </w:ffData>
              </w:fldChar>
            </w:r>
            <w:r w:rsidRPr="00BB090F">
              <w:rPr>
                <w:rFonts w:ascii="Arial Narrow" w:hAnsi="Arial Narrow"/>
                <w:sz w:val="20"/>
                <w:szCs w:val="20"/>
              </w:rPr>
              <w:instrText xml:space="preserve"> FORMCHECKBOX </w:instrText>
            </w:r>
            <w:r w:rsidR="00A46B28">
              <w:rPr>
                <w:rFonts w:ascii="Arial Narrow" w:hAnsi="Arial Narrow"/>
                <w:sz w:val="20"/>
                <w:szCs w:val="20"/>
              </w:rPr>
            </w:r>
            <w:r w:rsidR="00A46B28">
              <w:rPr>
                <w:rFonts w:ascii="Arial Narrow" w:hAnsi="Arial Narrow"/>
                <w:sz w:val="20"/>
                <w:szCs w:val="20"/>
              </w:rPr>
              <w:fldChar w:fldCharType="separate"/>
            </w:r>
            <w:r w:rsidRPr="00BB090F">
              <w:rPr>
                <w:rFonts w:ascii="Arial Narrow" w:hAnsi="Arial Narrow"/>
                <w:sz w:val="20"/>
                <w:szCs w:val="20"/>
              </w:rPr>
              <w:fldChar w:fldCharType="end"/>
            </w:r>
            <w:r w:rsidRPr="00BB090F">
              <w:rPr>
                <w:rFonts w:ascii="Arial Narrow" w:hAnsi="Arial Narrow"/>
                <w:sz w:val="20"/>
                <w:szCs w:val="20"/>
              </w:rPr>
              <w:t xml:space="preserve">Midwives </w:t>
            </w:r>
          </w:p>
        </w:tc>
      </w:tr>
      <w:tr w:rsidR="00F04147" w:rsidRPr="00BB090F" w14:paraId="209D5694" w14:textId="77777777" w:rsidTr="00214401">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4E0B3FD9" w14:textId="77777777" w:rsidR="00F04147" w:rsidRPr="00BB090F" w:rsidRDefault="00F04147" w:rsidP="00214401">
            <w:pPr>
              <w:keepLines/>
              <w:rPr>
                <w:rFonts w:ascii="Arial Narrow" w:eastAsia="Calibri" w:hAnsi="Arial Narrow"/>
                <w:sz w:val="20"/>
                <w:szCs w:val="20"/>
              </w:rPr>
            </w:pPr>
            <w:r w:rsidRPr="00BB090F">
              <w:rPr>
                <w:rFonts w:ascii="Arial Narrow" w:hAnsi="Arial Narrow"/>
                <w:b/>
                <w:sz w:val="20"/>
                <w:szCs w:val="20"/>
              </w:rPr>
              <w:t xml:space="preserve">Restriction type: </w:t>
            </w:r>
            <w:r w:rsidRPr="00BB090F">
              <w:rPr>
                <w:rFonts w:ascii="Arial Narrow" w:eastAsia="Calibri" w:hAnsi="Arial Narrow"/>
                <w:sz w:val="20"/>
                <w:szCs w:val="20"/>
              </w:rPr>
              <w:fldChar w:fldCharType="begin" w:fldLock="1">
                <w:ffData>
                  <w:name w:val=""/>
                  <w:enabled/>
                  <w:calcOnExit w:val="0"/>
                  <w:checkBox>
                    <w:sizeAuto/>
                    <w:default w:val="1"/>
                  </w:checkBox>
                </w:ffData>
              </w:fldChar>
            </w:r>
            <w:r w:rsidRPr="00BB090F">
              <w:rPr>
                <w:rFonts w:ascii="Arial Narrow" w:eastAsia="Calibri" w:hAnsi="Arial Narrow"/>
                <w:sz w:val="20"/>
                <w:szCs w:val="20"/>
              </w:rPr>
              <w:instrText xml:space="preserve"> FORMCHECKBOX </w:instrText>
            </w:r>
            <w:r w:rsidR="00A46B28">
              <w:rPr>
                <w:rFonts w:ascii="Arial Narrow" w:eastAsia="Calibri" w:hAnsi="Arial Narrow"/>
                <w:sz w:val="20"/>
                <w:szCs w:val="20"/>
              </w:rPr>
            </w:r>
            <w:r w:rsidR="00A46B28">
              <w:rPr>
                <w:rFonts w:ascii="Arial Narrow" w:eastAsia="Calibri" w:hAnsi="Arial Narrow"/>
                <w:sz w:val="20"/>
                <w:szCs w:val="20"/>
              </w:rPr>
              <w:fldChar w:fldCharType="separate"/>
            </w:r>
            <w:r w:rsidRPr="00BB090F">
              <w:rPr>
                <w:rFonts w:ascii="Arial Narrow" w:eastAsia="Calibri" w:hAnsi="Arial Narrow"/>
                <w:sz w:val="20"/>
                <w:szCs w:val="20"/>
              </w:rPr>
              <w:fldChar w:fldCharType="end"/>
            </w:r>
            <w:r w:rsidRPr="00BB090F">
              <w:rPr>
                <w:rFonts w:ascii="Arial Narrow" w:eastAsia="Calibri" w:hAnsi="Arial Narrow"/>
                <w:sz w:val="20"/>
                <w:szCs w:val="20"/>
              </w:rPr>
              <w:t xml:space="preserve">Authority Required (Streamlined) </w:t>
            </w:r>
          </w:p>
        </w:tc>
      </w:tr>
      <w:tr w:rsidR="00E4068B" w:rsidRPr="00BB090F" w14:paraId="72839D35" w14:textId="77777777" w:rsidTr="00E4068B">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1D7D4C89" w14:textId="77777777" w:rsidR="00E4068B" w:rsidRPr="00BB090F" w:rsidRDefault="00E4068B" w:rsidP="00214401">
            <w:pPr>
              <w:rPr>
                <w:rFonts w:ascii="Arial Narrow" w:hAnsi="Arial Narrow"/>
                <w:sz w:val="20"/>
                <w:szCs w:val="20"/>
              </w:rPr>
            </w:pPr>
            <w:r w:rsidRPr="00BB090F">
              <w:rPr>
                <w:rFonts w:ascii="Arial Narrow" w:hAnsi="Arial Narrow"/>
                <w:b/>
                <w:bCs/>
                <w:sz w:val="20"/>
                <w:szCs w:val="20"/>
              </w:rPr>
              <w:t>Administrative Advice:</w:t>
            </w:r>
          </w:p>
          <w:p w14:paraId="6AEDD811" w14:textId="77777777" w:rsidR="00E4068B" w:rsidRPr="00BB090F" w:rsidRDefault="00E4068B" w:rsidP="00214401">
            <w:pPr>
              <w:rPr>
                <w:rFonts w:ascii="Arial Narrow" w:hAnsi="Arial Narrow"/>
                <w:b/>
                <w:bCs/>
                <w:sz w:val="20"/>
                <w:szCs w:val="20"/>
              </w:rPr>
            </w:pPr>
            <w:r w:rsidRPr="00BB090F">
              <w:rPr>
                <w:rFonts w:ascii="Arial Narrow" w:hAnsi="Arial Narrow"/>
                <w:b/>
                <w:bCs/>
                <w:sz w:val="20"/>
                <w:szCs w:val="20"/>
              </w:rPr>
              <w:t>Continuing Therapy Only:</w:t>
            </w:r>
          </w:p>
          <w:p w14:paraId="4186FC23" w14:textId="77777777" w:rsidR="00E4068B" w:rsidRPr="00BB090F" w:rsidRDefault="00E4068B" w:rsidP="00214401">
            <w:pPr>
              <w:rPr>
                <w:rFonts w:ascii="Arial Narrow" w:hAnsi="Arial Narrow"/>
                <w:sz w:val="20"/>
                <w:szCs w:val="20"/>
              </w:rPr>
            </w:pPr>
            <w:r w:rsidRPr="00BB090F">
              <w:rPr>
                <w:rFonts w:ascii="Arial Narrow" w:hAnsi="Arial Narrow"/>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E4068B" w:rsidRPr="00BB090F" w14:paraId="34305678" w14:textId="77777777" w:rsidTr="00E4068B">
        <w:tblPrEx>
          <w:tblCellMar>
            <w:top w:w="15" w:type="dxa"/>
            <w:bottom w:w="15" w:type="dxa"/>
          </w:tblCellMar>
          <w:tblLook w:val="04A0" w:firstRow="1" w:lastRow="0" w:firstColumn="1" w:lastColumn="0" w:noHBand="0" w:noVBand="1"/>
        </w:tblPrEx>
        <w:trPr>
          <w:trHeight w:val="20"/>
        </w:trPr>
        <w:tc>
          <w:tcPr>
            <w:tcW w:w="5000" w:type="pct"/>
            <w:gridSpan w:val="6"/>
          </w:tcPr>
          <w:p w14:paraId="7121AE80" w14:textId="77777777" w:rsidR="00E4068B" w:rsidRPr="00BB090F" w:rsidRDefault="00E4068B" w:rsidP="00214401">
            <w:pPr>
              <w:rPr>
                <w:rFonts w:ascii="Arial Narrow" w:hAnsi="Arial Narrow"/>
                <w:b/>
                <w:bCs/>
                <w:sz w:val="20"/>
                <w:szCs w:val="20"/>
              </w:rPr>
            </w:pPr>
            <w:r w:rsidRPr="00BB090F">
              <w:rPr>
                <w:rFonts w:ascii="Arial Narrow" w:hAnsi="Arial Narrow"/>
                <w:b/>
                <w:bCs/>
                <w:sz w:val="20"/>
                <w:szCs w:val="20"/>
              </w:rPr>
              <w:t xml:space="preserve">Administrative Advice: </w:t>
            </w:r>
            <w:r w:rsidRPr="00BB090F">
              <w:rPr>
                <w:rFonts w:ascii="Arial Narrow" w:hAnsi="Arial Narrow"/>
                <w:i/>
                <w:iCs/>
                <w:sz w:val="20"/>
                <w:szCs w:val="20"/>
              </w:rPr>
              <w:t>No increase in the maximum quantity or number of units may be authorised.</w:t>
            </w:r>
          </w:p>
        </w:tc>
      </w:tr>
      <w:tr w:rsidR="00E4068B" w:rsidRPr="00BB090F" w14:paraId="1CC769BF" w14:textId="77777777" w:rsidTr="00E4068B">
        <w:tblPrEx>
          <w:tblCellMar>
            <w:top w:w="15" w:type="dxa"/>
            <w:bottom w:w="15" w:type="dxa"/>
          </w:tblCellMar>
          <w:tblLook w:val="04A0" w:firstRow="1" w:lastRow="0" w:firstColumn="1" w:lastColumn="0" w:noHBand="0" w:noVBand="1"/>
        </w:tblPrEx>
        <w:trPr>
          <w:trHeight w:val="20"/>
        </w:trPr>
        <w:tc>
          <w:tcPr>
            <w:tcW w:w="5000" w:type="pct"/>
            <w:gridSpan w:val="6"/>
          </w:tcPr>
          <w:p w14:paraId="15CAB67C" w14:textId="77777777" w:rsidR="00E4068B" w:rsidRPr="00BB090F" w:rsidRDefault="00E4068B" w:rsidP="00214401">
            <w:pPr>
              <w:rPr>
                <w:rFonts w:ascii="Arial Narrow" w:hAnsi="Arial Narrow"/>
                <w:b/>
                <w:bCs/>
                <w:sz w:val="20"/>
                <w:szCs w:val="20"/>
              </w:rPr>
            </w:pPr>
            <w:r w:rsidRPr="00BB090F">
              <w:rPr>
                <w:rFonts w:ascii="Arial Narrow" w:hAnsi="Arial Narrow"/>
                <w:b/>
                <w:bCs/>
                <w:sz w:val="20"/>
                <w:szCs w:val="20"/>
              </w:rPr>
              <w:t xml:space="preserve">Administrative Advice: </w:t>
            </w:r>
            <w:r w:rsidRPr="00BB090F">
              <w:rPr>
                <w:rFonts w:ascii="Arial Narrow" w:hAnsi="Arial Narrow"/>
                <w:i/>
                <w:iCs/>
                <w:sz w:val="20"/>
                <w:szCs w:val="20"/>
              </w:rPr>
              <w:t>No increase in the maximum number of repeats may be authorised.</w:t>
            </w:r>
          </w:p>
        </w:tc>
      </w:tr>
      <w:tr w:rsidR="00E4068B" w:rsidRPr="00BB090F" w14:paraId="046E64F1" w14:textId="77777777" w:rsidTr="00E4068B">
        <w:tblPrEx>
          <w:tblCellMar>
            <w:top w:w="15" w:type="dxa"/>
            <w:bottom w:w="15" w:type="dxa"/>
          </w:tblCellMar>
          <w:tblLook w:val="04A0" w:firstRow="1" w:lastRow="0" w:firstColumn="1" w:lastColumn="0" w:noHBand="0" w:noVBand="1"/>
        </w:tblPrEx>
        <w:trPr>
          <w:cantSplit/>
          <w:trHeight w:val="20"/>
        </w:trPr>
        <w:tc>
          <w:tcPr>
            <w:tcW w:w="5000" w:type="pct"/>
            <w:gridSpan w:val="6"/>
          </w:tcPr>
          <w:p w14:paraId="46E2C362" w14:textId="77777777" w:rsidR="00E4068B" w:rsidRPr="00BB090F" w:rsidRDefault="00E4068B" w:rsidP="00214401">
            <w:pPr>
              <w:keepLines/>
              <w:rPr>
                <w:rFonts w:ascii="Arial Narrow" w:hAnsi="Arial Narrow"/>
                <w:sz w:val="20"/>
                <w:szCs w:val="20"/>
              </w:rPr>
            </w:pPr>
            <w:r w:rsidRPr="00BB090F">
              <w:rPr>
                <w:rFonts w:ascii="Arial Narrow" w:hAnsi="Arial Narrow"/>
                <w:b/>
                <w:bCs/>
                <w:sz w:val="20"/>
                <w:szCs w:val="20"/>
              </w:rPr>
              <w:t>Indication:</w:t>
            </w:r>
            <w:r w:rsidRPr="00BB090F">
              <w:rPr>
                <w:rFonts w:ascii="Arial Narrow" w:hAnsi="Arial Narrow"/>
                <w:sz w:val="20"/>
                <w:szCs w:val="20"/>
              </w:rPr>
              <w:t xml:space="preserve"> Chronic heart failure</w:t>
            </w:r>
          </w:p>
        </w:tc>
      </w:tr>
      <w:tr w:rsidR="00E4068B" w:rsidRPr="00BB090F" w14:paraId="36B331F9" w14:textId="77777777" w:rsidTr="00E4068B">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F818409" w14:textId="77777777" w:rsidR="00E4068B" w:rsidRPr="00BB090F" w:rsidRDefault="00E4068B" w:rsidP="00214401">
            <w:pPr>
              <w:rPr>
                <w:rFonts w:ascii="Arial Narrow" w:hAnsi="Arial Narrow"/>
                <w:sz w:val="20"/>
                <w:szCs w:val="20"/>
              </w:rPr>
            </w:pPr>
            <w:r w:rsidRPr="00BB090F">
              <w:rPr>
                <w:rFonts w:ascii="Arial Narrow" w:hAnsi="Arial Narrow"/>
                <w:b/>
                <w:bCs/>
                <w:sz w:val="20"/>
                <w:szCs w:val="20"/>
              </w:rPr>
              <w:t xml:space="preserve">Clinical criteria: </w:t>
            </w:r>
          </w:p>
        </w:tc>
      </w:tr>
      <w:tr w:rsidR="00E4068B" w:rsidRPr="00BB090F" w14:paraId="48884C8C" w14:textId="77777777" w:rsidTr="00E4068B">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C23E801" w14:textId="77777777" w:rsidR="00E4068B" w:rsidRPr="00BB090F" w:rsidRDefault="00E4068B" w:rsidP="00214401">
            <w:pPr>
              <w:rPr>
                <w:rFonts w:ascii="Arial Narrow" w:hAnsi="Arial Narrow"/>
                <w:sz w:val="20"/>
                <w:szCs w:val="20"/>
              </w:rPr>
            </w:pPr>
            <w:r w:rsidRPr="00BB090F">
              <w:rPr>
                <w:rFonts w:ascii="Arial Narrow" w:hAnsi="Arial Narrow"/>
                <w:sz w:val="20"/>
                <w:szCs w:val="20"/>
              </w:rPr>
              <w:t>Patient must be symptomatic with NYHA</w:t>
            </w:r>
            <w:r w:rsidRPr="00BB090F">
              <w:rPr>
                <w:rFonts w:ascii="Arial Narrow" w:hAnsi="Arial Narrow"/>
                <w:iCs/>
                <w:sz w:val="20"/>
                <w:szCs w:val="20"/>
              </w:rPr>
              <w:t xml:space="preserve"> </w:t>
            </w:r>
            <w:r w:rsidRPr="00BB090F">
              <w:rPr>
                <w:rFonts w:ascii="Arial Narrow" w:hAnsi="Arial Narrow"/>
                <w:sz w:val="20"/>
                <w:szCs w:val="20"/>
              </w:rPr>
              <w:t xml:space="preserve">classes II, III or IV </w:t>
            </w:r>
          </w:p>
        </w:tc>
      </w:tr>
      <w:tr w:rsidR="00E4068B" w:rsidRPr="00BB090F" w14:paraId="6B657060" w14:textId="77777777" w:rsidTr="00E4068B">
        <w:tblPrEx>
          <w:tblCellMar>
            <w:top w:w="15" w:type="dxa"/>
            <w:bottom w:w="15" w:type="dxa"/>
          </w:tblCellMar>
          <w:tblLook w:val="04A0" w:firstRow="1" w:lastRow="0" w:firstColumn="1" w:lastColumn="0" w:noHBand="0" w:noVBand="1"/>
        </w:tblPrEx>
        <w:trPr>
          <w:cantSplit/>
          <w:trHeight w:val="20"/>
        </w:trPr>
        <w:tc>
          <w:tcPr>
            <w:tcW w:w="5000" w:type="pct"/>
            <w:gridSpan w:val="6"/>
          </w:tcPr>
          <w:p w14:paraId="44E39F5C" w14:textId="77777777" w:rsidR="00E4068B" w:rsidRPr="00BB090F" w:rsidRDefault="00E4068B" w:rsidP="00214401">
            <w:pPr>
              <w:rPr>
                <w:rFonts w:ascii="Arial Narrow" w:hAnsi="Arial Narrow"/>
                <w:sz w:val="20"/>
                <w:szCs w:val="20"/>
              </w:rPr>
            </w:pPr>
            <w:r w:rsidRPr="00BB090F">
              <w:rPr>
                <w:rFonts w:ascii="Arial Narrow" w:hAnsi="Arial Narrow"/>
                <w:b/>
                <w:bCs/>
                <w:sz w:val="20"/>
                <w:szCs w:val="20"/>
              </w:rPr>
              <w:t>AND</w:t>
            </w:r>
          </w:p>
        </w:tc>
      </w:tr>
      <w:tr w:rsidR="00E4068B" w:rsidRPr="00BB090F" w14:paraId="5186BE27" w14:textId="77777777" w:rsidTr="00E4068B">
        <w:tblPrEx>
          <w:tblCellMar>
            <w:top w:w="15" w:type="dxa"/>
            <w:bottom w:w="15" w:type="dxa"/>
          </w:tblCellMar>
          <w:tblLook w:val="04A0" w:firstRow="1" w:lastRow="0" w:firstColumn="1" w:lastColumn="0" w:noHBand="0" w:noVBand="1"/>
        </w:tblPrEx>
        <w:trPr>
          <w:cantSplit/>
          <w:trHeight w:val="20"/>
        </w:trPr>
        <w:tc>
          <w:tcPr>
            <w:tcW w:w="5000" w:type="pct"/>
            <w:gridSpan w:val="6"/>
          </w:tcPr>
          <w:p w14:paraId="471025CB" w14:textId="77777777" w:rsidR="00E4068B" w:rsidRPr="00BB090F" w:rsidRDefault="00E4068B" w:rsidP="00214401">
            <w:pPr>
              <w:rPr>
                <w:rFonts w:ascii="Arial Narrow" w:hAnsi="Arial Narrow"/>
                <w:sz w:val="20"/>
                <w:szCs w:val="20"/>
              </w:rPr>
            </w:pPr>
            <w:r w:rsidRPr="00BB090F">
              <w:rPr>
                <w:rFonts w:ascii="Arial Narrow" w:hAnsi="Arial Narrow"/>
                <w:b/>
                <w:bCs/>
                <w:sz w:val="20"/>
                <w:szCs w:val="20"/>
              </w:rPr>
              <w:t>Clinical criteria:</w:t>
            </w:r>
          </w:p>
        </w:tc>
      </w:tr>
      <w:tr w:rsidR="00E4068B" w:rsidRPr="00BB090F" w14:paraId="7F31A101" w14:textId="77777777" w:rsidTr="00E4068B">
        <w:tblPrEx>
          <w:tblCellMar>
            <w:top w:w="15" w:type="dxa"/>
            <w:bottom w:w="15" w:type="dxa"/>
          </w:tblCellMar>
          <w:tblLook w:val="04A0" w:firstRow="1" w:lastRow="0" w:firstColumn="1" w:lastColumn="0" w:noHBand="0" w:noVBand="1"/>
        </w:tblPrEx>
        <w:trPr>
          <w:cantSplit/>
          <w:trHeight w:val="20"/>
        </w:trPr>
        <w:tc>
          <w:tcPr>
            <w:tcW w:w="5000" w:type="pct"/>
            <w:gridSpan w:val="6"/>
          </w:tcPr>
          <w:p w14:paraId="77186D9A" w14:textId="77777777" w:rsidR="00E4068B" w:rsidRPr="00BB090F" w:rsidRDefault="00E4068B" w:rsidP="00214401">
            <w:pPr>
              <w:rPr>
                <w:rFonts w:ascii="Arial Narrow" w:hAnsi="Arial Narrow"/>
                <w:sz w:val="20"/>
                <w:szCs w:val="20"/>
              </w:rPr>
            </w:pPr>
            <w:r w:rsidRPr="00BB090F">
              <w:rPr>
                <w:rFonts w:ascii="Arial Narrow" w:hAnsi="Arial Narrow"/>
                <w:sz w:val="20"/>
                <w:szCs w:val="20"/>
              </w:rPr>
              <w:t>Patient must have a documented left ventricular ejection fraction (LVEF)</w:t>
            </w:r>
            <w:r w:rsidRPr="00BB090F">
              <w:rPr>
                <w:rFonts w:ascii="Arial Narrow" w:hAnsi="Arial Narrow"/>
                <w:iCs/>
                <w:sz w:val="20"/>
                <w:szCs w:val="20"/>
              </w:rPr>
              <w:t xml:space="preserve"> </w:t>
            </w:r>
            <w:r w:rsidRPr="00BB090F">
              <w:rPr>
                <w:rFonts w:ascii="Arial Narrow" w:hAnsi="Arial Narrow"/>
                <w:sz w:val="20"/>
                <w:szCs w:val="20"/>
              </w:rPr>
              <w:t>of greater than 40%</w:t>
            </w:r>
          </w:p>
        </w:tc>
      </w:tr>
      <w:tr w:rsidR="00E4068B" w:rsidRPr="00BB090F" w14:paraId="77BBD641" w14:textId="77777777" w:rsidTr="00E4068B">
        <w:tblPrEx>
          <w:tblCellMar>
            <w:top w:w="15" w:type="dxa"/>
            <w:bottom w:w="15" w:type="dxa"/>
          </w:tblCellMar>
          <w:tblLook w:val="04A0" w:firstRow="1" w:lastRow="0" w:firstColumn="1" w:lastColumn="0" w:noHBand="0" w:noVBand="1"/>
        </w:tblPrEx>
        <w:trPr>
          <w:cantSplit/>
          <w:trHeight w:val="20"/>
        </w:trPr>
        <w:tc>
          <w:tcPr>
            <w:tcW w:w="5000" w:type="pct"/>
            <w:gridSpan w:val="6"/>
          </w:tcPr>
          <w:p w14:paraId="05786B5F" w14:textId="77777777" w:rsidR="00E4068B" w:rsidRPr="00BB090F" w:rsidRDefault="00E4068B" w:rsidP="00214401">
            <w:pPr>
              <w:rPr>
                <w:rFonts w:ascii="Arial Narrow" w:hAnsi="Arial Narrow"/>
                <w:sz w:val="20"/>
                <w:szCs w:val="20"/>
              </w:rPr>
            </w:pPr>
            <w:r w:rsidRPr="00BB090F">
              <w:rPr>
                <w:rFonts w:ascii="Arial Narrow" w:hAnsi="Arial Narrow"/>
                <w:b/>
                <w:bCs/>
                <w:sz w:val="20"/>
                <w:szCs w:val="20"/>
              </w:rPr>
              <w:t>AND</w:t>
            </w:r>
          </w:p>
        </w:tc>
      </w:tr>
      <w:tr w:rsidR="00E4068B" w:rsidRPr="00BB090F" w14:paraId="1D023228" w14:textId="77777777" w:rsidTr="00E4068B">
        <w:tblPrEx>
          <w:tblCellMar>
            <w:top w:w="15" w:type="dxa"/>
            <w:bottom w:w="15" w:type="dxa"/>
          </w:tblCellMar>
          <w:tblLook w:val="04A0" w:firstRow="1" w:lastRow="0" w:firstColumn="1" w:lastColumn="0" w:noHBand="0" w:noVBand="1"/>
        </w:tblPrEx>
        <w:trPr>
          <w:cantSplit/>
          <w:trHeight w:val="20"/>
        </w:trPr>
        <w:tc>
          <w:tcPr>
            <w:tcW w:w="5000" w:type="pct"/>
            <w:gridSpan w:val="6"/>
          </w:tcPr>
          <w:p w14:paraId="288BF9FD" w14:textId="77777777" w:rsidR="00E4068B" w:rsidRPr="00BB090F" w:rsidRDefault="00E4068B" w:rsidP="00214401">
            <w:pPr>
              <w:rPr>
                <w:rFonts w:ascii="Arial Narrow" w:hAnsi="Arial Narrow"/>
                <w:sz w:val="20"/>
                <w:szCs w:val="20"/>
              </w:rPr>
            </w:pPr>
            <w:r w:rsidRPr="00BB090F">
              <w:rPr>
                <w:rFonts w:ascii="Arial Narrow" w:hAnsi="Arial Narrow"/>
                <w:b/>
                <w:bCs/>
                <w:sz w:val="20"/>
                <w:szCs w:val="20"/>
              </w:rPr>
              <w:t>Clinical criteria:</w:t>
            </w:r>
          </w:p>
        </w:tc>
      </w:tr>
      <w:tr w:rsidR="00E4068B" w:rsidRPr="00BB090F" w14:paraId="54C52E20" w14:textId="77777777" w:rsidTr="00E4068B">
        <w:tblPrEx>
          <w:tblCellMar>
            <w:top w:w="15" w:type="dxa"/>
            <w:bottom w:w="15" w:type="dxa"/>
          </w:tblCellMar>
          <w:tblLook w:val="04A0" w:firstRow="1" w:lastRow="0" w:firstColumn="1" w:lastColumn="0" w:noHBand="0" w:noVBand="1"/>
        </w:tblPrEx>
        <w:trPr>
          <w:cantSplit/>
          <w:trHeight w:val="20"/>
        </w:trPr>
        <w:tc>
          <w:tcPr>
            <w:tcW w:w="5000" w:type="pct"/>
            <w:gridSpan w:val="6"/>
          </w:tcPr>
          <w:p w14:paraId="033D565E" w14:textId="77777777" w:rsidR="00E4068B" w:rsidRPr="00BB090F" w:rsidRDefault="00E4068B" w:rsidP="00214401">
            <w:pPr>
              <w:rPr>
                <w:rFonts w:ascii="Arial Narrow" w:hAnsi="Arial Narrow"/>
                <w:strike/>
                <w:sz w:val="20"/>
                <w:szCs w:val="20"/>
              </w:rPr>
            </w:pPr>
          </w:p>
          <w:p w14:paraId="4792C595" w14:textId="77777777" w:rsidR="00E4068B" w:rsidRPr="00BB090F" w:rsidRDefault="00E4068B" w:rsidP="00214401">
            <w:pPr>
              <w:rPr>
                <w:rFonts w:ascii="Arial Narrow" w:hAnsi="Arial Narrow"/>
                <w:i/>
                <w:iCs/>
                <w:strike/>
                <w:sz w:val="20"/>
                <w:szCs w:val="20"/>
              </w:rPr>
            </w:pPr>
            <w:r w:rsidRPr="00BB090F">
              <w:rPr>
                <w:rFonts w:ascii="Arial Narrow" w:hAnsi="Arial Narrow"/>
                <w:strike/>
                <w:sz w:val="20"/>
                <w:szCs w:val="20"/>
              </w:rPr>
              <w:t xml:space="preserve">Patient must have documented evidence of </w:t>
            </w:r>
            <w:r w:rsidRPr="00BB090F">
              <w:rPr>
                <w:rFonts w:ascii="Arial Narrow" w:hAnsi="Arial Narrow"/>
                <w:i/>
                <w:iCs/>
                <w:strike/>
                <w:sz w:val="20"/>
                <w:szCs w:val="20"/>
              </w:rPr>
              <w:t xml:space="preserve">at least one of: </w:t>
            </w:r>
          </w:p>
          <w:p w14:paraId="64B2BAEB" w14:textId="77777777" w:rsidR="00E4068B" w:rsidRPr="00BB090F" w:rsidRDefault="00E4068B" w:rsidP="00214401">
            <w:pPr>
              <w:rPr>
                <w:rFonts w:ascii="Arial Narrow" w:hAnsi="Arial Narrow"/>
                <w:strike/>
                <w:sz w:val="20"/>
                <w:szCs w:val="20"/>
              </w:rPr>
            </w:pPr>
            <w:r w:rsidRPr="00BB090F">
              <w:rPr>
                <w:rFonts w:ascii="Arial Narrow" w:hAnsi="Arial Narrow"/>
                <w:i/>
                <w:iCs/>
                <w:strike/>
                <w:sz w:val="20"/>
                <w:szCs w:val="20"/>
              </w:rPr>
              <w:t xml:space="preserve">(i) relevant </w:t>
            </w:r>
            <w:r w:rsidRPr="00BB090F">
              <w:rPr>
                <w:rFonts w:ascii="Arial Narrow" w:hAnsi="Arial Narrow"/>
                <w:strike/>
                <w:sz w:val="20"/>
                <w:szCs w:val="20"/>
              </w:rPr>
              <w:t>structural changes in the heart on echocardiography</w:t>
            </w:r>
            <w:r w:rsidRPr="00BB090F">
              <w:rPr>
                <w:rFonts w:ascii="Arial Narrow" w:hAnsi="Arial Narrow"/>
                <w:i/>
                <w:iCs/>
                <w:strike/>
                <w:sz w:val="20"/>
                <w:szCs w:val="20"/>
              </w:rPr>
              <w:t>;</w:t>
            </w:r>
            <w:r w:rsidRPr="00BB090F">
              <w:rPr>
                <w:rFonts w:ascii="Arial Narrow" w:hAnsi="Arial Narrow"/>
                <w:strike/>
                <w:sz w:val="20"/>
                <w:szCs w:val="20"/>
              </w:rPr>
              <w:t xml:space="preserve"> OR </w:t>
            </w:r>
          </w:p>
          <w:p w14:paraId="37B9C8C0" w14:textId="77777777" w:rsidR="00E4068B" w:rsidRPr="00BB090F" w:rsidRDefault="00E4068B" w:rsidP="00214401">
            <w:pPr>
              <w:jc w:val="left"/>
              <w:rPr>
                <w:rFonts w:ascii="Arial Narrow" w:hAnsi="Arial Narrow"/>
                <w:strike/>
                <w:sz w:val="20"/>
                <w:szCs w:val="20"/>
              </w:rPr>
            </w:pPr>
            <w:r w:rsidRPr="00BB090F">
              <w:rPr>
                <w:rFonts w:ascii="Arial Narrow" w:hAnsi="Arial Narrow"/>
                <w:strike/>
                <w:sz w:val="20"/>
                <w:szCs w:val="20"/>
              </w:rPr>
              <w:t>(ii) diastolic dysfunction with high filling pressure on echocardiography</w:t>
            </w:r>
            <w:r w:rsidRPr="00BB090F">
              <w:rPr>
                <w:rFonts w:ascii="Arial Narrow" w:hAnsi="Arial Narrow"/>
                <w:i/>
                <w:iCs/>
                <w:strike/>
                <w:sz w:val="20"/>
                <w:szCs w:val="20"/>
              </w:rPr>
              <w:t>;</w:t>
            </w:r>
            <w:r w:rsidRPr="00BB090F">
              <w:rPr>
                <w:rFonts w:ascii="Arial Narrow" w:hAnsi="Arial Narrow"/>
                <w:strike/>
                <w:sz w:val="20"/>
                <w:szCs w:val="20"/>
              </w:rPr>
              <w:t xml:space="preserve"> OR</w:t>
            </w:r>
            <w:r w:rsidRPr="00BB090F">
              <w:rPr>
                <w:rFonts w:ascii="Arial Narrow" w:hAnsi="Arial Narrow"/>
                <w:strike/>
                <w:sz w:val="20"/>
                <w:szCs w:val="20"/>
              </w:rPr>
              <w:br/>
              <w:t xml:space="preserve">(iii)  hospitalisation </w:t>
            </w:r>
            <w:r w:rsidRPr="00BB090F">
              <w:rPr>
                <w:rFonts w:ascii="Arial Narrow" w:hAnsi="Arial Narrow"/>
                <w:i/>
                <w:iCs/>
                <w:strike/>
                <w:sz w:val="20"/>
                <w:szCs w:val="20"/>
              </w:rPr>
              <w:t>due to</w:t>
            </w:r>
            <w:r w:rsidRPr="00BB090F">
              <w:rPr>
                <w:rFonts w:ascii="Arial Narrow" w:hAnsi="Arial Narrow"/>
                <w:strike/>
                <w:sz w:val="20"/>
                <w:szCs w:val="20"/>
              </w:rPr>
              <w:t xml:space="preserve">  heart failure</w:t>
            </w:r>
            <w:r w:rsidRPr="00BB090F">
              <w:rPr>
                <w:rFonts w:ascii="Arial Narrow" w:hAnsi="Arial Narrow"/>
                <w:i/>
                <w:iCs/>
                <w:strike/>
                <w:sz w:val="20"/>
                <w:szCs w:val="20"/>
              </w:rPr>
              <w:t>;</w:t>
            </w:r>
            <w:r w:rsidRPr="00BB090F">
              <w:rPr>
                <w:rFonts w:ascii="Arial Narrow" w:hAnsi="Arial Narrow"/>
                <w:strike/>
                <w:sz w:val="20"/>
                <w:szCs w:val="20"/>
              </w:rPr>
              <w:t xml:space="preserve"> OR </w:t>
            </w:r>
          </w:p>
          <w:p w14:paraId="6D573F7F" w14:textId="77777777" w:rsidR="00E4068B" w:rsidRPr="00BB090F" w:rsidRDefault="00E4068B" w:rsidP="00214401">
            <w:pPr>
              <w:rPr>
                <w:rFonts w:ascii="Arial Narrow" w:hAnsi="Arial Narrow"/>
                <w:strike/>
                <w:sz w:val="20"/>
                <w:szCs w:val="20"/>
              </w:rPr>
            </w:pPr>
            <w:r w:rsidRPr="00BB090F">
              <w:rPr>
                <w:rFonts w:ascii="Arial Narrow" w:hAnsi="Arial Narrow"/>
                <w:strike/>
                <w:sz w:val="20"/>
                <w:szCs w:val="20"/>
              </w:rPr>
              <w:t>(iv) elevated N-terminal pro brain natriuretic peptide (NT-proBNP) level s</w:t>
            </w:r>
          </w:p>
          <w:p w14:paraId="472BCB7F" w14:textId="77777777" w:rsidR="00E4068B" w:rsidRPr="00BB090F" w:rsidRDefault="00E4068B" w:rsidP="00214401">
            <w:pPr>
              <w:rPr>
                <w:rFonts w:ascii="Arial Narrow" w:hAnsi="Arial Narrow"/>
                <w:sz w:val="20"/>
                <w:szCs w:val="20"/>
              </w:rPr>
            </w:pPr>
          </w:p>
          <w:p w14:paraId="762A9163" w14:textId="77777777" w:rsidR="00E4068B" w:rsidRPr="00BB090F" w:rsidRDefault="00E4068B" w:rsidP="00214401">
            <w:pPr>
              <w:pStyle w:val="ListParagraph"/>
              <w:keepNext/>
              <w:keepLines/>
              <w:spacing w:after="0"/>
              <w:ind w:left="0" w:hanging="357"/>
              <w:rPr>
                <w:rFonts w:ascii="Arial Narrow" w:hAnsi="Arial Narrow"/>
                <w:i/>
                <w:iCs/>
                <w:sz w:val="20"/>
                <w:szCs w:val="20"/>
              </w:rPr>
            </w:pPr>
            <w:r w:rsidRPr="00BB090F">
              <w:rPr>
                <w:rFonts w:ascii="Arial Narrow" w:hAnsi="Arial Narrow"/>
                <w:i/>
                <w:iCs/>
                <w:sz w:val="20"/>
                <w:szCs w:val="20"/>
              </w:rPr>
              <w:t>Patient must have documented evidence of:</w:t>
            </w:r>
          </w:p>
          <w:p w14:paraId="5A188364" w14:textId="77777777" w:rsidR="00E4068B" w:rsidRPr="00BB090F" w:rsidRDefault="00E4068B" w:rsidP="00214401">
            <w:pPr>
              <w:pStyle w:val="ListParagraph"/>
              <w:keepNext/>
              <w:keepLines/>
              <w:spacing w:after="0"/>
              <w:ind w:left="0" w:hanging="357"/>
              <w:rPr>
                <w:rFonts w:ascii="Arial Narrow" w:hAnsi="Arial Narrow"/>
                <w:i/>
                <w:iCs/>
                <w:sz w:val="20"/>
                <w:szCs w:val="20"/>
              </w:rPr>
            </w:pPr>
            <w:r w:rsidRPr="00BB090F">
              <w:rPr>
                <w:rFonts w:ascii="Arial Narrow" w:hAnsi="Arial Narrow"/>
                <w:i/>
                <w:iCs/>
                <w:sz w:val="20"/>
                <w:szCs w:val="20"/>
              </w:rPr>
              <w:t>Structural changes in the heart on echocardiography that would be expected to cause diastolic dysfunction (e.g. left ventricular hypertrophy); AND</w:t>
            </w:r>
          </w:p>
          <w:p w14:paraId="79757A0D" w14:textId="77777777" w:rsidR="00E4068B" w:rsidRPr="00BB090F" w:rsidRDefault="00E4068B" w:rsidP="00214401">
            <w:pPr>
              <w:pStyle w:val="ListParagraph"/>
              <w:keepNext/>
              <w:keepLines/>
              <w:spacing w:after="0"/>
              <w:ind w:left="0" w:hanging="357"/>
              <w:rPr>
                <w:rFonts w:ascii="Arial Narrow" w:hAnsi="Arial Narrow"/>
                <w:i/>
                <w:iCs/>
                <w:sz w:val="20"/>
                <w:szCs w:val="20"/>
              </w:rPr>
            </w:pPr>
            <w:r w:rsidRPr="00BB090F">
              <w:rPr>
                <w:rFonts w:ascii="Arial Narrow" w:hAnsi="Arial Narrow"/>
                <w:i/>
                <w:iCs/>
                <w:sz w:val="20"/>
                <w:szCs w:val="20"/>
              </w:rPr>
              <w:t>At least one of</w:t>
            </w:r>
          </w:p>
          <w:p w14:paraId="2AD8460D" w14:textId="77777777" w:rsidR="00E4068B" w:rsidRPr="00BB090F" w:rsidRDefault="00E4068B" w:rsidP="00214401">
            <w:pPr>
              <w:pStyle w:val="ListParagraph"/>
              <w:keepNext/>
              <w:keepLines/>
              <w:spacing w:after="0"/>
              <w:ind w:left="0" w:hanging="357"/>
              <w:rPr>
                <w:rFonts w:ascii="Arial Narrow" w:hAnsi="Arial Narrow"/>
                <w:i/>
                <w:iCs/>
                <w:sz w:val="20"/>
                <w:szCs w:val="20"/>
              </w:rPr>
            </w:pPr>
            <w:r w:rsidRPr="00BB090F">
              <w:rPr>
                <w:rFonts w:ascii="Arial Narrow" w:hAnsi="Arial Narrow"/>
                <w:i/>
                <w:iCs/>
                <w:sz w:val="20"/>
                <w:szCs w:val="20"/>
              </w:rPr>
              <w:t xml:space="preserve">(i) diastolic dysfunction with high filling pressure on echocardiography, stress echocardiography or cardiac catheterisation; OR </w:t>
            </w:r>
          </w:p>
          <w:p w14:paraId="460427FB" w14:textId="77777777" w:rsidR="00E4068B" w:rsidRPr="00BB090F" w:rsidRDefault="00E4068B" w:rsidP="00214401">
            <w:pPr>
              <w:pStyle w:val="ListParagraph"/>
              <w:keepNext/>
              <w:keepLines/>
              <w:spacing w:after="0"/>
              <w:ind w:left="0" w:hanging="357"/>
              <w:rPr>
                <w:rFonts w:ascii="Arial Narrow" w:hAnsi="Arial Narrow"/>
                <w:i/>
                <w:iCs/>
                <w:sz w:val="20"/>
                <w:szCs w:val="20"/>
              </w:rPr>
            </w:pPr>
            <w:r w:rsidRPr="00BB090F">
              <w:rPr>
                <w:rFonts w:ascii="Arial Narrow" w:hAnsi="Arial Narrow"/>
                <w:i/>
                <w:iCs/>
                <w:sz w:val="20"/>
                <w:szCs w:val="20"/>
              </w:rPr>
              <w:t>(ii) hospitalisation for heart failure in the 12 months prior to initiating treatment with this drug OR</w:t>
            </w:r>
          </w:p>
          <w:p w14:paraId="287E980F" w14:textId="77777777" w:rsidR="00E4068B" w:rsidRPr="00BB090F" w:rsidRDefault="00E4068B" w:rsidP="00214401">
            <w:pPr>
              <w:pStyle w:val="ListParagraph"/>
              <w:keepNext/>
              <w:keepLines/>
              <w:spacing w:after="0"/>
              <w:ind w:left="0" w:hanging="357"/>
              <w:rPr>
                <w:rFonts w:ascii="Arial Narrow" w:hAnsi="Arial Narrow"/>
                <w:i/>
                <w:iCs/>
                <w:sz w:val="20"/>
                <w:szCs w:val="20"/>
              </w:rPr>
            </w:pPr>
            <w:r w:rsidRPr="00BB090F">
              <w:rPr>
                <w:rFonts w:ascii="Arial Narrow" w:hAnsi="Arial Narrow"/>
                <w:i/>
                <w:iCs/>
                <w:sz w:val="20"/>
                <w:szCs w:val="20"/>
              </w:rPr>
              <w:t xml:space="preserve">(iii) requirement for intravenous diuretic therapy in the 12 months prior to initiating treatment with this drug OR </w:t>
            </w:r>
          </w:p>
          <w:p w14:paraId="1B9C430E" w14:textId="77777777" w:rsidR="00E4068B" w:rsidRPr="00BB090F" w:rsidRDefault="00E4068B" w:rsidP="00214401">
            <w:pPr>
              <w:pStyle w:val="ListBullet"/>
              <w:numPr>
                <w:ilvl w:val="0"/>
                <w:numId w:val="0"/>
              </w:numPr>
              <w:ind w:left="360" w:hanging="360"/>
            </w:pPr>
            <w:r w:rsidRPr="00BB090F">
              <w:rPr>
                <w:rFonts w:ascii="Arial Narrow" w:hAnsi="Arial Narrow"/>
                <w:i/>
                <w:iCs/>
                <w:sz w:val="20"/>
                <w:szCs w:val="20"/>
              </w:rPr>
              <w:t>(iv) elevated N-terminal pro brain natriuretic peptide (NT-proBNP) levels in the absence of another cause</w:t>
            </w:r>
          </w:p>
        </w:tc>
      </w:tr>
      <w:tr w:rsidR="00E4068B" w:rsidRPr="00BB090F" w14:paraId="62879A00" w14:textId="77777777" w:rsidTr="00E4068B">
        <w:tblPrEx>
          <w:tblCellMar>
            <w:top w:w="15" w:type="dxa"/>
            <w:bottom w:w="15" w:type="dxa"/>
          </w:tblCellMar>
          <w:tblLook w:val="04A0" w:firstRow="1" w:lastRow="0" w:firstColumn="1" w:lastColumn="0" w:noHBand="0" w:noVBand="1"/>
        </w:tblPrEx>
        <w:trPr>
          <w:cantSplit/>
          <w:trHeight w:val="20"/>
        </w:trPr>
        <w:tc>
          <w:tcPr>
            <w:tcW w:w="5000" w:type="pct"/>
            <w:gridSpan w:val="6"/>
          </w:tcPr>
          <w:p w14:paraId="05171B86" w14:textId="77777777" w:rsidR="00E4068B" w:rsidRPr="00BB090F" w:rsidRDefault="00E4068B" w:rsidP="00214401">
            <w:pPr>
              <w:rPr>
                <w:rFonts w:ascii="Arial Narrow" w:hAnsi="Arial Narrow"/>
                <w:sz w:val="20"/>
                <w:szCs w:val="20"/>
              </w:rPr>
            </w:pPr>
            <w:r w:rsidRPr="00BB090F">
              <w:rPr>
                <w:rFonts w:ascii="Arial Narrow" w:hAnsi="Arial Narrow"/>
                <w:b/>
                <w:bCs/>
                <w:sz w:val="20"/>
                <w:szCs w:val="20"/>
              </w:rPr>
              <w:t>AND</w:t>
            </w:r>
          </w:p>
        </w:tc>
      </w:tr>
      <w:tr w:rsidR="00E4068B" w:rsidRPr="00BB090F" w14:paraId="24365717" w14:textId="77777777" w:rsidTr="00E4068B">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A2E7B20" w14:textId="77777777" w:rsidR="00E4068B" w:rsidRPr="00BB090F" w:rsidRDefault="00E4068B" w:rsidP="00214401">
            <w:pPr>
              <w:rPr>
                <w:rFonts w:ascii="Arial Narrow" w:hAnsi="Arial Narrow"/>
                <w:sz w:val="20"/>
                <w:szCs w:val="20"/>
              </w:rPr>
            </w:pPr>
            <w:r w:rsidRPr="00BB090F">
              <w:rPr>
                <w:rFonts w:ascii="Arial Narrow" w:hAnsi="Arial Narrow"/>
                <w:b/>
                <w:bCs/>
                <w:sz w:val="20"/>
                <w:szCs w:val="20"/>
              </w:rPr>
              <w:t>Clinical criteria:</w:t>
            </w:r>
          </w:p>
        </w:tc>
      </w:tr>
      <w:tr w:rsidR="00E4068B" w:rsidRPr="00BB090F" w14:paraId="22BDD106" w14:textId="77777777" w:rsidTr="00E4068B">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C42337B" w14:textId="77777777" w:rsidR="00E4068B" w:rsidRPr="00BB090F" w:rsidRDefault="00E4068B" w:rsidP="00214401">
            <w:pPr>
              <w:rPr>
                <w:rFonts w:ascii="Arial Narrow" w:hAnsi="Arial Narrow"/>
                <w:sz w:val="20"/>
                <w:szCs w:val="20"/>
              </w:rPr>
            </w:pPr>
            <w:r w:rsidRPr="00BB090F">
              <w:rPr>
                <w:rFonts w:ascii="Arial Narrow" w:hAnsi="Arial Narrow"/>
                <w:sz w:val="20"/>
                <w:szCs w:val="20"/>
              </w:rPr>
              <w:t>Patient must not be receiving treatment with another sodium-glucose co-transporter 2 (SGLT2) inhibitor.</w:t>
            </w:r>
          </w:p>
        </w:tc>
      </w:tr>
    </w:tbl>
    <w:p w14:paraId="670896C3" w14:textId="77777777" w:rsidR="00F04147" w:rsidRDefault="00F04147" w:rsidP="00F04147">
      <w:pPr>
        <w:jc w:val="left"/>
        <w:rPr>
          <w:b/>
          <w:i/>
        </w:rPr>
      </w:pPr>
    </w:p>
    <w:p w14:paraId="7F7FAA02" w14:textId="716186EA" w:rsidR="00F04147" w:rsidRDefault="00F04147" w:rsidP="00E4068B">
      <w:pPr>
        <w:jc w:val="left"/>
        <w:rPr>
          <w:rFonts w:asciiTheme="minorHAnsi" w:hAnsiTheme="minorHAnsi"/>
          <w:bCs/>
          <w:snapToGrid w:val="0"/>
        </w:rPr>
      </w:pPr>
      <w:r w:rsidRPr="004A2200">
        <w:rPr>
          <w:b/>
          <w:i/>
        </w:rPr>
        <w:t>This restriction may be subject to further review. Should there be any changes made to the restriction the sponsor will be informed.</w:t>
      </w:r>
    </w:p>
    <w:p w14:paraId="418B0306" w14:textId="703B0FCB" w:rsidR="00334395" w:rsidRDefault="00334395" w:rsidP="00E4068B">
      <w:pPr>
        <w:pStyle w:val="COMH1numbered"/>
        <w:rPr>
          <w:bCs/>
          <w:lang w:val="en-GB"/>
        </w:rPr>
      </w:pPr>
      <w:r w:rsidRPr="00C07617">
        <w:t>Context for Decision</w:t>
      </w:r>
    </w:p>
    <w:p w14:paraId="0CFFC4AA" w14:textId="77777777" w:rsidR="00334395" w:rsidRPr="007129F2" w:rsidRDefault="00334395" w:rsidP="00E4068B">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B2877A3" w14:textId="1DEC682C" w:rsidR="00334395" w:rsidRPr="00C07617" w:rsidRDefault="00334395" w:rsidP="00E4068B">
      <w:pPr>
        <w:pStyle w:val="COMH1numbered"/>
      </w:pPr>
      <w:r>
        <w:t>Sponsor’s Comment</w:t>
      </w:r>
    </w:p>
    <w:p w14:paraId="73A090AD" w14:textId="4581BC23" w:rsidR="00334395" w:rsidRPr="000145B9" w:rsidRDefault="00334395" w:rsidP="00E4068B">
      <w:pPr>
        <w:spacing w:after="120"/>
        <w:ind w:left="426" w:firstLine="294"/>
        <w:rPr>
          <w:rFonts w:asciiTheme="minorHAnsi" w:hAnsiTheme="minorHAnsi"/>
          <w:bCs/>
          <w:snapToGrid w:val="0"/>
        </w:rPr>
      </w:pPr>
      <w:r w:rsidRPr="00C07617">
        <w:rPr>
          <w:rFonts w:asciiTheme="minorHAnsi" w:hAnsiTheme="minorHAnsi"/>
          <w:bCs/>
        </w:rPr>
        <w:t>The sponsor had no comment.</w:t>
      </w:r>
    </w:p>
    <w:sectPr w:rsidR="00334395" w:rsidRPr="000145B9" w:rsidSect="00251006">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AE53E" w14:textId="77777777" w:rsidR="00C1418D" w:rsidRDefault="00C1418D" w:rsidP="00124A51">
      <w:r>
        <w:separator/>
      </w:r>
    </w:p>
    <w:p w14:paraId="1B59652D" w14:textId="77777777" w:rsidR="00C1418D" w:rsidRDefault="00C1418D"/>
    <w:p w14:paraId="4F8B272B" w14:textId="77777777" w:rsidR="00C1418D" w:rsidRDefault="00C1418D"/>
  </w:endnote>
  <w:endnote w:type="continuationSeparator" w:id="0">
    <w:p w14:paraId="1929A934" w14:textId="77777777" w:rsidR="00C1418D" w:rsidRDefault="00C1418D" w:rsidP="00124A51">
      <w:r>
        <w:continuationSeparator/>
      </w:r>
    </w:p>
    <w:p w14:paraId="6E4CED7B" w14:textId="77777777" w:rsidR="00C1418D" w:rsidRDefault="00C1418D"/>
    <w:p w14:paraId="183F6D5D" w14:textId="77777777" w:rsidR="00C1418D" w:rsidRDefault="00C141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FD5C7" w14:textId="77777777" w:rsidR="00683B96" w:rsidRDefault="00683B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7FC70" w14:textId="2710F0CE" w:rsidR="00E73FE0" w:rsidRDefault="00E73FE0" w:rsidP="00E73FE0">
    <w:pPr>
      <w:pStyle w:val="Footer"/>
      <w:jc w:val="center"/>
    </w:pPr>
  </w:p>
  <w:bookmarkStart w:id="93" w:name="_Hlk76375156"/>
  <w:p w14:paraId="37484CD3" w14:textId="47F4C97D" w:rsidR="00AE14F4" w:rsidRPr="00E73FE0" w:rsidRDefault="00E73FE0" w:rsidP="00E73FE0">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00F56D93">
      <w:rPr>
        <w:b/>
        <w:noProof/>
      </w:rPr>
      <w:t>1</w:t>
    </w:r>
    <w:r w:rsidRPr="00836F75">
      <w:rPr>
        <w:b/>
        <w:noProof/>
      </w:rPr>
      <w:fldChar w:fldCharType="end"/>
    </w:r>
    <w:r>
      <w:rPr>
        <w:b/>
        <w:noProof/>
      </w:rPr>
      <w:t xml:space="preserve"> </w:t>
    </w:r>
    <w:bookmarkEnd w:id="9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A9A20" w14:textId="77777777" w:rsidR="00683B96" w:rsidRDefault="00683B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D87CA" w14:textId="77777777" w:rsidR="00C1418D" w:rsidRDefault="00C1418D" w:rsidP="00124A51">
      <w:r>
        <w:separator/>
      </w:r>
    </w:p>
    <w:p w14:paraId="432F4B7D" w14:textId="77777777" w:rsidR="00C1418D" w:rsidRDefault="00C1418D"/>
    <w:p w14:paraId="086FE509" w14:textId="77777777" w:rsidR="00C1418D" w:rsidRDefault="00C1418D"/>
  </w:footnote>
  <w:footnote w:type="continuationSeparator" w:id="0">
    <w:p w14:paraId="1EB21AA2" w14:textId="77777777" w:rsidR="00C1418D" w:rsidRDefault="00C1418D" w:rsidP="00124A51">
      <w:r>
        <w:continuationSeparator/>
      </w:r>
    </w:p>
    <w:p w14:paraId="31B48E45" w14:textId="77777777" w:rsidR="00C1418D" w:rsidRDefault="00C1418D"/>
    <w:p w14:paraId="76C2C99A" w14:textId="77777777" w:rsidR="00C1418D" w:rsidRDefault="00C1418D"/>
  </w:footnote>
  <w:footnote w:id="1">
    <w:p w14:paraId="79275A02" w14:textId="23522041" w:rsidR="00B07CCA" w:rsidRDefault="00B07CCA">
      <w:pPr>
        <w:pStyle w:val="FootnoteText"/>
      </w:pPr>
      <w:r>
        <w:rPr>
          <w:rStyle w:val="FootnoteReference"/>
        </w:rPr>
        <w:footnoteRef/>
      </w:r>
      <w:r>
        <w:t xml:space="preserve"> </w:t>
      </w:r>
      <w:r w:rsidRPr="00B07CCA">
        <w:t>Solomon SD</w:t>
      </w:r>
      <w:r>
        <w:t xml:space="preserve"> et al</w:t>
      </w:r>
      <w:r w:rsidRPr="00B07CCA">
        <w:t>. Dapagliflozin in Heart Failure with Mildly Reduced or Preserved Ejection Fraction. N Engl J Med. 2022 Sep 22;387(12):1089-1098. doi: 10.1056/NEJMoa2206286. Epub 2022 Aug 27.</w:t>
      </w:r>
    </w:p>
  </w:footnote>
  <w:footnote w:id="2">
    <w:p w14:paraId="083BF850" w14:textId="087D307A" w:rsidR="00144EE6" w:rsidRDefault="0067488B">
      <w:pPr>
        <w:pStyle w:val="FootnoteText"/>
      </w:pPr>
      <w:r>
        <w:rPr>
          <w:rStyle w:val="FootnoteReference"/>
        </w:rPr>
        <w:footnoteRef/>
      </w:r>
      <w:r w:rsidRPr="00E82751">
        <w:t xml:space="preserve">Vaduganathan M, </w:t>
      </w:r>
      <w:r w:rsidR="003332C2">
        <w:t>et al</w:t>
      </w:r>
      <w:r w:rsidRPr="00E82751">
        <w:t>. SGLT-2 inhibitors in patients with heart failure: a comprehensive meta-analysis of five randomised controlled trials. Lancet. 2022 Sep 3;400(10354):757-767.</w:t>
      </w:r>
    </w:p>
  </w:footnote>
  <w:footnote w:id="3">
    <w:p w14:paraId="47856E72" w14:textId="77777777" w:rsidR="005F07BF" w:rsidRPr="0041243E" w:rsidRDefault="005F07BF" w:rsidP="005F07BF">
      <w:pPr>
        <w:pStyle w:val="FootnoteText"/>
        <w:rPr>
          <w:rFonts w:ascii="Arial Narrow" w:hAnsi="Arial Narrow"/>
        </w:rPr>
      </w:pPr>
      <w:r w:rsidRPr="0041243E">
        <w:rPr>
          <w:rStyle w:val="FootnoteReference"/>
          <w:rFonts w:ascii="Arial Narrow" w:hAnsi="Arial Narrow"/>
        </w:rPr>
        <w:footnoteRef/>
      </w:r>
      <w:r w:rsidRPr="0041243E">
        <w:rPr>
          <w:rFonts w:ascii="Arial Narrow" w:hAnsi="Arial Narrow"/>
        </w:rPr>
        <w:t xml:space="preserve"> Di Tanna GL, Urbich M, Wirtz HS, Potrata B, Heisen M, Bennison C, Brazier J, Globe G. Health State Utilities of Patients with Heart Failure: A Systematic Literature Review. Pharmacoeconomics. 2021 Feb;39(2):211-229. doi: 10.1007/s40273-020-00984-6. Epub 2020 Nov 30. PMID: 33251572; PMCID: PMC7867520.</w:t>
      </w:r>
    </w:p>
  </w:footnote>
  <w:footnote w:id="4">
    <w:p w14:paraId="5058C224" w14:textId="17FB8BF9" w:rsidR="003E1BF3" w:rsidRDefault="003E1BF3">
      <w:pPr>
        <w:pStyle w:val="FootnoteText"/>
      </w:pPr>
      <w:r>
        <w:rPr>
          <w:rStyle w:val="FootnoteReference"/>
        </w:rPr>
        <w:footnoteRef/>
      </w:r>
      <w:r>
        <w:t xml:space="preserve"> </w:t>
      </w:r>
      <w:r w:rsidR="00930D12" w:rsidRPr="00B07CCA">
        <w:t>Solomon SD</w:t>
      </w:r>
      <w:r w:rsidR="00930D12">
        <w:t xml:space="preserve"> et al</w:t>
      </w:r>
      <w:r w:rsidR="00930D12" w:rsidRPr="00B07CCA">
        <w:t>. Dapagliflozin in Heart Failure with Mildly Reduced or Preserved Ejection Fraction. N Engl J Med. 2022 Sep 22;387(12):1089-1098. doi: 10.1056/NEJMoa2206286. Epub 2022 Aug 27.</w:t>
      </w:r>
    </w:p>
  </w:footnote>
  <w:footnote w:id="5">
    <w:p w14:paraId="2FD68E36" w14:textId="096736B9" w:rsidR="003E1BF3" w:rsidRDefault="003E1BF3">
      <w:pPr>
        <w:pStyle w:val="FootnoteText"/>
      </w:pPr>
      <w:r>
        <w:rPr>
          <w:rStyle w:val="FootnoteReference"/>
        </w:rPr>
        <w:footnoteRef/>
      </w:r>
      <w:r>
        <w:t xml:space="preserve"> </w:t>
      </w:r>
      <w:hyperlink r:id="rId1" w:history="1">
        <w:r w:rsidRPr="00181AA9">
          <w:rPr>
            <w:rStyle w:val="Hyperlink"/>
          </w:rPr>
          <w:t>https://www.tga.gov.au/resources/prescription-medicines-under-evaluation/forxiga-astrazeneca-pty-ltd</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68069" w14:textId="77777777" w:rsidR="00683B96" w:rsidRDefault="00683B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E204" w14:textId="62BCBCB3" w:rsidR="00AE14F4" w:rsidRPr="00195452" w:rsidRDefault="00182748" w:rsidP="003C2DE2">
    <w:pPr>
      <w:jc w:val="center"/>
      <w:rPr>
        <w:rFonts w:asciiTheme="minorHAnsi" w:hAnsiTheme="minorHAnsi"/>
        <w:i/>
        <w:color w:val="808080"/>
      </w:rPr>
    </w:pPr>
    <w:r>
      <w:rPr>
        <w:rFonts w:asciiTheme="minorHAnsi" w:hAnsiTheme="minorHAnsi"/>
        <w:i/>
        <w:color w:val="808080"/>
      </w:rPr>
      <w:t>Public Summary Document</w:t>
    </w:r>
    <w:r w:rsidR="00C0613C" w:rsidRPr="00056684">
      <w:rPr>
        <w:rFonts w:asciiTheme="minorHAnsi" w:hAnsiTheme="minorHAnsi"/>
        <w:i/>
        <w:color w:val="808080"/>
      </w:rPr>
      <w:t xml:space="preserve"> </w:t>
    </w:r>
    <w:r w:rsidR="00097528">
      <w:rPr>
        <w:rFonts w:asciiTheme="minorHAnsi" w:hAnsiTheme="minorHAnsi"/>
        <w:i/>
        <w:color w:val="808080"/>
      </w:rPr>
      <w:t xml:space="preserve">– </w:t>
    </w:r>
    <w:r w:rsidR="00AE14F4">
      <w:rPr>
        <w:rFonts w:asciiTheme="minorHAnsi" w:hAnsiTheme="minorHAnsi"/>
        <w:i/>
        <w:color w:val="808080"/>
      </w:rPr>
      <w:t xml:space="preserve">November 2022 </w:t>
    </w:r>
    <w:r w:rsidR="00AE14F4" w:rsidRPr="00195452">
      <w:rPr>
        <w:rFonts w:asciiTheme="minorHAnsi" w:hAnsiTheme="minorHAnsi"/>
        <w:i/>
        <w:color w:val="808080"/>
      </w:rPr>
      <w:t>PBAC Meeting</w:t>
    </w:r>
    <w:r w:rsidR="00F04147">
      <w:rPr>
        <w:rFonts w:asciiTheme="minorHAnsi" w:hAnsiTheme="minorHAnsi"/>
        <w:i/>
        <w:color w:val="808080"/>
      </w:rPr>
      <w:t xml:space="preserve"> with OOS December 2022 Addendum</w:t>
    </w:r>
  </w:p>
  <w:p w14:paraId="03AF943B" w14:textId="77777777" w:rsidR="00AE14F4" w:rsidRPr="008C7ECB" w:rsidRDefault="00AE14F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F180D" w14:textId="77777777" w:rsidR="00683B96" w:rsidRDefault="00683B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780AD1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1703E3"/>
    <w:multiLevelType w:val="multilevel"/>
    <w:tmpl w:val="0AA48BF2"/>
    <w:lvl w:ilvl="0">
      <w:start w:val="1"/>
      <w:numFmt w:val="decimal"/>
      <w:lvlText w:val="%1"/>
      <w:lvlJc w:val="left"/>
      <w:pPr>
        <w:ind w:left="720" w:hanging="720"/>
      </w:pPr>
      <w:rPr>
        <w:rFonts w:hint="default"/>
        <w:b/>
      </w:rPr>
    </w:lvl>
    <w:lvl w:ilvl="1">
      <w:start w:val="1"/>
      <w:numFmt w:val="bullet"/>
      <w:lvlText w:val=""/>
      <w:lvlJc w:val="left"/>
      <w:rPr>
        <w:rFonts w:ascii="Symbol" w:hAnsi="Symbol"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F7043F"/>
    <w:multiLevelType w:val="hybridMultilevel"/>
    <w:tmpl w:val="22D49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721607"/>
    <w:multiLevelType w:val="hybridMultilevel"/>
    <w:tmpl w:val="745C4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B219F8"/>
    <w:multiLevelType w:val="hybridMultilevel"/>
    <w:tmpl w:val="6CA0CEB4"/>
    <w:lvl w:ilvl="0" w:tplc="4F38898A">
      <w:start w:val="1"/>
      <w:numFmt w:val="bullet"/>
      <w:pStyle w:val="COMexecsummmainissues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0E0C1E"/>
    <w:multiLevelType w:val="hybridMultilevel"/>
    <w:tmpl w:val="3A44B3F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9C5F43"/>
    <w:multiLevelType w:val="hybridMultilevel"/>
    <w:tmpl w:val="C38433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A97939"/>
    <w:multiLevelType w:val="hybridMultilevel"/>
    <w:tmpl w:val="67162C4E"/>
    <w:lvl w:ilvl="0" w:tplc="FF949144">
      <w:start w:val="1"/>
      <w:numFmt w:val="decimal"/>
      <w:lvlText w:val="%1."/>
      <w:lvlJc w:val="left"/>
      <w:pPr>
        <w:ind w:left="720" w:hanging="360"/>
      </w:pPr>
      <w:rPr>
        <w:rFonts w:asciiTheme="minorHAnsi" w:hAnsiTheme="minorHAnsi" w:cstheme="minorHAnsi" w:hint="default"/>
        <w:i w:val="0"/>
        <w:iCs w:val="0"/>
        <w:sz w:val="22"/>
        <w:szCs w:val="22"/>
      </w:rPr>
    </w:lvl>
    <w:lvl w:ilvl="1" w:tplc="A580AC30">
      <w:start w:val="1"/>
      <w:numFmt w:val="lowerLetter"/>
      <w:lvlText w:val="%2."/>
      <w:lvlJc w:val="left"/>
      <w:pPr>
        <w:ind w:left="1440" w:hanging="360"/>
      </w:pPr>
      <w:rPr>
        <w:i/>
        <w:iCs/>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A633296"/>
    <w:multiLevelType w:val="multilevel"/>
    <w:tmpl w:val="2B7CA8C6"/>
    <w:lvl w:ilvl="0">
      <w:start w:val="1"/>
      <w:numFmt w:val="decimal"/>
      <w:lvlText w:val="%1."/>
      <w:lvlJc w:val="left"/>
      <w:pPr>
        <w:ind w:left="360" w:hanging="360"/>
      </w:pPr>
      <w:rPr>
        <w:rFonts w:hint="default"/>
      </w:rPr>
    </w:lvl>
    <w:lvl w:ilvl="1">
      <w:start w:val="1"/>
      <w:numFmt w:val="decimal"/>
      <w:isLgl/>
      <w:lvlText w:val="%1.%2."/>
      <w:lvlJc w:val="left"/>
      <w:pPr>
        <w:ind w:left="420" w:hanging="360"/>
      </w:pPr>
      <w:rPr>
        <w:rFonts w:hint="default"/>
        <w:i/>
      </w:rPr>
    </w:lvl>
    <w:lvl w:ilvl="2">
      <w:start w:val="1"/>
      <w:numFmt w:val="decimal"/>
      <w:isLgl/>
      <w:lvlText w:val="%1.%2.%3."/>
      <w:lvlJc w:val="left"/>
      <w:pPr>
        <w:ind w:left="840" w:hanging="720"/>
      </w:pPr>
      <w:rPr>
        <w:rFonts w:hint="default"/>
        <w:i/>
      </w:rPr>
    </w:lvl>
    <w:lvl w:ilvl="3">
      <w:start w:val="1"/>
      <w:numFmt w:val="decimal"/>
      <w:isLgl/>
      <w:lvlText w:val="%1.%2.%3.%4."/>
      <w:lvlJc w:val="left"/>
      <w:pPr>
        <w:ind w:left="900" w:hanging="720"/>
      </w:pPr>
      <w:rPr>
        <w:rFonts w:hint="default"/>
        <w:i/>
      </w:rPr>
    </w:lvl>
    <w:lvl w:ilvl="4">
      <w:start w:val="1"/>
      <w:numFmt w:val="decimal"/>
      <w:isLgl/>
      <w:lvlText w:val="%1.%2.%3.%4.%5."/>
      <w:lvlJc w:val="left"/>
      <w:pPr>
        <w:ind w:left="1320" w:hanging="1080"/>
      </w:pPr>
      <w:rPr>
        <w:rFonts w:hint="default"/>
        <w:i/>
      </w:rPr>
    </w:lvl>
    <w:lvl w:ilvl="5">
      <w:start w:val="1"/>
      <w:numFmt w:val="decimal"/>
      <w:isLgl/>
      <w:lvlText w:val="%1.%2.%3.%4.%5.%6."/>
      <w:lvlJc w:val="left"/>
      <w:pPr>
        <w:ind w:left="138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60" w:hanging="1440"/>
      </w:pPr>
      <w:rPr>
        <w:rFonts w:hint="default"/>
        <w:i/>
      </w:rPr>
    </w:lvl>
    <w:lvl w:ilvl="8">
      <w:start w:val="1"/>
      <w:numFmt w:val="decimal"/>
      <w:isLgl/>
      <w:lvlText w:val="%1.%2.%3.%4.%5.%6.%7.%8.%9."/>
      <w:lvlJc w:val="left"/>
      <w:pPr>
        <w:ind w:left="2280" w:hanging="1800"/>
      </w:pPr>
      <w:rPr>
        <w:rFonts w:hint="default"/>
        <w:i/>
      </w:rPr>
    </w:lvl>
  </w:abstractNum>
  <w:abstractNum w:abstractNumId="14" w15:restartNumberingAfterBreak="0">
    <w:nsid w:val="44442297"/>
    <w:multiLevelType w:val="hybridMultilevel"/>
    <w:tmpl w:val="E6FE4E00"/>
    <w:lvl w:ilvl="0" w:tplc="C324F4FC">
      <w:start w:val="1"/>
      <w:numFmt w:val="bullet"/>
      <w:pStyle w:val="zz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8D67A6"/>
    <w:multiLevelType w:val="hybridMultilevel"/>
    <w:tmpl w:val="FAB8EED8"/>
    <w:lvl w:ilvl="0" w:tplc="8708BEC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6162C4"/>
    <w:multiLevelType w:val="hybridMultilevel"/>
    <w:tmpl w:val="DAB289EE"/>
    <w:lvl w:ilvl="0" w:tplc="DE5ABF1E">
      <w:start w:val="1"/>
      <w:numFmt w:val="decimal"/>
      <w:lvlText w:val="%1."/>
      <w:lvlJc w:val="left"/>
      <w:pPr>
        <w:ind w:left="720" w:hanging="360"/>
      </w:pPr>
      <w:rPr>
        <w:b w:val="0"/>
        <w:color w:val="000000"/>
      </w:rPr>
    </w:lvl>
    <w:lvl w:ilvl="1" w:tplc="3A88D610">
      <w:start w:val="1"/>
      <w:numFmt w:val="bullet"/>
      <w:lvlText w:val=""/>
      <w:lvlJc w:val="left"/>
      <w:pPr>
        <w:ind w:left="1440" w:hanging="360"/>
      </w:pPr>
      <w:rPr>
        <w:rFonts w:ascii="Symbol" w:hAnsi="Symbol" w:hint="default"/>
        <w:color w:val="000000"/>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 w15:restartNumberingAfterBreak="0">
    <w:nsid w:val="541A3159"/>
    <w:multiLevelType w:val="hybridMultilevel"/>
    <w:tmpl w:val="54A0D1CE"/>
    <w:styleLink w:val="Style11"/>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5A90F30"/>
    <w:multiLevelType w:val="hybridMultilevel"/>
    <w:tmpl w:val="B1021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ACB767A"/>
    <w:multiLevelType w:val="multilevel"/>
    <w:tmpl w:val="D29EB0CA"/>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 w15:restartNumberingAfterBreak="0">
    <w:nsid w:val="6AED4AC9"/>
    <w:multiLevelType w:val="hybridMultilevel"/>
    <w:tmpl w:val="0694C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4610B62"/>
    <w:multiLevelType w:val="multilevel"/>
    <w:tmpl w:val="C5222370"/>
    <w:lvl w:ilvl="0">
      <w:start w:val="1"/>
      <w:numFmt w:val="decimal"/>
      <w:lvlText w:val="%1"/>
      <w:lvlJc w:val="left"/>
      <w:pPr>
        <w:ind w:left="720" w:hanging="720"/>
      </w:pPr>
      <w:rPr>
        <w:rFonts w:hint="default"/>
        <w:b/>
      </w:rPr>
    </w:lvl>
    <w:lvl w:ilvl="1">
      <w:start w:val="1"/>
      <w:numFmt w:val="bullet"/>
      <w:lvlText w:val=""/>
      <w:lvlJc w:val="left"/>
      <w:rPr>
        <w:rFonts w:ascii="Symbol" w:hAnsi="Symbol"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84D033C"/>
    <w:multiLevelType w:val="multilevel"/>
    <w:tmpl w:val="693A4404"/>
    <w:lvl w:ilvl="0">
      <w:start w:val="1"/>
      <w:numFmt w:val="decimal"/>
      <w:pStyle w:val="COMH1numbered"/>
      <w:lvlText w:val="%1"/>
      <w:lvlJc w:val="left"/>
      <w:pPr>
        <w:ind w:left="720" w:hanging="720"/>
      </w:pPr>
      <w:rPr>
        <w:rFonts w:hint="default"/>
        <w:b/>
      </w:rPr>
    </w:lvl>
    <w:lvl w:ilvl="1">
      <w:start w:val="1"/>
      <w:numFmt w:val="decimal"/>
      <w:pStyle w:val="COMexecsumnumberedpara"/>
      <w:lvlText w:val="%1.%2"/>
      <w:lvlJc w:val="left"/>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DE477A2"/>
    <w:multiLevelType w:val="hybridMultilevel"/>
    <w:tmpl w:val="60145F20"/>
    <w:lvl w:ilvl="0" w:tplc="601C69B6">
      <w:start w:val="1"/>
      <w:numFmt w:val="decimal"/>
      <w:lvlText w:val="%1."/>
      <w:lvlJc w:val="left"/>
      <w:pPr>
        <w:ind w:left="720" w:hanging="360"/>
      </w:pPr>
      <w:rPr>
        <w:rFonts w:asciiTheme="minorHAnsi" w:hAnsiTheme="minorHAnsi" w:cstheme="minorHAnsi" w:hint="default"/>
        <w:i/>
        <w:iCs/>
        <w:sz w:val="22"/>
        <w:szCs w:val="22"/>
      </w:rPr>
    </w:lvl>
    <w:lvl w:ilvl="1" w:tplc="A580AC30">
      <w:start w:val="1"/>
      <w:numFmt w:val="lowerLetter"/>
      <w:lvlText w:val="%2."/>
      <w:lvlJc w:val="left"/>
      <w:pPr>
        <w:ind w:left="1440" w:hanging="360"/>
      </w:pPr>
      <w:rPr>
        <w:i/>
        <w:iCs/>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5"/>
  </w:num>
  <w:num w:numId="2">
    <w:abstractNumId w:val="14"/>
  </w:num>
  <w:num w:numId="3">
    <w:abstractNumId w:val="15"/>
  </w:num>
  <w:num w:numId="4">
    <w:abstractNumId w:val="0"/>
  </w:num>
  <w:num w:numId="5">
    <w:abstractNumId w:val="6"/>
  </w:num>
  <w:num w:numId="6">
    <w:abstractNumId w:val="20"/>
  </w:num>
  <w:num w:numId="7">
    <w:abstractNumId w:val="17"/>
  </w:num>
  <w:num w:numId="8">
    <w:abstractNumId w:val="19"/>
  </w:num>
  <w:num w:numId="9">
    <w:abstractNumId w:val="12"/>
  </w:num>
  <w:num w:numId="10">
    <w:abstractNumId w:val="7"/>
  </w:num>
  <w:num w:numId="11">
    <w:abstractNumId w:val="26"/>
  </w:num>
  <w:num w:numId="12">
    <w:abstractNumId w:val="3"/>
  </w:num>
  <w:num w:numId="13">
    <w:abstractNumId w:val="24"/>
  </w:num>
  <w:num w:numId="14">
    <w:abstractNumId w:val="18"/>
  </w:num>
  <w:num w:numId="15">
    <w:abstractNumId w:val="2"/>
  </w:num>
  <w:num w:numId="16">
    <w:abstractNumId w:val="1"/>
  </w:num>
  <w:num w:numId="17">
    <w:abstractNumId w:val="10"/>
  </w:num>
  <w:num w:numId="18">
    <w:abstractNumId w:val="11"/>
  </w:num>
  <w:num w:numId="19">
    <w:abstractNumId w:val="8"/>
  </w:num>
  <w:num w:numId="20">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5"/>
  </w:num>
  <w:num w:numId="25">
    <w:abstractNumId w:val="15"/>
  </w:num>
  <w:num w:numId="26">
    <w:abstractNumId w:val="25"/>
  </w:num>
  <w:num w:numId="27">
    <w:abstractNumId w:val="15"/>
  </w:num>
  <w:num w:numId="28">
    <w:abstractNumId w:val="22"/>
  </w:num>
  <w:num w:numId="29">
    <w:abstractNumId w:val="4"/>
  </w:num>
  <w:num w:numId="30">
    <w:abstractNumId w:val="13"/>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num>
  <w:num w:numId="33">
    <w:abstractNumId w:val="25"/>
  </w:num>
  <w:num w:numId="34">
    <w:abstractNumId w:val="25"/>
  </w:num>
  <w:num w:numId="35">
    <w:abstractNumId w:val="25"/>
  </w:num>
  <w:num w:numId="36">
    <w:abstractNumId w:val="2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14D1"/>
    <w:rsid w:val="00002435"/>
    <w:rsid w:val="0000298E"/>
    <w:rsid w:val="00003499"/>
    <w:rsid w:val="000039B7"/>
    <w:rsid w:val="000056B9"/>
    <w:rsid w:val="00005C79"/>
    <w:rsid w:val="0000639A"/>
    <w:rsid w:val="000106FA"/>
    <w:rsid w:val="0001108A"/>
    <w:rsid w:val="0001129A"/>
    <w:rsid w:val="00012508"/>
    <w:rsid w:val="000127C5"/>
    <w:rsid w:val="00012B4A"/>
    <w:rsid w:val="0001306A"/>
    <w:rsid w:val="00013247"/>
    <w:rsid w:val="000145B9"/>
    <w:rsid w:val="00014A16"/>
    <w:rsid w:val="00014F17"/>
    <w:rsid w:val="0001513C"/>
    <w:rsid w:val="000152F5"/>
    <w:rsid w:val="00015810"/>
    <w:rsid w:val="00015886"/>
    <w:rsid w:val="00015D82"/>
    <w:rsid w:val="000162EF"/>
    <w:rsid w:val="00016628"/>
    <w:rsid w:val="0001681F"/>
    <w:rsid w:val="00017881"/>
    <w:rsid w:val="00017EB0"/>
    <w:rsid w:val="000207C9"/>
    <w:rsid w:val="000216B7"/>
    <w:rsid w:val="0002225F"/>
    <w:rsid w:val="00022DBF"/>
    <w:rsid w:val="00023593"/>
    <w:rsid w:val="00023763"/>
    <w:rsid w:val="00023797"/>
    <w:rsid w:val="000239E8"/>
    <w:rsid w:val="00023AB6"/>
    <w:rsid w:val="00024311"/>
    <w:rsid w:val="00024EB5"/>
    <w:rsid w:val="0002592A"/>
    <w:rsid w:val="000264E0"/>
    <w:rsid w:val="00026E37"/>
    <w:rsid w:val="0002712C"/>
    <w:rsid w:val="000274B8"/>
    <w:rsid w:val="00027E54"/>
    <w:rsid w:val="0003024B"/>
    <w:rsid w:val="00031A87"/>
    <w:rsid w:val="00031DDE"/>
    <w:rsid w:val="00031DE9"/>
    <w:rsid w:val="00033863"/>
    <w:rsid w:val="000344E1"/>
    <w:rsid w:val="0003593F"/>
    <w:rsid w:val="00035DC0"/>
    <w:rsid w:val="0003672E"/>
    <w:rsid w:val="00036829"/>
    <w:rsid w:val="00036CFA"/>
    <w:rsid w:val="00037704"/>
    <w:rsid w:val="00040895"/>
    <w:rsid w:val="000410A0"/>
    <w:rsid w:val="00041172"/>
    <w:rsid w:val="000413EA"/>
    <w:rsid w:val="00041BB0"/>
    <w:rsid w:val="000424E9"/>
    <w:rsid w:val="000426A2"/>
    <w:rsid w:val="00042F1D"/>
    <w:rsid w:val="000435EE"/>
    <w:rsid w:val="00043C37"/>
    <w:rsid w:val="00043FE3"/>
    <w:rsid w:val="00044AA0"/>
    <w:rsid w:val="00045017"/>
    <w:rsid w:val="0004537D"/>
    <w:rsid w:val="000456F2"/>
    <w:rsid w:val="000458B9"/>
    <w:rsid w:val="00045A2B"/>
    <w:rsid w:val="0004698F"/>
    <w:rsid w:val="00046BA2"/>
    <w:rsid w:val="00046C60"/>
    <w:rsid w:val="00046D64"/>
    <w:rsid w:val="00046D90"/>
    <w:rsid w:val="00050744"/>
    <w:rsid w:val="000508C2"/>
    <w:rsid w:val="00052324"/>
    <w:rsid w:val="00052A90"/>
    <w:rsid w:val="00052C82"/>
    <w:rsid w:val="000539D0"/>
    <w:rsid w:val="00054621"/>
    <w:rsid w:val="000546D7"/>
    <w:rsid w:val="00054A8D"/>
    <w:rsid w:val="00054CB3"/>
    <w:rsid w:val="00054E64"/>
    <w:rsid w:val="00056ECF"/>
    <w:rsid w:val="000604DF"/>
    <w:rsid w:val="00061D01"/>
    <w:rsid w:val="00062324"/>
    <w:rsid w:val="000630E7"/>
    <w:rsid w:val="00063D69"/>
    <w:rsid w:val="00064FB6"/>
    <w:rsid w:val="00065222"/>
    <w:rsid w:val="000653B5"/>
    <w:rsid w:val="000655EB"/>
    <w:rsid w:val="0006581A"/>
    <w:rsid w:val="00066360"/>
    <w:rsid w:val="00066AF8"/>
    <w:rsid w:val="00067021"/>
    <w:rsid w:val="00070A92"/>
    <w:rsid w:val="00070FDC"/>
    <w:rsid w:val="00071248"/>
    <w:rsid w:val="000720B9"/>
    <w:rsid w:val="00072101"/>
    <w:rsid w:val="0007234A"/>
    <w:rsid w:val="000737F7"/>
    <w:rsid w:val="00073F68"/>
    <w:rsid w:val="000743B2"/>
    <w:rsid w:val="00074FCE"/>
    <w:rsid w:val="00075AEC"/>
    <w:rsid w:val="000760D0"/>
    <w:rsid w:val="00076505"/>
    <w:rsid w:val="0007672F"/>
    <w:rsid w:val="00076B54"/>
    <w:rsid w:val="00076BAB"/>
    <w:rsid w:val="00077417"/>
    <w:rsid w:val="000774F0"/>
    <w:rsid w:val="00077D99"/>
    <w:rsid w:val="00080203"/>
    <w:rsid w:val="00080890"/>
    <w:rsid w:val="000808A2"/>
    <w:rsid w:val="00080909"/>
    <w:rsid w:val="00081113"/>
    <w:rsid w:val="000812CA"/>
    <w:rsid w:val="00081A48"/>
    <w:rsid w:val="00081E63"/>
    <w:rsid w:val="00081EB0"/>
    <w:rsid w:val="0008224C"/>
    <w:rsid w:val="0008258D"/>
    <w:rsid w:val="00082804"/>
    <w:rsid w:val="00083E99"/>
    <w:rsid w:val="0008444F"/>
    <w:rsid w:val="00084A31"/>
    <w:rsid w:val="00084FA8"/>
    <w:rsid w:val="0008548E"/>
    <w:rsid w:val="000856C5"/>
    <w:rsid w:val="00085C31"/>
    <w:rsid w:val="00086164"/>
    <w:rsid w:val="00086AEE"/>
    <w:rsid w:val="0008740E"/>
    <w:rsid w:val="0008770B"/>
    <w:rsid w:val="000902D9"/>
    <w:rsid w:val="000906D3"/>
    <w:rsid w:val="00090C7E"/>
    <w:rsid w:val="00090F9D"/>
    <w:rsid w:val="000911AC"/>
    <w:rsid w:val="00091F08"/>
    <w:rsid w:val="000924DE"/>
    <w:rsid w:val="00092600"/>
    <w:rsid w:val="0009262B"/>
    <w:rsid w:val="000927B6"/>
    <w:rsid w:val="00093310"/>
    <w:rsid w:val="000936F8"/>
    <w:rsid w:val="0009445C"/>
    <w:rsid w:val="00095200"/>
    <w:rsid w:val="00095FE5"/>
    <w:rsid w:val="00096284"/>
    <w:rsid w:val="00097469"/>
    <w:rsid w:val="00097528"/>
    <w:rsid w:val="000A036C"/>
    <w:rsid w:val="000A0A97"/>
    <w:rsid w:val="000A1257"/>
    <w:rsid w:val="000A158F"/>
    <w:rsid w:val="000A1BC0"/>
    <w:rsid w:val="000A1C2E"/>
    <w:rsid w:val="000A2F9E"/>
    <w:rsid w:val="000A2FB6"/>
    <w:rsid w:val="000A3304"/>
    <w:rsid w:val="000A3D21"/>
    <w:rsid w:val="000A3E47"/>
    <w:rsid w:val="000A4482"/>
    <w:rsid w:val="000A48E8"/>
    <w:rsid w:val="000A522B"/>
    <w:rsid w:val="000A55D0"/>
    <w:rsid w:val="000A6039"/>
    <w:rsid w:val="000A62D3"/>
    <w:rsid w:val="000A7453"/>
    <w:rsid w:val="000A77AF"/>
    <w:rsid w:val="000A7D08"/>
    <w:rsid w:val="000B0121"/>
    <w:rsid w:val="000B0670"/>
    <w:rsid w:val="000B0E75"/>
    <w:rsid w:val="000B1191"/>
    <w:rsid w:val="000B1AA6"/>
    <w:rsid w:val="000B2666"/>
    <w:rsid w:val="000B2DCB"/>
    <w:rsid w:val="000B3285"/>
    <w:rsid w:val="000B35B4"/>
    <w:rsid w:val="000B36FB"/>
    <w:rsid w:val="000B4353"/>
    <w:rsid w:val="000B43F2"/>
    <w:rsid w:val="000B5CE0"/>
    <w:rsid w:val="000B6325"/>
    <w:rsid w:val="000B6B20"/>
    <w:rsid w:val="000B6CAC"/>
    <w:rsid w:val="000B7612"/>
    <w:rsid w:val="000B78AE"/>
    <w:rsid w:val="000B7D07"/>
    <w:rsid w:val="000C0690"/>
    <w:rsid w:val="000C14DD"/>
    <w:rsid w:val="000C1816"/>
    <w:rsid w:val="000C181D"/>
    <w:rsid w:val="000C2B62"/>
    <w:rsid w:val="000C3705"/>
    <w:rsid w:val="000C3BD0"/>
    <w:rsid w:val="000C3DF9"/>
    <w:rsid w:val="000C476E"/>
    <w:rsid w:val="000C4CF2"/>
    <w:rsid w:val="000C5371"/>
    <w:rsid w:val="000C55EB"/>
    <w:rsid w:val="000C6250"/>
    <w:rsid w:val="000C6327"/>
    <w:rsid w:val="000C6713"/>
    <w:rsid w:val="000C6E70"/>
    <w:rsid w:val="000C7CF9"/>
    <w:rsid w:val="000D000C"/>
    <w:rsid w:val="000D01DB"/>
    <w:rsid w:val="000D0C88"/>
    <w:rsid w:val="000D12B8"/>
    <w:rsid w:val="000D1731"/>
    <w:rsid w:val="000D18F0"/>
    <w:rsid w:val="000D1BFC"/>
    <w:rsid w:val="000D1D5D"/>
    <w:rsid w:val="000D223D"/>
    <w:rsid w:val="000D227D"/>
    <w:rsid w:val="000D281A"/>
    <w:rsid w:val="000D2848"/>
    <w:rsid w:val="000D326A"/>
    <w:rsid w:val="000D3356"/>
    <w:rsid w:val="000D38A8"/>
    <w:rsid w:val="000D3A3E"/>
    <w:rsid w:val="000D3E28"/>
    <w:rsid w:val="000D4C7E"/>
    <w:rsid w:val="000D4F1C"/>
    <w:rsid w:val="000D51FB"/>
    <w:rsid w:val="000D53C9"/>
    <w:rsid w:val="000D6B30"/>
    <w:rsid w:val="000E0146"/>
    <w:rsid w:val="000E0640"/>
    <w:rsid w:val="000E0B4E"/>
    <w:rsid w:val="000E0C80"/>
    <w:rsid w:val="000E135D"/>
    <w:rsid w:val="000E19C7"/>
    <w:rsid w:val="000E3B54"/>
    <w:rsid w:val="000E3D2F"/>
    <w:rsid w:val="000E648D"/>
    <w:rsid w:val="000F00BA"/>
    <w:rsid w:val="000F19A4"/>
    <w:rsid w:val="000F1D68"/>
    <w:rsid w:val="000F276D"/>
    <w:rsid w:val="000F27C4"/>
    <w:rsid w:val="000F2B41"/>
    <w:rsid w:val="000F2B47"/>
    <w:rsid w:val="000F316A"/>
    <w:rsid w:val="000F3C74"/>
    <w:rsid w:val="000F4864"/>
    <w:rsid w:val="000F4BB8"/>
    <w:rsid w:val="000F4C14"/>
    <w:rsid w:val="000F4FA9"/>
    <w:rsid w:val="000F5001"/>
    <w:rsid w:val="000F53FB"/>
    <w:rsid w:val="000F5AE6"/>
    <w:rsid w:val="000F7127"/>
    <w:rsid w:val="000F7B54"/>
    <w:rsid w:val="001000B3"/>
    <w:rsid w:val="001000B5"/>
    <w:rsid w:val="00100F8A"/>
    <w:rsid w:val="0010191A"/>
    <w:rsid w:val="00101BB2"/>
    <w:rsid w:val="00101CE7"/>
    <w:rsid w:val="00102A0F"/>
    <w:rsid w:val="0010452E"/>
    <w:rsid w:val="0010495C"/>
    <w:rsid w:val="00105454"/>
    <w:rsid w:val="001054F6"/>
    <w:rsid w:val="00105AE2"/>
    <w:rsid w:val="00105FAA"/>
    <w:rsid w:val="001060C6"/>
    <w:rsid w:val="00106B80"/>
    <w:rsid w:val="00107314"/>
    <w:rsid w:val="00107F13"/>
    <w:rsid w:val="0011032E"/>
    <w:rsid w:val="001112F8"/>
    <w:rsid w:val="00111349"/>
    <w:rsid w:val="00111473"/>
    <w:rsid w:val="0011162F"/>
    <w:rsid w:val="00112BEB"/>
    <w:rsid w:val="0011348B"/>
    <w:rsid w:val="0011359E"/>
    <w:rsid w:val="00113EE4"/>
    <w:rsid w:val="001148CD"/>
    <w:rsid w:val="00115000"/>
    <w:rsid w:val="00115982"/>
    <w:rsid w:val="00116C03"/>
    <w:rsid w:val="00116C53"/>
    <w:rsid w:val="00116C56"/>
    <w:rsid w:val="001201E2"/>
    <w:rsid w:val="00120BB6"/>
    <w:rsid w:val="00121799"/>
    <w:rsid w:val="001219AB"/>
    <w:rsid w:val="00121A09"/>
    <w:rsid w:val="00121A68"/>
    <w:rsid w:val="001222FC"/>
    <w:rsid w:val="00123099"/>
    <w:rsid w:val="00123902"/>
    <w:rsid w:val="001239AA"/>
    <w:rsid w:val="00123D80"/>
    <w:rsid w:val="00124A51"/>
    <w:rsid w:val="001258F3"/>
    <w:rsid w:val="00125DB6"/>
    <w:rsid w:val="00126621"/>
    <w:rsid w:val="00126B1D"/>
    <w:rsid w:val="001301E9"/>
    <w:rsid w:val="00131369"/>
    <w:rsid w:val="00131437"/>
    <w:rsid w:val="00131BA3"/>
    <w:rsid w:val="00131D82"/>
    <w:rsid w:val="00131FB7"/>
    <w:rsid w:val="00132B22"/>
    <w:rsid w:val="00132FE7"/>
    <w:rsid w:val="001335AC"/>
    <w:rsid w:val="00133A3B"/>
    <w:rsid w:val="00133CA8"/>
    <w:rsid w:val="00133D36"/>
    <w:rsid w:val="00134286"/>
    <w:rsid w:val="001348A0"/>
    <w:rsid w:val="00135444"/>
    <w:rsid w:val="00135E3A"/>
    <w:rsid w:val="00136184"/>
    <w:rsid w:val="00136A8A"/>
    <w:rsid w:val="00136AD6"/>
    <w:rsid w:val="00136FDD"/>
    <w:rsid w:val="00137645"/>
    <w:rsid w:val="001378F7"/>
    <w:rsid w:val="0013793F"/>
    <w:rsid w:val="0014015A"/>
    <w:rsid w:val="0014052A"/>
    <w:rsid w:val="001406E8"/>
    <w:rsid w:val="00140E99"/>
    <w:rsid w:val="00141999"/>
    <w:rsid w:val="00143F67"/>
    <w:rsid w:val="00144EE6"/>
    <w:rsid w:val="00145234"/>
    <w:rsid w:val="00145540"/>
    <w:rsid w:val="001456B0"/>
    <w:rsid w:val="00145731"/>
    <w:rsid w:val="00145DC3"/>
    <w:rsid w:val="0014749D"/>
    <w:rsid w:val="0014774E"/>
    <w:rsid w:val="00147B2E"/>
    <w:rsid w:val="001508FB"/>
    <w:rsid w:val="00151217"/>
    <w:rsid w:val="00151566"/>
    <w:rsid w:val="00152159"/>
    <w:rsid w:val="00152631"/>
    <w:rsid w:val="001526D8"/>
    <w:rsid w:val="0015326F"/>
    <w:rsid w:val="0015397C"/>
    <w:rsid w:val="001547AB"/>
    <w:rsid w:val="00154E7D"/>
    <w:rsid w:val="0015559E"/>
    <w:rsid w:val="00156504"/>
    <w:rsid w:val="0015669B"/>
    <w:rsid w:val="00156F8F"/>
    <w:rsid w:val="00157130"/>
    <w:rsid w:val="001576B1"/>
    <w:rsid w:val="0016047B"/>
    <w:rsid w:val="00160970"/>
    <w:rsid w:val="00160A4C"/>
    <w:rsid w:val="00161FB0"/>
    <w:rsid w:val="00162227"/>
    <w:rsid w:val="00162599"/>
    <w:rsid w:val="00162913"/>
    <w:rsid w:val="00163E81"/>
    <w:rsid w:val="00163EFF"/>
    <w:rsid w:val="00163F66"/>
    <w:rsid w:val="0016478E"/>
    <w:rsid w:val="0016488A"/>
    <w:rsid w:val="00165100"/>
    <w:rsid w:val="001655B4"/>
    <w:rsid w:val="00165CA0"/>
    <w:rsid w:val="00165EC4"/>
    <w:rsid w:val="001661FB"/>
    <w:rsid w:val="00166900"/>
    <w:rsid w:val="00166D67"/>
    <w:rsid w:val="001671A0"/>
    <w:rsid w:val="0016767F"/>
    <w:rsid w:val="001724EE"/>
    <w:rsid w:val="00172BF5"/>
    <w:rsid w:val="00173565"/>
    <w:rsid w:val="00173B07"/>
    <w:rsid w:val="00174231"/>
    <w:rsid w:val="00174249"/>
    <w:rsid w:val="001751FA"/>
    <w:rsid w:val="00175A5A"/>
    <w:rsid w:val="00176AF1"/>
    <w:rsid w:val="00176B8D"/>
    <w:rsid w:val="00177603"/>
    <w:rsid w:val="00181983"/>
    <w:rsid w:val="00181C10"/>
    <w:rsid w:val="00181D3A"/>
    <w:rsid w:val="00181D9C"/>
    <w:rsid w:val="00181E6C"/>
    <w:rsid w:val="00182748"/>
    <w:rsid w:val="001837FF"/>
    <w:rsid w:val="00184B0E"/>
    <w:rsid w:val="00185A1C"/>
    <w:rsid w:val="00185C9C"/>
    <w:rsid w:val="0018642D"/>
    <w:rsid w:val="001870C5"/>
    <w:rsid w:val="001871A0"/>
    <w:rsid w:val="001874AF"/>
    <w:rsid w:val="00187529"/>
    <w:rsid w:val="0018752F"/>
    <w:rsid w:val="00190404"/>
    <w:rsid w:val="00190D6F"/>
    <w:rsid w:val="0019203C"/>
    <w:rsid w:val="001932A2"/>
    <w:rsid w:val="001933CF"/>
    <w:rsid w:val="00193838"/>
    <w:rsid w:val="001939CC"/>
    <w:rsid w:val="00194AD8"/>
    <w:rsid w:val="00194C59"/>
    <w:rsid w:val="00195222"/>
    <w:rsid w:val="00195452"/>
    <w:rsid w:val="00195535"/>
    <w:rsid w:val="001956F0"/>
    <w:rsid w:val="00196590"/>
    <w:rsid w:val="0019696C"/>
    <w:rsid w:val="001975D8"/>
    <w:rsid w:val="001A00E2"/>
    <w:rsid w:val="001A178E"/>
    <w:rsid w:val="001A1C49"/>
    <w:rsid w:val="001A1E90"/>
    <w:rsid w:val="001A23A4"/>
    <w:rsid w:val="001A2EAD"/>
    <w:rsid w:val="001A369B"/>
    <w:rsid w:val="001A3E47"/>
    <w:rsid w:val="001A43FA"/>
    <w:rsid w:val="001A47C5"/>
    <w:rsid w:val="001A59FB"/>
    <w:rsid w:val="001A5E9E"/>
    <w:rsid w:val="001A6354"/>
    <w:rsid w:val="001A6366"/>
    <w:rsid w:val="001A670B"/>
    <w:rsid w:val="001A6C8D"/>
    <w:rsid w:val="001A6CFE"/>
    <w:rsid w:val="001A6DD3"/>
    <w:rsid w:val="001A6FF5"/>
    <w:rsid w:val="001A752D"/>
    <w:rsid w:val="001A75C1"/>
    <w:rsid w:val="001A7AE8"/>
    <w:rsid w:val="001B038A"/>
    <w:rsid w:val="001B204E"/>
    <w:rsid w:val="001B2372"/>
    <w:rsid w:val="001B3443"/>
    <w:rsid w:val="001B4934"/>
    <w:rsid w:val="001B4D20"/>
    <w:rsid w:val="001B620C"/>
    <w:rsid w:val="001B6350"/>
    <w:rsid w:val="001B7F84"/>
    <w:rsid w:val="001C12A5"/>
    <w:rsid w:val="001C1D57"/>
    <w:rsid w:val="001C2A9B"/>
    <w:rsid w:val="001C2D44"/>
    <w:rsid w:val="001C342D"/>
    <w:rsid w:val="001C3DD6"/>
    <w:rsid w:val="001C4299"/>
    <w:rsid w:val="001C4874"/>
    <w:rsid w:val="001C4E60"/>
    <w:rsid w:val="001C4F82"/>
    <w:rsid w:val="001C5C01"/>
    <w:rsid w:val="001C5C7A"/>
    <w:rsid w:val="001C5F94"/>
    <w:rsid w:val="001C6E66"/>
    <w:rsid w:val="001C7B1F"/>
    <w:rsid w:val="001C7BC1"/>
    <w:rsid w:val="001C7C0D"/>
    <w:rsid w:val="001C7CC1"/>
    <w:rsid w:val="001D03B8"/>
    <w:rsid w:val="001D09FA"/>
    <w:rsid w:val="001D1100"/>
    <w:rsid w:val="001D1391"/>
    <w:rsid w:val="001D1DDE"/>
    <w:rsid w:val="001D25D7"/>
    <w:rsid w:val="001D44A2"/>
    <w:rsid w:val="001D4956"/>
    <w:rsid w:val="001D50B2"/>
    <w:rsid w:val="001D53BB"/>
    <w:rsid w:val="001D5824"/>
    <w:rsid w:val="001D5CE5"/>
    <w:rsid w:val="001D5DB1"/>
    <w:rsid w:val="001D71F4"/>
    <w:rsid w:val="001D7645"/>
    <w:rsid w:val="001D7790"/>
    <w:rsid w:val="001E03C6"/>
    <w:rsid w:val="001E1E86"/>
    <w:rsid w:val="001E238E"/>
    <w:rsid w:val="001E2483"/>
    <w:rsid w:val="001E2929"/>
    <w:rsid w:val="001E2B1E"/>
    <w:rsid w:val="001E2CFF"/>
    <w:rsid w:val="001E2F24"/>
    <w:rsid w:val="001E30D4"/>
    <w:rsid w:val="001E34DF"/>
    <w:rsid w:val="001E3549"/>
    <w:rsid w:val="001E3670"/>
    <w:rsid w:val="001E3983"/>
    <w:rsid w:val="001E4061"/>
    <w:rsid w:val="001E4189"/>
    <w:rsid w:val="001E44A9"/>
    <w:rsid w:val="001E4AEB"/>
    <w:rsid w:val="001E52EB"/>
    <w:rsid w:val="001E53F6"/>
    <w:rsid w:val="001E61D2"/>
    <w:rsid w:val="001E6A96"/>
    <w:rsid w:val="001E6C4B"/>
    <w:rsid w:val="001E740C"/>
    <w:rsid w:val="001F01CF"/>
    <w:rsid w:val="001F1235"/>
    <w:rsid w:val="001F15FE"/>
    <w:rsid w:val="001F1CB3"/>
    <w:rsid w:val="001F1EA1"/>
    <w:rsid w:val="001F3189"/>
    <w:rsid w:val="001F34AA"/>
    <w:rsid w:val="001F38B5"/>
    <w:rsid w:val="001F4081"/>
    <w:rsid w:val="001F4761"/>
    <w:rsid w:val="001F47E9"/>
    <w:rsid w:val="001F5019"/>
    <w:rsid w:val="001F7257"/>
    <w:rsid w:val="001F7361"/>
    <w:rsid w:val="001F76F4"/>
    <w:rsid w:val="00200103"/>
    <w:rsid w:val="0020060A"/>
    <w:rsid w:val="00200E4D"/>
    <w:rsid w:val="002011B0"/>
    <w:rsid w:val="00203181"/>
    <w:rsid w:val="00203783"/>
    <w:rsid w:val="0020385F"/>
    <w:rsid w:val="00203DD3"/>
    <w:rsid w:val="002041A2"/>
    <w:rsid w:val="0020516C"/>
    <w:rsid w:val="00205490"/>
    <w:rsid w:val="00206245"/>
    <w:rsid w:val="00206548"/>
    <w:rsid w:val="002068A0"/>
    <w:rsid w:val="002069D7"/>
    <w:rsid w:val="00207021"/>
    <w:rsid w:val="0020732F"/>
    <w:rsid w:val="00207C00"/>
    <w:rsid w:val="00207D00"/>
    <w:rsid w:val="002105C1"/>
    <w:rsid w:val="00210638"/>
    <w:rsid w:val="002116FD"/>
    <w:rsid w:val="00211DCE"/>
    <w:rsid w:val="00213213"/>
    <w:rsid w:val="00213327"/>
    <w:rsid w:val="00213A53"/>
    <w:rsid w:val="00213EF5"/>
    <w:rsid w:val="00213F3D"/>
    <w:rsid w:val="00214550"/>
    <w:rsid w:val="00214D76"/>
    <w:rsid w:val="002157B1"/>
    <w:rsid w:val="00215918"/>
    <w:rsid w:val="00215D8D"/>
    <w:rsid w:val="00216A9F"/>
    <w:rsid w:val="00216BF5"/>
    <w:rsid w:val="002172F6"/>
    <w:rsid w:val="00217337"/>
    <w:rsid w:val="00220BB2"/>
    <w:rsid w:val="00220C5B"/>
    <w:rsid w:val="00221B54"/>
    <w:rsid w:val="002221D7"/>
    <w:rsid w:val="00222872"/>
    <w:rsid w:val="00222FEC"/>
    <w:rsid w:val="00223B49"/>
    <w:rsid w:val="00223D1A"/>
    <w:rsid w:val="00223D5A"/>
    <w:rsid w:val="00223E5F"/>
    <w:rsid w:val="002240EE"/>
    <w:rsid w:val="00224DD4"/>
    <w:rsid w:val="00227120"/>
    <w:rsid w:val="002276F5"/>
    <w:rsid w:val="002278A0"/>
    <w:rsid w:val="00227A69"/>
    <w:rsid w:val="00227B9F"/>
    <w:rsid w:val="00227BCB"/>
    <w:rsid w:val="00227CE0"/>
    <w:rsid w:val="002309CC"/>
    <w:rsid w:val="00230BD8"/>
    <w:rsid w:val="00230C06"/>
    <w:rsid w:val="00231464"/>
    <w:rsid w:val="00231BA9"/>
    <w:rsid w:val="0023209F"/>
    <w:rsid w:val="00232315"/>
    <w:rsid w:val="00232994"/>
    <w:rsid w:val="0023359F"/>
    <w:rsid w:val="00233C01"/>
    <w:rsid w:val="00233C7E"/>
    <w:rsid w:val="0023413C"/>
    <w:rsid w:val="00234676"/>
    <w:rsid w:val="002346F0"/>
    <w:rsid w:val="00234C80"/>
    <w:rsid w:val="00235064"/>
    <w:rsid w:val="00235E63"/>
    <w:rsid w:val="0023629D"/>
    <w:rsid w:val="0023631B"/>
    <w:rsid w:val="002363E9"/>
    <w:rsid w:val="00236506"/>
    <w:rsid w:val="00236888"/>
    <w:rsid w:val="002370BB"/>
    <w:rsid w:val="002370FE"/>
    <w:rsid w:val="00237255"/>
    <w:rsid w:val="00237E70"/>
    <w:rsid w:val="00240226"/>
    <w:rsid w:val="00241F2A"/>
    <w:rsid w:val="002424AF"/>
    <w:rsid w:val="002439DC"/>
    <w:rsid w:val="00243D66"/>
    <w:rsid w:val="002441D2"/>
    <w:rsid w:val="00244BD6"/>
    <w:rsid w:val="00244BE1"/>
    <w:rsid w:val="00244DC8"/>
    <w:rsid w:val="00245143"/>
    <w:rsid w:val="002458BA"/>
    <w:rsid w:val="00245CE9"/>
    <w:rsid w:val="00245EE6"/>
    <w:rsid w:val="0024636C"/>
    <w:rsid w:val="00246C3F"/>
    <w:rsid w:val="00247925"/>
    <w:rsid w:val="00247AF2"/>
    <w:rsid w:val="00247BF4"/>
    <w:rsid w:val="00250B76"/>
    <w:rsid w:val="00250D4F"/>
    <w:rsid w:val="00251006"/>
    <w:rsid w:val="00251446"/>
    <w:rsid w:val="002519C2"/>
    <w:rsid w:val="00252249"/>
    <w:rsid w:val="002524D5"/>
    <w:rsid w:val="00253B1D"/>
    <w:rsid w:val="002549D0"/>
    <w:rsid w:val="00254DCF"/>
    <w:rsid w:val="0025534B"/>
    <w:rsid w:val="00255BB7"/>
    <w:rsid w:val="00255C8A"/>
    <w:rsid w:val="00256815"/>
    <w:rsid w:val="0025741C"/>
    <w:rsid w:val="00257541"/>
    <w:rsid w:val="00257619"/>
    <w:rsid w:val="00257A39"/>
    <w:rsid w:val="00257AC4"/>
    <w:rsid w:val="00257BBE"/>
    <w:rsid w:val="00261C49"/>
    <w:rsid w:val="00261EEF"/>
    <w:rsid w:val="00262A1A"/>
    <w:rsid w:val="00262A87"/>
    <w:rsid w:val="00262F7E"/>
    <w:rsid w:val="00263859"/>
    <w:rsid w:val="00264D26"/>
    <w:rsid w:val="00266FF4"/>
    <w:rsid w:val="0026757F"/>
    <w:rsid w:val="00267642"/>
    <w:rsid w:val="00267AEA"/>
    <w:rsid w:val="00267D82"/>
    <w:rsid w:val="002700E6"/>
    <w:rsid w:val="002714BD"/>
    <w:rsid w:val="0027294B"/>
    <w:rsid w:val="00273018"/>
    <w:rsid w:val="0027315D"/>
    <w:rsid w:val="00273AA3"/>
    <w:rsid w:val="00273B8A"/>
    <w:rsid w:val="00273EB4"/>
    <w:rsid w:val="00274682"/>
    <w:rsid w:val="00274E08"/>
    <w:rsid w:val="00275014"/>
    <w:rsid w:val="00275158"/>
    <w:rsid w:val="0027551A"/>
    <w:rsid w:val="00275C55"/>
    <w:rsid w:val="00275C5A"/>
    <w:rsid w:val="002802CF"/>
    <w:rsid w:val="00280D6B"/>
    <w:rsid w:val="00281014"/>
    <w:rsid w:val="00282602"/>
    <w:rsid w:val="00282EBC"/>
    <w:rsid w:val="00284351"/>
    <w:rsid w:val="0028438F"/>
    <w:rsid w:val="002856D3"/>
    <w:rsid w:val="00285BCE"/>
    <w:rsid w:val="0028665D"/>
    <w:rsid w:val="00286B6C"/>
    <w:rsid w:val="00286D2A"/>
    <w:rsid w:val="00286D9B"/>
    <w:rsid w:val="00286DA5"/>
    <w:rsid w:val="00287784"/>
    <w:rsid w:val="002878C2"/>
    <w:rsid w:val="00290A9D"/>
    <w:rsid w:val="00291C24"/>
    <w:rsid w:val="00292DD0"/>
    <w:rsid w:val="00293DEA"/>
    <w:rsid w:val="002947BA"/>
    <w:rsid w:val="0029495B"/>
    <w:rsid w:val="00294A01"/>
    <w:rsid w:val="002958FF"/>
    <w:rsid w:val="00295D53"/>
    <w:rsid w:val="002A0762"/>
    <w:rsid w:val="002A0D78"/>
    <w:rsid w:val="002A0F61"/>
    <w:rsid w:val="002A14AB"/>
    <w:rsid w:val="002A2032"/>
    <w:rsid w:val="002A20F4"/>
    <w:rsid w:val="002A2604"/>
    <w:rsid w:val="002A2ADE"/>
    <w:rsid w:val="002A2F50"/>
    <w:rsid w:val="002A3C87"/>
    <w:rsid w:val="002A3FD1"/>
    <w:rsid w:val="002A4326"/>
    <w:rsid w:val="002A4335"/>
    <w:rsid w:val="002A4737"/>
    <w:rsid w:val="002A5744"/>
    <w:rsid w:val="002A59ED"/>
    <w:rsid w:val="002A609D"/>
    <w:rsid w:val="002A7943"/>
    <w:rsid w:val="002A7949"/>
    <w:rsid w:val="002B05A1"/>
    <w:rsid w:val="002B09A4"/>
    <w:rsid w:val="002B1C1F"/>
    <w:rsid w:val="002B38FF"/>
    <w:rsid w:val="002B3D42"/>
    <w:rsid w:val="002B3EEE"/>
    <w:rsid w:val="002B432F"/>
    <w:rsid w:val="002B453F"/>
    <w:rsid w:val="002B5C3D"/>
    <w:rsid w:val="002B62B3"/>
    <w:rsid w:val="002B6754"/>
    <w:rsid w:val="002B6ABC"/>
    <w:rsid w:val="002B6CCE"/>
    <w:rsid w:val="002B7095"/>
    <w:rsid w:val="002B740D"/>
    <w:rsid w:val="002B76D8"/>
    <w:rsid w:val="002C0293"/>
    <w:rsid w:val="002C02C2"/>
    <w:rsid w:val="002C2156"/>
    <w:rsid w:val="002C2510"/>
    <w:rsid w:val="002C2775"/>
    <w:rsid w:val="002C27C1"/>
    <w:rsid w:val="002C2D6B"/>
    <w:rsid w:val="002C36E3"/>
    <w:rsid w:val="002C38A9"/>
    <w:rsid w:val="002C43DF"/>
    <w:rsid w:val="002C48F4"/>
    <w:rsid w:val="002C5099"/>
    <w:rsid w:val="002C5889"/>
    <w:rsid w:val="002C5926"/>
    <w:rsid w:val="002C5BC5"/>
    <w:rsid w:val="002C6B60"/>
    <w:rsid w:val="002C71CE"/>
    <w:rsid w:val="002C7F83"/>
    <w:rsid w:val="002D00F1"/>
    <w:rsid w:val="002D08F8"/>
    <w:rsid w:val="002D1A3E"/>
    <w:rsid w:val="002D2D14"/>
    <w:rsid w:val="002D3AC5"/>
    <w:rsid w:val="002D3DBE"/>
    <w:rsid w:val="002D4461"/>
    <w:rsid w:val="002D4CBF"/>
    <w:rsid w:val="002D54CC"/>
    <w:rsid w:val="002D56C9"/>
    <w:rsid w:val="002D577C"/>
    <w:rsid w:val="002D5923"/>
    <w:rsid w:val="002D6044"/>
    <w:rsid w:val="002D7832"/>
    <w:rsid w:val="002D7D49"/>
    <w:rsid w:val="002E0329"/>
    <w:rsid w:val="002E1071"/>
    <w:rsid w:val="002E15B9"/>
    <w:rsid w:val="002E1994"/>
    <w:rsid w:val="002E2158"/>
    <w:rsid w:val="002E225C"/>
    <w:rsid w:val="002E2392"/>
    <w:rsid w:val="002E2B28"/>
    <w:rsid w:val="002E3522"/>
    <w:rsid w:val="002E3E2A"/>
    <w:rsid w:val="002E4653"/>
    <w:rsid w:val="002E4EE4"/>
    <w:rsid w:val="002E4F02"/>
    <w:rsid w:val="002E638E"/>
    <w:rsid w:val="002E7130"/>
    <w:rsid w:val="002E7722"/>
    <w:rsid w:val="002F0215"/>
    <w:rsid w:val="002F07BA"/>
    <w:rsid w:val="002F08DA"/>
    <w:rsid w:val="002F095A"/>
    <w:rsid w:val="002F0AB3"/>
    <w:rsid w:val="002F0DA9"/>
    <w:rsid w:val="002F1014"/>
    <w:rsid w:val="002F1D83"/>
    <w:rsid w:val="002F1E3B"/>
    <w:rsid w:val="002F1F5D"/>
    <w:rsid w:val="002F253D"/>
    <w:rsid w:val="002F260F"/>
    <w:rsid w:val="002F326F"/>
    <w:rsid w:val="002F3F0F"/>
    <w:rsid w:val="002F45CC"/>
    <w:rsid w:val="002F565E"/>
    <w:rsid w:val="002F5966"/>
    <w:rsid w:val="002F643C"/>
    <w:rsid w:val="002F69BC"/>
    <w:rsid w:val="002F71C0"/>
    <w:rsid w:val="002F7224"/>
    <w:rsid w:val="002F74F1"/>
    <w:rsid w:val="0030095D"/>
    <w:rsid w:val="00301017"/>
    <w:rsid w:val="003011E8"/>
    <w:rsid w:val="0030155F"/>
    <w:rsid w:val="003017A8"/>
    <w:rsid w:val="00301C4B"/>
    <w:rsid w:val="00302099"/>
    <w:rsid w:val="00303719"/>
    <w:rsid w:val="00303745"/>
    <w:rsid w:val="00303B08"/>
    <w:rsid w:val="0030412E"/>
    <w:rsid w:val="0030587B"/>
    <w:rsid w:val="00306580"/>
    <w:rsid w:val="003067D8"/>
    <w:rsid w:val="00306D98"/>
    <w:rsid w:val="0030786C"/>
    <w:rsid w:val="0031031A"/>
    <w:rsid w:val="00310981"/>
    <w:rsid w:val="003111A1"/>
    <w:rsid w:val="0031158A"/>
    <w:rsid w:val="00311BE2"/>
    <w:rsid w:val="00311D9B"/>
    <w:rsid w:val="003124D9"/>
    <w:rsid w:val="00312594"/>
    <w:rsid w:val="0031419C"/>
    <w:rsid w:val="00314805"/>
    <w:rsid w:val="00315375"/>
    <w:rsid w:val="00315498"/>
    <w:rsid w:val="00315FD8"/>
    <w:rsid w:val="00316474"/>
    <w:rsid w:val="003165D1"/>
    <w:rsid w:val="0031759F"/>
    <w:rsid w:val="003176D6"/>
    <w:rsid w:val="003179D9"/>
    <w:rsid w:val="003203DC"/>
    <w:rsid w:val="00320BB0"/>
    <w:rsid w:val="00322107"/>
    <w:rsid w:val="00322355"/>
    <w:rsid w:val="003226E2"/>
    <w:rsid w:val="00322846"/>
    <w:rsid w:val="00322A11"/>
    <w:rsid w:val="00323C7E"/>
    <w:rsid w:val="00323F9F"/>
    <w:rsid w:val="0032450B"/>
    <w:rsid w:val="003246FB"/>
    <w:rsid w:val="00326DA7"/>
    <w:rsid w:val="003270E4"/>
    <w:rsid w:val="00330771"/>
    <w:rsid w:val="00330DAA"/>
    <w:rsid w:val="00330F5C"/>
    <w:rsid w:val="003312F6"/>
    <w:rsid w:val="00331A0C"/>
    <w:rsid w:val="00332EF4"/>
    <w:rsid w:val="00333130"/>
    <w:rsid w:val="003332C2"/>
    <w:rsid w:val="003333A9"/>
    <w:rsid w:val="00333461"/>
    <w:rsid w:val="00333908"/>
    <w:rsid w:val="00333E9F"/>
    <w:rsid w:val="00334395"/>
    <w:rsid w:val="00334F38"/>
    <w:rsid w:val="003364E3"/>
    <w:rsid w:val="003366C9"/>
    <w:rsid w:val="003371B0"/>
    <w:rsid w:val="00337D1B"/>
    <w:rsid w:val="003402DE"/>
    <w:rsid w:val="00340DF1"/>
    <w:rsid w:val="00341739"/>
    <w:rsid w:val="00341779"/>
    <w:rsid w:val="00341F01"/>
    <w:rsid w:val="00342CCD"/>
    <w:rsid w:val="003438BB"/>
    <w:rsid w:val="00344465"/>
    <w:rsid w:val="00345092"/>
    <w:rsid w:val="003455BA"/>
    <w:rsid w:val="00345BBE"/>
    <w:rsid w:val="003468BB"/>
    <w:rsid w:val="0034723C"/>
    <w:rsid w:val="00347B2A"/>
    <w:rsid w:val="003502C3"/>
    <w:rsid w:val="00350E9A"/>
    <w:rsid w:val="00351481"/>
    <w:rsid w:val="003515E0"/>
    <w:rsid w:val="0035173A"/>
    <w:rsid w:val="003517F9"/>
    <w:rsid w:val="00351BA9"/>
    <w:rsid w:val="00352586"/>
    <w:rsid w:val="00354B66"/>
    <w:rsid w:val="00354F64"/>
    <w:rsid w:val="00355E42"/>
    <w:rsid w:val="0035620E"/>
    <w:rsid w:val="003575BE"/>
    <w:rsid w:val="00357BDE"/>
    <w:rsid w:val="00360345"/>
    <w:rsid w:val="003616C2"/>
    <w:rsid w:val="00361A05"/>
    <w:rsid w:val="00361F6C"/>
    <w:rsid w:val="003624C4"/>
    <w:rsid w:val="00363A26"/>
    <w:rsid w:val="00363B00"/>
    <w:rsid w:val="00364200"/>
    <w:rsid w:val="003654AC"/>
    <w:rsid w:val="00366861"/>
    <w:rsid w:val="003704CA"/>
    <w:rsid w:val="003708B0"/>
    <w:rsid w:val="003710CF"/>
    <w:rsid w:val="0037140B"/>
    <w:rsid w:val="00371436"/>
    <w:rsid w:val="00372BB1"/>
    <w:rsid w:val="0037358A"/>
    <w:rsid w:val="00373947"/>
    <w:rsid w:val="0037396C"/>
    <w:rsid w:val="003741A7"/>
    <w:rsid w:val="0037447E"/>
    <w:rsid w:val="0037449A"/>
    <w:rsid w:val="00374893"/>
    <w:rsid w:val="00374ACD"/>
    <w:rsid w:val="00374E94"/>
    <w:rsid w:val="003750F6"/>
    <w:rsid w:val="00375C97"/>
    <w:rsid w:val="003760EA"/>
    <w:rsid w:val="003760FC"/>
    <w:rsid w:val="00376322"/>
    <w:rsid w:val="0037775A"/>
    <w:rsid w:val="00377F43"/>
    <w:rsid w:val="003801F2"/>
    <w:rsid w:val="003813EF"/>
    <w:rsid w:val="003815F4"/>
    <w:rsid w:val="00382B03"/>
    <w:rsid w:val="0038365C"/>
    <w:rsid w:val="0038369B"/>
    <w:rsid w:val="003837CE"/>
    <w:rsid w:val="00383B78"/>
    <w:rsid w:val="00383C95"/>
    <w:rsid w:val="00385A9D"/>
    <w:rsid w:val="003864C2"/>
    <w:rsid w:val="00386C81"/>
    <w:rsid w:val="00386E31"/>
    <w:rsid w:val="00387121"/>
    <w:rsid w:val="003902B1"/>
    <w:rsid w:val="0039179C"/>
    <w:rsid w:val="00392E6E"/>
    <w:rsid w:val="00393694"/>
    <w:rsid w:val="003937C9"/>
    <w:rsid w:val="00393DF3"/>
    <w:rsid w:val="0039427E"/>
    <w:rsid w:val="00394C0A"/>
    <w:rsid w:val="00395578"/>
    <w:rsid w:val="00395DED"/>
    <w:rsid w:val="00396896"/>
    <w:rsid w:val="00396FD0"/>
    <w:rsid w:val="00397FAE"/>
    <w:rsid w:val="003A0DAF"/>
    <w:rsid w:val="003A0E6E"/>
    <w:rsid w:val="003A10A1"/>
    <w:rsid w:val="003A1A7A"/>
    <w:rsid w:val="003A1CCD"/>
    <w:rsid w:val="003A2130"/>
    <w:rsid w:val="003A235D"/>
    <w:rsid w:val="003A2392"/>
    <w:rsid w:val="003A2831"/>
    <w:rsid w:val="003A3469"/>
    <w:rsid w:val="003A348C"/>
    <w:rsid w:val="003A37EE"/>
    <w:rsid w:val="003A3CB6"/>
    <w:rsid w:val="003A3ED1"/>
    <w:rsid w:val="003A44DB"/>
    <w:rsid w:val="003A4984"/>
    <w:rsid w:val="003A4C14"/>
    <w:rsid w:val="003A4CE7"/>
    <w:rsid w:val="003A64B0"/>
    <w:rsid w:val="003A69E2"/>
    <w:rsid w:val="003A6B44"/>
    <w:rsid w:val="003A789E"/>
    <w:rsid w:val="003A7D05"/>
    <w:rsid w:val="003B017B"/>
    <w:rsid w:val="003B1B4D"/>
    <w:rsid w:val="003B3971"/>
    <w:rsid w:val="003B55D1"/>
    <w:rsid w:val="003B585A"/>
    <w:rsid w:val="003B5B61"/>
    <w:rsid w:val="003B67C8"/>
    <w:rsid w:val="003B6D54"/>
    <w:rsid w:val="003B75FB"/>
    <w:rsid w:val="003B78D2"/>
    <w:rsid w:val="003C0336"/>
    <w:rsid w:val="003C1654"/>
    <w:rsid w:val="003C2700"/>
    <w:rsid w:val="003C2DE2"/>
    <w:rsid w:val="003C3181"/>
    <w:rsid w:val="003C4958"/>
    <w:rsid w:val="003C5542"/>
    <w:rsid w:val="003C5C0D"/>
    <w:rsid w:val="003C6281"/>
    <w:rsid w:val="003C76E6"/>
    <w:rsid w:val="003C7C15"/>
    <w:rsid w:val="003C7D19"/>
    <w:rsid w:val="003C7D2F"/>
    <w:rsid w:val="003D06C9"/>
    <w:rsid w:val="003D0C5A"/>
    <w:rsid w:val="003D1828"/>
    <w:rsid w:val="003D1DE4"/>
    <w:rsid w:val="003D1E9A"/>
    <w:rsid w:val="003D2116"/>
    <w:rsid w:val="003D2422"/>
    <w:rsid w:val="003D39A1"/>
    <w:rsid w:val="003D3AF8"/>
    <w:rsid w:val="003D3FBF"/>
    <w:rsid w:val="003D4A30"/>
    <w:rsid w:val="003D53AF"/>
    <w:rsid w:val="003D7452"/>
    <w:rsid w:val="003D79BB"/>
    <w:rsid w:val="003D7C46"/>
    <w:rsid w:val="003D7C98"/>
    <w:rsid w:val="003D7D9D"/>
    <w:rsid w:val="003E0407"/>
    <w:rsid w:val="003E0543"/>
    <w:rsid w:val="003E1834"/>
    <w:rsid w:val="003E1BF3"/>
    <w:rsid w:val="003E213A"/>
    <w:rsid w:val="003E2314"/>
    <w:rsid w:val="003E324D"/>
    <w:rsid w:val="003E3CDC"/>
    <w:rsid w:val="003E432F"/>
    <w:rsid w:val="003E4492"/>
    <w:rsid w:val="003E4BAB"/>
    <w:rsid w:val="003E4CE3"/>
    <w:rsid w:val="003E4E44"/>
    <w:rsid w:val="003E5603"/>
    <w:rsid w:val="003E57EC"/>
    <w:rsid w:val="003E5FE1"/>
    <w:rsid w:val="003E749E"/>
    <w:rsid w:val="003E7B70"/>
    <w:rsid w:val="003E7CF9"/>
    <w:rsid w:val="003F0C0B"/>
    <w:rsid w:val="003F0DE7"/>
    <w:rsid w:val="003F15AA"/>
    <w:rsid w:val="003F23BC"/>
    <w:rsid w:val="003F29B7"/>
    <w:rsid w:val="003F2C28"/>
    <w:rsid w:val="003F2E94"/>
    <w:rsid w:val="003F390E"/>
    <w:rsid w:val="003F4156"/>
    <w:rsid w:val="003F5174"/>
    <w:rsid w:val="003F5AA9"/>
    <w:rsid w:val="003F5ADF"/>
    <w:rsid w:val="003F655F"/>
    <w:rsid w:val="003F6F62"/>
    <w:rsid w:val="00400B29"/>
    <w:rsid w:val="00401E1A"/>
    <w:rsid w:val="00402812"/>
    <w:rsid w:val="00404AAC"/>
    <w:rsid w:val="0040504B"/>
    <w:rsid w:val="004059F4"/>
    <w:rsid w:val="00405AE9"/>
    <w:rsid w:val="0040710E"/>
    <w:rsid w:val="00407FE5"/>
    <w:rsid w:val="004101B0"/>
    <w:rsid w:val="00410326"/>
    <w:rsid w:val="00410708"/>
    <w:rsid w:val="00410EC7"/>
    <w:rsid w:val="00411B39"/>
    <w:rsid w:val="0041243E"/>
    <w:rsid w:val="004127A7"/>
    <w:rsid w:val="00412862"/>
    <w:rsid w:val="00413067"/>
    <w:rsid w:val="00413A1E"/>
    <w:rsid w:val="00413F61"/>
    <w:rsid w:val="00414476"/>
    <w:rsid w:val="00414793"/>
    <w:rsid w:val="00414C2E"/>
    <w:rsid w:val="00414EEE"/>
    <w:rsid w:val="0041509D"/>
    <w:rsid w:val="004151CF"/>
    <w:rsid w:val="00415E60"/>
    <w:rsid w:val="00416364"/>
    <w:rsid w:val="004164E4"/>
    <w:rsid w:val="00417385"/>
    <w:rsid w:val="00417889"/>
    <w:rsid w:val="00417915"/>
    <w:rsid w:val="00420076"/>
    <w:rsid w:val="0042047F"/>
    <w:rsid w:val="00420AA6"/>
    <w:rsid w:val="00420B9F"/>
    <w:rsid w:val="00420E31"/>
    <w:rsid w:val="0042129C"/>
    <w:rsid w:val="0042192C"/>
    <w:rsid w:val="00422260"/>
    <w:rsid w:val="00422B7C"/>
    <w:rsid w:val="00423098"/>
    <w:rsid w:val="00423D0C"/>
    <w:rsid w:val="0042413F"/>
    <w:rsid w:val="00424222"/>
    <w:rsid w:val="0042459B"/>
    <w:rsid w:val="00425752"/>
    <w:rsid w:val="0042579F"/>
    <w:rsid w:val="00425B3F"/>
    <w:rsid w:val="00426B55"/>
    <w:rsid w:val="00426B88"/>
    <w:rsid w:val="00427409"/>
    <w:rsid w:val="00430527"/>
    <w:rsid w:val="00430544"/>
    <w:rsid w:val="00430E0B"/>
    <w:rsid w:val="0043139E"/>
    <w:rsid w:val="004319F8"/>
    <w:rsid w:val="00431E55"/>
    <w:rsid w:val="004321F6"/>
    <w:rsid w:val="00432441"/>
    <w:rsid w:val="00432D29"/>
    <w:rsid w:val="00433044"/>
    <w:rsid w:val="00433B1F"/>
    <w:rsid w:val="00434088"/>
    <w:rsid w:val="00436F0F"/>
    <w:rsid w:val="004375B9"/>
    <w:rsid w:val="00437661"/>
    <w:rsid w:val="004376E6"/>
    <w:rsid w:val="00437C9F"/>
    <w:rsid w:val="00440F74"/>
    <w:rsid w:val="00440FF6"/>
    <w:rsid w:val="004412EE"/>
    <w:rsid w:val="004428D0"/>
    <w:rsid w:val="00443D41"/>
    <w:rsid w:val="00444185"/>
    <w:rsid w:val="004443A7"/>
    <w:rsid w:val="0044442C"/>
    <w:rsid w:val="004446AC"/>
    <w:rsid w:val="004451F8"/>
    <w:rsid w:val="00445941"/>
    <w:rsid w:val="00445FD4"/>
    <w:rsid w:val="00446229"/>
    <w:rsid w:val="004464EB"/>
    <w:rsid w:val="0044665A"/>
    <w:rsid w:val="00446F80"/>
    <w:rsid w:val="00447D26"/>
    <w:rsid w:val="00447DFC"/>
    <w:rsid w:val="00450117"/>
    <w:rsid w:val="00451907"/>
    <w:rsid w:val="00451EE8"/>
    <w:rsid w:val="00453666"/>
    <w:rsid w:val="00454F92"/>
    <w:rsid w:val="004555DA"/>
    <w:rsid w:val="00455D45"/>
    <w:rsid w:val="0045677B"/>
    <w:rsid w:val="0045752B"/>
    <w:rsid w:val="00460799"/>
    <w:rsid w:val="00460FA1"/>
    <w:rsid w:val="004610F4"/>
    <w:rsid w:val="00463BF2"/>
    <w:rsid w:val="00463DAE"/>
    <w:rsid w:val="00464595"/>
    <w:rsid w:val="004646F5"/>
    <w:rsid w:val="004658B5"/>
    <w:rsid w:val="00465C9D"/>
    <w:rsid w:val="00466294"/>
    <w:rsid w:val="004662FE"/>
    <w:rsid w:val="00466EC0"/>
    <w:rsid w:val="00466EEB"/>
    <w:rsid w:val="00467C83"/>
    <w:rsid w:val="00467DC4"/>
    <w:rsid w:val="00470A7C"/>
    <w:rsid w:val="00471370"/>
    <w:rsid w:val="00471EA5"/>
    <w:rsid w:val="004726EC"/>
    <w:rsid w:val="00472A79"/>
    <w:rsid w:val="004732FF"/>
    <w:rsid w:val="00473F19"/>
    <w:rsid w:val="00475723"/>
    <w:rsid w:val="00475AD3"/>
    <w:rsid w:val="00475E22"/>
    <w:rsid w:val="004767EF"/>
    <w:rsid w:val="00476DA2"/>
    <w:rsid w:val="004771B4"/>
    <w:rsid w:val="00477751"/>
    <w:rsid w:val="00477CC3"/>
    <w:rsid w:val="0048088E"/>
    <w:rsid w:val="00480F2B"/>
    <w:rsid w:val="0048215D"/>
    <w:rsid w:val="00482720"/>
    <w:rsid w:val="004830FB"/>
    <w:rsid w:val="0048346C"/>
    <w:rsid w:val="004834BE"/>
    <w:rsid w:val="004835E7"/>
    <w:rsid w:val="004838D1"/>
    <w:rsid w:val="004859E1"/>
    <w:rsid w:val="0048619E"/>
    <w:rsid w:val="004867E2"/>
    <w:rsid w:val="00486DF5"/>
    <w:rsid w:val="00487437"/>
    <w:rsid w:val="00490832"/>
    <w:rsid w:val="00490B17"/>
    <w:rsid w:val="00490CBF"/>
    <w:rsid w:val="004911B7"/>
    <w:rsid w:val="004913B0"/>
    <w:rsid w:val="00491977"/>
    <w:rsid w:val="00491B3A"/>
    <w:rsid w:val="00492CFD"/>
    <w:rsid w:val="00494197"/>
    <w:rsid w:val="00494207"/>
    <w:rsid w:val="0049469E"/>
    <w:rsid w:val="00494707"/>
    <w:rsid w:val="00494DD5"/>
    <w:rsid w:val="004962D2"/>
    <w:rsid w:val="00497148"/>
    <w:rsid w:val="00497950"/>
    <w:rsid w:val="00497CEA"/>
    <w:rsid w:val="004A0DA1"/>
    <w:rsid w:val="004A0EE5"/>
    <w:rsid w:val="004A13D6"/>
    <w:rsid w:val="004A1DAE"/>
    <w:rsid w:val="004A2076"/>
    <w:rsid w:val="004A2DD7"/>
    <w:rsid w:val="004A31ED"/>
    <w:rsid w:val="004A46BF"/>
    <w:rsid w:val="004A4A1D"/>
    <w:rsid w:val="004A52E9"/>
    <w:rsid w:val="004A6040"/>
    <w:rsid w:val="004A61C2"/>
    <w:rsid w:val="004A6597"/>
    <w:rsid w:val="004A6C6A"/>
    <w:rsid w:val="004A764F"/>
    <w:rsid w:val="004A7848"/>
    <w:rsid w:val="004A793B"/>
    <w:rsid w:val="004A7A50"/>
    <w:rsid w:val="004B14E7"/>
    <w:rsid w:val="004B1667"/>
    <w:rsid w:val="004B1B34"/>
    <w:rsid w:val="004B1CB4"/>
    <w:rsid w:val="004B24DD"/>
    <w:rsid w:val="004B2F18"/>
    <w:rsid w:val="004B38A8"/>
    <w:rsid w:val="004B3DDB"/>
    <w:rsid w:val="004B44FD"/>
    <w:rsid w:val="004B5CFC"/>
    <w:rsid w:val="004B6F79"/>
    <w:rsid w:val="004B774D"/>
    <w:rsid w:val="004B77D9"/>
    <w:rsid w:val="004C0914"/>
    <w:rsid w:val="004C1534"/>
    <w:rsid w:val="004C1A90"/>
    <w:rsid w:val="004C283C"/>
    <w:rsid w:val="004C2AC2"/>
    <w:rsid w:val="004C491C"/>
    <w:rsid w:val="004C4AED"/>
    <w:rsid w:val="004C6E8A"/>
    <w:rsid w:val="004C71B1"/>
    <w:rsid w:val="004D06F3"/>
    <w:rsid w:val="004D0A47"/>
    <w:rsid w:val="004D2C2D"/>
    <w:rsid w:val="004D3404"/>
    <w:rsid w:val="004D3A5C"/>
    <w:rsid w:val="004D3C9C"/>
    <w:rsid w:val="004D4D41"/>
    <w:rsid w:val="004D56C0"/>
    <w:rsid w:val="004D69B5"/>
    <w:rsid w:val="004D7227"/>
    <w:rsid w:val="004D7348"/>
    <w:rsid w:val="004D7B5E"/>
    <w:rsid w:val="004E078C"/>
    <w:rsid w:val="004E0E7F"/>
    <w:rsid w:val="004E0EB8"/>
    <w:rsid w:val="004E0EFB"/>
    <w:rsid w:val="004E10B6"/>
    <w:rsid w:val="004E18E9"/>
    <w:rsid w:val="004E29CE"/>
    <w:rsid w:val="004E2ADC"/>
    <w:rsid w:val="004E30DA"/>
    <w:rsid w:val="004E41B3"/>
    <w:rsid w:val="004E43B2"/>
    <w:rsid w:val="004E47BE"/>
    <w:rsid w:val="004E5594"/>
    <w:rsid w:val="004E5857"/>
    <w:rsid w:val="004E637A"/>
    <w:rsid w:val="004E667C"/>
    <w:rsid w:val="004E790B"/>
    <w:rsid w:val="004E7CA8"/>
    <w:rsid w:val="004E7FA4"/>
    <w:rsid w:val="004F156C"/>
    <w:rsid w:val="004F1D02"/>
    <w:rsid w:val="004F2679"/>
    <w:rsid w:val="004F277F"/>
    <w:rsid w:val="004F2C7D"/>
    <w:rsid w:val="004F2F21"/>
    <w:rsid w:val="004F3DE5"/>
    <w:rsid w:val="004F4C9F"/>
    <w:rsid w:val="004F6913"/>
    <w:rsid w:val="004F6DAA"/>
    <w:rsid w:val="004F7865"/>
    <w:rsid w:val="004F7F5B"/>
    <w:rsid w:val="0050174E"/>
    <w:rsid w:val="00501854"/>
    <w:rsid w:val="0050219B"/>
    <w:rsid w:val="00502652"/>
    <w:rsid w:val="005033AA"/>
    <w:rsid w:val="005033E3"/>
    <w:rsid w:val="00503F17"/>
    <w:rsid w:val="00503F3A"/>
    <w:rsid w:val="005047E8"/>
    <w:rsid w:val="00506191"/>
    <w:rsid w:val="00506928"/>
    <w:rsid w:val="005077EF"/>
    <w:rsid w:val="005108F6"/>
    <w:rsid w:val="00511AD5"/>
    <w:rsid w:val="00511DC7"/>
    <w:rsid w:val="00512564"/>
    <w:rsid w:val="0051277D"/>
    <w:rsid w:val="0051286C"/>
    <w:rsid w:val="00513397"/>
    <w:rsid w:val="005142C5"/>
    <w:rsid w:val="0051501B"/>
    <w:rsid w:val="005152B5"/>
    <w:rsid w:val="00515885"/>
    <w:rsid w:val="00515886"/>
    <w:rsid w:val="00515A38"/>
    <w:rsid w:val="0052123C"/>
    <w:rsid w:val="00521319"/>
    <w:rsid w:val="00521C26"/>
    <w:rsid w:val="005221D9"/>
    <w:rsid w:val="00522BC8"/>
    <w:rsid w:val="00523C28"/>
    <w:rsid w:val="005249B2"/>
    <w:rsid w:val="005259AF"/>
    <w:rsid w:val="00530628"/>
    <w:rsid w:val="00531520"/>
    <w:rsid w:val="0053176B"/>
    <w:rsid w:val="00531DD7"/>
    <w:rsid w:val="00532BEE"/>
    <w:rsid w:val="00532C20"/>
    <w:rsid w:val="005341B3"/>
    <w:rsid w:val="00534FD4"/>
    <w:rsid w:val="0053501C"/>
    <w:rsid w:val="00535EC8"/>
    <w:rsid w:val="00536092"/>
    <w:rsid w:val="005366C2"/>
    <w:rsid w:val="00536F42"/>
    <w:rsid w:val="00537182"/>
    <w:rsid w:val="005376EC"/>
    <w:rsid w:val="005379C3"/>
    <w:rsid w:val="00537FBA"/>
    <w:rsid w:val="00540068"/>
    <w:rsid w:val="00540820"/>
    <w:rsid w:val="00541123"/>
    <w:rsid w:val="005418A2"/>
    <w:rsid w:val="00541C16"/>
    <w:rsid w:val="00541E4E"/>
    <w:rsid w:val="00541EDD"/>
    <w:rsid w:val="00541F26"/>
    <w:rsid w:val="00541F8C"/>
    <w:rsid w:val="00541FC8"/>
    <w:rsid w:val="00542743"/>
    <w:rsid w:val="005427B8"/>
    <w:rsid w:val="00542C2D"/>
    <w:rsid w:val="00544556"/>
    <w:rsid w:val="005463CB"/>
    <w:rsid w:val="00546B44"/>
    <w:rsid w:val="00546DF6"/>
    <w:rsid w:val="0054713D"/>
    <w:rsid w:val="005476D2"/>
    <w:rsid w:val="005478BD"/>
    <w:rsid w:val="005479E3"/>
    <w:rsid w:val="005509A9"/>
    <w:rsid w:val="0055116B"/>
    <w:rsid w:val="00551985"/>
    <w:rsid w:val="00552BD3"/>
    <w:rsid w:val="00552BFF"/>
    <w:rsid w:val="005532A0"/>
    <w:rsid w:val="00553EAE"/>
    <w:rsid w:val="00555109"/>
    <w:rsid w:val="00556356"/>
    <w:rsid w:val="00556B35"/>
    <w:rsid w:val="0055741A"/>
    <w:rsid w:val="005575C3"/>
    <w:rsid w:val="00557FC3"/>
    <w:rsid w:val="00560666"/>
    <w:rsid w:val="00560D1C"/>
    <w:rsid w:val="00560D4E"/>
    <w:rsid w:val="005611B7"/>
    <w:rsid w:val="005618D4"/>
    <w:rsid w:val="0056201B"/>
    <w:rsid w:val="005623FE"/>
    <w:rsid w:val="00562FAF"/>
    <w:rsid w:val="005633AB"/>
    <w:rsid w:val="00563BE2"/>
    <w:rsid w:val="00564172"/>
    <w:rsid w:val="00564867"/>
    <w:rsid w:val="00565C79"/>
    <w:rsid w:val="00565DF0"/>
    <w:rsid w:val="00566167"/>
    <w:rsid w:val="00566398"/>
    <w:rsid w:val="0056696F"/>
    <w:rsid w:val="00566F04"/>
    <w:rsid w:val="005678BA"/>
    <w:rsid w:val="00570213"/>
    <w:rsid w:val="00570789"/>
    <w:rsid w:val="0057157E"/>
    <w:rsid w:val="00572269"/>
    <w:rsid w:val="0057244A"/>
    <w:rsid w:val="00572A28"/>
    <w:rsid w:val="00572D7E"/>
    <w:rsid w:val="00572F26"/>
    <w:rsid w:val="00572FB1"/>
    <w:rsid w:val="00573C08"/>
    <w:rsid w:val="00573E44"/>
    <w:rsid w:val="00574FC7"/>
    <w:rsid w:val="005750C5"/>
    <w:rsid w:val="00575122"/>
    <w:rsid w:val="005752DE"/>
    <w:rsid w:val="00575D60"/>
    <w:rsid w:val="00575D8D"/>
    <w:rsid w:val="00576972"/>
    <w:rsid w:val="00577155"/>
    <w:rsid w:val="00577248"/>
    <w:rsid w:val="005779BF"/>
    <w:rsid w:val="005810D4"/>
    <w:rsid w:val="00582B7D"/>
    <w:rsid w:val="00582C37"/>
    <w:rsid w:val="00582FEB"/>
    <w:rsid w:val="00583699"/>
    <w:rsid w:val="00584EB0"/>
    <w:rsid w:val="00585A52"/>
    <w:rsid w:val="00585CDD"/>
    <w:rsid w:val="005862D8"/>
    <w:rsid w:val="005862F3"/>
    <w:rsid w:val="00587058"/>
    <w:rsid w:val="005870E1"/>
    <w:rsid w:val="0058784A"/>
    <w:rsid w:val="005912EC"/>
    <w:rsid w:val="00591345"/>
    <w:rsid w:val="00591957"/>
    <w:rsid w:val="00591B66"/>
    <w:rsid w:val="00591FA6"/>
    <w:rsid w:val="005921AA"/>
    <w:rsid w:val="00593233"/>
    <w:rsid w:val="00594685"/>
    <w:rsid w:val="00594B01"/>
    <w:rsid w:val="00596219"/>
    <w:rsid w:val="00596970"/>
    <w:rsid w:val="0059712E"/>
    <w:rsid w:val="00597254"/>
    <w:rsid w:val="00597BF9"/>
    <w:rsid w:val="005A02EE"/>
    <w:rsid w:val="005A071C"/>
    <w:rsid w:val="005A0C11"/>
    <w:rsid w:val="005A1DD7"/>
    <w:rsid w:val="005A309A"/>
    <w:rsid w:val="005A3260"/>
    <w:rsid w:val="005A36E6"/>
    <w:rsid w:val="005A373D"/>
    <w:rsid w:val="005A459D"/>
    <w:rsid w:val="005A4BC5"/>
    <w:rsid w:val="005A5E0A"/>
    <w:rsid w:val="005A5E82"/>
    <w:rsid w:val="005A6818"/>
    <w:rsid w:val="005B0250"/>
    <w:rsid w:val="005B0B58"/>
    <w:rsid w:val="005B0F4D"/>
    <w:rsid w:val="005B1CD5"/>
    <w:rsid w:val="005B2928"/>
    <w:rsid w:val="005B323B"/>
    <w:rsid w:val="005B3498"/>
    <w:rsid w:val="005B412E"/>
    <w:rsid w:val="005B4CE8"/>
    <w:rsid w:val="005B4E53"/>
    <w:rsid w:val="005B56DC"/>
    <w:rsid w:val="005B5857"/>
    <w:rsid w:val="005C03E4"/>
    <w:rsid w:val="005C0635"/>
    <w:rsid w:val="005C0EE9"/>
    <w:rsid w:val="005C19C4"/>
    <w:rsid w:val="005C1B83"/>
    <w:rsid w:val="005C2266"/>
    <w:rsid w:val="005C25FF"/>
    <w:rsid w:val="005C2922"/>
    <w:rsid w:val="005C2B28"/>
    <w:rsid w:val="005C2D55"/>
    <w:rsid w:val="005C346B"/>
    <w:rsid w:val="005C3A13"/>
    <w:rsid w:val="005C3E70"/>
    <w:rsid w:val="005C4CBE"/>
    <w:rsid w:val="005C52BD"/>
    <w:rsid w:val="005C5ABC"/>
    <w:rsid w:val="005C64D8"/>
    <w:rsid w:val="005C6D1D"/>
    <w:rsid w:val="005C799E"/>
    <w:rsid w:val="005D044D"/>
    <w:rsid w:val="005D095F"/>
    <w:rsid w:val="005D0ABD"/>
    <w:rsid w:val="005D18AD"/>
    <w:rsid w:val="005D26B4"/>
    <w:rsid w:val="005D3961"/>
    <w:rsid w:val="005D4A47"/>
    <w:rsid w:val="005D4DAD"/>
    <w:rsid w:val="005D5034"/>
    <w:rsid w:val="005D531B"/>
    <w:rsid w:val="005D60D0"/>
    <w:rsid w:val="005D713D"/>
    <w:rsid w:val="005E00AB"/>
    <w:rsid w:val="005E1995"/>
    <w:rsid w:val="005E1B67"/>
    <w:rsid w:val="005E2599"/>
    <w:rsid w:val="005E388F"/>
    <w:rsid w:val="005E4101"/>
    <w:rsid w:val="005E41D5"/>
    <w:rsid w:val="005E4BE2"/>
    <w:rsid w:val="005E4C25"/>
    <w:rsid w:val="005E5599"/>
    <w:rsid w:val="005E5913"/>
    <w:rsid w:val="005E6CBC"/>
    <w:rsid w:val="005E72FF"/>
    <w:rsid w:val="005E73C0"/>
    <w:rsid w:val="005E7C38"/>
    <w:rsid w:val="005F07BF"/>
    <w:rsid w:val="005F07ED"/>
    <w:rsid w:val="005F0BFC"/>
    <w:rsid w:val="005F0E9B"/>
    <w:rsid w:val="005F125B"/>
    <w:rsid w:val="005F17F6"/>
    <w:rsid w:val="005F1CF5"/>
    <w:rsid w:val="005F21FF"/>
    <w:rsid w:val="005F227C"/>
    <w:rsid w:val="005F2371"/>
    <w:rsid w:val="005F2706"/>
    <w:rsid w:val="005F2BFB"/>
    <w:rsid w:val="005F4412"/>
    <w:rsid w:val="005F494B"/>
    <w:rsid w:val="005F4E48"/>
    <w:rsid w:val="005F5983"/>
    <w:rsid w:val="005F61DA"/>
    <w:rsid w:val="005F61E9"/>
    <w:rsid w:val="005F673A"/>
    <w:rsid w:val="005F675B"/>
    <w:rsid w:val="005F6A8F"/>
    <w:rsid w:val="005F6BB7"/>
    <w:rsid w:val="005F7588"/>
    <w:rsid w:val="0060009D"/>
    <w:rsid w:val="006003EA"/>
    <w:rsid w:val="00600889"/>
    <w:rsid w:val="00600A84"/>
    <w:rsid w:val="0060102C"/>
    <w:rsid w:val="006022BC"/>
    <w:rsid w:val="00602993"/>
    <w:rsid w:val="006030F6"/>
    <w:rsid w:val="00603248"/>
    <w:rsid w:val="006033A9"/>
    <w:rsid w:val="00603D81"/>
    <w:rsid w:val="00603DB9"/>
    <w:rsid w:val="00604F42"/>
    <w:rsid w:val="00605312"/>
    <w:rsid w:val="0060547D"/>
    <w:rsid w:val="00606FBA"/>
    <w:rsid w:val="00607318"/>
    <w:rsid w:val="00607669"/>
    <w:rsid w:val="006076F4"/>
    <w:rsid w:val="00607AFD"/>
    <w:rsid w:val="00607CA5"/>
    <w:rsid w:val="00607DDA"/>
    <w:rsid w:val="00607E18"/>
    <w:rsid w:val="00611880"/>
    <w:rsid w:val="00611B12"/>
    <w:rsid w:val="00612092"/>
    <w:rsid w:val="00612C9B"/>
    <w:rsid w:val="00612F97"/>
    <w:rsid w:val="0061345D"/>
    <w:rsid w:val="00613760"/>
    <w:rsid w:val="006142FC"/>
    <w:rsid w:val="00614B3D"/>
    <w:rsid w:val="00614BEF"/>
    <w:rsid w:val="00614E59"/>
    <w:rsid w:val="0061549B"/>
    <w:rsid w:val="0061566F"/>
    <w:rsid w:val="00615FFF"/>
    <w:rsid w:val="00616802"/>
    <w:rsid w:val="00617E12"/>
    <w:rsid w:val="00620008"/>
    <w:rsid w:val="00620C25"/>
    <w:rsid w:val="0062118E"/>
    <w:rsid w:val="0062119C"/>
    <w:rsid w:val="00621477"/>
    <w:rsid w:val="00621866"/>
    <w:rsid w:val="00621ADA"/>
    <w:rsid w:val="0062241D"/>
    <w:rsid w:val="006236A1"/>
    <w:rsid w:val="00623C62"/>
    <w:rsid w:val="00623F7B"/>
    <w:rsid w:val="00624A06"/>
    <w:rsid w:val="00624BD4"/>
    <w:rsid w:val="006251B9"/>
    <w:rsid w:val="00625B0C"/>
    <w:rsid w:val="00625F44"/>
    <w:rsid w:val="00625FC4"/>
    <w:rsid w:val="006265C6"/>
    <w:rsid w:val="006275B0"/>
    <w:rsid w:val="00630328"/>
    <w:rsid w:val="006304D2"/>
    <w:rsid w:val="006307DA"/>
    <w:rsid w:val="00630A18"/>
    <w:rsid w:val="00630D3E"/>
    <w:rsid w:val="00630EA0"/>
    <w:rsid w:val="00631334"/>
    <w:rsid w:val="0063158F"/>
    <w:rsid w:val="00631D6B"/>
    <w:rsid w:val="00631E16"/>
    <w:rsid w:val="00631E9B"/>
    <w:rsid w:val="00632183"/>
    <w:rsid w:val="00632258"/>
    <w:rsid w:val="006330A1"/>
    <w:rsid w:val="0063382B"/>
    <w:rsid w:val="00633BDB"/>
    <w:rsid w:val="00633E79"/>
    <w:rsid w:val="0063479F"/>
    <w:rsid w:val="006349CD"/>
    <w:rsid w:val="00634B6E"/>
    <w:rsid w:val="00634D3A"/>
    <w:rsid w:val="00634F02"/>
    <w:rsid w:val="006350BD"/>
    <w:rsid w:val="006353F0"/>
    <w:rsid w:val="006354CC"/>
    <w:rsid w:val="006357B5"/>
    <w:rsid w:val="00635B08"/>
    <w:rsid w:val="006364A1"/>
    <w:rsid w:val="00636731"/>
    <w:rsid w:val="0063678E"/>
    <w:rsid w:val="00636D02"/>
    <w:rsid w:val="0063790A"/>
    <w:rsid w:val="00637BFD"/>
    <w:rsid w:val="00637C5C"/>
    <w:rsid w:val="00640122"/>
    <w:rsid w:val="00641C44"/>
    <w:rsid w:val="00641C4E"/>
    <w:rsid w:val="00641F8B"/>
    <w:rsid w:val="00641FB3"/>
    <w:rsid w:val="0064286D"/>
    <w:rsid w:val="00642F27"/>
    <w:rsid w:val="00644075"/>
    <w:rsid w:val="0064434C"/>
    <w:rsid w:val="00644363"/>
    <w:rsid w:val="00644E89"/>
    <w:rsid w:val="0064626F"/>
    <w:rsid w:val="006471CC"/>
    <w:rsid w:val="006472FE"/>
    <w:rsid w:val="00647A29"/>
    <w:rsid w:val="0065079F"/>
    <w:rsid w:val="00651598"/>
    <w:rsid w:val="006520CE"/>
    <w:rsid w:val="006523BC"/>
    <w:rsid w:val="00652A28"/>
    <w:rsid w:val="0065379F"/>
    <w:rsid w:val="00653F39"/>
    <w:rsid w:val="00653FCF"/>
    <w:rsid w:val="00653FFC"/>
    <w:rsid w:val="00655637"/>
    <w:rsid w:val="00655667"/>
    <w:rsid w:val="00655824"/>
    <w:rsid w:val="00656080"/>
    <w:rsid w:val="00656188"/>
    <w:rsid w:val="006565E6"/>
    <w:rsid w:val="006567C7"/>
    <w:rsid w:val="0065700F"/>
    <w:rsid w:val="0065715A"/>
    <w:rsid w:val="0065750E"/>
    <w:rsid w:val="00660A6C"/>
    <w:rsid w:val="00660C25"/>
    <w:rsid w:val="006610CD"/>
    <w:rsid w:val="006610F1"/>
    <w:rsid w:val="00661287"/>
    <w:rsid w:val="00661C6B"/>
    <w:rsid w:val="00662D3E"/>
    <w:rsid w:val="006633F7"/>
    <w:rsid w:val="0066416B"/>
    <w:rsid w:val="00664685"/>
    <w:rsid w:val="00664D3E"/>
    <w:rsid w:val="00664FB9"/>
    <w:rsid w:val="00665CF7"/>
    <w:rsid w:val="00667136"/>
    <w:rsid w:val="0066723F"/>
    <w:rsid w:val="0066750C"/>
    <w:rsid w:val="0066798A"/>
    <w:rsid w:val="00667BE3"/>
    <w:rsid w:val="006709D1"/>
    <w:rsid w:val="00670ADA"/>
    <w:rsid w:val="00670CAF"/>
    <w:rsid w:val="00671004"/>
    <w:rsid w:val="00672646"/>
    <w:rsid w:val="00672830"/>
    <w:rsid w:val="00672EDA"/>
    <w:rsid w:val="0067311F"/>
    <w:rsid w:val="006736B0"/>
    <w:rsid w:val="0067488B"/>
    <w:rsid w:val="00674DA0"/>
    <w:rsid w:val="00674E42"/>
    <w:rsid w:val="00675370"/>
    <w:rsid w:val="00676563"/>
    <w:rsid w:val="00677334"/>
    <w:rsid w:val="00680A57"/>
    <w:rsid w:val="006813F8"/>
    <w:rsid w:val="006816EF"/>
    <w:rsid w:val="00682112"/>
    <w:rsid w:val="0068260F"/>
    <w:rsid w:val="00682BA3"/>
    <w:rsid w:val="00682BA6"/>
    <w:rsid w:val="00682EDD"/>
    <w:rsid w:val="006834A3"/>
    <w:rsid w:val="00683B7B"/>
    <w:rsid w:val="00683B96"/>
    <w:rsid w:val="00683C72"/>
    <w:rsid w:val="00684453"/>
    <w:rsid w:val="006846BE"/>
    <w:rsid w:val="006848E5"/>
    <w:rsid w:val="006849CD"/>
    <w:rsid w:val="00685739"/>
    <w:rsid w:val="00686957"/>
    <w:rsid w:val="00686FB0"/>
    <w:rsid w:val="006871A8"/>
    <w:rsid w:val="006872BA"/>
    <w:rsid w:val="00690189"/>
    <w:rsid w:val="006902EF"/>
    <w:rsid w:val="00690795"/>
    <w:rsid w:val="00691648"/>
    <w:rsid w:val="006917D7"/>
    <w:rsid w:val="0069434C"/>
    <w:rsid w:val="00694F44"/>
    <w:rsid w:val="0069524F"/>
    <w:rsid w:val="006952A9"/>
    <w:rsid w:val="00695614"/>
    <w:rsid w:val="00695A06"/>
    <w:rsid w:val="00695DF5"/>
    <w:rsid w:val="006968A6"/>
    <w:rsid w:val="00696EF9"/>
    <w:rsid w:val="00696F51"/>
    <w:rsid w:val="0069763F"/>
    <w:rsid w:val="006979A5"/>
    <w:rsid w:val="006A016F"/>
    <w:rsid w:val="006A0286"/>
    <w:rsid w:val="006A0D68"/>
    <w:rsid w:val="006A0DF7"/>
    <w:rsid w:val="006A15E4"/>
    <w:rsid w:val="006A26EE"/>
    <w:rsid w:val="006A2795"/>
    <w:rsid w:val="006A2B76"/>
    <w:rsid w:val="006A3799"/>
    <w:rsid w:val="006A3AF8"/>
    <w:rsid w:val="006A4321"/>
    <w:rsid w:val="006A43D9"/>
    <w:rsid w:val="006A443B"/>
    <w:rsid w:val="006A5713"/>
    <w:rsid w:val="006A57C9"/>
    <w:rsid w:val="006A6156"/>
    <w:rsid w:val="006A65DE"/>
    <w:rsid w:val="006A677A"/>
    <w:rsid w:val="006A6B99"/>
    <w:rsid w:val="006A7B56"/>
    <w:rsid w:val="006A7E5F"/>
    <w:rsid w:val="006B0EA2"/>
    <w:rsid w:val="006B23CA"/>
    <w:rsid w:val="006B261B"/>
    <w:rsid w:val="006B2C90"/>
    <w:rsid w:val="006B3134"/>
    <w:rsid w:val="006B35E6"/>
    <w:rsid w:val="006B3A31"/>
    <w:rsid w:val="006B4590"/>
    <w:rsid w:val="006B465A"/>
    <w:rsid w:val="006B46BA"/>
    <w:rsid w:val="006B46DF"/>
    <w:rsid w:val="006B5A4C"/>
    <w:rsid w:val="006B60DC"/>
    <w:rsid w:val="006B6DD0"/>
    <w:rsid w:val="006B6EEA"/>
    <w:rsid w:val="006B7733"/>
    <w:rsid w:val="006B7C3D"/>
    <w:rsid w:val="006C01CA"/>
    <w:rsid w:val="006C0399"/>
    <w:rsid w:val="006C16F3"/>
    <w:rsid w:val="006C259F"/>
    <w:rsid w:val="006C2A8E"/>
    <w:rsid w:val="006C2AAF"/>
    <w:rsid w:val="006C3255"/>
    <w:rsid w:val="006C3694"/>
    <w:rsid w:val="006C392D"/>
    <w:rsid w:val="006C3F26"/>
    <w:rsid w:val="006C49C4"/>
    <w:rsid w:val="006C579D"/>
    <w:rsid w:val="006C5DD8"/>
    <w:rsid w:val="006C600A"/>
    <w:rsid w:val="006C6884"/>
    <w:rsid w:val="006C70C4"/>
    <w:rsid w:val="006C7266"/>
    <w:rsid w:val="006C7C0E"/>
    <w:rsid w:val="006D077D"/>
    <w:rsid w:val="006D078B"/>
    <w:rsid w:val="006D0D17"/>
    <w:rsid w:val="006D1740"/>
    <w:rsid w:val="006D3C7D"/>
    <w:rsid w:val="006D446F"/>
    <w:rsid w:val="006D4659"/>
    <w:rsid w:val="006D4A07"/>
    <w:rsid w:val="006D5A7C"/>
    <w:rsid w:val="006D5D5F"/>
    <w:rsid w:val="006D68FB"/>
    <w:rsid w:val="006D6A13"/>
    <w:rsid w:val="006E0327"/>
    <w:rsid w:val="006E0AFF"/>
    <w:rsid w:val="006E1291"/>
    <w:rsid w:val="006E1AE8"/>
    <w:rsid w:val="006E1F4C"/>
    <w:rsid w:val="006E2868"/>
    <w:rsid w:val="006E3FD9"/>
    <w:rsid w:val="006E5202"/>
    <w:rsid w:val="006E5466"/>
    <w:rsid w:val="006E646C"/>
    <w:rsid w:val="006E78A0"/>
    <w:rsid w:val="006F0A0E"/>
    <w:rsid w:val="006F24DB"/>
    <w:rsid w:val="006F26FF"/>
    <w:rsid w:val="006F27C1"/>
    <w:rsid w:val="006F306C"/>
    <w:rsid w:val="006F4D45"/>
    <w:rsid w:val="006F5103"/>
    <w:rsid w:val="006F63A5"/>
    <w:rsid w:val="006F6C39"/>
    <w:rsid w:val="006F714D"/>
    <w:rsid w:val="006F788A"/>
    <w:rsid w:val="006F79E4"/>
    <w:rsid w:val="007003B2"/>
    <w:rsid w:val="00700952"/>
    <w:rsid w:val="0070142B"/>
    <w:rsid w:val="007017BA"/>
    <w:rsid w:val="00701B07"/>
    <w:rsid w:val="0070276E"/>
    <w:rsid w:val="00702D08"/>
    <w:rsid w:val="00702F8F"/>
    <w:rsid w:val="00704389"/>
    <w:rsid w:val="0070463D"/>
    <w:rsid w:val="00704B33"/>
    <w:rsid w:val="00704E3B"/>
    <w:rsid w:val="00705D32"/>
    <w:rsid w:val="007062F7"/>
    <w:rsid w:val="00707120"/>
    <w:rsid w:val="00707937"/>
    <w:rsid w:val="007079FC"/>
    <w:rsid w:val="00710697"/>
    <w:rsid w:val="007107F8"/>
    <w:rsid w:val="00710CD3"/>
    <w:rsid w:val="007116CB"/>
    <w:rsid w:val="00711A36"/>
    <w:rsid w:val="00711B98"/>
    <w:rsid w:val="0071223D"/>
    <w:rsid w:val="007125D3"/>
    <w:rsid w:val="0071261E"/>
    <w:rsid w:val="00714488"/>
    <w:rsid w:val="00714969"/>
    <w:rsid w:val="00714C26"/>
    <w:rsid w:val="00714C87"/>
    <w:rsid w:val="0071529C"/>
    <w:rsid w:val="007170DA"/>
    <w:rsid w:val="007172AD"/>
    <w:rsid w:val="00717492"/>
    <w:rsid w:val="00717546"/>
    <w:rsid w:val="007202D5"/>
    <w:rsid w:val="0072070D"/>
    <w:rsid w:val="00720801"/>
    <w:rsid w:val="007215AE"/>
    <w:rsid w:val="00721C41"/>
    <w:rsid w:val="00721EA3"/>
    <w:rsid w:val="00722B1B"/>
    <w:rsid w:val="00722EEA"/>
    <w:rsid w:val="00723DBE"/>
    <w:rsid w:val="00724067"/>
    <w:rsid w:val="0072416F"/>
    <w:rsid w:val="007244B3"/>
    <w:rsid w:val="007247D7"/>
    <w:rsid w:val="0072536A"/>
    <w:rsid w:val="007254B9"/>
    <w:rsid w:val="00727A46"/>
    <w:rsid w:val="00727A8C"/>
    <w:rsid w:val="00727C94"/>
    <w:rsid w:val="00730089"/>
    <w:rsid w:val="00730D3D"/>
    <w:rsid w:val="007311B6"/>
    <w:rsid w:val="0073129E"/>
    <w:rsid w:val="007316D0"/>
    <w:rsid w:val="00731B0A"/>
    <w:rsid w:val="00731CD7"/>
    <w:rsid w:val="00731EAE"/>
    <w:rsid w:val="00731F7A"/>
    <w:rsid w:val="00733073"/>
    <w:rsid w:val="00734A8F"/>
    <w:rsid w:val="00734AA4"/>
    <w:rsid w:val="00734CAD"/>
    <w:rsid w:val="00735033"/>
    <w:rsid w:val="00735328"/>
    <w:rsid w:val="00735D60"/>
    <w:rsid w:val="0073630E"/>
    <w:rsid w:val="0073685B"/>
    <w:rsid w:val="00737E05"/>
    <w:rsid w:val="00740F57"/>
    <w:rsid w:val="00741D44"/>
    <w:rsid w:val="0074208D"/>
    <w:rsid w:val="00742695"/>
    <w:rsid w:val="0074307B"/>
    <w:rsid w:val="00743557"/>
    <w:rsid w:val="007449BF"/>
    <w:rsid w:val="00744CD1"/>
    <w:rsid w:val="00745C03"/>
    <w:rsid w:val="007463FE"/>
    <w:rsid w:val="00746A5F"/>
    <w:rsid w:val="00746BC0"/>
    <w:rsid w:val="0074752E"/>
    <w:rsid w:val="00747ED5"/>
    <w:rsid w:val="0075085E"/>
    <w:rsid w:val="007510B4"/>
    <w:rsid w:val="007517FA"/>
    <w:rsid w:val="0075213D"/>
    <w:rsid w:val="00752142"/>
    <w:rsid w:val="007523F9"/>
    <w:rsid w:val="00752DED"/>
    <w:rsid w:val="0075357E"/>
    <w:rsid w:val="00753B29"/>
    <w:rsid w:val="007551EB"/>
    <w:rsid w:val="007554E4"/>
    <w:rsid w:val="0075590A"/>
    <w:rsid w:val="007573E8"/>
    <w:rsid w:val="00757B4E"/>
    <w:rsid w:val="00757DDC"/>
    <w:rsid w:val="00760A79"/>
    <w:rsid w:val="00760C4E"/>
    <w:rsid w:val="00760F9E"/>
    <w:rsid w:val="007615C1"/>
    <w:rsid w:val="007616E6"/>
    <w:rsid w:val="00761CA3"/>
    <w:rsid w:val="007627BE"/>
    <w:rsid w:val="00763B96"/>
    <w:rsid w:val="00764F03"/>
    <w:rsid w:val="0076534B"/>
    <w:rsid w:val="00765B1A"/>
    <w:rsid w:val="00765DC1"/>
    <w:rsid w:val="0076685A"/>
    <w:rsid w:val="0076775B"/>
    <w:rsid w:val="00767BD3"/>
    <w:rsid w:val="007718CF"/>
    <w:rsid w:val="007718D4"/>
    <w:rsid w:val="00772F8D"/>
    <w:rsid w:val="00773C73"/>
    <w:rsid w:val="00774055"/>
    <w:rsid w:val="00774317"/>
    <w:rsid w:val="00774DCA"/>
    <w:rsid w:val="0077717E"/>
    <w:rsid w:val="007771E1"/>
    <w:rsid w:val="0077728D"/>
    <w:rsid w:val="00777335"/>
    <w:rsid w:val="00777352"/>
    <w:rsid w:val="00780706"/>
    <w:rsid w:val="00780C79"/>
    <w:rsid w:val="007823C4"/>
    <w:rsid w:val="007825A5"/>
    <w:rsid w:val="00782662"/>
    <w:rsid w:val="00782FFB"/>
    <w:rsid w:val="00783643"/>
    <w:rsid w:val="0078404E"/>
    <w:rsid w:val="007843F2"/>
    <w:rsid w:val="007846FA"/>
    <w:rsid w:val="0078538A"/>
    <w:rsid w:val="00785A9F"/>
    <w:rsid w:val="0079029A"/>
    <w:rsid w:val="00790836"/>
    <w:rsid w:val="007925DF"/>
    <w:rsid w:val="007934DE"/>
    <w:rsid w:val="00793707"/>
    <w:rsid w:val="00794463"/>
    <w:rsid w:val="007944D0"/>
    <w:rsid w:val="00794993"/>
    <w:rsid w:val="0079551E"/>
    <w:rsid w:val="0079607F"/>
    <w:rsid w:val="00796997"/>
    <w:rsid w:val="00797B91"/>
    <w:rsid w:val="007A03A1"/>
    <w:rsid w:val="007A05C4"/>
    <w:rsid w:val="007A08AA"/>
    <w:rsid w:val="007A0A12"/>
    <w:rsid w:val="007A0B1B"/>
    <w:rsid w:val="007A12CE"/>
    <w:rsid w:val="007A132D"/>
    <w:rsid w:val="007A1345"/>
    <w:rsid w:val="007A20E6"/>
    <w:rsid w:val="007A23BD"/>
    <w:rsid w:val="007A240C"/>
    <w:rsid w:val="007A2DDB"/>
    <w:rsid w:val="007A36E2"/>
    <w:rsid w:val="007A70BA"/>
    <w:rsid w:val="007B007A"/>
    <w:rsid w:val="007B02B3"/>
    <w:rsid w:val="007B0D68"/>
    <w:rsid w:val="007B1C4D"/>
    <w:rsid w:val="007B1E21"/>
    <w:rsid w:val="007B1F89"/>
    <w:rsid w:val="007B251D"/>
    <w:rsid w:val="007B3230"/>
    <w:rsid w:val="007B3296"/>
    <w:rsid w:val="007B3533"/>
    <w:rsid w:val="007B4C59"/>
    <w:rsid w:val="007B4CB0"/>
    <w:rsid w:val="007B4F58"/>
    <w:rsid w:val="007B528D"/>
    <w:rsid w:val="007B57C9"/>
    <w:rsid w:val="007B63CA"/>
    <w:rsid w:val="007B6C46"/>
    <w:rsid w:val="007B76CE"/>
    <w:rsid w:val="007B77D1"/>
    <w:rsid w:val="007B7A4D"/>
    <w:rsid w:val="007C07C7"/>
    <w:rsid w:val="007C1CD9"/>
    <w:rsid w:val="007C231B"/>
    <w:rsid w:val="007C2B0D"/>
    <w:rsid w:val="007C3181"/>
    <w:rsid w:val="007C32EF"/>
    <w:rsid w:val="007C361D"/>
    <w:rsid w:val="007C3DF2"/>
    <w:rsid w:val="007C4840"/>
    <w:rsid w:val="007C4860"/>
    <w:rsid w:val="007C4B84"/>
    <w:rsid w:val="007C4BD8"/>
    <w:rsid w:val="007C52E9"/>
    <w:rsid w:val="007C6269"/>
    <w:rsid w:val="007C70FF"/>
    <w:rsid w:val="007C7C25"/>
    <w:rsid w:val="007D004F"/>
    <w:rsid w:val="007D035F"/>
    <w:rsid w:val="007D06B2"/>
    <w:rsid w:val="007D06DB"/>
    <w:rsid w:val="007D0B38"/>
    <w:rsid w:val="007D0B6C"/>
    <w:rsid w:val="007D3199"/>
    <w:rsid w:val="007D3238"/>
    <w:rsid w:val="007D32BC"/>
    <w:rsid w:val="007D35B6"/>
    <w:rsid w:val="007D3965"/>
    <w:rsid w:val="007D46B8"/>
    <w:rsid w:val="007D4731"/>
    <w:rsid w:val="007D4899"/>
    <w:rsid w:val="007D5440"/>
    <w:rsid w:val="007D559A"/>
    <w:rsid w:val="007D69EB"/>
    <w:rsid w:val="007D71A9"/>
    <w:rsid w:val="007D7404"/>
    <w:rsid w:val="007E128F"/>
    <w:rsid w:val="007E1A11"/>
    <w:rsid w:val="007E2283"/>
    <w:rsid w:val="007E2322"/>
    <w:rsid w:val="007E37F1"/>
    <w:rsid w:val="007E3BF3"/>
    <w:rsid w:val="007E4D2A"/>
    <w:rsid w:val="007E5066"/>
    <w:rsid w:val="007E5B2D"/>
    <w:rsid w:val="007E6740"/>
    <w:rsid w:val="007E7198"/>
    <w:rsid w:val="007F1017"/>
    <w:rsid w:val="007F174D"/>
    <w:rsid w:val="007F28DC"/>
    <w:rsid w:val="007F4A3F"/>
    <w:rsid w:val="007F4A61"/>
    <w:rsid w:val="007F4EC4"/>
    <w:rsid w:val="007F5255"/>
    <w:rsid w:val="007F56CC"/>
    <w:rsid w:val="007F61C2"/>
    <w:rsid w:val="007F6D22"/>
    <w:rsid w:val="007F6E53"/>
    <w:rsid w:val="007F6ECB"/>
    <w:rsid w:val="007F7B35"/>
    <w:rsid w:val="008004AE"/>
    <w:rsid w:val="00801A78"/>
    <w:rsid w:val="00801FDC"/>
    <w:rsid w:val="00802368"/>
    <w:rsid w:val="00803779"/>
    <w:rsid w:val="00804A75"/>
    <w:rsid w:val="0080510C"/>
    <w:rsid w:val="00805142"/>
    <w:rsid w:val="00805FCE"/>
    <w:rsid w:val="00806114"/>
    <w:rsid w:val="008063F3"/>
    <w:rsid w:val="00806978"/>
    <w:rsid w:val="00807A8B"/>
    <w:rsid w:val="00807C37"/>
    <w:rsid w:val="0081030B"/>
    <w:rsid w:val="00810A38"/>
    <w:rsid w:val="00810B24"/>
    <w:rsid w:val="00811209"/>
    <w:rsid w:val="00811383"/>
    <w:rsid w:val="00812149"/>
    <w:rsid w:val="008124A5"/>
    <w:rsid w:val="0081254C"/>
    <w:rsid w:val="00812CAC"/>
    <w:rsid w:val="00813489"/>
    <w:rsid w:val="0081424A"/>
    <w:rsid w:val="0081462B"/>
    <w:rsid w:val="00815687"/>
    <w:rsid w:val="00816361"/>
    <w:rsid w:val="008166EF"/>
    <w:rsid w:val="00816727"/>
    <w:rsid w:val="00816B64"/>
    <w:rsid w:val="00816FEF"/>
    <w:rsid w:val="00817133"/>
    <w:rsid w:val="00817722"/>
    <w:rsid w:val="00817BBE"/>
    <w:rsid w:val="00820351"/>
    <w:rsid w:val="00820A8C"/>
    <w:rsid w:val="00820CF3"/>
    <w:rsid w:val="008215FB"/>
    <w:rsid w:val="008220CC"/>
    <w:rsid w:val="00822498"/>
    <w:rsid w:val="008227CE"/>
    <w:rsid w:val="00823174"/>
    <w:rsid w:val="008240CC"/>
    <w:rsid w:val="00825751"/>
    <w:rsid w:val="008263C8"/>
    <w:rsid w:val="008264EB"/>
    <w:rsid w:val="008267E2"/>
    <w:rsid w:val="008268CE"/>
    <w:rsid w:val="00826EC1"/>
    <w:rsid w:val="00827509"/>
    <w:rsid w:val="00827C23"/>
    <w:rsid w:val="00827F66"/>
    <w:rsid w:val="00830BCD"/>
    <w:rsid w:val="00831356"/>
    <w:rsid w:val="00833662"/>
    <w:rsid w:val="00833B05"/>
    <w:rsid w:val="008350E6"/>
    <w:rsid w:val="00835B45"/>
    <w:rsid w:val="00835F45"/>
    <w:rsid w:val="008362B4"/>
    <w:rsid w:val="00837E63"/>
    <w:rsid w:val="008401B7"/>
    <w:rsid w:val="00840CA2"/>
    <w:rsid w:val="00840E9A"/>
    <w:rsid w:val="00842338"/>
    <w:rsid w:val="0084325F"/>
    <w:rsid w:val="0084374F"/>
    <w:rsid w:val="00844A22"/>
    <w:rsid w:val="00844B76"/>
    <w:rsid w:val="008460B3"/>
    <w:rsid w:val="00846666"/>
    <w:rsid w:val="008471D6"/>
    <w:rsid w:val="00847703"/>
    <w:rsid w:val="00847DF5"/>
    <w:rsid w:val="00847F28"/>
    <w:rsid w:val="00850149"/>
    <w:rsid w:val="00850C59"/>
    <w:rsid w:val="008524EC"/>
    <w:rsid w:val="008524ED"/>
    <w:rsid w:val="00852C50"/>
    <w:rsid w:val="00852D7B"/>
    <w:rsid w:val="0085303C"/>
    <w:rsid w:val="0085309D"/>
    <w:rsid w:val="00853B28"/>
    <w:rsid w:val="00854895"/>
    <w:rsid w:val="008555CE"/>
    <w:rsid w:val="00855EAA"/>
    <w:rsid w:val="00856897"/>
    <w:rsid w:val="00856CBD"/>
    <w:rsid w:val="00856E9A"/>
    <w:rsid w:val="00860265"/>
    <w:rsid w:val="0086075D"/>
    <w:rsid w:val="00862273"/>
    <w:rsid w:val="00862502"/>
    <w:rsid w:val="00862CC1"/>
    <w:rsid w:val="008631AE"/>
    <w:rsid w:val="008642A7"/>
    <w:rsid w:val="00864BF8"/>
    <w:rsid w:val="00864C1B"/>
    <w:rsid w:val="0086511F"/>
    <w:rsid w:val="00865286"/>
    <w:rsid w:val="00865EA7"/>
    <w:rsid w:val="00865F8C"/>
    <w:rsid w:val="008660D4"/>
    <w:rsid w:val="008664BB"/>
    <w:rsid w:val="0086693C"/>
    <w:rsid w:val="008678AE"/>
    <w:rsid w:val="00867CE5"/>
    <w:rsid w:val="008705ED"/>
    <w:rsid w:val="008709C6"/>
    <w:rsid w:val="00870A10"/>
    <w:rsid w:val="00870C20"/>
    <w:rsid w:val="008719B7"/>
    <w:rsid w:val="00871AEC"/>
    <w:rsid w:val="00871AF2"/>
    <w:rsid w:val="00871FA9"/>
    <w:rsid w:val="0087204A"/>
    <w:rsid w:val="008722FD"/>
    <w:rsid w:val="008724D0"/>
    <w:rsid w:val="008728E9"/>
    <w:rsid w:val="00872CFF"/>
    <w:rsid w:val="00872FF5"/>
    <w:rsid w:val="0087395B"/>
    <w:rsid w:val="00873F7A"/>
    <w:rsid w:val="0087432A"/>
    <w:rsid w:val="008747DB"/>
    <w:rsid w:val="00875132"/>
    <w:rsid w:val="00875588"/>
    <w:rsid w:val="00875D0C"/>
    <w:rsid w:val="00876D48"/>
    <w:rsid w:val="00877321"/>
    <w:rsid w:val="00877BE6"/>
    <w:rsid w:val="008812CA"/>
    <w:rsid w:val="0088161C"/>
    <w:rsid w:val="00881FFC"/>
    <w:rsid w:val="008821DA"/>
    <w:rsid w:val="00882874"/>
    <w:rsid w:val="0088290D"/>
    <w:rsid w:val="00882E3C"/>
    <w:rsid w:val="00882EE9"/>
    <w:rsid w:val="0088308A"/>
    <w:rsid w:val="00883787"/>
    <w:rsid w:val="008850F1"/>
    <w:rsid w:val="00885108"/>
    <w:rsid w:val="008855E4"/>
    <w:rsid w:val="008863D9"/>
    <w:rsid w:val="00886CD2"/>
    <w:rsid w:val="00886E7E"/>
    <w:rsid w:val="00887733"/>
    <w:rsid w:val="008905EC"/>
    <w:rsid w:val="00891B2A"/>
    <w:rsid w:val="00891E6F"/>
    <w:rsid w:val="00892285"/>
    <w:rsid w:val="0089275D"/>
    <w:rsid w:val="00892A36"/>
    <w:rsid w:val="00893239"/>
    <w:rsid w:val="0089328A"/>
    <w:rsid w:val="008940BD"/>
    <w:rsid w:val="00894489"/>
    <w:rsid w:val="00894CD6"/>
    <w:rsid w:val="00894E87"/>
    <w:rsid w:val="00895FD6"/>
    <w:rsid w:val="008963A5"/>
    <w:rsid w:val="00896647"/>
    <w:rsid w:val="00896955"/>
    <w:rsid w:val="00896D5D"/>
    <w:rsid w:val="00897CF6"/>
    <w:rsid w:val="008A0816"/>
    <w:rsid w:val="008A1A6A"/>
    <w:rsid w:val="008A1EA5"/>
    <w:rsid w:val="008A201C"/>
    <w:rsid w:val="008A3158"/>
    <w:rsid w:val="008A3363"/>
    <w:rsid w:val="008A3371"/>
    <w:rsid w:val="008A3B39"/>
    <w:rsid w:val="008A3C3E"/>
    <w:rsid w:val="008A41EB"/>
    <w:rsid w:val="008A5526"/>
    <w:rsid w:val="008A614B"/>
    <w:rsid w:val="008A6772"/>
    <w:rsid w:val="008A76FF"/>
    <w:rsid w:val="008A7743"/>
    <w:rsid w:val="008A79DE"/>
    <w:rsid w:val="008A7CD9"/>
    <w:rsid w:val="008B02E1"/>
    <w:rsid w:val="008B0681"/>
    <w:rsid w:val="008B0FF2"/>
    <w:rsid w:val="008B12EA"/>
    <w:rsid w:val="008B1757"/>
    <w:rsid w:val="008B1C33"/>
    <w:rsid w:val="008B1F82"/>
    <w:rsid w:val="008B1FE2"/>
    <w:rsid w:val="008B40CB"/>
    <w:rsid w:val="008B4632"/>
    <w:rsid w:val="008B4710"/>
    <w:rsid w:val="008B4B6F"/>
    <w:rsid w:val="008B5590"/>
    <w:rsid w:val="008B64BA"/>
    <w:rsid w:val="008B6C1B"/>
    <w:rsid w:val="008B7992"/>
    <w:rsid w:val="008B7D7E"/>
    <w:rsid w:val="008C01F1"/>
    <w:rsid w:val="008C0469"/>
    <w:rsid w:val="008C0C57"/>
    <w:rsid w:val="008C1FA8"/>
    <w:rsid w:val="008C36B1"/>
    <w:rsid w:val="008C4AB8"/>
    <w:rsid w:val="008C4C78"/>
    <w:rsid w:val="008C5610"/>
    <w:rsid w:val="008C5739"/>
    <w:rsid w:val="008C5B38"/>
    <w:rsid w:val="008C7253"/>
    <w:rsid w:val="008C7282"/>
    <w:rsid w:val="008C7361"/>
    <w:rsid w:val="008C777F"/>
    <w:rsid w:val="008C7E20"/>
    <w:rsid w:val="008C7ECB"/>
    <w:rsid w:val="008C7FF2"/>
    <w:rsid w:val="008D0173"/>
    <w:rsid w:val="008D0959"/>
    <w:rsid w:val="008D1CCA"/>
    <w:rsid w:val="008D24D9"/>
    <w:rsid w:val="008D2EE4"/>
    <w:rsid w:val="008D3B86"/>
    <w:rsid w:val="008D407C"/>
    <w:rsid w:val="008D43FD"/>
    <w:rsid w:val="008D4677"/>
    <w:rsid w:val="008D4755"/>
    <w:rsid w:val="008D4C3D"/>
    <w:rsid w:val="008D5A6D"/>
    <w:rsid w:val="008D6189"/>
    <w:rsid w:val="008D69E3"/>
    <w:rsid w:val="008D7343"/>
    <w:rsid w:val="008D743C"/>
    <w:rsid w:val="008E01C7"/>
    <w:rsid w:val="008E0B6A"/>
    <w:rsid w:val="008E0D3C"/>
    <w:rsid w:val="008E0DCE"/>
    <w:rsid w:val="008E1B9E"/>
    <w:rsid w:val="008E2C6F"/>
    <w:rsid w:val="008E4386"/>
    <w:rsid w:val="008E46B8"/>
    <w:rsid w:val="008E4845"/>
    <w:rsid w:val="008E54D9"/>
    <w:rsid w:val="008E55AB"/>
    <w:rsid w:val="008E6026"/>
    <w:rsid w:val="008E60B0"/>
    <w:rsid w:val="008E65AD"/>
    <w:rsid w:val="008E6659"/>
    <w:rsid w:val="008E7206"/>
    <w:rsid w:val="008F1208"/>
    <w:rsid w:val="008F120A"/>
    <w:rsid w:val="008F122C"/>
    <w:rsid w:val="008F16DF"/>
    <w:rsid w:val="008F1876"/>
    <w:rsid w:val="008F1AE8"/>
    <w:rsid w:val="008F1B77"/>
    <w:rsid w:val="008F1D35"/>
    <w:rsid w:val="008F22F6"/>
    <w:rsid w:val="008F27E0"/>
    <w:rsid w:val="008F2BDF"/>
    <w:rsid w:val="008F2C58"/>
    <w:rsid w:val="008F3573"/>
    <w:rsid w:val="008F48EB"/>
    <w:rsid w:val="008F4BD2"/>
    <w:rsid w:val="008F4F0B"/>
    <w:rsid w:val="008F4F15"/>
    <w:rsid w:val="008F546A"/>
    <w:rsid w:val="008F5D4B"/>
    <w:rsid w:val="008F63AB"/>
    <w:rsid w:val="00900066"/>
    <w:rsid w:val="00901720"/>
    <w:rsid w:val="00901838"/>
    <w:rsid w:val="00901D6A"/>
    <w:rsid w:val="0090244C"/>
    <w:rsid w:val="00903278"/>
    <w:rsid w:val="009032DD"/>
    <w:rsid w:val="00903EE3"/>
    <w:rsid w:val="009046C4"/>
    <w:rsid w:val="009059BA"/>
    <w:rsid w:val="00905ED1"/>
    <w:rsid w:val="009062A5"/>
    <w:rsid w:val="00906C28"/>
    <w:rsid w:val="00907699"/>
    <w:rsid w:val="00910966"/>
    <w:rsid w:val="00910CFD"/>
    <w:rsid w:val="00910FA7"/>
    <w:rsid w:val="00911161"/>
    <w:rsid w:val="009111D8"/>
    <w:rsid w:val="00911272"/>
    <w:rsid w:val="00911339"/>
    <w:rsid w:val="00911D05"/>
    <w:rsid w:val="009124B5"/>
    <w:rsid w:val="009135D6"/>
    <w:rsid w:val="0091413A"/>
    <w:rsid w:val="00914C77"/>
    <w:rsid w:val="00915E41"/>
    <w:rsid w:val="00916E61"/>
    <w:rsid w:val="0091788F"/>
    <w:rsid w:val="00917990"/>
    <w:rsid w:val="00920417"/>
    <w:rsid w:val="009204BD"/>
    <w:rsid w:val="00920B29"/>
    <w:rsid w:val="00921291"/>
    <w:rsid w:val="00921ACB"/>
    <w:rsid w:val="00921F84"/>
    <w:rsid w:val="00922752"/>
    <w:rsid w:val="00922C5D"/>
    <w:rsid w:val="0092326E"/>
    <w:rsid w:val="0092369B"/>
    <w:rsid w:val="00923AD1"/>
    <w:rsid w:val="0092715F"/>
    <w:rsid w:val="00927D0C"/>
    <w:rsid w:val="00930A45"/>
    <w:rsid w:val="00930D12"/>
    <w:rsid w:val="0093101A"/>
    <w:rsid w:val="009314C4"/>
    <w:rsid w:val="0093284E"/>
    <w:rsid w:val="00932F3D"/>
    <w:rsid w:val="009342AC"/>
    <w:rsid w:val="00934851"/>
    <w:rsid w:val="00934988"/>
    <w:rsid w:val="00935479"/>
    <w:rsid w:val="00937089"/>
    <w:rsid w:val="00940D25"/>
    <w:rsid w:val="00941216"/>
    <w:rsid w:val="009423B8"/>
    <w:rsid w:val="0094262A"/>
    <w:rsid w:val="00944F8A"/>
    <w:rsid w:val="00946351"/>
    <w:rsid w:val="00946DB3"/>
    <w:rsid w:val="009477D1"/>
    <w:rsid w:val="00950ABD"/>
    <w:rsid w:val="009510A2"/>
    <w:rsid w:val="00951B9C"/>
    <w:rsid w:val="00953257"/>
    <w:rsid w:val="009539B8"/>
    <w:rsid w:val="009539E6"/>
    <w:rsid w:val="00953D29"/>
    <w:rsid w:val="00953DF1"/>
    <w:rsid w:val="0095474C"/>
    <w:rsid w:val="009549FE"/>
    <w:rsid w:val="0095651D"/>
    <w:rsid w:val="00956A66"/>
    <w:rsid w:val="00957B7C"/>
    <w:rsid w:val="00957D92"/>
    <w:rsid w:val="00960737"/>
    <w:rsid w:val="00960CDF"/>
    <w:rsid w:val="00962CB9"/>
    <w:rsid w:val="009630E4"/>
    <w:rsid w:val="00964312"/>
    <w:rsid w:val="00964354"/>
    <w:rsid w:val="0096481C"/>
    <w:rsid w:val="00965B43"/>
    <w:rsid w:val="00965B8A"/>
    <w:rsid w:val="00966095"/>
    <w:rsid w:val="00966C50"/>
    <w:rsid w:val="00966D8F"/>
    <w:rsid w:val="00967983"/>
    <w:rsid w:val="00967D52"/>
    <w:rsid w:val="0097065F"/>
    <w:rsid w:val="0097071F"/>
    <w:rsid w:val="009714F4"/>
    <w:rsid w:val="009717AC"/>
    <w:rsid w:val="00972473"/>
    <w:rsid w:val="0097297B"/>
    <w:rsid w:val="00972ABE"/>
    <w:rsid w:val="009738BF"/>
    <w:rsid w:val="00973AA9"/>
    <w:rsid w:val="00973DFF"/>
    <w:rsid w:val="0097506C"/>
    <w:rsid w:val="009751C1"/>
    <w:rsid w:val="00975724"/>
    <w:rsid w:val="00975774"/>
    <w:rsid w:val="00976686"/>
    <w:rsid w:val="0097738A"/>
    <w:rsid w:val="00977654"/>
    <w:rsid w:val="009811F1"/>
    <w:rsid w:val="00981E06"/>
    <w:rsid w:val="00982172"/>
    <w:rsid w:val="009824AA"/>
    <w:rsid w:val="00983394"/>
    <w:rsid w:val="009834DA"/>
    <w:rsid w:val="0098368D"/>
    <w:rsid w:val="00983C59"/>
    <w:rsid w:val="00983E57"/>
    <w:rsid w:val="009848BE"/>
    <w:rsid w:val="009848FD"/>
    <w:rsid w:val="00984E59"/>
    <w:rsid w:val="0098505D"/>
    <w:rsid w:val="0098561D"/>
    <w:rsid w:val="00985DE2"/>
    <w:rsid w:val="0098675D"/>
    <w:rsid w:val="00987BA4"/>
    <w:rsid w:val="00990442"/>
    <w:rsid w:val="00991490"/>
    <w:rsid w:val="00992357"/>
    <w:rsid w:val="009926E0"/>
    <w:rsid w:val="00992D4B"/>
    <w:rsid w:val="00993041"/>
    <w:rsid w:val="0099311F"/>
    <w:rsid w:val="0099451E"/>
    <w:rsid w:val="00994833"/>
    <w:rsid w:val="009965D1"/>
    <w:rsid w:val="009969C9"/>
    <w:rsid w:val="00996B1A"/>
    <w:rsid w:val="009971E2"/>
    <w:rsid w:val="009A18F6"/>
    <w:rsid w:val="009A1A4D"/>
    <w:rsid w:val="009A2325"/>
    <w:rsid w:val="009A2399"/>
    <w:rsid w:val="009A2848"/>
    <w:rsid w:val="009A2DCC"/>
    <w:rsid w:val="009A31F9"/>
    <w:rsid w:val="009A388C"/>
    <w:rsid w:val="009A3E0A"/>
    <w:rsid w:val="009A421F"/>
    <w:rsid w:val="009A4C73"/>
    <w:rsid w:val="009A4D30"/>
    <w:rsid w:val="009A5468"/>
    <w:rsid w:val="009A5ABC"/>
    <w:rsid w:val="009A614C"/>
    <w:rsid w:val="009A7BDD"/>
    <w:rsid w:val="009A7F10"/>
    <w:rsid w:val="009B18AD"/>
    <w:rsid w:val="009B1E3B"/>
    <w:rsid w:val="009B2C60"/>
    <w:rsid w:val="009B3E26"/>
    <w:rsid w:val="009B4395"/>
    <w:rsid w:val="009B7578"/>
    <w:rsid w:val="009C10EF"/>
    <w:rsid w:val="009C1271"/>
    <w:rsid w:val="009C2124"/>
    <w:rsid w:val="009C2B05"/>
    <w:rsid w:val="009C32C7"/>
    <w:rsid w:val="009C3706"/>
    <w:rsid w:val="009C3A3A"/>
    <w:rsid w:val="009C4D7A"/>
    <w:rsid w:val="009C56C1"/>
    <w:rsid w:val="009C6A29"/>
    <w:rsid w:val="009C6CEA"/>
    <w:rsid w:val="009C7B85"/>
    <w:rsid w:val="009D0254"/>
    <w:rsid w:val="009D09E0"/>
    <w:rsid w:val="009D0B65"/>
    <w:rsid w:val="009D0F79"/>
    <w:rsid w:val="009D1319"/>
    <w:rsid w:val="009D1A64"/>
    <w:rsid w:val="009D25A6"/>
    <w:rsid w:val="009D3C2B"/>
    <w:rsid w:val="009D4991"/>
    <w:rsid w:val="009D4B43"/>
    <w:rsid w:val="009D52FE"/>
    <w:rsid w:val="009D5B91"/>
    <w:rsid w:val="009D5F0B"/>
    <w:rsid w:val="009D792E"/>
    <w:rsid w:val="009D7983"/>
    <w:rsid w:val="009E0DFE"/>
    <w:rsid w:val="009E153C"/>
    <w:rsid w:val="009E1540"/>
    <w:rsid w:val="009E233C"/>
    <w:rsid w:val="009E30D8"/>
    <w:rsid w:val="009E31F6"/>
    <w:rsid w:val="009E42A6"/>
    <w:rsid w:val="009E494A"/>
    <w:rsid w:val="009E4C07"/>
    <w:rsid w:val="009E59A5"/>
    <w:rsid w:val="009E777F"/>
    <w:rsid w:val="009E78D9"/>
    <w:rsid w:val="009F013E"/>
    <w:rsid w:val="009F0402"/>
    <w:rsid w:val="009F0952"/>
    <w:rsid w:val="009F0AA0"/>
    <w:rsid w:val="009F19D3"/>
    <w:rsid w:val="009F395D"/>
    <w:rsid w:val="009F4D9D"/>
    <w:rsid w:val="009F5843"/>
    <w:rsid w:val="009F5C8C"/>
    <w:rsid w:val="009F6120"/>
    <w:rsid w:val="009F6263"/>
    <w:rsid w:val="009F7F4D"/>
    <w:rsid w:val="00A00D76"/>
    <w:rsid w:val="00A01184"/>
    <w:rsid w:val="00A01449"/>
    <w:rsid w:val="00A037C2"/>
    <w:rsid w:val="00A03D43"/>
    <w:rsid w:val="00A03F8A"/>
    <w:rsid w:val="00A04380"/>
    <w:rsid w:val="00A04786"/>
    <w:rsid w:val="00A0503F"/>
    <w:rsid w:val="00A05472"/>
    <w:rsid w:val="00A058BF"/>
    <w:rsid w:val="00A05C32"/>
    <w:rsid w:val="00A06240"/>
    <w:rsid w:val="00A06335"/>
    <w:rsid w:val="00A0653F"/>
    <w:rsid w:val="00A07284"/>
    <w:rsid w:val="00A10222"/>
    <w:rsid w:val="00A1060E"/>
    <w:rsid w:val="00A11983"/>
    <w:rsid w:val="00A11CD0"/>
    <w:rsid w:val="00A126A0"/>
    <w:rsid w:val="00A12D51"/>
    <w:rsid w:val="00A12F50"/>
    <w:rsid w:val="00A13948"/>
    <w:rsid w:val="00A141E3"/>
    <w:rsid w:val="00A1555B"/>
    <w:rsid w:val="00A155C5"/>
    <w:rsid w:val="00A16AD8"/>
    <w:rsid w:val="00A171BB"/>
    <w:rsid w:val="00A174B6"/>
    <w:rsid w:val="00A2021E"/>
    <w:rsid w:val="00A20913"/>
    <w:rsid w:val="00A20AED"/>
    <w:rsid w:val="00A212A2"/>
    <w:rsid w:val="00A21490"/>
    <w:rsid w:val="00A21C95"/>
    <w:rsid w:val="00A21CF3"/>
    <w:rsid w:val="00A21E85"/>
    <w:rsid w:val="00A22080"/>
    <w:rsid w:val="00A223D5"/>
    <w:rsid w:val="00A2287D"/>
    <w:rsid w:val="00A2289F"/>
    <w:rsid w:val="00A22F8A"/>
    <w:rsid w:val="00A2301C"/>
    <w:rsid w:val="00A23A33"/>
    <w:rsid w:val="00A24119"/>
    <w:rsid w:val="00A24813"/>
    <w:rsid w:val="00A25805"/>
    <w:rsid w:val="00A25AA7"/>
    <w:rsid w:val="00A25D3C"/>
    <w:rsid w:val="00A25E4E"/>
    <w:rsid w:val="00A26C33"/>
    <w:rsid w:val="00A26D15"/>
    <w:rsid w:val="00A275FF"/>
    <w:rsid w:val="00A27AEC"/>
    <w:rsid w:val="00A3051A"/>
    <w:rsid w:val="00A320DB"/>
    <w:rsid w:val="00A325AB"/>
    <w:rsid w:val="00A341DF"/>
    <w:rsid w:val="00A35D16"/>
    <w:rsid w:val="00A375BC"/>
    <w:rsid w:val="00A37BCD"/>
    <w:rsid w:val="00A4043F"/>
    <w:rsid w:val="00A40E7D"/>
    <w:rsid w:val="00A4121E"/>
    <w:rsid w:val="00A412A8"/>
    <w:rsid w:val="00A41689"/>
    <w:rsid w:val="00A41DEF"/>
    <w:rsid w:val="00A42592"/>
    <w:rsid w:val="00A42D71"/>
    <w:rsid w:val="00A42F76"/>
    <w:rsid w:val="00A43920"/>
    <w:rsid w:val="00A43C59"/>
    <w:rsid w:val="00A445E9"/>
    <w:rsid w:val="00A44A1D"/>
    <w:rsid w:val="00A44A60"/>
    <w:rsid w:val="00A46B28"/>
    <w:rsid w:val="00A478E2"/>
    <w:rsid w:val="00A50ECD"/>
    <w:rsid w:val="00A518E8"/>
    <w:rsid w:val="00A518F3"/>
    <w:rsid w:val="00A52729"/>
    <w:rsid w:val="00A5357C"/>
    <w:rsid w:val="00A53675"/>
    <w:rsid w:val="00A55AB8"/>
    <w:rsid w:val="00A564D7"/>
    <w:rsid w:val="00A56B6A"/>
    <w:rsid w:val="00A575E8"/>
    <w:rsid w:val="00A578DC"/>
    <w:rsid w:val="00A57A45"/>
    <w:rsid w:val="00A623C3"/>
    <w:rsid w:val="00A64011"/>
    <w:rsid w:val="00A640E2"/>
    <w:rsid w:val="00A64D65"/>
    <w:rsid w:val="00A6502B"/>
    <w:rsid w:val="00A65EE9"/>
    <w:rsid w:val="00A67011"/>
    <w:rsid w:val="00A6725B"/>
    <w:rsid w:val="00A67671"/>
    <w:rsid w:val="00A6770F"/>
    <w:rsid w:val="00A705FA"/>
    <w:rsid w:val="00A70605"/>
    <w:rsid w:val="00A70B99"/>
    <w:rsid w:val="00A71BF7"/>
    <w:rsid w:val="00A722D1"/>
    <w:rsid w:val="00A724CF"/>
    <w:rsid w:val="00A73134"/>
    <w:rsid w:val="00A732CF"/>
    <w:rsid w:val="00A7365A"/>
    <w:rsid w:val="00A750AF"/>
    <w:rsid w:val="00A76001"/>
    <w:rsid w:val="00A76658"/>
    <w:rsid w:val="00A777B2"/>
    <w:rsid w:val="00A81934"/>
    <w:rsid w:val="00A825D4"/>
    <w:rsid w:val="00A828F6"/>
    <w:rsid w:val="00A82B73"/>
    <w:rsid w:val="00A831C1"/>
    <w:rsid w:val="00A83654"/>
    <w:rsid w:val="00A83803"/>
    <w:rsid w:val="00A848E3"/>
    <w:rsid w:val="00A84A2D"/>
    <w:rsid w:val="00A84F06"/>
    <w:rsid w:val="00A850B5"/>
    <w:rsid w:val="00A850E1"/>
    <w:rsid w:val="00A8548C"/>
    <w:rsid w:val="00A8559B"/>
    <w:rsid w:val="00A85B16"/>
    <w:rsid w:val="00A86E8B"/>
    <w:rsid w:val="00A87164"/>
    <w:rsid w:val="00A871A9"/>
    <w:rsid w:val="00A87589"/>
    <w:rsid w:val="00A8785E"/>
    <w:rsid w:val="00A9088B"/>
    <w:rsid w:val="00A909DA"/>
    <w:rsid w:val="00A90B34"/>
    <w:rsid w:val="00A91D1A"/>
    <w:rsid w:val="00A92A53"/>
    <w:rsid w:val="00A93072"/>
    <w:rsid w:val="00A9338C"/>
    <w:rsid w:val="00A938BD"/>
    <w:rsid w:val="00A93953"/>
    <w:rsid w:val="00A9421B"/>
    <w:rsid w:val="00A951D7"/>
    <w:rsid w:val="00A959D8"/>
    <w:rsid w:val="00A96425"/>
    <w:rsid w:val="00A967F6"/>
    <w:rsid w:val="00A97576"/>
    <w:rsid w:val="00A977D1"/>
    <w:rsid w:val="00AA08DD"/>
    <w:rsid w:val="00AA0ABC"/>
    <w:rsid w:val="00AA113D"/>
    <w:rsid w:val="00AA1367"/>
    <w:rsid w:val="00AA247F"/>
    <w:rsid w:val="00AA2C2D"/>
    <w:rsid w:val="00AA3DBA"/>
    <w:rsid w:val="00AA45B3"/>
    <w:rsid w:val="00AA4879"/>
    <w:rsid w:val="00AA56E1"/>
    <w:rsid w:val="00AA6BD5"/>
    <w:rsid w:val="00AA6BD8"/>
    <w:rsid w:val="00AA6C7D"/>
    <w:rsid w:val="00AA6FFB"/>
    <w:rsid w:val="00AA7822"/>
    <w:rsid w:val="00AA7B32"/>
    <w:rsid w:val="00AA7E31"/>
    <w:rsid w:val="00AA7FD6"/>
    <w:rsid w:val="00AB042A"/>
    <w:rsid w:val="00AB11AD"/>
    <w:rsid w:val="00AB1945"/>
    <w:rsid w:val="00AB19EF"/>
    <w:rsid w:val="00AB1B45"/>
    <w:rsid w:val="00AB1B6F"/>
    <w:rsid w:val="00AB245B"/>
    <w:rsid w:val="00AB2495"/>
    <w:rsid w:val="00AB29A8"/>
    <w:rsid w:val="00AB2A5C"/>
    <w:rsid w:val="00AB2B92"/>
    <w:rsid w:val="00AB2D34"/>
    <w:rsid w:val="00AB3048"/>
    <w:rsid w:val="00AB3430"/>
    <w:rsid w:val="00AB3728"/>
    <w:rsid w:val="00AB37B9"/>
    <w:rsid w:val="00AB4AD1"/>
    <w:rsid w:val="00AB4EF3"/>
    <w:rsid w:val="00AB5E07"/>
    <w:rsid w:val="00AB60DF"/>
    <w:rsid w:val="00AB7CFA"/>
    <w:rsid w:val="00AB7F5F"/>
    <w:rsid w:val="00AC083E"/>
    <w:rsid w:val="00AC08EC"/>
    <w:rsid w:val="00AC0998"/>
    <w:rsid w:val="00AC0F3A"/>
    <w:rsid w:val="00AC19B7"/>
    <w:rsid w:val="00AC22D3"/>
    <w:rsid w:val="00AC2C23"/>
    <w:rsid w:val="00AC3160"/>
    <w:rsid w:val="00AC3B01"/>
    <w:rsid w:val="00AC5764"/>
    <w:rsid w:val="00AC5A0D"/>
    <w:rsid w:val="00AC5B42"/>
    <w:rsid w:val="00AC5B48"/>
    <w:rsid w:val="00AC650A"/>
    <w:rsid w:val="00AC67A2"/>
    <w:rsid w:val="00AC7270"/>
    <w:rsid w:val="00AC7A23"/>
    <w:rsid w:val="00AD03C7"/>
    <w:rsid w:val="00AD0D2C"/>
    <w:rsid w:val="00AD1450"/>
    <w:rsid w:val="00AD15E8"/>
    <w:rsid w:val="00AD2081"/>
    <w:rsid w:val="00AD211A"/>
    <w:rsid w:val="00AD2D56"/>
    <w:rsid w:val="00AD356D"/>
    <w:rsid w:val="00AD3618"/>
    <w:rsid w:val="00AD3729"/>
    <w:rsid w:val="00AD474B"/>
    <w:rsid w:val="00AD4B27"/>
    <w:rsid w:val="00AD4C30"/>
    <w:rsid w:val="00AD5D4F"/>
    <w:rsid w:val="00AD5EA9"/>
    <w:rsid w:val="00AD5F1B"/>
    <w:rsid w:val="00AD6502"/>
    <w:rsid w:val="00AD68FC"/>
    <w:rsid w:val="00AD6F7C"/>
    <w:rsid w:val="00AD71F9"/>
    <w:rsid w:val="00AD7C1E"/>
    <w:rsid w:val="00AE0695"/>
    <w:rsid w:val="00AE0E7C"/>
    <w:rsid w:val="00AE0EA7"/>
    <w:rsid w:val="00AE14F4"/>
    <w:rsid w:val="00AE1690"/>
    <w:rsid w:val="00AE16F8"/>
    <w:rsid w:val="00AE1BEB"/>
    <w:rsid w:val="00AE1CC6"/>
    <w:rsid w:val="00AE237C"/>
    <w:rsid w:val="00AE38F3"/>
    <w:rsid w:val="00AE3BF5"/>
    <w:rsid w:val="00AE3CD2"/>
    <w:rsid w:val="00AE3E7E"/>
    <w:rsid w:val="00AE4BC6"/>
    <w:rsid w:val="00AE4F46"/>
    <w:rsid w:val="00AE52FC"/>
    <w:rsid w:val="00AE53EB"/>
    <w:rsid w:val="00AE6A2F"/>
    <w:rsid w:val="00AE7251"/>
    <w:rsid w:val="00AE7E53"/>
    <w:rsid w:val="00AF0209"/>
    <w:rsid w:val="00AF09E6"/>
    <w:rsid w:val="00AF0DB5"/>
    <w:rsid w:val="00AF1315"/>
    <w:rsid w:val="00AF195D"/>
    <w:rsid w:val="00AF19BF"/>
    <w:rsid w:val="00AF1D39"/>
    <w:rsid w:val="00AF1EEB"/>
    <w:rsid w:val="00AF1FEC"/>
    <w:rsid w:val="00AF20A3"/>
    <w:rsid w:val="00AF2DC3"/>
    <w:rsid w:val="00AF3D72"/>
    <w:rsid w:val="00AF3F95"/>
    <w:rsid w:val="00AF4417"/>
    <w:rsid w:val="00AF4622"/>
    <w:rsid w:val="00AF549B"/>
    <w:rsid w:val="00AF5B25"/>
    <w:rsid w:val="00AF5F0B"/>
    <w:rsid w:val="00AF6693"/>
    <w:rsid w:val="00AF6931"/>
    <w:rsid w:val="00AF6DBB"/>
    <w:rsid w:val="00AF725C"/>
    <w:rsid w:val="00AF7C63"/>
    <w:rsid w:val="00B01AA1"/>
    <w:rsid w:val="00B0220B"/>
    <w:rsid w:val="00B02B57"/>
    <w:rsid w:val="00B033E5"/>
    <w:rsid w:val="00B03A63"/>
    <w:rsid w:val="00B03F99"/>
    <w:rsid w:val="00B04365"/>
    <w:rsid w:val="00B062D9"/>
    <w:rsid w:val="00B0701C"/>
    <w:rsid w:val="00B07067"/>
    <w:rsid w:val="00B07CCA"/>
    <w:rsid w:val="00B10745"/>
    <w:rsid w:val="00B10D31"/>
    <w:rsid w:val="00B10EB6"/>
    <w:rsid w:val="00B10FE8"/>
    <w:rsid w:val="00B11F41"/>
    <w:rsid w:val="00B11FB6"/>
    <w:rsid w:val="00B129A4"/>
    <w:rsid w:val="00B13713"/>
    <w:rsid w:val="00B138E0"/>
    <w:rsid w:val="00B154B6"/>
    <w:rsid w:val="00B1619F"/>
    <w:rsid w:val="00B16623"/>
    <w:rsid w:val="00B201A4"/>
    <w:rsid w:val="00B201D1"/>
    <w:rsid w:val="00B206D5"/>
    <w:rsid w:val="00B210AA"/>
    <w:rsid w:val="00B212BB"/>
    <w:rsid w:val="00B213A6"/>
    <w:rsid w:val="00B21D05"/>
    <w:rsid w:val="00B2231A"/>
    <w:rsid w:val="00B235B0"/>
    <w:rsid w:val="00B24DF6"/>
    <w:rsid w:val="00B25AD3"/>
    <w:rsid w:val="00B266EF"/>
    <w:rsid w:val="00B2749F"/>
    <w:rsid w:val="00B27A61"/>
    <w:rsid w:val="00B27D78"/>
    <w:rsid w:val="00B31371"/>
    <w:rsid w:val="00B31D99"/>
    <w:rsid w:val="00B32E5F"/>
    <w:rsid w:val="00B337BE"/>
    <w:rsid w:val="00B34FE2"/>
    <w:rsid w:val="00B35166"/>
    <w:rsid w:val="00B35279"/>
    <w:rsid w:val="00B3577F"/>
    <w:rsid w:val="00B357D8"/>
    <w:rsid w:val="00B360F4"/>
    <w:rsid w:val="00B363FA"/>
    <w:rsid w:val="00B364C9"/>
    <w:rsid w:val="00B36A00"/>
    <w:rsid w:val="00B3792B"/>
    <w:rsid w:val="00B37BFC"/>
    <w:rsid w:val="00B40358"/>
    <w:rsid w:val="00B41614"/>
    <w:rsid w:val="00B41721"/>
    <w:rsid w:val="00B42851"/>
    <w:rsid w:val="00B42C2E"/>
    <w:rsid w:val="00B42E73"/>
    <w:rsid w:val="00B42F80"/>
    <w:rsid w:val="00B435CB"/>
    <w:rsid w:val="00B462B4"/>
    <w:rsid w:val="00B465EC"/>
    <w:rsid w:val="00B46DF8"/>
    <w:rsid w:val="00B47FA4"/>
    <w:rsid w:val="00B5038E"/>
    <w:rsid w:val="00B505C8"/>
    <w:rsid w:val="00B50DB8"/>
    <w:rsid w:val="00B528BD"/>
    <w:rsid w:val="00B52F8E"/>
    <w:rsid w:val="00B5312E"/>
    <w:rsid w:val="00B533D3"/>
    <w:rsid w:val="00B53409"/>
    <w:rsid w:val="00B53654"/>
    <w:rsid w:val="00B5370E"/>
    <w:rsid w:val="00B53905"/>
    <w:rsid w:val="00B53B26"/>
    <w:rsid w:val="00B53C6D"/>
    <w:rsid w:val="00B546DB"/>
    <w:rsid w:val="00B54B5B"/>
    <w:rsid w:val="00B54E76"/>
    <w:rsid w:val="00B5562E"/>
    <w:rsid w:val="00B55862"/>
    <w:rsid w:val="00B558B4"/>
    <w:rsid w:val="00B55A0E"/>
    <w:rsid w:val="00B55B79"/>
    <w:rsid w:val="00B55D65"/>
    <w:rsid w:val="00B5622E"/>
    <w:rsid w:val="00B56305"/>
    <w:rsid w:val="00B5690A"/>
    <w:rsid w:val="00B57000"/>
    <w:rsid w:val="00B578CB"/>
    <w:rsid w:val="00B579BC"/>
    <w:rsid w:val="00B600F4"/>
    <w:rsid w:val="00B60939"/>
    <w:rsid w:val="00B60AFD"/>
    <w:rsid w:val="00B60C8B"/>
    <w:rsid w:val="00B60FAC"/>
    <w:rsid w:val="00B6178B"/>
    <w:rsid w:val="00B623B4"/>
    <w:rsid w:val="00B626E1"/>
    <w:rsid w:val="00B62715"/>
    <w:rsid w:val="00B6319E"/>
    <w:rsid w:val="00B63958"/>
    <w:rsid w:val="00B6559A"/>
    <w:rsid w:val="00B65611"/>
    <w:rsid w:val="00B6635B"/>
    <w:rsid w:val="00B66478"/>
    <w:rsid w:val="00B66CE9"/>
    <w:rsid w:val="00B67056"/>
    <w:rsid w:val="00B70497"/>
    <w:rsid w:val="00B70E8E"/>
    <w:rsid w:val="00B729AE"/>
    <w:rsid w:val="00B729E4"/>
    <w:rsid w:val="00B72A46"/>
    <w:rsid w:val="00B7392C"/>
    <w:rsid w:val="00B73C18"/>
    <w:rsid w:val="00B7454A"/>
    <w:rsid w:val="00B74631"/>
    <w:rsid w:val="00B747FD"/>
    <w:rsid w:val="00B74AF9"/>
    <w:rsid w:val="00B74E48"/>
    <w:rsid w:val="00B76C92"/>
    <w:rsid w:val="00B80650"/>
    <w:rsid w:val="00B80B54"/>
    <w:rsid w:val="00B80EAE"/>
    <w:rsid w:val="00B80EFD"/>
    <w:rsid w:val="00B8112A"/>
    <w:rsid w:val="00B81573"/>
    <w:rsid w:val="00B818A4"/>
    <w:rsid w:val="00B82732"/>
    <w:rsid w:val="00B828DD"/>
    <w:rsid w:val="00B83739"/>
    <w:rsid w:val="00B84117"/>
    <w:rsid w:val="00B851B9"/>
    <w:rsid w:val="00B858F0"/>
    <w:rsid w:val="00B85AA2"/>
    <w:rsid w:val="00B85BDF"/>
    <w:rsid w:val="00B8649C"/>
    <w:rsid w:val="00B8695D"/>
    <w:rsid w:val="00B87F0A"/>
    <w:rsid w:val="00B908D0"/>
    <w:rsid w:val="00B91F58"/>
    <w:rsid w:val="00B92BB4"/>
    <w:rsid w:val="00B92D0B"/>
    <w:rsid w:val="00B93029"/>
    <w:rsid w:val="00B936AC"/>
    <w:rsid w:val="00B93938"/>
    <w:rsid w:val="00B94890"/>
    <w:rsid w:val="00B94945"/>
    <w:rsid w:val="00B94BE0"/>
    <w:rsid w:val="00B94C72"/>
    <w:rsid w:val="00B94DD6"/>
    <w:rsid w:val="00B963EC"/>
    <w:rsid w:val="00B966D4"/>
    <w:rsid w:val="00B971EF"/>
    <w:rsid w:val="00B97861"/>
    <w:rsid w:val="00B97ADC"/>
    <w:rsid w:val="00BA1A10"/>
    <w:rsid w:val="00BA1C1F"/>
    <w:rsid w:val="00BA2B03"/>
    <w:rsid w:val="00BA322D"/>
    <w:rsid w:val="00BA3337"/>
    <w:rsid w:val="00BA3C35"/>
    <w:rsid w:val="00BA3CE8"/>
    <w:rsid w:val="00BA44DE"/>
    <w:rsid w:val="00BA4ECE"/>
    <w:rsid w:val="00BA5067"/>
    <w:rsid w:val="00BA5546"/>
    <w:rsid w:val="00BA578A"/>
    <w:rsid w:val="00BA5930"/>
    <w:rsid w:val="00BA63FA"/>
    <w:rsid w:val="00BA69EB"/>
    <w:rsid w:val="00BA7055"/>
    <w:rsid w:val="00BA7725"/>
    <w:rsid w:val="00BA780C"/>
    <w:rsid w:val="00BA7849"/>
    <w:rsid w:val="00BB00B3"/>
    <w:rsid w:val="00BB0BDD"/>
    <w:rsid w:val="00BB1591"/>
    <w:rsid w:val="00BB176C"/>
    <w:rsid w:val="00BB1DAC"/>
    <w:rsid w:val="00BB2835"/>
    <w:rsid w:val="00BB2A73"/>
    <w:rsid w:val="00BB2D8C"/>
    <w:rsid w:val="00BB3A45"/>
    <w:rsid w:val="00BB43B7"/>
    <w:rsid w:val="00BB4ACC"/>
    <w:rsid w:val="00BB6DDC"/>
    <w:rsid w:val="00BB703E"/>
    <w:rsid w:val="00BB732D"/>
    <w:rsid w:val="00BB7405"/>
    <w:rsid w:val="00BC1740"/>
    <w:rsid w:val="00BC24D3"/>
    <w:rsid w:val="00BC2D24"/>
    <w:rsid w:val="00BC3631"/>
    <w:rsid w:val="00BC3B4F"/>
    <w:rsid w:val="00BC4001"/>
    <w:rsid w:val="00BC52E4"/>
    <w:rsid w:val="00BC55EA"/>
    <w:rsid w:val="00BC58C5"/>
    <w:rsid w:val="00BC591F"/>
    <w:rsid w:val="00BC6BDA"/>
    <w:rsid w:val="00BC6C06"/>
    <w:rsid w:val="00BC7D6D"/>
    <w:rsid w:val="00BD0BCE"/>
    <w:rsid w:val="00BD0D45"/>
    <w:rsid w:val="00BD2042"/>
    <w:rsid w:val="00BD2108"/>
    <w:rsid w:val="00BD2633"/>
    <w:rsid w:val="00BD354E"/>
    <w:rsid w:val="00BD68A3"/>
    <w:rsid w:val="00BD6938"/>
    <w:rsid w:val="00BD6CF3"/>
    <w:rsid w:val="00BD6F9B"/>
    <w:rsid w:val="00BD7F72"/>
    <w:rsid w:val="00BE0261"/>
    <w:rsid w:val="00BE0ECA"/>
    <w:rsid w:val="00BE1801"/>
    <w:rsid w:val="00BE1EC4"/>
    <w:rsid w:val="00BE2180"/>
    <w:rsid w:val="00BE21F2"/>
    <w:rsid w:val="00BE2550"/>
    <w:rsid w:val="00BE32AA"/>
    <w:rsid w:val="00BE35A4"/>
    <w:rsid w:val="00BE3DB6"/>
    <w:rsid w:val="00BE4275"/>
    <w:rsid w:val="00BE466A"/>
    <w:rsid w:val="00BE56EE"/>
    <w:rsid w:val="00BE7712"/>
    <w:rsid w:val="00BE7CAC"/>
    <w:rsid w:val="00BF06AE"/>
    <w:rsid w:val="00BF0C0A"/>
    <w:rsid w:val="00BF0F95"/>
    <w:rsid w:val="00BF1B5F"/>
    <w:rsid w:val="00BF2433"/>
    <w:rsid w:val="00BF2A79"/>
    <w:rsid w:val="00BF2E6E"/>
    <w:rsid w:val="00BF2EFD"/>
    <w:rsid w:val="00BF3ADC"/>
    <w:rsid w:val="00BF4493"/>
    <w:rsid w:val="00BF4810"/>
    <w:rsid w:val="00BF55BB"/>
    <w:rsid w:val="00BF6008"/>
    <w:rsid w:val="00BF61C9"/>
    <w:rsid w:val="00BF64EF"/>
    <w:rsid w:val="00BF6C94"/>
    <w:rsid w:val="00BF7590"/>
    <w:rsid w:val="00C00424"/>
    <w:rsid w:val="00C007A6"/>
    <w:rsid w:val="00C00BB0"/>
    <w:rsid w:val="00C0183E"/>
    <w:rsid w:val="00C042D3"/>
    <w:rsid w:val="00C042EF"/>
    <w:rsid w:val="00C0613C"/>
    <w:rsid w:val="00C06D4A"/>
    <w:rsid w:val="00C07177"/>
    <w:rsid w:val="00C0771D"/>
    <w:rsid w:val="00C07E20"/>
    <w:rsid w:val="00C11040"/>
    <w:rsid w:val="00C110D7"/>
    <w:rsid w:val="00C1112B"/>
    <w:rsid w:val="00C114EA"/>
    <w:rsid w:val="00C1179F"/>
    <w:rsid w:val="00C127B9"/>
    <w:rsid w:val="00C128FA"/>
    <w:rsid w:val="00C12C14"/>
    <w:rsid w:val="00C13AFC"/>
    <w:rsid w:val="00C13F2B"/>
    <w:rsid w:val="00C1418D"/>
    <w:rsid w:val="00C14E48"/>
    <w:rsid w:val="00C15F04"/>
    <w:rsid w:val="00C163D9"/>
    <w:rsid w:val="00C179B3"/>
    <w:rsid w:val="00C17E3F"/>
    <w:rsid w:val="00C200AA"/>
    <w:rsid w:val="00C20EE0"/>
    <w:rsid w:val="00C219AF"/>
    <w:rsid w:val="00C21AD7"/>
    <w:rsid w:val="00C21CF5"/>
    <w:rsid w:val="00C21FCA"/>
    <w:rsid w:val="00C237ED"/>
    <w:rsid w:val="00C23C35"/>
    <w:rsid w:val="00C23D3A"/>
    <w:rsid w:val="00C24632"/>
    <w:rsid w:val="00C25418"/>
    <w:rsid w:val="00C2595B"/>
    <w:rsid w:val="00C25D9C"/>
    <w:rsid w:val="00C266D5"/>
    <w:rsid w:val="00C26A0F"/>
    <w:rsid w:val="00C27319"/>
    <w:rsid w:val="00C2778B"/>
    <w:rsid w:val="00C300CB"/>
    <w:rsid w:val="00C31649"/>
    <w:rsid w:val="00C32532"/>
    <w:rsid w:val="00C32630"/>
    <w:rsid w:val="00C32F54"/>
    <w:rsid w:val="00C32F69"/>
    <w:rsid w:val="00C3349D"/>
    <w:rsid w:val="00C3434C"/>
    <w:rsid w:val="00C351A7"/>
    <w:rsid w:val="00C35418"/>
    <w:rsid w:val="00C3654D"/>
    <w:rsid w:val="00C36A0E"/>
    <w:rsid w:val="00C36B28"/>
    <w:rsid w:val="00C37741"/>
    <w:rsid w:val="00C37966"/>
    <w:rsid w:val="00C37CC1"/>
    <w:rsid w:val="00C37D91"/>
    <w:rsid w:val="00C40385"/>
    <w:rsid w:val="00C40972"/>
    <w:rsid w:val="00C40B93"/>
    <w:rsid w:val="00C40D42"/>
    <w:rsid w:val="00C41067"/>
    <w:rsid w:val="00C412AF"/>
    <w:rsid w:val="00C41768"/>
    <w:rsid w:val="00C41F78"/>
    <w:rsid w:val="00C4323E"/>
    <w:rsid w:val="00C45FB1"/>
    <w:rsid w:val="00C474A2"/>
    <w:rsid w:val="00C475AA"/>
    <w:rsid w:val="00C47B78"/>
    <w:rsid w:val="00C50B7A"/>
    <w:rsid w:val="00C50D6E"/>
    <w:rsid w:val="00C50DF4"/>
    <w:rsid w:val="00C518FE"/>
    <w:rsid w:val="00C527C7"/>
    <w:rsid w:val="00C528EF"/>
    <w:rsid w:val="00C53664"/>
    <w:rsid w:val="00C53C98"/>
    <w:rsid w:val="00C56FCF"/>
    <w:rsid w:val="00C57740"/>
    <w:rsid w:val="00C57B6C"/>
    <w:rsid w:val="00C61575"/>
    <w:rsid w:val="00C61A59"/>
    <w:rsid w:val="00C6283C"/>
    <w:rsid w:val="00C628A6"/>
    <w:rsid w:val="00C63F22"/>
    <w:rsid w:val="00C64344"/>
    <w:rsid w:val="00C6446D"/>
    <w:rsid w:val="00C65108"/>
    <w:rsid w:val="00C65576"/>
    <w:rsid w:val="00C66165"/>
    <w:rsid w:val="00C66391"/>
    <w:rsid w:val="00C66922"/>
    <w:rsid w:val="00C6720B"/>
    <w:rsid w:val="00C672DB"/>
    <w:rsid w:val="00C700F9"/>
    <w:rsid w:val="00C7060A"/>
    <w:rsid w:val="00C70DE7"/>
    <w:rsid w:val="00C7151A"/>
    <w:rsid w:val="00C717E3"/>
    <w:rsid w:val="00C71F60"/>
    <w:rsid w:val="00C72241"/>
    <w:rsid w:val="00C72D91"/>
    <w:rsid w:val="00C73095"/>
    <w:rsid w:val="00C74068"/>
    <w:rsid w:val="00C750C8"/>
    <w:rsid w:val="00C7560F"/>
    <w:rsid w:val="00C7653F"/>
    <w:rsid w:val="00C769AF"/>
    <w:rsid w:val="00C76AF3"/>
    <w:rsid w:val="00C76BF8"/>
    <w:rsid w:val="00C77FFE"/>
    <w:rsid w:val="00C80A0E"/>
    <w:rsid w:val="00C8213F"/>
    <w:rsid w:val="00C82B96"/>
    <w:rsid w:val="00C82E28"/>
    <w:rsid w:val="00C8303F"/>
    <w:rsid w:val="00C833F8"/>
    <w:rsid w:val="00C840C9"/>
    <w:rsid w:val="00C8495B"/>
    <w:rsid w:val="00C85154"/>
    <w:rsid w:val="00C8530E"/>
    <w:rsid w:val="00C85A70"/>
    <w:rsid w:val="00C8797A"/>
    <w:rsid w:val="00C900B8"/>
    <w:rsid w:val="00C90197"/>
    <w:rsid w:val="00C90248"/>
    <w:rsid w:val="00C902FB"/>
    <w:rsid w:val="00C909B5"/>
    <w:rsid w:val="00C90A1B"/>
    <w:rsid w:val="00C90C71"/>
    <w:rsid w:val="00C91AAD"/>
    <w:rsid w:val="00C91FD1"/>
    <w:rsid w:val="00C9204B"/>
    <w:rsid w:val="00C931CF"/>
    <w:rsid w:val="00C9334C"/>
    <w:rsid w:val="00C938CF"/>
    <w:rsid w:val="00C94053"/>
    <w:rsid w:val="00C94BF5"/>
    <w:rsid w:val="00C95A98"/>
    <w:rsid w:val="00C95EBD"/>
    <w:rsid w:val="00C95FC0"/>
    <w:rsid w:val="00C9624D"/>
    <w:rsid w:val="00C969DA"/>
    <w:rsid w:val="00C97464"/>
    <w:rsid w:val="00C975E8"/>
    <w:rsid w:val="00CA09DA"/>
    <w:rsid w:val="00CA2209"/>
    <w:rsid w:val="00CA2C77"/>
    <w:rsid w:val="00CA2EDB"/>
    <w:rsid w:val="00CA34D0"/>
    <w:rsid w:val="00CA444F"/>
    <w:rsid w:val="00CA4B8B"/>
    <w:rsid w:val="00CA51EF"/>
    <w:rsid w:val="00CA5245"/>
    <w:rsid w:val="00CA5A10"/>
    <w:rsid w:val="00CA6106"/>
    <w:rsid w:val="00CA71F4"/>
    <w:rsid w:val="00CA7B09"/>
    <w:rsid w:val="00CB12A5"/>
    <w:rsid w:val="00CB1CAC"/>
    <w:rsid w:val="00CB2D2B"/>
    <w:rsid w:val="00CB2DAE"/>
    <w:rsid w:val="00CB2F2A"/>
    <w:rsid w:val="00CB2F5D"/>
    <w:rsid w:val="00CB391A"/>
    <w:rsid w:val="00CB4183"/>
    <w:rsid w:val="00CB4A8F"/>
    <w:rsid w:val="00CB4C38"/>
    <w:rsid w:val="00CB5526"/>
    <w:rsid w:val="00CB5B1A"/>
    <w:rsid w:val="00CB6B22"/>
    <w:rsid w:val="00CB7F5F"/>
    <w:rsid w:val="00CC166B"/>
    <w:rsid w:val="00CC1B39"/>
    <w:rsid w:val="00CC1BFA"/>
    <w:rsid w:val="00CC1EC1"/>
    <w:rsid w:val="00CC2E9F"/>
    <w:rsid w:val="00CC35EA"/>
    <w:rsid w:val="00CC3848"/>
    <w:rsid w:val="00CC4617"/>
    <w:rsid w:val="00CC59EE"/>
    <w:rsid w:val="00CC650F"/>
    <w:rsid w:val="00CC6D1B"/>
    <w:rsid w:val="00CC6D5E"/>
    <w:rsid w:val="00CC7B18"/>
    <w:rsid w:val="00CC7DEE"/>
    <w:rsid w:val="00CC7E83"/>
    <w:rsid w:val="00CD0200"/>
    <w:rsid w:val="00CD1EE3"/>
    <w:rsid w:val="00CD247D"/>
    <w:rsid w:val="00CD25D4"/>
    <w:rsid w:val="00CD2BA8"/>
    <w:rsid w:val="00CD3F77"/>
    <w:rsid w:val="00CD44AB"/>
    <w:rsid w:val="00CD6A37"/>
    <w:rsid w:val="00CD6ADC"/>
    <w:rsid w:val="00CD7193"/>
    <w:rsid w:val="00CD7A08"/>
    <w:rsid w:val="00CE03C9"/>
    <w:rsid w:val="00CE148A"/>
    <w:rsid w:val="00CE2024"/>
    <w:rsid w:val="00CE20ED"/>
    <w:rsid w:val="00CE2331"/>
    <w:rsid w:val="00CE2BF7"/>
    <w:rsid w:val="00CE379E"/>
    <w:rsid w:val="00CE38B7"/>
    <w:rsid w:val="00CE38C8"/>
    <w:rsid w:val="00CE3DFF"/>
    <w:rsid w:val="00CE450D"/>
    <w:rsid w:val="00CE524F"/>
    <w:rsid w:val="00CE58CC"/>
    <w:rsid w:val="00CE5F31"/>
    <w:rsid w:val="00CE6274"/>
    <w:rsid w:val="00CE6B2E"/>
    <w:rsid w:val="00CE6F3E"/>
    <w:rsid w:val="00CE77B6"/>
    <w:rsid w:val="00CF0232"/>
    <w:rsid w:val="00CF03ED"/>
    <w:rsid w:val="00CF099B"/>
    <w:rsid w:val="00CF1AA7"/>
    <w:rsid w:val="00CF2B8D"/>
    <w:rsid w:val="00CF3950"/>
    <w:rsid w:val="00CF3A1B"/>
    <w:rsid w:val="00CF443C"/>
    <w:rsid w:val="00CF4553"/>
    <w:rsid w:val="00CF456B"/>
    <w:rsid w:val="00CF4908"/>
    <w:rsid w:val="00CF53D8"/>
    <w:rsid w:val="00CF5A22"/>
    <w:rsid w:val="00CF61BD"/>
    <w:rsid w:val="00CF76B2"/>
    <w:rsid w:val="00CF7883"/>
    <w:rsid w:val="00D007E0"/>
    <w:rsid w:val="00D00981"/>
    <w:rsid w:val="00D01878"/>
    <w:rsid w:val="00D0262E"/>
    <w:rsid w:val="00D02852"/>
    <w:rsid w:val="00D02CF9"/>
    <w:rsid w:val="00D03679"/>
    <w:rsid w:val="00D0397F"/>
    <w:rsid w:val="00D04E8C"/>
    <w:rsid w:val="00D0511C"/>
    <w:rsid w:val="00D054BA"/>
    <w:rsid w:val="00D05825"/>
    <w:rsid w:val="00D05E3D"/>
    <w:rsid w:val="00D06139"/>
    <w:rsid w:val="00D06271"/>
    <w:rsid w:val="00D07A86"/>
    <w:rsid w:val="00D100A3"/>
    <w:rsid w:val="00D10E5F"/>
    <w:rsid w:val="00D110BD"/>
    <w:rsid w:val="00D11AAF"/>
    <w:rsid w:val="00D12934"/>
    <w:rsid w:val="00D13675"/>
    <w:rsid w:val="00D13A75"/>
    <w:rsid w:val="00D13E81"/>
    <w:rsid w:val="00D141E1"/>
    <w:rsid w:val="00D15314"/>
    <w:rsid w:val="00D159A6"/>
    <w:rsid w:val="00D15B48"/>
    <w:rsid w:val="00D15FCC"/>
    <w:rsid w:val="00D16406"/>
    <w:rsid w:val="00D16A01"/>
    <w:rsid w:val="00D16C9D"/>
    <w:rsid w:val="00D17295"/>
    <w:rsid w:val="00D17D6C"/>
    <w:rsid w:val="00D207B0"/>
    <w:rsid w:val="00D20FBD"/>
    <w:rsid w:val="00D2155B"/>
    <w:rsid w:val="00D22EA1"/>
    <w:rsid w:val="00D23D11"/>
    <w:rsid w:val="00D244B6"/>
    <w:rsid w:val="00D248B6"/>
    <w:rsid w:val="00D259C6"/>
    <w:rsid w:val="00D26315"/>
    <w:rsid w:val="00D26644"/>
    <w:rsid w:val="00D26C87"/>
    <w:rsid w:val="00D26C8F"/>
    <w:rsid w:val="00D2754D"/>
    <w:rsid w:val="00D27B27"/>
    <w:rsid w:val="00D27D8E"/>
    <w:rsid w:val="00D30468"/>
    <w:rsid w:val="00D30D5B"/>
    <w:rsid w:val="00D31A85"/>
    <w:rsid w:val="00D325AB"/>
    <w:rsid w:val="00D32C76"/>
    <w:rsid w:val="00D32D6E"/>
    <w:rsid w:val="00D33520"/>
    <w:rsid w:val="00D33BE9"/>
    <w:rsid w:val="00D33EF4"/>
    <w:rsid w:val="00D33F84"/>
    <w:rsid w:val="00D33F93"/>
    <w:rsid w:val="00D34A0A"/>
    <w:rsid w:val="00D357FF"/>
    <w:rsid w:val="00D359A6"/>
    <w:rsid w:val="00D37FBD"/>
    <w:rsid w:val="00D410E4"/>
    <w:rsid w:val="00D42137"/>
    <w:rsid w:val="00D424C7"/>
    <w:rsid w:val="00D428A6"/>
    <w:rsid w:val="00D42D16"/>
    <w:rsid w:val="00D43B2A"/>
    <w:rsid w:val="00D43CF1"/>
    <w:rsid w:val="00D43D83"/>
    <w:rsid w:val="00D447F4"/>
    <w:rsid w:val="00D4487F"/>
    <w:rsid w:val="00D44D6F"/>
    <w:rsid w:val="00D45DFC"/>
    <w:rsid w:val="00D45F6B"/>
    <w:rsid w:val="00D46133"/>
    <w:rsid w:val="00D46477"/>
    <w:rsid w:val="00D46820"/>
    <w:rsid w:val="00D468F0"/>
    <w:rsid w:val="00D47575"/>
    <w:rsid w:val="00D50368"/>
    <w:rsid w:val="00D509C3"/>
    <w:rsid w:val="00D5243B"/>
    <w:rsid w:val="00D5329C"/>
    <w:rsid w:val="00D533EC"/>
    <w:rsid w:val="00D535C3"/>
    <w:rsid w:val="00D53C84"/>
    <w:rsid w:val="00D540F7"/>
    <w:rsid w:val="00D54F9E"/>
    <w:rsid w:val="00D5581F"/>
    <w:rsid w:val="00D56A95"/>
    <w:rsid w:val="00D57453"/>
    <w:rsid w:val="00D6076E"/>
    <w:rsid w:val="00D60A2C"/>
    <w:rsid w:val="00D60EDD"/>
    <w:rsid w:val="00D61597"/>
    <w:rsid w:val="00D616E9"/>
    <w:rsid w:val="00D61AC3"/>
    <w:rsid w:val="00D61CBB"/>
    <w:rsid w:val="00D61DBF"/>
    <w:rsid w:val="00D6348D"/>
    <w:rsid w:val="00D635D0"/>
    <w:rsid w:val="00D645E4"/>
    <w:rsid w:val="00D64640"/>
    <w:rsid w:val="00D65E9E"/>
    <w:rsid w:val="00D6653E"/>
    <w:rsid w:val="00D667F0"/>
    <w:rsid w:val="00D70A58"/>
    <w:rsid w:val="00D70F16"/>
    <w:rsid w:val="00D72147"/>
    <w:rsid w:val="00D72617"/>
    <w:rsid w:val="00D72892"/>
    <w:rsid w:val="00D72F57"/>
    <w:rsid w:val="00D75BE5"/>
    <w:rsid w:val="00D75D98"/>
    <w:rsid w:val="00D76A44"/>
    <w:rsid w:val="00D77FD1"/>
    <w:rsid w:val="00D8046E"/>
    <w:rsid w:val="00D81424"/>
    <w:rsid w:val="00D815EF"/>
    <w:rsid w:val="00D817D9"/>
    <w:rsid w:val="00D81949"/>
    <w:rsid w:val="00D81F26"/>
    <w:rsid w:val="00D822E2"/>
    <w:rsid w:val="00D82D24"/>
    <w:rsid w:val="00D830DA"/>
    <w:rsid w:val="00D83BE9"/>
    <w:rsid w:val="00D843F2"/>
    <w:rsid w:val="00D8441B"/>
    <w:rsid w:val="00D845EA"/>
    <w:rsid w:val="00D85073"/>
    <w:rsid w:val="00D86231"/>
    <w:rsid w:val="00D9099D"/>
    <w:rsid w:val="00D90D49"/>
    <w:rsid w:val="00D90E29"/>
    <w:rsid w:val="00D912AB"/>
    <w:rsid w:val="00D91923"/>
    <w:rsid w:val="00D91B6C"/>
    <w:rsid w:val="00D93753"/>
    <w:rsid w:val="00D94446"/>
    <w:rsid w:val="00D96244"/>
    <w:rsid w:val="00D96774"/>
    <w:rsid w:val="00D9698C"/>
    <w:rsid w:val="00D97035"/>
    <w:rsid w:val="00D9706B"/>
    <w:rsid w:val="00D97EDD"/>
    <w:rsid w:val="00DA00DB"/>
    <w:rsid w:val="00DA2040"/>
    <w:rsid w:val="00DA3167"/>
    <w:rsid w:val="00DA3B2E"/>
    <w:rsid w:val="00DA486C"/>
    <w:rsid w:val="00DA4917"/>
    <w:rsid w:val="00DA4971"/>
    <w:rsid w:val="00DA4DC3"/>
    <w:rsid w:val="00DA4FEE"/>
    <w:rsid w:val="00DA5242"/>
    <w:rsid w:val="00DA5DD2"/>
    <w:rsid w:val="00DA5E6F"/>
    <w:rsid w:val="00DA6087"/>
    <w:rsid w:val="00DA618E"/>
    <w:rsid w:val="00DA6314"/>
    <w:rsid w:val="00DA7633"/>
    <w:rsid w:val="00DA77A5"/>
    <w:rsid w:val="00DA7D2A"/>
    <w:rsid w:val="00DB0020"/>
    <w:rsid w:val="00DB03C9"/>
    <w:rsid w:val="00DB0E36"/>
    <w:rsid w:val="00DB19B3"/>
    <w:rsid w:val="00DB1E01"/>
    <w:rsid w:val="00DB2765"/>
    <w:rsid w:val="00DB35A3"/>
    <w:rsid w:val="00DB373F"/>
    <w:rsid w:val="00DB3A85"/>
    <w:rsid w:val="00DB3DBF"/>
    <w:rsid w:val="00DB484F"/>
    <w:rsid w:val="00DB5D03"/>
    <w:rsid w:val="00DB6F7C"/>
    <w:rsid w:val="00DB73F1"/>
    <w:rsid w:val="00DC0333"/>
    <w:rsid w:val="00DC04F6"/>
    <w:rsid w:val="00DC0690"/>
    <w:rsid w:val="00DC06F4"/>
    <w:rsid w:val="00DC1D65"/>
    <w:rsid w:val="00DC34E6"/>
    <w:rsid w:val="00DC3A3E"/>
    <w:rsid w:val="00DC3C57"/>
    <w:rsid w:val="00DC431E"/>
    <w:rsid w:val="00DC4B08"/>
    <w:rsid w:val="00DC4DBC"/>
    <w:rsid w:val="00DC5501"/>
    <w:rsid w:val="00DC5DE4"/>
    <w:rsid w:val="00DC67A4"/>
    <w:rsid w:val="00DC682D"/>
    <w:rsid w:val="00DC6B29"/>
    <w:rsid w:val="00DC6C1A"/>
    <w:rsid w:val="00DC7154"/>
    <w:rsid w:val="00DC76FC"/>
    <w:rsid w:val="00DC7E8A"/>
    <w:rsid w:val="00DD0F78"/>
    <w:rsid w:val="00DD11E2"/>
    <w:rsid w:val="00DD15DB"/>
    <w:rsid w:val="00DD1D3A"/>
    <w:rsid w:val="00DD1E8C"/>
    <w:rsid w:val="00DD1F9C"/>
    <w:rsid w:val="00DD273C"/>
    <w:rsid w:val="00DD2B98"/>
    <w:rsid w:val="00DD3F28"/>
    <w:rsid w:val="00DD4099"/>
    <w:rsid w:val="00DD4446"/>
    <w:rsid w:val="00DD4537"/>
    <w:rsid w:val="00DD46EE"/>
    <w:rsid w:val="00DD4E15"/>
    <w:rsid w:val="00DD5CB2"/>
    <w:rsid w:val="00DD652D"/>
    <w:rsid w:val="00DE0182"/>
    <w:rsid w:val="00DE01A4"/>
    <w:rsid w:val="00DE09E1"/>
    <w:rsid w:val="00DE0C9C"/>
    <w:rsid w:val="00DE0DD8"/>
    <w:rsid w:val="00DE2304"/>
    <w:rsid w:val="00DE2BD9"/>
    <w:rsid w:val="00DE3138"/>
    <w:rsid w:val="00DE35C5"/>
    <w:rsid w:val="00DE37F8"/>
    <w:rsid w:val="00DE4273"/>
    <w:rsid w:val="00DE4FCB"/>
    <w:rsid w:val="00DE5D07"/>
    <w:rsid w:val="00DE62A1"/>
    <w:rsid w:val="00DE6966"/>
    <w:rsid w:val="00DE72A7"/>
    <w:rsid w:val="00DE7832"/>
    <w:rsid w:val="00DF0F93"/>
    <w:rsid w:val="00DF131C"/>
    <w:rsid w:val="00DF18FC"/>
    <w:rsid w:val="00DF1E89"/>
    <w:rsid w:val="00DF2067"/>
    <w:rsid w:val="00DF2B61"/>
    <w:rsid w:val="00DF2C6F"/>
    <w:rsid w:val="00DF2D3B"/>
    <w:rsid w:val="00DF31C6"/>
    <w:rsid w:val="00DF4328"/>
    <w:rsid w:val="00DF45DD"/>
    <w:rsid w:val="00DF5844"/>
    <w:rsid w:val="00DF5BF3"/>
    <w:rsid w:val="00DF5D2B"/>
    <w:rsid w:val="00DF6276"/>
    <w:rsid w:val="00DF6341"/>
    <w:rsid w:val="00DF64C7"/>
    <w:rsid w:val="00DF7481"/>
    <w:rsid w:val="00E00E8E"/>
    <w:rsid w:val="00E016E6"/>
    <w:rsid w:val="00E0191B"/>
    <w:rsid w:val="00E01E3E"/>
    <w:rsid w:val="00E0201D"/>
    <w:rsid w:val="00E0258A"/>
    <w:rsid w:val="00E02E8D"/>
    <w:rsid w:val="00E039F5"/>
    <w:rsid w:val="00E03E76"/>
    <w:rsid w:val="00E040C7"/>
    <w:rsid w:val="00E04383"/>
    <w:rsid w:val="00E05630"/>
    <w:rsid w:val="00E0566D"/>
    <w:rsid w:val="00E05DA8"/>
    <w:rsid w:val="00E05E63"/>
    <w:rsid w:val="00E060D4"/>
    <w:rsid w:val="00E06DBB"/>
    <w:rsid w:val="00E06E7B"/>
    <w:rsid w:val="00E0706E"/>
    <w:rsid w:val="00E0756A"/>
    <w:rsid w:val="00E10058"/>
    <w:rsid w:val="00E10149"/>
    <w:rsid w:val="00E102E8"/>
    <w:rsid w:val="00E11340"/>
    <w:rsid w:val="00E11CF6"/>
    <w:rsid w:val="00E11F1B"/>
    <w:rsid w:val="00E122A1"/>
    <w:rsid w:val="00E1249C"/>
    <w:rsid w:val="00E1373C"/>
    <w:rsid w:val="00E145FC"/>
    <w:rsid w:val="00E14BA2"/>
    <w:rsid w:val="00E150A9"/>
    <w:rsid w:val="00E151A6"/>
    <w:rsid w:val="00E16193"/>
    <w:rsid w:val="00E16372"/>
    <w:rsid w:val="00E16AD8"/>
    <w:rsid w:val="00E16B83"/>
    <w:rsid w:val="00E171DA"/>
    <w:rsid w:val="00E17AC3"/>
    <w:rsid w:val="00E17E97"/>
    <w:rsid w:val="00E17FFA"/>
    <w:rsid w:val="00E20E4D"/>
    <w:rsid w:val="00E20ED6"/>
    <w:rsid w:val="00E21358"/>
    <w:rsid w:val="00E214C5"/>
    <w:rsid w:val="00E21685"/>
    <w:rsid w:val="00E2249B"/>
    <w:rsid w:val="00E22A0D"/>
    <w:rsid w:val="00E2399E"/>
    <w:rsid w:val="00E244F6"/>
    <w:rsid w:val="00E24B5F"/>
    <w:rsid w:val="00E2560D"/>
    <w:rsid w:val="00E258DB"/>
    <w:rsid w:val="00E27355"/>
    <w:rsid w:val="00E2771E"/>
    <w:rsid w:val="00E30BFE"/>
    <w:rsid w:val="00E30E20"/>
    <w:rsid w:val="00E311EF"/>
    <w:rsid w:val="00E32180"/>
    <w:rsid w:val="00E34339"/>
    <w:rsid w:val="00E34948"/>
    <w:rsid w:val="00E34B40"/>
    <w:rsid w:val="00E34ECE"/>
    <w:rsid w:val="00E3551A"/>
    <w:rsid w:val="00E35AD6"/>
    <w:rsid w:val="00E36C90"/>
    <w:rsid w:val="00E37569"/>
    <w:rsid w:val="00E37A90"/>
    <w:rsid w:val="00E37B25"/>
    <w:rsid w:val="00E400B5"/>
    <w:rsid w:val="00E401B2"/>
    <w:rsid w:val="00E403DE"/>
    <w:rsid w:val="00E4068B"/>
    <w:rsid w:val="00E40764"/>
    <w:rsid w:val="00E41E30"/>
    <w:rsid w:val="00E42F73"/>
    <w:rsid w:val="00E43CC2"/>
    <w:rsid w:val="00E43D70"/>
    <w:rsid w:val="00E448B9"/>
    <w:rsid w:val="00E44979"/>
    <w:rsid w:val="00E46168"/>
    <w:rsid w:val="00E46600"/>
    <w:rsid w:val="00E466F3"/>
    <w:rsid w:val="00E47B2C"/>
    <w:rsid w:val="00E47D03"/>
    <w:rsid w:val="00E503B6"/>
    <w:rsid w:val="00E506DB"/>
    <w:rsid w:val="00E51560"/>
    <w:rsid w:val="00E51821"/>
    <w:rsid w:val="00E51DC4"/>
    <w:rsid w:val="00E51FF9"/>
    <w:rsid w:val="00E53FC8"/>
    <w:rsid w:val="00E54347"/>
    <w:rsid w:val="00E54ED5"/>
    <w:rsid w:val="00E55424"/>
    <w:rsid w:val="00E55915"/>
    <w:rsid w:val="00E55B70"/>
    <w:rsid w:val="00E55BB5"/>
    <w:rsid w:val="00E55D29"/>
    <w:rsid w:val="00E56F60"/>
    <w:rsid w:val="00E571A7"/>
    <w:rsid w:val="00E57C2F"/>
    <w:rsid w:val="00E6024C"/>
    <w:rsid w:val="00E611DF"/>
    <w:rsid w:val="00E61AA4"/>
    <w:rsid w:val="00E63ABC"/>
    <w:rsid w:val="00E64A1A"/>
    <w:rsid w:val="00E65DF6"/>
    <w:rsid w:val="00E65E3C"/>
    <w:rsid w:val="00E65E79"/>
    <w:rsid w:val="00E662B6"/>
    <w:rsid w:val="00E66BA2"/>
    <w:rsid w:val="00E6708F"/>
    <w:rsid w:val="00E67416"/>
    <w:rsid w:val="00E67695"/>
    <w:rsid w:val="00E7062D"/>
    <w:rsid w:val="00E7095E"/>
    <w:rsid w:val="00E715DE"/>
    <w:rsid w:val="00E718B6"/>
    <w:rsid w:val="00E71E41"/>
    <w:rsid w:val="00E723BA"/>
    <w:rsid w:val="00E72650"/>
    <w:rsid w:val="00E72A54"/>
    <w:rsid w:val="00E72D63"/>
    <w:rsid w:val="00E73581"/>
    <w:rsid w:val="00E73827"/>
    <w:rsid w:val="00E73D96"/>
    <w:rsid w:val="00E73EA5"/>
    <w:rsid w:val="00E73FE0"/>
    <w:rsid w:val="00E74E9B"/>
    <w:rsid w:val="00E750CE"/>
    <w:rsid w:val="00E7605D"/>
    <w:rsid w:val="00E76220"/>
    <w:rsid w:val="00E77643"/>
    <w:rsid w:val="00E776CB"/>
    <w:rsid w:val="00E778A6"/>
    <w:rsid w:val="00E77BBE"/>
    <w:rsid w:val="00E802C4"/>
    <w:rsid w:val="00E82751"/>
    <w:rsid w:val="00E833F7"/>
    <w:rsid w:val="00E834B9"/>
    <w:rsid w:val="00E83BDF"/>
    <w:rsid w:val="00E83C93"/>
    <w:rsid w:val="00E84396"/>
    <w:rsid w:val="00E85112"/>
    <w:rsid w:val="00E8516F"/>
    <w:rsid w:val="00E855C3"/>
    <w:rsid w:val="00E8696B"/>
    <w:rsid w:val="00E86FCC"/>
    <w:rsid w:val="00E87004"/>
    <w:rsid w:val="00E876D4"/>
    <w:rsid w:val="00E87A1D"/>
    <w:rsid w:val="00E9040C"/>
    <w:rsid w:val="00E9092B"/>
    <w:rsid w:val="00E9094A"/>
    <w:rsid w:val="00E91D35"/>
    <w:rsid w:val="00E926A5"/>
    <w:rsid w:val="00E92E32"/>
    <w:rsid w:val="00E939BE"/>
    <w:rsid w:val="00E9534A"/>
    <w:rsid w:val="00E95384"/>
    <w:rsid w:val="00E962CC"/>
    <w:rsid w:val="00E96325"/>
    <w:rsid w:val="00E96DFA"/>
    <w:rsid w:val="00E9765D"/>
    <w:rsid w:val="00EA1310"/>
    <w:rsid w:val="00EA17C3"/>
    <w:rsid w:val="00EA1888"/>
    <w:rsid w:val="00EA1B45"/>
    <w:rsid w:val="00EA1D31"/>
    <w:rsid w:val="00EA22A4"/>
    <w:rsid w:val="00EA2544"/>
    <w:rsid w:val="00EA2CAA"/>
    <w:rsid w:val="00EA3864"/>
    <w:rsid w:val="00EA566F"/>
    <w:rsid w:val="00EA5788"/>
    <w:rsid w:val="00EA5C6A"/>
    <w:rsid w:val="00EA6529"/>
    <w:rsid w:val="00EA6C55"/>
    <w:rsid w:val="00EA70D4"/>
    <w:rsid w:val="00EA732A"/>
    <w:rsid w:val="00EA75AA"/>
    <w:rsid w:val="00EA7D81"/>
    <w:rsid w:val="00EA7F1C"/>
    <w:rsid w:val="00EB0157"/>
    <w:rsid w:val="00EB093F"/>
    <w:rsid w:val="00EB0963"/>
    <w:rsid w:val="00EB15B6"/>
    <w:rsid w:val="00EB20E3"/>
    <w:rsid w:val="00EB2D38"/>
    <w:rsid w:val="00EB34CE"/>
    <w:rsid w:val="00EB36C8"/>
    <w:rsid w:val="00EB3D06"/>
    <w:rsid w:val="00EB4776"/>
    <w:rsid w:val="00EB4916"/>
    <w:rsid w:val="00EB5BCE"/>
    <w:rsid w:val="00EB5E37"/>
    <w:rsid w:val="00EB7E91"/>
    <w:rsid w:val="00EC00C9"/>
    <w:rsid w:val="00EC0735"/>
    <w:rsid w:val="00EC0DD9"/>
    <w:rsid w:val="00EC2649"/>
    <w:rsid w:val="00EC31ED"/>
    <w:rsid w:val="00EC37B6"/>
    <w:rsid w:val="00EC3B18"/>
    <w:rsid w:val="00EC46AE"/>
    <w:rsid w:val="00EC48B9"/>
    <w:rsid w:val="00EC5836"/>
    <w:rsid w:val="00EC688C"/>
    <w:rsid w:val="00EC6ED9"/>
    <w:rsid w:val="00EC6F70"/>
    <w:rsid w:val="00EC7395"/>
    <w:rsid w:val="00EC74BB"/>
    <w:rsid w:val="00EC7FEF"/>
    <w:rsid w:val="00ED0709"/>
    <w:rsid w:val="00ED12E3"/>
    <w:rsid w:val="00ED1F01"/>
    <w:rsid w:val="00ED2461"/>
    <w:rsid w:val="00ED2ECB"/>
    <w:rsid w:val="00ED2FC7"/>
    <w:rsid w:val="00ED2FEA"/>
    <w:rsid w:val="00ED3157"/>
    <w:rsid w:val="00ED3BB6"/>
    <w:rsid w:val="00ED3E09"/>
    <w:rsid w:val="00ED408E"/>
    <w:rsid w:val="00ED416C"/>
    <w:rsid w:val="00ED4B04"/>
    <w:rsid w:val="00ED5550"/>
    <w:rsid w:val="00ED57EA"/>
    <w:rsid w:val="00ED5BD4"/>
    <w:rsid w:val="00ED7124"/>
    <w:rsid w:val="00EE07D3"/>
    <w:rsid w:val="00EE1996"/>
    <w:rsid w:val="00EE1C01"/>
    <w:rsid w:val="00EE22AF"/>
    <w:rsid w:val="00EE26AC"/>
    <w:rsid w:val="00EE2946"/>
    <w:rsid w:val="00EE2A9E"/>
    <w:rsid w:val="00EE3031"/>
    <w:rsid w:val="00EE5627"/>
    <w:rsid w:val="00EF00E8"/>
    <w:rsid w:val="00EF0171"/>
    <w:rsid w:val="00EF1B25"/>
    <w:rsid w:val="00EF1DA0"/>
    <w:rsid w:val="00EF2682"/>
    <w:rsid w:val="00EF271D"/>
    <w:rsid w:val="00EF3494"/>
    <w:rsid w:val="00EF349D"/>
    <w:rsid w:val="00EF3A02"/>
    <w:rsid w:val="00EF4747"/>
    <w:rsid w:val="00EF492F"/>
    <w:rsid w:val="00EF4BF8"/>
    <w:rsid w:val="00EF4C1B"/>
    <w:rsid w:val="00EF4EE1"/>
    <w:rsid w:val="00EF54F3"/>
    <w:rsid w:val="00EF6322"/>
    <w:rsid w:val="00EF651D"/>
    <w:rsid w:val="00EF73CA"/>
    <w:rsid w:val="00F01332"/>
    <w:rsid w:val="00F01340"/>
    <w:rsid w:val="00F01F30"/>
    <w:rsid w:val="00F01FD2"/>
    <w:rsid w:val="00F02253"/>
    <w:rsid w:val="00F02E23"/>
    <w:rsid w:val="00F03C2E"/>
    <w:rsid w:val="00F04147"/>
    <w:rsid w:val="00F04A66"/>
    <w:rsid w:val="00F04B4B"/>
    <w:rsid w:val="00F0516C"/>
    <w:rsid w:val="00F063C7"/>
    <w:rsid w:val="00F067A2"/>
    <w:rsid w:val="00F071D4"/>
    <w:rsid w:val="00F07B9E"/>
    <w:rsid w:val="00F1116F"/>
    <w:rsid w:val="00F1263A"/>
    <w:rsid w:val="00F12E2A"/>
    <w:rsid w:val="00F139C5"/>
    <w:rsid w:val="00F15027"/>
    <w:rsid w:val="00F156EF"/>
    <w:rsid w:val="00F15B66"/>
    <w:rsid w:val="00F15B77"/>
    <w:rsid w:val="00F1645C"/>
    <w:rsid w:val="00F16F30"/>
    <w:rsid w:val="00F17098"/>
    <w:rsid w:val="00F2084E"/>
    <w:rsid w:val="00F21236"/>
    <w:rsid w:val="00F21CDC"/>
    <w:rsid w:val="00F21E15"/>
    <w:rsid w:val="00F22716"/>
    <w:rsid w:val="00F239DF"/>
    <w:rsid w:val="00F2421E"/>
    <w:rsid w:val="00F24297"/>
    <w:rsid w:val="00F24837"/>
    <w:rsid w:val="00F24942"/>
    <w:rsid w:val="00F2564E"/>
    <w:rsid w:val="00F2575F"/>
    <w:rsid w:val="00F26690"/>
    <w:rsid w:val="00F26887"/>
    <w:rsid w:val="00F27565"/>
    <w:rsid w:val="00F310D4"/>
    <w:rsid w:val="00F31D5A"/>
    <w:rsid w:val="00F31FB6"/>
    <w:rsid w:val="00F32952"/>
    <w:rsid w:val="00F32B71"/>
    <w:rsid w:val="00F332B2"/>
    <w:rsid w:val="00F33975"/>
    <w:rsid w:val="00F33DE9"/>
    <w:rsid w:val="00F35E6D"/>
    <w:rsid w:val="00F3619A"/>
    <w:rsid w:val="00F3619E"/>
    <w:rsid w:val="00F40483"/>
    <w:rsid w:val="00F4056B"/>
    <w:rsid w:val="00F40AAA"/>
    <w:rsid w:val="00F40BA7"/>
    <w:rsid w:val="00F40F9D"/>
    <w:rsid w:val="00F41ACD"/>
    <w:rsid w:val="00F41CDE"/>
    <w:rsid w:val="00F4328B"/>
    <w:rsid w:val="00F43800"/>
    <w:rsid w:val="00F43D98"/>
    <w:rsid w:val="00F446E4"/>
    <w:rsid w:val="00F458A3"/>
    <w:rsid w:val="00F45CB7"/>
    <w:rsid w:val="00F465B5"/>
    <w:rsid w:val="00F466A0"/>
    <w:rsid w:val="00F46CB6"/>
    <w:rsid w:val="00F46FDE"/>
    <w:rsid w:val="00F472EF"/>
    <w:rsid w:val="00F4756D"/>
    <w:rsid w:val="00F47DE8"/>
    <w:rsid w:val="00F50652"/>
    <w:rsid w:val="00F514F0"/>
    <w:rsid w:val="00F51800"/>
    <w:rsid w:val="00F5205E"/>
    <w:rsid w:val="00F532B4"/>
    <w:rsid w:val="00F542C1"/>
    <w:rsid w:val="00F544B4"/>
    <w:rsid w:val="00F550E3"/>
    <w:rsid w:val="00F55E16"/>
    <w:rsid w:val="00F55E73"/>
    <w:rsid w:val="00F55EDA"/>
    <w:rsid w:val="00F56B68"/>
    <w:rsid w:val="00F56C80"/>
    <w:rsid w:val="00F56D93"/>
    <w:rsid w:val="00F57614"/>
    <w:rsid w:val="00F57D3B"/>
    <w:rsid w:val="00F60061"/>
    <w:rsid w:val="00F60092"/>
    <w:rsid w:val="00F6063C"/>
    <w:rsid w:val="00F607B9"/>
    <w:rsid w:val="00F61559"/>
    <w:rsid w:val="00F61C18"/>
    <w:rsid w:val="00F61D7A"/>
    <w:rsid w:val="00F62A3C"/>
    <w:rsid w:val="00F62CE4"/>
    <w:rsid w:val="00F63008"/>
    <w:rsid w:val="00F6413A"/>
    <w:rsid w:val="00F65F4B"/>
    <w:rsid w:val="00F67A69"/>
    <w:rsid w:val="00F67D45"/>
    <w:rsid w:val="00F70079"/>
    <w:rsid w:val="00F701D4"/>
    <w:rsid w:val="00F7028A"/>
    <w:rsid w:val="00F70606"/>
    <w:rsid w:val="00F70BFF"/>
    <w:rsid w:val="00F70C9D"/>
    <w:rsid w:val="00F718F3"/>
    <w:rsid w:val="00F71E5E"/>
    <w:rsid w:val="00F72881"/>
    <w:rsid w:val="00F73E08"/>
    <w:rsid w:val="00F73F11"/>
    <w:rsid w:val="00F74311"/>
    <w:rsid w:val="00F74CD9"/>
    <w:rsid w:val="00F75B97"/>
    <w:rsid w:val="00F75E61"/>
    <w:rsid w:val="00F75EFE"/>
    <w:rsid w:val="00F77E41"/>
    <w:rsid w:val="00F80A7B"/>
    <w:rsid w:val="00F80E5D"/>
    <w:rsid w:val="00F814F5"/>
    <w:rsid w:val="00F81653"/>
    <w:rsid w:val="00F81E78"/>
    <w:rsid w:val="00F824D0"/>
    <w:rsid w:val="00F825AD"/>
    <w:rsid w:val="00F829D4"/>
    <w:rsid w:val="00F82B62"/>
    <w:rsid w:val="00F83916"/>
    <w:rsid w:val="00F84611"/>
    <w:rsid w:val="00F84F0C"/>
    <w:rsid w:val="00F851CE"/>
    <w:rsid w:val="00F85CCA"/>
    <w:rsid w:val="00F860C7"/>
    <w:rsid w:val="00F868D1"/>
    <w:rsid w:val="00F90C42"/>
    <w:rsid w:val="00F91219"/>
    <w:rsid w:val="00F921BE"/>
    <w:rsid w:val="00F92444"/>
    <w:rsid w:val="00F935BC"/>
    <w:rsid w:val="00F9393E"/>
    <w:rsid w:val="00F94234"/>
    <w:rsid w:val="00F94927"/>
    <w:rsid w:val="00F94F1D"/>
    <w:rsid w:val="00F94FE8"/>
    <w:rsid w:val="00F9551C"/>
    <w:rsid w:val="00F968E4"/>
    <w:rsid w:val="00F96CB4"/>
    <w:rsid w:val="00F96FD0"/>
    <w:rsid w:val="00F97370"/>
    <w:rsid w:val="00F973A2"/>
    <w:rsid w:val="00F97A78"/>
    <w:rsid w:val="00F97F03"/>
    <w:rsid w:val="00FA0149"/>
    <w:rsid w:val="00FA01AB"/>
    <w:rsid w:val="00FA022D"/>
    <w:rsid w:val="00FA0279"/>
    <w:rsid w:val="00FA0815"/>
    <w:rsid w:val="00FA0B20"/>
    <w:rsid w:val="00FA1873"/>
    <w:rsid w:val="00FA1B90"/>
    <w:rsid w:val="00FA1E7C"/>
    <w:rsid w:val="00FA24E7"/>
    <w:rsid w:val="00FA3BE0"/>
    <w:rsid w:val="00FA4446"/>
    <w:rsid w:val="00FA520E"/>
    <w:rsid w:val="00FA599B"/>
    <w:rsid w:val="00FA5EE6"/>
    <w:rsid w:val="00FA7126"/>
    <w:rsid w:val="00FA7631"/>
    <w:rsid w:val="00FA7956"/>
    <w:rsid w:val="00FB00DD"/>
    <w:rsid w:val="00FB04C0"/>
    <w:rsid w:val="00FB0824"/>
    <w:rsid w:val="00FB0C59"/>
    <w:rsid w:val="00FB1662"/>
    <w:rsid w:val="00FB2EFC"/>
    <w:rsid w:val="00FB2FCB"/>
    <w:rsid w:val="00FB3E0F"/>
    <w:rsid w:val="00FB41E4"/>
    <w:rsid w:val="00FB44D7"/>
    <w:rsid w:val="00FB4A0D"/>
    <w:rsid w:val="00FB4B09"/>
    <w:rsid w:val="00FB4C9C"/>
    <w:rsid w:val="00FB5947"/>
    <w:rsid w:val="00FB597F"/>
    <w:rsid w:val="00FB61FD"/>
    <w:rsid w:val="00FB73F5"/>
    <w:rsid w:val="00FB7BFA"/>
    <w:rsid w:val="00FB7C55"/>
    <w:rsid w:val="00FC00B1"/>
    <w:rsid w:val="00FC099A"/>
    <w:rsid w:val="00FC1074"/>
    <w:rsid w:val="00FC15A6"/>
    <w:rsid w:val="00FC1884"/>
    <w:rsid w:val="00FC2059"/>
    <w:rsid w:val="00FC2092"/>
    <w:rsid w:val="00FC2B35"/>
    <w:rsid w:val="00FC2C49"/>
    <w:rsid w:val="00FC31CA"/>
    <w:rsid w:val="00FC34E6"/>
    <w:rsid w:val="00FC371D"/>
    <w:rsid w:val="00FC3899"/>
    <w:rsid w:val="00FC39EB"/>
    <w:rsid w:val="00FC3DE7"/>
    <w:rsid w:val="00FC5C3F"/>
    <w:rsid w:val="00FC5F0B"/>
    <w:rsid w:val="00FC614E"/>
    <w:rsid w:val="00FC6163"/>
    <w:rsid w:val="00FC7A2F"/>
    <w:rsid w:val="00FC7E05"/>
    <w:rsid w:val="00FD0B1C"/>
    <w:rsid w:val="00FD0E07"/>
    <w:rsid w:val="00FD2100"/>
    <w:rsid w:val="00FD32C9"/>
    <w:rsid w:val="00FD3B91"/>
    <w:rsid w:val="00FD436C"/>
    <w:rsid w:val="00FD446D"/>
    <w:rsid w:val="00FD4649"/>
    <w:rsid w:val="00FD4ED6"/>
    <w:rsid w:val="00FD4F2C"/>
    <w:rsid w:val="00FD52DD"/>
    <w:rsid w:val="00FD53F6"/>
    <w:rsid w:val="00FD587E"/>
    <w:rsid w:val="00FD5BAC"/>
    <w:rsid w:val="00FD616E"/>
    <w:rsid w:val="00FD6394"/>
    <w:rsid w:val="00FD7D88"/>
    <w:rsid w:val="00FE0672"/>
    <w:rsid w:val="00FE09EA"/>
    <w:rsid w:val="00FE0E6C"/>
    <w:rsid w:val="00FE13D2"/>
    <w:rsid w:val="00FE14EA"/>
    <w:rsid w:val="00FE14FA"/>
    <w:rsid w:val="00FE1AB0"/>
    <w:rsid w:val="00FE1CDC"/>
    <w:rsid w:val="00FE23A8"/>
    <w:rsid w:val="00FE258E"/>
    <w:rsid w:val="00FE4431"/>
    <w:rsid w:val="00FE47DA"/>
    <w:rsid w:val="00FE553C"/>
    <w:rsid w:val="00FE70C3"/>
    <w:rsid w:val="00FE71B3"/>
    <w:rsid w:val="00FE7676"/>
    <w:rsid w:val="00FE79EC"/>
    <w:rsid w:val="00FF01F6"/>
    <w:rsid w:val="00FF1A8B"/>
    <w:rsid w:val="00FF2A01"/>
    <w:rsid w:val="00FF2AD9"/>
    <w:rsid w:val="00FF2DF6"/>
    <w:rsid w:val="00FF33F7"/>
    <w:rsid w:val="00FF359F"/>
    <w:rsid w:val="00FF3DCF"/>
    <w:rsid w:val="00FF492C"/>
    <w:rsid w:val="00FF4A21"/>
    <w:rsid w:val="00FF4CF4"/>
    <w:rsid w:val="00FF514A"/>
    <w:rsid w:val="00FF5AA3"/>
    <w:rsid w:val="00FF5AD8"/>
    <w:rsid w:val="00FF5E35"/>
    <w:rsid w:val="00FF69CF"/>
    <w:rsid w:val="00FF6EEB"/>
    <w:rsid w:val="00FF798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next w:val="Normal"/>
    <w:link w:val="Heading2Char"/>
    <w:rsid w:val="00D410E4"/>
    <w:pPr>
      <w:outlineLvl w:val="1"/>
    </w:pPr>
    <w:rPr>
      <w:rFonts w:ascii="Calibri" w:hAnsi="Calibri" w:cs="Arial"/>
      <w:b/>
      <w:i/>
      <w:sz w:val="28"/>
      <w:szCs w:val="24"/>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410E4"/>
    <w:rPr>
      <w:rFonts w:ascii="Calibri" w:hAnsi="Calibri" w:cs="Arial"/>
      <w:b/>
      <w:i/>
      <w:sz w:val="28"/>
      <w:szCs w:val="24"/>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COMexecsummbulletlist">
    <w:name w:val="COM exec summ bullet list"/>
    <w:basedOn w:val="ListParagraph"/>
    <w:link w:val="COMexecsummbulletlistChar"/>
    <w:qFormat/>
    <w:rsid w:val="00DB0020"/>
  </w:style>
  <w:style w:type="paragraph" w:customStyle="1" w:styleId="COMexecsummmainissuesbullets">
    <w:name w:val="COM exec summ main issues bullets"/>
    <w:basedOn w:val="ListParagraph"/>
    <w:link w:val="COMexecsummmainissuesbulletsChar"/>
    <w:qFormat/>
    <w:rsid w:val="00873F7A"/>
    <w:pPr>
      <w:numPr>
        <w:numId w:val="5"/>
      </w:numPr>
    </w:pPr>
  </w:style>
  <w:style w:type="character" w:customStyle="1" w:styleId="COMexecsummbulletlistChar">
    <w:name w:val="COM exec summ bullet list Char"/>
    <w:basedOn w:val="ListParagraphChar"/>
    <w:link w:val="COMexecsummbulletlist"/>
    <w:rsid w:val="00DB0020"/>
    <w:rPr>
      <w:rFonts w:asciiTheme="minorHAnsi" w:hAnsiTheme="minorHAnsi" w:cs="Arial"/>
      <w:snapToGrid w:val="0"/>
      <w:sz w:val="24"/>
      <w:szCs w:val="24"/>
    </w:rPr>
  </w:style>
  <w:style w:type="paragraph" w:customStyle="1" w:styleId="COMH3">
    <w:name w:val="COM H3"/>
    <w:basedOn w:val="Normal"/>
    <w:next w:val="Normal"/>
    <w:link w:val="COMH3Char"/>
    <w:qFormat/>
    <w:rsid w:val="001C7B1F"/>
    <w:pPr>
      <w:keepNext/>
      <w:spacing w:after="240"/>
      <w:outlineLvl w:val="2"/>
    </w:pPr>
    <w:rPr>
      <w:b/>
      <w:iCs/>
      <w:sz w:val="28"/>
    </w:rPr>
  </w:style>
  <w:style w:type="paragraph" w:styleId="ListParagraph">
    <w:name w:val="List Paragraph"/>
    <w:aliases w:val="Body Text Bullet Points,Numbered para,BulletPoints,List Paragraph1,Bullet point,List Paragraph11,Recommendation,Section heading,Footnote,Styl moj,Akapit z listą11,Table Legend,ES Paragraph,PBAC ES Paragraph,PBAC normal points,Bullet List"/>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paragraph" w:styleId="ListBullet">
    <w:name w:val="List Bullet"/>
    <w:aliases w:val="zz List Bullet"/>
    <w:basedOn w:val="Normal"/>
    <w:link w:val="ListBulletChar"/>
    <w:unhideWhenUsed/>
    <w:rsid w:val="00EE1996"/>
    <w:pPr>
      <w:numPr>
        <w:numId w:val="4"/>
      </w:numPr>
      <w:contextualSpacing/>
    </w:p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Styl moj Char,Akapit z listą11 Char"/>
    <w:basedOn w:val="DefaultParagraphFont"/>
    <w:link w:val="ListParagraph"/>
    <w:uiPriority w:val="34"/>
    <w:qFormat/>
    <w:locked/>
    <w:rsid w:val="00BB00B3"/>
    <w:rPr>
      <w:rFonts w:asciiTheme="minorHAnsi" w:hAnsiTheme="minorHAnsi" w:cs="Arial"/>
      <w:snapToGrid w:val="0"/>
      <w:sz w:val="24"/>
      <w:szCs w:val="24"/>
    </w:rPr>
  </w:style>
  <w:style w:type="table" w:styleId="TableGrid">
    <w:name w:val="Table Grid"/>
    <w:aliases w:val="Summary box,Table Gridbeth,CMA Table Template,ASD Table,Lash Style Table,PBAC table,new style,MSD Table Grid,HTAtableplain,Dossier table,Summary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H2-numbered">
    <w:name w:val="COM H2 - numbered"/>
    <w:basedOn w:val="Heading2"/>
    <w:link w:val="COMH2-numberedChar"/>
    <w:qFormat/>
    <w:rsid w:val="00721EA3"/>
    <w:pPr>
      <w:keepNext/>
      <w:spacing w:after="240"/>
    </w:pPr>
  </w:style>
  <w:style w:type="paragraph" w:styleId="TOC2">
    <w:name w:val="toc 2"/>
    <w:basedOn w:val="Normal"/>
    <w:next w:val="Normal"/>
    <w:autoRedefine/>
    <w:uiPriority w:val="39"/>
    <w:rsid w:val="00F62A3C"/>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customStyle="1" w:styleId="COMexecsummmainissuesbulletsChar">
    <w:name w:val="COM exec summ main issues bullets Char"/>
    <w:basedOn w:val="ListParagraphChar"/>
    <w:link w:val="COMexecsummmainissuesbullets"/>
    <w:rsid w:val="00873F7A"/>
    <w:rPr>
      <w:rFonts w:asciiTheme="minorHAnsi" w:hAnsiTheme="minorHAnsi" w:cs="Arial"/>
      <w:snapToGrid w:val="0"/>
      <w:sz w:val="24"/>
      <w:szCs w:val="24"/>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character" w:customStyle="1" w:styleId="COMH2-numberedChar">
    <w:name w:val="COM H2 - numbered Char"/>
    <w:basedOn w:val="Heading2Char"/>
    <w:link w:val="COMH2-numbered"/>
    <w:rsid w:val="00721EA3"/>
    <w:rPr>
      <w:rFonts w:ascii="Calibri" w:hAnsi="Calibri" w:cs="Arial"/>
      <w:b/>
      <w:i/>
      <w:sz w:val="28"/>
      <w:szCs w:val="24"/>
    </w:rPr>
  </w:style>
  <w:style w:type="paragraph" w:customStyle="1" w:styleId="COMH4">
    <w:name w:val="COM H4"/>
    <w:basedOn w:val="Normal"/>
    <w:link w:val="COMH4Char"/>
    <w:qFormat/>
    <w:rsid w:val="002F08DA"/>
    <w:pPr>
      <w:keepNext/>
      <w:spacing w:after="120"/>
    </w:pPr>
    <w:rPr>
      <w:b/>
      <w:i/>
    </w:rPr>
  </w:style>
  <w:style w:type="character" w:customStyle="1" w:styleId="COMH3Char">
    <w:name w:val="COM H3 Char"/>
    <w:basedOn w:val="DefaultParagraphFont"/>
    <w:link w:val="COMH3"/>
    <w:rsid w:val="001C7B1F"/>
    <w:rPr>
      <w:rFonts w:ascii="Calibri" w:hAnsi="Calibri" w:cs="Arial"/>
      <w:b/>
      <w:iCs/>
      <w:sz w:val="28"/>
      <w:szCs w:val="24"/>
    </w:rPr>
  </w:style>
  <w:style w:type="paragraph" w:customStyle="1" w:styleId="COMbodybulletlist">
    <w:name w:val="COM body bullet list"/>
    <w:basedOn w:val="ListBullet"/>
    <w:link w:val="COMbodybulletlistChar"/>
    <w:qFormat/>
    <w:rsid w:val="00894E87"/>
  </w:style>
  <w:style w:type="character" w:customStyle="1" w:styleId="COMH4Char">
    <w:name w:val="COM H4 Char"/>
    <w:basedOn w:val="DefaultParagraphFont"/>
    <w:link w:val="COMH4"/>
    <w:rsid w:val="002F08DA"/>
    <w:rPr>
      <w:rFonts w:ascii="Calibri" w:hAnsi="Calibri" w:cs="Arial"/>
      <w:b/>
      <w:i/>
      <w:sz w:val="24"/>
      <w:szCs w:val="24"/>
    </w:rPr>
  </w:style>
  <w:style w:type="paragraph" w:customStyle="1" w:styleId="zzBulletpoints">
    <w:name w:val="zz Bullet points"/>
    <w:basedOn w:val="ListParagraph"/>
    <w:rsid w:val="00B70E8E"/>
    <w:pPr>
      <w:numPr>
        <w:numId w:val="2"/>
      </w:numPr>
      <w:contextualSpacing/>
    </w:pPr>
  </w:style>
  <w:style w:type="paragraph" w:customStyle="1" w:styleId="COMBody">
    <w:name w:val="COM Body"/>
    <w:basedOn w:val="Normal"/>
    <w:link w:val="COMBodyChar"/>
    <w:qFormat/>
    <w:rsid w:val="00894E87"/>
  </w:style>
  <w:style w:type="character" w:customStyle="1" w:styleId="ListBulletChar">
    <w:name w:val="List Bullet Char"/>
    <w:aliases w:val="zz List Bullet Char"/>
    <w:basedOn w:val="DefaultParagraphFont"/>
    <w:link w:val="ListBullet"/>
    <w:rsid w:val="00894E87"/>
    <w:rPr>
      <w:rFonts w:ascii="Calibri" w:hAnsi="Calibri" w:cs="Arial"/>
      <w:sz w:val="24"/>
      <w:szCs w:val="24"/>
    </w:rPr>
  </w:style>
  <w:style w:type="paragraph" w:styleId="Revision">
    <w:name w:val="Revision"/>
    <w:hidden/>
    <w:uiPriority w:val="99"/>
    <w:semiHidden/>
    <w:rsid w:val="00043C37"/>
    <w:rPr>
      <w:rFonts w:ascii="Arial" w:hAnsi="Arial" w:cs="Arial"/>
      <w:snapToGrid w:val="0"/>
      <w:sz w:val="22"/>
      <w:lang w:eastAsia="en-US"/>
    </w:rPr>
  </w:style>
  <w:style w:type="character" w:customStyle="1" w:styleId="COMbodybulletlistChar">
    <w:name w:val="COM body bullet list Char"/>
    <w:basedOn w:val="ListBulletChar"/>
    <w:link w:val="COMbodybulletlist"/>
    <w:rsid w:val="00894E87"/>
    <w:rPr>
      <w:rFonts w:ascii="Calibri" w:hAnsi="Calibri" w:cs="Arial"/>
      <w:sz w:val="24"/>
      <w:szCs w:val="24"/>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character" w:customStyle="1" w:styleId="COMBodyChar">
    <w:name w:val="COM Body Char"/>
    <w:basedOn w:val="DefaultParagraphFont"/>
    <w:link w:val="COMBody"/>
    <w:rsid w:val="00894E87"/>
    <w:rPr>
      <w:rFonts w:ascii="Calibri" w:hAnsi="Calibri" w:cs="Arial"/>
      <w:sz w:val="24"/>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COMTabletext">
    <w:name w:val="COM Table text"/>
    <w:link w:val="COMTabletextChar"/>
    <w:qFormat/>
    <w:rsid w:val="00EE1996"/>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EE1996"/>
    <w:rPr>
      <w:rFonts w:ascii="Arial Narrow" w:eastAsiaTheme="majorEastAsia" w:hAnsi="Arial Narrow" w:cstheme="majorBidi"/>
      <w:bCs/>
      <w:szCs w:val="24"/>
    </w:rPr>
  </w:style>
  <w:style w:type="paragraph" w:customStyle="1" w:styleId="COMTableheadingrow">
    <w:name w:val="COM Table heading row"/>
    <w:qFormat/>
    <w:rsid w:val="00EE1996"/>
    <w:pPr>
      <w:keepNext/>
    </w:pPr>
    <w:rPr>
      <w:rFonts w:ascii="Arial Narrow" w:eastAsiaTheme="majorEastAsia" w:hAnsi="Arial Narrow"/>
      <w:b/>
      <w:szCs w:val="24"/>
      <w:lang w:val="en-US"/>
    </w:rPr>
  </w:style>
  <w:style w:type="paragraph" w:customStyle="1" w:styleId="COMH1numbered">
    <w:name w:val="COM H1 numbered"/>
    <w:next w:val="Normal"/>
    <w:link w:val="COMH1numberedChar"/>
    <w:qFormat/>
    <w:rsid w:val="00163E81"/>
    <w:pPr>
      <w:keepNext/>
      <w:numPr>
        <w:numId w:val="1"/>
      </w:numPr>
      <w:spacing w:before="240" w:after="120"/>
      <w:outlineLvl w:val="0"/>
    </w:pPr>
    <w:rPr>
      <w:rFonts w:asciiTheme="minorHAnsi" w:hAnsiTheme="minorHAnsi" w:cs="Arial"/>
      <w:b/>
      <w:snapToGrid w:val="0"/>
      <w:sz w:val="32"/>
      <w:szCs w:val="32"/>
    </w:rPr>
  </w:style>
  <w:style w:type="paragraph" w:customStyle="1" w:styleId="COMH1-non-numbered">
    <w:name w:val="COM H1 - non-numbered"/>
    <w:next w:val="Normal"/>
    <w:link w:val="COMH1-non-numberedChar"/>
    <w:qFormat/>
    <w:rsid w:val="00603248"/>
    <w:pPr>
      <w:keepNext/>
      <w:spacing w:before="120" w:after="160"/>
      <w:ind w:left="720" w:hanging="720"/>
      <w:outlineLvl w:val="0"/>
    </w:pPr>
    <w:rPr>
      <w:rFonts w:asciiTheme="minorHAnsi" w:eastAsiaTheme="majorEastAsia" w:hAnsiTheme="minorHAnsi" w:cstheme="majorBidi"/>
      <w:b/>
      <w:spacing w:val="5"/>
      <w:kern w:val="28"/>
      <w:sz w:val="32"/>
      <w:szCs w:val="36"/>
    </w:rPr>
  </w:style>
  <w:style w:type="character" w:customStyle="1" w:styleId="COMH1-non-numberedChar">
    <w:name w:val="COM H1 - non-numbered Char"/>
    <w:basedOn w:val="DefaultParagraphFont"/>
    <w:link w:val="COMH1-non-numbered"/>
    <w:rsid w:val="00603248"/>
    <w:rPr>
      <w:rFonts w:asciiTheme="minorHAnsi" w:eastAsiaTheme="majorEastAsia" w:hAnsiTheme="minorHAnsi" w:cstheme="majorBidi"/>
      <w:b/>
      <w:spacing w:val="5"/>
      <w:kern w:val="28"/>
      <w:sz w:val="32"/>
      <w:szCs w:val="36"/>
    </w:rPr>
  </w:style>
  <w:style w:type="paragraph" w:customStyle="1" w:styleId="COMtablefigcaption">
    <w:name w:val="COM table/fig caption"/>
    <w:next w:val="COMTableheadingrow"/>
    <w:link w:val="COMtablefigcaptionChar"/>
    <w:qFormat/>
    <w:rsid w:val="00CC7DEE"/>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CC7DEE"/>
    <w:rPr>
      <w:rFonts w:ascii="Arial Narrow" w:eastAsiaTheme="majorEastAsia" w:hAnsi="Arial Narrow" w:cstheme="majorBidi"/>
      <w:b/>
      <w:bCs/>
      <w:szCs w:val="24"/>
    </w:rPr>
  </w:style>
  <w:style w:type="paragraph" w:customStyle="1" w:styleId="COMexecsumnumberedpara">
    <w:name w:val="COM exec sum numbered para"/>
    <w:basedOn w:val="ListParagraph"/>
    <w:link w:val="COMexecsumnumberedparaChar"/>
    <w:qFormat/>
    <w:rsid w:val="00E0706E"/>
    <w:pPr>
      <w:numPr>
        <w:ilvl w:val="1"/>
        <w:numId w:val="1"/>
      </w:numPr>
    </w:pPr>
  </w:style>
  <w:style w:type="character" w:customStyle="1" w:styleId="COMexecsumnumberedparaChar">
    <w:name w:val="COM exec sum numbered para Char"/>
    <w:basedOn w:val="ListParagraphChar"/>
    <w:link w:val="COMexecsumnumberedpara"/>
    <w:rsid w:val="00E0706E"/>
    <w:rPr>
      <w:rFonts w:asciiTheme="minorHAnsi" w:hAnsiTheme="minorHAnsi" w:cs="Arial"/>
      <w:snapToGrid w:val="0"/>
      <w:sz w:val="24"/>
      <w:szCs w:val="24"/>
    </w:rPr>
  </w:style>
  <w:style w:type="paragraph" w:customStyle="1" w:styleId="COMTablefooter">
    <w:name w:val="COM Table footer"/>
    <w:basedOn w:val="Normal"/>
    <w:link w:val="COMTablefooterChar"/>
    <w:qFormat/>
    <w:rsid w:val="00EC5836"/>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EC5836"/>
    <w:rPr>
      <w:rFonts w:ascii="Arial Narrow" w:hAnsi="Arial Narrow" w:cs="Arial"/>
      <w:snapToGrid w:val="0"/>
      <w:sz w:val="18"/>
      <w:szCs w:val="22"/>
    </w:rPr>
  </w:style>
  <w:style w:type="paragraph" w:customStyle="1" w:styleId="COMH2-non-numbered">
    <w:name w:val="COM H2 - non-numbered"/>
    <w:basedOn w:val="Heading2"/>
    <w:next w:val="Normal"/>
    <w:link w:val="COMH2-non-numbered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COMH2-non-numberedChar">
    <w:name w:val="COM H2 - non-numbered Char"/>
    <w:basedOn w:val="Heading2Char"/>
    <w:link w:val="COMH2-non-numbered"/>
    <w:rsid w:val="00EE1996"/>
    <w:rPr>
      <w:rFonts w:asciiTheme="minorHAnsi" w:eastAsiaTheme="majorEastAsia" w:hAnsiTheme="minorHAnsi" w:cstheme="majorBidi"/>
      <w:b/>
      <w:i/>
      <w:snapToGrid w:val="0"/>
      <w:spacing w:val="5"/>
      <w:kern w:val="28"/>
      <w:sz w:val="28"/>
      <w:szCs w:val="36"/>
      <w:lang w:eastAsia="en-US"/>
    </w:rPr>
  </w:style>
  <w:style w:type="character" w:customStyle="1" w:styleId="COMH1numberedChar">
    <w:name w:val="COM H1 numbered Char"/>
    <w:basedOn w:val="DefaultParagraphFont"/>
    <w:link w:val="COMH1numbered"/>
    <w:rsid w:val="00163E81"/>
    <w:rPr>
      <w:rFonts w:asciiTheme="minorHAnsi" w:hAnsiTheme="minorHAnsi" w:cs="Arial"/>
      <w:b/>
      <w:snapToGrid w:val="0"/>
      <w:sz w:val="32"/>
      <w:szCs w:val="32"/>
    </w:rPr>
  </w:style>
  <w:style w:type="paragraph" w:customStyle="1" w:styleId="TableFigureFooter">
    <w:name w:val="Table/Figure Footer"/>
    <w:basedOn w:val="Normal"/>
    <w:link w:val="TableFigureFooterChar"/>
    <w:qFormat/>
    <w:rsid w:val="00F94F1D"/>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F94F1D"/>
    <w:rPr>
      <w:rFonts w:ascii="Arial Narrow" w:hAnsi="Arial Narrow" w:cs="Arial"/>
      <w:snapToGrid w:val="0"/>
      <w:sz w:val="18"/>
      <w:szCs w:val="22"/>
    </w:rPr>
  </w:style>
  <w:style w:type="paragraph" w:customStyle="1" w:styleId="3-SubsectionHeading">
    <w:name w:val="3-Subsection Heading"/>
    <w:basedOn w:val="Heading2"/>
    <w:next w:val="Normal"/>
    <w:link w:val="3-SubsectionHeadingChar"/>
    <w:qFormat/>
    <w:rsid w:val="00F94F1D"/>
    <w:pPr>
      <w:keepNext/>
      <w:spacing w:before="120" w:after="120"/>
      <w:jc w:val="both"/>
    </w:pPr>
    <w:rPr>
      <w:rFonts w:asciiTheme="minorHAnsi" w:eastAsiaTheme="majorEastAsia" w:hAnsiTheme="minorHAnsi" w:cstheme="majorBidi"/>
      <w:spacing w:val="5"/>
      <w:kern w:val="28"/>
      <w:szCs w:val="36"/>
    </w:rPr>
  </w:style>
  <w:style w:type="character" w:customStyle="1" w:styleId="3-SubsectionHeadingChar">
    <w:name w:val="3-Subsection Heading Char"/>
    <w:basedOn w:val="Heading2Char"/>
    <w:link w:val="3-SubsectionHeading"/>
    <w:rsid w:val="00F94F1D"/>
    <w:rPr>
      <w:rFonts w:asciiTheme="minorHAnsi" w:eastAsiaTheme="majorEastAsia" w:hAnsiTheme="minorHAnsi" w:cstheme="majorBidi"/>
      <w:b/>
      <w:i/>
      <w:spacing w:val="5"/>
      <w:kern w:val="28"/>
      <w:sz w:val="28"/>
      <w:szCs w:val="36"/>
    </w:rPr>
  </w:style>
  <w:style w:type="paragraph" w:customStyle="1" w:styleId="Tableheadingrow">
    <w:name w:val="Table heading row"/>
    <w:qFormat/>
    <w:rsid w:val="009539B8"/>
    <w:pPr>
      <w:keepNext/>
    </w:pPr>
    <w:rPr>
      <w:rFonts w:ascii="Arial Narrow" w:eastAsiaTheme="majorEastAsia" w:hAnsi="Arial Narrow"/>
      <w:b/>
      <w:szCs w:val="24"/>
      <w:lang w:val="en-US"/>
    </w:rPr>
  </w:style>
  <w:style w:type="paragraph" w:customStyle="1" w:styleId="TableFootnotes">
    <w:name w:val="Table Footnotes"/>
    <w:basedOn w:val="Normal"/>
    <w:qFormat/>
    <w:rsid w:val="00487437"/>
    <w:pPr>
      <w:spacing w:after="360"/>
      <w:contextualSpacing/>
      <w:jc w:val="left"/>
    </w:pPr>
    <w:rPr>
      <w:rFonts w:ascii="Arial" w:hAnsi="Arial"/>
      <w:sz w:val="18"/>
      <w:szCs w:val="22"/>
    </w:rPr>
  </w:style>
  <w:style w:type="paragraph" w:customStyle="1" w:styleId="TableText">
    <w:name w:val="Table Text"/>
    <w:link w:val="TableTextChar"/>
    <w:qFormat/>
    <w:rsid w:val="00BD2633"/>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BD2633"/>
    <w:rPr>
      <w:rFonts w:ascii="Arial Narrow" w:eastAsiaTheme="majorEastAsia" w:hAnsi="Arial Narrow" w:cstheme="majorBidi"/>
      <w:bCs/>
      <w:szCs w:val="24"/>
    </w:rPr>
  </w:style>
  <w:style w:type="paragraph" w:customStyle="1" w:styleId="TableFooter">
    <w:name w:val="Table Footer"/>
    <w:basedOn w:val="Normal"/>
    <w:link w:val="TableFooterChar"/>
    <w:qFormat/>
    <w:rsid w:val="00FA1B90"/>
    <w:pPr>
      <w:widowControl w:val="0"/>
      <w:contextualSpacing/>
    </w:pPr>
    <w:rPr>
      <w:rFonts w:ascii="Arial Narrow" w:hAnsi="Arial Narrow"/>
      <w:snapToGrid w:val="0"/>
      <w:sz w:val="18"/>
      <w:szCs w:val="20"/>
      <w:lang w:eastAsia="en-US"/>
    </w:rPr>
  </w:style>
  <w:style w:type="character" w:customStyle="1" w:styleId="TableFooterChar">
    <w:name w:val="Table Footer Char"/>
    <w:link w:val="TableFooter"/>
    <w:rsid w:val="00FA1B90"/>
    <w:rPr>
      <w:rFonts w:ascii="Arial Narrow" w:hAnsi="Arial Narrow" w:cs="Arial"/>
      <w:snapToGrid w:val="0"/>
      <w:sz w:val="18"/>
      <w:lang w:eastAsia="en-US"/>
    </w:rPr>
  </w:style>
  <w:style w:type="character" w:styleId="CommentReference">
    <w:name w:val="annotation reference"/>
    <w:basedOn w:val="DefaultParagraphFont"/>
    <w:uiPriority w:val="99"/>
    <w:semiHidden/>
    <w:unhideWhenUsed/>
    <w:rsid w:val="00D6348D"/>
    <w:rPr>
      <w:sz w:val="16"/>
      <w:szCs w:val="16"/>
    </w:rPr>
  </w:style>
  <w:style w:type="paragraph" w:styleId="CommentText">
    <w:name w:val="annotation text"/>
    <w:basedOn w:val="Normal"/>
    <w:link w:val="CommentTextChar"/>
    <w:uiPriority w:val="99"/>
    <w:unhideWhenUsed/>
    <w:rsid w:val="00D6348D"/>
    <w:rPr>
      <w:sz w:val="20"/>
      <w:szCs w:val="20"/>
    </w:rPr>
  </w:style>
  <w:style w:type="character" w:customStyle="1" w:styleId="CommentTextChar">
    <w:name w:val="Comment Text Char"/>
    <w:basedOn w:val="DefaultParagraphFont"/>
    <w:link w:val="CommentText"/>
    <w:uiPriority w:val="99"/>
    <w:rsid w:val="00D6348D"/>
    <w:rPr>
      <w:rFonts w:ascii="Calibri" w:hAnsi="Calibri" w:cs="Arial"/>
    </w:rPr>
  </w:style>
  <w:style w:type="paragraph" w:styleId="CommentSubject">
    <w:name w:val="annotation subject"/>
    <w:basedOn w:val="CommentText"/>
    <w:next w:val="CommentText"/>
    <w:link w:val="CommentSubjectChar"/>
    <w:semiHidden/>
    <w:unhideWhenUsed/>
    <w:rsid w:val="00D6348D"/>
    <w:rPr>
      <w:b/>
      <w:bCs/>
    </w:rPr>
  </w:style>
  <w:style w:type="character" w:customStyle="1" w:styleId="CommentSubjectChar">
    <w:name w:val="Comment Subject Char"/>
    <w:basedOn w:val="CommentTextChar"/>
    <w:link w:val="CommentSubject"/>
    <w:semiHidden/>
    <w:rsid w:val="00D6348D"/>
    <w:rPr>
      <w:rFonts w:ascii="Calibri" w:hAnsi="Calibri" w:cs="Arial"/>
      <w:b/>
      <w:bCs/>
    </w:rPr>
  </w:style>
  <w:style w:type="paragraph" w:customStyle="1" w:styleId="TableHeading">
    <w:name w:val="Table Heading"/>
    <w:basedOn w:val="Normal"/>
    <w:link w:val="TableHeadingChar"/>
    <w:qFormat/>
    <w:rsid w:val="00233C7E"/>
    <w:pPr>
      <w:keepNext/>
      <w:jc w:val="left"/>
    </w:pPr>
    <w:rPr>
      <w:rFonts w:ascii="Arial Narrow" w:eastAsiaTheme="minorHAnsi" w:hAnsi="Arial Narrow" w:cstheme="minorBidi"/>
      <w:b/>
      <w:sz w:val="20"/>
      <w:szCs w:val="22"/>
      <w:lang w:eastAsia="en-US"/>
    </w:rPr>
  </w:style>
  <w:style w:type="character" w:customStyle="1" w:styleId="TableHeadingChar">
    <w:name w:val="Table Heading Char"/>
    <w:link w:val="TableHeading"/>
    <w:rsid w:val="00233C7E"/>
    <w:rPr>
      <w:rFonts w:ascii="Arial Narrow" w:eastAsiaTheme="minorHAnsi" w:hAnsi="Arial Narrow" w:cstheme="minorBidi"/>
      <w:b/>
      <w:szCs w:val="22"/>
      <w:lang w:eastAsia="en-US"/>
    </w:rPr>
  </w:style>
  <w:style w:type="paragraph" w:customStyle="1" w:styleId="TableFigureCaption">
    <w:name w:val="Table/Figure Caption"/>
    <w:next w:val="Tableheadingrow"/>
    <w:link w:val="TableFigureCaptionChar"/>
    <w:qFormat/>
    <w:rsid w:val="00233C7E"/>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233C7E"/>
    <w:rPr>
      <w:rFonts w:ascii="Arial Narrow" w:eastAsiaTheme="majorEastAsia" w:hAnsi="Arial Narrow" w:cstheme="majorBidi"/>
      <w:b/>
      <w:bCs/>
      <w:szCs w:val="24"/>
    </w:rPr>
  </w:style>
  <w:style w:type="paragraph" w:customStyle="1" w:styleId="2-SectionHeading">
    <w:name w:val="2-Section Heading"/>
    <w:qFormat/>
    <w:rsid w:val="004B1667"/>
    <w:pPr>
      <w:keepNext/>
      <w:spacing w:before="240" w:after="120"/>
      <w:ind w:left="720" w:hanging="720"/>
      <w:outlineLvl w:val="0"/>
    </w:pPr>
    <w:rPr>
      <w:rFonts w:asciiTheme="minorHAnsi" w:hAnsiTheme="minorHAnsi" w:cs="Arial"/>
      <w:b/>
      <w:snapToGrid w:val="0"/>
      <w:sz w:val="32"/>
      <w:szCs w:val="32"/>
    </w:rPr>
  </w:style>
  <w:style w:type="paragraph" w:customStyle="1" w:styleId="ExecSumBodyText">
    <w:name w:val="Exec Sum Body Text"/>
    <w:basedOn w:val="Normal"/>
    <w:link w:val="ExecSumBodyTextChar"/>
    <w:qFormat/>
    <w:rsid w:val="004B1667"/>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rsid w:val="004B1667"/>
    <w:rPr>
      <w:rFonts w:asciiTheme="minorHAnsi" w:hAnsiTheme="minorHAnsi" w:cs="Arial"/>
      <w:snapToGrid w:val="0"/>
      <w:sz w:val="24"/>
      <w:szCs w:val="24"/>
    </w:rPr>
  </w:style>
  <w:style w:type="paragraph" w:styleId="BodyText">
    <w:name w:val="Body Text"/>
    <w:basedOn w:val="Normal"/>
    <w:link w:val="BodyTextChar"/>
    <w:qFormat/>
    <w:rsid w:val="001D5DB1"/>
    <w:pPr>
      <w:spacing w:before="120" w:after="120" w:line="360" w:lineRule="auto"/>
    </w:pPr>
    <w:rPr>
      <w:rFonts w:asciiTheme="minorHAnsi" w:eastAsia="MS Mincho" w:hAnsiTheme="minorHAnsi" w:cs="MS Mincho"/>
      <w:sz w:val="22"/>
    </w:rPr>
  </w:style>
  <w:style w:type="character" w:customStyle="1" w:styleId="BodyTextChar">
    <w:name w:val="Body Text Char"/>
    <w:basedOn w:val="DefaultParagraphFont"/>
    <w:link w:val="BodyText"/>
    <w:rsid w:val="001D5DB1"/>
    <w:rPr>
      <w:rFonts w:asciiTheme="minorHAnsi" w:eastAsia="MS Mincho" w:hAnsiTheme="minorHAnsi" w:cs="MS Mincho"/>
      <w:sz w:val="22"/>
      <w:szCs w:val="24"/>
    </w:rPr>
  </w:style>
  <w:style w:type="table" w:customStyle="1" w:styleId="Summarybox1">
    <w:name w:val="Summary box1"/>
    <w:basedOn w:val="TableNormal"/>
    <w:next w:val="TableGrid"/>
    <w:uiPriority w:val="59"/>
    <w:rsid w:val="006030F6"/>
    <w:pPr>
      <w:jc w:val="both"/>
    </w:pPr>
    <w:rPr>
      <w:rFonts w:ascii="Calibri" w:eastAsia="MS Mincho"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0">
    <w:name w:val="Table text"/>
    <w:basedOn w:val="Normal"/>
    <w:link w:val="TabletextChar0"/>
    <w:qFormat/>
    <w:rsid w:val="00CE03C9"/>
    <w:pPr>
      <w:jc w:val="left"/>
    </w:pPr>
    <w:rPr>
      <w:rFonts w:ascii="Arial Narrow" w:hAnsi="Arial Narrow" w:cs="Times New Roman"/>
      <w:sz w:val="20"/>
      <w:szCs w:val="20"/>
      <w:lang w:eastAsia="en-US"/>
    </w:rPr>
  </w:style>
  <w:style w:type="character" w:customStyle="1" w:styleId="TabletextChar0">
    <w:name w:val="Table text Char"/>
    <w:link w:val="Tabletext0"/>
    <w:rsid w:val="00CE03C9"/>
    <w:rPr>
      <w:rFonts w:ascii="Arial Narrow" w:hAnsi="Arial Narrow"/>
      <w:lang w:eastAsia="en-US"/>
    </w:rPr>
  </w:style>
  <w:style w:type="paragraph" w:styleId="Header">
    <w:name w:val="header"/>
    <w:basedOn w:val="Normal"/>
    <w:link w:val="HeaderChar"/>
    <w:unhideWhenUsed/>
    <w:qFormat/>
    <w:rsid w:val="00234C80"/>
    <w:pPr>
      <w:tabs>
        <w:tab w:val="center" w:pos="4513"/>
        <w:tab w:val="right" w:pos="9026"/>
      </w:tabs>
    </w:pPr>
  </w:style>
  <w:style w:type="character" w:customStyle="1" w:styleId="HeaderChar">
    <w:name w:val="Header Char"/>
    <w:basedOn w:val="DefaultParagraphFont"/>
    <w:link w:val="Header"/>
    <w:rsid w:val="00234C80"/>
    <w:rPr>
      <w:rFonts w:ascii="Calibri" w:hAnsi="Calibri" w:cs="Arial"/>
      <w:sz w:val="24"/>
      <w:szCs w:val="24"/>
    </w:rPr>
  </w:style>
  <w:style w:type="paragraph" w:styleId="Footer">
    <w:name w:val="footer"/>
    <w:basedOn w:val="Normal"/>
    <w:link w:val="FooterChar"/>
    <w:uiPriority w:val="99"/>
    <w:unhideWhenUsed/>
    <w:rsid w:val="00234C80"/>
    <w:pPr>
      <w:tabs>
        <w:tab w:val="center" w:pos="4513"/>
        <w:tab w:val="right" w:pos="9026"/>
      </w:tabs>
    </w:pPr>
  </w:style>
  <w:style w:type="character" w:customStyle="1" w:styleId="FooterChar">
    <w:name w:val="Footer Char"/>
    <w:basedOn w:val="DefaultParagraphFont"/>
    <w:link w:val="Footer"/>
    <w:uiPriority w:val="99"/>
    <w:rsid w:val="00234C80"/>
    <w:rPr>
      <w:rFonts w:ascii="Calibri" w:hAnsi="Calibri" w:cs="Arial"/>
      <w:sz w:val="24"/>
      <w:szCs w:val="24"/>
    </w:rPr>
  </w:style>
  <w:style w:type="character" w:styleId="Hyperlink">
    <w:name w:val="Hyperlink"/>
    <w:basedOn w:val="DefaultParagraphFont"/>
    <w:uiPriority w:val="99"/>
    <w:unhideWhenUsed/>
    <w:rsid w:val="002221D7"/>
    <w:rPr>
      <w:color w:val="0000FF"/>
      <w:u w:val="single"/>
    </w:rPr>
  </w:style>
  <w:style w:type="paragraph" w:customStyle="1" w:styleId="Bulletpoints">
    <w:name w:val="Bullet points"/>
    <w:basedOn w:val="Normal"/>
    <w:rsid w:val="009C10EF"/>
    <w:pPr>
      <w:snapToGrid w:val="0"/>
      <w:spacing w:after="120"/>
      <w:ind w:left="720" w:hanging="360"/>
      <w:contextualSpacing/>
    </w:pPr>
    <w:rPr>
      <w:rFonts w:asciiTheme="minorHAnsi" w:hAnsiTheme="minorHAnsi"/>
    </w:rPr>
  </w:style>
  <w:style w:type="paragraph" w:styleId="Caption">
    <w:name w:val="caption"/>
    <w:basedOn w:val="Tableheadingrow"/>
    <w:next w:val="Normal"/>
    <w:unhideWhenUsed/>
    <w:rsid w:val="00C21FCA"/>
  </w:style>
  <w:style w:type="paragraph" w:customStyle="1" w:styleId="tableNOTES">
    <w:name w:val="table_NOTES"/>
    <w:basedOn w:val="BodyText"/>
    <w:next w:val="Normal"/>
    <w:qFormat/>
    <w:rsid w:val="008850F1"/>
    <w:pPr>
      <w:spacing w:before="0" w:after="240" w:line="240" w:lineRule="auto"/>
      <w:contextualSpacing/>
    </w:pPr>
    <w:rPr>
      <w:rFonts w:eastAsia="SimSun" w:cs="Times New Roman"/>
      <w:sz w:val="18"/>
      <w:szCs w:val="22"/>
    </w:rPr>
  </w:style>
  <w:style w:type="table" w:customStyle="1" w:styleId="Summarybox72">
    <w:name w:val="Summary box72"/>
    <w:basedOn w:val="TableNormal"/>
    <w:next w:val="TableGrid"/>
    <w:uiPriority w:val="59"/>
    <w:rsid w:val="008850F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SubsectSubhead">
    <w:name w:val="4-Subsect Subhead"/>
    <w:basedOn w:val="Heading3"/>
    <w:next w:val="Normal"/>
    <w:link w:val="4-SubsectSubheadChar"/>
    <w:qFormat/>
    <w:rsid w:val="008850F1"/>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8850F1"/>
    <w:rPr>
      <w:rFonts w:asciiTheme="minorHAnsi" w:eastAsiaTheme="majorEastAsia" w:hAnsiTheme="minorHAnsi" w:cstheme="majorBidi"/>
      <w:b/>
      <w:color w:val="000000" w:themeColor="text1"/>
      <w:sz w:val="28"/>
      <w:szCs w:val="28"/>
    </w:rPr>
  </w:style>
  <w:style w:type="table" w:customStyle="1" w:styleId="TableGrid2111">
    <w:name w:val="Table Grid2111"/>
    <w:basedOn w:val="TableNormal"/>
    <w:next w:val="TableGrid"/>
    <w:uiPriority w:val="59"/>
    <w:rsid w:val="008850F1"/>
    <w:rPr>
      <w:rFonts w:ascii="Tahoma" w:eastAsia="Tahoma" w:hAnsi="Tahoma" w:cs="MS Minch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basedOn w:val="Normal"/>
    <w:link w:val="BodyCopyChar"/>
    <w:qFormat/>
    <w:rsid w:val="008850F1"/>
    <w:pPr>
      <w:spacing w:after="240" w:line="276" w:lineRule="auto"/>
      <w:jc w:val="left"/>
    </w:pPr>
    <w:rPr>
      <w:rFonts w:ascii="Arial" w:eastAsiaTheme="minorHAnsi" w:hAnsi="Arial"/>
      <w:color w:val="2B3A42"/>
      <w:sz w:val="22"/>
      <w:szCs w:val="22"/>
      <w:lang w:val="en-US" w:eastAsia="en-US"/>
    </w:rPr>
  </w:style>
  <w:style w:type="character" w:customStyle="1" w:styleId="BodyCopyChar">
    <w:name w:val="Body Copy Char"/>
    <w:basedOn w:val="DefaultParagraphFont"/>
    <w:link w:val="BodyCopy"/>
    <w:rsid w:val="008850F1"/>
    <w:rPr>
      <w:rFonts w:ascii="Arial" w:eastAsiaTheme="minorHAnsi" w:hAnsi="Arial" w:cs="Arial"/>
      <w:color w:val="2B3A42"/>
      <w:sz w:val="22"/>
      <w:szCs w:val="22"/>
      <w:lang w:val="en-US" w:eastAsia="en-US"/>
    </w:rPr>
  </w:style>
  <w:style w:type="numbering" w:customStyle="1" w:styleId="Style11">
    <w:name w:val="Style11"/>
    <w:uiPriority w:val="99"/>
    <w:rsid w:val="008850F1"/>
    <w:pPr>
      <w:numPr>
        <w:numId w:val="7"/>
      </w:numPr>
    </w:pPr>
  </w:style>
  <w:style w:type="paragraph" w:customStyle="1" w:styleId="5-SubSubSubHead">
    <w:name w:val="5-Sub Sub Sub Head"/>
    <w:basedOn w:val="Heading4"/>
    <w:qFormat/>
    <w:rsid w:val="008850F1"/>
  </w:style>
  <w:style w:type="paragraph" w:styleId="FootnoteText">
    <w:name w:val="footnote text"/>
    <w:basedOn w:val="Normal"/>
    <w:link w:val="FootnoteTextChar"/>
    <w:uiPriority w:val="99"/>
    <w:unhideWhenUsed/>
    <w:rsid w:val="0073129E"/>
    <w:rPr>
      <w:sz w:val="20"/>
      <w:szCs w:val="20"/>
    </w:rPr>
  </w:style>
  <w:style w:type="character" w:customStyle="1" w:styleId="FootnoteTextChar">
    <w:name w:val="Footnote Text Char"/>
    <w:basedOn w:val="DefaultParagraphFont"/>
    <w:link w:val="FootnoteText"/>
    <w:uiPriority w:val="99"/>
    <w:rsid w:val="0073129E"/>
    <w:rPr>
      <w:rFonts w:ascii="Calibri" w:hAnsi="Calibri" w:cs="Arial"/>
    </w:rPr>
  </w:style>
  <w:style w:type="character" w:styleId="FootnoteReference">
    <w:name w:val="footnote reference"/>
    <w:basedOn w:val="DefaultParagraphFont"/>
    <w:uiPriority w:val="99"/>
    <w:semiHidden/>
    <w:unhideWhenUsed/>
    <w:rsid w:val="0073129E"/>
    <w:rPr>
      <w:vertAlign w:val="superscript"/>
    </w:rPr>
  </w:style>
  <w:style w:type="character" w:customStyle="1" w:styleId="UnresolvedMention1">
    <w:name w:val="Unresolved Mention1"/>
    <w:basedOn w:val="DefaultParagraphFont"/>
    <w:uiPriority w:val="99"/>
    <w:semiHidden/>
    <w:unhideWhenUsed/>
    <w:rsid w:val="0073129E"/>
    <w:rPr>
      <w:color w:val="605E5C"/>
      <w:shd w:val="clear" w:color="auto" w:fill="E1DFDD"/>
    </w:rPr>
  </w:style>
  <w:style w:type="paragraph" w:customStyle="1" w:styleId="1-MainHeading">
    <w:name w:val="1-Main Heading"/>
    <w:link w:val="1-MainHeadingChar"/>
    <w:qFormat/>
    <w:rsid w:val="000B36FB"/>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0B36FB"/>
    <w:rPr>
      <w:rFonts w:asciiTheme="minorHAnsi" w:eastAsiaTheme="majorEastAsia" w:hAnsiTheme="minorHAnsi" w:cstheme="majorBidi"/>
      <w:b/>
      <w:spacing w:val="5"/>
      <w:kern w:val="28"/>
      <w:sz w:val="36"/>
      <w:szCs w:val="36"/>
    </w:rPr>
  </w:style>
  <w:style w:type="paragraph" w:customStyle="1" w:styleId="3-BodyText">
    <w:name w:val="3-Body Text"/>
    <w:basedOn w:val="ListParagraph"/>
    <w:link w:val="3-BodyTextChar"/>
    <w:qFormat/>
    <w:rsid w:val="00F41CDE"/>
    <w:pPr>
      <w:numPr>
        <w:numId w:val="0"/>
      </w:numPr>
      <w:ind w:left="720" w:hanging="720"/>
    </w:pPr>
  </w:style>
  <w:style w:type="character" w:customStyle="1" w:styleId="3-BodyTextChar">
    <w:name w:val="3-Body Text Char"/>
    <w:basedOn w:val="DefaultParagraphFont"/>
    <w:link w:val="3-BodyText"/>
    <w:rsid w:val="00F41CDE"/>
    <w:rPr>
      <w:rFonts w:asciiTheme="minorHAnsi" w:hAnsiTheme="minorHAnsi" w:cs="Arial"/>
      <w:snapToGrid w:val="0"/>
      <w:sz w:val="24"/>
      <w:szCs w:val="24"/>
    </w:rPr>
  </w:style>
  <w:style w:type="paragraph" w:styleId="NormalWeb">
    <w:name w:val="Normal (Web)"/>
    <w:basedOn w:val="Normal"/>
    <w:uiPriority w:val="99"/>
    <w:semiHidden/>
    <w:unhideWhenUsed/>
    <w:rsid w:val="00A126A0"/>
    <w:pPr>
      <w:spacing w:before="100" w:beforeAutospacing="1" w:after="100" w:afterAutospacing="1"/>
      <w:jc w:val="left"/>
    </w:pPr>
    <w:rPr>
      <w:rFonts w:ascii="Times New Roman" w:hAnsi="Times New Roman" w:cs="Times New Roman"/>
    </w:rPr>
  </w:style>
  <w:style w:type="paragraph" w:customStyle="1" w:styleId="PBACheading1">
    <w:name w:val="PBAC heading 1"/>
    <w:qFormat/>
    <w:rsid w:val="00B41721"/>
    <w:pPr>
      <w:ind w:left="720" w:hanging="720"/>
      <w:outlineLvl w:val="0"/>
    </w:pPr>
    <w:rPr>
      <w:rFonts w:ascii="Arial" w:hAnsi="Arial" w:cs="Arial"/>
      <w:b/>
      <w:snapToGrid w:val="0"/>
      <w:sz w:val="22"/>
      <w:szCs w:val="22"/>
      <w:lang w:eastAsia="en-US"/>
    </w:rPr>
  </w:style>
  <w:style w:type="paragraph" w:styleId="EndnoteText">
    <w:name w:val="endnote text"/>
    <w:basedOn w:val="Normal"/>
    <w:link w:val="EndnoteTextChar"/>
    <w:semiHidden/>
    <w:unhideWhenUsed/>
    <w:rsid w:val="00CE2024"/>
    <w:rPr>
      <w:sz w:val="20"/>
      <w:szCs w:val="20"/>
    </w:rPr>
  </w:style>
  <w:style w:type="character" w:customStyle="1" w:styleId="EndnoteTextChar">
    <w:name w:val="Endnote Text Char"/>
    <w:basedOn w:val="DefaultParagraphFont"/>
    <w:link w:val="EndnoteText"/>
    <w:semiHidden/>
    <w:rsid w:val="00CE2024"/>
    <w:rPr>
      <w:rFonts w:ascii="Calibri" w:hAnsi="Calibri" w:cs="Arial"/>
    </w:rPr>
  </w:style>
  <w:style w:type="character" w:styleId="EndnoteReference">
    <w:name w:val="endnote reference"/>
    <w:basedOn w:val="DefaultParagraphFont"/>
    <w:semiHidden/>
    <w:unhideWhenUsed/>
    <w:rsid w:val="00CE2024"/>
    <w:rPr>
      <w:vertAlign w:val="superscript"/>
    </w:rPr>
  </w:style>
  <w:style w:type="paragraph" w:customStyle="1" w:styleId="1MainTitle">
    <w:name w:val="1. Main Title"/>
    <w:basedOn w:val="Title"/>
    <w:link w:val="1MainTitleChar"/>
    <w:qFormat/>
    <w:rsid w:val="00F04147"/>
    <w:pPr>
      <w:spacing w:before="120" w:after="160"/>
      <w:ind w:left="720" w:hanging="720"/>
      <w:outlineLvl w:val="0"/>
    </w:pPr>
    <w:rPr>
      <w:rFonts w:asciiTheme="minorHAnsi" w:hAnsiTheme="minorHAnsi"/>
      <w:b/>
      <w:spacing w:val="5"/>
      <w:sz w:val="36"/>
      <w:szCs w:val="36"/>
      <w:lang w:eastAsia="en-US"/>
    </w:rPr>
  </w:style>
  <w:style w:type="character" w:customStyle="1" w:styleId="1MainTitleChar">
    <w:name w:val="1. Main Title Char"/>
    <w:basedOn w:val="TitleChar"/>
    <w:link w:val="1MainTitle"/>
    <w:rsid w:val="00F04147"/>
    <w:rPr>
      <w:rFonts w:asciiTheme="minorHAnsi" w:eastAsiaTheme="majorEastAsia" w:hAnsiTheme="minorHAnsi" w:cstheme="majorBidi"/>
      <w:b/>
      <w:spacing w:val="5"/>
      <w:kern w:val="28"/>
      <w:sz w:val="36"/>
      <w:szCs w:val="36"/>
      <w:lang w:eastAsia="en-US"/>
    </w:rPr>
  </w:style>
  <w:style w:type="paragraph" w:styleId="Title">
    <w:name w:val="Title"/>
    <w:basedOn w:val="Normal"/>
    <w:next w:val="Normal"/>
    <w:link w:val="TitleChar"/>
    <w:rsid w:val="00F0414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0414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12746341">
      <w:bodyDiv w:val="1"/>
      <w:marLeft w:val="0"/>
      <w:marRight w:val="0"/>
      <w:marTop w:val="0"/>
      <w:marBottom w:val="0"/>
      <w:divBdr>
        <w:top w:val="none" w:sz="0" w:space="0" w:color="auto"/>
        <w:left w:val="none" w:sz="0" w:space="0" w:color="auto"/>
        <w:bottom w:val="none" w:sz="0" w:space="0" w:color="auto"/>
        <w:right w:val="none" w:sz="0" w:space="0" w:color="auto"/>
      </w:divBdr>
    </w:div>
    <w:div w:id="11371941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63282412">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73849618">
      <w:bodyDiv w:val="1"/>
      <w:marLeft w:val="0"/>
      <w:marRight w:val="0"/>
      <w:marTop w:val="0"/>
      <w:marBottom w:val="0"/>
      <w:divBdr>
        <w:top w:val="none" w:sz="0" w:space="0" w:color="auto"/>
        <w:left w:val="none" w:sz="0" w:space="0" w:color="auto"/>
        <w:bottom w:val="none" w:sz="0" w:space="0" w:color="auto"/>
        <w:right w:val="none" w:sz="0" w:space="0" w:color="auto"/>
      </w:divBdr>
    </w:div>
    <w:div w:id="563567757">
      <w:bodyDiv w:val="1"/>
      <w:marLeft w:val="0"/>
      <w:marRight w:val="0"/>
      <w:marTop w:val="0"/>
      <w:marBottom w:val="0"/>
      <w:divBdr>
        <w:top w:val="none" w:sz="0" w:space="0" w:color="auto"/>
        <w:left w:val="none" w:sz="0" w:space="0" w:color="auto"/>
        <w:bottom w:val="none" w:sz="0" w:space="0" w:color="auto"/>
        <w:right w:val="none" w:sz="0" w:space="0" w:color="auto"/>
      </w:divBdr>
      <w:divsChild>
        <w:div w:id="461075195">
          <w:marLeft w:val="547"/>
          <w:marRight w:val="0"/>
          <w:marTop w:val="200"/>
          <w:marBottom w:val="120"/>
          <w:divBdr>
            <w:top w:val="none" w:sz="0" w:space="0" w:color="auto"/>
            <w:left w:val="none" w:sz="0" w:space="0" w:color="auto"/>
            <w:bottom w:val="none" w:sz="0" w:space="0" w:color="auto"/>
            <w:right w:val="none" w:sz="0" w:space="0" w:color="auto"/>
          </w:divBdr>
        </w:div>
      </w:divsChild>
    </w:div>
    <w:div w:id="602224595">
      <w:bodyDiv w:val="1"/>
      <w:marLeft w:val="0"/>
      <w:marRight w:val="0"/>
      <w:marTop w:val="0"/>
      <w:marBottom w:val="0"/>
      <w:divBdr>
        <w:top w:val="none" w:sz="0" w:space="0" w:color="auto"/>
        <w:left w:val="none" w:sz="0" w:space="0" w:color="auto"/>
        <w:bottom w:val="none" w:sz="0" w:space="0" w:color="auto"/>
        <w:right w:val="none" w:sz="0" w:space="0" w:color="auto"/>
      </w:divBdr>
    </w:div>
    <w:div w:id="675495987">
      <w:bodyDiv w:val="1"/>
      <w:marLeft w:val="0"/>
      <w:marRight w:val="0"/>
      <w:marTop w:val="0"/>
      <w:marBottom w:val="0"/>
      <w:divBdr>
        <w:top w:val="none" w:sz="0" w:space="0" w:color="auto"/>
        <w:left w:val="none" w:sz="0" w:space="0" w:color="auto"/>
        <w:bottom w:val="none" w:sz="0" w:space="0" w:color="auto"/>
        <w:right w:val="none" w:sz="0" w:space="0" w:color="auto"/>
      </w:divBdr>
    </w:div>
    <w:div w:id="742946437">
      <w:bodyDiv w:val="1"/>
      <w:marLeft w:val="0"/>
      <w:marRight w:val="0"/>
      <w:marTop w:val="0"/>
      <w:marBottom w:val="0"/>
      <w:divBdr>
        <w:top w:val="none" w:sz="0" w:space="0" w:color="auto"/>
        <w:left w:val="none" w:sz="0" w:space="0" w:color="auto"/>
        <w:bottom w:val="none" w:sz="0" w:space="0" w:color="auto"/>
        <w:right w:val="none" w:sz="0" w:space="0" w:color="auto"/>
      </w:divBdr>
      <w:divsChild>
        <w:div w:id="210776186">
          <w:marLeft w:val="446"/>
          <w:marRight w:val="0"/>
          <w:marTop w:val="0"/>
          <w:marBottom w:val="0"/>
          <w:divBdr>
            <w:top w:val="none" w:sz="0" w:space="0" w:color="auto"/>
            <w:left w:val="none" w:sz="0" w:space="0" w:color="auto"/>
            <w:bottom w:val="none" w:sz="0" w:space="0" w:color="auto"/>
            <w:right w:val="none" w:sz="0" w:space="0" w:color="auto"/>
          </w:divBdr>
        </w:div>
        <w:div w:id="172955878">
          <w:marLeft w:val="446"/>
          <w:marRight w:val="0"/>
          <w:marTop w:val="0"/>
          <w:marBottom w:val="0"/>
          <w:divBdr>
            <w:top w:val="none" w:sz="0" w:space="0" w:color="auto"/>
            <w:left w:val="none" w:sz="0" w:space="0" w:color="auto"/>
            <w:bottom w:val="none" w:sz="0" w:space="0" w:color="auto"/>
            <w:right w:val="none" w:sz="0" w:space="0" w:color="auto"/>
          </w:divBdr>
        </w:div>
        <w:div w:id="1225991769">
          <w:marLeft w:val="446"/>
          <w:marRight w:val="0"/>
          <w:marTop w:val="0"/>
          <w:marBottom w:val="0"/>
          <w:divBdr>
            <w:top w:val="none" w:sz="0" w:space="0" w:color="auto"/>
            <w:left w:val="none" w:sz="0" w:space="0" w:color="auto"/>
            <w:bottom w:val="none" w:sz="0" w:space="0" w:color="auto"/>
            <w:right w:val="none" w:sz="0" w:space="0" w:color="auto"/>
          </w:divBdr>
        </w:div>
      </w:divsChild>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94507808">
      <w:bodyDiv w:val="1"/>
      <w:marLeft w:val="0"/>
      <w:marRight w:val="0"/>
      <w:marTop w:val="0"/>
      <w:marBottom w:val="0"/>
      <w:divBdr>
        <w:top w:val="none" w:sz="0" w:space="0" w:color="auto"/>
        <w:left w:val="none" w:sz="0" w:space="0" w:color="auto"/>
        <w:bottom w:val="none" w:sz="0" w:space="0" w:color="auto"/>
        <w:right w:val="none" w:sz="0" w:space="0" w:color="auto"/>
      </w:divBdr>
    </w:div>
    <w:div w:id="908225273">
      <w:bodyDiv w:val="1"/>
      <w:marLeft w:val="0"/>
      <w:marRight w:val="0"/>
      <w:marTop w:val="0"/>
      <w:marBottom w:val="0"/>
      <w:divBdr>
        <w:top w:val="none" w:sz="0" w:space="0" w:color="auto"/>
        <w:left w:val="none" w:sz="0" w:space="0" w:color="auto"/>
        <w:bottom w:val="none" w:sz="0" w:space="0" w:color="auto"/>
        <w:right w:val="none" w:sz="0" w:space="0" w:color="auto"/>
      </w:divBdr>
      <w:divsChild>
        <w:div w:id="827090616">
          <w:marLeft w:val="360"/>
          <w:marRight w:val="0"/>
          <w:marTop w:val="200"/>
          <w:marBottom w:val="0"/>
          <w:divBdr>
            <w:top w:val="none" w:sz="0" w:space="0" w:color="auto"/>
            <w:left w:val="none" w:sz="0" w:space="0" w:color="auto"/>
            <w:bottom w:val="none" w:sz="0" w:space="0" w:color="auto"/>
            <w:right w:val="none" w:sz="0" w:space="0" w:color="auto"/>
          </w:divBdr>
        </w:div>
        <w:div w:id="1594237640">
          <w:marLeft w:val="1080"/>
          <w:marRight w:val="0"/>
          <w:marTop w:val="100"/>
          <w:marBottom w:val="0"/>
          <w:divBdr>
            <w:top w:val="none" w:sz="0" w:space="0" w:color="auto"/>
            <w:left w:val="none" w:sz="0" w:space="0" w:color="auto"/>
            <w:bottom w:val="none" w:sz="0" w:space="0" w:color="auto"/>
            <w:right w:val="none" w:sz="0" w:space="0" w:color="auto"/>
          </w:divBdr>
        </w:div>
        <w:div w:id="1260019630">
          <w:marLeft w:val="1080"/>
          <w:marRight w:val="0"/>
          <w:marTop w:val="100"/>
          <w:marBottom w:val="0"/>
          <w:divBdr>
            <w:top w:val="none" w:sz="0" w:space="0" w:color="auto"/>
            <w:left w:val="none" w:sz="0" w:space="0" w:color="auto"/>
            <w:bottom w:val="none" w:sz="0" w:space="0" w:color="auto"/>
            <w:right w:val="none" w:sz="0" w:space="0" w:color="auto"/>
          </w:divBdr>
        </w:div>
        <w:div w:id="1350065339">
          <w:marLeft w:val="1080"/>
          <w:marRight w:val="0"/>
          <w:marTop w:val="100"/>
          <w:marBottom w:val="0"/>
          <w:divBdr>
            <w:top w:val="none" w:sz="0" w:space="0" w:color="auto"/>
            <w:left w:val="none" w:sz="0" w:space="0" w:color="auto"/>
            <w:bottom w:val="none" w:sz="0" w:space="0" w:color="auto"/>
            <w:right w:val="none" w:sz="0" w:space="0" w:color="auto"/>
          </w:divBdr>
        </w:div>
        <w:div w:id="1379626243">
          <w:marLeft w:val="1080"/>
          <w:marRight w:val="0"/>
          <w:marTop w:val="100"/>
          <w:marBottom w:val="0"/>
          <w:divBdr>
            <w:top w:val="none" w:sz="0" w:space="0" w:color="auto"/>
            <w:left w:val="none" w:sz="0" w:space="0" w:color="auto"/>
            <w:bottom w:val="none" w:sz="0" w:space="0" w:color="auto"/>
            <w:right w:val="none" w:sz="0" w:space="0" w:color="auto"/>
          </w:divBdr>
        </w:div>
        <w:div w:id="1083991265">
          <w:marLeft w:val="1080"/>
          <w:marRight w:val="0"/>
          <w:marTop w:val="100"/>
          <w:marBottom w:val="0"/>
          <w:divBdr>
            <w:top w:val="none" w:sz="0" w:space="0" w:color="auto"/>
            <w:left w:val="none" w:sz="0" w:space="0" w:color="auto"/>
            <w:bottom w:val="none" w:sz="0" w:space="0" w:color="auto"/>
            <w:right w:val="none" w:sz="0" w:space="0" w:color="auto"/>
          </w:divBdr>
        </w:div>
        <w:div w:id="196621321">
          <w:marLeft w:val="1080"/>
          <w:marRight w:val="0"/>
          <w:marTop w:val="100"/>
          <w:marBottom w:val="0"/>
          <w:divBdr>
            <w:top w:val="none" w:sz="0" w:space="0" w:color="auto"/>
            <w:left w:val="none" w:sz="0" w:space="0" w:color="auto"/>
            <w:bottom w:val="none" w:sz="0" w:space="0" w:color="auto"/>
            <w:right w:val="none" w:sz="0" w:space="0" w:color="auto"/>
          </w:divBdr>
        </w:div>
        <w:div w:id="1051004954">
          <w:marLeft w:val="1800"/>
          <w:marRight w:val="0"/>
          <w:marTop w:val="100"/>
          <w:marBottom w:val="0"/>
          <w:divBdr>
            <w:top w:val="none" w:sz="0" w:space="0" w:color="auto"/>
            <w:left w:val="none" w:sz="0" w:space="0" w:color="auto"/>
            <w:bottom w:val="none" w:sz="0" w:space="0" w:color="auto"/>
            <w:right w:val="none" w:sz="0" w:space="0" w:color="auto"/>
          </w:divBdr>
        </w:div>
      </w:divsChild>
    </w:div>
    <w:div w:id="923101573">
      <w:bodyDiv w:val="1"/>
      <w:marLeft w:val="0"/>
      <w:marRight w:val="0"/>
      <w:marTop w:val="0"/>
      <w:marBottom w:val="0"/>
      <w:divBdr>
        <w:top w:val="none" w:sz="0" w:space="0" w:color="auto"/>
        <w:left w:val="none" w:sz="0" w:space="0" w:color="auto"/>
        <w:bottom w:val="none" w:sz="0" w:space="0" w:color="auto"/>
        <w:right w:val="none" w:sz="0" w:space="0" w:color="auto"/>
      </w:divBdr>
    </w:div>
    <w:div w:id="1115641139">
      <w:bodyDiv w:val="1"/>
      <w:marLeft w:val="0"/>
      <w:marRight w:val="0"/>
      <w:marTop w:val="0"/>
      <w:marBottom w:val="0"/>
      <w:divBdr>
        <w:top w:val="none" w:sz="0" w:space="0" w:color="auto"/>
        <w:left w:val="none" w:sz="0" w:space="0" w:color="auto"/>
        <w:bottom w:val="none" w:sz="0" w:space="0" w:color="auto"/>
        <w:right w:val="none" w:sz="0" w:space="0" w:color="auto"/>
      </w:divBdr>
      <w:divsChild>
        <w:div w:id="1870876466">
          <w:marLeft w:val="360"/>
          <w:marRight w:val="0"/>
          <w:marTop w:val="200"/>
          <w:marBottom w:val="0"/>
          <w:divBdr>
            <w:top w:val="none" w:sz="0" w:space="0" w:color="auto"/>
            <w:left w:val="none" w:sz="0" w:space="0" w:color="auto"/>
            <w:bottom w:val="none" w:sz="0" w:space="0" w:color="auto"/>
            <w:right w:val="none" w:sz="0" w:space="0" w:color="auto"/>
          </w:divBdr>
        </w:div>
        <w:div w:id="473721071">
          <w:marLeft w:val="360"/>
          <w:marRight w:val="0"/>
          <w:marTop w:val="200"/>
          <w:marBottom w:val="0"/>
          <w:divBdr>
            <w:top w:val="none" w:sz="0" w:space="0" w:color="auto"/>
            <w:left w:val="none" w:sz="0" w:space="0" w:color="auto"/>
            <w:bottom w:val="none" w:sz="0" w:space="0" w:color="auto"/>
            <w:right w:val="none" w:sz="0" w:space="0" w:color="auto"/>
          </w:divBdr>
        </w:div>
      </w:divsChild>
    </w:div>
    <w:div w:id="1127621811">
      <w:bodyDiv w:val="1"/>
      <w:marLeft w:val="0"/>
      <w:marRight w:val="0"/>
      <w:marTop w:val="0"/>
      <w:marBottom w:val="0"/>
      <w:divBdr>
        <w:top w:val="none" w:sz="0" w:space="0" w:color="auto"/>
        <w:left w:val="none" w:sz="0" w:space="0" w:color="auto"/>
        <w:bottom w:val="none" w:sz="0" w:space="0" w:color="auto"/>
        <w:right w:val="none" w:sz="0" w:space="0" w:color="auto"/>
      </w:divBdr>
      <w:divsChild>
        <w:div w:id="439955828">
          <w:marLeft w:val="547"/>
          <w:marRight w:val="0"/>
          <w:marTop w:val="200"/>
          <w:marBottom w:val="12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06242">
      <w:bodyDiv w:val="1"/>
      <w:marLeft w:val="0"/>
      <w:marRight w:val="0"/>
      <w:marTop w:val="0"/>
      <w:marBottom w:val="0"/>
      <w:divBdr>
        <w:top w:val="none" w:sz="0" w:space="0" w:color="auto"/>
        <w:left w:val="none" w:sz="0" w:space="0" w:color="auto"/>
        <w:bottom w:val="none" w:sz="0" w:space="0" w:color="auto"/>
        <w:right w:val="none" w:sz="0" w:space="0" w:color="auto"/>
      </w:divBdr>
      <w:divsChild>
        <w:div w:id="1635480346">
          <w:marLeft w:val="360"/>
          <w:marRight w:val="0"/>
          <w:marTop w:val="200"/>
          <w:marBottom w:val="0"/>
          <w:divBdr>
            <w:top w:val="none" w:sz="0" w:space="0" w:color="auto"/>
            <w:left w:val="none" w:sz="0" w:space="0" w:color="auto"/>
            <w:bottom w:val="none" w:sz="0" w:space="0" w:color="auto"/>
            <w:right w:val="none" w:sz="0" w:space="0" w:color="auto"/>
          </w:divBdr>
        </w:div>
        <w:div w:id="1729955310">
          <w:marLeft w:val="1080"/>
          <w:marRight w:val="0"/>
          <w:marTop w:val="100"/>
          <w:marBottom w:val="0"/>
          <w:divBdr>
            <w:top w:val="none" w:sz="0" w:space="0" w:color="auto"/>
            <w:left w:val="none" w:sz="0" w:space="0" w:color="auto"/>
            <w:bottom w:val="none" w:sz="0" w:space="0" w:color="auto"/>
            <w:right w:val="none" w:sz="0" w:space="0" w:color="auto"/>
          </w:divBdr>
        </w:div>
        <w:div w:id="2062711811">
          <w:marLeft w:val="1080"/>
          <w:marRight w:val="0"/>
          <w:marTop w:val="100"/>
          <w:marBottom w:val="0"/>
          <w:divBdr>
            <w:top w:val="none" w:sz="0" w:space="0" w:color="auto"/>
            <w:left w:val="none" w:sz="0" w:space="0" w:color="auto"/>
            <w:bottom w:val="none" w:sz="0" w:space="0" w:color="auto"/>
            <w:right w:val="none" w:sz="0" w:space="0" w:color="auto"/>
          </w:divBdr>
        </w:div>
        <w:div w:id="1051540563">
          <w:marLeft w:val="1080"/>
          <w:marRight w:val="0"/>
          <w:marTop w:val="100"/>
          <w:marBottom w:val="0"/>
          <w:divBdr>
            <w:top w:val="none" w:sz="0" w:space="0" w:color="auto"/>
            <w:left w:val="none" w:sz="0" w:space="0" w:color="auto"/>
            <w:bottom w:val="none" w:sz="0" w:space="0" w:color="auto"/>
            <w:right w:val="none" w:sz="0" w:space="0" w:color="auto"/>
          </w:divBdr>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57710371">
      <w:bodyDiv w:val="1"/>
      <w:marLeft w:val="0"/>
      <w:marRight w:val="0"/>
      <w:marTop w:val="0"/>
      <w:marBottom w:val="0"/>
      <w:divBdr>
        <w:top w:val="none" w:sz="0" w:space="0" w:color="auto"/>
        <w:left w:val="none" w:sz="0" w:space="0" w:color="auto"/>
        <w:bottom w:val="none" w:sz="0" w:space="0" w:color="auto"/>
        <w:right w:val="none" w:sz="0" w:space="0" w:color="auto"/>
      </w:divBdr>
      <w:divsChild>
        <w:div w:id="1535657518">
          <w:marLeft w:val="360"/>
          <w:marRight w:val="0"/>
          <w:marTop w:val="200"/>
          <w:marBottom w:val="0"/>
          <w:divBdr>
            <w:top w:val="none" w:sz="0" w:space="0" w:color="auto"/>
            <w:left w:val="none" w:sz="0" w:space="0" w:color="auto"/>
            <w:bottom w:val="none" w:sz="0" w:space="0" w:color="auto"/>
            <w:right w:val="none" w:sz="0" w:space="0" w:color="auto"/>
          </w:divBdr>
        </w:div>
        <w:div w:id="1960448489">
          <w:marLeft w:val="1080"/>
          <w:marRight w:val="0"/>
          <w:marTop w:val="100"/>
          <w:marBottom w:val="0"/>
          <w:divBdr>
            <w:top w:val="none" w:sz="0" w:space="0" w:color="auto"/>
            <w:left w:val="none" w:sz="0" w:space="0" w:color="auto"/>
            <w:bottom w:val="none" w:sz="0" w:space="0" w:color="auto"/>
            <w:right w:val="none" w:sz="0" w:space="0" w:color="auto"/>
          </w:divBdr>
        </w:div>
        <w:div w:id="618411945">
          <w:marLeft w:val="1080"/>
          <w:marRight w:val="0"/>
          <w:marTop w:val="100"/>
          <w:marBottom w:val="0"/>
          <w:divBdr>
            <w:top w:val="none" w:sz="0" w:space="0" w:color="auto"/>
            <w:left w:val="none" w:sz="0" w:space="0" w:color="auto"/>
            <w:bottom w:val="none" w:sz="0" w:space="0" w:color="auto"/>
            <w:right w:val="none" w:sz="0" w:space="0" w:color="auto"/>
          </w:divBdr>
        </w:div>
        <w:div w:id="845944759">
          <w:marLeft w:val="1080"/>
          <w:marRight w:val="0"/>
          <w:marTop w:val="100"/>
          <w:marBottom w:val="0"/>
          <w:divBdr>
            <w:top w:val="none" w:sz="0" w:space="0" w:color="auto"/>
            <w:left w:val="none" w:sz="0" w:space="0" w:color="auto"/>
            <w:bottom w:val="none" w:sz="0" w:space="0" w:color="auto"/>
            <w:right w:val="none" w:sz="0" w:space="0" w:color="auto"/>
          </w:divBdr>
        </w:div>
      </w:divsChild>
    </w:div>
    <w:div w:id="1281688735">
      <w:bodyDiv w:val="1"/>
      <w:marLeft w:val="0"/>
      <w:marRight w:val="0"/>
      <w:marTop w:val="0"/>
      <w:marBottom w:val="0"/>
      <w:divBdr>
        <w:top w:val="none" w:sz="0" w:space="0" w:color="auto"/>
        <w:left w:val="none" w:sz="0" w:space="0" w:color="auto"/>
        <w:bottom w:val="none" w:sz="0" w:space="0" w:color="auto"/>
        <w:right w:val="none" w:sz="0" w:space="0" w:color="auto"/>
      </w:divBdr>
    </w:div>
    <w:div w:id="1339885407">
      <w:bodyDiv w:val="1"/>
      <w:marLeft w:val="0"/>
      <w:marRight w:val="0"/>
      <w:marTop w:val="0"/>
      <w:marBottom w:val="0"/>
      <w:divBdr>
        <w:top w:val="none" w:sz="0" w:space="0" w:color="auto"/>
        <w:left w:val="none" w:sz="0" w:space="0" w:color="auto"/>
        <w:bottom w:val="none" w:sz="0" w:space="0" w:color="auto"/>
        <w:right w:val="none" w:sz="0" w:space="0" w:color="auto"/>
      </w:divBdr>
    </w:div>
    <w:div w:id="1423187242">
      <w:bodyDiv w:val="1"/>
      <w:marLeft w:val="0"/>
      <w:marRight w:val="0"/>
      <w:marTop w:val="0"/>
      <w:marBottom w:val="0"/>
      <w:divBdr>
        <w:top w:val="none" w:sz="0" w:space="0" w:color="auto"/>
        <w:left w:val="none" w:sz="0" w:space="0" w:color="auto"/>
        <w:bottom w:val="none" w:sz="0" w:space="0" w:color="auto"/>
        <w:right w:val="none" w:sz="0" w:space="0" w:color="auto"/>
      </w:divBdr>
      <w:divsChild>
        <w:div w:id="1923875803">
          <w:marLeft w:val="360"/>
          <w:marRight w:val="0"/>
          <w:marTop w:val="200"/>
          <w:marBottom w:val="0"/>
          <w:divBdr>
            <w:top w:val="none" w:sz="0" w:space="0" w:color="auto"/>
            <w:left w:val="none" w:sz="0" w:space="0" w:color="auto"/>
            <w:bottom w:val="none" w:sz="0" w:space="0" w:color="auto"/>
            <w:right w:val="none" w:sz="0" w:space="0" w:color="auto"/>
          </w:divBdr>
        </w:div>
        <w:div w:id="1354839219">
          <w:marLeft w:val="1080"/>
          <w:marRight w:val="0"/>
          <w:marTop w:val="100"/>
          <w:marBottom w:val="0"/>
          <w:divBdr>
            <w:top w:val="none" w:sz="0" w:space="0" w:color="auto"/>
            <w:left w:val="none" w:sz="0" w:space="0" w:color="auto"/>
            <w:bottom w:val="none" w:sz="0" w:space="0" w:color="auto"/>
            <w:right w:val="none" w:sz="0" w:space="0" w:color="auto"/>
          </w:divBdr>
        </w:div>
      </w:divsChild>
    </w:div>
    <w:div w:id="1438603352">
      <w:bodyDiv w:val="1"/>
      <w:marLeft w:val="0"/>
      <w:marRight w:val="0"/>
      <w:marTop w:val="0"/>
      <w:marBottom w:val="0"/>
      <w:divBdr>
        <w:top w:val="none" w:sz="0" w:space="0" w:color="auto"/>
        <w:left w:val="none" w:sz="0" w:space="0" w:color="auto"/>
        <w:bottom w:val="none" w:sz="0" w:space="0" w:color="auto"/>
        <w:right w:val="none" w:sz="0" w:space="0" w:color="auto"/>
      </w:divBdr>
      <w:divsChild>
        <w:div w:id="95253097">
          <w:marLeft w:val="1080"/>
          <w:marRight w:val="0"/>
          <w:marTop w:val="100"/>
          <w:marBottom w:val="0"/>
          <w:divBdr>
            <w:top w:val="none" w:sz="0" w:space="0" w:color="auto"/>
            <w:left w:val="none" w:sz="0" w:space="0" w:color="auto"/>
            <w:bottom w:val="none" w:sz="0" w:space="0" w:color="auto"/>
            <w:right w:val="none" w:sz="0" w:space="0" w:color="auto"/>
          </w:divBdr>
        </w:div>
      </w:divsChild>
    </w:div>
    <w:div w:id="1450706555">
      <w:bodyDiv w:val="1"/>
      <w:marLeft w:val="0"/>
      <w:marRight w:val="0"/>
      <w:marTop w:val="0"/>
      <w:marBottom w:val="0"/>
      <w:divBdr>
        <w:top w:val="none" w:sz="0" w:space="0" w:color="auto"/>
        <w:left w:val="none" w:sz="0" w:space="0" w:color="auto"/>
        <w:bottom w:val="none" w:sz="0" w:space="0" w:color="auto"/>
        <w:right w:val="none" w:sz="0" w:space="0" w:color="auto"/>
      </w:divBdr>
    </w:div>
    <w:div w:id="1459295165">
      <w:bodyDiv w:val="1"/>
      <w:marLeft w:val="0"/>
      <w:marRight w:val="0"/>
      <w:marTop w:val="0"/>
      <w:marBottom w:val="0"/>
      <w:divBdr>
        <w:top w:val="none" w:sz="0" w:space="0" w:color="auto"/>
        <w:left w:val="none" w:sz="0" w:space="0" w:color="auto"/>
        <w:bottom w:val="none" w:sz="0" w:space="0" w:color="auto"/>
        <w:right w:val="none" w:sz="0" w:space="0" w:color="auto"/>
      </w:divBdr>
      <w:divsChild>
        <w:div w:id="1052343737">
          <w:marLeft w:val="1080"/>
          <w:marRight w:val="0"/>
          <w:marTop w:val="100"/>
          <w:marBottom w:val="0"/>
          <w:divBdr>
            <w:top w:val="none" w:sz="0" w:space="0" w:color="auto"/>
            <w:left w:val="none" w:sz="0" w:space="0" w:color="auto"/>
            <w:bottom w:val="none" w:sz="0" w:space="0" w:color="auto"/>
            <w:right w:val="none" w:sz="0" w:space="0" w:color="auto"/>
          </w:divBdr>
        </w:div>
      </w:divsChild>
    </w:div>
    <w:div w:id="1802962863">
      <w:bodyDiv w:val="1"/>
      <w:marLeft w:val="0"/>
      <w:marRight w:val="0"/>
      <w:marTop w:val="0"/>
      <w:marBottom w:val="0"/>
      <w:divBdr>
        <w:top w:val="none" w:sz="0" w:space="0" w:color="auto"/>
        <w:left w:val="none" w:sz="0" w:space="0" w:color="auto"/>
        <w:bottom w:val="none" w:sz="0" w:space="0" w:color="auto"/>
        <w:right w:val="none" w:sz="0" w:space="0" w:color="auto"/>
      </w:divBdr>
      <w:divsChild>
        <w:div w:id="1424111249">
          <w:marLeft w:val="360"/>
          <w:marRight w:val="0"/>
          <w:marTop w:val="200"/>
          <w:marBottom w:val="0"/>
          <w:divBdr>
            <w:top w:val="none" w:sz="0" w:space="0" w:color="auto"/>
            <w:left w:val="none" w:sz="0" w:space="0" w:color="auto"/>
            <w:bottom w:val="none" w:sz="0" w:space="0" w:color="auto"/>
            <w:right w:val="none" w:sz="0" w:space="0" w:color="auto"/>
          </w:divBdr>
        </w:div>
        <w:div w:id="2129934001">
          <w:marLeft w:val="360"/>
          <w:marRight w:val="0"/>
          <w:marTop w:val="200"/>
          <w:marBottom w:val="0"/>
          <w:divBdr>
            <w:top w:val="none" w:sz="0" w:space="0" w:color="auto"/>
            <w:left w:val="none" w:sz="0" w:space="0" w:color="auto"/>
            <w:bottom w:val="none" w:sz="0" w:space="0" w:color="auto"/>
            <w:right w:val="none" w:sz="0" w:space="0" w:color="auto"/>
          </w:divBdr>
        </w:div>
        <w:div w:id="1086881125">
          <w:marLeft w:val="1080"/>
          <w:marRight w:val="0"/>
          <w:marTop w:val="100"/>
          <w:marBottom w:val="0"/>
          <w:divBdr>
            <w:top w:val="none" w:sz="0" w:space="0" w:color="auto"/>
            <w:left w:val="none" w:sz="0" w:space="0" w:color="auto"/>
            <w:bottom w:val="none" w:sz="0" w:space="0" w:color="auto"/>
            <w:right w:val="none" w:sz="0" w:space="0" w:color="auto"/>
          </w:divBdr>
        </w:div>
        <w:div w:id="894436029">
          <w:marLeft w:val="1080"/>
          <w:marRight w:val="0"/>
          <w:marTop w:val="100"/>
          <w:marBottom w:val="0"/>
          <w:divBdr>
            <w:top w:val="none" w:sz="0" w:space="0" w:color="auto"/>
            <w:left w:val="none" w:sz="0" w:space="0" w:color="auto"/>
            <w:bottom w:val="none" w:sz="0" w:space="0" w:color="auto"/>
            <w:right w:val="none" w:sz="0" w:space="0" w:color="auto"/>
          </w:divBdr>
        </w:div>
        <w:div w:id="524172362">
          <w:marLeft w:val="1080"/>
          <w:marRight w:val="0"/>
          <w:marTop w:val="100"/>
          <w:marBottom w:val="0"/>
          <w:divBdr>
            <w:top w:val="none" w:sz="0" w:space="0" w:color="auto"/>
            <w:left w:val="none" w:sz="0" w:space="0" w:color="auto"/>
            <w:bottom w:val="none" w:sz="0" w:space="0" w:color="auto"/>
            <w:right w:val="none" w:sz="0" w:space="0" w:color="auto"/>
          </w:divBdr>
        </w:div>
      </w:divsChild>
    </w:div>
    <w:div w:id="1843274648">
      <w:bodyDiv w:val="1"/>
      <w:marLeft w:val="0"/>
      <w:marRight w:val="0"/>
      <w:marTop w:val="0"/>
      <w:marBottom w:val="0"/>
      <w:divBdr>
        <w:top w:val="none" w:sz="0" w:space="0" w:color="auto"/>
        <w:left w:val="none" w:sz="0" w:space="0" w:color="auto"/>
        <w:bottom w:val="none" w:sz="0" w:space="0" w:color="auto"/>
        <w:right w:val="none" w:sz="0" w:space="0" w:color="auto"/>
      </w:divBdr>
      <w:divsChild>
        <w:div w:id="1717896552">
          <w:marLeft w:val="1080"/>
          <w:marRight w:val="0"/>
          <w:marTop w:val="100"/>
          <w:marBottom w:val="0"/>
          <w:divBdr>
            <w:top w:val="none" w:sz="0" w:space="0" w:color="auto"/>
            <w:left w:val="none" w:sz="0" w:space="0" w:color="auto"/>
            <w:bottom w:val="none" w:sz="0" w:space="0" w:color="auto"/>
            <w:right w:val="none" w:sz="0" w:space="0" w:color="auto"/>
          </w:divBdr>
        </w:div>
      </w:divsChild>
    </w:div>
    <w:div w:id="1903910231">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882615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tga.gov.au/resources/prescription-medicines-under-evaluation/forxiga-astrazeneca-pty-lt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A1DD1C-6C7C-4FE3-A192-5F23203F6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16549</Words>
  <Characters>94334</Characters>
  <Application>Microsoft Office Word</Application>
  <DocSecurity>0</DocSecurity>
  <Lines>786</Lines>
  <Paragraphs>221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2023-04-04T00:30:00Z</dcterms:created>
  <dcterms:modified xsi:type="dcterms:W3CDTF">2023-04-04T01:41:00Z</dcterms:modified>
</cp:coreProperties>
</file>