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ED3CE" w14:textId="7C6BC8BD" w:rsidR="00F96762" w:rsidRPr="00855EF5" w:rsidRDefault="00F96762" w:rsidP="00F96762">
      <w:pPr>
        <w:rPr>
          <w:rFonts w:cs="Calibri"/>
          <w:color w:val="FF0000"/>
        </w:rPr>
      </w:pPr>
      <w:bookmarkStart w:id="0" w:name="_Toc110982551"/>
      <w:bookmarkStart w:id="1" w:name="_Toc111710300"/>
      <w:r w:rsidRPr="00855EF5">
        <w:rPr>
          <w:color w:val="FF0000"/>
        </w:rPr>
        <w:t xml:space="preserve">An addendum to </w:t>
      </w:r>
      <w:r w:rsidR="005B28E0">
        <w:rPr>
          <w:color w:val="FF0000"/>
        </w:rPr>
        <w:t>this Public Summary Document (PSD)</w:t>
      </w:r>
      <w:r w:rsidRPr="00855EF5">
        <w:rPr>
          <w:color w:val="FF0000"/>
        </w:rPr>
        <w:t xml:space="preserve"> has been included at the end of the document.</w:t>
      </w:r>
    </w:p>
    <w:p w14:paraId="0D41141E" w14:textId="77777777" w:rsidR="00F96762" w:rsidRDefault="00F96762" w:rsidP="00F96762"/>
    <w:p w14:paraId="51C6701A" w14:textId="774AD7AE" w:rsidR="00B60939" w:rsidRPr="00C068F4" w:rsidRDefault="00BC53C3" w:rsidP="004D2100">
      <w:pPr>
        <w:pStyle w:val="1-MainHeading"/>
      </w:pPr>
      <w:r w:rsidRPr="00C068F4">
        <w:t>5.</w:t>
      </w:r>
      <w:r w:rsidR="007B7829" w:rsidRPr="00C068F4">
        <w:t>02</w:t>
      </w:r>
      <w:r w:rsidR="00214A6A" w:rsidRPr="00C068F4">
        <w:tab/>
        <w:t>TIXAGEVIMAB</w:t>
      </w:r>
      <w:r w:rsidR="00EB6B00" w:rsidRPr="00C068F4">
        <w:t xml:space="preserve"> </w:t>
      </w:r>
      <w:r w:rsidR="00D66562" w:rsidRPr="00C068F4">
        <w:t>AND</w:t>
      </w:r>
      <w:r w:rsidR="004C50E6" w:rsidRPr="00C068F4">
        <w:t xml:space="preserve"> CILGAVIMAB</w:t>
      </w:r>
      <w:r w:rsidR="005A0A3A" w:rsidRPr="00C068F4">
        <w:br/>
      </w:r>
      <w:r w:rsidR="004F40B9" w:rsidRPr="00C068F4">
        <w:t>P</w:t>
      </w:r>
      <w:r w:rsidR="00E241FE" w:rsidRPr="00C068F4">
        <w:t>ack containing 1 vial of tixagevimab 150 mg in 1.5 mL and 1 vial of cilgavimab 150 mg in 1.5 mL</w:t>
      </w:r>
      <w:r w:rsidR="003455E8" w:rsidRPr="00C068F4">
        <w:t>,</w:t>
      </w:r>
      <w:r w:rsidR="00214A6A" w:rsidRPr="00C068F4">
        <w:br/>
      </w:r>
      <w:r w:rsidR="007527BA" w:rsidRPr="00C068F4">
        <w:t>E</w:t>
      </w:r>
      <w:r w:rsidR="007527BA">
        <w:t>vusheld</w:t>
      </w:r>
      <w:r w:rsidR="00214A6A" w:rsidRPr="00C068F4">
        <w:rPr>
          <w:vertAlign w:val="superscript"/>
        </w:rPr>
        <w:t>®</w:t>
      </w:r>
      <w:r w:rsidR="00214A6A" w:rsidRPr="00C068F4">
        <w:t>,</w:t>
      </w:r>
      <w:r w:rsidR="0024739A" w:rsidRPr="00C068F4">
        <w:t xml:space="preserve"> </w:t>
      </w:r>
      <w:r w:rsidR="00214A6A" w:rsidRPr="00C068F4">
        <w:br/>
      </w:r>
      <w:r w:rsidR="00013A99" w:rsidRPr="00C068F4">
        <w:t>Astra</w:t>
      </w:r>
      <w:r w:rsidR="004D2100" w:rsidRPr="00C068F4">
        <w:t>Zeneca Pty Ltd</w:t>
      </w:r>
      <w:bookmarkEnd w:id="0"/>
      <w:bookmarkEnd w:id="1"/>
      <w:r w:rsidR="001F2EAC" w:rsidRPr="00C068F4">
        <w:t>.</w:t>
      </w:r>
    </w:p>
    <w:p w14:paraId="11C00795" w14:textId="3DFB6D23" w:rsidR="00B50DB8" w:rsidRPr="00C068F4" w:rsidRDefault="00B50DB8" w:rsidP="004A6040">
      <w:pPr>
        <w:pStyle w:val="2-SectionHeading"/>
      </w:pPr>
      <w:bookmarkStart w:id="2" w:name="_Toc111710302"/>
      <w:r w:rsidRPr="00C068F4">
        <w:t xml:space="preserve">Purpose of </w:t>
      </w:r>
      <w:r w:rsidR="00CD7193" w:rsidRPr="00C068F4">
        <w:t>s</w:t>
      </w:r>
      <w:r w:rsidR="00BB3A45" w:rsidRPr="00C068F4">
        <w:t>ubmission</w:t>
      </w:r>
      <w:bookmarkEnd w:id="2"/>
    </w:p>
    <w:p w14:paraId="19414AA1" w14:textId="2E74A46B" w:rsidR="002C2775" w:rsidRPr="00C068F4" w:rsidRDefault="007170DA" w:rsidP="004E18E9">
      <w:pPr>
        <w:pStyle w:val="3-BodyText"/>
        <w:rPr>
          <w:color w:val="000000" w:themeColor="text1"/>
        </w:rPr>
      </w:pPr>
      <w:r w:rsidRPr="00C068F4">
        <w:t xml:space="preserve">The </w:t>
      </w:r>
      <w:r w:rsidR="00F73E08" w:rsidRPr="00C068F4">
        <w:t xml:space="preserve">Category </w:t>
      </w:r>
      <w:r w:rsidR="006D7475" w:rsidRPr="00C068F4">
        <w:t>1</w:t>
      </w:r>
      <w:r w:rsidR="00F73E08" w:rsidRPr="00C068F4">
        <w:t xml:space="preserve"> </w:t>
      </w:r>
      <w:r w:rsidRPr="00C068F4">
        <w:t xml:space="preserve">submission requested </w:t>
      </w:r>
      <w:r w:rsidR="008B1757" w:rsidRPr="00C068F4">
        <w:t>Authority Required</w:t>
      </w:r>
      <w:r w:rsidR="00AE6CC7" w:rsidRPr="00C068F4">
        <w:t xml:space="preserve"> (telephone </w:t>
      </w:r>
      <w:r w:rsidR="006B5C27" w:rsidRPr="00C068F4">
        <w:t xml:space="preserve">or online </w:t>
      </w:r>
      <w:r w:rsidR="00AE6CC7" w:rsidRPr="00C068F4">
        <w:t>authorisation)</w:t>
      </w:r>
      <w:r w:rsidR="008B1757" w:rsidRPr="00C068F4">
        <w:t xml:space="preserve"> listing for </w:t>
      </w:r>
      <w:r w:rsidR="00DD0C3B" w:rsidRPr="00C068F4">
        <w:t xml:space="preserve">tixagevimab </w:t>
      </w:r>
      <w:r w:rsidR="006D7475" w:rsidRPr="00C068F4">
        <w:t>and</w:t>
      </w:r>
      <w:r w:rsidR="00DD0C3B" w:rsidRPr="00C068F4">
        <w:t xml:space="preserve"> cilgavimab</w:t>
      </w:r>
      <w:r w:rsidR="008B1757" w:rsidRPr="00C068F4">
        <w:t xml:space="preserve"> for </w:t>
      </w:r>
      <w:r w:rsidR="006D7475" w:rsidRPr="00C068F4">
        <w:t>pre-exposure prophylaxis (PrEP) of COVID-19 in adults and adolescents aged 12 years and older who are severely immunocompromised or in whom vaccination with all currently authorised COVID-19 vaccines is contraindicated</w:t>
      </w:r>
      <w:r w:rsidR="006D7475" w:rsidRPr="00C068F4">
        <w:rPr>
          <w:color w:val="000000" w:themeColor="text1"/>
        </w:rPr>
        <w:t>.</w:t>
      </w:r>
    </w:p>
    <w:p w14:paraId="13E8505B" w14:textId="4DED96FD" w:rsidR="00BD5927" w:rsidRPr="00C068F4" w:rsidRDefault="00FB6F38" w:rsidP="004E18E9">
      <w:pPr>
        <w:pStyle w:val="3-BodyText"/>
        <w:rPr>
          <w:color w:val="000000" w:themeColor="text1"/>
        </w:rPr>
      </w:pPr>
      <w:r w:rsidRPr="00C068F4">
        <w:rPr>
          <w:iCs/>
          <w:color w:val="000000" w:themeColor="text1"/>
        </w:rPr>
        <w:t>The original</w:t>
      </w:r>
      <w:r w:rsidR="00BD5927" w:rsidRPr="00C068F4">
        <w:rPr>
          <w:iCs/>
          <w:color w:val="000000" w:themeColor="text1"/>
        </w:rPr>
        <w:t xml:space="preserve"> submission was received by the Department </w:t>
      </w:r>
      <w:r w:rsidRPr="00C068F4">
        <w:rPr>
          <w:iCs/>
          <w:color w:val="000000" w:themeColor="text1"/>
        </w:rPr>
        <w:t>of Health and Aged Care</w:t>
      </w:r>
      <w:r w:rsidR="007C4D5C" w:rsidRPr="00C068F4">
        <w:rPr>
          <w:iCs/>
          <w:color w:val="000000" w:themeColor="text1"/>
        </w:rPr>
        <w:t xml:space="preserve"> (hereafter, the </w:t>
      </w:r>
      <w:r w:rsidR="003A6D03" w:rsidRPr="00C068F4">
        <w:rPr>
          <w:iCs/>
          <w:color w:val="000000" w:themeColor="text1"/>
        </w:rPr>
        <w:t>Dep</w:t>
      </w:r>
      <w:r w:rsidR="007C4D5C" w:rsidRPr="00C068F4">
        <w:rPr>
          <w:iCs/>
          <w:color w:val="000000" w:themeColor="text1"/>
        </w:rPr>
        <w:t>artment)</w:t>
      </w:r>
      <w:r w:rsidRPr="00C068F4">
        <w:rPr>
          <w:iCs/>
          <w:color w:val="000000" w:themeColor="text1"/>
        </w:rPr>
        <w:t xml:space="preserve"> </w:t>
      </w:r>
      <w:r w:rsidR="00BD5927" w:rsidRPr="00C068F4">
        <w:rPr>
          <w:iCs/>
          <w:color w:val="000000" w:themeColor="text1"/>
        </w:rPr>
        <w:t xml:space="preserve">on </w:t>
      </w:r>
      <w:r w:rsidR="0028287F" w:rsidRPr="00C068F4">
        <w:rPr>
          <w:iCs/>
          <w:color w:val="000000" w:themeColor="text1"/>
        </w:rPr>
        <w:t>4</w:t>
      </w:r>
      <w:r w:rsidR="00BD5927" w:rsidRPr="00C068F4">
        <w:rPr>
          <w:iCs/>
          <w:color w:val="000000" w:themeColor="text1"/>
        </w:rPr>
        <w:t xml:space="preserve"> Jul</w:t>
      </w:r>
      <w:r w:rsidR="0024739A" w:rsidRPr="00C068F4">
        <w:rPr>
          <w:iCs/>
          <w:color w:val="000000" w:themeColor="text1"/>
        </w:rPr>
        <w:t>y</w:t>
      </w:r>
      <w:r w:rsidR="00BD5927" w:rsidRPr="00C068F4">
        <w:rPr>
          <w:iCs/>
          <w:color w:val="000000" w:themeColor="text1"/>
        </w:rPr>
        <w:t xml:space="preserve"> 2022</w:t>
      </w:r>
      <w:r w:rsidRPr="00C068F4">
        <w:rPr>
          <w:iCs/>
          <w:color w:val="000000" w:themeColor="text1"/>
        </w:rPr>
        <w:t xml:space="preserve">. A revised submission was received </w:t>
      </w:r>
      <w:r w:rsidR="003A6D03" w:rsidRPr="00C068F4">
        <w:rPr>
          <w:iCs/>
          <w:color w:val="000000" w:themeColor="text1"/>
        </w:rPr>
        <w:t>by the Dep</w:t>
      </w:r>
      <w:r w:rsidR="007C4D5C" w:rsidRPr="00C068F4">
        <w:rPr>
          <w:iCs/>
          <w:color w:val="000000" w:themeColor="text1"/>
        </w:rPr>
        <w:t>artment</w:t>
      </w:r>
      <w:r w:rsidR="003A6D03" w:rsidRPr="00C068F4">
        <w:rPr>
          <w:iCs/>
          <w:color w:val="000000" w:themeColor="text1"/>
        </w:rPr>
        <w:t xml:space="preserve"> </w:t>
      </w:r>
      <w:r w:rsidRPr="00C068F4">
        <w:rPr>
          <w:iCs/>
          <w:color w:val="000000" w:themeColor="text1"/>
        </w:rPr>
        <w:t xml:space="preserve">on </w:t>
      </w:r>
      <w:r w:rsidR="0028287F" w:rsidRPr="00C068F4">
        <w:rPr>
          <w:iCs/>
          <w:color w:val="000000" w:themeColor="text1"/>
        </w:rPr>
        <w:t>29</w:t>
      </w:r>
      <w:r w:rsidRPr="00C068F4">
        <w:rPr>
          <w:iCs/>
          <w:color w:val="000000" w:themeColor="text1"/>
        </w:rPr>
        <w:t xml:space="preserve"> Jul</w:t>
      </w:r>
      <w:r w:rsidR="0024739A" w:rsidRPr="00C068F4">
        <w:rPr>
          <w:iCs/>
          <w:color w:val="000000" w:themeColor="text1"/>
        </w:rPr>
        <w:t>y</w:t>
      </w:r>
      <w:r w:rsidRPr="00C068F4">
        <w:rPr>
          <w:iCs/>
          <w:color w:val="000000" w:themeColor="text1"/>
        </w:rPr>
        <w:t xml:space="preserve"> 2022. Th</w:t>
      </w:r>
      <w:r w:rsidR="0061081D" w:rsidRPr="00C068F4">
        <w:rPr>
          <w:iCs/>
          <w:color w:val="000000" w:themeColor="text1"/>
        </w:rPr>
        <w:t>e</w:t>
      </w:r>
      <w:r w:rsidRPr="00C068F4">
        <w:rPr>
          <w:iCs/>
          <w:color w:val="000000" w:themeColor="text1"/>
        </w:rPr>
        <w:t xml:space="preserve"> Commentary</w:t>
      </w:r>
      <w:r w:rsidR="00243F21" w:rsidRPr="00C068F4">
        <w:rPr>
          <w:iCs/>
          <w:color w:val="000000" w:themeColor="text1"/>
        </w:rPr>
        <w:t xml:space="preserve"> </w:t>
      </w:r>
      <w:r w:rsidR="0061081D" w:rsidRPr="00C068F4">
        <w:rPr>
          <w:iCs/>
          <w:color w:val="000000" w:themeColor="text1"/>
        </w:rPr>
        <w:t>was</w:t>
      </w:r>
      <w:r w:rsidR="00243F21" w:rsidRPr="00C068F4">
        <w:rPr>
          <w:iCs/>
          <w:color w:val="000000" w:themeColor="text1"/>
        </w:rPr>
        <w:t xml:space="preserve"> primarily based on the revised submission</w:t>
      </w:r>
      <w:r w:rsidR="0061081D" w:rsidRPr="00C068F4">
        <w:rPr>
          <w:iCs/>
          <w:color w:val="000000" w:themeColor="text1"/>
        </w:rPr>
        <w:t>,</w:t>
      </w:r>
      <w:r w:rsidR="00C83EDB" w:rsidRPr="00C068F4">
        <w:rPr>
          <w:iCs/>
          <w:color w:val="000000" w:themeColor="text1"/>
        </w:rPr>
        <w:t xml:space="preserve"> with reference to the original submission where appropriate</w:t>
      </w:r>
      <w:r w:rsidR="00243F21" w:rsidRPr="00C068F4">
        <w:rPr>
          <w:iCs/>
          <w:color w:val="000000" w:themeColor="text1"/>
        </w:rPr>
        <w:t>.</w:t>
      </w:r>
    </w:p>
    <w:p w14:paraId="71B7208C" w14:textId="40F016C8" w:rsidR="00342E73" w:rsidRPr="00C068F4" w:rsidRDefault="005750C5" w:rsidP="008934E0">
      <w:pPr>
        <w:pStyle w:val="3-BodyText"/>
        <w:rPr>
          <w:i/>
        </w:rPr>
      </w:pPr>
      <w:r w:rsidRPr="00C068F4">
        <w:t xml:space="preserve">Listing was requested on the basis of a cost-effectiveness analysis versus </w:t>
      </w:r>
      <w:r w:rsidR="00AC093A" w:rsidRPr="00C068F4">
        <w:t>placebo (</w:t>
      </w:r>
      <w:r w:rsidR="000629EA" w:rsidRPr="00C068F4">
        <w:t>representative of</w:t>
      </w:r>
      <w:r w:rsidR="00AC093A" w:rsidRPr="00C068F4">
        <w:t xml:space="preserve"> </w:t>
      </w:r>
      <w:r w:rsidR="000629EA" w:rsidRPr="00C068F4">
        <w:t>a no PrEP scenario</w:t>
      </w:r>
      <w:r w:rsidR="00D86B5B" w:rsidRPr="00C068F4">
        <w:t>).</w:t>
      </w:r>
      <w:bookmarkStart w:id="3" w:name="_Hlk76375324"/>
    </w:p>
    <w:p w14:paraId="6B4AB6C2" w14:textId="7F01D731" w:rsidR="005C25FF" w:rsidRPr="00C068F4" w:rsidRDefault="005C25FF" w:rsidP="004A6040">
      <w:pPr>
        <w:pStyle w:val="2-SectionHeading"/>
      </w:pPr>
      <w:bookmarkStart w:id="4" w:name="_Toc111710303"/>
      <w:bookmarkEnd w:id="3"/>
      <w:r w:rsidRPr="00C068F4">
        <w:t>Background</w:t>
      </w:r>
      <w:bookmarkEnd w:id="4"/>
    </w:p>
    <w:p w14:paraId="2C521D6D" w14:textId="78CF03EE" w:rsidR="005C25FF" w:rsidRPr="00C068F4" w:rsidRDefault="005C25FF" w:rsidP="004A6040">
      <w:pPr>
        <w:pStyle w:val="4-SubsectionHeading"/>
      </w:pPr>
      <w:bookmarkStart w:id="5" w:name="_Toc22897638"/>
      <w:bookmarkStart w:id="6" w:name="_Toc111710304"/>
      <w:r w:rsidRPr="00C068F4">
        <w:t>Registration status</w:t>
      </w:r>
      <w:bookmarkEnd w:id="5"/>
      <w:bookmarkEnd w:id="6"/>
    </w:p>
    <w:p w14:paraId="7021CE04" w14:textId="54830369" w:rsidR="001305D4" w:rsidRPr="00C068F4" w:rsidRDefault="00F35A12" w:rsidP="00F90272">
      <w:pPr>
        <w:pStyle w:val="3-BodyText"/>
      </w:pPr>
      <w:r w:rsidRPr="00C068F4">
        <w:rPr>
          <w:rFonts w:ascii="Calibri" w:eastAsia="Calibri" w:hAnsi="Calibri"/>
          <w:b/>
          <w:szCs w:val="22"/>
        </w:rPr>
        <w:t xml:space="preserve">TGA status at time of </w:t>
      </w:r>
      <w:r w:rsidR="00403E54" w:rsidRPr="00C068F4">
        <w:rPr>
          <w:rFonts w:ascii="Calibri" w:eastAsia="Calibri" w:hAnsi="Calibri"/>
          <w:b/>
          <w:szCs w:val="22"/>
        </w:rPr>
        <w:t>PBAC consideration</w:t>
      </w:r>
      <w:r w:rsidRPr="00C068F4">
        <w:rPr>
          <w:rFonts w:ascii="Calibri" w:eastAsia="Calibri" w:hAnsi="Calibri"/>
          <w:szCs w:val="22"/>
        </w:rPr>
        <w:t xml:space="preserve">: </w:t>
      </w:r>
      <w:r w:rsidR="00403E54" w:rsidRPr="00C068F4">
        <w:rPr>
          <w:rFonts w:ascii="Calibri" w:eastAsia="Calibri" w:hAnsi="Calibri"/>
          <w:szCs w:val="22"/>
        </w:rPr>
        <w:t>Provisional</w:t>
      </w:r>
      <w:r w:rsidR="001305D4" w:rsidRPr="00C068F4">
        <w:rPr>
          <w:rFonts w:ascii="Calibri" w:eastAsia="Calibri" w:hAnsi="Calibri"/>
          <w:szCs w:val="22"/>
        </w:rPr>
        <w:t>ly</w:t>
      </w:r>
      <w:r w:rsidR="00403E54" w:rsidRPr="00C068F4">
        <w:rPr>
          <w:rFonts w:ascii="Calibri" w:eastAsia="Calibri" w:hAnsi="Calibri"/>
          <w:szCs w:val="22"/>
        </w:rPr>
        <w:t xml:space="preserve"> </w:t>
      </w:r>
      <w:r w:rsidR="001305D4" w:rsidRPr="00C068F4">
        <w:rPr>
          <w:rFonts w:ascii="Calibri" w:eastAsia="Calibri" w:hAnsi="Calibri"/>
          <w:szCs w:val="22"/>
        </w:rPr>
        <w:t>approved</w:t>
      </w:r>
      <w:r w:rsidR="001305D4" w:rsidRPr="00C068F4">
        <w:t xml:space="preserve"> for </w:t>
      </w:r>
      <w:r w:rsidR="009C6352" w:rsidRPr="00C068F4">
        <w:t>PrEP</w:t>
      </w:r>
      <w:r w:rsidR="001305D4" w:rsidRPr="00C068F4">
        <w:t xml:space="preserve"> for individuals aged 12 years and older, however an application to increase the dose for this use is under evaluation.</w:t>
      </w:r>
    </w:p>
    <w:p w14:paraId="25F540E3" w14:textId="04D15167" w:rsidR="00950D42" w:rsidRPr="00C068F4" w:rsidRDefault="00BC38E1" w:rsidP="00950D42">
      <w:pPr>
        <w:pStyle w:val="3-BodyText"/>
      </w:pPr>
      <w:r w:rsidRPr="00C068F4">
        <w:t xml:space="preserve">Tixagevimab </w:t>
      </w:r>
      <w:r w:rsidR="006D7475" w:rsidRPr="00C068F4">
        <w:t>and</w:t>
      </w:r>
      <w:r w:rsidRPr="00C068F4">
        <w:t xml:space="preserve"> cilgavimab</w:t>
      </w:r>
      <w:r w:rsidR="005C25FF" w:rsidRPr="00C068F4">
        <w:t xml:space="preserve"> was </w:t>
      </w:r>
      <w:r w:rsidRPr="00C068F4">
        <w:t>granted provisional approval</w:t>
      </w:r>
      <w:r w:rsidR="00617AD7" w:rsidRPr="00C068F4">
        <w:t xml:space="preserve"> </w:t>
      </w:r>
      <w:r w:rsidR="00195DD1">
        <w:t xml:space="preserve">for PrEP </w:t>
      </w:r>
      <w:r w:rsidR="00617AD7" w:rsidRPr="00C068F4">
        <w:t xml:space="preserve">by the </w:t>
      </w:r>
      <w:r w:rsidR="005C25FF" w:rsidRPr="00C068F4">
        <w:t xml:space="preserve">TGA </w:t>
      </w:r>
      <w:r w:rsidR="00D358D8" w:rsidRPr="00C068F4">
        <w:t>on 24</w:t>
      </w:r>
      <w:r w:rsidR="0024739A" w:rsidRPr="00C068F4">
        <w:t> </w:t>
      </w:r>
      <w:r w:rsidR="00D358D8" w:rsidRPr="00C068F4">
        <w:t>February 2022</w:t>
      </w:r>
      <w:r w:rsidR="005E6A66" w:rsidRPr="00C068F4">
        <w:t xml:space="preserve">. </w:t>
      </w:r>
      <w:r w:rsidR="00950D42" w:rsidRPr="00C068F4">
        <w:t>The dose recommended in the provisionally approved product information is administration of separate 1.5 mL sequential intramuscular injections of 150 mg of tixagevimab and 150 mg of cilgavimab.</w:t>
      </w:r>
    </w:p>
    <w:p w14:paraId="5C067E10" w14:textId="77777777" w:rsidR="007D3267" w:rsidRPr="00C068F4" w:rsidRDefault="007D3267" w:rsidP="007D3267">
      <w:pPr>
        <w:pStyle w:val="3-BodyText"/>
      </w:pPr>
      <w:r w:rsidRPr="00C068F4">
        <w:t xml:space="preserve">The provisionally approved product information notes that </w:t>
      </w:r>
      <w:r w:rsidRPr="00C068F4">
        <w:rPr>
          <w:color w:val="000000" w:themeColor="text1"/>
        </w:rPr>
        <w:t>tixagevimab and cilgavimab</w:t>
      </w:r>
      <w:r w:rsidRPr="00C068F4">
        <w:t xml:space="preserve"> has </w:t>
      </w:r>
      <w:r w:rsidRPr="00C068F4">
        <w:rPr>
          <w:iCs/>
        </w:rPr>
        <w:t>“only been studied in single-dose studies”</w:t>
      </w:r>
      <w:r w:rsidRPr="00C068F4">
        <w:t xml:space="preserve"> and that </w:t>
      </w:r>
      <w:r w:rsidRPr="00C068F4">
        <w:rPr>
          <w:iCs/>
        </w:rPr>
        <w:t>“no safety and efficacy data are available with repeat dosing”</w:t>
      </w:r>
      <w:r w:rsidRPr="00C068F4">
        <w:t>.</w:t>
      </w:r>
    </w:p>
    <w:p w14:paraId="57CAE641" w14:textId="57DD8F82" w:rsidR="00287C72" w:rsidRDefault="007D3267" w:rsidP="001143ED">
      <w:pPr>
        <w:pStyle w:val="3-BodyText"/>
        <w:rPr>
          <w:iCs/>
          <w:color w:val="000000" w:themeColor="text1"/>
        </w:rPr>
      </w:pPr>
      <w:r w:rsidRPr="00C068F4">
        <w:rPr>
          <w:iCs/>
          <w:color w:val="000000" w:themeColor="text1"/>
        </w:rPr>
        <w:lastRenderedPageBreak/>
        <w:t>The Sponsor’s headquarters released a statement on 14 July 2022</w:t>
      </w:r>
      <w:r w:rsidRPr="00C068F4">
        <w:rPr>
          <w:rStyle w:val="FootnoteReference"/>
        </w:rPr>
        <w:footnoteReference w:id="2"/>
      </w:r>
      <w:r w:rsidRPr="00C068F4">
        <w:rPr>
          <w:iCs/>
          <w:color w:val="000000" w:themeColor="text1"/>
        </w:rPr>
        <w:t xml:space="preserve"> indicating there had been a revision of </w:t>
      </w:r>
      <w:r w:rsidR="0024739A" w:rsidRPr="00C068F4">
        <w:rPr>
          <w:iCs/>
          <w:color w:val="000000" w:themeColor="text1"/>
        </w:rPr>
        <w:t xml:space="preserve">its </w:t>
      </w:r>
      <w:r w:rsidRPr="00C068F4">
        <w:rPr>
          <w:iCs/>
          <w:color w:val="000000" w:themeColor="text1"/>
        </w:rPr>
        <w:t>recommended dosage regimen for tixagevimab and cilgavimab when used for PrEP of COVID-19. The statement advises that the</w:t>
      </w:r>
      <w:r w:rsidR="0024739A" w:rsidRPr="00C068F4">
        <w:rPr>
          <w:iCs/>
          <w:color w:val="000000" w:themeColor="text1"/>
        </w:rPr>
        <w:t xml:space="preserve"> Sponsor’s</w:t>
      </w:r>
      <w:r w:rsidRPr="00C068F4">
        <w:rPr>
          <w:iCs/>
          <w:color w:val="000000" w:themeColor="text1"/>
        </w:rPr>
        <w:t xml:space="preserve"> updated recommended dosage regimen involves separate IM administration of 300</w:t>
      </w:r>
      <w:r w:rsidR="0024739A" w:rsidRPr="00C068F4">
        <w:rPr>
          <w:iCs/>
          <w:color w:val="000000" w:themeColor="text1"/>
        </w:rPr>
        <w:t> </w:t>
      </w:r>
      <w:r w:rsidRPr="00C068F4">
        <w:rPr>
          <w:iCs/>
          <w:color w:val="000000" w:themeColor="text1"/>
        </w:rPr>
        <w:t>mg tixagevimab and 300 mg cilgavimab every six months (i.e., a doubling of the dose and a recommendation for repeat administration every six months). The statement does not provide a detailed rationale for the revised dosing recommendation other than to say that the “update is based on the latest information available, including new safety and efficacy data from the ongoing PROVENT Phase III trial, emerging real-world evidence in immunocompromised patients who received 600 mg</w:t>
      </w:r>
      <w:r w:rsidR="00C00BD7">
        <w:rPr>
          <w:iCs/>
          <w:color w:val="000000" w:themeColor="text1"/>
        </w:rPr>
        <w:t xml:space="preserve"> (tixagevimab 300 mg and cilgavimab 300 mg)</w:t>
      </w:r>
      <w:r w:rsidRPr="00C068F4">
        <w:rPr>
          <w:iCs/>
          <w:color w:val="000000" w:themeColor="text1"/>
        </w:rPr>
        <w:t xml:space="preserve"> during Omicron and modelling assessments against BA.2, BA.4 and BA.5 based on neutralisation activity”.</w:t>
      </w:r>
    </w:p>
    <w:p w14:paraId="2224B23A" w14:textId="222D7AEE" w:rsidR="009D3513" w:rsidRPr="00C068F4" w:rsidRDefault="0024739A" w:rsidP="0024739A">
      <w:pPr>
        <w:pStyle w:val="3-BodyText"/>
        <w:rPr>
          <w:iCs/>
          <w:color w:val="000000" w:themeColor="text1"/>
        </w:rPr>
      </w:pPr>
      <w:r w:rsidRPr="00C068F4">
        <w:t xml:space="preserve">The </w:t>
      </w:r>
      <w:r w:rsidR="009D3513" w:rsidRPr="00C068F4">
        <w:t>S</w:t>
      </w:r>
      <w:r w:rsidRPr="00C068F4">
        <w:t>ponsor’s a</w:t>
      </w:r>
      <w:r w:rsidRPr="00C068F4">
        <w:rPr>
          <w:iCs/>
          <w:color w:val="000000" w:themeColor="text1"/>
        </w:rPr>
        <w:t>pplication to increase the dose for pre-exposure prophylaxis for individuals aged 12 years and older is under evaluation by the TGA and t</w:t>
      </w:r>
      <w:bookmarkStart w:id="7" w:name="_Ref111662044"/>
      <w:bookmarkStart w:id="8" w:name="_Ref110079707"/>
      <w:r w:rsidR="00950D42" w:rsidRPr="00C068F4">
        <w:t>he submission was made under the TGA/PBAC Parallel Process</w:t>
      </w:r>
      <w:r w:rsidR="007D7F4C" w:rsidRPr="00C068F4">
        <w:t>.</w:t>
      </w:r>
    </w:p>
    <w:p w14:paraId="63DEA0A3" w14:textId="7CF4D9E7" w:rsidR="009B5EAB" w:rsidRPr="00C068F4" w:rsidRDefault="0066591C" w:rsidP="009D3513">
      <w:pPr>
        <w:pStyle w:val="4-SubsectionHeading"/>
      </w:pPr>
      <w:r w:rsidRPr="00C068F4">
        <w:t xml:space="preserve"> </w:t>
      </w:r>
      <w:bookmarkStart w:id="9" w:name="_Toc22897639"/>
      <w:bookmarkStart w:id="10" w:name="_Toc100422492"/>
      <w:bookmarkEnd w:id="7"/>
      <w:bookmarkEnd w:id="8"/>
      <w:r w:rsidR="009B5EAB" w:rsidRPr="00C068F4">
        <w:t>Previous PBAC consideration</w:t>
      </w:r>
      <w:bookmarkEnd w:id="9"/>
      <w:bookmarkEnd w:id="10"/>
    </w:p>
    <w:p w14:paraId="1DF03E55" w14:textId="02A9C937" w:rsidR="00287C72" w:rsidRDefault="009B5EAB" w:rsidP="00F90272">
      <w:pPr>
        <w:pStyle w:val="3-BodyText"/>
      </w:pPr>
      <w:r w:rsidRPr="00C068F4">
        <w:rPr>
          <w:color w:val="000000" w:themeColor="text1"/>
        </w:rPr>
        <w:t xml:space="preserve">The PBAC considered </w:t>
      </w:r>
      <w:r w:rsidR="0033707D" w:rsidRPr="00C068F4">
        <w:rPr>
          <w:color w:val="000000" w:themeColor="text1"/>
        </w:rPr>
        <w:t xml:space="preserve">the suitability </w:t>
      </w:r>
      <w:r w:rsidR="009D3513" w:rsidRPr="00C068F4">
        <w:rPr>
          <w:color w:val="000000" w:themeColor="text1"/>
        </w:rPr>
        <w:t xml:space="preserve">of the </w:t>
      </w:r>
      <w:r w:rsidR="0033707D" w:rsidRPr="00C068F4">
        <w:rPr>
          <w:color w:val="000000" w:themeColor="text1"/>
        </w:rPr>
        <w:t>PBS</w:t>
      </w:r>
      <w:r w:rsidR="009D3513" w:rsidRPr="00C068F4">
        <w:rPr>
          <w:color w:val="000000" w:themeColor="text1"/>
        </w:rPr>
        <w:t xml:space="preserve"> as a mechanism to make</w:t>
      </w:r>
      <w:r w:rsidR="0033707D" w:rsidRPr="00C068F4">
        <w:rPr>
          <w:color w:val="000000" w:themeColor="text1"/>
        </w:rPr>
        <w:t xml:space="preserve"> </w:t>
      </w:r>
      <w:r w:rsidRPr="00C068F4">
        <w:rPr>
          <w:color w:val="000000" w:themeColor="text1"/>
        </w:rPr>
        <w:t>tixagevimab and cilgavimab</w:t>
      </w:r>
      <w:r w:rsidRPr="00C068F4">
        <w:t xml:space="preserve"> </w:t>
      </w:r>
      <w:r w:rsidR="009D3513" w:rsidRPr="00C068F4">
        <w:t xml:space="preserve">available </w:t>
      </w:r>
      <w:r w:rsidRPr="00C068F4">
        <w:t xml:space="preserve">for </w:t>
      </w:r>
      <w:r w:rsidR="009D3513" w:rsidRPr="00C068F4">
        <w:t xml:space="preserve">individuals in the community for </w:t>
      </w:r>
      <w:r w:rsidRPr="00C068F4">
        <w:t>pre</w:t>
      </w:r>
      <w:r w:rsidRPr="00C068F4">
        <w:noBreakHyphen/>
        <w:t xml:space="preserve">exposure prophylaxis of COVID-19 </w:t>
      </w:r>
      <w:r w:rsidR="0033707D" w:rsidRPr="00C068F4">
        <w:t>o</w:t>
      </w:r>
      <w:r w:rsidRPr="00C068F4">
        <w:t xml:space="preserve">n </w:t>
      </w:r>
      <w:r w:rsidR="009D3513" w:rsidRPr="00C068F4">
        <w:t xml:space="preserve">18 </w:t>
      </w:r>
      <w:r w:rsidRPr="00C068F4">
        <w:t xml:space="preserve">January 2022. </w:t>
      </w:r>
      <w:r w:rsidR="0042080A" w:rsidRPr="00C068F4">
        <w:t xml:space="preserve">The PBAC was provided with information from a rapid Health Technology Assessment commissioned by the Department </w:t>
      </w:r>
      <w:r w:rsidR="001B1871" w:rsidRPr="00C068F4">
        <w:t xml:space="preserve">in November 2021 </w:t>
      </w:r>
      <w:r w:rsidR="0042080A" w:rsidRPr="00C068F4">
        <w:t>using data provided by AstraZeneca.</w:t>
      </w:r>
    </w:p>
    <w:p w14:paraId="278C3F06" w14:textId="114774BD" w:rsidR="002C4BFA" w:rsidRPr="00C068F4" w:rsidRDefault="001E740B" w:rsidP="002C4BFA">
      <w:pPr>
        <w:pStyle w:val="3-BodyText"/>
        <w:rPr>
          <w:color w:val="000000" w:themeColor="text1"/>
        </w:rPr>
      </w:pPr>
      <w:r w:rsidRPr="00C068F4">
        <w:rPr>
          <w:color w:val="000000" w:themeColor="text1"/>
        </w:rPr>
        <w:t>At that time, t</w:t>
      </w:r>
      <w:r w:rsidR="002C4BFA" w:rsidRPr="00C068F4">
        <w:rPr>
          <w:color w:val="000000" w:themeColor="text1"/>
        </w:rPr>
        <w:t>he PBAC advised it considered this</w:t>
      </w:r>
      <w:r w:rsidRPr="00C068F4">
        <w:rPr>
          <w:color w:val="000000" w:themeColor="text1"/>
        </w:rPr>
        <w:t xml:space="preserve"> drug </w:t>
      </w:r>
      <w:r w:rsidR="002C4BFA" w:rsidRPr="00C068F4">
        <w:rPr>
          <w:color w:val="000000" w:themeColor="text1"/>
        </w:rPr>
        <w:t xml:space="preserve">is suitable for supply to patients through the PBS, subject to approval by the TGA and the requirements of the </w:t>
      </w:r>
      <w:r w:rsidR="002C4BFA" w:rsidRPr="00C068F4">
        <w:rPr>
          <w:i/>
          <w:iCs/>
          <w:color w:val="000000" w:themeColor="text1"/>
        </w:rPr>
        <w:t>National Health Act 1953</w:t>
      </w:r>
      <w:r w:rsidR="002C4BFA" w:rsidRPr="00C068F4">
        <w:rPr>
          <w:color w:val="000000" w:themeColor="text1"/>
        </w:rPr>
        <w:t xml:space="preserve"> being met</w:t>
      </w:r>
      <w:r w:rsidR="009D3513" w:rsidRPr="00C068F4">
        <w:rPr>
          <w:color w:val="000000" w:themeColor="text1"/>
        </w:rPr>
        <w:t>.</w:t>
      </w:r>
    </w:p>
    <w:p w14:paraId="70B87851" w14:textId="03B4E2C3" w:rsidR="00E00B68" w:rsidRPr="00C068F4" w:rsidRDefault="00E00B68" w:rsidP="00E00B68">
      <w:pPr>
        <w:pStyle w:val="4-SubsectionHeading"/>
      </w:pPr>
      <w:bookmarkStart w:id="11" w:name="_Toc111710305"/>
      <w:r w:rsidRPr="00C068F4">
        <w:t>Advance purchase agreement</w:t>
      </w:r>
      <w:bookmarkEnd w:id="11"/>
    </w:p>
    <w:p w14:paraId="2493F9E1" w14:textId="73F1C6A9" w:rsidR="00287C72" w:rsidRDefault="00261224" w:rsidP="00F90272">
      <w:pPr>
        <w:pStyle w:val="3-BodyText"/>
        <w:rPr>
          <w:color w:val="000000" w:themeColor="text1"/>
        </w:rPr>
      </w:pPr>
      <w:r w:rsidRPr="00C068F4">
        <w:rPr>
          <w:color w:val="000000" w:themeColor="text1"/>
        </w:rPr>
        <w:t>Under an advance purchase agreement</w:t>
      </w:r>
      <w:r w:rsidR="0016124D" w:rsidRPr="00C068F4">
        <w:rPr>
          <w:color w:val="000000" w:themeColor="text1"/>
        </w:rPr>
        <w:t xml:space="preserve"> signed</w:t>
      </w:r>
      <w:r w:rsidR="0034786D" w:rsidRPr="00C068F4">
        <w:rPr>
          <w:color w:val="000000" w:themeColor="text1"/>
        </w:rPr>
        <w:t xml:space="preserve"> in </w:t>
      </w:r>
      <w:r w:rsidR="0028287F" w:rsidRPr="00C068F4">
        <w:rPr>
          <w:color w:val="000000" w:themeColor="text1"/>
        </w:rPr>
        <w:t xml:space="preserve">February </w:t>
      </w:r>
      <w:r w:rsidR="0034786D" w:rsidRPr="00C068F4">
        <w:rPr>
          <w:color w:val="000000" w:themeColor="text1"/>
        </w:rPr>
        <w:t>2022</w:t>
      </w:r>
      <w:r w:rsidRPr="00C068F4">
        <w:rPr>
          <w:color w:val="000000" w:themeColor="text1"/>
        </w:rPr>
        <w:t>, the</w:t>
      </w:r>
      <w:r w:rsidR="006A1243" w:rsidRPr="00C068F4">
        <w:rPr>
          <w:color w:val="000000" w:themeColor="text1"/>
        </w:rPr>
        <w:t xml:space="preserve"> Department </w:t>
      </w:r>
      <w:r w:rsidRPr="00C068F4">
        <w:rPr>
          <w:color w:val="000000" w:themeColor="text1"/>
        </w:rPr>
        <w:t>secured</w:t>
      </w:r>
      <w:r w:rsidR="00D21538" w:rsidRPr="00C068F4">
        <w:rPr>
          <w:color w:val="000000" w:themeColor="text1"/>
        </w:rPr>
        <w:t xml:space="preserve"> </w:t>
      </w:r>
      <w:r w:rsidR="0034786D" w:rsidRPr="00C068F4">
        <w:rPr>
          <w:color w:val="000000" w:themeColor="text1"/>
        </w:rPr>
        <w:t>3</w:t>
      </w:r>
      <w:r w:rsidR="00E1008D" w:rsidRPr="00C068F4">
        <w:rPr>
          <w:color w:val="000000" w:themeColor="text1"/>
        </w:rPr>
        <w:t>6</w:t>
      </w:r>
      <w:r w:rsidR="0034786D" w:rsidRPr="00C068F4">
        <w:rPr>
          <w:color w:val="000000" w:themeColor="text1"/>
        </w:rPr>
        <w:t>,000</w:t>
      </w:r>
      <w:r w:rsidR="00D21538" w:rsidRPr="00C068F4">
        <w:rPr>
          <w:color w:val="000000" w:themeColor="text1"/>
        </w:rPr>
        <w:t xml:space="preserve"> treatment courses of tixagevimab </w:t>
      </w:r>
      <w:r w:rsidR="001143ED" w:rsidRPr="00C068F4">
        <w:rPr>
          <w:color w:val="000000" w:themeColor="text1"/>
        </w:rPr>
        <w:t xml:space="preserve">150 mg </w:t>
      </w:r>
      <w:r w:rsidR="00D21538" w:rsidRPr="00C068F4">
        <w:rPr>
          <w:color w:val="000000" w:themeColor="text1"/>
        </w:rPr>
        <w:t>and cilgavimab</w:t>
      </w:r>
      <w:r w:rsidR="001143ED" w:rsidRPr="00C068F4">
        <w:rPr>
          <w:color w:val="000000" w:themeColor="text1"/>
        </w:rPr>
        <w:t xml:space="preserve"> 150 mg</w:t>
      </w:r>
      <w:r w:rsidR="0028287F" w:rsidRPr="00C068F4">
        <w:rPr>
          <w:color w:val="000000" w:themeColor="text1"/>
        </w:rPr>
        <w:t xml:space="preserve"> for the </w:t>
      </w:r>
      <w:r w:rsidR="008D04D8" w:rsidRPr="00C068F4">
        <w:rPr>
          <w:color w:val="000000" w:themeColor="text1"/>
        </w:rPr>
        <w:t>N</w:t>
      </w:r>
      <w:r w:rsidR="009D3513" w:rsidRPr="00C068F4">
        <w:rPr>
          <w:color w:val="000000" w:themeColor="text1"/>
        </w:rPr>
        <w:t xml:space="preserve">ational </w:t>
      </w:r>
      <w:r w:rsidR="008D04D8" w:rsidRPr="00C068F4">
        <w:rPr>
          <w:color w:val="000000" w:themeColor="text1"/>
        </w:rPr>
        <w:t>M</w:t>
      </w:r>
      <w:r w:rsidR="009D3513" w:rsidRPr="00C068F4">
        <w:rPr>
          <w:color w:val="000000" w:themeColor="text1"/>
        </w:rPr>
        <w:t xml:space="preserve">edical </w:t>
      </w:r>
      <w:r w:rsidR="008D04D8" w:rsidRPr="00C068F4">
        <w:rPr>
          <w:color w:val="000000" w:themeColor="text1"/>
        </w:rPr>
        <w:t>S</w:t>
      </w:r>
      <w:r w:rsidR="009D3513" w:rsidRPr="00C068F4">
        <w:rPr>
          <w:color w:val="000000" w:themeColor="text1"/>
        </w:rPr>
        <w:t>tockpile</w:t>
      </w:r>
      <w:r w:rsidR="001143ED" w:rsidRPr="00C068F4">
        <w:rPr>
          <w:color w:val="000000" w:themeColor="text1"/>
        </w:rPr>
        <w:t xml:space="preserve"> (NMS)</w:t>
      </w:r>
      <w:r w:rsidR="008D04D8" w:rsidRPr="00C068F4">
        <w:rPr>
          <w:color w:val="000000" w:themeColor="text1"/>
        </w:rPr>
        <w:t>.</w:t>
      </w:r>
    </w:p>
    <w:p w14:paraId="7988BDF1" w14:textId="2D0A9EAE" w:rsidR="00E50A90" w:rsidRPr="00C068F4" w:rsidRDefault="002B3F39" w:rsidP="00FE73AE">
      <w:pPr>
        <w:pStyle w:val="3-BodyText"/>
        <w:rPr>
          <w:color w:val="000000" w:themeColor="text1"/>
        </w:rPr>
      </w:pPr>
      <w:r w:rsidRPr="00C068F4">
        <w:rPr>
          <w:color w:val="000000" w:themeColor="text1"/>
        </w:rPr>
        <w:t xml:space="preserve">The </w:t>
      </w:r>
      <w:r w:rsidR="0028287F" w:rsidRPr="00C068F4">
        <w:rPr>
          <w:color w:val="000000" w:themeColor="text1"/>
        </w:rPr>
        <w:t>agreed</w:t>
      </w:r>
      <w:r w:rsidR="00BE6621" w:rsidRPr="00C068F4">
        <w:rPr>
          <w:color w:val="000000" w:themeColor="text1"/>
        </w:rPr>
        <w:t xml:space="preserve"> </w:t>
      </w:r>
      <w:r w:rsidRPr="00C068F4">
        <w:rPr>
          <w:color w:val="000000" w:themeColor="text1"/>
        </w:rPr>
        <w:t xml:space="preserve">cost per </w:t>
      </w:r>
      <w:r w:rsidR="001143ED" w:rsidRPr="00C068F4">
        <w:rPr>
          <w:color w:val="000000" w:themeColor="text1"/>
        </w:rPr>
        <w:t>course</w:t>
      </w:r>
      <w:r w:rsidR="00006C89" w:rsidRPr="00C068F4">
        <w:rPr>
          <w:color w:val="000000" w:themeColor="text1"/>
        </w:rPr>
        <w:t xml:space="preserve"> under the advance purchase agreement was </w:t>
      </w:r>
      <w:r w:rsidR="0090667A" w:rsidRPr="0090667A">
        <w:rPr>
          <w:color w:val="000000" w:themeColor="text1"/>
        </w:rPr>
        <w:t>$</w:t>
      </w:r>
      <w:r w:rsidR="00D61370" w:rsidRPr="00157ED3">
        <w:rPr>
          <w:color w:val="000000"/>
          <w:spacing w:val="1"/>
          <w:w w:val="62"/>
          <w:shd w:val="solid" w:color="000000" w:fill="000000"/>
          <w:fitText w:val="625" w:id="-1425249529"/>
          <w14:textFill>
            <w14:solidFill>
              <w14:srgbClr w14:val="000000">
                <w14:alpha w14:val="100000"/>
              </w14:srgbClr>
            </w14:solidFill>
          </w14:textFill>
        </w:rPr>
        <w:t>||||  ||||</w:t>
      </w:r>
      <w:r w:rsidR="00E13113" w:rsidRPr="00C068F4">
        <w:rPr>
          <w:color w:val="000000" w:themeColor="text1"/>
        </w:rPr>
        <w:t>.</w:t>
      </w:r>
      <w:r w:rsidR="00A159F1" w:rsidRPr="00C068F4">
        <w:rPr>
          <w:color w:val="000000" w:themeColor="text1"/>
        </w:rPr>
        <w:t xml:space="preserve"> The expectation of the Department</w:t>
      </w:r>
      <w:r w:rsidR="009B2E3F" w:rsidRPr="00C068F4">
        <w:rPr>
          <w:color w:val="000000" w:themeColor="text1"/>
        </w:rPr>
        <w:t>,</w:t>
      </w:r>
      <w:r w:rsidR="00A159F1" w:rsidRPr="00C068F4">
        <w:rPr>
          <w:color w:val="000000" w:themeColor="text1"/>
        </w:rPr>
        <w:t xml:space="preserve"> based on the rapid HTA, which reviewed evidence from the PROVENT trial available at that time, was that tixagevimab 150 mg and cilgavimab</w:t>
      </w:r>
      <w:r w:rsidR="009B2E3F" w:rsidRPr="00C068F4">
        <w:rPr>
          <w:color w:val="000000" w:themeColor="text1"/>
        </w:rPr>
        <w:t> </w:t>
      </w:r>
      <w:r w:rsidR="00A159F1" w:rsidRPr="00C068F4">
        <w:rPr>
          <w:color w:val="000000" w:themeColor="text1"/>
        </w:rPr>
        <w:t>150</w:t>
      </w:r>
      <w:r w:rsidR="002D6803" w:rsidRPr="00C068F4">
        <w:rPr>
          <w:color w:val="000000" w:themeColor="text1"/>
        </w:rPr>
        <w:t> </w:t>
      </w:r>
      <w:r w:rsidR="00A159F1" w:rsidRPr="00C068F4">
        <w:rPr>
          <w:color w:val="000000" w:themeColor="text1"/>
        </w:rPr>
        <w:t xml:space="preserve">mg reduced the risk of symptomatic COVID-19 </w:t>
      </w:r>
      <w:r w:rsidR="00575974" w:rsidRPr="00C068F4">
        <w:rPr>
          <w:color w:val="000000" w:themeColor="text1"/>
        </w:rPr>
        <w:t xml:space="preserve">and the risk of severe or critical COVID-19 </w:t>
      </w:r>
      <w:r w:rsidR="00A159F1" w:rsidRPr="00C068F4">
        <w:rPr>
          <w:color w:val="000000" w:themeColor="text1"/>
        </w:rPr>
        <w:t xml:space="preserve">in severely immunocompromised patients by </w:t>
      </w:r>
      <w:r w:rsidR="00575974" w:rsidRPr="00C068F4">
        <w:rPr>
          <w:color w:val="000000" w:themeColor="text1"/>
        </w:rPr>
        <w:t xml:space="preserve">at least </w:t>
      </w:r>
      <w:r w:rsidR="00A159F1" w:rsidRPr="00C068F4">
        <w:rPr>
          <w:color w:val="000000" w:themeColor="text1"/>
        </w:rPr>
        <w:t>77.</w:t>
      </w:r>
      <w:r w:rsidR="001725C1" w:rsidRPr="00C068F4">
        <w:rPr>
          <w:color w:val="000000" w:themeColor="text1"/>
        </w:rPr>
        <w:t>4</w:t>
      </w:r>
      <w:r w:rsidR="00A159F1" w:rsidRPr="00C068F4">
        <w:rPr>
          <w:color w:val="000000" w:themeColor="text1"/>
        </w:rPr>
        <w:t xml:space="preserve">% for a </w:t>
      </w:r>
      <w:r w:rsidR="00A159F1" w:rsidRPr="00C068F4">
        <w:rPr>
          <w:color w:val="000000" w:themeColor="text1"/>
        </w:rPr>
        <w:lastRenderedPageBreak/>
        <w:t xml:space="preserve">minimum of six months </w:t>
      </w:r>
      <w:r w:rsidR="002D6803" w:rsidRPr="00C068F4">
        <w:rPr>
          <w:color w:val="000000" w:themeColor="text1"/>
        </w:rPr>
        <w:t>and</w:t>
      </w:r>
      <w:r w:rsidR="00A67366" w:rsidRPr="00C068F4">
        <w:rPr>
          <w:color w:val="000000" w:themeColor="text1"/>
        </w:rPr>
        <w:t>,</w:t>
      </w:r>
      <w:r w:rsidR="00A159F1" w:rsidRPr="00C068F4">
        <w:rPr>
          <w:color w:val="000000" w:themeColor="text1"/>
        </w:rPr>
        <w:t xml:space="preserve"> potentially</w:t>
      </w:r>
      <w:r w:rsidR="00A67366" w:rsidRPr="00C068F4">
        <w:rPr>
          <w:color w:val="000000" w:themeColor="text1"/>
        </w:rPr>
        <w:t>,</w:t>
      </w:r>
      <w:r w:rsidR="00A159F1" w:rsidRPr="00C068F4">
        <w:rPr>
          <w:color w:val="000000" w:themeColor="text1"/>
        </w:rPr>
        <w:t xml:space="preserve"> up to one year</w:t>
      </w:r>
      <w:r w:rsidR="0033707D" w:rsidRPr="00C068F4">
        <w:rPr>
          <w:color w:val="000000" w:themeColor="text1"/>
        </w:rPr>
        <w:t xml:space="preserve"> or longer</w:t>
      </w:r>
      <w:r w:rsidR="00A159F1" w:rsidRPr="00C068F4">
        <w:rPr>
          <w:color w:val="000000" w:themeColor="text1"/>
        </w:rPr>
        <w:t>.</w:t>
      </w:r>
      <w:r w:rsidR="001143ED" w:rsidRPr="00C068F4">
        <w:rPr>
          <w:color w:val="000000" w:themeColor="text1"/>
        </w:rPr>
        <w:t xml:space="preserve"> The Department understood the Sponsor shared this expectation.</w:t>
      </w:r>
    </w:p>
    <w:p w14:paraId="3EECC3B5" w14:textId="5E7019DF" w:rsidR="00476890" w:rsidRPr="00C068F4" w:rsidRDefault="00FE73AE" w:rsidP="00FE73AE">
      <w:pPr>
        <w:pStyle w:val="3-BodyText"/>
        <w:rPr>
          <w:color w:val="000000" w:themeColor="text1"/>
        </w:rPr>
      </w:pPr>
      <w:r w:rsidRPr="00C068F4">
        <w:rPr>
          <w:color w:val="000000" w:themeColor="text1"/>
        </w:rPr>
        <w:t xml:space="preserve">Tixagevimab and cilgavimab </w:t>
      </w:r>
      <w:r w:rsidR="000624DA" w:rsidRPr="00C068F4">
        <w:rPr>
          <w:color w:val="000000" w:themeColor="text1"/>
        </w:rPr>
        <w:t xml:space="preserve">supplied under the advance purchase agreement </w:t>
      </w:r>
      <w:r w:rsidR="00E60E5E" w:rsidRPr="00C068F4">
        <w:rPr>
          <w:color w:val="000000" w:themeColor="text1"/>
        </w:rPr>
        <w:t>has been</w:t>
      </w:r>
      <w:r w:rsidRPr="00C068F4">
        <w:rPr>
          <w:color w:val="000000" w:themeColor="text1"/>
        </w:rPr>
        <w:t xml:space="preserve"> made available to all state and territory </w:t>
      </w:r>
      <w:r w:rsidR="00710615" w:rsidRPr="00C068F4">
        <w:rPr>
          <w:color w:val="000000" w:themeColor="text1"/>
        </w:rPr>
        <w:t>governments through</w:t>
      </w:r>
      <w:r w:rsidRPr="00C068F4">
        <w:rPr>
          <w:color w:val="000000" w:themeColor="text1"/>
        </w:rPr>
        <w:t xml:space="preserve"> the </w:t>
      </w:r>
      <w:r w:rsidR="000B4AB8" w:rsidRPr="00C068F4">
        <w:rPr>
          <w:color w:val="000000" w:themeColor="text1"/>
        </w:rPr>
        <w:t>NMS</w:t>
      </w:r>
      <w:r w:rsidRPr="00C068F4">
        <w:rPr>
          <w:color w:val="000000" w:themeColor="text1"/>
        </w:rPr>
        <w:t>.</w:t>
      </w:r>
    </w:p>
    <w:p w14:paraId="5BE5ECA7" w14:textId="6833D578" w:rsidR="00287C72" w:rsidRDefault="002105F8" w:rsidP="00FE73AE">
      <w:pPr>
        <w:pStyle w:val="3-BodyText"/>
        <w:rPr>
          <w:color w:val="000000" w:themeColor="text1"/>
        </w:rPr>
      </w:pPr>
      <w:r w:rsidRPr="00C068F4">
        <w:rPr>
          <w:color w:val="000000" w:themeColor="text1"/>
        </w:rPr>
        <w:t>The PBAC noted d</w:t>
      </w:r>
      <w:r w:rsidR="009F0F16" w:rsidRPr="00C068F4">
        <w:rPr>
          <w:color w:val="000000" w:themeColor="text1"/>
        </w:rPr>
        <w:t xml:space="preserve">ata on </w:t>
      </w:r>
      <w:r w:rsidR="00806FA7" w:rsidRPr="00C068F4">
        <w:rPr>
          <w:color w:val="000000" w:themeColor="text1"/>
        </w:rPr>
        <w:t xml:space="preserve">the </w:t>
      </w:r>
      <w:r w:rsidR="009F0F16" w:rsidRPr="00C068F4">
        <w:rPr>
          <w:color w:val="000000" w:themeColor="text1"/>
        </w:rPr>
        <w:t xml:space="preserve">usage of </w:t>
      </w:r>
      <w:r w:rsidR="0031281A" w:rsidRPr="00C068F4">
        <w:rPr>
          <w:color w:val="000000" w:themeColor="text1"/>
        </w:rPr>
        <w:t>tixagevimab and cilgavimab</w:t>
      </w:r>
      <w:r w:rsidR="00806FA7" w:rsidRPr="00C068F4">
        <w:rPr>
          <w:color w:val="000000" w:themeColor="text1"/>
        </w:rPr>
        <w:t xml:space="preserve"> from the </w:t>
      </w:r>
      <w:r w:rsidR="00316A6F" w:rsidRPr="00C068F4">
        <w:rPr>
          <w:color w:val="000000" w:themeColor="text1"/>
        </w:rPr>
        <w:t>NMS</w:t>
      </w:r>
      <w:r w:rsidRPr="00C068F4">
        <w:rPr>
          <w:color w:val="000000" w:themeColor="text1"/>
        </w:rPr>
        <w:t xml:space="preserve"> provided to the Committee in confidence</w:t>
      </w:r>
      <w:r w:rsidR="009D3513" w:rsidRPr="00C068F4">
        <w:rPr>
          <w:color w:val="000000" w:themeColor="text1"/>
        </w:rPr>
        <w:t xml:space="preserve"> suggests the uptake to date has been low</w:t>
      </w:r>
      <w:r w:rsidR="00806FA7" w:rsidRPr="00C068F4">
        <w:rPr>
          <w:color w:val="000000" w:themeColor="text1"/>
        </w:rPr>
        <w:t xml:space="preserve">. </w:t>
      </w:r>
      <w:r w:rsidR="003852B7">
        <w:rPr>
          <w:color w:val="000000" w:themeColor="text1"/>
        </w:rPr>
        <w:t>The PBAC noted the reasons for this may include differences in the access criteria between states and territories</w:t>
      </w:r>
      <w:r w:rsidR="003F7455">
        <w:rPr>
          <w:color w:val="000000" w:themeColor="text1"/>
        </w:rPr>
        <w:t xml:space="preserve">, uncertainty about the clinical place, </w:t>
      </w:r>
      <w:r w:rsidR="003852B7">
        <w:rPr>
          <w:color w:val="000000" w:themeColor="text1"/>
        </w:rPr>
        <w:t>and a lack of knowledge about access and eligibility amongst consum</w:t>
      </w:r>
      <w:r w:rsidR="003F7455">
        <w:rPr>
          <w:color w:val="000000" w:themeColor="text1"/>
        </w:rPr>
        <w:t>ers.</w:t>
      </w:r>
    </w:p>
    <w:p w14:paraId="3DD66AD3" w14:textId="77777777" w:rsidR="007B0C13" w:rsidRPr="00C068F4" w:rsidRDefault="007B0C13" w:rsidP="0052639B">
      <w:pPr>
        <w:ind w:firstLine="720"/>
        <w:rPr>
          <w:i/>
        </w:rPr>
      </w:pPr>
      <w:r w:rsidRPr="00C068F4">
        <w:rPr>
          <w:i/>
        </w:rPr>
        <w:t>For more detail on PBAC’s view, see section 7 PBAC outcome.</w:t>
      </w:r>
    </w:p>
    <w:p w14:paraId="324667EC" w14:textId="4A1EB593" w:rsidR="00EA7A4C" w:rsidRPr="00C068F4" w:rsidRDefault="00B50DB8" w:rsidP="0079775E">
      <w:pPr>
        <w:pStyle w:val="2-SectionHeading"/>
      </w:pPr>
      <w:bookmarkStart w:id="12" w:name="_Toc107902078"/>
      <w:bookmarkStart w:id="13" w:name="_Toc111710306"/>
      <w:bookmarkEnd w:id="12"/>
      <w:r w:rsidRPr="00C068F4">
        <w:t>Requested listing</w:t>
      </w:r>
      <w:bookmarkEnd w:id="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1779"/>
        <w:gridCol w:w="812"/>
        <w:gridCol w:w="811"/>
        <w:gridCol w:w="812"/>
        <w:gridCol w:w="1831"/>
      </w:tblGrid>
      <w:tr w:rsidR="00046D64" w:rsidRPr="00C068F4" w14:paraId="73E16E29" w14:textId="77777777" w:rsidTr="00565C79">
        <w:trPr>
          <w:cantSplit/>
          <w:trHeight w:val="20"/>
        </w:trPr>
        <w:tc>
          <w:tcPr>
            <w:tcW w:w="2972" w:type="dxa"/>
            <w:vAlign w:val="center"/>
          </w:tcPr>
          <w:p w14:paraId="4660296B" w14:textId="77777777" w:rsidR="00046D64" w:rsidRPr="00C068F4" w:rsidRDefault="00046D64" w:rsidP="00505067">
            <w:pPr>
              <w:keepNext/>
              <w:keepLines/>
              <w:rPr>
                <w:rFonts w:ascii="Arial Narrow" w:hAnsi="Arial Narrow"/>
                <w:b/>
                <w:bCs/>
                <w:sz w:val="20"/>
                <w:szCs w:val="20"/>
              </w:rPr>
            </w:pPr>
            <w:bookmarkStart w:id="14" w:name="_Hlk104809055"/>
            <w:r w:rsidRPr="00C068F4">
              <w:rPr>
                <w:rFonts w:ascii="Arial Narrow" w:hAnsi="Arial Narrow"/>
                <w:b/>
                <w:bCs/>
                <w:sz w:val="20"/>
                <w:szCs w:val="20"/>
              </w:rPr>
              <w:t>MEDICINAL PRODUCT</w:t>
            </w:r>
          </w:p>
          <w:p w14:paraId="7221C2FD" w14:textId="77777777" w:rsidR="00046D64" w:rsidRPr="00C068F4" w:rsidRDefault="00046D64" w:rsidP="00505067">
            <w:pPr>
              <w:keepNext/>
              <w:keepLines/>
              <w:rPr>
                <w:rFonts w:ascii="Arial Narrow" w:hAnsi="Arial Narrow"/>
                <w:b/>
                <w:sz w:val="20"/>
                <w:szCs w:val="20"/>
              </w:rPr>
            </w:pPr>
            <w:r w:rsidRPr="00C068F4">
              <w:rPr>
                <w:rFonts w:ascii="Arial Narrow" w:hAnsi="Arial Narrow"/>
                <w:b/>
                <w:bCs/>
                <w:sz w:val="20"/>
                <w:szCs w:val="20"/>
              </w:rPr>
              <w:t>medicinal product pack</w:t>
            </w:r>
          </w:p>
        </w:tc>
        <w:tc>
          <w:tcPr>
            <w:tcW w:w="1779" w:type="dxa"/>
            <w:vAlign w:val="center"/>
          </w:tcPr>
          <w:p w14:paraId="14424AF1" w14:textId="34ADD814" w:rsidR="00046D64" w:rsidRPr="00C068F4" w:rsidRDefault="00C61A59" w:rsidP="00505067">
            <w:pPr>
              <w:pStyle w:val="TableText0"/>
              <w:rPr>
                <w:b/>
                <w:bCs w:val="0"/>
                <w:szCs w:val="20"/>
              </w:rPr>
            </w:pPr>
            <w:r w:rsidRPr="00C068F4">
              <w:rPr>
                <w:b/>
                <w:bCs w:val="0"/>
                <w:snapToGrid w:val="0"/>
              </w:rPr>
              <w:t>Dispensed Price for Max. Qty</w:t>
            </w:r>
            <w:r w:rsidR="00EC5691" w:rsidRPr="00C068F4">
              <w:rPr>
                <w:b/>
                <w:bCs w:val="0"/>
                <w:snapToGrid w:val="0"/>
              </w:rPr>
              <w:t>*</w:t>
            </w:r>
            <w:r w:rsidRPr="00C068F4">
              <w:rPr>
                <w:b/>
                <w:bCs w:val="0"/>
                <w:snapToGrid w:val="0"/>
              </w:rPr>
              <w:t xml:space="preserve"> </w:t>
            </w:r>
          </w:p>
        </w:tc>
        <w:tc>
          <w:tcPr>
            <w:tcW w:w="812" w:type="dxa"/>
            <w:vAlign w:val="center"/>
          </w:tcPr>
          <w:p w14:paraId="4E41A9BC" w14:textId="0E3A90D0" w:rsidR="00046D64" w:rsidRPr="00C068F4" w:rsidRDefault="00046D64" w:rsidP="00505067">
            <w:pPr>
              <w:keepNext/>
              <w:keepLines/>
              <w:jc w:val="center"/>
              <w:rPr>
                <w:rFonts w:ascii="Arial Narrow" w:hAnsi="Arial Narrow"/>
                <w:b/>
                <w:sz w:val="20"/>
                <w:szCs w:val="20"/>
              </w:rPr>
            </w:pPr>
            <w:r w:rsidRPr="00C068F4">
              <w:rPr>
                <w:rFonts w:ascii="Arial Narrow" w:hAnsi="Arial Narrow"/>
                <w:b/>
                <w:sz w:val="20"/>
                <w:szCs w:val="20"/>
              </w:rPr>
              <w:t>Max. qty packs</w:t>
            </w:r>
          </w:p>
        </w:tc>
        <w:tc>
          <w:tcPr>
            <w:tcW w:w="811" w:type="dxa"/>
            <w:vAlign w:val="center"/>
          </w:tcPr>
          <w:p w14:paraId="48197540" w14:textId="77777777" w:rsidR="00046D64" w:rsidRPr="00C068F4" w:rsidRDefault="00046D64" w:rsidP="00505067">
            <w:pPr>
              <w:keepNext/>
              <w:keepLines/>
              <w:jc w:val="center"/>
              <w:rPr>
                <w:rFonts w:ascii="Arial Narrow" w:hAnsi="Arial Narrow"/>
                <w:b/>
                <w:sz w:val="20"/>
                <w:szCs w:val="20"/>
              </w:rPr>
            </w:pPr>
            <w:r w:rsidRPr="00C068F4">
              <w:rPr>
                <w:rFonts w:ascii="Arial Narrow" w:hAnsi="Arial Narrow"/>
                <w:b/>
                <w:sz w:val="20"/>
                <w:szCs w:val="20"/>
              </w:rPr>
              <w:t>Max. qty units</w:t>
            </w:r>
          </w:p>
        </w:tc>
        <w:tc>
          <w:tcPr>
            <w:tcW w:w="812" w:type="dxa"/>
            <w:vAlign w:val="center"/>
          </w:tcPr>
          <w:p w14:paraId="13B3FDEE" w14:textId="77777777" w:rsidR="00046D64" w:rsidRPr="00C068F4" w:rsidRDefault="00046D64" w:rsidP="00505067">
            <w:pPr>
              <w:keepNext/>
              <w:keepLines/>
              <w:jc w:val="center"/>
              <w:rPr>
                <w:rFonts w:ascii="Arial Narrow" w:hAnsi="Arial Narrow"/>
                <w:b/>
                <w:sz w:val="20"/>
                <w:szCs w:val="20"/>
              </w:rPr>
            </w:pPr>
            <w:r w:rsidRPr="00C068F4">
              <w:rPr>
                <w:rFonts w:ascii="Arial Narrow" w:hAnsi="Arial Narrow"/>
                <w:b/>
                <w:sz w:val="20"/>
                <w:szCs w:val="20"/>
              </w:rPr>
              <w:t>№.of</w:t>
            </w:r>
          </w:p>
          <w:p w14:paraId="7B215997" w14:textId="77777777" w:rsidR="00046D64" w:rsidRPr="00C068F4" w:rsidRDefault="00046D64" w:rsidP="00505067">
            <w:pPr>
              <w:keepNext/>
              <w:keepLines/>
              <w:jc w:val="center"/>
              <w:rPr>
                <w:rFonts w:ascii="Arial Narrow" w:hAnsi="Arial Narrow"/>
                <w:b/>
                <w:sz w:val="20"/>
                <w:szCs w:val="20"/>
              </w:rPr>
            </w:pPr>
            <w:r w:rsidRPr="00C068F4">
              <w:rPr>
                <w:rFonts w:ascii="Arial Narrow" w:hAnsi="Arial Narrow"/>
                <w:b/>
                <w:sz w:val="20"/>
                <w:szCs w:val="20"/>
              </w:rPr>
              <w:t>Rpts</w:t>
            </w:r>
          </w:p>
        </w:tc>
        <w:tc>
          <w:tcPr>
            <w:tcW w:w="1831" w:type="dxa"/>
            <w:vAlign w:val="center"/>
          </w:tcPr>
          <w:p w14:paraId="4976F6A8" w14:textId="77777777" w:rsidR="00046D64" w:rsidRPr="00C068F4" w:rsidRDefault="00046D64" w:rsidP="00505067">
            <w:pPr>
              <w:keepNext/>
              <w:keepLines/>
              <w:rPr>
                <w:rFonts w:ascii="Arial Narrow" w:hAnsi="Arial Narrow"/>
                <w:b/>
                <w:sz w:val="20"/>
                <w:szCs w:val="20"/>
              </w:rPr>
            </w:pPr>
            <w:r w:rsidRPr="00C068F4">
              <w:rPr>
                <w:rFonts w:ascii="Arial Narrow" w:hAnsi="Arial Narrow"/>
                <w:b/>
                <w:sz w:val="20"/>
                <w:szCs w:val="20"/>
              </w:rPr>
              <w:t>Available brands</w:t>
            </w:r>
          </w:p>
        </w:tc>
      </w:tr>
      <w:tr w:rsidR="00046D64" w:rsidRPr="00C068F4" w14:paraId="40C1AD8E" w14:textId="77777777" w:rsidTr="00A2021E">
        <w:trPr>
          <w:cantSplit/>
          <w:trHeight w:val="20"/>
        </w:trPr>
        <w:tc>
          <w:tcPr>
            <w:tcW w:w="9017" w:type="dxa"/>
            <w:gridSpan w:val="6"/>
            <w:vAlign w:val="center"/>
          </w:tcPr>
          <w:p w14:paraId="2A4C00A6" w14:textId="62AC632B" w:rsidR="00046D64" w:rsidRPr="00C068F4" w:rsidRDefault="008D3E12" w:rsidP="00A2021E">
            <w:pPr>
              <w:pStyle w:val="TableText0"/>
              <w:rPr>
                <w:rFonts w:cs="Arial"/>
                <w:szCs w:val="20"/>
              </w:rPr>
            </w:pPr>
            <w:r w:rsidRPr="00C068F4">
              <w:t>TIXAGEVIMAB (&amp;) CILGAVIMAB</w:t>
            </w:r>
          </w:p>
        </w:tc>
      </w:tr>
      <w:tr w:rsidR="001057AA" w:rsidRPr="00C068F4" w14:paraId="1DC2CC67" w14:textId="77777777" w:rsidTr="001057AA">
        <w:trPr>
          <w:cantSplit/>
          <w:trHeight w:val="20"/>
        </w:trPr>
        <w:tc>
          <w:tcPr>
            <w:tcW w:w="2972" w:type="dxa"/>
            <w:vAlign w:val="center"/>
          </w:tcPr>
          <w:p w14:paraId="612C04D7" w14:textId="4172E3D1" w:rsidR="002C36E3" w:rsidRPr="00C068F4" w:rsidRDefault="00841716" w:rsidP="00F8387C">
            <w:pPr>
              <w:keepLines/>
              <w:jc w:val="left"/>
              <w:rPr>
                <w:rFonts w:ascii="Arial Narrow" w:hAnsi="Arial Narrow"/>
                <w:color w:val="000000" w:themeColor="text1"/>
                <w:sz w:val="20"/>
                <w:szCs w:val="20"/>
              </w:rPr>
            </w:pPr>
            <w:r w:rsidRPr="00C068F4">
              <w:rPr>
                <w:rFonts w:ascii="Arial Narrow" w:eastAsiaTheme="majorEastAsia" w:hAnsi="Arial Narrow" w:cstheme="majorBidi"/>
                <w:bCs/>
                <w:color w:val="000000" w:themeColor="text1"/>
                <w:sz w:val="20"/>
              </w:rPr>
              <w:t>Pack containing 1 vial of tixagevimab 150 mg in 1.5 mL and 1 vial of cilgavimab 150 mg in 1.5 mL</w:t>
            </w:r>
          </w:p>
        </w:tc>
        <w:tc>
          <w:tcPr>
            <w:tcW w:w="1779" w:type="dxa"/>
            <w:vAlign w:val="center"/>
          </w:tcPr>
          <w:p w14:paraId="768CBFE8" w14:textId="51C07F25" w:rsidR="002C36E3" w:rsidRPr="00C068F4" w:rsidRDefault="0090667A" w:rsidP="001057AA">
            <w:pPr>
              <w:pStyle w:val="TableText0"/>
              <w:jc w:val="center"/>
              <w:rPr>
                <w:color w:val="000000" w:themeColor="text1"/>
              </w:rPr>
            </w:pPr>
            <w:r w:rsidRPr="0090667A">
              <w:rPr>
                <w:iCs/>
                <w:color w:val="000000" w:themeColor="text1"/>
              </w:rPr>
              <w:t>$</w:t>
            </w:r>
            <w:r w:rsidR="00D61370" w:rsidRPr="00157ED3">
              <w:rPr>
                <w:iCs/>
                <w:color w:val="000000"/>
                <w:spacing w:val="41"/>
                <w:shd w:val="solid" w:color="000000" w:fill="000000"/>
                <w:fitText w:val="465" w:id="-1425249528"/>
                <w14:textFill>
                  <w14:solidFill>
                    <w14:srgbClr w14:val="000000">
                      <w14:alpha w14:val="100000"/>
                    </w14:srgbClr>
                  </w14:solidFill>
                </w14:textFill>
              </w:rPr>
              <w:t>|||||</w:t>
            </w:r>
            <w:r w:rsidR="00D61370" w:rsidRPr="00157ED3">
              <w:rPr>
                <w:iCs/>
                <w:color w:val="000000"/>
                <w:spacing w:val="5"/>
                <w:shd w:val="solid" w:color="000000" w:fill="000000"/>
                <w:fitText w:val="465" w:id="-1425249528"/>
                <w14:textFill>
                  <w14:solidFill>
                    <w14:srgbClr w14:val="000000">
                      <w14:alpha w14:val="100000"/>
                    </w14:srgbClr>
                  </w14:solidFill>
                </w14:textFill>
              </w:rPr>
              <w:t>|</w:t>
            </w:r>
            <w:r w:rsidR="002C36E3" w:rsidRPr="00C068F4">
              <w:rPr>
                <w:color w:val="000000" w:themeColor="text1"/>
              </w:rPr>
              <w:t xml:space="preserve"> published</w:t>
            </w:r>
          </w:p>
          <w:p w14:paraId="70C2874A" w14:textId="358B62D5" w:rsidR="002C36E3" w:rsidRPr="00C068F4" w:rsidRDefault="0090667A" w:rsidP="001057AA">
            <w:pPr>
              <w:pStyle w:val="TableText0"/>
              <w:jc w:val="center"/>
              <w:rPr>
                <w:color w:val="000000" w:themeColor="text1"/>
                <w:szCs w:val="20"/>
              </w:rPr>
            </w:pPr>
            <w:r w:rsidRPr="0090667A">
              <w:rPr>
                <w:iCs/>
                <w:color w:val="000000" w:themeColor="text1"/>
              </w:rPr>
              <w:t>$</w:t>
            </w:r>
            <w:r w:rsidR="00D61370" w:rsidRPr="00157ED3">
              <w:rPr>
                <w:iCs/>
                <w:color w:val="000000"/>
                <w:spacing w:val="32"/>
                <w:shd w:val="solid" w:color="000000" w:fill="000000"/>
                <w:fitText w:val="420" w:id="-1425249527"/>
                <w14:textFill>
                  <w14:solidFill>
                    <w14:srgbClr w14:val="000000">
                      <w14:alpha w14:val="100000"/>
                    </w14:srgbClr>
                  </w14:solidFill>
                </w14:textFill>
              </w:rPr>
              <w:t>|||||</w:t>
            </w:r>
            <w:r w:rsidR="00D61370" w:rsidRPr="00157ED3">
              <w:rPr>
                <w:iCs/>
                <w:color w:val="000000"/>
                <w:spacing w:val="5"/>
                <w:shd w:val="solid" w:color="000000" w:fill="000000"/>
                <w:fitText w:val="420" w:id="-1425249527"/>
                <w14:textFill>
                  <w14:solidFill>
                    <w14:srgbClr w14:val="000000">
                      <w14:alpha w14:val="100000"/>
                    </w14:srgbClr>
                  </w14:solidFill>
                </w14:textFill>
              </w:rPr>
              <w:t>|</w:t>
            </w:r>
            <w:r w:rsidR="006D7475" w:rsidRPr="00C068F4">
              <w:rPr>
                <w:iCs/>
                <w:color w:val="000000" w:themeColor="text1"/>
              </w:rPr>
              <w:t xml:space="preserve"> </w:t>
            </w:r>
            <w:r w:rsidR="002C36E3" w:rsidRPr="00C068F4">
              <w:rPr>
                <w:color w:val="000000" w:themeColor="text1"/>
              </w:rPr>
              <w:t>effective</w:t>
            </w:r>
          </w:p>
        </w:tc>
        <w:tc>
          <w:tcPr>
            <w:tcW w:w="812" w:type="dxa"/>
            <w:vAlign w:val="center"/>
          </w:tcPr>
          <w:p w14:paraId="71CD2441" w14:textId="35ADA824" w:rsidR="002C36E3" w:rsidRPr="00C068F4" w:rsidRDefault="00B6216E" w:rsidP="001057AA">
            <w:pPr>
              <w:keepLines/>
              <w:jc w:val="center"/>
              <w:rPr>
                <w:rFonts w:ascii="Arial Narrow" w:hAnsi="Arial Narrow"/>
                <w:color w:val="000000" w:themeColor="text1"/>
                <w:sz w:val="20"/>
                <w:szCs w:val="20"/>
              </w:rPr>
            </w:pPr>
            <w:r w:rsidRPr="00C068F4">
              <w:rPr>
                <w:rFonts w:ascii="Arial Narrow" w:hAnsi="Arial Narrow"/>
                <w:color w:val="000000" w:themeColor="text1"/>
                <w:sz w:val="20"/>
              </w:rPr>
              <w:t>2</w:t>
            </w:r>
          </w:p>
        </w:tc>
        <w:tc>
          <w:tcPr>
            <w:tcW w:w="811" w:type="dxa"/>
            <w:vAlign w:val="center"/>
          </w:tcPr>
          <w:p w14:paraId="65F4D3E9" w14:textId="58E6D139" w:rsidR="002C36E3" w:rsidRPr="00C068F4" w:rsidRDefault="00B6216E" w:rsidP="002C36E3">
            <w:pPr>
              <w:keepLines/>
              <w:jc w:val="center"/>
              <w:rPr>
                <w:rFonts w:ascii="Arial Narrow" w:hAnsi="Arial Narrow"/>
                <w:color w:val="000000" w:themeColor="text1"/>
                <w:sz w:val="20"/>
                <w:szCs w:val="20"/>
              </w:rPr>
            </w:pPr>
            <w:r w:rsidRPr="00C068F4">
              <w:rPr>
                <w:rFonts w:ascii="Arial Narrow" w:hAnsi="Arial Narrow"/>
                <w:color w:val="000000" w:themeColor="text1"/>
                <w:sz w:val="20"/>
              </w:rPr>
              <w:t>2</w:t>
            </w:r>
          </w:p>
        </w:tc>
        <w:tc>
          <w:tcPr>
            <w:tcW w:w="812" w:type="dxa"/>
            <w:vAlign w:val="center"/>
          </w:tcPr>
          <w:p w14:paraId="7C728D0C" w14:textId="0788D6D0" w:rsidR="002C36E3" w:rsidRPr="00C068F4" w:rsidRDefault="00931B28" w:rsidP="002C36E3">
            <w:pPr>
              <w:keepLines/>
              <w:jc w:val="center"/>
              <w:rPr>
                <w:rFonts w:ascii="Arial Narrow" w:hAnsi="Arial Narrow"/>
                <w:color w:val="000000" w:themeColor="text1"/>
                <w:sz w:val="20"/>
                <w:szCs w:val="20"/>
              </w:rPr>
            </w:pPr>
            <w:r w:rsidRPr="00C068F4">
              <w:rPr>
                <w:rFonts w:ascii="Arial Narrow" w:hAnsi="Arial Narrow"/>
                <w:color w:val="000000" w:themeColor="text1"/>
                <w:sz w:val="20"/>
              </w:rPr>
              <w:t>0</w:t>
            </w:r>
          </w:p>
        </w:tc>
        <w:tc>
          <w:tcPr>
            <w:tcW w:w="1831" w:type="dxa"/>
            <w:vAlign w:val="center"/>
          </w:tcPr>
          <w:p w14:paraId="519A0BC8" w14:textId="00935F56" w:rsidR="002C36E3" w:rsidRPr="00C068F4" w:rsidRDefault="006D7475" w:rsidP="002C36E3">
            <w:pPr>
              <w:keepLines/>
              <w:rPr>
                <w:rFonts w:ascii="Arial Narrow" w:hAnsi="Arial Narrow"/>
                <w:color w:val="000000" w:themeColor="text1"/>
                <w:sz w:val="20"/>
                <w:szCs w:val="20"/>
              </w:rPr>
            </w:pPr>
            <w:r w:rsidRPr="00C068F4">
              <w:rPr>
                <w:rFonts w:ascii="Arial Narrow" w:hAnsi="Arial Narrow"/>
                <w:color w:val="000000" w:themeColor="text1"/>
                <w:sz w:val="20"/>
                <w:szCs w:val="20"/>
              </w:rPr>
              <w:t>EVUSHELD</w:t>
            </w:r>
            <w:r w:rsidR="00931B28" w:rsidRPr="00C068F4">
              <w:rPr>
                <w:rFonts w:ascii="Arial Narrow" w:hAnsi="Arial Narrow"/>
                <w:color w:val="000000" w:themeColor="text1"/>
                <w:sz w:val="20"/>
                <w:szCs w:val="20"/>
                <w:vertAlign w:val="superscript"/>
              </w:rPr>
              <w:t>®</w:t>
            </w:r>
          </w:p>
        </w:tc>
      </w:tr>
    </w:tbl>
    <w:bookmarkEnd w:id="14"/>
    <w:p w14:paraId="210B3796" w14:textId="714C355E" w:rsidR="00046D64" w:rsidRPr="00C068F4" w:rsidRDefault="006D7475" w:rsidP="00274035">
      <w:pPr>
        <w:pStyle w:val="FooterTableFigure"/>
      </w:pPr>
      <w:r w:rsidRPr="00C068F4">
        <w:rPr>
          <w:color w:val="000000" w:themeColor="text1"/>
        </w:rPr>
        <w:t xml:space="preserve">* </w:t>
      </w:r>
      <w:r w:rsidR="003A1C1B" w:rsidRPr="00C068F4">
        <w:rPr>
          <w:color w:val="000000" w:themeColor="text1"/>
        </w:rPr>
        <w:t xml:space="preserve">dispensed prices </w:t>
      </w:r>
      <w:r w:rsidRPr="00C068F4">
        <w:rPr>
          <w:color w:val="000000" w:themeColor="text1"/>
        </w:rPr>
        <w:t>corrected during the evaluation</w:t>
      </w:r>
      <w:r w:rsidR="003A1C1B" w:rsidRPr="00C068F4">
        <w:rPr>
          <w:color w:val="000000" w:themeColor="text1"/>
        </w:rPr>
        <w:t xml:space="preserve"> to reflect prices </w:t>
      </w:r>
      <w:r w:rsidR="007F6827" w:rsidRPr="00C068F4">
        <w:rPr>
          <w:color w:val="000000" w:themeColor="text1"/>
        </w:rPr>
        <w:t>on 1 Jul 2022</w:t>
      </w:r>
      <w:r w:rsidRPr="00C068F4">
        <w:rPr>
          <w:color w:val="000000" w:themeColor="text1"/>
        </w:rPr>
        <w:t xml:space="preserve"> based on the proposed </w:t>
      </w:r>
      <w:r w:rsidR="007F6827" w:rsidRPr="00C068F4">
        <w:rPr>
          <w:color w:val="000000" w:themeColor="text1"/>
        </w:rPr>
        <w:t xml:space="preserve">published and </w:t>
      </w:r>
      <w:r w:rsidRPr="00C068F4">
        <w:rPr>
          <w:color w:val="000000" w:themeColor="text1"/>
        </w:rPr>
        <w:t>effective</w:t>
      </w:r>
      <w:r w:rsidR="00274035" w:rsidRPr="00C068F4">
        <w:rPr>
          <w:color w:val="000000" w:themeColor="text1"/>
        </w:rPr>
        <w:t xml:space="preserve"> app</w:t>
      </w:r>
      <w:r w:rsidR="00274035" w:rsidRPr="00C068F4">
        <w:t>roved ex-manufacturer price</w:t>
      </w:r>
      <w:r w:rsidR="007F6827" w:rsidRPr="00C068F4">
        <w:t>s</w:t>
      </w:r>
      <w:r w:rsidR="00A138A7" w:rsidRPr="00C068F4">
        <w:t xml:space="preserve"> of</w:t>
      </w:r>
      <w:r w:rsidR="007F6827" w:rsidRPr="00C068F4">
        <w:t xml:space="preserve"> </w:t>
      </w:r>
      <w:r w:rsidR="0090667A" w:rsidRPr="0090667A">
        <w:t>$</w:t>
      </w:r>
      <w:r w:rsidR="00D61370" w:rsidRPr="00157ED3">
        <w:rPr>
          <w:color w:val="000000"/>
          <w:spacing w:val="16"/>
          <w:shd w:val="solid" w:color="000000" w:fill="000000"/>
          <w:fitText w:val="430" w:id="-1425249526"/>
          <w14:textFill>
            <w14:solidFill>
              <w14:srgbClr w14:val="000000">
                <w14:alpha w14:val="100000"/>
              </w14:srgbClr>
            </w14:solidFill>
          </w14:textFill>
        </w:rPr>
        <w:t>|||  ||</w:t>
      </w:r>
      <w:r w:rsidR="00D61370" w:rsidRPr="00157ED3">
        <w:rPr>
          <w:color w:val="000000"/>
          <w:spacing w:val="6"/>
          <w:shd w:val="solid" w:color="000000" w:fill="000000"/>
          <w:fitText w:val="430" w:id="-1425249526"/>
          <w14:textFill>
            <w14:solidFill>
              <w14:srgbClr w14:val="000000">
                <w14:alpha w14:val="100000"/>
              </w14:srgbClr>
            </w14:solidFill>
          </w14:textFill>
        </w:rPr>
        <w:t>|</w:t>
      </w:r>
      <w:r w:rsidR="007654EF" w:rsidRPr="00C068F4">
        <w:t xml:space="preserve"> </w:t>
      </w:r>
      <w:r w:rsidR="00F21720" w:rsidRPr="00C068F4">
        <w:t>and</w:t>
      </w:r>
      <w:r w:rsidR="00A138A7" w:rsidRPr="00C068F4">
        <w:t xml:space="preserve"> </w:t>
      </w:r>
      <w:r w:rsidR="0090667A" w:rsidRPr="0090667A">
        <w:t>$</w:t>
      </w:r>
      <w:r w:rsidR="00D61370" w:rsidRPr="00157ED3">
        <w:rPr>
          <w:color w:val="000000"/>
          <w:spacing w:val="16"/>
          <w:shd w:val="solid" w:color="000000" w:fill="000000"/>
          <w:fitText w:val="430" w:id="-1425249525"/>
          <w14:textFill>
            <w14:solidFill>
              <w14:srgbClr w14:val="000000">
                <w14:alpha w14:val="100000"/>
              </w14:srgbClr>
            </w14:solidFill>
          </w14:textFill>
        </w:rPr>
        <w:t>|||  ||</w:t>
      </w:r>
      <w:r w:rsidR="00D61370" w:rsidRPr="00157ED3">
        <w:rPr>
          <w:color w:val="000000"/>
          <w:spacing w:val="6"/>
          <w:shd w:val="solid" w:color="000000" w:fill="000000"/>
          <w:fitText w:val="430" w:id="-1425249525"/>
          <w14:textFill>
            <w14:solidFill>
              <w14:srgbClr w14:val="000000">
                <w14:alpha w14:val="100000"/>
              </w14:srgbClr>
            </w14:solidFill>
          </w14:textFill>
        </w:rPr>
        <w:t>|</w:t>
      </w:r>
      <w:r w:rsidR="007654EF" w:rsidRPr="00C068F4">
        <w:t xml:space="preserve"> per pack</w:t>
      </w:r>
      <w:r w:rsidR="00F21720" w:rsidRPr="00C068F4">
        <w:t>, respectively.</w:t>
      </w:r>
    </w:p>
    <w:p w14:paraId="4462EE27" w14:textId="6F0CD2B0" w:rsidR="00C90FD0" w:rsidRPr="00C068F4" w:rsidRDefault="00C90FD0" w:rsidP="00274035">
      <w:pPr>
        <w:pStyle w:val="FooterTableFigure"/>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58082B" w:rsidRPr="00C068F4" w14:paraId="528D6F79" w14:textId="77777777" w:rsidTr="00526956">
        <w:trPr>
          <w:cantSplit/>
          <w:trHeight w:val="20"/>
        </w:trPr>
        <w:tc>
          <w:tcPr>
            <w:tcW w:w="5000" w:type="pct"/>
          </w:tcPr>
          <w:p w14:paraId="25734792" w14:textId="77777777" w:rsidR="0058082B" w:rsidRPr="00C068F4" w:rsidRDefault="0058082B" w:rsidP="00526956">
            <w:pPr>
              <w:pStyle w:val="TableText0"/>
              <w:keepLines/>
            </w:pPr>
            <w:bookmarkStart w:id="15" w:name="_Hlk104809470"/>
            <w:r w:rsidRPr="00C068F4">
              <w:rPr>
                <w:b/>
              </w:rPr>
              <w:lastRenderedPageBreak/>
              <w:t xml:space="preserve">Category / Program: </w:t>
            </w:r>
            <w:r w:rsidRPr="00C068F4">
              <w:t>{General Schedule/Section 100/Section 100 – Efficient Funding of Chemotherapy}</w:t>
            </w:r>
          </w:p>
        </w:tc>
      </w:tr>
      <w:tr w:rsidR="0058082B" w:rsidRPr="00C068F4" w14:paraId="1E6B1A3A" w14:textId="77777777" w:rsidTr="00526956">
        <w:trPr>
          <w:cantSplit/>
          <w:trHeight w:val="20"/>
        </w:trPr>
        <w:tc>
          <w:tcPr>
            <w:tcW w:w="5000" w:type="pct"/>
          </w:tcPr>
          <w:p w14:paraId="16FA6115" w14:textId="77777777" w:rsidR="0058082B" w:rsidRPr="00C068F4" w:rsidRDefault="0058082B" w:rsidP="00526956">
            <w:pPr>
              <w:pStyle w:val="TableText0"/>
              <w:keepLines/>
              <w:rPr>
                <w:b/>
              </w:rPr>
            </w:pPr>
            <w:r w:rsidRPr="00C068F4">
              <w:rPr>
                <w:b/>
              </w:rPr>
              <w:t xml:space="preserve">Prescriber type: </w:t>
            </w:r>
            <w:r w:rsidRPr="00C068F4">
              <w:fldChar w:fldCharType="begin" w:fldLock="1">
                <w:ffData>
                  <w:name w:val="Check1"/>
                  <w:enabled/>
                  <w:calcOnExit w:val="0"/>
                  <w:checkBox>
                    <w:sizeAuto/>
                    <w:default w:val="0"/>
                  </w:checkBox>
                </w:ffData>
              </w:fldChar>
            </w:r>
            <w:r w:rsidRPr="00C068F4">
              <w:instrText xml:space="preserve"> FORMCHECKBOX </w:instrText>
            </w:r>
            <w:r w:rsidR="00C929A3">
              <w:fldChar w:fldCharType="separate"/>
            </w:r>
            <w:r w:rsidRPr="00C068F4">
              <w:fldChar w:fldCharType="end"/>
            </w:r>
            <w:r w:rsidRPr="00C068F4">
              <w:t xml:space="preserve">Dental </w:t>
            </w:r>
            <w:r w:rsidRPr="00C068F4">
              <w:fldChar w:fldCharType="begin" w:fldLock="1">
                <w:ffData>
                  <w:name w:val=""/>
                  <w:enabled/>
                  <w:calcOnExit w:val="0"/>
                  <w:checkBox>
                    <w:sizeAuto/>
                    <w:default w:val="1"/>
                  </w:checkBox>
                </w:ffData>
              </w:fldChar>
            </w:r>
            <w:r w:rsidRPr="00C068F4">
              <w:instrText xml:space="preserve"> FORMCHECKBOX </w:instrText>
            </w:r>
            <w:r w:rsidR="00C929A3">
              <w:fldChar w:fldCharType="separate"/>
            </w:r>
            <w:r w:rsidRPr="00C068F4">
              <w:fldChar w:fldCharType="end"/>
            </w:r>
            <w:r w:rsidRPr="00C068F4">
              <w:t xml:space="preserve">Medical Practitioners </w:t>
            </w:r>
            <w:r w:rsidRPr="00C068F4">
              <w:fldChar w:fldCharType="begin" w:fldLock="1">
                <w:ffData>
                  <w:name w:val="Check3"/>
                  <w:enabled/>
                  <w:calcOnExit w:val="0"/>
                  <w:checkBox>
                    <w:sizeAuto/>
                    <w:default w:val="0"/>
                  </w:checkBox>
                </w:ffData>
              </w:fldChar>
            </w:r>
            <w:r w:rsidRPr="00C068F4">
              <w:instrText xml:space="preserve"> FORMCHECKBOX </w:instrText>
            </w:r>
            <w:r w:rsidR="00C929A3">
              <w:fldChar w:fldCharType="separate"/>
            </w:r>
            <w:r w:rsidRPr="00C068F4">
              <w:fldChar w:fldCharType="end"/>
            </w:r>
            <w:r w:rsidRPr="00C068F4">
              <w:t xml:space="preserve">Nurse practitioners </w:t>
            </w:r>
            <w:r w:rsidRPr="00C068F4">
              <w:fldChar w:fldCharType="begin" w:fldLock="1">
                <w:ffData>
                  <w:name w:val=""/>
                  <w:enabled/>
                  <w:calcOnExit w:val="0"/>
                  <w:checkBox>
                    <w:sizeAuto/>
                    <w:default w:val="0"/>
                  </w:checkBox>
                </w:ffData>
              </w:fldChar>
            </w:r>
            <w:r w:rsidRPr="00C068F4">
              <w:instrText xml:space="preserve"> FORMCHECKBOX </w:instrText>
            </w:r>
            <w:r w:rsidR="00C929A3">
              <w:fldChar w:fldCharType="separate"/>
            </w:r>
            <w:r w:rsidRPr="00C068F4">
              <w:fldChar w:fldCharType="end"/>
            </w:r>
            <w:r w:rsidRPr="00C068F4">
              <w:t xml:space="preserve">Optometrists </w:t>
            </w:r>
            <w:r w:rsidRPr="00C068F4">
              <w:fldChar w:fldCharType="begin" w:fldLock="1">
                <w:ffData>
                  <w:name w:val="Check5"/>
                  <w:enabled/>
                  <w:calcOnExit w:val="0"/>
                  <w:checkBox>
                    <w:sizeAuto/>
                    <w:default w:val="0"/>
                  </w:checkBox>
                </w:ffData>
              </w:fldChar>
            </w:r>
            <w:r w:rsidRPr="00C068F4">
              <w:instrText xml:space="preserve"> FORMCHECKBOX </w:instrText>
            </w:r>
            <w:r w:rsidR="00C929A3">
              <w:fldChar w:fldCharType="separate"/>
            </w:r>
            <w:r w:rsidRPr="00C068F4">
              <w:fldChar w:fldCharType="end"/>
            </w:r>
          </w:p>
        </w:tc>
      </w:tr>
      <w:tr w:rsidR="0058082B" w:rsidRPr="00C068F4" w14:paraId="7D80970E" w14:textId="77777777" w:rsidTr="00526956">
        <w:trPr>
          <w:cantSplit/>
          <w:trHeight w:val="20"/>
        </w:trPr>
        <w:tc>
          <w:tcPr>
            <w:tcW w:w="5000" w:type="pct"/>
          </w:tcPr>
          <w:p w14:paraId="0DD9F45F" w14:textId="77777777" w:rsidR="0058082B" w:rsidRPr="00C068F4" w:rsidRDefault="0058082B" w:rsidP="00526956">
            <w:pPr>
              <w:pStyle w:val="TableText0"/>
              <w:keepLines/>
              <w:rPr>
                <w:rFonts w:eastAsia="Times New Roman"/>
              </w:rPr>
            </w:pPr>
            <w:r w:rsidRPr="00C068F4">
              <w:rPr>
                <w:b/>
              </w:rPr>
              <w:t xml:space="preserve">Restriction type: </w:t>
            </w:r>
            <w:r w:rsidRPr="00C068F4">
              <w:rPr>
                <w:rFonts w:eastAsia="Times New Roman"/>
              </w:rPr>
              <w:fldChar w:fldCharType="begin" w:fldLock="1">
                <w:ffData>
                  <w:name w:val="Check3"/>
                  <w:enabled/>
                  <w:calcOnExit w:val="0"/>
                  <w:checkBox>
                    <w:sizeAuto/>
                    <w:default w:val="1"/>
                  </w:checkBox>
                </w:ffData>
              </w:fldChar>
            </w:r>
            <w:bookmarkStart w:id="16" w:name="Check3"/>
            <w:r w:rsidRPr="00C068F4">
              <w:rPr>
                <w:rFonts w:eastAsia="Times New Roman"/>
              </w:rPr>
              <w:instrText xml:space="preserve"> FORMCHECKBOX </w:instrText>
            </w:r>
            <w:r w:rsidR="00C929A3">
              <w:rPr>
                <w:rFonts w:eastAsia="Times New Roman"/>
              </w:rPr>
            </w:r>
            <w:r w:rsidR="00C929A3">
              <w:rPr>
                <w:rFonts w:eastAsia="Times New Roman"/>
              </w:rPr>
              <w:fldChar w:fldCharType="separate"/>
            </w:r>
            <w:r w:rsidRPr="00C068F4">
              <w:rPr>
                <w:rFonts w:eastAsia="Times New Roman"/>
              </w:rPr>
              <w:fldChar w:fldCharType="end"/>
            </w:r>
            <w:bookmarkEnd w:id="16"/>
            <w:r w:rsidRPr="00C068F4">
              <w:rPr>
                <w:rFonts w:eastAsia="Times New Roman"/>
              </w:rPr>
              <w:t xml:space="preserve">Authority Required (telephone/online PBS Authorities system) </w:t>
            </w:r>
          </w:p>
        </w:tc>
      </w:tr>
      <w:tr w:rsidR="0058082B" w:rsidRPr="00C068F4" w14:paraId="51147D1C" w14:textId="77777777" w:rsidTr="00526956">
        <w:trPr>
          <w:cantSplit/>
          <w:trHeight w:val="20"/>
        </w:trPr>
        <w:tc>
          <w:tcPr>
            <w:tcW w:w="5000" w:type="pct"/>
            <w:vAlign w:val="center"/>
            <w:hideMark/>
          </w:tcPr>
          <w:p w14:paraId="492FFD48" w14:textId="77777777" w:rsidR="0058082B" w:rsidRPr="00C068F4" w:rsidRDefault="0058082B" w:rsidP="00526956">
            <w:pPr>
              <w:pStyle w:val="TableText0"/>
              <w:keepLines/>
            </w:pPr>
            <w:r w:rsidRPr="00C068F4">
              <w:rPr>
                <w:b/>
              </w:rPr>
              <w:t>Indication:</w:t>
            </w:r>
            <w:r w:rsidRPr="00C068F4">
              <w:t xml:space="preserve"> Pre-exposure prevention of SARS-CoV-2</w:t>
            </w:r>
          </w:p>
        </w:tc>
      </w:tr>
      <w:tr w:rsidR="0058082B" w:rsidRPr="00C068F4" w14:paraId="0600D346" w14:textId="77777777" w:rsidTr="00526956">
        <w:trPr>
          <w:cantSplit/>
          <w:trHeight w:val="20"/>
        </w:trPr>
        <w:tc>
          <w:tcPr>
            <w:tcW w:w="5000" w:type="pct"/>
            <w:vAlign w:val="center"/>
            <w:hideMark/>
          </w:tcPr>
          <w:p w14:paraId="1A107FBA" w14:textId="77777777" w:rsidR="0058082B" w:rsidRPr="00C068F4" w:rsidRDefault="0058082B" w:rsidP="00526956">
            <w:pPr>
              <w:pStyle w:val="TableText0"/>
              <w:keepLines/>
            </w:pPr>
            <w:r w:rsidRPr="00C068F4">
              <w:rPr>
                <w:b/>
              </w:rPr>
              <w:t>Clinical criteria:</w:t>
            </w:r>
          </w:p>
        </w:tc>
      </w:tr>
      <w:tr w:rsidR="0058082B" w:rsidRPr="00C068F4" w14:paraId="249058EA" w14:textId="77777777" w:rsidTr="00526956">
        <w:trPr>
          <w:cantSplit/>
          <w:trHeight w:val="20"/>
        </w:trPr>
        <w:tc>
          <w:tcPr>
            <w:tcW w:w="5000" w:type="pct"/>
            <w:vAlign w:val="center"/>
            <w:hideMark/>
          </w:tcPr>
          <w:p w14:paraId="68B5C998" w14:textId="77777777" w:rsidR="0058082B" w:rsidRPr="00C068F4" w:rsidRDefault="0058082B" w:rsidP="00526956">
            <w:pPr>
              <w:pStyle w:val="TableText0"/>
              <w:keepLines/>
              <w:rPr>
                <w:bCs w:val="0"/>
                <w:color w:val="000000" w:themeColor="text1"/>
              </w:rPr>
            </w:pPr>
            <w:r w:rsidRPr="00C068F4">
              <w:rPr>
                <w:bCs w:val="0"/>
                <w:color w:val="000000" w:themeColor="text1"/>
              </w:rPr>
              <w:t>Patient must be severely immunocompromised OR</w:t>
            </w:r>
          </w:p>
          <w:p w14:paraId="2103A9A8" w14:textId="77777777" w:rsidR="0058082B" w:rsidRPr="00C068F4" w:rsidRDefault="0058082B" w:rsidP="00526956">
            <w:pPr>
              <w:pStyle w:val="TableText0"/>
              <w:keepLines/>
            </w:pPr>
            <w:r w:rsidRPr="00C068F4">
              <w:rPr>
                <w:bCs w:val="0"/>
                <w:color w:val="000000" w:themeColor="text1"/>
              </w:rPr>
              <w:t>Patient must be contraindicated to all TGA registered COVID-19 vaccines</w:t>
            </w:r>
          </w:p>
        </w:tc>
      </w:tr>
      <w:tr w:rsidR="0058082B" w:rsidRPr="00C068F4" w14:paraId="05A73BA1" w14:textId="77777777" w:rsidTr="00526956">
        <w:trPr>
          <w:cantSplit/>
          <w:trHeight w:val="20"/>
        </w:trPr>
        <w:tc>
          <w:tcPr>
            <w:tcW w:w="5000" w:type="pct"/>
            <w:vAlign w:val="center"/>
            <w:hideMark/>
          </w:tcPr>
          <w:p w14:paraId="50AFDC67" w14:textId="77777777" w:rsidR="0058082B" w:rsidRPr="00C068F4" w:rsidRDefault="0058082B" w:rsidP="00526956">
            <w:pPr>
              <w:pStyle w:val="TableText0"/>
              <w:keepLines/>
            </w:pPr>
            <w:r w:rsidRPr="00C068F4">
              <w:rPr>
                <w:b/>
              </w:rPr>
              <w:t>AND</w:t>
            </w:r>
          </w:p>
        </w:tc>
      </w:tr>
      <w:tr w:rsidR="0058082B" w:rsidRPr="00C068F4" w14:paraId="5C0E4066" w14:textId="77777777" w:rsidTr="00526956">
        <w:trPr>
          <w:cantSplit/>
          <w:trHeight w:val="20"/>
        </w:trPr>
        <w:tc>
          <w:tcPr>
            <w:tcW w:w="5000" w:type="pct"/>
            <w:vAlign w:val="center"/>
            <w:hideMark/>
          </w:tcPr>
          <w:p w14:paraId="7BA74BA7" w14:textId="77777777" w:rsidR="0058082B" w:rsidRPr="00C068F4" w:rsidRDefault="0058082B" w:rsidP="00526956">
            <w:pPr>
              <w:pStyle w:val="TableText0"/>
              <w:keepLines/>
            </w:pPr>
            <w:r w:rsidRPr="00C068F4">
              <w:rPr>
                <w:b/>
              </w:rPr>
              <w:t>Clinical criteria:</w:t>
            </w:r>
          </w:p>
        </w:tc>
      </w:tr>
      <w:tr w:rsidR="0058082B" w:rsidRPr="00C068F4" w14:paraId="30F199B0" w14:textId="77777777" w:rsidTr="00526956">
        <w:trPr>
          <w:cantSplit/>
          <w:trHeight w:val="20"/>
        </w:trPr>
        <w:tc>
          <w:tcPr>
            <w:tcW w:w="5000" w:type="pct"/>
            <w:vAlign w:val="center"/>
            <w:hideMark/>
          </w:tcPr>
          <w:p w14:paraId="29C97747" w14:textId="77777777" w:rsidR="0058082B" w:rsidRPr="00C068F4" w:rsidRDefault="0058082B" w:rsidP="00526956">
            <w:pPr>
              <w:pStyle w:val="TableText0"/>
              <w:keepLines/>
              <w:rPr>
                <w:color w:val="000000" w:themeColor="text1"/>
              </w:rPr>
            </w:pPr>
            <w:r w:rsidRPr="00C068F4">
              <w:rPr>
                <w:bCs w:val="0"/>
                <w:color w:val="000000" w:themeColor="text1"/>
              </w:rPr>
              <w:t>Patient must not have received Evusheld in the past 6 months</w:t>
            </w:r>
          </w:p>
        </w:tc>
      </w:tr>
      <w:tr w:rsidR="0058082B" w:rsidRPr="00C068F4" w14:paraId="3C33493A" w14:textId="77777777" w:rsidTr="00526956">
        <w:trPr>
          <w:cantSplit/>
          <w:trHeight w:val="20"/>
        </w:trPr>
        <w:tc>
          <w:tcPr>
            <w:tcW w:w="5000" w:type="pct"/>
            <w:vAlign w:val="center"/>
            <w:hideMark/>
          </w:tcPr>
          <w:p w14:paraId="3FA1C5EF" w14:textId="77777777" w:rsidR="0058082B" w:rsidRPr="00C068F4" w:rsidRDefault="0058082B" w:rsidP="00526956">
            <w:pPr>
              <w:pStyle w:val="TableText0"/>
              <w:keepLines/>
              <w:rPr>
                <w:color w:val="000000" w:themeColor="text1"/>
              </w:rPr>
            </w:pPr>
            <w:r w:rsidRPr="00C068F4">
              <w:rPr>
                <w:b/>
                <w:color w:val="000000" w:themeColor="text1"/>
              </w:rPr>
              <w:t>Population criteria:</w:t>
            </w:r>
          </w:p>
        </w:tc>
      </w:tr>
      <w:tr w:rsidR="0058082B" w:rsidRPr="00C068F4" w14:paraId="693E3F20" w14:textId="77777777" w:rsidTr="00526956">
        <w:trPr>
          <w:cantSplit/>
          <w:trHeight w:val="20"/>
        </w:trPr>
        <w:tc>
          <w:tcPr>
            <w:tcW w:w="5000" w:type="pct"/>
            <w:vAlign w:val="center"/>
          </w:tcPr>
          <w:p w14:paraId="168D0306" w14:textId="77777777" w:rsidR="0058082B" w:rsidRPr="00C068F4" w:rsidRDefault="0058082B" w:rsidP="00526956">
            <w:pPr>
              <w:pStyle w:val="TableText0"/>
              <w:keepLines/>
              <w:rPr>
                <w:color w:val="000000" w:themeColor="text1"/>
              </w:rPr>
            </w:pPr>
            <w:r w:rsidRPr="00C068F4">
              <w:rPr>
                <w:color w:val="000000" w:themeColor="text1"/>
              </w:rPr>
              <w:t>Patient must be aged 12 years or older</w:t>
            </w:r>
          </w:p>
          <w:p w14:paraId="1EB49A30" w14:textId="0E42F40D" w:rsidR="00287C72" w:rsidRDefault="0058082B" w:rsidP="00526956">
            <w:pPr>
              <w:pStyle w:val="TableText0"/>
              <w:keepLines/>
              <w:rPr>
                <w:color w:val="000000" w:themeColor="text1"/>
              </w:rPr>
            </w:pPr>
            <w:r w:rsidRPr="00C068F4">
              <w:rPr>
                <w:color w:val="000000" w:themeColor="text1"/>
              </w:rPr>
              <w:t>For the purpose of administering this restriction, "severely immunocompromised" patients are those with any of the following conditions:</w:t>
            </w:r>
          </w:p>
          <w:p w14:paraId="03DCEAA0" w14:textId="77777777" w:rsidR="0058082B" w:rsidRPr="00C068F4" w:rsidRDefault="0058082B" w:rsidP="0058082B">
            <w:pPr>
              <w:pStyle w:val="TableText0"/>
              <w:keepLines/>
              <w:numPr>
                <w:ilvl w:val="1"/>
                <w:numId w:val="19"/>
              </w:numPr>
              <w:ind w:left="309" w:hanging="309"/>
              <w:rPr>
                <w:color w:val="000000" w:themeColor="text1"/>
              </w:rPr>
            </w:pPr>
            <w:r w:rsidRPr="00C068F4">
              <w:rPr>
                <w:color w:val="000000" w:themeColor="text1"/>
              </w:rPr>
              <w:t>Any primary or acquired immunodeficiency including:</w:t>
            </w:r>
          </w:p>
          <w:p w14:paraId="118BDCE9" w14:textId="4BD114E5" w:rsidR="00287C72" w:rsidRDefault="0058082B" w:rsidP="0058082B">
            <w:pPr>
              <w:pStyle w:val="TableText0"/>
              <w:keepLines/>
              <w:numPr>
                <w:ilvl w:val="0"/>
                <w:numId w:val="20"/>
              </w:numPr>
              <w:rPr>
                <w:color w:val="000000" w:themeColor="text1"/>
              </w:rPr>
            </w:pPr>
            <w:r w:rsidRPr="00C068F4">
              <w:rPr>
                <w:color w:val="000000" w:themeColor="text1"/>
              </w:rPr>
              <w:t>Haematologic neoplasms (on immunotherapies): leukaemias, lymphomas, myelodysplastic syndromes, multiple myeloma and other plasma cell disorders,</w:t>
            </w:r>
          </w:p>
          <w:p w14:paraId="20745775" w14:textId="77777777" w:rsidR="0058082B" w:rsidRPr="00C068F4" w:rsidRDefault="0058082B" w:rsidP="0058082B">
            <w:pPr>
              <w:pStyle w:val="TableText0"/>
              <w:keepLines/>
              <w:numPr>
                <w:ilvl w:val="0"/>
                <w:numId w:val="20"/>
              </w:numPr>
              <w:rPr>
                <w:color w:val="000000" w:themeColor="text1"/>
              </w:rPr>
            </w:pPr>
            <w:r w:rsidRPr="00C068F4">
              <w:rPr>
                <w:color w:val="000000" w:themeColor="text1"/>
              </w:rPr>
              <w:t>Post-transplant: solid organ (on immunosuppressive therapy), haematopoietic stem cell transplant (within 24 months),</w:t>
            </w:r>
          </w:p>
          <w:p w14:paraId="3DA69656" w14:textId="488E0DF4" w:rsidR="00287C72" w:rsidRDefault="0058082B" w:rsidP="0058082B">
            <w:pPr>
              <w:pStyle w:val="TableText0"/>
              <w:keepLines/>
              <w:numPr>
                <w:ilvl w:val="0"/>
                <w:numId w:val="20"/>
              </w:numPr>
              <w:rPr>
                <w:color w:val="000000" w:themeColor="text1"/>
              </w:rPr>
            </w:pPr>
            <w:r w:rsidRPr="00C068F4">
              <w:rPr>
                <w:color w:val="000000" w:themeColor="text1"/>
              </w:rPr>
              <w:t>Primary immunodeficiency including combined immunodeficiency and syndromes, major antibody deficiency (e.g. common variable immune deficiency (CVID) or agammaglobulinemia), defects of innate immunity (including phagocytic cells), defects of immune regulation, complement deficiencies and phenocopies of primary immunodeficiencies</w:t>
            </w:r>
          </w:p>
          <w:p w14:paraId="3AE223DB" w14:textId="597A73AD" w:rsidR="00287C72" w:rsidRDefault="0058082B" w:rsidP="0058082B">
            <w:pPr>
              <w:pStyle w:val="TableText0"/>
              <w:keepLines/>
              <w:numPr>
                <w:ilvl w:val="0"/>
                <w:numId w:val="20"/>
              </w:numPr>
              <w:rPr>
                <w:color w:val="000000" w:themeColor="text1"/>
              </w:rPr>
            </w:pPr>
            <w:r w:rsidRPr="00C068F4">
              <w:rPr>
                <w:color w:val="000000" w:themeColor="text1"/>
              </w:rPr>
              <w:t>Advanced or untreated HIV, or those unable to be established on effective anti-retroviral therapy</w:t>
            </w:r>
          </w:p>
          <w:p w14:paraId="126333C0" w14:textId="77777777" w:rsidR="0058082B" w:rsidRPr="00C068F4" w:rsidRDefault="0058082B" w:rsidP="0058082B">
            <w:pPr>
              <w:pStyle w:val="TableText0"/>
              <w:keepLines/>
              <w:numPr>
                <w:ilvl w:val="0"/>
                <w:numId w:val="20"/>
              </w:numPr>
              <w:rPr>
                <w:color w:val="000000" w:themeColor="text1"/>
              </w:rPr>
            </w:pPr>
            <w:r w:rsidRPr="00C068F4">
              <w:rPr>
                <w:color w:val="000000" w:themeColor="text1"/>
              </w:rPr>
              <w:t>On long term dialysis</w:t>
            </w:r>
          </w:p>
          <w:p w14:paraId="02C4F8BD" w14:textId="77777777" w:rsidR="0058082B" w:rsidRPr="00C068F4" w:rsidRDefault="0058082B" w:rsidP="00526956">
            <w:pPr>
              <w:pStyle w:val="TableText0"/>
              <w:keepLines/>
              <w:rPr>
                <w:color w:val="000000" w:themeColor="text1"/>
              </w:rPr>
            </w:pPr>
            <w:r w:rsidRPr="00C068F4">
              <w:rPr>
                <w:color w:val="000000" w:themeColor="text1"/>
              </w:rPr>
              <w:t>OR</w:t>
            </w:r>
          </w:p>
          <w:p w14:paraId="59870FAC" w14:textId="77777777" w:rsidR="0058082B" w:rsidRPr="00C068F4" w:rsidRDefault="0058082B" w:rsidP="0058082B">
            <w:pPr>
              <w:pStyle w:val="TableText0"/>
              <w:keepLines/>
              <w:numPr>
                <w:ilvl w:val="1"/>
                <w:numId w:val="19"/>
              </w:numPr>
              <w:ind w:left="309" w:hanging="309"/>
              <w:rPr>
                <w:color w:val="000000" w:themeColor="text1"/>
              </w:rPr>
            </w:pPr>
            <w:r w:rsidRPr="00C068F4">
              <w:rPr>
                <w:color w:val="000000" w:themeColor="text1"/>
              </w:rPr>
              <w:t>High-dose corticosteroids, defined as ≥20 mg of prednisone per day, or equivalent, for at least 14 days in a month and on 6 or more treatment courses in the last 12 months,</w:t>
            </w:r>
          </w:p>
          <w:p w14:paraId="2D712F5A" w14:textId="77777777" w:rsidR="0058082B" w:rsidRPr="00C068F4" w:rsidRDefault="0058082B" w:rsidP="00526956">
            <w:pPr>
              <w:pStyle w:val="TableText0"/>
              <w:keepLines/>
              <w:rPr>
                <w:color w:val="000000" w:themeColor="text1"/>
              </w:rPr>
            </w:pPr>
            <w:r w:rsidRPr="00C068F4">
              <w:rPr>
                <w:color w:val="000000" w:themeColor="text1"/>
              </w:rPr>
              <w:t>OR</w:t>
            </w:r>
          </w:p>
          <w:p w14:paraId="6A324F75" w14:textId="77777777" w:rsidR="0058082B" w:rsidRPr="00C068F4" w:rsidRDefault="0058082B" w:rsidP="0058082B">
            <w:pPr>
              <w:pStyle w:val="TableText0"/>
              <w:keepLines/>
              <w:numPr>
                <w:ilvl w:val="1"/>
                <w:numId w:val="19"/>
              </w:numPr>
              <w:ind w:left="309" w:hanging="309"/>
              <w:rPr>
                <w:color w:val="000000" w:themeColor="text1"/>
              </w:rPr>
            </w:pPr>
            <w:r w:rsidRPr="00C068F4">
              <w:rPr>
                <w:color w:val="000000" w:themeColor="text1"/>
              </w:rPr>
              <w:t>Any other significantly immunocompromising condition(s) where, in the last 3 months the patient has received any of the following:</w:t>
            </w:r>
          </w:p>
          <w:p w14:paraId="271F2B73" w14:textId="77777777" w:rsidR="0058082B" w:rsidRPr="00C068F4" w:rsidRDefault="0058082B" w:rsidP="0058082B">
            <w:pPr>
              <w:pStyle w:val="TableText0"/>
              <w:keepLines/>
              <w:numPr>
                <w:ilvl w:val="0"/>
                <w:numId w:val="21"/>
              </w:numPr>
              <w:rPr>
                <w:color w:val="000000" w:themeColor="text1"/>
              </w:rPr>
            </w:pPr>
            <w:r w:rsidRPr="00C068F4">
              <w:rPr>
                <w:color w:val="000000" w:themeColor="text1"/>
              </w:rPr>
              <w:t>Chemotherapy or whole-body radiotherapy</w:t>
            </w:r>
          </w:p>
          <w:p w14:paraId="10864E65" w14:textId="31A06899" w:rsidR="00287C72" w:rsidRDefault="0058082B" w:rsidP="0058082B">
            <w:pPr>
              <w:pStyle w:val="TableText0"/>
              <w:keepLines/>
              <w:numPr>
                <w:ilvl w:val="0"/>
                <w:numId w:val="21"/>
              </w:numPr>
              <w:rPr>
                <w:color w:val="000000" w:themeColor="text1"/>
              </w:rPr>
            </w:pPr>
            <w:r w:rsidRPr="00C068F4">
              <w:rPr>
                <w:color w:val="000000" w:themeColor="text1"/>
              </w:rPr>
              <w:t>Biological agents and other treatments that deplete or inhibit B cell or T cell function (anti-CD20 antibodies, BTK inhibitors, JAK inhibitors, sphingosine 1-phosphate receptor modulators, anti-CD52 antibodies, anti-complement antibodies, anti-thymocyte globulin),</w:t>
            </w:r>
          </w:p>
          <w:p w14:paraId="37CA4CB7" w14:textId="77777777" w:rsidR="0058082B" w:rsidRPr="00C068F4" w:rsidRDefault="0058082B" w:rsidP="0058082B">
            <w:pPr>
              <w:pStyle w:val="TableText0"/>
              <w:keepLines/>
              <w:numPr>
                <w:ilvl w:val="0"/>
                <w:numId w:val="21"/>
              </w:numPr>
              <w:rPr>
                <w:color w:val="000000" w:themeColor="text1"/>
              </w:rPr>
            </w:pPr>
            <w:r w:rsidRPr="00C068F4">
              <w:rPr>
                <w:color w:val="000000" w:themeColor="text1"/>
              </w:rPr>
              <w:t>Selected conventional synthetic disease-modifying anti-rheumatic drugs (csDMARDs) including mycophenolate, methotrexate (more than 0.4 mg/kg/week), leflunomide, azathioprine (at least 3mg/kg/day), 6-mercaptopurine (at least 1.5 mg/kg/day), alkylating agents (e.g. cyclophosphamide, chlorambucil), and systemic calcineurin inhibitors (e.g. cyclosporin, tacrolimus)</w:t>
            </w:r>
          </w:p>
          <w:p w14:paraId="66EDD222" w14:textId="77777777" w:rsidR="0058082B" w:rsidRPr="00C068F4" w:rsidRDefault="0058082B" w:rsidP="0058082B">
            <w:pPr>
              <w:pStyle w:val="TableText0"/>
              <w:keepLines/>
              <w:numPr>
                <w:ilvl w:val="0"/>
                <w:numId w:val="21"/>
              </w:numPr>
              <w:rPr>
                <w:color w:val="000000" w:themeColor="text1"/>
              </w:rPr>
            </w:pPr>
            <w:r w:rsidRPr="00C068F4">
              <w:rPr>
                <w:color w:val="000000" w:themeColor="text1"/>
              </w:rPr>
              <w:t>Any significantly immunocompromising condition(s) where, in the last 12 months the patient has received anti-CD20 therapy</w:t>
            </w:r>
          </w:p>
          <w:p w14:paraId="0B7A3743" w14:textId="77777777" w:rsidR="00287C72" w:rsidRDefault="00287C72" w:rsidP="00526956">
            <w:pPr>
              <w:pStyle w:val="TableText0"/>
              <w:keepLines/>
              <w:rPr>
                <w:color w:val="000000" w:themeColor="text1"/>
              </w:rPr>
            </w:pPr>
          </w:p>
          <w:p w14:paraId="6AA6AC27" w14:textId="4EFB0D81" w:rsidR="00287C72" w:rsidRDefault="0058082B" w:rsidP="00526956">
            <w:pPr>
              <w:pStyle w:val="TableText0"/>
              <w:keepLines/>
              <w:rPr>
                <w:color w:val="000000" w:themeColor="text1"/>
              </w:rPr>
            </w:pPr>
            <w:r w:rsidRPr="00C068F4">
              <w:rPr>
                <w:color w:val="000000" w:themeColor="text1"/>
              </w:rPr>
              <w:t>Details of the patients' medical condition necessitating use of this drug must be recorded in the patients' medical records.</w:t>
            </w:r>
          </w:p>
          <w:p w14:paraId="17273175" w14:textId="4E9BB0F2" w:rsidR="00287C72" w:rsidRDefault="0058082B" w:rsidP="00526956">
            <w:pPr>
              <w:pStyle w:val="TableText0"/>
              <w:keepLines/>
              <w:rPr>
                <w:color w:val="000000" w:themeColor="text1"/>
              </w:rPr>
            </w:pPr>
            <w:r w:rsidRPr="00C068F4">
              <w:rPr>
                <w:color w:val="000000" w:themeColor="text1"/>
              </w:rPr>
              <w:t>Access to this drug through this restriction is permitted irrespective of vaccination status.</w:t>
            </w:r>
          </w:p>
          <w:p w14:paraId="6A2359F0" w14:textId="77777777" w:rsidR="0058082B" w:rsidRPr="00C068F4" w:rsidRDefault="0058082B" w:rsidP="00526956">
            <w:pPr>
              <w:pStyle w:val="TableText0"/>
              <w:keepLines/>
              <w:rPr>
                <w:color w:val="000000" w:themeColor="text1"/>
              </w:rPr>
            </w:pPr>
            <w:r w:rsidRPr="00C068F4">
              <w:rPr>
                <w:color w:val="000000" w:themeColor="text1"/>
              </w:rPr>
              <w:t>This drug is not PBS-subsidised for the treatment of SARS-CoV-2 infection.</w:t>
            </w:r>
          </w:p>
        </w:tc>
      </w:tr>
      <w:tr w:rsidR="0058082B" w:rsidRPr="00C068F4" w14:paraId="2A1124BE" w14:textId="77777777" w:rsidTr="00526956">
        <w:trPr>
          <w:cantSplit/>
          <w:trHeight w:val="20"/>
        </w:trPr>
        <w:tc>
          <w:tcPr>
            <w:tcW w:w="5000" w:type="pct"/>
            <w:vAlign w:val="center"/>
            <w:hideMark/>
          </w:tcPr>
          <w:p w14:paraId="1408A0E5" w14:textId="77777777" w:rsidR="0058082B" w:rsidRPr="00C068F4" w:rsidRDefault="0058082B" w:rsidP="00526956">
            <w:pPr>
              <w:pStyle w:val="TableText0"/>
              <w:keepLines/>
              <w:rPr>
                <w:color w:val="000000" w:themeColor="text1"/>
              </w:rPr>
            </w:pPr>
            <w:r w:rsidRPr="00C068F4">
              <w:rPr>
                <w:b/>
                <w:color w:val="000000" w:themeColor="text1"/>
              </w:rPr>
              <w:t xml:space="preserve">Administrative Advice: </w:t>
            </w:r>
            <w:r w:rsidRPr="00C068F4">
              <w:rPr>
                <w:bCs w:val="0"/>
                <w:color w:val="000000" w:themeColor="text1"/>
              </w:rPr>
              <w:t>No increase in the maximum quantity or number of units may be authorised</w:t>
            </w:r>
          </w:p>
        </w:tc>
      </w:tr>
      <w:bookmarkEnd w:id="15"/>
    </w:tbl>
    <w:p w14:paraId="59FBA199" w14:textId="77777777" w:rsidR="0058082B" w:rsidRPr="00C068F4" w:rsidRDefault="0058082B" w:rsidP="00274035">
      <w:pPr>
        <w:pStyle w:val="FooterTableFigure"/>
      </w:pPr>
    </w:p>
    <w:p w14:paraId="6B7260AB" w14:textId="4B9C3E09" w:rsidR="0082260C" w:rsidRPr="00C068F4" w:rsidRDefault="006B73F1">
      <w:pPr>
        <w:pStyle w:val="3-BodyText"/>
        <w:rPr>
          <w:color w:val="000000" w:themeColor="text1"/>
        </w:rPr>
      </w:pPr>
      <w:bookmarkStart w:id="17" w:name="_Ref109758332"/>
      <w:r w:rsidRPr="00C068F4">
        <w:rPr>
          <w:iCs/>
          <w:color w:val="000000" w:themeColor="text1"/>
        </w:rPr>
        <w:t>T</w:t>
      </w:r>
      <w:r w:rsidR="0082260C" w:rsidRPr="00C068F4">
        <w:rPr>
          <w:iCs/>
          <w:color w:val="000000" w:themeColor="text1"/>
        </w:rPr>
        <w:t>he</w:t>
      </w:r>
      <w:r w:rsidR="009D3513" w:rsidRPr="00C068F4">
        <w:rPr>
          <w:iCs/>
          <w:color w:val="000000" w:themeColor="text1"/>
        </w:rPr>
        <w:t xml:space="preserve"> evaluation noted there</w:t>
      </w:r>
      <w:r w:rsidR="0082260C" w:rsidRPr="00C068F4">
        <w:rPr>
          <w:iCs/>
          <w:color w:val="000000" w:themeColor="text1"/>
        </w:rPr>
        <w:t xml:space="preserve"> are some differences between the proposed population</w:t>
      </w:r>
      <w:r w:rsidR="001143ED" w:rsidRPr="00C068F4">
        <w:rPr>
          <w:iCs/>
          <w:color w:val="000000" w:themeColor="text1"/>
        </w:rPr>
        <w:t xml:space="preserve"> for PBS subsidy</w:t>
      </w:r>
      <w:r w:rsidR="0082260C" w:rsidRPr="00C068F4">
        <w:rPr>
          <w:iCs/>
          <w:color w:val="000000" w:themeColor="text1"/>
        </w:rPr>
        <w:t xml:space="preserve"> and the population recruited to the PROVENT trial, which raises the </w:t>
      </w:r>
      <w:r w:rsidR="0082260C" w:rsidRPr="00C068F4">
        <w:rPr>
          <w:iCs/>
          <w:color w:val="000000" w:themeColor="text1"/>
        </w:rPr>
        <w:lastRenderedPageBreak/>
        <w:t>potential for issues in regard to the applicability of the results observed in the PROVENT trial to the population for whom PBS-listing is proposed</w:t>
      </w:r>
      <w:r w:rsidR="001143ED" w:rsidRPr="00C068F4">
        <w:rPr>
          <w:iCs/>
          <w:color w:val="000000" w:themeColor="text1"/>
        </w:rPr>
        <w:t xml:space="preserve"> (see also Section 6)</w:t>
      </w:r>
      <w:r w:rsidR="00F4297D" w:rsidRPr="00C068F4">
        <w:rPr>
          <w:iCs/>
          <w:color w:val="000000" w:themeColor="text1"/>
        </w:rPr>
        <w:t>.</w:t>
      </w:r>
    </w:p>
    <w:p w14:paraId="55A10E73" w14:textId="40654C4F" w:rsidR="00287C72" w:rsidRDefault="009D3513" w:rsidP="001143ED">
      <w:pPr>
        <w:pStyle w:val="3-BodyText"/>
      </w:pPr>
      <w:r w:rsidRPr="00C068F4">
        <w:rPr>
          <w:iCs/>
        </w:rPr>
        <w:t>The evaluation noted th</w:t>
      </w:r>
      <w:r w:rsidR="00321A5F" w:rsidRPr="00C068F4">
        <w:rPr>
          <w:iCs/>
        </w:rPr>
        <w:t>e</w:t>
      </w:r>
      <w:r w:rsidRPr="00C068F4">
        <w:rPr>
          <w:iCs/>
        </w:rPr>
        <w:t xml:space="preserve"> </w:t>
      </w:r>
      <w:r w:rsidR="00321A5F" w:rsidRPr="00C068F4">
        <w:rPr>
          <w:iCs/>
        </w:rPr>
        <w:t>intent</w:t>
      </w:r>
      <w:r w:rsidR="009C6352" w:rsidRPr="00C068F4">
        <w:rPr>
          <w:iCs/>
        </w:rPr>
        <w:t xml:space="preserve"> of</w:t>
      </w:r>
      <w:r w:rsidRPr="00C068F4">
        <w:rPr>
          <w:iCs/>
        </w:rPr>
        <w:t xml:space="preserve"> the listing</w:t>
      </w:r>
      <w:r w:rsidR="00321A5F" w:rsidRPr="00C068F4">
        <w:rPr>
          <w:iCs/>
        </w:rPr>
        <w:t xml:space="preserve"> is to identify patients who are severely immunocompromised and at risk of suboptimal or non-response to vaccination, based on criteria outlined by </w:t>
      </w:r>
      <w:r w:rsidR="009C6352" w:rsidRPr="00C068F4">
        <w:rPr>
          <w:iCs/>
        </w:rPr>
        <w:t>the Australian Technical Advisory Group on Immunisation (</w:t>
      </w:r>
      <w:r w:rsidR="00321A5F" w:rsidRPr="00C068F4">
        <w:rPr>
          <w:iCs/>
        </w:rPr>
        <w:t>ATAGI</w:t>
      </w:r>
      <w:r w:rsidR="009C6352" w:rsidRPr="00C068F4">
        <w:rPr>
          <w:iCs/>
        </w:rPr>
        <w:t>)</w:t>
      </w:r>
      <w:r w:rsidR="00321A5F" w:rsidRPr="00C068F4">
        <w:rPr>
          <w:iCs/>
        </w:rPr>
        <w:t>.</w:t>
      </w:r>
      <w:r w:rsidR="009C6352" w:rsidRPr="00C068F4">
        <w:rPr>
          <w:iCs/>
        </w:rPr>
        <w:t xml:space="preserve"> </w:t>
      </w:r>
      <w:r w:rsidR="00321A5F" w:rsidRPr="00C068F4">
        <w:rPr>
          <w:iCs/>
        </w:rPr>
        <w:t>ATAGI recognises that people who are severely immunocompromised, due to medical conditions or treatments, may have a sub-optimal response to vaccination, and recommends additional COVID-19 vaccine doses for such patients</w:t>
      </w:r>
      <w:r w:rsidR="00321A5F" w:rsidRPr="00C068F4">
        <w:rPr>
          <w:vertAlign w:val="superscript"/>
        </w:rPr>
        <w:footnoteReference w:id="3"/>
      </w:r>
      <w:r w:rsidR="00321A5F" w:rsidRPr="00C068F4">
        <w:rPr>
          <w:iCs/>
        </w:rPr>
        <w:t>.</w:t>
      </w:r>
      <w:r w:rsidRPr="00C068F4">
        <w:rPr>
          <w:iCs/>
        </w:rPr>
        <w:t xml:space="preserve"> </w:t>
      </w:r>
      <w:r w:rsidR="00321A5F" w:rsidRPr="00C068F4">
        <w:t>The definitions of “severely immunocompromised” patients proposed by the sponsor are largely consistent with the most recent ATAGI advice (version 2.5, dated 7 July 2022)</w:t>
      </w:r>
      <w:r w:rsidR="0035342B" w:rsidRPr="00C068F4">
        <w:rPr>
          <w:vertAlign w:val="superscript"/>
        </w:rPr>
        <w:t>6</w:t>
      </w:r>
      <w:r w:rsidR="006B73F1" w:rsidRPr="00C068F4">
        <w:t>.</w:t>
      </w:r>
    </w:p>
    <w:p w14:paraId="1EB42D6B" w14:textId="2B84A8CC" w:rsidR="00287C72" w:rsidRDefault="00CA16CA" w:rsidP="0094564F">
      <w:pPr>
        <w:pStyle w:val="3-BodyText"/>
        <w:rPr>
          <w:iCs/>
        </w:rPr>
      </w:pPr>
      <w:r w:rsidRPr="00C068F4">
        <w:rPr>
          <w:iCs/>
        </w:rPr>
        <w:t>The PBAC noted th</w:t>
      </w:r>
      <w:r w:rsidR="006B73F1" w:rsidRPr="00C068F4">
        <w:rPr>
          <w:iCs/>
        </w:rPr>
        <w:t>e</w:t>
      </w:r>
      <w:r w:rsidRPr="00C068F4">
        <w:rPr>
          <w:iCs/>
        </w:rPr>
        <w:t xml:space="preserve"> comments received from </w:t>
      </w:r>
      <w:r w:rsidR="009C6352" w:rsidRPr="00C068F4">
        <w:rPr>
          <w:iCs/>
        </w:rPr>
        <w:t xml:space="preserve">the </w:t>
      </w:r>
      <w:r w:rsidRPr="00C068F4">
        <w:rPr>
          <w:iCs/>
        </w:rPr>
        <w:t>ATAGI</w:t>
      </w:r>
      <w:r w:rsidR="001143ED" w:rsidRPr="00C068F4">
        <w:rPr>
          <w:iCs/>
        </w:rPr>
        <w:t>, particularly and consistent with the Sponsor’s view, that very few patients would truly be contraindicated to vaccination.</w:t>
      </w:r>
    </w:p>
    <w:p w14:paraId="05B7642C" w14:textId="4404BA9B" w:rsidR="0094564F" w:rsidRPr="00C068F4" w:rsidRDefault="0094564F" w:rsidP="0094564F">
      <w:pPr>
        <w:pStyle w:val="3-BodyText"/>
        <w:rPr>
          <w:iCs/>
        </w:rPr>
      </w:pPr>
      <w:r w:rsidRPr="00C068F4">
        <w:rPr>
          <w:rFonts w:ascii="Calibri" w:hAnsi="Calibri"/>
          <w:bCs/>
          <w:iCs/>
        </w:rPr>
        <w:t>The PBAC also noted some patients who are contraindicated to vaccines will also be contraindicated to this drug. In regard to the risk of cross-hypersensitivity with COVID-19 vaccines, the FDA’s fact sheet for HCPs</w:t>
      </w:r>
      <w:r w:rsidRPr="00C068F4">
        <w:rPr>
          <w:rStyle w:val="FootnoteReference"/>
          <w:rFonts w:ascii="Calibri" w:hAnsi="Calibri"/>
          <w:bCs/>
          <w:iCs/>
        </w:rPr>
        <w:footnoteReference w:id="4"/>
      </w:r>
      <w:r w:rsidRPr="00C068F4">
        <w:rPr>
          <w:rFonts w:ascii="Calibri" w:hAnsi="Calibri"/>
          <w:bCs/>
          <w:iCs/>
        </w:rPr>
        <w:t xml:space="preserve"> states “</w:t>
      </w:r>
      <w:r w:rsidRPr="00C068F4">
        <w:rPr>
          <w:iCs/>
        </w:rPr>
        <w:t>EVUSHELD contains polysorbate 80, which is in some COVID-19 vaccines and is structurally similar to polyethylene glycol (PEG), an ingredient in other COVID-19 vaccines”.</w:t>
      </w:r>
    </w:p>
    <w:p w14:paraId="4D5C2F85" w14:textId="3763C9B5" w:rsidR="007B0C13" w:rsidRPr="00C068F4" w:rsidRDefault="007B0C13" w:rsidP="006B73F1">
      <w:pPr>
        <w:pStyle w:val="3-BodyText"/>
        <w:numPr>
          <w:ilvl w:val="0"/>
          <w:numId w:val="0"/>
        </w:numPr>
        <w:ind w:left="720"/>
        <w:rPr>
          <w:iCs/>
        </w:rPr>
      </w:pPr>
      <w:r w:rsidRPr="00C068F4">
        <w:rPr>
          <w:i/>
        </w:rPr>
        <w:t>For more detail on PBAC’s view, see section 7 PBAC outcome.</w:t>
      </w:r>
    </w:p>
    <w:p w14:paraId="7075B85C" w14:textId="7CB58234" w:rsidR="00B50DB8" w:rsidRPr="00C068F4" w:rsidDel="00195452" w:rsidRDefault="00203181" w:rsidP="004E18E9">
      <w:pPr>
        <w:pStyle w:val="2-SectionHeading"/>
      </w:pPr>
      <w:bookmarkStart w:id="18" w:name="_Toc111710307"/>
      <w:bookmarkEnd w:id="17"/>
      <w:r w:rsidRPr="00C068F4" w:rsidDel="00195452">
        <w:t xml:space="preserve">Population and </w:t>
      </w:r>
      <w:r w:rsidR="008E0D3C" w:rsidRPr="00C068F4" w:rsidDel="00195452">
        <w:t>d</w:t>
      </w:r>
      <w:r w:rsidRPr="00C068F4" w:rsidDel="00195452">
        <w:t>isease</w:t>
      </w:r>
      <w:bookmarkEnd w:id="18"/>
    </w:p>
    <w:p w14:paraId="45A67AA4" w14:textId="77777777" w:rsidR="00226F54" w:rsidRPr="00C068F4" w:rsidRDefault="0024115F">
      <w:pPr>
        <w:pStyle w:val="3-BodyText"/>
        <w:rPr>
          <w:color w:val="000000" w:themeColor="text1"/>
        </w:rPr>
      </w:pPr>
      <w:r w:rsidRPr="00C068F4">
        <w:rPr>
          <w:color w:val="000000" w:themeColor="text1"/>
        </w:rPr>
        <w:t>The virus that causes COVID-19 is designated severe acute respiratory syndrome coronavirus 2 (SARS-CoV-2).</w:t>
      </w:r>
    </w:p>
    <w:p w14:paraId="2104F8A7" w14:textId="77777777" w:rsidR="00204306" w:rsidRPr="00C068F4" w:rsidRDefault="00204306" w:rsidP="00204306">
      <w:pPr>
        <w:pStyle w:val="3-BodyText"/>
        <w:rPr>
          <w:color w:val="000000" w:themeColor="text1"/>
        </w:rPr>
      </w:pPr>
      <w:r w:rsidRPr="00C068F4">
        <w:rPr>
          <w:color w:val="000000" w:themeColor="text1"/>
        </w:rPr>
        <w:t>Accumulating evidence from basic science, imaging and clinical observations, has clarified the picture of COVID-19 as a vascular disease</w:t>
      </w:r>
      <w:r w:rsidRPr="00C068F4">
        <w:rPr>
          <w:rStyle w:val="FootnoteReference"/>
        </w:rPr>
        <w:footnoteReference w:id="5"/>
      </w:r>
      <w:r w:rsidRPr="00C068F4">
        <w:rPr>
          <w:color w:val="000000" w:themeColor="text1"/>
        </w:rPr>
        <w:t>.</w:t>
      </w:r>
    </w:p>
    <w:p w14:paraId="56C3DBCF" w14:textId="1B4C5528" w:rsidR="00204306" w:rsidRPr="00C068F4" w:rsidRDefault="00204306" w:rsidP="00204306">
      <w:pPr>
        <w:pStyle w:val="3-BodyText"/>
        <w:rPr>
          <w:color w:val="000000" w:themeColor="text1"/>
        </w:rPr>
      </w:pPr>
      <w:r w:rsidRPr="00C068F4">
        <w:rPr>
          <w:color w:val="000000" w:themeColor="text1"/>
        </w:rPr>
        <w:t>The spectrum of illness associated with COVID-19 is wide, ranging from asymptomatic infection to life-threatening illness.</w:t>
      </w:r>
    </w:p>
    <w:p w14:paraId="130A7450" w14:textId="72BFB622" w:rsidR="004B2F7B" w:rsidRPr="00C068F4" w:rsidRDefault="0094564F">
      <w:pPr>
        <w:pStyle w:val="3-BodyText"/>
        <w:rPr>
          <w:color w:val="000000" w:themeColor="text1"/>
        </w:rPr>
      </w:pPr>
      <w:r w:rsidRPr="00C068F4">
        <w:rPr>
          <w:color w:val="000000" w:themeColor="text1"/>
        </w:rPr>
        <w:lastRenderedPageBreak/>
        <w:t>A</w:t>
      </w:r>
      <w:r w:rsidR="004D347D" w:rsidRPr="00C068F4">
        <w:rPr>
          <w:color w:val="000000" w:themeColor="text1"/>
        </w:rPr>
        <w:t xml:space="preserve">t 12 August 2022, </w:t>
      </w:r>
      <w:r w:rsidR="00F34967" w:rsidRPr="00C068F4">
        <w:rPr>
          <w:color w:val="000000" w:themeColor="text1"/>
        </w:rPr>
        <w:t>o</w:t>
      </w:r>
      <w:r w:rsidR="00930200" w:rsidRPr="00C068F4">
        <w:rPr>
          <w:color w:val="000000" w:themeColor="text1"/>
        </w:rPr>
        <w:t xml:space="preserve">ver 95% of the adult Australian population have received at least two doses of </w:t>
      </w:r>
      <w:r w:rsidR="004B2F7B" w:rsidRPr="00C068F4">
        <w:rPr>
          <w:color w:val="000000" w:themeColor="text1"/>
        </w:rPr>
        <w:t xml:space="preserve">a </w:t>
      </w:r>
      <w:r w:rsidRPr="00C068F4">
        <w:rPr>
          <w:color w:val="000000" w:themeColor="text1"/>
        </w:rPr>
        <w:t xml:space="preserve">COVID-19 </w:t>
      </w:r>
      <w:r w:rsidR="004B2F7B" w:rsidRPr="00C068F4">
        <w:rPr>
          <w:color w:val="000000" w:themeColor="text1"/>
        </w:rPr>
        <w:t>vaccine</w:t>
      </w:r>
      <w:r w:rsidR="00F34967" w:rsidRPr="00C068F4">
        <w:rPr>
          <w:color w:val="000000" w:themeColor="text1"/>
        </w:rPr>
        <w:t>,</w:t>
      </w:r>
      <w:r w:rsidR="00DF7A04" w:rsidRPr="00C068F4">
        <w:rPr>
          <w:color w:val="000000" w:themeColor="text1"/>
        </w:rPr>
        <w:t xml:space="preserve"> </w:t>
      </w:r>
      <w:r w:rsidR="00F34967" w:rsidRPr="00C068F4">
        <w:rPr>
          <w:color w:val="000000" w:themeColor="text1"/>
        </w:rPr>
        <w:t>7</w:t>
      </w:r>
      <w:r w:rsidR="00800C44" w:rsidRPr="00C068F4">
        <w:rPr>
          <w:color w:val="000000" w:themeColor="text1"/>
        </w:rPr>
        <w:t>2</w:t>
      </w:r>
      <w:r w:rsidR="00F34967" w:rsidRPr="00C068F4">
        <w:rPr>
          <w:color w:val="000000" w:themeColor="text1"/>
        </w:rPr>
        <w:t>%</w:t>
      </w:r>
      <w:r w:rsidR="00DF7A04" w:rsidRPr="00C068F4">
        <w:rPr>
          <w:color w:val="000000" w:themeColor="text1"/>
        </w:rPr>
        <w:t xml:space="preserve"> </w:t>
      </w:r>
      <w:r w:rsidR="00F34F8C" w:rsidRPr="00C068F4">
        <w:rPr>
          <w:color w:val="000000" w:themeColor="text1"/>
        </w:rPr>
        <w:t xml:space="preserve">of those eligible for a </w:t>
      </w:r>
      <w:r w:rsidRPr="00C068F4">
        <w:rPr>
          <w:color w:val="000000" w:themeColor="text1"/>
        </w:rPr>
        <w:t>3</w:t>
      </w:r>
      <w:r w:rsidRPr="00C068F4">
        <w:rPr>
          <w:color w:val="000000" w:themeColor="text1"/>
          <w:vertAlign w:val="superscript"/>
        </w:rPr>
        <w:t>rd</w:t>
      </w:r>
      <w:r w:rsidRPr="00C068F4">
        <w:rPr>
          <w:color w:val="000000" w:themeColor="text1"/>
        </w:rPr>
        <w:t xml:space="preserve"> </w:t>
      </w:r>
      <w:r w:rsidR="00F34F8C" w:rsidRPr="00C068F4">
        <w:rPr>
          <w:color w:val="000000" w:themeColor="text1"/>
        </w:rPr>
        <w:t xml:space="preserve">dose </w:t>
      </w:r>
      <w:r w:rsidR="00DF7A04" w:rsidRPr="00C068F4">
        <w:rPr>
          <w:color w:val="000000" w:themeColor="text1"/>
        </w:rPr>
        <w:t xml:space="preserve">have received at least 3 doses, and </w:t>
      </w:r>
      <w:r w:rsidR="00F34967" w:rsidRPr="00C068F4">
        <w:rPr>
          <w:color w:val="000000" w:themeColor="text1"/>
        </w:rPr>
        <w:t>38%</w:t>
      </w:r>
      <w:r w:rsidR="00DF7A04" w:rsidRPr="00C068F4">
        <w:rPr>
          <w:color w:val="000000" w:themeColor="text1"/>
        </w:rPr>
        <w:t xml:space="preserve"> of those eligible for a </w:t>
      </w:r>
      <w:r w:rsidR="00CC4651" w:rsidRPr="00C068F4">
        <w:rPr>
          <w:color w:val="000000" w:themeColor="text1"/>
        </w:rPr>
        <w:t>4</w:t>
      </w:r>
      <w:r w:rsidR="00CC4651" w:rsidRPr="00C068F4">
        <w:rPr>
          <w:color w:val="000000" w:themeColor="text1"/>
          <w:vertAlign w:val="superscript"/>
        </w:rPr>
        <w:t>th</w:t>
      </w:r>
      <w:r w:rsidR="00CC4651" w:rsidRPr="00C068F4">
        <w:rPr>
          <w:color w:val="000000" w:themeColor="text1"/>
        </w:rPr>
        <w:t xml:space="preserve"> dose have received 4 doses</w:t>
      </w:r>
      <w:r w:rsidR="001273B2" w:rsidRPr="00C068F4">
        <w:rPr>
          <w:color w:val="000000" w:themeColor="text1"/>
        </w:rPr>
        <w:t>.</w:t>
      </w:r>
      <w:r w:rsidR="004B2F7B" w:rsidRPr="00C068F4">
        <w:rPr>
          <w:rStyle w:val="FootnoteReference"/>
        </w:rPr>
        <w:footnoteReference w:id="6"/>
      </w:r>
    </w:p>
    <w:p w14:paraId="73824AF5" w14:textId="2E09E33B" w:rsidR="006C7DA5" w:rsidRPr="00C068F4" w:rsidRDefault="006C7DA5">
      <w:pPr>
        <w:pStyle w:val="3-BodyText"/>
        <w:rPr>
          <w:color w:val="000000" w:themeColor="text1"/>
        </w:rPr>
      </w:pPr>
      <w:r w:rsidRPr="00C068F4">
        <w:rPr>
          <w:color w:val="000000" w:themeColor="text1"/>
        </w:rPr>
        <w:t xml:space="preserve">Like other viruses, SARS-CoV-2 </w:t>
      </w:r>
      <w:r w:rsidR="007A0B32" w:rsidRPr="00C068F4">
        <w:rPr>
          <w:color w:val="000000" w:themeColor="text1"/>
        </w:rPr>
        <w:t>is evolving</w:t>
      </w:r>
      <w:r w:rsidRPr="00C068F4">
        <w:rPr>
          <w:color w:val="000000" w:themeColor="text1"/>
        </w:rPr>
        <w:t xml:space="preserve"> over time. Certain variants have garnered widespread attention because of their rapid emergence within populations and evidence for transmission or clinical implications; these are considered </w:t>
      </w:r>
      <w:r w:rsidR="000370CA" w:rsidRPr="00C068F4">
        <w:rPr>
          <w:color w:val="000000" w:themeColor="text1"/>
        </w:rPr>
        <w:t>‘</w:t>
      </w:r>
      <w:r w:rsidRPr="00C068F4">
        <w:rPr>
          <w:color w:val="000000" w:themeColor="text1"/>
        </w:rPr>
        <w:t>variants of concern</w:t>
      </w:r>
      <w:r w:rsidR="0094564F" w:rsidRPr="00C068F4">
        <w:rPr>
          <w:color w:val="000000" w:themeColor="text1"/>
        </w:rPr>
        <w:t xml:space="preserve"> (VOC)</w:t>
      </w:r>
      <w:r w:rsidR="000370CA" w:rsidRPr="00C068F4">
        <w:rPr>
          <w:color w:val="000000" w:themeColor="text1"/>
        </w:rPr>
        <w:t>’.</w:t>
      </w:r>
    </w:p>
    <w:p w14:paraId="1B7C9A5D" w14:textId="226176F8" w:rsidR="003F796E" w:rsidRDefault="0024632D" w:rsidP="004E18E9">
      <w:pPr>
        <w:pStyle w:val="3-BodyText"/>
        <w:rPr>
          <w:color w:val="000000" w:themeColor="text1"/>
        </w:rPr>
      </w:pPr>
      <w:bookmarkStart w:id="19" w:name="_Ref110106544"/>
      <w:r w:rsidRPr="00C068F4">
        <w:rPr>
          <w:color w:val="000000" w:themeColor="text1"/>
        </w:rPr>
        <w:t xml:space="preserve">According to the </w:t>
      </w:r>
      <w:r w:rsidR="00B26484" w:rsidRPr="00C068F4">
        <w:rPr>
          <w:color w:val="000000" w:themeColor="text1"/>
        </w:rPr>
        <w:t>Communicable Diseases Genomic Network (CDGN), i</w:t>
      </w:r>
      <w:r w:rsidR="00C83F7D" w:rsidRPr="00C068F4">
        <w:rPr>
          <w:color w:val="000000" w:themeColor="text1"/>
        </w:rPr>
        <w:t xml:space="preserve">n the </w:t>
      </w:r>
      <w:r w:rsidR="00BF6E5A" w:rsidRPr="00C068F4">
        <w:rPr>
          <w:color w:val="000000" w:themeColor="text1"/>
        </w:rPr>
        <w:t>4 weeks between 20 Jun 2022 and 18 Jul 2022,</w:t>
      </w:r>
      <w:r w:rsidR="00014308" w:rsidRPr="00C068F4">
        <w:rPr>
          <w:color w:val="000000" w:themeColor="text1"/>
        </w:rPr>
        <w:t xml:space="preserve"> 100% of </w:t>
      </w:r>
      <w:r w:rsidR="00CC5273" w:rsidRPr="00C068F4">
        <w:rPr>
          <w:color w:val="000000" w:themeColor="text1"/>
        </w:rPr>
        <w:t>sequenced samples have been of the Omicron variant. No Delta s</w:t>
      </w:r>
      <w:r w:rsidR="006421B1" w:rsidRPr="00C068F4">
        <w:rPr>
          <w:color w:val="000000" w:themeColor="text1"/>
        </w:rPr>
        <w:t>equences were identified in the 12 weeks ending 18 Jul 2022. Of the samples sequenced</w:t>
      </w:r>
      <w:r w:rsidR="00162C55" w:rsidRPr="00C068F4">
        <w:rPr>
          <w:color w:val="000000" w:themeColor="text1"/>
        </w:rPr>
        <w:t xml:space="preserve"> in that period</w:t>
      </w:r>
      <w:r w:rsidR="006421B1" w:rsidRPr="00C068F4">
        <w:rPr>
          <w:color w:val="000000" w:themeColor="text1"/>
        </w:rPr>
        <w:t>,</w:t>
      </w:r>
      <w:r w:rsidR="00BF6E5A" w:rsidRPr="00C068F4">
        <w:rPr>
          <w:color w:val="000000" w:themeColor="text1"/>
        </w:rPr>
        <w:t xml:space="preserve"> </w:t>
      </w:r>
      <w:r w:rsidR="003C6AEA" w:rsidRPr="00C068F4">
        <w:rPr>
          <w:color w:val="000000" w:themeColor="text1"/>
        </w:rPr>
        <w:t>approximately 60%</w:t>
      </w:r>
      <w:r w:rsidR="00EF716D" w:rsidRPr="00C068F4">
        <w:rPr>
          <w:color w:val="000000" w:themeColor="text1"/>
        </w:rPr>
        <w:t>, 10% and 30%</w:t>
      </w:r>
      <w:r w:rsidR="003C6AEA" w:rsidRPr="00C068F4">
        <w:rPr>
          <w:color w:val="000000" w:themeColor="text1"/>
        </w:rPr>
        <w:t xml:space="preserve"> of </w:t>
      </w:r>
      <w:r w:rsidR="004859A4" w:rsidRPr="00C068F4">
        <w:rPr>
          <w:color w:val="000000" w:themeColor="text1"/>
        </w:rPr>
        <w:t>sequenced</w:t>
      </w:r>
      <w:r w:rsidR="00EF716D" w:rsidRPr="00C068F4">
        <w:rPr>
          <w:color w:val="000000" w:themeColor="text1"/>
        </w:rPr>
        <w:t xml:space="preserve"> samples</w:t>
      </w:r>
      <w:r w:rsidR="006421B1" w:rsidRPr="00C068F4">
        <w:rPr>
          <w:color w:val="000000" w:themeColor="text1"/>
        </w:rPr>
        <w:t xml:space="preserve"> </w:t>
      </w:r>
      <w:r w:rsidR="007643B5" w:rsidRPr="00C068F4">
        <w:rPr>
          <w:color w:val="000000" w:themeColor="text1"/>
        </w:rPr>
        <w:t>were</w:t>
      </w:r>
      <w:r w:rsidR="006421B1" w:rsidRPr="00C068F4">
        <w:rPr>
          <w:color w:val="000000" w:themeColor="text1"/>
        </w:rPr>
        <w:t xml:space="preserve"> for the BA.2</w:t>
      </w:r>
      <w:r w:rsidR="003F796E" w:rsidRPr="00C068F4">
        <w:rPr>
          <w:color w:val="000000" w:themeColor="text1"/>
        </w:rPr>
        <w:t xml:space="preserve">, BA.4 and BA.5 </w:t>
      </w:r>
      <w:r w:rsidR="00EE49AB" w:rsidRPr="00C068F4">
        <w:rPr>
          <w:color w:val="000000" w:themeColor="text1"/>
        </w:rPr>
        <w:t>sub</w:t>
      </w:r>
      <w:r w:rsidR="005B3FE1" w:rsidRPr="00C068F4">
        <w:rPr>
          <w:color w:val="000000" w:themeColor="text1"/>
        </w:rPr>
        <w:t>-lineages</w:t>
      </w:r>
      <w:r w:rsidR="00EE49AB" w:rsidRPr="00C068F4">
        <w:rPr>
          <w:color w:val="000000" w:themeColor="text1"/>
        </w:rPr>
        <w:t xml:space="preserve"> of Omicron</w:t>
      </w:r>
      <w:r w:rsidR="00FE5E05" w:rsidRPr="00C068F4">
        <w:rPr>
          <w:color w:val="000000" w:themeColor="text1"/>
        </w:rPr>
        <w:t>, respectively</w:t>
      </w:r>
      <w:r w:rsidR="00345904" w:rsidRPr="00C068F4">
        <w:rPr>
          <w:rStyle w:val="FootnoteReference"/>
        </w:rPr>
        <w:footnoteReference w:id="7"/>
      </w:r>
      <w:r w:rsidR="00DB14E0" w:rsidRPr="00C068F4">
        <w:rPr>
          <w:color w:val="000000" w:themeColor="text1"/>
          <w:vertAlign w:val="superscript"/>
        </w:rPr>
        <w:t>,</w:t>
      </w:r>
      <w:r w:rsidR="00FD5E02" w:rsidRPr="00C068F4">
        <w:rPr>
          <w:rStyle w:val="FootnoteReference"/>
        </w:rPr>
        <w:footnoteReference w:id="8"/>
      </w:r>
      <w:r w:rsidR="003F796E" w:rsidRPr="00C068F4">
        <w:rPr>
          <w:color w:val="000000" w:themeColor="text1"/>
        </w:rPr>
        <w:t>.</w:t>
      </w:r>
      <w:r w:rsidR="003251DE" w:rsidRPr="00C068F4">
        <w:rPr>
          <w:color w:val="000000" w:themeColor="text1"/>
        </w:rPr>
        <w:t xml:space="preserve"> In the week between 18 Jul 2022 and </w:t>
      </w:r>
      <w:r w:rsidR="00A71050" w:rsidRPr="00C068F4">
        <w:rPr>
          <w:color w:val="000000" w:themeColor="text1"/>
        </w:rPr>
        <w:t xml:space="preserve">25 Jul 2022, </w:t>
      </w:r>
      <w:r w:rsidR="00FE5E05" w:rsidRPr="00C068F4">
        <w:rPr>
          <w:color w:val="000000" w:themeColor="text1"/>
        </w:rPr>
        <w:t xml:space="preserve">33%, 11% and 56% of sequenced samples sequenced samples </w:t>
      </w:r>
      <w:r w:rsidR="007643B5" w:rsidRPr="00C068F4">
        <w:rPr>
          <w:color w:val="000000" w:themeColor="text1"/>
        </w:rPr>
        <w:t>detected</w:t>
      </w:r>
      <w:r w:rsidR="00FE5E05" w:rsidRPr="00C068F4">
        <w:rPr>
          <w:color w:val="000000" w:themeColor="text1"/>
        </w:rPr>
        <w:t xml:space="preserve"> the BA.2, BA.4 and BA.5 sub-lineages of Omicron, respectively</w:t>
      </w:r>
      <w:r w:rsidR="00A156C8" w:rsidRPr="00C068F4">
        <w:rPr>
          <w:rStyle w:val="FootnoteReference"/>
        </w:rPr>
        <w:footnoteReference w:id="9"/>
      </w:r>
      <w:r w:rsidR="00FE5E05" w:rsidRPr="00C068F4">
        <w:rPr>
          <w:color w:val="000000" w:themeColor="text1"/>
        </w:rPr>
        <w:t>.</w:t>
      </w:r>
      <w:r w:rsidR="001060C0" w:rsidRPr="00C068F4">
        <w:rPr>
          <w:color w:val="000000" w:themeColor="text1"/>
        </w:rPr>
        <w:t xml:space="preserve"> Thus,</w:t>
      </w:r>
      <w:r w:rsidR="0094564F" w:rsidRPr="00C068F4">
        <w:rPr>
          <w:color w:val="000000" w:themeColor="text1"/>
        </w:rPr>
        <w:t xml:space="preserve"> </w:t>
      </w:r>
      <w:r w:rsidR="009C3B17" w:rsidRPr="00C068F4">
        <w:rPr>
          <w:color w:val="000000" w:themeColor="text1"/>
        </w:rPr>
        <w:t xml:space="preserve">the Omicron BA.5 sub-variant has </w:t>
      </w:r>
      <w:r w:rsidR="003445E5" w:rsidRPr="00C068F4">
        <w:rPr>
          <w:color w:val="000000" w:themeColor="text1"/>
        </w:rPr>
        <w:t xml:space="preserve">outcompeted the other circulating variants and </w:t>
      </w:r>
      <w:r w:rsidR="00B1171B" w:rsidRPr="00C068F4">
        <w:rPr>
          <w:color w:val="000000" w:themeColor="text1"/>
        </w:rPr>
        <w:t>is</w:t>
      </w:r>
      <w:r w:rsidR="0094564F" w:rsidRPr="00C068F4">
        <w:rPr>
          <w:color w:val="000000" w:themeColor="text1"/>
        </w:rPr>
        <w:t>,</w:t>
      </w:r>
      <w:r w:rsidR="00B1171B" w:rsidRPr="00C068F4">
        <w:rPr>
          <w:color w:val="000000" w:themeColor="text1"/>
        </w:rPr>
        <w:t xml:space="preserve"> currently, the</w:t>
      </w:r>
      <w:r w:rsidR="009C3B17" w:rsidRPr="00C068F4">
        <w:rPr>
          <w:color w:val="000000" w:themeColor="text1"/>
        </w:rPr>
        <w:t xml:space="preserve"> most prevalent</w:t>
      </w:r>
      <w:r w:rsidR="007643B5" w:rsidRPr="00C068F4">
        <w:rPr>
          <w:color w:val="000000" w:themeColor="text1"/>
        </w:rPr>
        <w:t xml:space="preserve"> variant</w:t>
      </w:r>
      <w:r w:rsidR="009C3B17" w:rsidRPr="00C068F4">
        <w:rPr>
          <w:color w:val="000000" w:themeColor="text1"/>
        </w:rPr>
        <w:t xml:space="preserve"> in Australia.</w:t>
      </w:r>
      <w:bookmarkEnd w:id="19"/>
    </w:p>
    <w:p w14:paraId="101DC709" w14:textId="2F0B0F6A" w:rsidR="001A596F" w:rsidRPr="00E833E9" w:rsidRDefault="001A596F" w:rsidP="001A596F">
      <w:pPr>
        <w:pStyle w:val="3-BodyText"/>
        <w:jc w:val="left"/>
        <w:rPr>
          <w:rFonts w:ascii="Times New Roman" w:hAnsi="Times New Roman" w:cs="Times New Roman"/>
        </w:rPr>
      </w:pPr>
      <w:r w:rsidRPr="00E833E9">
        <w:rPr>
          <w:rFonts w:eastAsia="Calibri" w:cs="Calibri"/>
          <w:lang w:eastAsia="en-US"/>
        </w:rPr>
        <w:t>From the start of the Omicron wave in mid-December 2021 to 3 July 2022, there were 2,843 COVID-19 cases admitted to ICUs participating in the sentinel surveillance system, Short Period Incidence Study of Severe Acute Respiratory Infection (SPRINT-SARI)</w:t>
      </w:r>
      <w:r w:rsidRPr="00E833E9">
        <w:rPr>
          <w:rStyle w:val="FootnoteReference"/>
          <w:rFonts w:eastAsia="Calibri" w:cs="Calibri"/>
          <w:lang w:eastAsia="en-US"/>
        </w:rPr>
        <w:footnoteReference w:id="10"/>
      </w:r>
      <w:r w:rsidRPr="00E833E9">
        <w:rPr>
          <w:rFonts w:eastAsia="Calibri" w:cs="Calibri"/>
          <w:lang w:eastAsia="en-US"/>
        </w:rPr>
        <w:t>. Three quarters of the 2</w:t>
      </w:r>
      <w:r w:rsidR="00E5071B">
        <w:rPr>
          <w:rFonts w:eastAsia="Calibri" w:cs="Calibri"/>
          <w:lang w:eastAsia="en-US"/>
        </w:rPr>
        <w:t>,</w:t>
      </w:r>
      <w:r w:rsidRPr="00E833E9">
        <w:rPr>
          <w:rFonts w:eastAsia="Calibri" w:cs="Calibri"/>
          <w:lang w:eastAsia="en-US"/>
        </w:rPr>
        <w:t>146 patient</w:t>
      </w:r>
      <w:r w:rsidR="005B28E0">
        <w:rPr>
          <w:rFonts w:eastAsia="Calibri" w:cs="Calibri"/>
          <w:lang w:eastAsia="en-US"/>
        </w:rPr>
        <w:t>s</w:t>
      </w:r>
      <w:r w:rsidRPr="00E833E9">
        <w:rPr>
          <w:rFonts w:eastAsia="Calibri" w:cs="Calibri"/>
          <w:lang w:eastAsia="en-US"/>
        </w:rPr>
        <w:t xml:space="preserve"> for whom information on co-morbidities is available had a least one co-morbidity and half had two or more co-morbidities. Immunocompromise was recorded as a co-morbidity in 18%</w:t>
      </w:r>
      <w:r w:rsidRPr="00E833E9">
        <w:rPr>
          <w:rStyle w:val="FootnoteReference"/>
          <w:rFonts w:eastAsia="Calibri" w:cs="Calibri"/>
          <w:lang w:eastAsia="en-US"/>
        </w:rPr>
        <w:footnoteReference w:id="11"/>
      </w:r>
      <w:r w:rsidRPr="00E833E9">
        <w:rPr>
          <w:rFonts w:eastAsia="Calibri" w:cs="Calibri"/>
          <w:lang w:eastAsia="en-US"/>
        </w:rPr>
        <w:t xml:space="preserve"> (or 511 of 2</w:t>
      </w:r>
      <w:r w:rsidR="00E5071B">
        <w:rPr>
          <w:rFonts w:eastAsia="Calibri" w:cs="Calibri"/>
          <w:lang w:eastAsia="en-US"/>
        </w:rPr>
        <w:t>,</w:t>
      </w:r>
      <w:r w:rsidRPr="00E833E9">
        <w:rPr>
          <w:rFonts w:eastAsia="Calibri" w:cs="Calibri"/>
          <w:lang w:eastAsia="en-US"/>
        </w:rPr>
        <w:t>843 patients).</w:t>
      </w:r>
      <w:r w:rsidR="00287C72">
        <w:rPr>
          <w:rFonts w:eastAsia="Calibri" w:cs="Calibri"/>
          <w:lang w:eastAsia="en-US"/>
        </w:rPr>
        <w:t xml:space="preserve"> </w:t>
      </w:r>
      <w:r w:rsidRPr="00E833E9">
        <w:rPr>
          <w:rFonts w:eastAsia="Calibri" w:cs="Calibri"/>
          <w:lang w:eastAsia="en-US"/>
        </w:rPr>
        <w:t xml:space="preserve">The PBAC considered this data provided relevant context for </w:t>
      </w:r>
      <w:r w:rsidRPr="00E833E9">
        <w:rPr>
          <w:rFonts w:eastAsia="Calibri" w:cs="Calibri"/>
          <w:lang w:eastAsia="en-US"/>
        </w:rPr>
        <w:lastRenderedPageBreak/>
        <w:t xml:space="preserve">estimating the number needed to treat to avoid one ICU admission (see paragraph </w:t>
      </w:r>
      <w:r w:rsidRPr="00E833E9">
        <w:rPr>
          <w:rFonts w:eastAsia="Calibri" w:cs="Calibri"/>
          <w:lang w:eastAsia="en-US"/>
        </w:rPr>
        <w:fldChar w:fldCharType="begin" w:fldLock="1"/>
      </w:r>
      <w:r w:rsidRPr="00E833E9">
        <w:rPr>
          <w:rFonts w:eastAsia="Calibri" w:cs="Calibri"/>
          <w:lang w:eastAsia="en-US"/>
        </w:rPr>
        <w:instrText xml:space="preserve"> REF _Ref113971657 \r \h </w:instrText>
      </w:r>
      <w:r w:rsidR="00C96DE5" w:rsidRPr="00E833E9">
        <w:rPr>
          <w:rFonts w:eastAsia="Calibri" w:cs="Calibri"/>
          <w:lang w:eastAsia="en-US"/>
        </w:rPr>
        <w:instrText xml:space="preserve"> \* MERGEFORMAT </w:instrText>
      </w:r>
      <w:r w:rsidRPr="00E833E9">
        <w:rPr>
          <w:rFonts w:eastAsia="Calibri" w:cs="Calibri"/>
          <w:lang w:eastAsia="en-US"/>
        </w:rPr>
      </w:r>
      <w:r w:rsidRPr="00E833E9">
        <w:rPr>
          <w:rFonts w:eastAsia="Calibri" w:cs="Calibri"/>
          <w:lang w:eastAsia="en-US"/>
        </w:rPr>
        <w:fldChar w:fldCharType="separate"/>
      </w:r>
      <w:r w:rsidR="00AB751C">
        <w:rPr>
          <w:rFonts w:eastAsia="Calibri" w:cs="Calibri"/>
          <w:lang w:eastAsia="en-US"/>
        </w:rPr>
        <w:t>7.10</w:t>
      </w:r>
      <w:r w:rsidRPr="00E833E9">
        <w:rPr>
          <w:rFonts w:eastAsia="Calibri" w:cs="Calibri"/>
          <w:lang w:eastAsia="en-US"/>
        </w:rPr>
        <w:fldChar w:fldCharType="end"/>
      </w:r>
      <w:r w:rsidRPr="00E833E9">
        <w:rPr>
          <w:rFonts w:eastAsia="Calibri" w:cs="Calibri"/>
          <w:lang w:eastAsia="en-US"/>
        </w:rPr>
        <w:t>).</w:t>
      </w:r>
    </w:p>
    <w:p w14:paraId="5787C871" w14:textId="0640CDF5" w:rsidR="007B0C13" w:rsidRPr="00C068F4" w:rsidDel="00195452" w:rsidRDefault="007B0C13" w:rsidP="003461AA">
      <w:pPr>
        <w:pStyle w:val="3-BodyText"/>
        <w:numPr>
          <w:ilvl w:val="0"/>
          <w:numId w:val="0"/>
        </w:numPr>
        <w:ind w:firstLine="720"/>
        <w:rPr>
          <w:color w:val="000000" w:themeColor="text1"/>
        </w:rPr>
      </w:pPr>
      <w:r w:rsidRPr="00C068F4">
        <w:rPr>
          <w:i/>
          <w:color w:val="000000" w:themeColor="text1"/>
        </w:rPr>
        <w:t>For more detail on PBAC’s view, see section 7 PBAC outcome.</w:t>
      </w:r>
    </w:p>
    <w:p w14:paraId="51E5AE96" w14:textId="136A63B1" w:rsidR="00B50DB8" w:rsidRPr="00C068F4" w:rsidRDefault="00B50DB8" w:rsidP="004E18E9">
      <w:pPr>
        <w:pStyle w:val="2-SectionHeading"/>
      </w:pPr>
      <w:bookmarkStart w:id="20" w:name="_Toc111710308"/>
      <w:r w:rsidRPr="00C068F4">
        <w:t>Comparator</w:t>
      </w:r>
      <w:bookmarkEnd w:id="20"/>
    </w:p>
    <w:p w14:paraId="30A1723F" w14:textId="29B4B563" w:rsidR="00287C72" w:rsidRDefault="00903677" w:rsidP="00710615">
      <w:pPr>
        <w:pStyle w:val="3-BodyText"/>
        <w:rPr>
          <w:color w:val="000000" w:themeColor="text1"/>
        </w:rPr>
      </w:pPr>
      <w:bookmarkStart w:id="21" w:name="_Ref109858155"/>
      <w:r w:rsidRPr="00C068F4">
        <w:rPr>
          <w:color w:val="000000" w:themeColor="text1"/>
        </w:rPr>
        <w:t>The</w:t>
      </w:r>
      <w:r w:rsidR="00710615" w:rsidRPr="00C068F4">
        <w:rPr>
          <w:color w:val="000000" w:themeColor="text1"/>
        </w:rPr>
        <w:t xml:space="preserve"> PBAC agreed p</w:t>
      </w:r>
      <w:r w:rsidR="00BE0C8D" w:rsidRPr="00C068F4">
        <w:rPr>
          <w:color w:val="000000" w:themeColor="text1"/>
        </w:rPr>
        <w:t>lacebo (</w:t>
      </w:r>
      <w:r w:rsidR="008166CC" w:rsidRPr="00C068F4">
        <w:rPr>
          <w:color w:val="000000" w:themeColor="text1"/>
        </w:rPr>
        <w:t>representative of a no PrEP scenario</w:t>
      </w:r>
      <w:r w:rsidR="00BE0C8D" w:rsidRPr="00C068F4">
        <w:rPr>
          <w:color w:val="000000" w:themeColor="text1"/>
        </w:rPr>
        <w:t>)</w:t>
      </w:r>
      <w:r w:rsidR="0035324A" w:rsidRPr="00C068F4">
        <w:rPr>
          <w:color w:val="000000" w:themeColor="text1"/>
        </w:rPr>
        <w:t xml:space="preserve"> </w:t>
      </w:r>
      <w:r w:rsidR="003D7FA0" w:rsidRPr="00C068F4">
        <w:rPr>
          <w:color w:val="000000" w:themeColor="text1"/>
        </w:rPr>
        <w:t xml:space="preserve">was </w:t>
      </w:r>
      <w:r w:rsidR="00710615" w:rsidRPr="00C068F4">
        <w:rPr>
          <w:color w:val="000000" w:themeColor="text1"/>
        </w:rPr>
        <w:t>an</w:t>
      </w:r>
      <w:r w:rsidR="0035324A" w:rsidRPr="00C068F4">
        <w:rPr>
          <w:color w:val="000000" w:themeColor="text1"/>
        </w:rPr>
        <w:t xml:space="preserve"> appropriate </w:t>
      </w:r>
      <w:r w:rsidR="007C1D03" w:rsidRPr="00C068F4">
        <w:rPr>
          <w:color w:val="000000" w:themeColor="text1"/>
        </w:rPr>
        <w:t xml:space="preserve">main </w:t>
      </w:r>
      <w:r w:rsidR="0035324A" w:rsidRPr="00C068F4">
        <w:rPr>
          <w:color w:val="000000" w:themeColor="text1"/>
        </w:rPr>
        <w:t>comparator</w:t>
      </w:r>
      <w:r w:rsidR="00710615" w:rsidRPr="00C068F4">
        <w:rPr>
          <w:color w:val="000000" w:themeColor="text1"/>
        </w:rPr>
        <w:t xml:space="preserve">, however considered an estimate of the incremental benefit over the </w:t>
      </w:r>
      <w:r w:rsidR="00B76AF3" w:rsidRPr="00C068F4">
        <w:rPr>
          <w:color w:val="000000" w:themeColor="text1"/>
        </w:rPr>
        <w:t>four</w:t>
      </w:r>
      <w:r w:rsidR="00710615" w:rsidRPr="00C068F4">
        <w:rPr>
          <w:color w:val="000000" w:themeColor="text1"/>
        </w:rPr>
        <w:t xml:space="preserve"> dose vaccine schedule recommended for immune-compromised people would be informative for decision making.</w:t>
      </w:r>
      <w:bookmarkEnd w:id="21"/>
    </w:p>
    <w:p w14:paraId="30A067BB" w14:textId="7E13E543" w:rsidR="00B50DB8" w:rsidRPr="00C068F4" w:rsidRDefault="009F6665">
      <w:pPr>
        <w:pStyle w:val="3-BodyText"/>
        <w:rPr>
          <w:snapToGrid/>
          <w:color w:val="000000" w:themeColor="text1"/>
        </w:rPr>
      </w:pPr>
      <w:r w:rsidRPr="00C068F4">
        <w:rPr>
          <w:color w:val="000000" w:themeColor="text1"/>
        </w:rPr>
        <w:t>The</w:t>
      </w:r>
      <w:r w:rsidR="00710615" w:rsidRPr="00C068F4">
        <w:rPr>
          <w:color w:val="000000" w:themeColor="text1"/>
        </w:rPr>
        <w:t xml:space="preserve"> PBAC agreed </w:t>
      </w:r>
      <w:r w:rsidR="00E719ED" w:rsidRPr="00C068F4">
        <w:rPr>
          <w:color w:val="000000" w:themeColor="text1"/>
        </w:rPr>
        <w:t xml:space="preserve">the </w:t>
      </w:r>
      <w:r w:rsidR="00110B30" w:rsidRPr="00C068F4">
        <w:rPr>
          <w:color w:val="000000" w:themeColor="text1"/>
        </w:rPr>
        <w:t xml:space="preserve">use of tixagevimab and cilgavimab for PrEP </w:t>
      </w:r>
      <w:r w:rsidR="004E0A3B" w:rsidRPr="00C068F4">
        <w:rPr>
          <w:color w:val="000000" w:themeColor="text1"/>
        </w:rPr>
        <w:t xml:space="preserve">of COVID-19 would </w:t>
      </w:r>
      <w:r w:rsidR="00710615" w:rsidRPr="00C068F4">
        <w:rPr>
          <w:color w:val="000000" w:themeColor="text1"/>
        </w:rPr>
        <w:t xml:space="preserve">likely </w:t>
      </w:r>
      <w:r w:rsidR="004E0A3B" w:rsidRPr="00C068F4">
        <w:rPr>
          <w:color w:val="000000" w:themeColor="text1"/>
        </w:rPr>
        <w:t>reduce the need for</w:t>
      </w:r>
      <w:r w:rsidR="00716F07" w:rsidRPr="00C068F4">
        <w:rPr>
          <w:color w:val="000000" w:themeColor="text1"/>
        </w:rPr>
        <w:t xml:space="preserve"> downstream treatments for COVID-19</w:t>
      </w:r>
      <w:r w:rsidR="00710615" w:rsidRPr="00C068F4">
        <w:rPr>
          <w:color w:val="000000" w:themeColor="text1"/>
        </w:rPr>
        <w:t xml:space="preserve"> (assuming it retains neutralising activity against future variants</w:t>
      </w:r>
      <w:r w:rsidR="00716F07" w:rsidRPr="00C068F4">
        <w:rPr>
          <w:color w:val="000000" w:themeColor="text1"/>
        </w:rPr>
        <w:t>.</w:t>
      </w:r>
      <w:r w:rsidR="004E0A3B" w:rsidRPr="00C068F4">
        <w:rPr>
          <w:color w:val="000000" w:themeColor="text1"/>
        </w:rPr>
        <w:t xml:space="preserve"> </w:t>
      </w:r>
      <w:r w:rsidR="00710615" w:rsidRPr="00C068F4">
        <w:rPr>
          <w:iCs/>
          <w:color w:val="000000" w:themeColor="text1"/>
        </w:rPr>
        <w:t>However</w:t>
      </w:r>
      <w:r w:rsidR="00287C72">
        <w:rPr>
          <w:iCs/>
          <w:color w:val="000000" w:themeColor="text1"/>
        </w:rPr>
        <w:t>,</w:t>
      </w:r>
      <w:r w:rsidR="00710615" w:rsidRPr="00C068F4">
        <w:rPr>
          <w:iCs/>
          <w:color w:val="000000" w:themeColor="text1"/>
        </w:rPr>
        <w:t xml:space="preserve"> </w:t>
      </w:r>
      <w:r w:rsidR="007F788D">
        <w:rPr>
          <w:iCs/>
          <w:color w:val="000000" w:themeColor="text1"/>
        </w:rPr>
        <w:t>it was</w:t>
      </w:r>
      <w:r w:rsidR="003D31E3">
        <w:rPr>
          <w:iCs/>
          <w:color w:val="000000" w:themeColor="text1"/>
        </w:rPr>
        <w:t xml:space="preserve"> </w:t>
      </w:r>
      <w:r w:rsidR="00710615" w:rsidRPr="00C068F4">
        <w:rPr>
          <w:iCs/>
          <w:color w:val="000000" w:themeColor="text1"/>
        </w:rPr>
        <w:t xml:space="preserve">noted </w:t>
      </w:r>
      <w:r w:rsidR="007F788D">
        <w:rPr>
          <w:iCs/>
          <w:color w:val="000000" w:themeColor="text1"/>
        </w:rPr>
        <w:t xml:space="preserve">that </w:t>
      </w:r>
      <w:r w:rsidR="00710615" w:rsidRPr="00C068F4">
        <w:rPr>
          <w:iCs/>
          <w:color w:val="000000" w:themeColor="text1"/>
        </w:rPr>
        <w:t>t</w:t>
      </w:r>
      <w:r w:rsidR="003F5BD9" w:rsidRPr="00C068F4">
        <w:rPr>
          <w:iCs/>
          <w:color w:val="000000" w:themeColor="text1"/>
        </w:rPr>
        <w:t xml:space="preserve">he economic analysis does not </w:t>
      </w:r>
      <w:r w:rsidR="0042553A" w:rsidRPr="00C068F4">
        <w:rPr>
          <w:iCs/>
          <w:color w:val="000000" w:themeColor="text1"/>
        </w:rPr>
        <w:t xml:space="preserve">incorporate the impact of treatments for COVID-19. </w:t>
      </w:r>
      <w:r w:rsidR="00026261" w:rsidRPr="00C068F4">
        <w:rPr>
          <w:iCs/>
          <w:color w:val="000000" w:themeColor="text1"/>
        </w:rPr>
        <w:t xml:space="preserve">There </w:t>
      </w:r>
      <w:r w:rsidR="0042553A" w:rsidRPr="00C068F4">
        <w:rPr>
          <w:iCs/>
          <w:color w:val="000000" w:themeColor="text1"/>
        </w:rPr>
        <w:t xml:space="preserve">are both costs and </w:t>
      </w:r>
      <w:r w:rsidR="00393E6B" w:rsidRPr="00C068F4">
        <w:rPr>
          <w:iCs/>
          <w:color w:val="000000" w:themeColor="text1"/>
        </w:rPr>
        <w:t xml:space="preserve">benefits associated with the use of treatments </w:t>
      </w:r>
      <w:r w:rsidR="001B423D" w:rsidRPr="00C068F4">
        <w:rPr>
          <w:iCs/>
          <w:color w:val="000000" w:themeColor="text1"/>
        </w:rPr>
        <w:t xml:space="preserve">for symptomatic COVID-19 </w:t>
      </w:r>
      <w:r w:rsidR="00393E6B" w:rsidRPr="00C068F4">
        <w:rPr>
          <w:iCs/>
          <w:color w:val="000000" w:themeColor="text1"/>
        </w:rPr>
        <w:t>downstream</w:t>
      </w:r>
      <w:r w:rsidR="002347DC" w:rsidRPr="00C068F4">
        <w:rPr>
          <w:iCs/>
          <w:color w:val="000000" w:themeColor="text1"/>
        </w:rPr>
        <w:t>. G</w:t>
      </w:r>
      <w:r w:rsidR="001B423D" w:rsidRPr="00C068F4">
        <w:rPr>
          <w:iCs/>
          <w:color w:val="000000" w:themeColor="text1"/>
        </w:rPr>
        <w:t>iven that antivirals have been deemed</w:t>
      </w:r>
      <w:r w:rsidR="00A94CA3" w:rsidRPr="00C068F4">
        <w:rPr>
          <w:iCs/>
          <w:color w:val="000000" w:themeColor="text1"/>
        </w:rPr>
        <w:t xml:space="preserve"> sufficiently cost-effective for inclusion on the PBS, it is likely that the omission of </w:t>
      </w:r>
      <w:r w:rsidR="006B73F1" w:rsidRPr="00C068F4">
        <w:rPr>
          <w:iCs/>
          <w:color w:val="000000" w:themeColor="text1"/>
        </w:rPr>
        <w:t xml:space="preserve">the </w:t>
      </w:r>
      <w:r w:rsidR="00A94CA3" w:rsidRPr="00C068F4">
        <w:rPr>
          <w:iCs/>
          <w:color w:val="000000" w:themeColor="text1"/>
        </w:rPr>
        <w:t xml:space="preserve">impact of treatments for COVID-19 in the model likely </w:t>
      </w:r>
      <w:r w:rsidR="00E70ED3" w:rsidRPr="00C068F4">
        <w:rPr>
          <w:iCs/>
          <w:color w:val="000000" w:themeColor="text1"/>
        </w:rPr>
        <w:t>biases the</w:t>
      </w:r>
      <w:r w:rsidR="00026261" w:rsidRPr="00C068F4">
        <w:rPr>
          <w:iCs/>
          <w:color w:val="000000" w:themeColor="text1"/>
        </w:rPr>
        <w:t xml:space="preserve"> results of the economic analys</w:t>
      </w:r>
      <w:r w:rsidR="00894568" w:rsidRPr="00C068F4">
        <w:rPr>
          <w:iCs/>
          <w:color w:val="000000" w:themeColor="text1"/>
        </w:rPr>
        <w:t>e</w:t>
      </w:r>
      <w:r w:rsidR="00026261" w:rsidRPr="00C068F4">
        <w:rPr>
          <w:iCs/>
          <w:color w:val="000000" w:themeColor="text1"/>
        </w:rPr>
        <w:t>s</w:t>
      </w:r>
      <w:r w:rsidR="00393E6B" w:rsidRPr="00C068F4">
        <w:rPr>
          <w:iCs/>
          <w:color w:val="000000" w:themeColor="text1"/>
        </w:rPr>
        <w:t xml:space="preserve"> in favour </w:t>
      </w:r>
      <w:r w:rsidR="00E70ED3" w:rsidRPr="00C068F4">
        <w:rPr>
          <w:iCs/>
          <w:color w:val="000000" w:themeColor="text1"/>
        </w:rPr>
        <w:t>of tixagevimab and cilgavimab.</w:t>
      </w:r>
    </w:p>
    <w:p w14:paraId="7F9C27C8" w14:textId="77777777" w:rsidR="00223D5A" w:rsidRPr="00C068F4" w:rsidRDefault="00223D5A" w:rsidP="00223D5A">
      <w:pPr>
        <w:pStyle w:val="2-SectionHeading"/>
      </w:pPr>
      <w:bookmarkStart w:id="22" w:name="_Toc111710309"/>
      <w:bookmarkStart w:id="23" w:name="_Toc22897640"/>
      <w:r w:rsidRPr="00C068F4">
        <w:t>Consideration of the evidence</w:t>
      </w:r>
      <w:bookmarkEnd w:id="22"/>
    </w:p>
    <w:p w14:paraId="636D2CA6" w14:textId="77777777" w:rsidR="007B0C13" w:rsidRPr="00C068F4" w:rsidRDefault="007B0C13" w:rsidP="007B0C13">
      <w:pPr>
        <w:pStyle w:val="4-SubsectionHeading"/>
      </w:pPr>
      <w:bookmarkStart w:id="24" w:name="_Hlk76375935"/>
      <w:bookmarkStart w:id="25" w:name="_Toc111710310"/>
      <w:r w:rsidRPr="00C068F4">
        <w:t>Sponsor hearing</w:t>
      </w:r>
    </w:p>
    <w:p w14:paraId="6E56C73A" w14:textId="40EBA0B6" w:rsidR="007B0C13" w:rsidRPr="00C068F4" w:rsidRDefault="007B0C13" w:rsidP="007B0C13">
      <w:pPr>
        <w:widowControl w:val="0"/>
        <w:numPr>
          <w:ilvl w:val="1"/>
          <w:numId w:val="1"/>
        </w:numPr>
        <w:spacing w:after="120"/>
        <w:rPr>
          <w:rFonts w:asciiTheme="minorHAnsi" w:hAnsiTheme="minorHAnsi"/>
          <w:bCs/>
          <w:snapToGrid w:val="0"/>
        </w:rPr>
      </w:pPr>
      <w:bookmarkStart w:id="26" w:name="_Hlk76382586"/>
      <w:r w:rsidRPr="00C068F4">
        <w:rPr>
          <w:rFonts w:asciiTheme="minorHAnsi" w:hAnsiTheme="minorHAnsi"/>
          <w:bCs/>
          <w:snapToGrid w:val="0"/>
        </w:rPr>
        <w:t>The sponsor requested a hearing for this item.</w:t>
      </w:r>
      <w:r w:rsidR="00287C72">
        <w:rPr>
          <w:rFonts w:asciiTheme="minorHAnsi" w:hAnsiTheme="minorHAnsi"/>
          <w:bCs/>
          <w:snapToGrid w:val="0"/>
        </w:rPr>
        <w:t xml:space="preserve"> </w:t>
      </w:r>
      <w:r w:rsidRPr="00C068F4">
        <w:rPr>
          <w:rFonts w:asciiTheme="minorHAnsi" w:hAnsiTheme="minorHAnsi"/>
          <w:bCs/>
          <w:snapToGrid w:val="0"/>
        </w:rPr>
        <w:t>The clinician</w:t>
      </w:r>
      <w:r w:rsidR="00710615" w:rsidRPr="00C068F4">
        <w:rPr>
          <w:rFonts w:asciiTheme="minorHAnsi" w:hAnsiTheme="minorHAnsi"/>
          <w:bCs/>
          <w:snapToGrid w:val="0"/>
        </w:rPr>
        <w:t xml:space="preserve"> invited by the sponsor</w:t>
      </w:r>
      <w:r w:rsidRPr="00C068F4">
        <w:rPr>
          <w:rFonts w:asciiTheme="minorHAnsi" w:hAnsiTheme="minorHAnsi"/>
          <w:bCs/>
          <w:snapToGrid w:val="0"/>
        </w:rPr>
        <w:t xml:space="preserve"> presented clinical case studies</w:t>
      </w:r>
      <w:r w:rsidR="00710615" w:rsidRPr="00C068F4">
        <w:rPr>
          <w:rFonts w:asciiTheme="minorHAnsi" w:hAnsiTheme="minorHAnsi"/>
          <w:bCs/>
          <w:snapToGrid w:val="0"/>
        </w:rPr>
        <w:t>,</w:t>
      </w:r>
      <w:r w:rsidRPr="00C068F4">
        <w:rPr>
          <w:rFonts w:asciiTheme="minorHAnsi" w:hAnsiTheme="minorHAnsi"/>
          <w:bCs/>
          <w:snapToGrid w:val="0"/>
        </w:rPr>
        <w:t xml:space="preserve"> discussed the natural history of the disease, how the drug would be used in practice and addressed other matters in response to the Committee’s questions.</w:t>
      </w:r>
      <w:r w:rsidR="00710615" w:rsidRPr="00C068F4">
        <w:rPr>
          <w:rFonts w:asciiTheme="minorHAnsi" w:hAnsiTheme="minorHAnsi"/>
          <w:bCs/>
          <w:snapToGrid w:val="0"/>
        </w:rPr>
        <w:t xml:space="preserve"> </w:t>
      </w:r>
      <w:r w:rsidR="00E46BF1">
        <w:rPr>
          <w:rFonts w:asciiTheme="minorHAnsi" w:hAnsiTheme="minorHAnsi"/>
          <w:bCs/>
          <w:snapToGrid w:val="0"/>
        </w:rPr>
        <w:t>The PBAC noted th</w:t>
      </w:r>
      <w:r w:rsidR="00781C31">
        <w:rPr>
          <w:rFonts w:asciiTheme="minorHAnsi" w:hAnsiTheme="minorHAnsi"/>
          <w:bCs/>
          <w:snapToGrid w:val="0"/>
        </w:rPr>
        <w:t xml:space="preserve">e </w:t>
      </w:r>
      <w:r w:rsidR="00CF331D">
        <w:rPr>
          <w:rFonts w:asciiTheme="minorHAnsi" w:hAnsiTheme="minorHAnsi"/>
          <w:bCs/>
          <w:snapToGrid w:val="0"/>
        </w:rPr>
        <w:t>clinician’s</w:t>
      </w:r>
      <w:r w:rsidR="00781C31">
        <w:rPr>
          <w:rFonts w:asciiTheme="minorHAnsi" w:hAnsiTheme="minorHAnsi"/>
          <w:bCs/>
          <w:snapToGrid w:val="0"/>
        </w:rPr>
        <w:t xml:space="preserve"> opinion that </w:t>
      </w:r>
      <w:r w:rsidR="006414D4">
        <w:rPr>
          <w:rFonts w:asciiTheme="minorHAnsi" w:hAnsiTheme="minorHAnsi"/>
          <w:bCs/>
          <w:snapToGrid w:val="0"/>
        </w:rPr>
        <w:t>access to</w:t>
      </w:r>
      <w:r w:rsidR="006414D4" w:rsidRPr="006414D4">
        <w:t xml:space="preserve"> </w:t>
      </w:r>
      <w:r w:rsidR="006414D4" w:rsidRPr="006414D4">
        <w:rPr>
          <w:rFonts w:asciiTheme="minorHAnsi" w:hAnsiTheme="minorHAnsi"/>
          <w:bCs/>
          <w:snapToGrid w:val="0"/>
        </w:rPr>
        <w:t>tixagevimab and cilgavimab</w:t>
      </w:r>
      <w:r w:rsidR="006414D4">
        <w:rPr>
          <w:rFonts w:asciiTheme="minorHAnsi" w:hAnsiTheme="minorHAnsi"/>
          <w:bCs/>
          <w:snapToGrid w:val="0"/>
        </w:rPr>
        <w:t xml:space="preserve"> </w:t>
      </w:r>
      <w:r w:rsidR="00722C2E">
        <w:rPr>
          <w:rFonts w:asciiTheme="minorHAnsi" w:hAnsiTheme="minorHAnsi"/>
          <w:bCs/>
          <w:snapToGrid w:val="0"/>
        </w:rPr>
        <w:t>is currently variable, and that</w:t>
      </w:r>
      <w:r w:rsidR="006414D4">
        <w:rPr>
          <w:rFonts w:asciiTheme="minorHAnsi" w:hAnsiTheme="minorHAnsi"/>
          <w:bCs/>
          <w:snapToGrid w:val="0"/>
        </w:rPr>
        <w:t xml:space="preserve"> </w:t>
      </w:r>
      <w:r w:rsidR="00C54072">
        <w:rPr>
          <w:rFonts w:asciiTheme="minorHAnsi" w:hAnsiTheme="minorHAnsi"/>
          <w:bCs/>
          <w:snapToGrid w:val="0"/>
        </w:rPr>
        <w:t>individuals</w:t>
      </w:r>
      <w:r w:rsidR="00781C31">
        <w:rPr>
          <w:rFonts w:asciiTheme="minorHAnsi" w:hAnsiTheme="minorHAnsi"/>
          <w:bCs/>
          <w:snapToGrid w:val="0"/>
        </w:rPr>
        <w:t xml:space="preserve"> </w:t>
      </w:r>
      <w:r w:rsidR="00756546">
        <w:rPr>
          <w:rFonts w:asciiTheme="minorHAnsi" w:hAnsiTheme="minorHAnsi"/>
          <w:bCs/>
          <w:snapToGrid w:val="0"/>
        </w:rPr>
        <w:t xml:space="preserve">receiving B cell depleting therapies are at high risk of severe infection, are least likely to respond </w:t>
      </w:r>
      <w:r w:rsidR="007708A2">
        <w:rPr>
          <w:rFonts w:asciiTheme="minorHAnsi" w:hAnsiTheme="minorHAnsi"/>
          <w:bCs/>
          <w:snapToGrid w:val="0"/>
        </w:rPr>
        <w:t xml:space="preserve">adequately </w:t>
      </w:r>
      <w:r w:rsidR="00756546">
        <w:rPr>
          <w:rFonts w:asciiTheme="minorHAnsi" w:hAnsiTheme="minorHAnsi"/>
          <w:bCs/>
          <w:snapToGrid w:val="0"/>
        </w:rPr>
        <w:t>to active vaccination</w:t>
      </w:r>
      <w:r w:rsidR="007708A2">
        <w:rPr>
          <w:rFonts w:asciiTheme="minorHAnsi" w:hAnsiTheme="minorHAnsi"/>
          <w:bCs/>
          <w:snapToGrid w:val="0"/>
        </w:rPr>
        <w:t xml:space="preserve">, and may therefore be </w:t>
      </w:r>
      <w:r w:rsidR="005718D5">
        <w:rPr>
          <w:rFonts w:asciiTheme="minorHAnsi" w:hAnsiTheme="minorHAnsi"/>
          <w:bCs/>
          <w:snapToGrid w:val="0"/>
        </w:rPr>
        <w:t xml:space="preserve">most likely to benefit from </w:t>
      </w:r>
      <w:r w:rsidR="005718D5" w:rsidRPr="005718D5">
        <w:rPr>
          <w:rFonts w:asciiTheme="minorHAnsi" w:hAnsiTheme="minorHAnsi"/>
          <w:bCs/>
          <w:snapToGrid w:val="0"/>
        </w:rPr>
        <w:t>tixagevimab and cilgavimab</w:t>
      </w:r>
      <w:r w:rsidR="005718D5">
        <w:rPr>
          <w:rFonts w:asciiTheme="minorHAnsi" w:hAnsiTheme="minorHAnsi"/>
          <w:bCs/>
          <w:snapToGrid w:val="0"/>
        </w:rPr>
        <w:t xml:space="preserve"> as </w:t>
      </w:r>
      <w:r w:rsidR="00205B4C">
        <w:rPr>
          <w:rFonts w:asciiTheme="minorHAnsi" w:hAnsiTheme="minorHAnsi"/>
          <w:bCs/>
          <w:snapToGrid w:val="0"/>
        </w:rPr>
        <w:t>pre-exposure prophylaxis.</w:t>
      </w:r>
    </w:p>
    <w:bookmarkEnd w:id="24"/>
    <w:bookmarkEnd w:id="26"/>
    <w:p w14:paraId="609C0765" w14:textId="02180BB1" w:rsidR="00B60939" w:rsidRPr="00C068F4" w:rsidRDefault="00B60939" w:rsidP="002E4F02">
      <w:pPr>
        <w:pStyle w:val="4-SubsectionHeading"/>
      </w:pPr>
      <w:r w:rsidRPr="00C068F4">
        <w:t>Clinical trials</w:t>
      </w:r>
      <w:bookmarkEnd w:id="23"/>
      <w:bookmarkEnd w:id="25"/>
    </w:p>
    <w:p w14:paraId="17DE34DC" w14:textId="1D22E3F2" w:rsidR="007F1017" w:rsidRPr="00C068F4" w:rsidRDefault="00A73134" w:rsidP="002E4F02">
      <w:pPr>
        <w:pStyle w:val="3-BodyText"/>
        <w:rPr>
          <w:color w:val="000000" w:themeColor="text1"/>
        </w:rPr>
      </w:pPr>
      <w:r w:rsidRPr="00C068F4">
        <w:rPr>
          <w:snapToGrid/>
        </w:rPr>
        <w:t xml:space="preserve">The </w:t>
      </w:r>
      <w:r w:rsidR="00516A3A" w:rsidRPr="00C068F4">
        <w:rPr>
          <w:snapToGrid/>
        </w:rPr>
        <w:t xml:space="preserve">primary source of evidence presented in the </w:t>
      </w:r>
      <w:r w:rsidRPr="00C068F4">
        <w:rPr>
          <w:snapToGrid/>
        </w:rPr>
        <w:t xml:space="preserve">submission </w:t>
      </w:r>
      <w:r w:rsidR="00516A3A" w:rsidRPr="00C068F4">
        <w:rPr>
          <w:snapToGrid/>
        </w:rPr>
        <w:t>is</w:t>
      </w:r>
      <w:r w:rsidRPr="00C068F4">
        <w:rPr>
          <w:snapToGrid/>
        </w:rPr>
        <w:t xml:space="preserve"> </w:t>
      </w:r>
      <w:r w:rsidR="00516A3A" w:rsidRPr="00C068F4">
        <w:rPr>
          <w:snapToGrid/>
        </w:rPr>
        <w:t>a</w:t>
      </w:r>
      <w:r w:rsidRPr="00C068F4">
        <w:rPr>
          <w:snapToGrid/>
        </w:rPr>
        <w:t xml:space="preserve"> head-to-head trial comparing </w:t>
      </w:r>
      <w:r w:rsidR="00FE4E5E" w:rsidRPr="00C068F4">
        <w:rPr>
          <w:snapToGrid/>
          <w:color w:val="000000" w:themeColor="text1"/>
        </w:rPr>
        <w:t xml:space="preserve">tixagevimab and cilgavimab to placebo </w:t>
      </w:r>
      <w:r w:rsidR="001F3643" w:rsidRPr="00C068F4">
        <w:rPr>
          <w:snapToGrid/>
          <w:color w:val="000000" w:themeColor="text1"/>
        </w:rPr>
        <w:t>(PROVENT; N=</w:t>
      </w:r>
      <w:r w:rsidR="00B94FC0" w:rsidRPr="00C068F4">
        <w:rPr>
          <w:snapToGrid/>
          <w:color w:val="000000" w:themeColor="text1"/>
        </w:rPr>
        <w:t xml:space="preserve"> 5,2</w:t>
      </w:r>
      <w:r w:rsidR="00D65B94" w:rsidRPr="00C068F4">
        <w:rPr>
          <w:snapToGrid/>
          <w:color w:val="000000" w:themeColor="text1"/>
        </w:rPr>
        <w:t>54)</w:t>
      </w:r>
      <w:r w:rsidR="00A51AF2" w:rsidRPr="00C068F4">
        <w:rPr>
          <w:color w:val="000000" w:themeColor="text1"/>
        </w:rPr>
        <w:t>.</w:t>
      </w:r>
      <w:r w:rsidR="00B76AF3" w:rsidRPr="00C068F4">
        <w:rPr>
          <w:color w:val="000000" w:themeColor="text1"/>
        </w:rPr>
        <w:t xml:space="preserve"> </w:t>
      </w:r>
      <w:r w:rsidR="00B76AF3" w:rsidRPr="00C068F4">
        <w:rPr>
          <w:snapToGrid/>
          <w:color w:val="000000" w:themeColor="text1"/>
        </w:rPr>
        <w:t>This trial assessed efficacy and safety of a single dose of tixagevimab 150 mg and cilgavimab 150 mg. A substudy examined repeat administration of the same dose after approximately 12 months.</w:t>
      </w:r>
    </w:p>
    <w:p w14:paraId="2B59ABAC" w14:textId="339F854F" w:rsidR="00E0445F" w:rsidRPr="00C068F4" w:rsidRDefault="00A73134" w:rsidP="00E0445F">
      <w:pPr>
        <w:pStyle w:val="3-BodyText"/>
        <w:rPr>
          <w:rStyle w:val="CommentReference"/>
          <w:b w:val="0"/>
          <w:szCs w:val="24"/>
        </w:rPr>
      </w:pPr>
      <w:r w:rsidRPr="00C068F4">
        <w:rPr>
          <w:snapToGrid/>
        </w:rPr>
        <w:t>Details of the</w:t>
      </w:r>
      <w:r w:rsidR="00D65B94" w:rsidRPr="00C068F4">
        <w:rPr>
          <w:snapToGrid/>
        </w:rPr>
        <w:t xml:space="preserve"> PROVENT trial</w:t>
      </w:r>
      <w:r w:rsidRPr="00C068F4">
        <w:rPr>
          <w:snapToGrid/>
        </w:rPr>
        <w:t xml:space="preserve"> presented in the submission are provided in </w:t>
      </w:r>
      <w:r w:rsidR="00822FA7" w:rsidRPr="00C068F4">
        <w:rPr>
          <w:snapToGrid/>
        </w:rPr>
        <w:fldChar w:fldCharType="begin" w:fldLock="1"/>
      </w:r>
      <w:r w:rsidR="00822FA7" w:rsidRPr="00C068F4">
        <w:rPr>
          <w:snapToGrid/>
        </w:rPr>
        <w:instrText xml:space="preserve"> REF _Ref109858411 \h </w:instrText>
      </w:r>
      <w:r w:rsidR="00822FA7" w:rsidRPr="00C068F4">
        <w:rPr>
          <w:snapToGrid/>
        </w:rPr>
      </w:r>
      <w:r w:rsidR="00822FA7" w:rsidRPr="00C068F4">
        <w:rPr>
          <w:snapToGrid/>
        </w:rPr>
        <w:fldChar w:fldCharType="separate"/>
      </w:r>
      <w:r w:rsidR="00AB751C" w:rsidRPr="00C068F4">
        <w:t xml:space="preserve">Table </w:t>
      </w:r>
      <w:r w:rsidR="00AB751C">
        <w:rPr>
          <w:noProof/>
        </w:rPr>
        <w:t>1</w:t>
      </w:r>
      <w:r w:rsidR="00822FA7" w:rsidRPr="00C068F4">
        <w:rPr>
          <w:snapToGrid/>
        </w:rPr>
        <w:fldChar w:fldCharType="end"/>
      </w:r>
      <w:r w:rsidR="00822FA7" w:rsidRPr="00C068F4">
        <w:rPr>
          <w:snapToGrid/>
        </w:rPr>
        <w:t>.</w:t>
      </w:r>
    </w:p>
    <w:p w14:paraId="7DE3A286" w14:textId="69B3CFEB" w:rsidR="008E0D3C" w:rsidRPr="00C068F4" w:rsidRDefault="00987A91" w:rsidP="0070659A">
      <w:pPr>
        <w:pStyle w:val="TableFigureHeading"/>
        <w:rPr>
          <w:rStyle w:val="CommentReference"/>
          <w:b/>
          <w:szCs w:val="24"/>
        </w:rPr>
      </w:pPr>
      <w:bookmarkStart w:id="27" w:name="_Ref109858411"/>
      <w:r w:rsidRPr="00C068F4">
        <w:lastRenderedPageBreak/>
        <w:t xml:space="preserve">Table </w:t>
      </w:r>
      <w:fldSimple w:instr=" SEQ Table \* ARABIC " w:fldLock="1">
        <w:r w:rsidR="00DB55F2">
          <w:rPr>
            <w:noProof/>
          </w:rPr>
          <w:t>1</w:t>
        </w:r>
      </w:fldSimple>
      <w:bookmarkEnd w:id="27"/>
      <w:r w:rsidRPr="00C068F4">
        <w:t>:</w:t>
      </w:r>
      <w:r w:rsidRPr="00C068F4">
        <w:rPr>
          <w:rStyle w:val="CommentReference"/>
          <w:b/>
          <w:szCs w:val="24"/>
        </w:rPr>
        <w:t xml:space="preserve"> PROVENT trial </w:t>
      </w:r>
      <w:r w:rsidR="008E0D3C" w:rsidRPr="00C068F4">
        <w:rPr>
          <w:rStyle w:val="CommentReference"/>
          <w:b/>
          <w:szCs w:val="24"/>
        </w:rPr>
        <w:t>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 PROVENT trial and associated reports presented in the submission"/>
      </w:tblPr>
      <w:tblGrid>
        <w:gridCol w:w="1434"/>
        <w:gridCol w:w="5055"/>
        <w:gridCol w:w="2528"/>
      </w:tblGrid>
      <w:tr w:rsidR="008E0D3C" w:rsidRPr="00C068F4" w14:paraId="6ACD35C4" w14:textId="77777777" w:rsidTr="00CB7DE1">
        <w:trPr>
          <w:cantSplit/>
          <w:tblHeader/>
        </w:trPr>
        <w:tc>
          <w:tcPr>
            <w:tcW w:w="795" w:type="pct"/>
            <w:tcBorders>
              <w:bottom w:val="single" w:sz="4" w:space="0" w:color="auto"/>
            </w:tcBorders>
            <w:vAlign w:val="center"/>
          </w:tcPr>
          <w:p w14:paraId="20DEEB23" w14:textId="77777777" w:rsidR="008E0D3C" w:rsidRPr="00C068F4" w:rsidRDefault="008E0D3C" w:rsidP="00EC5836">
            <w:pPr>
              <w:pStyle w:val="In-tableHeading"/>
              <w:jc w:val="center"/>
              <w:rPr>
                <w:lang w:val="en-AU"/>
              </w:rPr>
            </w:pPr>
            <w:r w:rsidRPr="00C068F4">
              <w:rPr>
                <w:lang w:val="en-AU"/>
              </w:rPr>
              <w:t>Trial ID</w:t>
            </w:r>
          </w:p>
        </w:tc>
        <w:tc>
          <w:tcPr>
            <w:tcW w:w="2803" w:type="pct"/>
            <w:tcBorders>
              <w:bottom w:val="single" w:sz="4" w:space="0" w:color="auto"/>
            </w:tcBorders>
            <w:vAlign w:val="center"/>
          </w:tcPr>
          <w:p w14:paraId="22EF6C51" w14:textId="77777777" w:rsidR="008E0D3C" w:rsidRPr="00C068F4" w:rsidRDefault="008E0D3C" w:rsidP="002E4F02">
            <w:pPr>
              <w:pStyle w:val="In-tableHeading"/>
              <w:rPr>
                <w:lang w:val="en-AU"/>
              </w:rPr>
            </w:pPr>
            <w:r w:rsidRPr="00C068F4">
              <w:rPr>
                <w:lang w:val="en-AU"/>
              </w:rPr>
              <w:t>Protocol title/ Publication title</w:t>
            </w:r>
          </w:p>
        </w:tc>
        <w:tc>
          <w:tcPr>
            <w:tcW w:w="1402" w:type="pct"/>
            <w:tcBorders>
              <w:bottom w:val="single" w:sz="4" w:space="0" w:color="auto"/>
            </w:tcBorders>
            <w:vAlign w:val="center"/>
          </w:tcPr>
          <w:p w14:paraId="561B27A8" w14:textId="77777777" w:rsidR="008E0D3C" w:rsidRPr="00C068F4" w:rsidRDefault="008E0D3C" w:rsidP="002E4F02">
            <w:pPr>
              <w:pStyle w:val="In-tableHeading"/>
              <w:rPr>
                <w:lang w:val="en-AU"/>
              </w:rPr>
            </w:pPr>
            <w:r w:rsidRPr="00C068F4">
              <w:rPr>
                <w:lang w:val="en-AU"/>
              </w:rPr>
              <w:t>Publication citation</w:t>
            </w:r>
          </w:p>
        </w:tc>
      </w:tr>
      <w:tr w:rsidR="002E4F02" w:rsidRPr="00C068F4" w14:paraId="298351BA" w14:textId="77777777" w:rsidTr="00286B59">
        <w:trPr>
          <w:cantSplit/>
        </w:trPr>
        <w:tc>
          <w:tcPr>
            <w:tcW w:w="795" w:type="pct"/>
            <w:vMerge w:val="restart"/>
            <w:vAlign w:val="center"/>
          </w:tcPr>
          <w:p w14:paraId="7A71CA80" w14:textId="1976D273" w:rsidR="002E4F02" w:rsidRPr="00C068F4" w:rsidRDefault="00E0445F" w:rsidP="00EC5836">
            <w:pPr>
              <w:pStyle w:val="TableText0"/>
              <w:jc w:val="center"/>
            </w:pPr>
            <w:r w:rsidRPr="00C068F4">
              <w:t>PROVENT</w:t>
            </w:r>
          </w:p>
          <w:p w14:paraId="5D9482F5" w14:textId="4E048190" w:rsidR="00DF6341" w:rsidRPr="00C068F4" w:rsidRDefault="00DF4CA9" w:rsidP="00EC5836">
            <w:pPr>
              <w:pStyle w:val="TableText0"/>
              <w:jc w:val="center"/>
              <w:rPr>
                <w:szCs w:val="20"/>
              </w:rPr>
            </w:pPr>
            <w:r w:rsidRPr="00C068F4">
              <w:t xml:space="preserve">NCT04625725. </w:t>
            </w:r>
          </w:p>
        </w:tc>
        <w:tc>
          <w:tcPr>
            <w:tcW w:w="2803" w:type="pct"/>
            <w:tcBorders>
              <w:bottom w:val="nil"/>
            </w:tcBorders>
            <w:vAlign w:val="center"/>
          </w:tcPr>
          <w:p w14:paraId="2570DA6E" w14:textId="0DF6D96D" w:rsidR="002E4F02" w:rsidRPr="00C068F4" w:rsidRDefault="007E6BDF" w:rsidP="00114F8B">
            <w:pPr>
              <w:pStyle w:val="TableText0"/>
              <w:spacing w:after="120"/>
            </w:pPr>
            <w:r w:rsidRPr="00C068F4">
              <w:t>Clinical Study Report (CSR)</w:t>
            </w:r>
            <w:r w:rsidR="00CF10E2" w:rsidRPr="00C068F4">
              <w:t>. A Phase III Randomized, Double-blind, Placebo-controlled, Multi-center Study in Adults to Determine the Safety and Efficacy of AZD7442, a Combination Product of Two Monoclonal Antibodies (AZD8895 and AZD1061), for Pre-exposure Prophylaxis of COVID-19</w:t>
            </w:r>
            <w:r w:rsidR="009B1AF3" w:rsidRPr="00C068F4">
              <w:t>. Primary Report.</w:t>
            </w:r>
          </w:p>
        </w:tc>
        <w:tc>
          <w:tcPr>
            <w:tcW w:w="1402" w:type="pct"/>
            <w:tcBorders>
              <w:bottom w:val="nil"/>
            </w:tcBorders>
            <w:vAlign w:val="center"/>
          </w:tcPr>
          <w:p w14:paraId="7578773D" w14:textId="5FE2CF88" w:rsidR="002E4F02" w:rsidRPr="00C068F4" w:rsidRDefault="009B1AF3" w:rsidP="00EC5836">
            <w:pPr>
              <w:pStyle w:val="TableText0"/>
              <w:rPr>
                <w:rFonts w:ascii="Times" w:hAnsi="Times"/>
              </w:rPr>
            </w:pPr>
            <w:r w:rsidRPr="00C068F4">
              <w:t>12 Jan 2022</w:t>
            </w:r>
          </w:p>
        </w:tc>
      </w:tr>
      <w:tr w:rsidR="00D419AD" w:rsidRPr="00C068F4" w14:paraId="76B66F7D" w14:textId="77777777" w:rsidTr="00286B59">
        <w:trPr>
          <w:cantSplit/>
        </w:trPr>
        <w:tc>
          <w:tcPr>
            <w:tcW w:w="795" w:type="pct"/>
            <w:vMerge/>
            <w:tcBorders>
              <w:bottom w:val="single" w:sz="4" w:space="0" w:color="auto"/>
            </w:tcBorders>
            <w:vAlign w:val="center"/>
          </w:tcPr>
          <w:p w14:paraId="07361B17" w14:textId="77777777" w:rsidR="00D419AD" w:rsidRPr="00C068F4" w:rsidRDefault="00D419AD" w:rsidP="00EC5836">
            <w:pPr>
              <w:pStyle w:val="TableText0"/>
              <w:jc w:val="center"/>
            </w:pPr>
          </w:p>
        </w:tc>
        <w:tc>
          <w:tcPr>
            <w:tcW w:w="2803" w:type="pct"/>
            <w:tcBorders>
              <w:top w:val="nil"/>
              <w:bottom w:val="nil"/>
            </w:tcBorders>
            <w:vAlign w:val="center"/>
          </w:tcPr>
          <w:p w14:paraId="41B9FB6D" w14:textId="046482DC" w:rsidR="00D419AD" w:rsidRPr="00C068F4" w:rsidRDefault="00A84A45" w:rsidP="00634DE8">
            <w:pPr>
              <w:pStyle w:val="TableText0"/>
              <w:spacing w:after="120"/>
            </w:pPr>
            <w:r w:rsidRPr="00C068F4">
              <w:t xml:space="preserve">PROVENT High-level Data Summary. </w:t>
            </w:r>
            <w:r w:rsidR="00ED1D4F" w:rsidRPr="00C068F4">
              <w:t>EVUSHELD (tixagevimab and cilgavimab; AZD7442), for the Prophylaxis of COVID-19 in Adults A Phase III Randomized, Double-blind, Placebo-controlled, Multi-center Study in Adults to Determine the Safety and Efficacy of AZD7442, a Combination Product of Two Monoclonal Antibodies (AZD8895 and AZD1061), for Pre-exposure Prophylaxis of COVID-19</w:t>
            </w:r>
            <w:r w:rsidR="00994986" w:rsidRPr="00C068F4">
              <w:t xml:space="preserve">. </w:t>
            </w:r>
            <w:r w:rsidR="00ED1D4F" w:rsidRPr="00C068F4">
              <w:t>High-level Data Summary, Data Cut 13 April 2022</w:t>
            </w:r>
          </w:p>
        </w:tc>
        <w:tc>
          <w:tcPr>
            <w:tcW w:w="1402" w:type="pct"/>
            <w:tcBorders>
              <w:top w:val="nil"/>
              <w:bottom w:val="nil"/>
            </w:tcBorders>
            <w:vAlign w:val="center"/>
          </w:tcPr>
          <w:p w14:paraId="16EF55AC" w14:textId="4F6AEEAB" w:rsidR="00D419AD" w:rsidRPr="00C068F4" w:rsidRDefault="00994986" w:rsidP="00EC5836">
            <w:pPr>
              <w:pStyle w:val="TableText0"/>
            </w:pPr>
            <w:r w:rsidRPr="00C068F4">
              <w:t>24 Jun 2022</w:t>
            </w:r>
          </w:p>
        </w:tc>
      </w:tr>
      <w:tr w:rsidR="002E4F02" w:rsidRPr="00C068F4" w14:paraId="28A72EC8" w14:textId="77777777" w:rsidTr="00CB7DE1">
        <w:trPr>
          <w:cantSplit/>
        </w:trPr>
        <w:tc>
          <w:tcPr>
            <w:tcW w:w="795" w:type="pct"/>
            <w:vMerge/>
            <w:tcBorders>
              <w:bottom w:val="single" w:sz="4" w:space="0" w:color="auto"/>
            </w:tcBorders>
            <w:vAlign w:val="center"/>
          </w:tcPr>
          <w:p w14:paraId="4229B05F" w14:textId="77777777" w:rsidR="002E4F02" w:rsidRPr="00C068F4" w:rsidRDefault="002E4F02" w:rsidP="00EC5836">
            <w:pPr>
              <w:pStyle w:val="TableText0"/>
              <w:jc w:val="center"/>
            </w:pPr>
          </w:p>
        </w:tc>
        <w:tc>
          <w:tcPr>
            <w:tcW w:w="2803" w:type="pct"/>
            <w:tcBorders>
              <w:top w:val="nil"/>
              <w:bottom w:val="single" w:sz="4" w:space="0" w:color="auto"/>
            </w:tcBorders>
            <w:vAlign w:val="center"/>
          </w:tcPr>
          <w:p w14:paraId="545FF92A" w14:textId="399B0EC0" w:rsidR="002E4F02" w:rsidRPr="00C068F4" w:rsidRDefault="00E6295E" w:rsidP="00EC5836">
            <w:pPr>
              <w:pStyle w:val="TableText0"/>
            </w:pPr>
            <w:r w:rsidRPr="00C068F4">
              <w:t>Levin, M. J., Ustianowski, A., et al. (2022). Intramuscular AZD7442 (Tixagevimab–Cilgavimab) for Prevention of Covid-19. https://doi.org/10.1056/NEJMoa2116620</w:t>
            </w:r>
          </w:p>
        </w:tc>
        <w:tc>
          <w:tcPr>
            <w:tcW w:w="1402" w:type="pct"/>
            <w:tcBorders>
              <w:top w:val="nil"/>
              <w:bottom w:val="single" w:sz="4" w:space="0" w:color="auto"/>
            </w:tcBorders>
            <w:vAlign w:val="center"/>
          </w:tcPr>
          <w:p w14:paraId="00E69322" w14:textId="49277F1C" w:rsidR="002E4F02" w:rsidRPr="00C068F4" w:rsidRDefault="005A289D" w:rsidP="00EC5836">
            <w:pPr>
              <w:pStyle w:val="TableText0"/>
              <w:rPr>
                <w:i/>
              </w:rPr>
            </w:pPr>
            <w:r w:rsidRPr="00C068F4">
              <w:rPr>
                <w:i/>
                <w:iCs/>
              </w:rPr>
              <w:t xml:space="preserve">New England Journal of Medicine, </w:t>
            </w:r>
            <w:r w:rsidRPr="00C068F4">
              <w:t>386(23), 2188–2200.</w:t>
            </w:r>
          </w:p>
        </w:tc>
      </w:tr>
    </w:tbl>
    <w:p w14:paraId="3B83385B" w14:textId="58EAC701" w:rsidR="00EF03BF" w:rsidRPr="00C068F4" w:rsidRDefault="008E0D3C" w:rsidP="00610655">
      <w:pPr>
        <w:pStyle w:val="FooterTableFigure"/>
      </w:pPr>
      <w:r w:rsidRPr="00C068F4">
        <w:t>Source:</w:t>
      </w:r>
      <w:r w:rsidR="00114F8B" w:rsidRPr="00C068F4">
        <w:t xml:space="preserve"> </w:t>
      </w:r>
      <w:r w:rsidR="00262ECF" w:rsidRPr="00C068F4">
        <w:t xml:space="preserve">Section 3 </w:t>
      </w:r>
      <w:r w:rsidRPr="00C068F4">
        <w:t>of the submission</w:t>
      </w:r>
    </w:p>
    <w:p w14:paraId="708A8AC8" w14:textId="77777777" w:rsidR="00F96762" w:rsidRPr="00F96762" w:rsidRDefault="008F120A" w:rsidP="00F96762">
      <w:pPr>
        <w:pStyle w:val="3-BodyText"/>
        <w:rPr>
          <w:rFonts w:ascii="Arial Narrow" w:eastAsiaTheme="majorEastAsia" w:hAnsi="Arial Narrow" w:cstheme="majorBidi"/>
          <w:sz w:val="20"/>
        </w:rPr>
      </w:pPr>
      <w:r w:rsidRPr="00C068F4">
        <w:t xml:space="preserve">The key features of the </w:t>
      </w:r>
      <w:r w:rsidR="00E54DC8" w:rsidRPr="00C068F4">
        <w:t xml:space="preserve">PROVENT trial </w:t>
      </w:r>
      <w:r w:rsidRPr="00C068F4">
        <w:t>are summarised in</w:t>
      </w:r>
      <w:r w:rsidR="00F96762">
        <w:t xml:space="preserve"> Table 2.</w:t>
      </w:r>
      <w:bookmarkStart w:id="28" w:name="_Ref104804098"/>
    </w:p>
    <w:p w14:paraId="355E2F15" w14:textId="388E5029" w:rsidR="007F1017" w:rsidRPr="0070659A" w:rsidRDefault="00696EF9" w:rsidP="0070659A">
      <w:pPr>
        <w:pStyle w:val="TableFigureHeading"/>
        <w:rPr>
          <w:rStyle w:val="CommentReference"/>
          <w:b/>
          <w:szCs w:val="24"/>
        </w:rPr>
      </w:pPr>
      <w:r w:rsidRPr="0070659A">
        <w:rPr>
          <w:rStyle w:val="CommentReference"/>
          <w:b/>
          <w:szCs w:val="24"/>
        </w:rPr>
        <w:t xml:space="preserve">Table </w:t>
      </w:r>
      <w:r w:rsidRPr="0070659A">
        <w:rPr>
          <w:rStyle w:val="CommentReference"/>
          <w:b/>
          <w:szCs w:val="24"/>
        </w:rPr>
        <w:fldChar w:fldCharType="begin" w:fldLock="1"/>
      </w:r>
      <w:r w:rsidRPr="0070659A">
        <w:rPr>
          <w:rStyle w:val="CommentReference"/>
          <w:b/>
          <w:szCs w:val="24"/>
        </w:rPr>
        <w:instrText xml:space="preserve"> SEQ Table \* ARABIC </w:instrText>
      </w:r>
      <w:r w:rsidRPr="0070659A">
        <w:rPr>
          <w:rStyle w:val="CommentReference"/>
          <w:b/>
          <w:szCs w:val="24"/>
        </w:rPr>
        <w:fldChar w:fldCharType="separate"/>
      </w:r>
      <w:r w:rsidR="00DB55F2">
        <w:rPr>
          <w:rStyle w:val="CommentReference"/>
          <w:b/>
          <w:noProof/>
          <w:szCs w:val="24"/>
        </w:rPr>
        <w:t>2</w:t>
      </w:r>
      <w:r w:rsidRPr="0070659A">
        <w:rPr>
          <w:rStyle w:val="CommentReference"/>
          <w:b/>
          <w:szCs w:val="24"/>
        </w:rPr>
        <w:fldChar w:fldCharType="end"/>
      </w:r>
      <w:bookmarkEnd w:id="28"/>
      <w:r w:rsidR="00D6076E" w:rsidRPr="0070659A">
        <w:rPr>
          <w:rStyle w:val="CommentReference"/>
          <w:b/>
          <w:szCs w:val="24"/>
        </w:rPr>
        <w:t xml:space="preserve">: </w:t>
      </w:r>
      <w:r w:rsidR="007F1017" w:rsidRPr="0070659A">
        <w:rPr>
          <w:rStyle w:val="CommentReference"/>
          <w:b/>
          <w:szCs w:val="24"/>
        </w:rPr>
        <w:t>Key features of the included evidence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Key features of the included evidence"/>
      </w:tblPr>
      <w:tblGrid>
        <w:gridCol w:w="849"/>
        <w:gridCol w:w="467"/>
        <w:gridCol w:w="1514"/>
        <w:gridCol w:w="567"/>
        <w:gridCol w:w="3064"/>
        <w:gridCol w:w="1544"/>
        <w:gridCol w:w="1012"/>
      </w:tblGrid>
      <w:tr w:rsidR="001A688E" w:rsidRPr="00C068F4" w14:paraId="53DD7CC6" w14:textId="77777777" w:rsidTr="005933DD">
        <w:trPr>
          <w:cantSplit/>
          <w:tblHeader/>
        </w:trPr>
        <w:tc>
          <w:tcPr>
            <w:tcW w:w="0" w:type="auto"/>
            <w:shd w:val="clear" w:color="auto" w:fill="auto"/>
            <w:vAlign w:val="center"/>
          </w:tcPr>
          <w:p w14:paraId="794116BC" w14:textId="77777777" w:rsidR="007F1017" w:rsidRPr="00C068F4" w:rsidRDefault="007F1017" w:rsidP="001E34DF">
            <w:pPr>
              <w:pStyle w:val="In-tableHeading"/>
              <w:rPr>
                <w:lang w:val="en-AU"/>
              </w:rPr>
            </w:pPr>
            <w:r w:rsidRPr="00C068F4">
              <w:rPr>
                <w:lang w:val="en-AU"/>
              </w:rPr>
              <w:t>Trial</w:t>
            </w:r>
          </w:p>
        </w:tc>
        <w:tc>
          <w:tcPr>
            <w:tcW w:w="0" w:type="auto"/>
            <w:shd w:val="clear" w:color="auto" w:fill="auto"/>
            <w:vAlign w:val="center"/>
          </w:tcPr>
          <w:p w14:paraId="51122FE5" w14:textId="77777777" w:rsidR="007F1017" w:rsidRPr="00C068F4" w:rsidRDefault="007F1017" w:rsidP="00EC5836">
            <w:pPr>
              <w:pStyle w:val="In-tableHeading"/>
              <w:jc w:val="center"/>
              <w:rPr>
                <w:lang w:val="en-AU"/>
              </w:rPr>
            </w:pPr>
            <w:r w:rsidRPr="00C068F4">
              <w:rPr>
                <w:lang w:val="en-AU"/>
              </w:rPr>
              <w:t>N</w:t>
            </w:r>
          </w:p>
        </w:tc>
        <w:tc>
          <w:tcPr>
            <w:tcW w:w="1514" w:type="dxa"/>
            <w:shd w:val="clear" w:color="auto" w:fill="auto"/>
            <w:vAlign w:val="center"/>
          </w:tcPr>
          <w:p w14:paraId="41C438EF" w14:textId="77777777" w:rsidR="007F1017" w:rsidRPr="00C068F4" w:rsidRDefault="007F1017" w:rsidP="00EC5836">
            <w:pPr>
              <w:pStyle w:val="In-tableHeading"/>
              <w:jc w:val="center"/>
              <w:rPr>
                <w:lang w:val="en-AU"/>
              </w:rPr>
            </w:pPr>
            <w:r w:rsidRPr="00C068F4">
              <w:rPr>
                <w:lang w:val="en-AU"/>
              </w:rPr>
              <w:t>Design/ duration</w:t>
            </w:r>
          </w:p>
        </w:tc>
        <w:tc>
          <w:tcPr>
            <w:tcW w:w="567" w:type="dxa"/>
            <w:shd w:val="clear" w:color="auto" w:fill="auto"/>
            <w:vAlign w:val="center"/>
          </w:tcPr>
          <w:p w14:paraId="1FC91360" w14:textId="77777777" w:rsidR="007F1017" w:rsidRPr="00C068F4" w:rsidRDefault="007F1017" w:rsidP="00EC5836">
            <w:pPr>
              <w:pStyle w:val="In-tableHeading"/>
              <w:jc w:val="center"/>
              <w:rPr>
                <w:lang w:val="en-AU"/>
              </w:rPr>
            </w:pPr>
            <w:r w:rsidRPr="00C068F4">
              <w:rPr>
                <w:lang w:val="en-AU"/>
              </w:rPr>
              <w:t>Risk of bias</w:t>
            </w:r>
          </w:p>
        </w:tc>
        <w:tc>
          <w:tcPr>
            <w:tcW w:w="3064" w:type="dxa"/>
            <w:shd w:val="clear" w:color="auto" w:fill="auto"/>
            <w:vAlign w:val="center"/>
          </w:tcPr>
          <w:p w14:paraId="7FF90896" w14:textId="77777777" w:rsidR="007F1017" w:rsidRPr="00C068F4" w:rsidRDefault="007F1017" w:rsidP="00EC5836">
            <w:pPr>
              <w:pStyle w:val="In-tableHeading"/>
              <w:jc w:val="center"/>
              <w:rPr>
                <w:lang w:val="en-AU"/>
              </w:rPr>
            </w:pPr>
            <w:r w:rsidRPr="00C068F4">
              <w:rPr>
                <w:lang w:val="en-AU"/>
              </w:rPr>
              <w:t>Patient population</w:t>
            </w:r>
          </w:p>
        </w:tc>
        <w:tc>
          <w:tcPr>
            <w:tcW w:w="0" w:type="auto"/>
            <w:shd w:val="clear" w:color="auto" w:fill="auto"/>
            <w:vAlign w:val="center"/>
          </w:tcPr>
          <w:p w14:paraId="0FCB63F9" w14:textId="77777777" w:rsidR="007F1017" w:rsidRPr="00C068F4" w:rsidRDefault="007F1017" w:rsidP="00EC5836">
            <w:pPr>
              <w:pStyle w:val="In-tableHeading"/>
              <w:jc w:val="center"/>
              <w:rPr>
                <w:lang w:val="en-AU"/>
              </w:rPr>
            </w:pPr>
            <w:r w:rsidRPr="00C068F4">
              <w:rPr>
                <w:lang w:val="en-AU"/>
              </w:rPr>
              <w:t>Outcome(s)</w:t>
            </w:r>
          </w:p>
        </w:tc>
        <w:tc>
          <w:tcPr>
            <w:tcW w:w="0" w:type="auto"/>
            <w:shd w:val="clear" w:color="auto" w:fill="auto"/>
            <w:vAlign w:val="center"/>
          </w:tcPr>
          <w:p w14:paraId="08C6F624" w14:textId="77777777" w:rsidR="007F1017" w:rsidRPr="00C068F4" w:rsidRDefault="007F1017" w:rsidP="00EC5836">
            <w:pPr>
              <w:pStyle w:val="In-tableHeading"/>
              <w:jc w:val="center"/>
              <w:rPr>
                <w:lang w:val="en-AU"/>
              </w:rPr>
            </w:pPr>
            <w:r w:rsidRPr="00C068F4">
              <w:rPr>
                <w:lang w:val="en-AU"/>
              </w:rPr>
              <w:t>Use in modelled evaluation</w:t>
            </w:r>
          </w:p>
        </w:tc>
      </w:tr>
      <w:tr w:rsidR="007F1017" w:rsidRPr="00C068F4" w14:paraId="2A03CD4B" w14:textId="77777777" w:rsidTr="003C3905">
        <w:trPr>
          <w:cantSplit/>
        </w:trPr>
        <w:tc>
          <w:tcPr>
            <w:tcW w:w="0" w:type="auto"/>
            <w:gridSpan w:val="7"/>
            <w:shd w:val="clear" w:color="auto" w:fill="auto"/>
            <w:vAlign w:val="center"/>
          </w:tcPr>
          <w:p w14:paraId="73088C85" w14:textId="149A3719" w:rsidR="007F1017" w:rsidRPr="00C068F4" w:rsidRDefault="00F7628B" w:rsidP="00EC5836">
            <w:pPr>
              <w:pStyle w:val="In-tableHeading"/>
              <w:rPr>
                <w:lang w:val="en-AU"/>
              </w:rPr>
            </w:pPr>
            <w:r w:rsidRPr="00C068F4">
              <w:rPr>
                <w:color w:val="000000" w:themeColor="text1"/>
                <w:lang w:val="en-AU"/>
              </w:rPr>
              <w:t>T</w:t>
            </w:r>
            <w:r w:rsidR="00E54DC8" w:rsidRPr="00C068F4">
              <w:rPr>
                <w:color w:val="000000" w:themeColor="text1"/>
                <w:lang w:val="en-AU"/>
              </w:rPr>
              <w:t xml:space="preserve">ixagevimab </w:t>
            </w:r>
            <w:r w:rsidRPr="00C068F4">
              <w:rPr>
                <w:color w:val="000000" w:themeColor="text1"/>
                <w:lang w:val="en-AU"/>
              </w:rPr>
              <w:t xml:space="preserve">150 mg </w:t>
            </w:r>
            <w:r w:rsidR="00E54DC8" w:rsidRPr="00C068F4">
              <w:rPr>
                <w:color w:val="000000" w:themeColor="text1"/>
                <w:lang w:val="en-AU"/>
              </w:rPr>
              <w:t>and cilgavimab</w:t>
            </w:r>
            <w:r w:rsidRPr="00C068F4">
              <w:rPr>
                <w:color w:val="000000" w:themeColor="text1"/>
                <w:lang w:val="en-AU"/>
              </w:rPr>
              <w:t xml:space="preserve"> 150 mg versus placebo</w:t>
            </w:r>
          </w:p>
        </w:tc>
      </w:tr>
      <w:tr w:rsidR="001A688E" w:rsidRPr="00C068F4" w14:paraId="4EE88DCB" w14:textId="77777777" w:rsidTr="005933DD">
        <w:trPr>
          <w:cantSplit/>
        </w:trPr>
        <w:tc>
          <w:tcPr>
            <w:tcW w:w="0" w:type="auto"/>
            <w:shd w:val="clear" w:color="auto" w:fill="auto"/>
            <w:vAlign w:val="center"/>
          </w:tcPr>
          <w:p w14:paraId="6EE77D33" w14:textId="2DED1065" w:rsidR="007F1017" w:rsidRPr="00C068F4" w:rsidRDefault="0088710C" w:rsidP="00EC5836">
            <w:pPr>
              <w:pStyle w:val="TableText0"/>
            </w:pPr>
            <w:r w:rsidRPr="00C068F4">
              <w:t>PROVENT</w:t>
            </w:r>
          </w:p>
        </w:tc>
        <w:tc>
          <w:tcPr>
            <w:tcW w:w="0" w:type="auto"/>
            <w:shd w:val="clear" w:color="auto" w:fill="auto"/>
            <w:vAlign w:val="center"/>
          </w:tcPr>
          <w:p w14:paraId="41BB0E41" w14:textId="3098CB0F" w:rsidR="008454AC" w:rsidRPr="00C068F4" w:rsidRDefault="00217A6E" w:rsidP="001F37A1">
            <w:pPr>
              <w:pStyle w:val="TableText0"/>
              <w:jc w:val="center"/>
            </w:pPr>
            <w:r w:rsidRPr="00C068F4">
              <w:t>5,254</w:t>
            </w:r>
          </w:p>
        </w:tc>
        <w:tc>
          <w:tcPr>
            <w:tcW w:w="1514" w:type="dxa"/>
            <w:shd w:val="clear" w:color="auto" w:fill="auto"/>
            <w:vAlign w:val="center"/>
          </w:tcPr>
          <w:p w14:paraId="401EAFDA" w14:textId="6A61DB0E" w:rsidR="007F1017" w:rsidRPr="00C068F4" w:rsidRDefault="007F1017" w:rsidP="00EC5836">
            <w:pPr>
              <w:pStyle w:val="TableText0"/>
              <w:jc w:val="center"/>
            </w:pPr>
            <w:r w:rsidRPr="00C068F4">
              <w:t>R, DB</w:t>
            </w:r>
            <w:r w:rsidR="00217A6E" w:rsidRPr="00C068F4">
              <w:t>, MC</w:t>
            </w:r>
          </w:p>
          <w:p w14:paraId="6153CBAE" w14:textId="2E5676F8" w:rsidR="007F1017" w:rsidRPr="00C068F4" w:rsidRDefault="00CC6CD8" w:rsidP="00EC5836">
            <w:pPr>
              <w:pStyle w:val="TableText0"/>
              <w:jc w:val="center"/>
            </w:pPr>
            <w:r w:rsidRPr="00C068F4">
              <w:t xml:space="preserve">Median follow up at time of primary report </w:t>
            </w:r>
            <w:r w:rsidR="00CB4A36" w:rsidRPr="00C068F4">
              <w:t>(Aug 21 D</w:t>
            </w:r>
            <w:r w:rsidR="00A40B4B" w:rsidRPr="00C068F4">
              <w:t>CO</w:t>
            </w:r>
            <w:r w:rsidR="00CB4A36" w:rsidRPr="00C068F4">
              <w:t>)</w:t>
            </w:r>
            <w:r w:rsidR="001A688E" w:rsidRPr="00C068F4">
              <w:t>:</w:t>
            </w:r>
            <w:r w:rsidRPr="00C068F4">
              <w:t xml:space="preserve"> </w:t>
            </w:r>
            <w:r w:rsidR="007F1017" w:rsidRPr="00C068F4">
              <w:t>6 mths</w:t>
            </w:r>
          </w:p>
          <w:p w14:paraId="744D08AC" w14:textId="79534E66" w:rsidR="00F205BC" w:rsidRPr="00C068F4" w:rsidRDefault="00F205BC" w:rsidP="009D1EF7">
            <w:pPr>
              <w:pStyle w:val="TableText0"/>
              <w:jc w:val="center"/>
            </w:pPr>
            <w:r w:rsidRPr="00C068F4">
              <w:t>Median follow-up at time of</w:t>
            </w:r>
            <w:r w:rsidR="001671FD" w:rsidRPr="00C068F4">
              <w:t xml:space="preserve"> Apr </w:t>
            </w:r>
            <w:r w:rsidR="001A688E" w:rsidRPr="00C068F4">
              <w:t xml:space="preserve">2022 </w:t>
            </w:r>
            <w:r w:rsidR="001671FD" w:rsidRPr="00C068F4">
              <w:t>DCO</w:t>
            </w:r>
            <w:r w:rsidR="001A688E" w:rsidRPr="00C068F4">
              <w:t>: 12 mths</w:t>
            </w:r>
          </w:p>
        </w:tc>
        <w:tc>
          <w:tcPr>
            <w:tcW w:w="567" w:type="dxa"/>
            <w:shd w:val="clear" w:color="auto" w:fill="auto"/>
            <w:vAlign w:val="center"/>
          </w:tcPr>
          <w:p w14:paraId="4A529D74" w14:textId="77777777" w:rsidR="007F1017" w:rsidRPr="00C068F4" w:rsidRDefault="007F1017" w:rsidP="00EC5836">
            <w:pPr>
              <w:pStyle w:val="TableText0"/>
              <w:jc w:val="center"/>
              <w:rPr>
                <w:iCs/>
              </w:rPr>
            </w:pPr>
            <w:r w:rsidRPr="00C068F4">
              <w:rPr>
                <w:iCs/>
              </w:rPr>
              <w:t>Low</w:t>
            </w:r>
          </w:p>
        </w:tc>
        <w:tc>
          <w:tcPr>
            <w:tcW w:w="3064" w:type="dxa"/>
            <w:shd w:val="clear" w:color="auto" w:fill="auto"/>
            <w:vAlign w:val="center"/>
          </w:tcPr>
          <w:p w14:paraId="5E6F456D" w14:textId="27421B07" w:rsidR="007F1017" w:rsidRPr="00C068F4" w:rsidRDefault="00102BD5" w:rsidP="00EC5836">
            <w:pPr>
              <w:pStyle w:val="TableText0"/>
              <w:jc w:val="center"/>
            </w:pPr>
            <w:r w:rsidRPr="00C068F4">
              <w:t>U</w:t>
            </w:r>
            <w:r w:rsidR="00BC6622" w:rsidRPr="00C068F4">
              <w:t>nvaccinated, medically stable, adults (aged ≥18 years) assessed as potentially benefitting from passive immunisation with antibodies due to either: (i) being at increased risk of inadequate response to active immunisation or (ii) being at increased risk of SARS-CoV-2 infection because of their circumstances.</w:t>
            </w:r>
          </w:p>
        </w:tc>
        <w:tc>
          <w:tcPr>
            <w:tcW w:w="0" w:type="auto"/>
            <w:shd w:val="clear" w:color="auto" w:fill="auto"/>
            <w:vAlign w:val="center"/>
          </w:tcPr>
          <w:p w14:paraId="6DC76214" w14:textId="0600EAAC" w:rsidR="007F1017" w:rsidRPr="00C068F4" w:rsidRDefault="003C3905" w:rsidP="00EC5836">
            <w:pPr>
              <w:pStyle w:val="TableText0"/>
              <w:jc w:val="center"/>
            </w:pPr>
            <w:r w:rsidRPr="00C068F4">
              <w:t>Proportion of patients developing PCR-confirmed symptomatic SARS</w:t>
            </w:r>
            <w:r w:rsidR="00715137" w:rsidRPr="00C068F4">
              <w:t>-</w:t>
            </w:r>
            <w:r w:rsidRPr="00C068F4">
              <w:t>CoV-2 illness</w:t>
            </w:r>
          </w:p>
        </w:tc>
        <w:tc>
          <w:tcPr>
            <w:tcW w:w="0" w:type="auto"/>
            <w:shd w:val="clear" w:color="auto" w:fill="auto"/>
            <w:vAlign w:val="center"/>
          </w:tcPr>
          <w:p w14:paraId="150A804C" w14:textId="1C4D64C9" w:rsidR="007F1017" w:rsidRPr="00C068F4" w:rsidRDefault="003C3905" w:rsidP="00EC5836">
            <w:pPr>
              <w:pStyle w:val="TableText0"/>
              <w:jc w:val="center"/>
            </w:pPr>
            <w:r w:rsidRPr="00C068F4">
              <w:t>Yes</w:t>
            </w:r>
          </w:p>
        </w:tc>
      </w:tr>
    </w:tbl>
    <w:p w14:paraId="560080D2" w14:textId="54928358" w:rsidR="00045017" w:rsidRPr="00C068F4" w:rsidRDefault="00045017" w:rsidP="00EC5836">
      <w:pPr>
        <w:pStyle w:val="FooterTableFigure"/>
      </w:pPr>
      <w:r w:rsidRPr="00C068F4">
        <w:t xml:space="preserve">Source: </w:t>
      </w:r>
      <w:r w:rsidR="00036BFC" w:rsidRPr="00C068F4">
        <w:t>Constructed during the evaluation</w:t>
      </w:r>
      <w:r w:rsidR="0061081D" w:rsidRPr="00C068F4">
        <w:t>.</w:t>
      </w:r>
    </w:p>
    <w:p w14:paraId="7A512920" w14:textId="72A30175" w:rsidR="00A40B4B" w:rsidRPr="00C068F4" w:rsidRDefault="00620C25" w:rsidP="00EC5836">
      <w:pPr>
        <w:pStyle w:val="FooterTableFigure"/>
      </w:pPr>
      <w:r w:rsidRPr="00C068F4">
        <w:t xml:space="preserve">DB = double blind; </w:t>
      </w:r>
      <w:r w:rsidR="001671FD" w:rsidRPr="00C068F4">
        <w:t xml:space="preserve">DCO = data cut-off; </w:t>
      </w:r>
      <w:r w:rsidRPr="00C068F4">
        <w:t xml:space="preserve">MC = multi-centre; </w:t>
      </w:r>
      <w:r w:rsidR="00A11CB6" w:rsidRPr="00C068F4">
        <w:t xml:space="preserve">PCR = polymerase chain reaction; </w:t>
      </w:r>
      <w:r w:rsidR="00A40B4B" w:rsidRPr="00C068F4">
        <w:t xml:space="preserve">mths = months; </w:t>
      </w:r>
      <w:r w:rsidRPr="00C068F4">
        <w:t>R = randomised</w:t>
      </w:r>
      <w:r w:rsidR="00A11CB6" w:rsidRPr="00C068F4">
        <w:t>;</w:t>
      </w:r>
    </w:p>
    <w:p w14:paraId="1095487C" w14:textId="706C0037" w:rsidR="00620C25" w:rsidRPr="00C068F4" w:rsidRDefault="00A11CB6" w:rsidP="00EC5836">
      <w:pPr>
        <w:pStyle w:val="FooterTableFigure"/>
      </w:pPr>
      <w:r w:rsidRPr="00C068F4">
        <w:t>SARS</w:t>
      </w:r>
      <w:r w:rsidR="00A40B4B" w:rsidRPr="00C068F4">
        <w:noBreakHyphen/>
      </w:r>
      <w:r w:rsidRPr="00C068F4">
        <w:t>CoV</w:t>
      </w:r>
      <w:r w:rsidR="00A40B4B" w:rsidRPr="00C068F4">
        <w:noBreakHyphen/>
      </w:r>
      <w:r w:rsidRPr="00C068F4">
        <w:t xml:space="preserve">2 = </w:t>
      </w:r>
      <w:r w:rsidR="00E448EF" w:rsidRPr="00C068F4">
        <w:t>severe acute respiratory syndrome coronavirus 2</w:t>
      </w:r>
      <w:r w:rsidR="00620C25" w:rsidRPr="00C068F4">
        <w:t>.</w:t>
      </w:r>
    </w:p>
    <w:p w14:paraId="0C776963" w14:textId="0DC25626" w:rsidR="00B200EB" w:rsidRPr="00C068F4" w:rsidRDefault="00B200EB" w:rsidP="00B200EB">
      <w:pPr>
        <w:pStyle w:val="3-BodyText"/>
        <w:rPr>
          <w:snapToGrid/>
          <w:color w:val="000000" w:themeColor="text1"/>
        </w:rPr>
      </w:pPr>
      <w:bookmarkStart w:id="29" w:name="_Ref110101782"/>
      <w:r w:rsidRPr="00C068F4">
        <w:rPr>
          <w:snapToGrid/>
          <w:color w:val="000000" w:themeColor="text1"/>
        </w:rPr>
        <w:t xml:space="preserve">Eligibility for recruitment to the PROVENT trial was limited to unvaccinated, medically stable, adults (aged </w:t>
      </w:r>
      <w:r w:rsidR="00532D56" w:rsidRPr="00C068F4">
        <w:rPr>
          <w:rFonts w:cstheme="minorHAnsi"/>
          <w:snapToGrid/>
          <w:color w:val="000000" w:themeColor="text1"/>
        </w:rPr>
        <w:t>≥</w:t>
      </w:r>
      <w:r w:rsidR="00532D56" w:rsidRPr="00C068F4">
        <w:rPr>
          <w:snapToGrid/>
          <w:color w:val="000000" w:themeColor="text1"/>
        </w:rPr>
        <w:t xml:space="preserve"> </w:t>
      </w:r>
      <w:r w:rsidRPr="00C068F4">
        <w:rPr>
          <w:snapToGrid/>
          <w:color w:val="000000" w:themeColor="text1"/>
        </w:rPr>
        <w:t>18 years) who were candidates for benefit from passive immunisation with antibodies, defined as</w:t>
      </w:r>
      <w:r w:rsidR="00C32A85" w:rsidRPr="00C068F4">
        <w:rPr>
          <w:snapToGrid/>
          <w:color w:val="000000" w:themeColor="text1"/>
        </w:rPr>
        <w:t xml:space="preserve"> either</w:t>
      </w:r>
      <w:r w:rsidRPr="00C068F4">
        <w:rPr>
          <w:snapToGrid/>
          <w:color w:val="000000" w:themeColor="text1"/>
        </w:rPr>
        <w:t>:</w:t>
      </w:r>
      <w:bookmarkEnd w:id="29"/>
    </w:p>
    <w:p w14:paraId="5C12A6B9" w14:textId="1390FC0B" w:rsidR="00B200EB" w:rsidRPr="00C068F4" w:rsidRDefault="00A04BDB" w:rsidP="006E5E7F">
      <w:pPr>
        <w:pStyle w:val="3-BodyText"/>
        <w:numPr>
          <w:ilvl w:val="2"/>
          <w:numId w:val="1"/>
        </w:numPr>
        <w:spacing w:after="0"/>
        <w:ind w:left="1134" w:hanging="425"/>
        <w:rPr>
          <w:snapToGrid/>
          <w:color w:val="000000" w:themeColor="text1"/>
        </w:rPr>
      </w:pPr>
      <w:r w:rsidRPr="00C068F4">
        <w:rPr>
          <w:snapToGrid/>
          <w:color w:val="000000" w:themeColor="text1"/>
        </w:rPr>
        <w:t>i</w:t>
      </w:r>
      <w:r w:rsidR="00B200EB" w:rsidRPr="00C068F4">
        <w:rPr>
          <w:snapToGrid/>
          <w:color w:val="000000" w:themeColor="text1"/>
        </w:rPr>
        <w:t>ncreased risk for inadequate response to active immunisation (predicted poor responders to vaccines), defined as:</w:t>
      </w:r>
    </w:p>
    <w:p w14:paraId="5292E40B" w14:textId="045D42A5" w:rsidR="00B200EB" w:rsidRPr="00C068F4" w:rsidRDefault="00B200EB" w:rsidP="00D94F7C">
      <w:pPr>
        <w:pStyle w:val="3-BodyText"/>
        <w:numPr>
          <w:ilvl w:val="3"/>
          <w:numId w:val="7"/>
        </w:numPr>
        <w:spacing w:after="0"/>
        <w:ind w:left="1418" w:hanging="283"/>
        <w:rPr>
          <w:snapToGrid/>
          <w:color w:val="000000" w:themeColor="text1"/>
        </w:rPr>
      </w:pPr>
      <w:r w:rsidRPr="00C068F4">
        <w:rPr>
          <w:snapToGrid/>
          <w:color w:val="000000" w:themeColor="text1"/>
        </w:rPr>
        <w:t xml:space="preserve">elderly, i.e., </w:t>
      </w:r>
      <w:r w:rsidR="00532D56" w:rsidRPr="00C068F4">
        <w:rPr>
          <w:rFonts w:cstheme="minorHAnsi"/>
          <w:snapToGrid/>
          <w:color w:val="000000" w:themeColor="text1"/>
        </w:rPr>
        <w:t xml:space="preserve">≥ </w:t>
      </w:r>
      <w:r w:rsidRPr="00C068F4">
        <w:rPr>
          <w:snapToGrid/>
          <w:color w:val="000000" w:themeColor="text1"/>
        </w:rPr>
        <w:t>60 years old</w:t>
      </w:r>
    </w:p>
    <w:p w14:paraId="684355DB" w14:textId="54DB0946" w:rsidR="00B200EB" w:rsidRPr="00C068F4" w:rsidRDefault="00B200EB" w:rsidP="00D94F7C">
      <w:pPr>
        <w:pStyle w:val="3-BodyText"/>
        <w:numPr>
          <w:ilvl w:val="3"/>
          <w:numId w:val="7"/>
        </w:numPr>
        <w:spacing w:after="0"/>
        <w:ind w:left="1418" w:hanging="283"/>
        <w:rPr>
          <w:snapToGrid/>
          <w:color w:val="000000" w:themeColor="text1"/>
        </w:rPr>
      </w:pPr>
      <w:r w:rsidRPr="00C068F4">
        <w:rPr>
          <w:snapToGrid/>
          <w:color w:val="000000" w:themeColor="text1"/>
        </w:rPr>
        <w:t xml:space="preserve">obese, i.e., BMI </w:t>
      </w:r>
      <w:r w:rsidR="002D1B5A" w:rsidRPr="00C068F4">
        <w:rPr>
          <w:rFonts w:cstheme="minorHAnsi"/>
          <w:snapToGrid/>
          <w:color w:val="000000" w:themeColor="text1"/>
        </w:rPr>
        <w:t xml:space="preserve">≥ </w:t>
      </w:r>
      <w:r w:rsidRPr="00C068F4">
        <w:rPr>
          <w:snapToGrid/>
          <w:color w:val="000000" w:themeColor="text1"/>
        </w:rPr>
        <w:t>30</w:t>
      </w:r>
    </w:p>
    <w:p w14:paraId="7A41A6EB" w14:textId="77777777" w:rsidR="00B200EB" w:rsidRPr="00C068F4" w:rsidRDefault="00B200EB" w:rsidP="00D94F7C">
      <w:pPr>
        <w:pStyle w:val="3-BodyText"/>
        <w:numPr>
          <w:ilvl w:val="3"/>
          <w:numId w:val="7"/>
        </w:numPr>
        <w:spacing w:after="0"/>
        <w:ind w:left="1418" w:hanging="283"/>
        <w:rPr>
          <w:snapToGrid/>
          <w:color w:val="000000" w:themeColor="text1"/>
        </w:rPr>
      </w:pPr>
      <w:r w:rsidRPr="00C068F4">
        <w:rPr>
          <w:snapToGrid/>
          <w:color w:val="000000" w:themeColor="text1"/>
        </w:rPr>
        <w:t>congestive heart failure</w:t>
      </w:r>
    </w:p>
    <w:p w14:paraId="43AD88F2" w14:textId="77777777" w:rsidR="00B200EB" w:rsidRPr="00C068F4" w:rsidRDefault="00B200EB" w:rsidP="00D94F7C">
      <w:pPr>
        <w:pStyle w:val="3-BodyText"/>
        <w:numPr>
          <w:ilvl w:val="3"/>
          <w:numId w:val="7"/>
        </w:numPr>
        <w:spacing w:after="0"/>
        <w:ind w:left="1418" w:hanging="283"/>
        <w:rPr>
          <w:snapToGrid/>
          <w:color w:val="000000" w:themeColor="text1"/>
        </w:rPr>
      </w:pPr>
      <w:r w:rsidRPr="00C068F4">
        <w:rPr>
          <w:snapToGrid/>
          <w:color w:val="000000" w:themeColor="text1"/>
        </w:rPr>
        <w:t>chronic obstructive pulmonary disease</w:t>
      </w:r>
    </w:p>
    <w:p w14:paraId="736B8440" w14:textId="7B48F05F" w:rsidR="00B200EB" w:rsidRPr="00C068F4" w:rsidRDefault="00B200EB" w:rsidP="00D94F7C">
      <w:pPr>
        <w:pStyle w:val="3-BodyText"/>
        <w:numPr>
          <w:ilvl w:val="3"/>
          <w:numId w:val="7"/>
        </w:numPr>
        <w:spacing w:after="0"/>
        <w:ind w:left="1418" w:hanging="283"/>
        <w:rPr>
          <w:snapToGrid/>
          <w:color w:val="000000" w:themeColor="text1"/>
        </w:rPr>
      </w:pPr>
      <w:r w:rsidRPr="00C068F4">
        <w:rPr>
          <w:snapToGrid/>
          <w:color w:val="000000" w:themeColor="text1"/>
        </w:rPr>
        <w:lastRenderedPageBreak/>
        <w:t>chronic kidney disease, i.e., GFR &lt; 30 mL/min/1.73 m</w:t>
      </w:r>
      <w:r w:rsidRPr="00C068F4">
        <w:rPr>
          <w:snapToGrid/>
          <w:color w:val="000000" w:themeColor="text1"/>
          <w:vertAlign w:val="superscript"/>
        </w:rPr>
        <w:t>2</w:t>
      </w:r>
      <w:r w:rsidRPr="00C068F4">
        <w:rPr>
          <w:snapToGrid/>
          <w:color w:val="000000" w:themeColor="text1"/>
        </w:rPr>
        <w:t xml:space="preserve"> (Lamb et al 2013</w:t>
      </w:r>
      <w:r w:rsidR="007B4387" w:rsidRPr="00C068F4">
        <w:rPr>
          <w:rStyle w:val="FootnoteReference"/>
        </w:rPr>
        <w:footnoteReference w:id="12"/>
      </w:r>
      <w:r w:rsidRPr="00C068F4">
        <w:rPr>
          <w:snapToGrid/>
          <w:color w:val="000000" w:themeColor="text1"/>
        </w:rPr>
        <w:t>)</w:t>
      </w:r>
    </w:p>
    <w:p w14:paraId="7EBD915E" w14:textId="77777777" w:rsidR="00B200EB" w:rsidRPr="00C068F4" w:rsidRDefault="00B200EB" w:rsidP="00D94F7C">
      <w:pPr>
        <w:pStyle w:val="3-BodyText"/>
        <w:numPr>
          <w:ilvl w:val="3"/>
          <w:numId w:val="7"/>
        </w:numPr>
        <w:spacing w:after="0"/>
        <w:ind w:left="1418" w:hanging="283"/>
        <w:rPr>
          <w:snapToGrid/>
          <w:color w:val="000000" w:themeColor="text1"/>
        </w:rPr>
      </w:pPr>
      <w:r w:rsidRPr="00C068F4">
        <w:rPr>
          <w:snapToGrid/>
          <w:color w:val="000000" w:themeColor="text1"/>
        </w:rPr>
        <w:t>chronic liver disease</w:t>
      </w:r>
    </w:p>
    <w:p w14:paraId="497EC8BF" w14:textId="77777777" w:rsidR="00B200EB" w:rsidRPr="00C068F4" w:rsidRDefault="00B200EB" w:rsidP="00D94F7C">
      <w:pPr>
        <w:pStyle w:val="3-BodyText"/>
        <w:numPr>
          <w:ilvl w:val="3"/>
          <w:numId w:val="7"/>
        </w:numPr>
        <w:spacing w:after="0"/>
        <w:ind w:left="1418" w:hanging="283"/>
        <w:rPr>
          <w:snapToGrid/>
          <w:color w:val="000000" w:themeColor="text1"/>
        </w:rPr>
      </w:pPr>
      <w:r w:rsidRPr="00C068F4">
        <w:rPr>
          <w:snapToGrid/>
          <w:color w:val="000000" w:themeColor="text1"/>
        </w:rPr>
        <w:t>immunocompromised state from solid organ transplant, blood or bone marrow transplant, immune deficiencies, HIV, use of corticosteroids, or use of other immunosuppressive medicines</w:t>
      </w:r>
    </w:p>
    <w:p w14:paraId="1BF79CEB" w14:textId="126455C0" w:rsidR="00C32A85" w:rsidRPr="00C068F4" w:rsidRDefault="009307D2" w:rsidP="00D94F7C">
      <w:pPr>
        <w:pStyle w:val="3-BodyText"/>
        <w:numPr>
          <w:ilvl w:val="3"/>
          <w:numId w:val="7"/>
        </w:numPr>
        <w:ind w:left="1418" w:hanging="283"/>
        <w:rPr>
          <w:snapToGrid/>
          <w:color w:val="000000" w:themeColor="text1"/>
        </w:rPr>
      </w:pPr>
      <w:r w:rsidRPr="00C068F4">
        <w:rPr>
          <w:snapToGrid/>
          <w:color w:val="000000" w:themeColor="text1"/>
        </w:rPr>
        <w:t>i</w:t>
      </w:r>
      <w:r w:rsidR="00B200EB" w:rsidRPr="00C068F4">
        <w:rPr>
          <w:snapToGrid/>
          <w:color w:val="000000" w:themeColor="text1"/>
        </w:rPr>
        <w:t>ntolerant of vaccine</w:t>
      </w:r>
      <w:r w:rsidRPr="00C068F4">
        <w:rPr>
          <w:snapToGrid/>
          <w:color w:val="000000" w:themeColor="text1"/>
        </w:rPr>
        <w:t>, d</w:t>
      </w:r>
      <w:r w:rsidR="00B200EB" w:rsidRPr="00C068F4">
        <w:rPr>
          <w:snapToGrid/>
          <w:color w:val="000000" w:themeColor="text1"/>
        </w:rPr>
        <w:t>efined as previous history of severe adverse event or serious adverse event after receiving any approved vaccine</w:t>
      </w:r>
    </w:p>
    <w:p w14:paraId="1FE81C22" w14:textId="2E3A6564" w:rsidR="00B200EB" w:rsidRPr="00C068F4" w:rsidRDefault="009B6202" w:rsidP="00C32A85">
      <w:pPr>
        <w:pStyle w:val="3-BodyText"/>
        <w:numPr>
          <w:ilvl w:val="0"/>
          <w:numId w:val="0"/>
        </w:numPr>
        <w:ind w:left="720"/>
        <w:rPr>
          <w:snapToGrid/>
          <w:color w:val="000000" w:themeColor="text1"/>
        </w:rPr>
      </w:pPr>
      <w:r w:rsidRPr="00C068F4">
        <w:t>or</w:t>
      </w:r>
    </w:p>
    <w:p w14:paraId="268C088A" w14:textId="7E4743C7" w:rsidR="00B200EB" w:rsidRPr="00C068F4" w:rsidRDefault="00A04BDB" w:rsidP="006E5E7F">
      <w:pPr>
        <w:pStyle w:val="3-BodyText"/>
        <w:numPr>
          <w:ilvl w:val="2"/>
          <w:numId w:val="1"/>
        </w:numPr>
        <w:spacing w:after="0"/>
        <w:ind w:left="1134" w:hanging="425"/>
        <w:rPr>
          <w:snapToGrid/>
          <w:color w:val="000000" w:themeColor="text1"/>
        </w:rPr>
      </w:pPr>
      <w:r w:rsidRPr="00C068F4">
        <w:rPr>
          <w:snapToGrid/>
          <w:color w:val="000000" w:themeColor="text1"/>
        </w:rPr>
        <w:t>i</w:t>
      </w:r>
      <w:r w:rsidR="00B200EB" w:rsidRPr="00C068F4">
        <w:rPr>
          <w:snapToGrid/>
          <w:color w:val="000000" w:themeColor="text1"/>
        </w:rPr>
        <w:t>ncreased risk for SARS-CoV-2 infection, defined as those whose locations or circumstances put them at appreciable risk of exposure to SARS-CoV-2 and COVID-19, based on available risk assessment at time of enrolment. Examples include:</w:t>
      </w:r>
    </w:p>
    <w:p w14:paraId="653054D9" w14:textId="77777777" w:rsidR="00B200EB" w:rsidRPr="00C068F4" w:rsidRDefault="00B200EB" w:rsidP="00D94F7C">
      <w:pPr>
        <w:pStyle w:val="3-BodyText"/>
        <w:numPr>
          <w:ilvl w:val="3"/>
          <w:numId w:val="7"/>
        </w:numPr>
        <w:spacing w:after="0"/>
        <w:ind w:left="1418" w:hanging="283"/>
        <w:rPr>
          <w:snapToGrid/>
          <w:color w:val="000000" w:themeColor="text1"/>
        </w:rPr>
      </w:pPr>
      <w:r w:rsidRPr="00C068F4">
        <w:rPr>
          <w:snapToGrid/>
          <w:color w:val="000000" w:themeColor="text1"/>
        </w:rPr>
        <w:t>health care workers, including staff of long-term care facilities (including skilled nursing facilities, assisted living facilities, and independent living facilities for senior adults)</w:t>
      </w:r>
    </w:p>
    <w:p w14:paraId="0A33E3F3" w14:textId="77777777" w:rsidR="00B200EB" w:rsidRPr="00C068F4" w:rsidRDefault="00B200EB" w:rsidP="00D94F7C">
      <w:pPr>
        <w:pStyle w:val="3-BodyText"/>
        <w:numPr>
          <w:ilvl w:val="3"/>
          <w:numId w:val="7"/>
        </w:numPr>
        <w:spacing w:after="0"/>
        <w:ind w:left="1418" w:hanging="283"/>
        <w:rPr>
          <w:snapToGrid/>
          <w:color w:val="000000" w:themeColor="text1"/>
        </w:rPr>
      </w:pPr>
      <w:r w:rsidRPr="00C068F4">
        <w:rPr>
          <w:snapToGrid/>
          <w:color w:val="000000" w:themeColor="text1"/>
        </w:rPr>
        <w:t>workers in industrial settings shown to have been at high risk for SARS-CoV-2 transmission, including but not limited to meatpacking plants</w:t>
      </w:r>
    </w:p>
    <w:p w14:paraId="03BC8FF6" w14:textId="77777777" w:rsidR="00B200EB" w:rsidRPr="00C068F4" w:rsidRDefault="00B200EB" w:rsidP="00D94F7C">
      <w:pPr>
        <w:pStyle w:val="3-BodyText"/>
        <w:numPr>
          <w:ilvl w:val="3"/>
          <w:numId w:val="7"/>
        </w:numPr>
        <w:spacing w:after="0"/>
        <w:ind w:left="1418" w:hanging="283"/>
        <w:rPr>
          <w:snapToGrid/>
          <w:color w:val="000000" w:themeColor="text1"/>
        </w:rPr>
      </w:pPr>
      <w:r w:rsidRPr="00C068F4">
        <w:rPr>
          <w:snapToGrid/>
          <w:color w:val="000000" w:themeColor="text1"/>
        </w:rPr>
        <w:t>military personnel residing or working in high density settings including but not limited to barracks, ships, or close-quarters working environments</w:t>
      </w:r>
    </w:p>
    <w:p w14:paraId="73EB8A0F" w14:textId="77777777" w:rsidR="00B200EB" w:rsidRPr="00C068F4" w:rsidRDefault="00B200EB" w:rsidP="00D94F7C">
      <w:pPr>
        <w:pStyle w:val="3-BodyText"/>
        <w:numPr>
          <w:ilvl w:val="3"/>
          <w:numId w:val="7"/>
        </w:numPr>
        <w:spacing w:after="0"/>
        <w:ind w:left="1418" w:hanging="283"/>
        <w:rPr>
          <w:snapToGrid/>
          <w:color w:val="000000" w:themeColor="text1"/>
        </w:rPr>
      </w:pPr>
      <w:r w:rsidRPr="00C068F4">
        <w:rPr>
          <w:snapToGrid/>
          <w:color w:val="000000" w:themeColor="text1"/>
        </w:rPr>
        <w:t>students living in dormitory settings</w:t>
      </w:r>
    </w:p>
    <w:p w14:paraId="2E1C5C68" w14:textId="6F7B5B54" w:rsidR="00B200EB" w:rsidRPr="00C068F4" w:rsidRDefault="00B200EB" w:rsidP="00D94F7C">
      <w:pPr>
        <w:pStyle w:val="3-BodyText"/>
        <w:numPr>
          <w:ilvl w:val="3"/>
          <w:numId w:val="7"/>
        </w:numPr>
        <w:ind w:left="1418" w:hanging="283"/>
        <w:rPr>
          <w:snapToGrid/>
          <w:color w:val="000000" w:themeColor="text1"/>
        </w:rPr>
      </w:pPr>
      <w:r w:rsidRPr="00C068F4">
        <w:rPr>
          <w:snapToGrid/>
          <w:color w:val="000000" w:themeColor="text1"/>
        </w:rPr>
        <w:t>others living in settings of similar close or high-density proximity</w:t>
      </w:r>
    </w:p>
    <w:p w14:paraId="3D8523D1" w14:textId="5E8F6AB7" w:rsidR="008D3A1F" w:rsidRPr="00C068F4" w:rsidRDefault="003E0266" w:rsidP="008D3A1F">
      <w:pPr>
        <w:pStyle w:val="3-BodyText"/>
        <w:rPr>
          <w:iCs/>
          <w:snapToGrid/>
          <w:color w:val="000000" w:themeColor="text1"/>
        </w:rPr>
      </w:pPr>
      <w:bookmarkStart w:id="30" w:name="_Ref109851670"/>
      <w:r w:rsidRPr="00C068F4">
        <w:rPr>
          <w:iCs/>
          <w:snapToGrid/>
          <w:color w:val="000000" w:themeColor="text1"/>
        </w:rPr>
        <w:t>The</w:t>
      </w:r>
      <w:r w:rsidR="008D3A1F" w:rsidRPr="00C068F4">
        <w:rPr>
          <w:iCs/>
          <w:snapToGrid/>
          <w:color w:val="000000" w:themeColor="text1"/>
        </w:rPr>
        <w:t xml:space="preserve"> population for whom </w:t>
      </w:r>
      <w:r w:rsidRPr="00C068F4">
        <w:rPr>
          <w:iCs/>
          <w:snapToGrid/>
          <w:color w:val="000000" w:themeColor="text1"/>
        </w:rPr>
        <w:t>tixagevimab and cilgavimab</w:t>
      </w:r>
      <w:r w:rsidR="008D3A1F" w:rsidRPr="00C068F4">
        <w:rPr>
          <w:iCs/>
          <w:snapToGrid/>
          <w:color w:val="000000" w:themeColor="text1"/>
        </w:rPr>
        <w:t xml:space="preserve"> has been provisionally registered constitute</w:t>
      </w:r>
      <w:r w:rsidR="00B76AF3" w:rsidRPr="00C068F4">
        <w:rPr>
          <w:iCs/>
          <w:snapToGrid/>
          <w:color w:val="000000" w:themeColor="text1"/>
        </w:rPr>
        <w:t>s</w:t>
      </w:r>
      <w:r w:rsidR="008D3A1F" w:rsidRPr="00C068F4">
        <w:rPr>
          <w:iCs/>
          <w:snapToGrid/>
          <w:color w:val="000000" w:themeColor="text1"/>
        </w:rPr>
        <w:t xml:space="preserve"> a </w:t>
      </w:r>
      <w:r w:rsidR="00637F36" w:rsidRPr="00C068F4">
        <w:rPr>
          <w:iCs/>
          <w:snapToGrid/>
          <w:color w:val="000000" w:themeColor="text1"/>
        </w:rPr>
        <w:t xml:space="preserve">small </w:t>
      </w:r>
      <w:r w:rsidR="008D3A1F" w:rsidRPr="00C068F4">
        <w:rPr>
          <w:iCs/>
          <w:snapToGrid/>
          <w:color w:val="000000" w:themeColor="text1"/>
        </w:rPr>
        <w:t xml:space="preserve">subgroup of patients recruited to the </w:t>
      </w:r>
      <w:r w:rsidR="004A389D" w:rsidRPr="00C068F4">
        <w:rPr>
          <w:iCs/>
          <w:snapToGrid/>
          <w:color w:val="000000" w:themeColor="text1"/>
        </w:rPr>
        <w:t xml:space="preserve">PROVENT </w:t>
      </w:r>
      <w:r w:rsidR="008D3A1F" w:rsidRPr="00C068F4">
        <w:rPr>
          <w:iCs/>
          <w:snapToGrid/>
          <w:color w:val="000000" w:themeColor="text1"/>
        </w:rPr>
        <w:t>trial</w:t>
      </w:r>
      <w:r w:rsidRPr="00C068F4">
        <w:rPr>
          <w:iCs/>
          <w:snapToGrid/>
          <w:color w:val="000000" w:themeColor="text1"/>
        </w:rPr>
        <w:t>.</w:t>
      </w:r>
      <w:bookmarkEnd w:id="30"/>
    </w:p>
    <w:p w14:paraId="4F18AD2C" w14:textId="2E13C8C0" w:rsidR="00340168" w:rsidRPr="00C068F4" w:rsidRDefault="00340168" w:rsidP="00340168">
      <w:pPr>
        <w:pStyle w:val="3-BodyText"/>
        <w:rPr>
          <w:iCs/>
          <w:snapToGrid/>
          <w:color w:val="000000" w:themeColor="text1"/>
        </w:rPr>
      </w:pPr>
      <w:bookmarkStart w:id="31" w:name="_Ref110102879"/>
      <w:r w:rsidRPr="00C068F4">
        <w:rPr>
          <w:iCs/>
          <w:snapToGrid/>
          <w:color w:val="000000" w:themeColor="text1"/>
        </w:rPr>
        <w:t>The PROVENT trial was conducted at a time prior to the</w:t>
      </w:r>
      <w:r w:rsidR="00486991" w:rsidRPr="00C068F4">
        <w:rPr>
          <w:iCs/>
          <w:snapToGrid/>
          <w:color w:val="000000" w:themeColor="text1"/>
        </w:rPr>
        <w:t xml:space="preserve"> emergence of the </w:t>
      </w:r>
      <w:r w:rsidRPr="00C068F4">
        <w:rPr>
          <w:iCs/>
          <w:snapToGrid/>
          <w:color w:val="000000" w:themeColor="text1"/>
        </w:rPr>
        <w:t>Omicron</w:t>
      </w:r>
      <w:r w:rsidR="00486991" w:rsidRPr="00C068F4">
        <w:rPr>
          <w:iCs/>
          <w:snapToGrid/>
          <w:color w:val="000000" w:themeColor="text1"/>
        </w:rPr>
        <w:t xml:space="preserve"> </w:t>
      </w:r>
      <w:r w:rsidR="00BE549A" w:rsidRPr="00C068F4">
        <w:rPr>
          <w:iCs/>
          <w:snapToGrid/>
          <w:color w:val="000000" w:themeColor="text1"/>
        </w:rPr>
        <w:t xml:space="preserve">SARS-CoV-2 </w:t>
      </w:r>
      <w:r w:rsidRPr="00C068F4">
        <w:rPr>
          <w:iCs/>
          <w:snapToGrid/>
          <w:color w:val="000000" w:themeColor="text1"/>
        </w:rPr>
        <w:t>variant.</w:t>
      </w:r>
      <w:r w:rsidRPr="00C068F4">
        <w:t xml:space="preserve"> </w:t>
      </w:r>
      <w:r w:rsidR="00710615" w:rsidRPr="00C068F4">
        <w:rPr>
          <w:iCs/>
          <w:snapToGrid/>
          <w:color w:val="000000" w:themeColor="text1"/>
        </w:rPr>
        <w:t>T</w:t>
      </w:r>
      <w:r w:rsidRPr="00C068F4">
        <w:rPr>
          <w:iCs/>
          <w:snapToGrid/>
          <w:color w:val="000000" w:themeColor="text1"/>
        </w:rPr>
        <w:t>he predominant SARS-CoV-2 variants circulating at the time the PROVENT study was conducted were Alpha, Beta, Gamma, Delta, and Epsilon.</w:t>
      </w:r>
      <w:bookmarkEnd w:id="31"/>
    </w:p>
    <w:p w14:paraId="4A4FE085" w14:textId="1C5613CC" w:rsidR="00B60939" w:rsidRPr="00C068F4" w:rsidRDefault="00B60939" w:rsidP="00B200EB">
      <w:pPr>
        <w:pStyle w:val="4-SubsectionHeading"/>
      </w:pPr>
      <w:bookmarkStart w:id="32" w:name="_Toc22897641"/>
      <w:bookmarkStart w:id="33" w:name="_Toc111710311"/>
      <w:r w:rsidRPr="00C068F4">
        <w:t>Comparative effectiveness</w:t>
      </w:r>
      <w:bookmarkEnd w:id="32"/>
      <w:bookmarkEnd w:id="33"/>
    </w:p>
    <w:p w14:paraId="0E094E48" w14:textId="0374E404" w:rsidR="00D150CB" w:rsidRPr="00C068F4" w:rsidRDefault="007F6E11" w:rsidP="007F6E11">
      <w:pPr>
        <w:pStyle w:val="5-SubsectionSubheading"/>
      </w:pPr>
      <w:bookmarkStart w:id="34" w:name="_Toc111710312"/>
      <w:r w:rsidRPr="00C068F4">
        <w:t>PROVENT trial</w:t>
      </w:r>
      <w:bookmarkEnd w:id="34"/>
    </w:p>
    <w:p w14:paraId="63C5D85C" w14:textId="558FBC97" w:rsidR="004B7449" w:rsidRPr="00C068F4" w:rsidRDefault="00722AA3" w:rsidP="009174C1">
      <w:pPr>
        <w:pStyle w:val="3-BodyText"/>
      </w:pPr>
      <w:r w:rsidRPr="00C068F4">
        <w:t xml:space="preserve">A total of </w:t>
      </w:r>
      <w:r w:rsidR="005051A4" w:rsidRPr="00C068F4">
        <w:t>5</w:t>
      </w:r>
      <w:r w:rsidR="00746984" w:rsidRPr="00C068F4">
        <w:t>,</w:t>
      </w:r>
      <w:r w:rsidR="005051A4" w:rsidRPr="00C068F4">
        <w:t>254 participants were randomi</w:t>
      </w:r>
      <w:r w:rsidR="003D2FA3" w:rsidRPr="00C068F4">
        <w:t>s</w:t>
      </w:r>
      <w:r w:rsidR="005051A4" w:rsidRPr="00C068F4">
        <w:t xml:space="preserve">ed </w:t>
      </w:r>
      <w:r w:rsidR="003D2FA3" w:rsidRPr="00C068F4">
        <w:t xml:space="preserve">in a 2:1 ratio </w:t>
      </w:r>
      <w:r w:rsidR="005051A4" w:rsidRPr="00C068F4">
        <w:t xml:space="preserve">to </w:t>
      </w:r>
      <w:r w:rsidR="004B7449" w:rsidRPr="00C068F4">
        <w:t xml:space="preserve">tixagevimab </w:t>
      </w:r>
      <w:r w:rsidR="00F20F3A" w:rsidRPr="00C068F4">
        <w:t xml:space="preserve">150 mg </w:t>
      </w:r>
      <w:r w:rsidR="004B7449" w:rsidRPr="00C068F4">
        <w:t xml:space="preserve">and </w:t>
      </w:r>
      <w:r w:rsidR="00F20F3A" w:rsidRPr="00C068F4">
        <w:t xml:space="preserve">cilgavimab </w:t>
      </w:r>
      <w:r w:rsidR="004B7449" w:rsidRPr="00C068F4">
        <w:t xml:space="preserve">150 mg or placebo. </w:t>
      </w:r>
      <w:r w:rsidR="0046209B" w:rsidRPr="00C068F4">
        <w:t>5</w:t>
      </w:r>
      <w:r w:rsidR="00746984" w:rsidRPr="00C068F4">
        <w:t>,</w:t>
      </w:r>
      <w:r w:rsidR="0046209B" w:rsidRPr="00C068F4">
        <w:t>197 patients rece</w:t>
      </w:r>
      <w:r w:rsidR="00FA3225" w:rsidRPr="00C068F4">
        <w:t xml:space="preserve">ived </w:t>
      </w:r>
      <w:r w:rsidR="008C7876" w:rsidRPr="00C068F4">
        <w:t>an investigational product</w:t>
      </w:r>
      <w:r w:rsidR="00FA3225" w:rsidRPr="00C068F4">
        <w:t xml:space="preserve"> and are included in</w:t>
      </w:r>
      <w:r w:rsidR="009F0B66" w:rsidRPr="00C068F4">
        <w:t xml:space="preserve"> the </w:t>
      </w:r>
      <w:r w:rsidR="00750568" w:rsidRPr="00C068F4">
        <w:t>full and safety analysis sets.</w:t>
      </w:r>
      <w:r w:rsidR="00A46F5F" w:rsidRPr="00C068F4">
        <w:t xml:space="preserve"> 25 participants were found to have a positive SARS-CoV-2 PCR test at baseline. These patients were excluded from the efficacy analyses but are included in the safety analyses.</w:t>
      </w:r>
      <w:r w:rsidR="00F40608" w:rsidRPr="00C068F4">
        <w:t xml:space="preserve"> </w:t>
      </w:r>
      <w:r w:rsidR="00B52DB5" w:rsidRPr="00C068F4">
        <w:rPr>
          <w:color w:val="000000" w:themeColor="text1"/>
        </w:rPr>
        <w:t xml:space="preserve">The analysis set with these </w:t>
      </w:r>
      <w:r w:rsidR="00015F5A" w:rsidRPr="00C068F4">
        <w:rPr>
          <w:color w:val="000000" w:themeColor="text1"/>
        </w:rPr>
        <w:t>exclusions</w:t>
      </w:r>
      <w:r w:rsidR="00B52DB5" w:rsidRPr="00C068F4">
        <w:rPr>
          <w:color w:val="000000" w:themeColor="text1"/>
        </w:rPr>
        <w:t xml:space="preserve"> (</w:t>
      </w:r>
      <w:r w:rsidR="00F40608" w:rsidRPr="00C068F4">
        <w:rPr>
          <w:color w:val="000000" w:themeColor="text1"/>
        </w:rPr>
        <w:t>5172 patients</w:t>
      </w:r>
      <w:r w:rsidR="00B52DB5" w:rsidRPr="00C068F4">
        <w:rPr>
          <w:color w:val="000000" w:themeColor="text1"/>
        </w:rPr>
        <w:t xml:space="preserve">) is referred to as </w:t>
      </w:r>
      <w:r w:rsidR="00F40608" w:rsidRPr="00C068F4">
        <w:rPr>
          <w:color w:val="000000" w:themeColor="text1"/>
        </w:rPr>
        <w:t>the full pre-exposure analysis set.</w:t>
      </w:r>
    </w:p>
    <w:p w14:paraId="17421488" w14:textId="0D9335F8" w:rsidR="00A21AC6" w:rsidRPr="00C068F4" w:rsidRDefault="00933EF7" w:rsidP="00EC5836">
      <w:pPr>
        <w:pStyle w:val="3-BodyText"/>
        <w:rPr>
          <w:color w:val="000000" w:themeColor="text1"/>
        </w:rPr>
      </w:pPr>
      <w:bookmarkStart w:id="35" w:name="_Ref110101888"/>
      <w:r w:rsidRPr="00C068F4">
        <w:rPr>
          <w:color w:val="000000" w:themeColor="text1"/>
        </w:rPr>
        <w:lastRenderedPageBreak/>
        <w:t xml:space="preserve">The key demographics and baseline clinical characteristics of patients </w:t>
      </w:r>
      <w:r w:rsidR="00750568" w:rsidRPr="00C068F4">
        <w:rPr>
          <w:color w:val="000000" w:themeColor="text1"/>
        </w:rPr>
        <w:t xml:space="preserve">who received </w:t>
      </w:r>
      <w:r w:rsidR="008C7876" w:rsidRPr="00C068F4">
        <w:rPr>
          <w:color w:val="000000" w:themeColor="text1"/>
        </w:rPr>
        <w:t>an investigational product</w:t>
      </w:r>
      <w:r w:rsidR="00750568" w:rsidRPr="00C068F4">
        <w:rPr>
          <w:color w:val="000000" w:themeColor="text1"/>
        </w:rPr>
        <w:t xml:space="preserve"> in</w:t>
      </w:r>
      <w:r w:rsidRPr="00C068F4">
        <w:rPr>
          <w:color w:val="000000" w:themeColor="text1"/>
        </w:rPr>
        <w:t xml:space="preserve"> the PROVENT trial are summarised in</w:t>
      </w:r>
      <w:r w:rsidR="005C6A98" w:rsidRPr="00C068F4">
        <w:rPr>
          <w:color w:val="000000" w:themeColor="text1"/>
        </w:rPr>
        <w:t xml:space="preserve"> </w:t>
      </w:r>
      <w:r w:rsidR="005C6A98" w:rsidRPr="00C068F4">
        <w:rPr>
          <w:color w:val="000000" w:themeColor="text1"/>
        </w:rPr>
        <w:fldChar w:fldCharType="begin" w:fldLock="1"/>
      </w:r>
      <w:r w:rsidR="005C6A98" w:rsidRPr="00C068F4">
        <w:rPr>
          <w:color w:val="000000" w:themeColor="text1"/>
        </w:rPr>
        <w:instrText xml:space="preserve"> REF _Ref109769261 \h  \* MERGEFORMAT </w:instrText>
      </w:r>
      <w:r w:rsidR="005C6A98" w:rsidRPr="00C068F4">
        <w:rPr>
          <w:color w:val="000000" w:themeColor="text1"/>
        </w:rPr>
      </w:r>
      <w:r w:rsidR="005C6A98" w:rsidRPr="00C068F4">
        <w:rPr>
          <w:color w:val="000000" w:themeColor="text1"/>
        </w:rPr>
        <w:fldChar w:fldCharType="separate"/>
      </w:r>
      <w:r w:rsidR="00AB751C" w:rsidRPr="00AB751C">
        <w:rPr>
          <w:color w:val="000000" w:themeColor="text1"/>
        </w:rPr>
        <w:t>Table 3</w:t>
      </w:r>
      <w:r w:rsidR="005C6A98" w:rsidRPr="00C068F4">
        <w:rPr>
          <w:color w:val="000000" w:themeColor="text1"/>
        </w:rPr>
        <w:fldChar w:fldCharType="end"/>
      </w:r>
      <w:r w:rsidRPr="00C068F4">
        <w:rPr>
          <w:color w:val="000000" w:themeColor="text1"/>
        </w:rPr>
        <w:t xml:space="preserve">. The demographics and baseline characteristics, including risk factors for progression to severe COVID-19, were relatively well-balanced between the </w:t>
      </w:r>
      <w:r w:rsidR="005C6A98" w:rsidRPr="00C068F4">
        <w:rPr>
          <w:color w:val="000000" w:themeColor="text1"/>
        </w:rPr>
        <w:t>tixagevimab and cilgavimab</w:t>
      </w:r>
      <w:r w:rsidRPr="00C068F4">
        <w:rPr>
          <w:color w:val="000000" w:themeColor="text1"/>
        </w:rPr>
        <w:t xml:space="preserve"> arm and the placebo arm.</w:t>
      </w:r>
      <w:bookmarkEnd w:id="35"/>
    </w:p>
    <w:p w14:paraId="0768DD3D" w14:textId="6CC5969D" w:rsidR="0046697D" w:rsidRPr="00C068F4" w:rsidRDefault="0046697D" w:rsidP="008D7090">
      <w:pPr>
        <w:pStyle w:val="Caption"/>
        <w:rPr>
          <w:rStyle w:val="CommentReference"/>
          <w:szCs w:val="24"/>
        </w:rPr>
      </w:pPr>
      <w:bookmarkStart w:id="36" w:name="_Ref109769261"/>
      <w:r w:rsidRPr="00C068F4">
        <w:rPr>
          <w:rStyle w:val="CommentReference"/>
          <w:rFonts w:eastAsiaTheme="majorEastAsia" w:cstheme="majorBidi"/>
          <w:b/>
          <w:szCs w:val="24"/>
        </w:rPr>
        <w:t xml:space="preserve">Table </w:t>
      </w:r>
      <w:r w:rsidRPr="00C068F4">
        <w:rPr>
          <w:rStyle w:val="CommentReference"/>
          <w:rFonts w:eastAsiaTheme="majorEastAsia" w:cstheme="majorBidi"/>
          <w:b/>
          <w:szCs w:val="24"/>
        </w:rPr>
        <w:fldChar w:fldCharType="begin" w:fldLock="1"/>
      </w:r>
      <w:r w:rsidRPr="00C068F4">
        <w:rPr>
          <w:rStyle w:val="CommentReference"/>
          <w:rFonts w:eastAsiaTheme="majorEastAsia" w:cstheme="majorBidi"/>
          <w:b/>
          <w:szCs w:val="24"/>
        </w:rPr>
        <w:instrText xml:space="preserve"> SEQ Table \* ARABIC </w:instrText>
      </w:r>
      <w:r w:rsidRPr="00C068F4">
        <w:rPr>
          <w:rStyle w:val="CommentReference"/>
          <w:rFonts w:eastAsiaTheme="majorEastAsia" w:cstheme="majorBidi"/>
          <w:b/>
          <w:szCs w:val="24"/>
        </w:rPr>
        <w:fldChar w:fldCharType="separate"/>
      </w:r>
      <w:r w:rsidR="00DB55F2">
        <w:rPr>
          <w:rStyle w:val="CommentReference"/>
          <w:rFonts w:eastAsiaTheme="majorEastAsia" w:cstheme="majorBidi"/>
          <w:b/>
          <w:noProof/>
          <w:szCs w:val="24"/>
        </w:rPr>
        <w:t>3</w:t>
      </w:r>
      <w:r w:rsidRPr="00C068F4">
        <w:rPr>
          <w:rStyle w:val="CommentReference"/>
          <w:rFonts w:eastAsiaTheme="majorEastAsia" w:cstheme="majorBidi"/>
          <w:b/>
          <w:szCs w:val="24"/>
        </w:rPr>
        <w:fldChar w:fldCharType="end"/>
      </w:r>
      <w:bookmarkEnd w:id="36"/>
      <w:r w:rsidRPr="00C068F4">
        <w:rPr>
          <w:rStyle w:val="CommentReference"/>
          <w:rFonts w:eastAsiaTheme="majorEastAsia" w:cstheme="majorBidi"/>
          <w:b/>
          <w:szCs w:val="24"/>
        </w:rPr>
        <w:t xml:space="preserve">: </w:t>
      </w:r>
      <w:r w:rsidR="001F37A1" w:rsidRPr="00C068F4">
        <w:rPr>
          <w:rStyle w:val="CommentReference"/>
          <w:rFonts w:eastAsiaTheme="majorEastAsia" w:cstheme="majorBidi"/>
          <w:b/>
          <w:szCs w:val="24"/>
        </w:rPr>
        <w:t>Demographic and baseline characteristics of patients recruited to the PROVENT trial (</w:t>
      </w:r>
      <w:r w:rsidR="00184343" w:rsidRPr="00C068F4">
        <w:rPr>
          <w:rStyle w:val="CommentReference"/>
          <w:rFonts w:eastAsiaTheme="majorEastAsia" w:cstheme="majorBidi"/>
          <w:b/>
          <w:szCs w:val="24"/>
        </w:rPr>
        <w:t>full analysis set</w:t>
      </w:r>
      <w:r w:rsidR="001F37A1" w:rsidRPr="00C068F4">
        <w:rPr>
          <w:rStyle w:val="CommentReference"/>
          <w:rFonts w:eastAsiaTheme="majorEastAsia" w:cstheme="majorBidi"/>
          <w:b/>
          <w:szCs w:val="24"/>
        </w:rPr>
        <w:t>)</w:t>
      </w:r>
    </w:p>
    <w:tbl>
      <w:tblPr>
        <w:tblW w:w="9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3: Demographic and baseline characteristics of patients recruited to the PROVENT trial (full analysis set)"/>
      </w:tblPr>
      <w:tblGrid>
        <w:gridCol w:w="3964"/>
        <w:gridCol w:w="1780"/>
        <w:gridCol w:w="1780"/>
        <w:gridCol w:w="1780"/>
      </w:tblGrid>
      <w:tr w:rsidR="00BD65BE" w:rsidRPr="00C068F4" w14:paraId="63A5ADE8" w14:textId="77777777" w:rsidTr="00DC4004">
        <w:tc>
          <w:tcPr>
            <w:tcW w:w="3964" w:type="dxa"/>
            <w:vAlign w:val="center"/>
          </w:tcPr>
          <w:p w14:paraId="5CFC2B6D" w14:textId="53DEA88F" w:rsidR="00BD65BE" w:rsidRPr="00C068F4" w:rsidRDefault="00BD65BE" w:rsidP="005943AA">
            <w:pPr>
              <w:pStyle w:val="In-tableHeading"/>
              <w:rPr>
                <w:lang w:val="en-AU"/>
              </w:rPr>
            </w:pPr>
            <w:r w:rsidRPr="00C068F4">
              <w:rPr>
                <w:lang w:val="en-AU"/>
              </w:rPr>
              <w:t>Parameter</w:t>
            </w:r>
          </w:p>
        </w:tc>
        <w:tc>
          <w:tcPr>
            <w:tcW w:w="1780" w:type="dxa"/>
            <w:vAlign w:val="center"/>
          </w:tcPr>
          <w:p w14:paraId="523EA63A" w14:textId="4DB0EC1C" w:rsidR="00BD65BE" w:rsidRPr="00C068F4" w:rsidRDefault="00D42F08" w:rsidP="003C38C9">
            <w:pPr>
              <w:pStyle w:val="In-tableHeading"/>
              <w:jc w:val="center"/>
              <w:rPr>
                <w:lang w:val="en-AU"/>
              </w:rPr>
            </w:pPr>
            <w:r w:rsidRPr="00C068F4">
              <w:rPr>
                <w:color w:val="000000" w:themeColor="text1"/>
                <w:lang w:val="en-AU"/>
              </w:rPr>
              <w:t>Tixagevimab and cilgavimab</w:t>
            </w:r>
          </w:p>
          <w:p w14:paraId="511ACC43" w14:textId="268C0A6A" w:rsidR="0044339A" w:rsidRPr="00C068F4" w:rsidRDefault="00D42F08" w:rsidP="003C38C9">
            <w:pPr>
              <w:pStyle w:val="In-tableHeading"/>
              <w:jc w:val="center"/>
              <w:rPr>
                <w:lang w:val="en-AU"/>
              </w:rPr>
            </w:pPr>
            <w:r w:rsidRPr="00C068F4">
              <w:rPr>
                <w:lang w:val="en-AU"/>
              </w:rPr>
              <w:t>(</w:t>
            </w:r>
            <w:r w:rsidR="0044339A" w:rsidRPr="00C068F4">
              <w:rPr>
                <w:lang w:val="en-AU"/>
              </w:rPr>
              <w:t>N=3,460</w:t>
            </w:r>
            <w:r w:rsidRPr="00C068F4">
              <w:rPr>
                <w:lang w:val="en-AU"/>
              </w:rPr>
              <w:t>)</w:t>
            </w:r>
          </w:p>
        </w:tc>
        <w:tc>
          <w:tcPr>
            <w:tcW w:w="1780" w:type="dxa"/>
            <w:vAlign w:val="center"/>
          </w:tcPr>
          <w:p w14:paraId="4FB67626" w14:textId="77777777" w:rsidR="00D42F08" w:rsidRPr="00C068F4" w:rsidRDefault="00D42F08" w:rsidP="003C38C9">
            <w:pPr>
              <w:pStyle w:val="In-tableHeading"/>
              <w:jc w:val="center"/>
              <w:rPr>
                <w:lang w:val="en-AU"/>
              </w:rPr>
            </w:pPr>
            <w:r w:rsidRPr="00C068F4">
              <w:rPr>
                <w:lang w:val="en-AU"/>
              </w:rPr>
              <w:t>Placebo</w:t>
            </w:r>
          </w:p>
          <w:p w14:paraId="0C1B141D" w14:textId="25DF79AE" w:rsidR="00BD65BE" w:rsidRPr="00C068F4" w:rsidRDefault="00D42F08" w:rsidP="003C38C9">
            <w:pPr>
              <w:pStyle w:val="In-tableHeading"/>
              <w:jc w:val="center"/>
              <w:rPr>
                <w:lang w:val="en-AU"/>
              </w:rPr>
            </w:pPr>
            <w:r w:rsidRPr="00C068F4">
              <w:rPr>
                <w:lang w:val="en-AU"/>
              </w:rPr>
              <w:t>(N=1737)</w:t>
            </w:r>
          </w:p>
        </w:tc>
        <w:tc>
          <w:tcPr>
            <w:tcW w:w="1780" w:type="dxa"/>
            <w:vAlign w:val="center"/>
          </w:tcPr>
          <w:p w14:paraId="0743098F" w14:textId="77777777" w:rsidR="005943AA" w:rsidRPr="00C068F4" w:rsidRDefault="005943AA" w:rsidP="003C38C9">
            <w:pPr>
              <w:pStyle w:val="In-tableHeading"/>
              <w:jc w:val="center"/>
              <w:rPr>
                <w:lang w:val="en-AU"/>
              </w:rPr>
            </w:pPr>
            <w:r w:rsidRPr="00C068F4">
              <w:rPr>
                <w:lang w:val="en-AU"/>
              </w:rPr>
              <w:t>Total</w:t>
            </w:r>
          </w:p>
          <w:p w14:paraId="05DF53FC" w14:textId="31D27124" w:rsidR="00BD65BE" w:rsidRPr="00C068F4" w:rsidRDefault="005943AA" w:rsidP="003C38C9">
            <w:pPr>
              <w:pStyle w:val="In-tableHeading"/>
              <w:jc w:val="center"/>
              <w:rPr>
                <w:lang w:val="en-AU"/>
              </w:rPr>
            </w:pPr>
            <w:r w:rsidRPr="00C068F4">
              <w:rPr>
                <w:lang w:val="en-AU"/>
              </w:rPr>
              <w:t>(N=5197)</w:t>
            </w:r>
          </w:p>
        </w:tc>
      </w:tr>
      <w:tr w:rsidR="008F7BDE" w:rsidRPr="00C068F4" w14:paraId="2F925CA3" w14:textId="77777777" w:rsidTr="00DC4004">
        <w:tc>
          <w:tcPr>
            <w:tcW w:w="3964" w:type="dxa"/>
          </w:tcPr>
          <w:p w14:paraId="6E026CB4" w14:textId="45E299A8" w:rsidR="008F7BDE" w:rsidRPr="00C068F4" w:rsidRDefault="008F7BDE" w:rsidP="008F7BDE">
            <w:pPr>
              <w:pStyle w:val="TableText0"/>
            </w:pPr>
            <w:r w:rsidRPr="00C068F4">
              <w:t>Age, mean (SD), years</w:t>
            </w:r>
          </w:p>
        </w:tc>
        <w:tc>
          <w:tcPr>
            <w:tcW w:w="1780" w:type="dxa"/>
          </w:tcPr>
          <w:p w14:paraId="1F1F3D6F" w14:textId="212D9FB2" w:rsidR="008F7BDE" w:rsidRPr="00C068F4" w:rsidRDefault="008F7BDE" w:rsidP="003C38C9">
            <w:pPr>
              <w:pStyle w:val="TableText0"/>
              <w:jc w:val="center"/>
            </w:pPr>
            <w:r w:rsidRPr="00C068F4">
              <w:t>53.6 (15.0)</w:t>
            </w:r>
          </w:p>
        </w:tc>
        <w:tc>
          <w:tcPr>
            <w:tcW w:w="1780" w:type="dxa"/>
          </w:tcPr>
          <w:p w14:paraId="20FED5DA" w14:textId="6E542516" w:rsidR="008F7BDE" w:rsidRPr="00C068F4" w:rsidRDefault="008F7BDE" w:rsidP="003C38C9">
            <w:pPr>
              <w:pStyle w:val="TableText0"/>
              <w:jc w:val="center"/>
            </w:pPr>
            <w:r w:rsidRPr="00C068F4">
              <w:t>53.3 (14.9)</w:t>
            </w:r>
          </w:p>
        </w:tc>
        <w:tc>
          <w:tcPr>
            <w:tcW w:w="1780" w:type="dxa"/>
          </w:tcPr>
          <w:p w14:paraId="6B5ED15A" w14:textId="2D1FAA64" w:rsidR="008F7BDE" w:rsidRPr="00C068F4" w:rsidRDefault="008F7BDE" w:rsidP="003C38C9">
            <w:pPr>
              <w:pStyle w:val="TableText0"/>
              <w:jc w:val="center"/>
            </w:pPr>
            <w:r w:rsidRPr="00C068F4">
              <w:t>53.5 (15.0)</w:t>
            </w:r>
          </w:p>
        </w:tc>
      </w:tr>
      <w:tr w:rsidR="008F7BDE" w:rsidRPr="00C068F4" w14:paraId="715DB558" w14:textId="77777777" w:rsidTr="00DC4004">
        <w:tc>
          <w:tcPr>
            <w:tcW w:w="3964" w:type="dxa"/>
          </w:tcPr>
          <w:p w14:paraId="347ADFC5" w14:textId="56834FD9" w:rsidR="008F7BDE" w:rsidRPr="00C068F4" w:rsidRDefault="008F7BDE" w:rsidP="008F7BDE">
            <w:pPr>
              <w:pStyle w:val="TableText0"/>
            </w:pPr>
            <w:r w:rsidRPr="00C068F4">
              <w:t>Age ≥65 years</w:t>
            </w:r>
            <w:r w:rsidR="00650A41" w:rsidRPr="00C068F4">
              <w:t>, n (%)</w:t>
            </w:r>
          </w:p>
        </w:tc>
        <w:tc>
          <w:tcPr>
            <w:tcW w:w="1780" w:type="dxa"/>
          </w:tcPr>
          <w:p w14:paraId="68E74FD2" w14:textId="35B23093" w:rsidR="008F7BDE" w:rsidRPr="00C068F4" w:rsidRDefault="008F7BDE" w:rsidP="003C38C9">
            <w:pPr>
              <w:pStyle w:val="TableText0"/>
              <w:jc w:val="center"/>
            </w:pPr>
            <w:r w:rsidRPr="00C068F4">
              <w:t>817 (23.6)</w:t>
            </w:r>
          </w:p>
        </w:tc>
        <w:tc>
          <w:tcPr>
            <w:tcW w:w="1780" w:type="dxa"/>
          </w:tcPr>
          <w:p w14:paraId="0CEE2188" w14:textId="0FFE5AB0" w:rsidR="008F7BDE" w:rsidRPr="00C068F4" w:rsidRDefault="008F7BDE" w:rsidP="003C38C9">
            <w:pPr>
              <w:pStyle w:val="TableText0"/>
              <w:jc w:val="center"/>
            </w:pPr>
            <w:r w:rsidRPr="00C068F4">
              <w:t>409 (23.5)</w:t>
            </w:r>
          </w:p>
        </w:tc>
        <w:tc>
          <w:tcPr>
            <w:tcW w:w="1780" w:type="dxa"/>
          </w:tcPr>
          <w:p w14:paraId="268903A6" w14:textId="2BE9B8E7" w:rsidR="008F7BDE" w:rsidRPr="00C068F4" w:rsidRDefault="008F7BDE" w:rsidP="003C38C9">
            <w:pPr>
              <w:pStyle w:val="TableText0"/>
              <w:jc w:val="center"/>
            </w:pPr>
            <w:r w:rsidRPr="00C068F4">
              <w:t>1226 (23.6)</w:t>
            </w:r>
          </w:p>
        </w:tc>
      </w:tr>
      <w:tr w:rsidR="008F7BDE" w:rsidRPr="00C068F4" w14:paraId="0DB79153" w14:textId="77777777" w:rsidTr="00DC4004">
        <w:tc>
          <w:tcPr>
            <w:tcW w:w="3964" w:type="dxa"/>
          </w:tcPr>
          <w:p w14:paraId="178B07A5" w14:textId="40673AC7" w:rsidR="008F7BDE" w:rsidRPr="00C068F4" w:rsidRDefault="008F7BDE" w:rsidP="008F7BDE">
            <w:pPr>
              <w:pStyle w:val="TableText0"/>
            </w:pPr>
            <w:r w:rsidRPr="00C068F4">
              <w:t>Female, n (%)</w:t>
            </w:r>
          </w:p>
        </w:tc>
        <w:tc>
          <w:tcPr>
            <w:tcW w:w="1780" w:type="dxa"/>
          </w:tcPr>
          <w:p w14:paraId="4BB0F3D9" w14:textId="5346BB5C" w:rsidR="008F7BDE" w:rsidRPr="00C068F4" w:rsidRDefault="008F7BDE" w:rsidP="003C38C9">
            <w:pPr>
              <w:pStyle w:val="TableText0"/>
              <w:jc w:val="center"/>
            </w:pPr>
            <w:r w:rsidRPr="00C068F4">
              <w:t>1595 (46.1)</w:t>
            </w:r>
          </w:p>
        </w:tc>
        <w:tc>
          <w:tcPr>
            <w:tcW w:w="1780" w:type="dxa"/>
          </w:tcPr>
          <w:p w14:paraId="5E879A6E" w14:textId="5B8E94CF" w:rsidR="008F7BDE" w:rsidRPr="00C068F4" w:rsidRDefault="008F7BDE" w:rsidP="003C38C9">
            <w:pPr>
              <w:pStyle w:val="TableText0"/>
              <w:jc w:val="center"/>
            </w:pPr>
            <w:r w:rsidRPr="00C068F4">
              <w:t>802 (46.2)</w:t>
            </w:r>
          </w:p>
        </w:tc>
        <w:tc>
          <w:tcPr>
            <w:tcW w:w="1780" w:type="dxa"/>
          </w:tcPr>
          <w:p w14:paraId="133C5C8F" w14:textId="07EFA19E" w:rsidR="008F7BDE" w:rsidRPr="00C068F4" w:rsidRDefault="008F7BDE" w:rsidP="003C38C9">
            <w:pPr>
              <w:pStyle w:val="TableText0"/>
              <w:jc w:val="center"/>
            </w:pPr>
            <w:r w:rsidRPr="00C068F4">
              <w:t>2397 (46.1)</w:t>
            </w:r>
          </w:p>
        </w:tc>
      </w:tr>
      <w:tr w:rsidR="008F7BDE" w:rsidRPr="00C068F4" w14:paraId="0FCBA3A0" w14:textId="77777777" w:rsidTr="00DC4004">
        <w:tc>
          <w:tcPr>
            <w:tcW w:w="3964" w:type="dxa"/>
          </w:tcPr>
          <w:p w14:paraId="5E01860C" w14:textId="0F17EAC4" w:rsidR="008F7BDE" w:rsidRPr="00C068F4" w:rsidRDefault="008F7BDE" w:rsidP="008F7BDE">
            <w:pPr>
              <w:pStyle w:val="TableText0"/>
            </w:pPr>
            <w:r w:rsidRPr="00C068F4">
              <w:t>Race, n (%)</w:t>
            </w:r>
          </w:p>
        </w:tc>
        <w:tc>
          <w:tcPr>
            <w:tcW w:w="1780" w:type="dxa"/>
          </w:tcPr>
          <w:p w14:paraId="7B806FEB" w14:textId="77777777" w:rsidR="008F7BDE" w:rsidRPr="00C068F4" w:rsidRDefault="008F7BDE" w:rsidP="003C38C9">
            <w:pPr>
              <w:pStyle w:val="TableText0"/>
              <w:jc w:val="center"/>
            </w:pPr>
          </w:p>
        </w:tc>
        <w:tc>
          <w:tcPr>
            <w:tcW w:w="1780" w:type="dxa"/>
          </w:tcPr>
          <w:p w14:paraId="09528A5A" w14:textId="77777777" w:rsidR="008F7BDE" w:rsidRPr="00C068F4" w:rsidRDefault="008F7BDE" w:rsidP="003C38C9">
            <w:pPr>
              <w:pStyle w:val="TableText0"/>
              <w:jc w:val="center"/>
            </w:pPr>
          </w:p>
        </w:tc>
        <w:tc>
          <w:tcPr>
            <w:tcW w:w="1780" w:type="dxa"/>
          </w:tcPr>
          <w:p w14:paraId="3E925B76" w14:textId="77777777" w:rsidR="008F7BDE" w:rsidRPr="00C068F4" w:rsidRDefault="008F7BDE" w:rsidP="003C38C9">
            <w:pPr>
              <w:pStyle w:val="TableText0"/>
              <w:jc w:val="center"/>
            </w:pPr>
          </w:p>
        </w:tc>
      </w:tr>
      <w:tr w:rsidR="008F7BDE" w:rsidRPr="00C068F4" w14:paraId="25A5DFCC" w14:textId="77777777" w:rsidTr="00DC4004">
        <w:tc>
          <w:tcPr>
            <w:tcW w:w="3964" w:type="dxa"/>
          </w:tcPr>
          <w:p w14:paraId="09C9E1B3" w14:textId="239615CE" w:rsidR="008F7BDE" w:rsidRPr="00C068F4" w:rsidRDefault="008F7BDE" w:rsidP="008F7BDE">
            <w:pPr>
              <w:pStyle w:val="TableText0"/>
              <w:ind w:left="245"/>
            </w:pPr>
            <w:r w:rsidRPr="00C068F4">
              <w:t>White</w:t>
            </w:r>
          </w:p>
        </w:tc>
        <w:tc>
          <w:tcPr>
            <w:tcW w:w="1780" w:type="dxa"/>
          </w:tcPr>
          <w:p w14:paraId="20E4417B" w14:textId="4FCF46F1" w:rsidR="008F7BDE" w:rsidRPr="00C068F4" w:rsidRDefault="008F7BDE" w:rsidP="003C38C9">
            <w:pPr>
              <w:pStyle w:val="TableText0"/>
              <w:jc w:val="center"/>
            </w:pPr>
            <w:r w:rsidRPr="00C068F4">
              <w:t>2545 (73.6)</w:t>
            </w:r>
          </w:p>
        </w:tc>
        <w:tc>
          <w:tcPr>
            <w:tcW w:w="1780" w:type="dxa"/>
          </w:tcPr>
          <w:p w14:paraId="6FB0E106" w14:textId="5DE173D9" w:rsidR="008F7BDE" w:rsidRPr="00C068F4" w:rsidRDefault="008F7BDE" w:rsidP="003C38C9">
            <w:pPr>
              <w:pStyle w:val="TableText0"/>
              <w:jc w:val="center"/>
            </w:pPr>
            <w:r w:rsidRPr="00C068F4">
              <w:t>1249 (71.9)</w:t>
            </w:r>
          </w:p>
        </w:tc>
        <w:tc>
          <w:tcPr>
            <w:tcW w:w="1780" w:type="dxa"/>
          </w:tcPr>
          <w:p w14:paraId="6FB59F1C" w14:textId="2D26460B" w:rsidR="008F7BDE" w:rsidRPr="00C068F4" w:rsidRDefault="008F7BDE" w:rsidP="003C38C9">
            <w:pPr>
              <w:pStyle w:val="TableText0"/>
              <w:jc w:val="center"/>
            </w:pPr>
            <w:r w:rsidRPr="00C068F4">
              <w:t>3794 (73.0)</w:t>
            </w:r>
          </w:p>
        </w:tc>
      </w:tr>
      <w:tr w:rsidR="008F7BDE" w:rsidRPr="00C068F4" w14:paraId="4E11E14D" w14:textId="77777777" w:rsidTr="00DC4004">
        <w:tc>
          <w:tcPr>
            <w:tcW w:w="3964" w:type="dxa"/>
          </w:tcPr>
          <w:p w14:paraId="53083131" w14:textId="3059D14A" w:rsidR="008F7BDE" w:rsidRPr="00C068F4" w:rsidRDefault="008F7BDE" w:rsidP="008F7BDE">
            <w:pPr>
              <w:pStyle w:val="TableText0"/>
              <w:ind w:left="245"/>
            </w:pPr>
            <w:r w:rsidRPr="00C068F4">
              <w:t>Black/African American</w:t>
            </w:r>
          </w:p>
        </w:tc>
        <w:tc>
          <w:tcPr>
            <w:tcW w:w="1780" w:type="dxa"/>
          </w:tcPr>
          <w:p w14:paraId="7C54150A" w14:textId="00BECDB1" w:rsidR="008F7BDE" w:rsidRPr="00C068F4" w:rsidRDefault="008F7BDE" w:rsidP="003C38C9">
            <w:pPr>
              <w:pStyle w:val="TableText0"/>
              <w:jc w:val="center"/>
            </w:pPr>
            <w:r w:rsidRPr="00C068F4">
              <w:t>597 (17.3)</w:t>
            </w:r>
          </w:p>
        </w:tc>
        <w:tc>
          <w:tcPr>
            <w:tcW w:w="1780" w:type="dxa"/>
          </w:tcPr>
          <w:p w14:paraId="40B82495" w14:textId="32E5AF8E" w:rsidR="008F7BDE" w:rsidRPr="00C068F4" w:rsidRDefault="008F7BDE" w:rsidP="003C38C9">
            <w:pPr>
              <w:pStyle w:val="TableText0"/>
              <w:jc w:val="center"/>
            </w:pPr>
            <w:r w:rsidRPr="00C068F4">
              <w:t>302 (17.4)</w:t>
            </w:r>
          </w:p>
        </w:tc>
        <w:tc>
          <w:tcPr>
            <w:tcW w:w="1780" w:type="dxa"/>
          </w:tcPr>
          <w:p w14:paraId="73603D05" w14:textId="308CB387" w:rsidR="008F7BDE" w:rsidRPr="00C068F4" w:rsidRDefault="008F7BDE" w:rsidP="003C38C9">
            <w:pPr>
              <w:pStyle w:val="TableText0"/>
              <w:jc w:val="center"/>
            </w:pPr>
            <w:r w:rsidRPr="00C068F4">
              <w:t>899 (17.3)</w:t>
            </w:r>
          </w:p>
        </w:tc>
      </w:tr>
      <w:tr w:rsidR="008F7BDE" w:rsidRPr="00C068F4" w14:paraId="6C970E7D" w14:textId="77777777" w:rsidTr="00DC4004">
        <w:tc>
          <w:tcPr>
            <w:tcW w:w="3964" w:type="dxa"/>
          </w:tcPr>
          <w:p w14:paraId="50544F24" w14:textId="20D01853" w:rsidR="008F7BDE" w:rsidRPr="00C068F4" w:rsidRDefault="008F7BDE" w:rsidP="008F7BDE">
            <w:pPr>
              <w:pStyle w:val="TableText0"/>
              <w:ind w:left="245"/>
            </w:pPr>
            <w:r w:rsidRPr="00C068F4">
              <w:t>Asian</w:t>
            </w:r>
          </w:p>
        </w:tc>
        <w:tc>
          <w:tcPr>
            <w:tcW w:w="1780" w:type="dxa"/>
          </w:tcPr>
          <w:p w14:paraId="4D6CF3B8" w14:textId="6A41F4EA" w:rsidR="008F7BDE" w:rsidRPr="00C068F4" w:rsidRDefault="008F7BDE" w:rsidP="003C38C9">
            <w:pPr>
              <w:pStyle w:val="TableText0"/>
              <w:jc w:val="center"/>
            </w:pPr>
            <w:r w:rsidRPr="00C068F4">
              <w:t>110 (3.2)</w:t>
            </w:r>
          </w:p>
        </w:tc>
        <w:tc>
          <w:tcPr>
            <w:tcW w:w="1780" w:type="dxa"/>
          </w:tcPr>
          <w:p w14:paraId="67CEA9F1" w14:textId="7F5DA582" w:rsidR="008F7BDE" w:rsidRPr="00C068F4" w:rsidRDefault="008F7BDE" w:rsidP="003C38C9">
            <w:pPr>
              <w:pStyle w:val="TableText0"/>
              <w:jc w:val="center"/>
            </w:pPr>
            <w:r w:rsidRPr="00C068F4">
              <w:t>60 (3.5)</w:t>
            </w:r>
          </w:p>
        </w:tc>
        <w:tc>
          <w:tcPr>
            <w:tcW w:w="1780" w:type="dxa"/>
          </w:tcPr>
          <w:p w14:paraId="7E5A630E" w14:textId="46A37558" w:rsidR="008F7BDE" w:rsidRPr="00C068F4" w:rsidRDefault="008F7BDE" w:rsidP="003C38C9">
            <w:pPr>
              <w:pStyle w:val="TableText0"/>
              <w:jc w:val="center"/>
            </w:pPr>
            <w:r w:rsidRPr="00C068F4">
              <w:t>170 (3.3)</w:t>
            </w:r>
          </w:p>
        </w:tc>
      </w:tr>
      <w:tr w:rsidR="008F7BDE" w:rsidRPr="00C068F4" w14:paraId="5CAF5F4A" w14:textId="77777777" w:rsidTr="00DC4004">
        <w:tc>
          <w:tcPr>
            <w:tcW w:w="3964" w:type="dxa"/>
          </w:tcPr>
          <w:p w14:paraId="6015AD5E" w14:textId="07D99A66" w:rsidR="008F7BDE" w:rsidRPr="00C068F4" w:rsidRDefault="008F7BDE" w:rsidP="008F7BDE">
            <w:pPr>
              <w:pStyle w:val="TableText0"/>
              <w:ind w:left="245"/>
            </w:pPr>
            <w:r w:rsidRPr="00C068F4">
              <w:t>American Indian/Alaska Native</w:t>
            </w:r>
          </w:p>
        </w:tc>
        <w:tc>
          <w:tcPr>
            <w:tcW w:w="1780" w:type="dxa"/>
          </w:tcPr>
          <w:p w14:paraId="3AA8E60F" w14:textId="4204DDF9" w:rsidR="008F7BDE" w:rsidRPr="00C068F4" w:rsidRDefault="008F7BDE" w:rsidP="003C38C9">
            <w:pPr>
              <w:pStyle w:val="TableText0"/>
              <w:jc w:val="center"/>
            </w:pPr>
            <w:r w:rsidRPr="00C068F4">
              <w:t>19 (0.5)</w:t>
            </w:r>
          </w:p>
        </w:tc>
        <w:tc>
          <w:tcPr>
            <w:tcW w:w="1780" w:type="dxa"/>
          </w:tcPr>
          <w:p w14:paraId="7C8EB166" w14:textId="4FC465A9" w:rsidR="008F7BDE" w:rsidRPr="00C068F4" w:rsidRDefault="008F7BDE" w:rsidP="003C38C9">
            <w:pPr>
              <w:pStyle w:val="TableText0"/>
              <w:jc w:val="center"/>
            </w:pPr>
            <w:r w:rsidRPr="00C068F4">
              <w:t>10 (0.6)</w:t>
            </w:r>
          </w:p>
        </w:tc>
        <w:tc>
          <w:tcPr>
            <w:tcW w:w="1780" w:type="dxa"/>
          </w:tcPr>
          <w:p w14:paraId="0938A219" w14:textId="3C7CD3D2" w:rsidR="008F7BDE" w:rsidRPr="00C068F4" w:rsidRDefault="008F7BDE" w:rsidP="003C38C9">
            <w:pPr>
              <w:pStyle w:val="TableText0"/>
              <w:jc w:val="center"/>
            </w:pPr>
            <w:r w:rsidRPr="00C068F4">
              <w:t>29 (0.6)</w:t>
            </w:r>
          </w:p>
        </w:tc>
      </w:tr>
      <w:tr w:rsidR="008F7BDE" w:rsidRPr="00C068F4" w14:paraId="047CB73F" w14:textId="77777777" w:rsidTr="00DC4004">
        <w:tc>
          <w:tcPr>
            <w:tcW w:w="3964" w:type="dxa"/>
          </w:tcPr>
          <w:p w14:paraId="73EE3000" w14:textId="1BD6E773" w:rsidR="008F7BDE" w:rsidRPr="00C068F4" w:rsidRDefault="008F7BDE" w:rsidP="008F7BDE">
            <w:pPr>
              <w:pStyle w:val="TableText0"/>
              <w:ind w:left="245"/>
            </w:pPr>
            <w:r w:rsidRPr="00C068F4">
              <w:t>Native Hawaiian/Pacific Islander</w:t>
            </w:r>
          </w:p>
        </w:tc>
        <w:tc>
          <w:tcPr>
            <w:tcW w:w="1780" w:type="dxa"/>
          </w:tcPr>
          <w:p w14:paraId="13B458D4" w14:textId="1E79D72F" w:rsidR="008F7BDE" w:rsidRPr="00C068F4" w:rsidRDefault="008F7BDE" w:rsidP="003C38C9">
            <w:pPr>
              <w:pStyle w:val="TableText0"/>
              <w:jc w:val="center"/>
            </w:pPr>
            <w:r w:rsidRPr="00C068F4">
              <w:t>4 (0.1)</w:t>
            </w:r>
          </w:p>
        </w:tc>
        <w:tc>
          <w:tcPr>
            <w:tcW w:w="1780" w:type="dxa"/>
          </w:tcPr>
          <w:p w14:paraId="08C074FE" w14:textId="4340E696" w:rsidR="008F7BDE" w:rsidRPr="00C068F4" w:rsidRDefault="008F7BDE" w:rsidP="003C38C9">
            <w:pPr>
              <w:pStyle w:val="TableText0"/>
              <w:jc w:val="center"/>
            </w:pPr>
            <w:r w:rsidRPr="00C068F4">
              <w:t>4 (0.2)</w:t>
            </w:r>
          </w:p>
        </w:tc>
        <w:tc>
          <w:tcPr>
            <w:tcW w:w="1780" w:type="dxa"/>
          </w:tcPr>
          <w:p w14:paraId="5A54DBAF" w14:textId="2BDAF165" w:rsidR="008F7BDE" w:rsidRPr="00C068F4" w:rsidRDefault="008F7BDE" w:rsidP="003C38C9">
            <w:pPr>
              <w:pStyle w:val="TableText0"/>
              <w:jc w:val="center"/>
            </w:pPr>
            <w:r w:rsidRPr="00C068F4">
              <w:t>8 (0.2)</w:t>
            </w:r>
          </w:p>
        </w:tc>
      </w:tr>
      <w:tr w:rsidR="008F7BDE" w:rsidRPr="00C068F4" w14:paraId="226D087E" w14:textId="77777777" w:rsidTr="00DC4004">
        <w:tc>
          <w:tcPr>
            <w:tcW w:w="3964" w:type="dxa"/>
          </w:tcPr>
          <w:p w14:paraId="791CD120" w14:textId="096B6E8F" w:rsidR="008F7BDE" w:rsidRPr="00C068F4" w:rsidRDefault="008F7BDE" w:rsidP="008F7BDE">
            <w:pPr>
              <w:pStyle w:val="TableText0"/>
              <w:ind w:left="245"/>
            </w:pPr>
            <w:r w:rsidRPr="00C068F4">
              <w:t>Unknown/not reported/multiple/missing</w:t>
            </w:r>
          </w:p>
        </w:tc>
        <w:tc>
          <w:tcPr>
            <w:tcW w:w="1780" w:type="dxa"/>
          </w:tcPr>
          <w:p w14:paraId="618FAF89" w14:textId="797D26A2" w:rsidR="008F7BDE" w:rsidRPr="00C068F4" w:rsidRDefault="008F7BDE" w:rsidP="003C38C9">
            <w:pPr>
              <w:pStyle w:val="TableText0"/>
              <w:jc w:val="center"/>
            </w:pPr>
            <w:r w:rsidRPr="00C068F4">
              <w:t>185 (5.3)</w:t>
            </w:r>
          </w:p>
        </w:tc>
        <w:tc>
          <w:tcPr>
            <w:tcW w:w="1780" w:type="dxa"/>
          </w:tcPr>
          <w:p w14:paraId="604DFECC" w14:textId="51400804" w:rsidR="008F7BDE" w:rsidRPr="00C068F4" w:rsidRDefault="008F7BDE" w:rsidP="003C38C9">
            <w:pPr>
              <w:pStyle w:val="TableText0"/>
              <w:jc w:val="center"/>
            </w:pPr>
            <w:r w:rsidRPr="00C068F4">
              <w:t>112 (6.4)</w:t>
            </w:r>
          </w:p>
        </w:tc>
        <w:tc>
          <w:tcPr>
            <w:tcW w:w="1780" w:type="dxa"/>
          </w:tcPr>
          <w:p w14:paraId="2B34C4C2" w14:textId="20806256" w:rsidR="008F7BDE" w:rsidRPr="00C068F4" w:rsidRDefault="008F7BDE" w:rsidP="003C38C9">
            <w:pPr>
              <w:pStyle w:val="TableText0"/>
              <w:jc w:val="center"/>
            </w:pPr>
            <w:r w:rsidRPr="00C068F4">
              <w:t>297 (5.7)</w:t>
            </w:r>
          </w:p>
        </w:tc>
      </w:tr>
      <w:tr w:rsidR="008F7BDE" w:rsidRPr="00C068F4" w14:paraId="55109EF0" w14:textId="77777777" w:rsidTr="00DC4004">
        <w:tc>
          <w:tcPr>
            <w:tcW w:w="3964" w:type="dxa"/>
          </w:tcPr>
          <w:p w14:paraId="79253FBE" w14:textId="784951C2" w:rsidR="008F7BDE" w:rsidRPr="00C068F4" w:rsidRDefault="008F7BDE" w:rsidP="008F7BDE">
            <w:pPr>
              <w:pStyle w:val="TableText0"/>
            </w:pPr>
            <w:r w:rsidRPr="00C068F4">
              <w:t>BMI, mean (SD), kg/m</w:t>
            </w:r>
            <w:r w:rsidRPr="00C068F4">
              <w:rPr>
                <w:vertAlign w:val="superscript"/>
              </w:rPr>
              <w:t>2</w:t>
            </w:r>
          </w:p>
        </w:tc>
        <w:tc>
          <w:tcPr>
            <w:tcW w:w="1780" w:type="dxa"/>
          </w:tcPr>
          <w:p w14:paraId="250B4F0A" w14:textId="2FD27B7C" w:rsidR="008F7BDE" w:rsidRPr="00C068F4" w:rsidRDefault="008F7BDE" w:rsidP="003C38C9">
            <w:pPr>
              <w:pStyle w:val="TableText0"/>
              <w:jc w:val="center"/>
            </w:pPr>
            <w:r w:rsidRPr="00C068F4">
              <w:t>29.6 (6.9)</w:t>
            </w:r>
          </w:p>
        </w:tc>
        <w:tc>
          <w:tcPr>
            <w:tcW w:w="1780" w:type="dxa"/>
          </w:tcPr>
          <w:p w14:paraId="3DE40594" w14:textId="38D80F33" w:rsidR="008F7BDE" w:rsidRPr="00C068F4" w:rsidRDefault="008F7BDE" w:rsidP="003C38C9">
            <w:pPr>
              <w:pStyle w:val="TableText0"/>
              <w:jc w:val="center"/>
            </w:pPr>
            <w:r w:rsidRPr="00C068F4">
              <w:t>29.6 (7.0)</w:t>
            </w:r>
          </w:p>
        </w:tc>
        <w:tc>
          <w:tcPr>
            <w:tcW w:w="1780" w:type="dxa"/>
          </w:tcPr>
          <w:p w14:paraId="6FB6DB86" w14:textId="53CBF87C" w:rsidR="008F7BDE" w:rsidRPr="00C068F4" w:rsidRDefault="008F7BDE" w:rsidP="003C38C9">
            <w:pPr>
              <w:pStyle w:val="TableText0"/>
              <w:jc w:val="center"/>
            </w:pPr>
            <w:r w:rsidRPr="00C068F4">
              <w:t>29.6 (6.9)</w:t>
            </w:r>
          </w:p>
        </w:tc>
      </w:tr>
      <w:tr w:rsidR="008F7BDE" w:rsidRPr="00C068F4" w14:paraId="3874B873" w14:textId="77777777" w:rsidTr="00DC4004">
        <w:tc>
          <w:tcPr>
            <w:tcW w:w="3964" w:type="dxa"/>
          </w:tcPr>
          <w:p w14:paraId="77FD3CC6" w14:textId="53088889" w:rsidR="008F7BDE" w:rsidRPr="00C068F4" w:rsidRDefault="008F7BDE" w:rsidP="008F7BDE">
            <w:pPr>
              <w:pStyle w:val="TableText0"/>
            </w:pPr>
            <w:r w:rsidRPr="00C068F4">
              <w:t>Resident in long-term care facility, n (%)</w:t>
            </w:r>
          </w:p>
        </w:tc>
        <w:tc>
          <w:tcPr>
            <w:tcW w:w="1780" w:type="dxa"/>
          </w:tcPr>
          <w:p w14:paraId="49116207" w14:textId="096AC14C" w:rsidR="008F7BDE" w:rsidRPr="00C068F4" w:rsidRDefault="008F7BDE" w:rsidP="003C38C9">
            <w:pPr>
              <w:pStyle w:val="TableText0"/>
              <w:jc w:val="center"/>
            </w:pPr>
            <w:r w:rsidRPr="00C068F4">
              <w:t>14 (0.4)</w:t>
            </w:r>
          </w:p>
        </w:tc>
        <w:tc>
          <w:tcPr>
            <w:tcW w:w="1780" w:type="dxa"/>
          </w:tcPr>
          <w:p w14:paraId="3AEA882D" w14:textId="5F8625B3" w:rsidR="008F7BDE" w:rsidRPr="00C068F4" w:rsidRDefault="008F7BDE" w:rsidP="003C38C9">
            <w:pPr>
              <w:pStyle w:val="TableText0"/>
              <w:jc w:val="center"/>
            </w:pPr>
            <w:r w:rsidRPr="00C068F4">
              <w:t>12 (0.7)</w:t>
            </w:r>
          </w:p>
        </w:tc>
        <w:tc>
          <w:tcPr>
            <w:tcW w:w="1780" w:type="dxa"/>
          </w:tcPr>
          <w:p w14:paraId="5276F3D3" w14:textId="38611A7F" w:rsidR="008F7BDE" w:rsidRPr="00C068F4" w:rsidRDefault="008F7BDE" w:rsidP="003C38C9">
            <w:pPr>
              <w:pStyle w:val="TableText0"/>
              <w:jc w:val="center"/>
            </w:pPr>
            <w:r w:rsidRPr="00C068F4">
              <w:t>26 (0.5)</w:t>
            </w:r>
          </w:p>
        </w:tc>
      </w:tr>
      <w:tr w:rsidR="008F7BDE" w:rsidRPr="00C068F4" w14:paraId="481C50AA" w14:textId="77777777" w:rsidTr="00DC4004">
        <w:tc>
          <w:tcPr>
            <w:tcW w:w="3964" w:type="dxa"/>
          </w:tcPr>
          <w:p w14:paraId="5C6F9D56" w14:textId="00424525" w:rsidR="008F7BDE" w:rsidRPr="00C068F4" w:rsidRDefault="008F7BDE" w:rsidP="008F7BDE">
            <w:pPr>
              <w:pStyle w:val="TableText0"/>
            </w:pPr>
            <w:r w:rsidRPr="00C068F4">
              <w:t>Increased risk of inadequate response to active immunisation, n (%)†</w:t>
            </w:r>
          </w:p>
        </w:tc>
        <w:tc>
          <w:tcPr>
            <w:tcW w:w="1780" w:type="dxa"/>
          </w:tcPr>
          <w:p w14:paraId="40F3DD3C" w14:textId="0963491A" w:rsidR="008F7BDE" w:rsidRPr="00C068F4" w:rsidRDefault="008F7BDE" w:rsidP="003C38C9">
            <w:pPr>
              <w:pStyle w:val="TableText0"/>
              <w:jc w:val="center"/>
            </w:pPr>
            <w:r w:rsidRPr="00C068F4">
              <w:t>2546 (73.6)</w:t>
            </w:r>
          </w:p>
        </w:tc>
        <w:tc>
          <w:tcPr>
            <w:tcW w:w="1780" w:type="dxa"/>
          </w:tcPr>
          <w:p w14:paraId="667B1D56" w14:textId="40F827D0" w:rsidR="008F7BDE" w:rsidRPr="00C068F4" w:rsidRDefault="008F7BDE" w:rsidP="003C38C9">
            <w:pPr>
              <w:pStyle w:val="TableText0"/>
              <w:jc w:val="center"/>
            </w:pPr>
            <w:r w:rsidRPr="00C068F4">
              <w:t>1264 (72.8)</w:t>
            </w:r>
          </w:p>
        </w:tc>
        <w:tc>
          <w:tcPr>
            <w:tcW w:w="1780" w:type="dxa"/>
          </w:tcPr>
          <w:p w14:paraId="1C216494" w14:textId="0B1C35B7" w:rsidR="008F7BDE" w:rsidRPr="00C068F4" w:rsidRDefault="008F7BDE" w:rsidP="003C38C9">
            <w:pPr>
              <w:pStyle w:val="TableText0"/>
              <w:jc w:val="center"/>
            </w:pPr>
            <w:r w:rsidRPr="00C068F4">
              <w:t>3810 (73.3)</w:t>
            </w:r>
          </w:p>
        </w:tc>
      </w:tr>
      <w:tr w:rsidR="008F7BDE" w:rsidRPr="00C068F4" w14:paraId="330776A3" w14:textId="77777777" w:rsidTr="00DC4004">
        <w:tc>
          <w:tcPr>
            <w:tcW w:w="3964" w:type="dxa"/>
          </w:tcPr>
          <w:p w14:paraId="48A23B60" w14:textId="54456BE5" w:rsidR="008F7BDE" w:rsidRPr="00C068F4" w:rsidRDefault="008F7BDE" w:rsidP="008F7BDE">
            <w:pPr>
              <w:pStyle w:val="TableText0"/>
            </w:pPr>
            <w:r w:rsidRPr="00C068F4">
              <w:t>Increased risk of exposure to SARS-CoV-2, n (%)‡</w:t>
            </w:r>
          </w:p>
        </w:tc>
        <w:tc>
          <w:tcPr>
            <w:tcW w:w="1780" w:type="dxa"/>
          </w:tcPr>
          <w:p w14:paraId="12CC9D1B" w14:textId="064915CC" w:rsidR="008F7BDE" w:rsidRPr="00C068F4" w:rsidRDefault="008F7BDE" w:rsidP="003C38C9">
            <w:pPr>
              <w:pStyle w:val="TableText0"/>
              <w:jc w:val="center"/>
            </w:pPr>
            <w:r w:rsidRPr="00C068F4">
              <w:t>1820 (52.6)</w:t>
            </w:r>
          </w:p>
        </w:tc>
        <w:tc>
          <w:tcPr>
            <w:tcW w:w="1780" w:type="dxa"/>
          </w:tcPr>
          <w:p w14:paraId="4EB3D65F" w14:textId="3CD5F246" w:rsidR="008F7BDE" w:rsidRPr="00C068F4" w:rsidRDefault="008F7BDE" w:rsidP="003C38C9">
            <w:pPr>
              <w:pStyle w:val="TableText0"/>
              <w:jc w:val="center"/>
            </w:pPr>
            <w:r w:rsidRPr="00C068F4">
              <w:t>909 (52.3)</w:t>
            </w:r>
          </w:p>
        </w:tc>
        <w:tc>
          <w:tcPr>
            <w:tcW w:w="1780" w:type="dxa"/>
          </w:tcPr>
          <w:p w14:paraId="6433D1E0" w14:textId="76BC45FC" w:rsidR="008F7BDE" w:rsidRPr="00C068F4" w:rsidRDefault="008F7BDE" w:rsidP="003C38C9">
            <w:pPr>
              <w:pStyle w:val="TableText0"/>
              <w:jc w:val="center"/>
            </w:pPr>
            <w:r w:rsidRPr="00C068F4">
              <w:t>2729 (52.5)</w:t>
            </w:r>
          </w:p>
        </w:tc>
      </w:tr>
      <w:tr w:rsidR="008F7BDE" w:rsidRPr="00C068F4" w14:paraId="064E184B" w14:textId="77777777" w:rsidTr="00DC4004">
        <w:tc>
          <w:tcPr>
            <w:tcW w:w="3964" w:type="dxa"/>
          </w:tcPr>
          <w:p w14:paraId="3E811FF0" w14:textId="2FD5DD98" w:rsidR="008F7BDE" w:rsidRPr="00C068F4" w:rsidRDefault="008F7BDE" w:rsidP="008F7BDE">
            <w:pPr>
              <w:pStyle w:val="TableText0"/>
            </w:pPr>
            <w:r w:rsidRPr="00C068F4">
              <w:t>Comorbidities placing participants at high risk for severe COVID-19, n (%)</w:t>
            </w:r>
          </w:p>
        </w:tc>
        <w:tc>
          <w:tcPr>
            <w:tcW w:w="1780" w:type="dxa"/>
          </w:tcPr>
          <w:p w14:paraId="7AB31453" w14:textId="77777777" w:rsidR="008F7BDE" w:rsidRPr="00C068F4" w:rsidRDefault="008F7BDE" w:rsidP="003C38C9">
            <w:pPr>
              <w:pStyle w:val="TableText0"/>
              <w:jc w:val="center"/>
            </w:pPr>
          </w:p>
        </w:tc>
        <w:tc>
          <w:tcPr>
            <w:tcW w:w="1780" w:type="dxa"/>
          </w:tcPr>
          <w:p w14:paraId="431FA1B3" w14:textId="77777777" w:rsidR="008F7BDE" w:rsidRPr="00C068F4" w:rsidRDefault="008F7BDE" w:rsidP="003C38C9">
            <w:pPr>
              <w:pStyle w:val="TableText0"/>
              <w:jc w:val="center"/>
            </w:pPr>
          </w:p>
        </w:tc>
        <w:tc>
          <w:tcPr>
            <w:tcW w:w="1780" w:type="dxa"/>
          </w:tcPr>
          <w:p w14:paraId="2F8B1915" w14:textId="77777777" w:rsidR="008F7BDE" w:rsidRPr="00C068F4" w:rsidRDefault="008F7BDE" w:rsidP="003C38C9">
            <w:pPr>
              <w:pStyle w:val="TableText0"/>
              <w:jc w:val="center"/>
            </w:pPr>
          </w:p>
        </w:tc>
      </w:tr>
      <w:tr w:rsidR="008F7BDE" w:rsidRPr="00C068F4" w14:paraId="36575AFB" w14:textId="77777777" w:rsidTr="00DC4004">
        <w:tc>
          <w:tcPr>
            <w:tcW w:w="3964" w:type="dxa"/>
          </w:tcPr>
          <w:p w14:paraId="589C5C53" w14:textId="3AA2CC3D" w:rsidR="008F7BDE" w:rsidRPr="00C068F4" w:rsidRDefault="008F7BDE" w:rsidP="008F7BDE">
            <w:pPr>
              <w:pStyle w:val="TableText0"/>
              <w:ind w:left="245"/>
            </w:pPr>
            <w:r w:rsidRPr="00C068F4">
              <w:t>Any high risk</w:t>
            </w:r>
          </w:p>
        </w:tc>
        <w:tc>
          <w:tcPr>
            <w:tcW w:w="1780" w:type="dxa"/>
          </w:tcPr>
          <w:p w14:paraId="018ECFD9" w14:textId="12820699" w:rsidR="008F7BDE" w:rsidRPr="00C068F4" w:rsidRDefault="008F7BDE" w:rsidP="003C38C9">
            <w:pPr>
              <w:pStyle w:val="TableText0"/>
              <w:jc w:val="center"/>
            </w:pPr>
            <w:r w:rsidRPr="00C068F4">
              <w:t>2666 (77.1)</w:t>
            </w:r>
          </w:p>
        </w:tc>
        <w:tc>
          <w:tcPr>
            <w:tcW w:w="1780" w:type="dxa"/>
          </w:tcPr>
          <w:p w14:paraId="5EC85654" w14:textId="2143C52B" w:rsidR="008F7BDE" w:rsidRPr="00C068F4" w:rsidRDefault="008F7BDE" w:rsidP="003C38C9">
            <w:pPr>
              <w:pStyle w:val="TableText0"/>
              <w:jc w:val="center"/>
            </w:pPr>
            <w:r w:rsidRPr="00C068F4">
              <w:t>1362 (78.4)</w:t>
            </w:r>
          </w:p>
        </w:tc>
        <w:tc>
          <w:tcPr>
            <w:tcW w:w="1780" w:type="dxa"/>
          </w:tcPr>
          <w:p w14:paraId="46A4AB95" w14:textId="3FEFD531" w:rsidR="008F7BDE" w:rsidRPr="00C068F4" w:rsidRDefault="008F7BDE" w:rsidP="003C38C9">
            <w:pPr>
              <w:pStyle w:val="TableText0"/>
              <w:jc w:val="center"/>
            </w:pPr>
            <w:r w:rsidRPr="00C068F4">
              <w:t>4028 (77.5)</w:t>
            </w:r>
          </w:p>
        </w:tc>
      </w:tr>
      <w:tr w:rsidR="008F7BDE" w:rsidRPr="00C068F4" w14:paraId="7EAB668A" w14:textId="77777777" w:rsidTr="00DC4004">
        <w:tc>
          <w:tcPr>
            <w:tcW w:w="3964" w:type="dxa"/>
          </w:tcPr>
          <w:p w14:paraId="73F7361A" w14:textId="6ED29915" w:rsidR="008F7BDE" w:rsidRPr="00C068F4" w:rsidRDefault="008F7BDE" w:rsidP="008F7BDE">
            <w:pPr>
              <w:pStyle w:val="TableText0"/>
              <w:ind w:left="387"/>
            </w:pPr>
            <w:r w:rsidRPr="00C068F4">
              <w:t>Obesity (BMI ≥30 kg/m</w:t>
            </w:r>
            <w:r w:rsidRPr="00C068F4">
              <w:rPr>
                <w:vertAlign w:val="superscript"/>
              </w:rPr>
              <w:t>2</w:t>
            </w:r>
            <w:r w:rsidRPr="00C068F4">
              <w:t>)</w:t>
            </w:r>
          </w:p>
        </w:tc>
        <w:tc>
          <w:tcPr>
            <w:tcW w:w="1780" w:type="dxa"/>
          </w:tcPr>
          <w:p w14:paraId="6DE36958" w14:textId="2047A421" w:rsidR="008F7BDE" w:rsidRPr="00C068F4" w:rsidRDefault="008F7BDE" w:rsidP="003C38C9">
            <w:pPr>
              <w:pStyle w:val="TableText0"/>
              <w:jc w:val="center"/>
            </w:pPr>
            <w:r w:rsidRPr="00C068F4">
              <w:t>1456 (42.1)</w:t>
            </w:r>
          </w:p>
        </w:tc>
        <w:tc>
          <w:tcPr>
            <w:tcW w:w="1780" w:type="dxa"/>
          </w:tcPr>
          <w:p w14:paraId="484D565F" w14:textId="7770563C" w:rsidR="008F7BDE" w:rsidRPr="00C068F4" w:rsidRDefault="008F7BDE" w:rsidP="003C38C9">
            <w:pPr>
              <w:pStyle w:val="TableText0"/>
              <w:jc w:val="center"/>
            </w:pPr>
            <w:r w:rsidRPr="00C068F4">
              <w:t>712 (41.0)</w:t>
            </w:r>
          </w:p>
        </w:tc>
        <w:tc>
          <w:tcPr>
            <w:tcW w:w="1780" w:type="dxa"/>
          </w:tcPr>
          <w:p w14:paraId="59F748A9" w14:textId="2BA92A3E" w:rsidR="008F7BDE" w:rsidRPr="00C068F4" w:rsidRDefault="008F7BDE" w:rsidP="003C38C9">
            <w:pPr>
              <w:pStyle w:val="TableText0"/>
              <w:jc w:val="center"/>
            </w:pPr>
            <w:r w:rsidRPr="00C068F4">
              <w:t>2168 (41.7)</w:t>
            </w:r>
          </w:p>
        </w:tc>
      </w:tr>
      <w:tr w:rsidR="008F7BDE" w:rsidRPr="00C068F4" w14:paraId="49A50B7A" w14:textId="77777777" w:rsidTr="00DC4004">
        <w:tc>
          <w:tcPr>
            <w:tcW w:w="3964" w:type="dxa"/>
          </w:tcPr>
          <w:p w14:paraId="76EC9D24" w14:textId="13C65C7A" w:rsidR="008F7BDE" w:rsidRPr="00C068F4" w:rsidRDefault="008F7BDE" w:rsidP="008F7BDE">
            <w:pPr>
              <w:pStyle w:val="TableText0"/>
              <w:ind w:left="387"/>
            </w:pPr>
            <w:r w:rsidRPr="00C068F4">
              <w:t>Hypertension</w:t>
            </w:r>
          </w:p>
        </w:tc>
        <w:tc>
          <w:tcPr>
            <w:tcW w:w="1780" w:type="dxa"/>
          </w:tcPr>
          <w:p w14:paraId="6E555627" w14:textId="3BD66087" w:rsidR="008F7BDE" w:rsidRPr="00C068F4" w:rsidRDefault="008F7BDE" w:rsidP="003C38C9">
            <w:pPr>
              <w:pStyle w:val="TableText0"/>
              <w:jc w:val="center"/>
            </w:pPr>
            <w:r w:rsidRPr="00C068F4">
              <w:t>1229 (35.5)</w:t>
            </w:r>
          </w:p>
        </w:tc>
        <w:tc>
          <w:tcPr>
            <w:tcW w:w="1780" w:type="dxa"/>
          </w:tcPr>
          <w:p w14:paraId="5AD6FB8B" w14:textId="2A41FB54" w:rsidR="008F7BDE" w:rsidRPr="00C068F4" w:rsidRDefault="008F7BDE" w:rsidP="003C38C9">
            <w:pPr>
              <w:pStyle w:val="TableText0"/>
              <w:jc w:val="center"/>
            </w:pPr>
            <w:r w:rsidRPr="00C068F4">
              <w:t>637 (36.7)</w:t>
            </w:r>
          </w:p>
        </w:tc>
        <w:tc>
          <w:tcPr>
            <w:tcW w:w="1780" w:type="dxa"/>
          </w:tcPr>
          <w:p w14:paraId="047CFA90" w14:textId="405388A7" w:rsidR="008F7BDE" w:rsidRPr="00C068F4" w:rsidRDefault="008F7BDE" w:rsidP="003C38C9">
            <w:pPr>
              <w:pStyle w:val="TableText0"/>
              <w:jc w:val="center"/>
            </w:pPr>
            <w:r w:rsidRPr="00C068F4">
              <w:t>1866 (35.9)</w:t>
            </w:r>
          </w:p>
        </w:tc>
      </w:tr>
      <w:tr w:rsidR="008F7BDE" w:rsidRPr="00C068F4" w14:paraId="1FA85028" w14:textId="77777777" w:rsidTr="00DC4004">
        <w:tc>
          <w:tcPr>
            <w:tcW w:w="3964" w:type="dxa"/>
          </w:tcPr>
          <w:p w14:paraId="172821C1" w14:textId="5FAE3EEA" w:rsidR="008F7BDE" w:rsidRPr="00C068F4" w:rsidRDefault="008F7BDE" w:rsidP="008F7BDE">
            <w:pPr>
              <w:pStyle w:val="TableText0"/>
              <w:ind w:left="387"/>
            </w:pPr>
            <w:r w:rsidRPr="00C068F4">
              <w:t>Smoking</w:t>
            </w:r>
          </w:p>
        </w:tc>
        <w:tc>
          <w:tcPr>
            <w:tcW w:w="1780" w:type="dxa"/>
          </w:tcPr>
          <w:p w14:paraId="79A3B95C" w14:textId="3AB08574" w:rsidR="008F7BDE" w:rsidRPr="00C068F4" w:rsidRDefault="008F7BDE" w:rsidP="003C38C9">
            <w:pPr>
              <w:pStyle w:val="TableText0"/>
              <w:jc w:val="center"/>
            </w:pPr>
            <w:r w:rsidRPr="00C068F4">
              <w:t>720 (20.8)</w:t>
            </w:r>
          </w:p>
        </w:tc>
        <w:tc>
          <w:tcPr>
            <w:tcW w:w="1780" w:type="dxa"/>
          </w:tcPr>
          <w:p w14:paraId="190AECDE" w14:textId="20FC82F1" w:rsidR="008F7BDE" w:rsidRPr="00C068F4" w:rsidRDefault="008F7BDE" w:rsidP="003C38C9">
            <w:pPr>
              <w:pStyle w:val="TableText0"/>
              <w:jc w:val="center"/>
            </w:pPr>
            <w:r w:rsidRPr="00C068F4">
              <w:t>370 (21.3)</w:t>
            </w:r>
          </w:p>
        </w:tc>
        <w:tc>
          <w:tcPr>
            <w:tcW w:w="1780" w:type="dxa"/>
          </w:tcPr>
          <w:p w14:paraId="532DD099" w14:textId="12381C30" w:rsidR="008F7BDE" w:rsidRPr="00C068F4" w:rsidRDefault="008F7BDE" w:rsidP="003C38C9">
            <w:pPr>
              <w:pStyle w:val="TableText0"/>
              <w:jc w:val="center"/>
            </w:pPr>
            <w:r w:rsidRPr="00C068F4">
              <w:t>1090 (21.0)</w:t>
            </w:r>
          </w:p>
        </w:tc>
      </w:tr>
      <w:tr w:rsidR="008F7BDE" w:rsidRPr="00C068F4" w14:paraId="62E0FA92" w14:textId="77777777" w:rsidTr="00DC4004">
        <w:tc>
          <w:tcPr>
            <w:tcW w:w="3964" w:type="dxa"/>
          </w:tcPr>
          <w:p w14:paraId="3510DA11" w14:textId="0D9E1F9A" w:rsidR="008F7BDE" w:rsidRPr="00C068F4" w:rsidRDefault="008F7BDE" w:rsidP="008F7BDE">
            <w:pPr>
              <w:pStyle w:val="TableText0"/>
              <w:ind w:left="387"/>
            </w:pPr>
            <w:r w:rsidRPr="00C068F4">
              <w:t>Diabetes</w:t>
            </w:r>
          </w:p>
        </w:tc>
        <w:tc>
          <w:tcPr>
            <w:tcW w:w="1780" w:type="dxa"/>
          </w:tcPr>
          <w:p w14:paraId="628A82E2" w14:textId="062F1956" w:rsidR="008F7BDE" w:rsidRPr="00C068F4" w:rsidRDefault="008F7BDE" w:rsidP="003C38C9">
            <w:pPr>
              <w:pStyle w:val="TableText0"/>
              <w:jc w:val="center"/>
            </w:pPr>
            <w:r w:rsidRPr="00C068F4">
              <w:t>492 (14.2)</w:t>
            </w:r>
          </w:p>
        </w:tc>
        <w:tc>
          <w:tcPr>
            <w:tcW w:w="1780" w:type="dxa"/>
          </w:tcPr>
          <w:p w14:paraId="76CC0798" w14:textId="57EBA92B" w:rsidR="008F7BDE" w:rsidRPr="00C068F4" w:rsidRDefault="008F7BDE" w:rsidP="003C38C9">
            <w:pPr>
              <w:pStyle w:val="TableText0"/>
              <w:jc w:val="center"/>
            </w:pPr>
            <w:r w:rsidRPr="00C068F4">
              <w:t>242 (13.9)</w:t>
            </w:r>
          </w:p>
        </w:tc>
        <w:tc>
          <w:tcPr>
            <w:tcW w:w="1780" w:type="dxa"/>
          </w:tcPr>
          <w:p w14:paraId="0C4C36DA" w14:textId="06C5C7EB" w:rsidR="008F7BDE" w:rsidRPr="00C068F4" w:rsidRDefault="008F7BDE" w:rsidP="003C38C9">
            <w:pPr>
              <w:pStyle w:val="TableText0"/>
              <w:jc w:val="center"/>
            </w:pPr>
            <w:r w:rsidRPr="00C068F4">
              <w:t>734 (14.1)</w:t>
            </w:r>
          </w:p>
        </w:tc>
      </w:tr>
      <w:tr w:rsidR="008F7BDE" w:rsidRPr="00C068F4" w14:paraId="436E3781" w14:textId="77777777" w:rsidTr="00DC4004">
        <w:tc>
          <w:tcPr>
            <w:tcW w:w="3964" w:type="dxa"/>
          </w:tcPr>
          <w:p w14:paraId="0D3348C1" w14:textId="6C93280F" w:rsidR="008F7BDE" w:rsidRPr="00C068F4" w:rsidRDefault="008F7BDE" w:rsidP="008F7BDE">
            <w:pPr>
              <w:pStyle w:val="TableText0"/>
              <w:ind w:left="387"/>
            </w:pPr>
            <w:r w:rsidRPr="00C068F4">
              <w:t>Cardiovascular disease</w:t>
            </w:r>
          </w:p>
        </w:tc>
        <w:tc>
          <w:tcPr>
            <w:tcW w:w="1780" w:type="dxa"/>
          </w:tcPr>
          <w:p w14:paraId="037AC0ED" w14:textId="6474AF4C" w:rsidR="008F7BDE" w:rsidRPr="00C068F4" w:rsidRDefault="008F7BDE" w:rsidP="003C38C9">
            <w:pPr>
              <w:pStyle w:val="TableText0"/>
              <w:jc w:val="center"/>
            </w:pPr>
            <w:r w:rsidRPr="00C068F4">
              <w:t>272 (7.9)</w:t>
            </w:r>
          </w:p>
        </w:tc>
        <w:tc>
          <w:tcPr>
            <w:tcW w:w="1780" w:type="dxa"/>
          </w:tcPr>
          <w:p w14:paraId="1747E90A" w14:textId="6B75ED85" w:rsidR="008F7BDE" w:rsidRPr="00C068F4" w:rsidRDefault="008F7BDE" w:rsidP="003C38C9">
            <w:pPr>
              <w:pStyle w:val="TableText0"/>
              <w:jc w:val="center"/>
            </w:pPr>
            <w:r w:rsidRPr="00C068F4">
              <w:t>151 (8.7)</w:t>
            </w:r>
          </w:p>
        </w:tc>
        <w:tc>
          <w:tcPr>
            <w:tcW w:w="1780" w:type="dxa"/>
          </w:tcPr>
          <w:p w14:paraId="3CC3ED2A" w14:textId="2625EB46" w:rsidR="008F7BDE" w:rsidRPr="00C068F4" w:rsidRDefault="008F7BDE" w:rsidP="003C38C9">
            <w:pPr>
              <w:pStyle w:val="TableText0"/>
              <w:jc w:val="center"/>
            </w:pPr>
            <w:r w:rsidRPr="00C068F4">
              <w:t>423 (8.1)</w:t>
            </w:r>
          </w:p>
        </w:tc>
      </w:tr>
      <w:tr w:rsidR="008F7BDE" w:rsidRPr="00C068F4" w14:paraId="7F671C21" w14:textId="77777777" w:rsidTr="00DC4004">
        <w:tc>
          <w:tcPr>
            <w:tcW w:w="3964" w:type="dxa"/>
          </w:tcPr>
          <w:p w14:paraId="59233846" w14:textId="17BF9BE6" w:rsidR="008F7BDE" w:rsidRPr="00C068F4" w:rsidRDefault="008F7BDE" w:rsidP="008F7BDE">
            <w:pPr>
              <w:pStyle w:val="TableText0"/>
              <w:ind w:left="387"/>
            </w:pPr>
            <w:r w:rsidRPr="00C068F4">
              <w:t>Cancer</w:t>
            </w:r>
          </w:p>
        </w:tc>
        <w:tc>
          <w:tcPr>
            <w:tcW w:w="1780" w:type="dxa"/>
          </w:tcPr>
          <w:p w14:paraId="3732B9AF" w14:textId="2CCC7443" w:rsidR="008F7BDE" w:rsidRPr="00C068F4" w:rsidRDefault="008F7BDE" w:rsidP="003C38C9">
            <w:pPr>
              <w:pStyle w:val="TableText0"/>
              <w:jc w:val="center"/>
            </w:pPr>
            <w:r w:rsidRPr="00C068F4">
              <w:t>250 (7.2)</w:t>
            </w:r>
          </w:p>
        </w:tc>
        <w:tc>
          <w:tcPr>
            <w:tcW w:w="1780" w:type="dxa"/>
          </w:tcPr>
          <w:p w14:paraId="300A49C3" w14:textId="3A950089" w:rsidR="008F7BDE" w:rsidRPr="00C068F4" w:rsidRDefault="008F7BDE" w:rsidP="003C38C9">
            <w:pPr>
              <w:pStyle w:val="TableText0"/>
              <w:jc w:val="center"/>
            </w:pPr>
            <w:r w:rsidRPr="00C068F4">
              <w:t>133 (7.7)</w:t>
            </w:r>
          </w:p>
        </w:tc>
        <w:tc>
          <w:tcPr>
            <w:tcW w:w="1780" w:type="dxa"/>
          </w:tcPr>
          <w:p w14:paraId="15BC99DB" w14:textId="01426B94" w:rsidR="008F7BDE" w:rsidRPr="00C068F4" w:rsidRDefault="008F7BDE" w:rsidP="003C38C9">
            <w:pPr>
              <w:pStyle w:val="TableText0"/>
              <w:jc w:val="center"/>
            </w:pPr>
            <w:r w:rsidRPr="00C068F4">
              <w:t>383 (7.4)</w:t>
            </w:r>
          </w:p>
        </w:tc>
      </w:tr>
      <w:tr w:rsidR="008F7BDE" w:rsidRPr="00C068F4" w14:paraId="317E841F" w14:textId="77777777" w:rsidTr="00DC4004">
        <w:tc>
          <w:tcPr>
            <w:tcW w:w="3964" w:type="dxa"/>
          </w:tcPr>
          <w:p w14:paraId="73D39D1F" w14:textId="6C25BE24" w:rsidR="008F7BDE" w:rsidRPr="00C068F4" w:rsidRDefault="008F7BDE" w:rsidP="008F7BDE">
            <w:pPr>
              <w:pStyle w:val="TableText0"/>
              <w:ind w:left="387"/>
            </w:pPr>
            <w:r w:rsidRPr="00C068F4">
              <w:t>COPD</w:t>
            </w:r>
          </w:p>
        </w:tc>
        <w:tc>
          <w:tcPr>
            <w:tcW w:w="1780" w:type="dxa"/>
          </w:tcPr>
          <w:p w14:paraId="183F9631" w14:textId="7EFC5FD0" w:rsidR="008F7BDE" w:rsidRPr="00C068F4" w:rsidRDefault="008F7BDE" w:rsidP="003C38C9">
            <w:pPr>
              <w:pStyle w:val="TableText0"/>
              <w:jc w:val="center"/>
            </w:pPr>
            <w:r w:rsidRPr="00C068F4">
              <w:t>179 (5.2)</w:t>
            </w:r>
          </w:p>
        </w:tc>
        <w:tc>
          <w:tcPr>
            <w:tcW w:w="1780" w:type="dxa"/>
          </w:tcPr>
          <w:p w14:paraId="5A7186E1" w14:textId="32F4BA28" w:rsidR="008F7BDE" w:rsidRPr="00C068F4" w:rsidRDefault="008F7BDE" w:rsidP="003C38C9">
            <w:pPr>
              <w:pStyle w:val="TableText0"/>
              <w:jc w:val="center"/>
            </w:pPr>
            <w:r w:rsidRPr="00C068F4">
              <w:t>95 (5.5)</w:t>
            </w:r>
          </w:p>
        </w:tc>
        <w:tc>
          <w:tcPr>
            <w:tcW w:w="1780" w:type="dxa"/>
          </w:tcPr>
          <w:p w14:paraId="50503E9A" w14:textId="7196534A" w:rsidR="008F7BDE" w:rsidRPr="00C068F4" w:rsidRDefault="008F7BDE" w:rsidP="003C38C9">
            <w:pPr>
              <w:pStyle w:val="TableText0"/>
              <w:jc w:val="center"/>
            </w:pPr>
            <w:r w:rsidRPr="00C068F4">
              <w:t>274 (5.3)</w:t>
            </w:r>
          </w:p>
        </w:tc>
      </w:tr>
      <w:tr w:rsidR="008F7BDE" w:rsidRPr="00C068F4" w14:paraId="7671BF7F" w14:textId="77777777" w:rsidTr="00DC4004">
        <w:tc>
          <w:tcPr>
            <w:tcW w:w="3964" w:type="dxa"/>
          </w:tcPr>
          <w:p w14:paraId="6F27BBB0" w14:textId="2F063804" w:rsidR="008F7BDE" w:rsidRPr="00C068F4" w:rsidRDefault="008F7BDE" w:rsidP="008F7BDE">
            <w:pPr>
              <w:pStyle w:val="TableText0"/>
              <w:ind w:left="387"/>
            </w:pPr>
            <w:r w:rsidRPr="00C068F4">
              <w:t>Chronic kidney disease</w:t>
            </w:r>
          </w:p>
        </w:tc>
        <w:tc>
          <w:tcPr>
            <w:tcW w:w="1780" w:type="dxa"/>
          </w:tcPr>
          <w:p w14:paraId="6258488B" w14:textId="1C9FCE4B" w:rsidR="008F7BDE" w:rsidRPr="00C068F4" w:rsidRDefault="008F7BDE" w:rsidP="003C38C9">
            <w:pPr>
              <w:pStyle w:val="TableText0"/>
              <w:jc w:val="center"/>
            </w:pPr>
            <w:r w:rsidRPr="00C068F4">
              <w:t>184 (5.3)</w:t>
            </w:r>
          </w:p>
        </w:tc>
        <w:tc>
          <w:tcPr>
            <w:tcW w:w="1780" w:type="dxa"/>
          </w:tcPr>
          <w:p w14:paraId="6FE3F534" w14:textId="39B9C8BF" w:rsidR="008F7BDE" w:rsidRPr="00C068F4" w:rsidRDefault="008F7BDE" w:rsidP="003C38C9">
            <w:pPr>
              <w:pStyle w:val="TableText0"/>
              <w:jc w:val="center"/>
            </w:pPr>
            <w:r w:rsidRPr="00C068F4">
              <w:t>86 (5.0)</w:t>
            </w:r>
          </w:p>
        </w:tc>
        <w:tc>
          <w:tcPr>
            <w:tcW w:w="1780" w:type="dxa"/>
          </w:tcPr>
          <w:p w14:paraId="1742BDA2" w14:textId="27571564" w:rsidR="008F7BDE" w:rsidRPr="00C068F4" w:rsidRDefault="008F7BDE" w:rsidP="003C38C9">
            <w:pPr>
              <w:pStyle w:val="TableText0"/>
              <w:jc w:val="center"/>
            </w:pPr>
            <w:r w:rsidRPr="00C068F4">
              <w:t>270 (5.2)</w:t>
            </w:r>
          </w:p>
        </w:tc>
      </w:tr>
      <w:tr w:rsidR="008F7BDE" w:rsidRPr="00C068F4" w14:paraId="7524A14A" w14:textId="77777777" w:rsidTr="00DC4004">
        <w:tc>
          <w:tcPr>
            <w:tcW w:w="3964" w:type="dxa"/>
          </w:tcPr>
          <w:p w14:paraId="2C64BF00" w14:textId="52DC542D" w:rsidR="008F7BDE" w:rsidRPr="00C068F4" w:rsidRDefault="008F7BDE" w:rsidP="008F7BDE">
            <w:pPr>
              <w:pStyle w:val="TableText0"/>
              <w:ind w:left="387"/>
            </w:pPr>
            <w:r w:rsidRPr="00C068F4">
              <w:t>Chronic liver disease</w:t>
            </w:r>
          </w:p>
        </w:tc>
        <w:tc>
          <w:tcPr>
            <w:tcW w:w="1780" w:type="dxa"/>
          </w:tcPr>
          <w:p w14:paraId="30002444" w14:textId="69961AB0" w:rsidR="008F7BDE" w:rsidRPr="00C068F4" w:rsidRDefault="008F7BDE" w:rsidP="003C38C9">
            <w:pPr>
              <w:pStyle w:val="TableText0"/>
              <w:jc w:val="center"/>
            </w:pPr>
            <w:r w:rsidRPr="00C068F4">
              <w:t>149 (4.3)</w:t>
            </w:r>
          </w:p>
        </w:tc>
        <w:tc>
          <w:tcPr>
            <w:tcW w:w="1780" w:type="dxa"/>
          </w:tcPr>
          <w:p w14:paraId="107C0033" w14:textId="3E8AB1B2" w:rsidR="008F7BDE" w:rsidRPr="00C068F4" w:rsidRDefault="008F7BDE" w:rsidP="003C38C9">
            <w:pPr>
              <w:pStyle w:val="TableText0"/>
              <w:jc w:val="center"/>
            </w:pPr>
            <w:r w:rsidRPr="00C068F4">
              <w:t>91 (5.2)</w:t>
            </w:r>
          </w:p>
        </w:tc>
        <w:tc>
          <w:tcPr>
            <w:tcW w:w="1780" w:type="dxa"/>
          </w:tcPr>
          <w:p w14:paraId="0020608D" w14:textId="69CFD8BF" w:rsidR="008F7BDE" w:rsidRPr="00C068F4" w:rsidRDefault="008F7BDE" w:rsidP="003C38C9">
            <w:pPr>
              <w:pStyle w:val="TableText0"/>
              <w:jc w:val="center"/>
            </w:pPr>
            <w:r w:rsidRPr="00C068F4">
              <w:t>240 (4.6)</w:t>
            </w:r>
          </w:p>
        </w:tc>
      </w:tr>
      <w:tr w:rsidR="008F7BDE" w:rsidRPr="00C068F4" w14:paraId="20BD16ED" w14:textId="77777777" w:rsidTr="00DC4004">
        <w:tc>
          <w:tcPr>
            <w:tcW w:w="3964" w:type="dxa"/>
          </w:tcPr>
          <w:p w14:paraId="46C77916" w14:textId="65BB047B" w:rsidR="008F7BDE" w:rsidRPr="00C068F4" w:rsidRDefault="008F7BDE" w:rsidP="008F7BDE">
            <w:pPr>
              <w:pStyle w:val="TableText0"/>
              <w:ind w:left="387"/>
            </w:pPr>
            <w:r w:rsidRPr="00C068F4">
              <w:t>Immunosuppressive treatment</w:t>
            </w:r>
          </w:p>
        </w:tc>
        <w:tc>
          <w:tcPr>
            <w:tcW w:w="1780" w:type="dxa"/>
          </w:tcPr>
          <w:p w14:paraId="6D7D13EF" w14:textId="52A7CE81" w:rsidR="008F7BDE" w:rsidRPr="00C068F4" w:rsidRDefault="008F7BDE" w:rsidP="003C38C9">
            <w:pPr>
              <w:pStyle w:val="TableText0"/>
              <w:jc w:val="center"/>
            </w:pPr>
            <w:r w:rsidRPr="00C068F4">
              <w:t>109 (3.2)</w:t>
            </w:r>
          </w:p>
        </w:tc>
        <w:tc>
          <w:tcPr>
            <w:tcW w:w="1780" w:type="dxa"/>
          </w:tcPr>
          <w:p w14:paraId="7272BAF2" w14:textId="0AAA1351" w:rsidR="008F7BDE" w:rsidRPr="00C068F4" w:rsidRDefault="008F7BDE" w:rsidP="003C38C9">
            <w:pPr>
              <w:pStyle w:val="TableText0"/>
              <w:jc w:val="center"/>
            </w:pPr>
            <w:r w:rsidRPr="00C068F4">
              <w:t>63 (3.6)</w:t>
            </w:r>
          </w:p>
        </w:tc>
        <w:tc>
          <w:tcPr>
            <w:tcW w:w="1780" w:type="dxa"/>
          </w:tcPr>
          <w:p w14:paraId="367AD152" w14:textId="39B3C5D8" w:rsidR="008F7BDE" w:rsidRPr="00C068F4" w:rsidRDefault="008F7BDE" w:rsidP="003C38C9">
            <w:pPr>
              <w:pStyle w:val="TableText0"/>
              <w:jc w:val="center"/>
            </w:pPr>
            <w:r w:rsidRPr="00C068F4">
              <w:t>172 (3.3)</w:t>
            </w:r>
          </w:p>
        </w:tc>
      </w:tr>
      <w:tr w:rsidR="008F7BDE" w:rsidRPr="00C068F4" w14:paraId="275F8D1E" w14:textId="77777777" w:rsidTr="00DC4004">
        <w:tc>
          <w:tcPr>
            <w:tcW w:w="3964" w:type="dxa"/>
          </w:tcPr>
          <w:p w14:paraId="74968A32" w14:textId="40B9CAE2" w:rsidR="008F7BDE" w:rsidRPr="00C068F4" w:rsidRDefault="008F7BDE" w:rsidP="008F7BDE">
            <w:pPr>
              <w:pStyle w:val="TableText0"/>
              <w:ind w:left="387"/>
            </w:pPr>
            <w:r w:rsidRPr="00C068F4">
              <w:t>Immunosuppressive disease</w:t>
            </w:r>
          </w:p>
        </w:tc>
        <w:tc>
          <w:tcPr>
            <w:tcW w:w="1780" w:type="dxa"/>
          </w:tcPr>
          <w:p w14:paraId="4E4084F1" w14:textId="32A90AA8" w:rsidR="008F7BDE" w:rsidRPr="00C068F4" w:rsidRDefault="008F7BDE" w:rsidP="003C38C9">
            <w:pPr>
              <w:pStyle w:val="TableText0"/>
              <w:jc w:val="center"/>
            </w:pPr>
            <w:r w:rsidRPr="00C068F4">
              <w:t>15 (0.4)</w:t>
            </w:r>
          </w:p>
        </w:tc>
        <w:tc>
          <w:tcPr>
            <w:tcW w:w="1780" w:type="dxa"/>
          </w:tcPr>
          <w:p w14:paraId="1C38F73B" w14:textId="1A0A9E9C" w:rsidR="008F7BDE" w:rsidRPr="00C068F4" w:rsidRDefault="008F7BDE" w:rsidP="003C38C9">
            <w:pPr>
              <w:pStyle w:val="TableText0"/>
              <w:jc w:val="center"/>
            </w:pPr>
            <w:r w:rsidRPr="00C068F4">
              <w:t>9 (0.5)</w:t>
            </w:r>
          </w:p>
        </w:tc>
        <w:tc>
          <w:tcPr>
            <w:tcW w:w="1780" w:type="dxa"/>
          </w:tcPr>
          <w:p w14:paraId="50715891" w14:textId="24737667" w:rsidR="008F7BDE" w:rsidRPr="00C068F4" w:rsidRDefault="008F7BDE" w:rsidP="003C38C9">
            <w:pPr>
              <w:pStyle w:val="TableText0"/>
              <w:jc w:val="center"/>
            </w:pPr>
            <w:r w:rsidRPr="00C068F4">
              <w:t>24 (0.5)</w:t>
            </w:r>
          </w:p>
        </w:tc>
      </w:tr>
      <w:tr w:rsidR="008F7BDE" w:rsidRPr="00C068F4" w14:paraId="12BEB4EF" w14:textId="77777777" w:rsidTr="00DC4004">
        <w:tc>
          <w:tcPr>
            <w:tcW w:w="3964" w:type="dxa"/>
          </w:tcPr>
          <w:p w14:paraId="44EC1276" w14:textId="7C921BF0" w:rsidR="008F7BDE" w:rsidRPr="00C068F4" w:rsidRDefault="008F7BDE" w:rsidP="008F7BDE">
            <w:pPr>
              <w:pStyle w:val="TableText0"/>
              <w:ind w:left="387"/>
            </w:pPr>
            <w:r w:rsidRPr="00C068F4">
              <w:t>Sickle cell disease</w:t>
            </w:r>
          </w:p>
        </w:tc>
        <w:tc>
          <w:tcPr>
            <w:tcW w:w="1780" w:type="dxa"/>
          </w:tcPr>
          <w:p w14:paraId="2F8D0260" w14:textId="0C46D42E" w:rsidR="008F7BDE" w:rsidRPr="00C068F4" w:rsidRDefault="008F7BDE" w:rsidP="003C38C9">
            <w:pPr>
              <w:pStyle w:val="TableText0"/>
              <w:jc w:val="center"/>
            </w:pPr>
            <w:r w:rsidRPr="00C068F4">
              <w:t>1 (&lt;0.1)</w:t>
            </w:r>
          </w:p>
        </w:tc>
        <w:tc>
          <w:tcPr>
            <w:tcW w:w="1780" w:type="dxa"/>
          </w:tcPr>
          <w:p w14:paraId="4FA0D79E" w14:textId="1446A448" w:rsidR="008F7BDE" w:rsidRPr="00C068F4" w:rsidRDefault="008F7BDE" w:rsidP="003C38C9">
            <w:pPr>
              <w:pStyle w:val="TableText0"/>
              <w:jc w:val="center"/>
            </w:pPr>
            <w:r w:rsidRPr="00C068F4">
              <w:t>1 (0.1)</w:t>
            </w:r>
          </w:p>
        </w:tc>
        <w:tc>
          <w:tcPr>
            <w:tcW w:w="1780" w:type="dxa"/>
          </w:tcPr>
          <w:p w14:paraId="687CB1D2" w14:textId="75192124" w:rsidR="008F7BDE" w:rsidRPr="00C068F4" w:rsidRDefault="008F7BDE" w:rsidP="003C38C9">
            <w:pPr>
              <w:pStyle w:val="TableText0"/>
              <w:jc w:val="center"/>
            </w:pPr>
            <w:r w:rsidRPr="00C068F4">
              <w:t>2 (&lt;0.1)</w:t>
            </w:r>
          </w:p>
        </w:tc>
      </w:tr>
    </w:tbl>
    <w:p w14:paraId="24F0E187" w14:textId="77777777" w:rsidR="005E0098" w:rsidRPr="00C068F4" w:rsidRDefault="00CC07D8" w:rsidP="006B2ED4">
      <w:pPr>
        <w:pStyle w:val="FooterTableFigure"/>
        <w:jc w:val="left"/>
      </w:pPr>
      <w:r w:rsidRPr="00C068F4">
        <w:t>Source: Table 1, Levin 2022</w:t>
      </w:r>
    </w:p>
    <w:p w14:paraId="64AEC077" w14:textId="4808B123" w:rsidR="003820B5" w:rsidRPr="00C068F4" w:rsidRDefault="003820B5" w:rsidP="006B2ED4">
      <w:pPr>
        <w:pStyle w:val="FooterTableFigure"/>
        <w:jc w:val="left"/>
      </w:pPr>
      <w:r w:rsidRPr="00C068F4">
        <w:t>Abbreviations: BMI = body mass index; COPD = chronic obstructive pulmonary disease; SD = standard deviation.</w:t>
      </w:r>
    </w:p>
    <w:p w14:paraId="1F1A7DD5" w14:textId="2BD8C5B3" w:rsidR="003820B5" w:rsidRPr="00C068F4" w:rsidRDefault="003820B5" w:rsidP="006B2ED4">
      <w:pPr>
        <w:pStyle w:val="FooterTableFigure"/>
        <w:ind w:left="284" w:hanging="284"/>
        <w:jc w:val="left"/>
      </w:pPr>
      <w:r w:rsidRPr="00C068F4">
        <w:t xml:space="preserve">† </w:t>
      </w:r>
      <w:r w:rsidR="005E0098" w:rsidRPr="00C068F4">
        <w:tab/>
      </w:r>
      <w:r w:rsidRPr="00C068F4">
        <w:t>Participants classified as elderly (≥60 years old), obese (BMI ≥30 kg/m2), immunocompromised, or intolerant of vaccines; or as having congestive heart failure, COPD, chronic kidney disease, or chronic liver disease</w:t>
      </w:r>
    </w:p>
    <w:p w14:paraId="565A1DBC" w14:textId="77777777" w:rsidR="003820B5" w:rsidRPr="00C068F4" w:rsidRDefault="003820B5" w:rsidP="006B2ED4">
      <w:pPr>
        <w:pStyle w:val="FooterTableFigure"/>
        <w:ind w:left="284" w:hanging="284"/>
        <w:jc w:val="left"/>
      </w:pPr>
      <w:r w:rsidRPr="00C068F4">
        <w:t xml:space="preserve">‡ </w:t>
      </w:r>
      <w:r w:rsidRPr="00C068F4">
        <w:tab/>
        <w:t>Including but not limited to: health care workers (including staff working in long-term care facilities), workers in industrial settings shown to be at high risk for SARS-CoV-2 transmission (e.g., meat-packing plants), military personnel, students living in dormitory accommodation, or others living in settings of similar close or high-density proximity</w:t>
      </w:r>
    </w:p>
    <w:bookmarkStart w:id="37" w:name="_Ref109851678"/>
    <w:p w14:paraId="1E44DE58" w14:textId="0E533BA1" w:rsidR="00287C72" w:rsidRDefault="00D71DB6" w:rsidP="00B257DF">
      <w:pPr>
        <w:pStyle w:val="3-BodyText"/>
        <w:rPr>
          <w:iCs/>
          <w:color w:val="000000" w:themeColor="text1"/>
        </w:rPr>
      </w:pPr>
      <w:r w:rsidRPr="00B257DF">
        <w:rPr>
          <w:iCs/>
          <w:color w:val="000000" w:themeColor="text1"/>
        </w:rPr>
        <w:fldChar w:fldCharType="begin" w:fldLock="1"/>
      </w:r>
      <w:r w:rsidRPr="00B257DF">
        <w:rPr>
          <w:iCs/>
          <w:color w:val="000000" w:themeColor="text1"/>
        </w:rPr>
        <w:instrText xml:space="preserve"> REF _Ref109769261 \h  \* MERGEFORMAT </w:instrText>
      </w:r>
      <w:r w:rsidRPr="00B257DF">
        <w:rPr>
          <w:iCs/>
          <w:color w:val="000000" w:themeColor="text1"/>
        </w:rPr>
      </w:r>
      <w:r w:rsidRPr="00B257DF">
        <w:rPr>
          <w:iCs/>
          <w:color w:val="000000" w:themeColor="text1"/>
        </w:rPr>
        <w:fldChar w:fldCharType="separate"/>
      </w:r>
      <w:r w:rsidR="00AB751C" w:rsidRPr="00AB751C">
        <w:rPr>
          <w:iCs/>
          <w:color w:val="000000" w:themeColor="text1"/>
        </w:rPr>
        <w:t>Table 3</w:t>
      </w:r>
      <w:r w:rsidRPr="00B257DF">
        <w:rPr>
          <w:iCs/>
          <w:color w:val="000000" w:themeColor="text1"/>
        </w:rPr>
        <w:fldChar w:fldCharType="end"/>
      </w:r>
      <w:r w:rsidR="002F6446">
        <w:rPr>
          <w:iCs/>
          <w:color w:val="000000" w:themeColor="text1"/>
        </w:rPr>
        <w:t xml:space="preserve"> shows</w:t>
      </w:r>
      <w:r w:rsidRPr="00B257DF">
        <w:rPr>
          <w:iCs/>
          <w:color w:val="000000" w:themeColor="text1"/>
        </w:rPr>
        <w:t xml:space="preserve"> the majority of patients recruited to </w:t>
      </w:r>
      <w:r w:rsidR="002F6446">
        <w:rPr>
          <w:iCs/>
          <w:color w:val="000000" w:themeColor="text1"/>
        </w:rPr>
        <w:t xml:space="preserve">PROVENT </w:t>
      </w:r>
      <w:r w:rsidRPr="00B257DF">
        <w:rPr>
          <w:iCs/>
          <w:color w:val="000000" w:themeColor="text1"/>
        </w:rPr>
        <w:t>were eligible because they were at increased risk for SARS-CoV</w:t>
      </w:r>
      <w:r w:rsidRPr="00B257DF">
        <w:rPr>
          <w:iCs/>
          <w:color w:val="000000" w:themeColor="text1"/>
        </w:rPr>
        <w:noBreakHyphen/>
        <w:t xml:space="preserve">2 </w:t>
      </w:r>
      <w:r w:rsidRPr="00B257DF">
        <w:rPr>
          <w:iCs/>
          <w:color w:val="000000" w:themeColor="text1"/>
        </w:rPr>
        <w:lastRenderedPageBreak/>
        <w:t xml:space="preserve">infection due to their circumstances putting them at </w:t>
      </w:r>
      <w:r w:rsidR="006B2D70" w:rsidRPr="00B257DF">
        <w:rPr>
          <w:iCs/>
          <w:color w:val="000000" w:themeColor="text1"/>
        </w:rPr>
        <w:t>high</w:t>
      </w:r>
      <w:r w:rsidRPr="00B257DF">
        <w:rPr>
          <w:iCs/>
          <w:color w:val="000000" w:themeColor="text1"/>
        </w:rPr>
        <w:t xml:space="preserve"> risk of exposure to SARS-CoV-2</w:t>
      </w:r>
      <w:r w:rsidR="00B76AF3" w:rsidRPr="00B257DF">
        <w:rPr>
          <w:iCs/>
          <w:color w:val="000000" w:themeColor="text1"/>
        </w:rPr>
        <w:t>.</w:t>
      </w:r>
      <w:r w:rsidRPr="00B257DF">
        <w:rPr>
          <w:iCs/>
          <w:color w:val="000000" w:themeColor="text1"/>
        </w:rPr>
        <w:t xml:space="preserve"> </w:t>
      </w:r>
      <w:r w:rsidR="00B257DF" w:rsidRPr="00B257DF">
        <w:rPr>
          <w:iCs/>
          <w:color w:val="000000" w:themeColor="text1"/>
        </w:rPr>
        <w:t xml:space="preserve">Over 70% of the population was considered to have an increased risk of inadequate response </w:t>
      </w:r>
      <w:r w:rsidR="00B257DF" w:rsidRPr="00C068F4">
        <w:t>to active immunisation</w:t>
      </w:r>
      <w:r w:rsidR="00B257DF">
        <w:t xml:space="preserve"> defined by a range of parameters including </w:t>
      </w:r>
      <w:r w:rsidR="005F4687">
        <w:t>elderly</w:t>
      </w:r>
      <w:r w:rsidR="00B257DF" w:rsidRPr="00C068F4">
        <w:t xml:space="preserve"> (≥60</w:t>
      </w:r>
      <w:r w:rsidR="00B257DF">
        <w:t> </w:t>
      </w:r>
      <w:r w:rsidR="00B257DF" w:rsidRPr="00C068F4">
        <w:t>years), obes</w:t>
      </w:r>
      <w:r w:rsidR="00B257DF">
        <w:t>ity</w:t>
      </w:r>
      <w:r w:rsidR="00B257DF" w:rsidRPr="00C068F4">
        <w:t xml:space="preserve"> (BMI ≥30 kg/m</w:t>
      </w:r>
      <w:r w:rsidR="00B257DF" w:rsidRPr="00B257DF">
        <w:rPr>
          <w:vertAlign w:val="superscript"/>
        </w:rPr>
        <w:t>2</w:t>
      </w:r>
      <w:r w:rsidR="00B257DF" w:rsidRPr="00C068F4">
        <w:t>)</w:t>
      </w:r>
      <w:r w:rsidR="005F4687">
        <w:t>, and others</w:t>
      </w:r>
      <w:r w:rsidR="00B257DF">
        <w:t xml:space="preserve">. </w:t>
      </w:r>
      <w:r w:rsidRPr="00B257DF">
        <w:rPr>
          <w:iCs/>
          <w:color w:val="000000" w:themeColor="text1"/>
        </w:rPr>
        <w:t>Only 3.8% of patients recruited to PROVENT had immunosuppressive disease or were on immunosuppressive treatment.</w:t>
      </w:r>
      <w:bookmarkStart w:id="38" w:name="_Ref110854233"/>
      <w:bookmarkEnd w:id="37"/>
    </w:p>
    <w:p w14:paraId="21333BD0" w14:textId="2B50D153" w:rsidR="00AC21BF" w:rsidRPr="00C068F4" w:rsidRDefault="00AC21BF" w:rsidP="00AC21BF">
      <w:pPr>
        <w:pStyle w:val="3-BodyText"/>
        <w:rPr>
          <w:color w:val="000000" w:themeColor="text1"/>
        </w:rPr>
      </w:pPr>
      <w:r w:rsidRPr="00C068F4">
        <w:rPr>
          <w:iCs/>
          <w:snapToGrid/>
          <w:color w:val="000000" w:themeColor="text1"/>
        </w:rPr>
        <w:t xml:space="preserve">The PBAC noted the applicability of the results from the PROVENT trial to the population for whom listing of tixagevimab and cilgavimab is sought is </w:t>
      </w:r>
      <w:r w:rsidR="0061159F">
        <w:rPr>
          <w:iCs/>
          <w:snapToGrid/>
          <w:color w:val="000000" w:themeColor="text1"/>
        </w:rPr>
        <w:t xml:space="preserve">highly </w:t>
      </w:r>
      <w:r w:rsidRPr="00C068F4">
        <w:rPr>
          <w:iCs/>
          <w:snapToGrid/>
          <w:color w:val="000000" w:themeColor="text1"/>
        </w:rPr>
        <w:t>uncertain because: (i) </w:t>
      </w:r>
      <w:r w:rsidRPr="00C068F4">
        <w:rPr>
          <w:iCs/>
          <w:color w:val="000000" w:themeColor="text1"/>
        </w:rPr>
        <w:t xml:space="preserve">patients recruited to the PROVENT trial were all unvaccinated at baseline whereas it is proposed that tixagevimab and cilgavimab should be used in addition to vaccination; (ii) only a small subgroup of patients recruited to the PROVENT trial would be considered representative of the narrow population of patients for whom tixagevimab and cilgavimab is being sought i.e., patients who are severely immunocompromised or in whom vaccination with all currently authorised COVID-19 vaccines is contraindicated; (iii) the PROVENT trial was conducted at a time prior to the Omicron variant becoming prevalent; and (iv) the dosage administered in the PROVENT trial </w:t>
      </w:r>
      <w:r w:rsidR="00A55B49" w:rsidRPr="00C068F4">
        <w:rPr>
          <w:iCs/>
          <w:color w:val="000000" w:themeColor="text1"/>
        </w:rPr>
        <w:t xml:space="preserve">was </w:t>
      </w:r>
      <w:r w:rsidRPr="00C068F4">
        <w:rPr>
          <w:iCs/>
          <w:color w:val="000000" w:themeColor="text1"/>
        </w:rPr>
        <w:t>tixagevimab 150 mg and cilgavimab 150 mg as a single dose.</w:t>
      </w:r>
    </w:p>
    <w:p w14:paraId="1ACB8EEB" w14:textId="206397A3" w:rsidR="00DA716E" w:rsidRPr="00C068F4" w:rsidRDefault="007E74ED" w:rsidP="00061CF1">
      <w:pPr>
        <w:pStyle w:val="3-BodyText"/>
        <w:rPr>
          <w:color w:val="000000" w:themeColor="text1"/>
        </w:rPr>
      </w:pPr>
      <w:r w:rsidRPr="00C068F4">
        <w:rPr>
          <w:snapToGrid/>
          <w:color w:val="000000" w:themeColor="text1"/>
        </w:rPr>
        <w:t xml:space="preserve">Patients recruited to the PROVENT trial were contacted by telephone on a weekly basis. </w:t>
      </w:r>
      <w:r w:rsidR="002968D0" w:rsidRPr="00C068F4">
        <w:rPr>
          <w:snapToGrid/>
          <w:color w:val="000000" w:themeColor="text1"/>
        </w:rPr>
        <w:t>The primary endpoint used to assess efficacy was the proportion of patients developing PCR-confirmed symptomatic SARS</w:t>
      </w:r>
      <w:r w:rsidR="00715137" w:rsidRPr="00C068F4">
        <w:rPr>
          <w:snapToGrid/>
          <w:color w:val="000000" w:themeColor="text1"/>
        </w:rPr>
        <w:t>-</w:t>
      </w:r>
      <w:r w:rsidR="002968D0" w:rsidRPr="00C068F4">
        <w:rPr>
          <w:snapToGrid/>
          <w:color w:val="000000" w:themeColor="text1"/>
        </w:rPr>
        <w:t>CoV-2 illness</w:t>
      </w:r>
      <w:r w:rsidR="009A521C" w:rsidRPr="00C068F4">
        <w:rPr>
          <w:snapToGrid/>
          <w:color w:val="000000" w:themeColor="text1"/>
        </w:rPr>
        <w:t xml:space="preserve"> withi</w:t>
      </w:r>
      <w:r w:rsidR="00AA7991" w:rsidRPr="00C068F4">
        <w:rPr>
          <w:snapToGrid/>
          <w:color w:val="000000" w:themeColor="text1"/>
        </w:rPr>
        <w:t>n 183 days of enrolment</w:t>
      </w:r>
      <w:r w:rsidR="00F6336A" w:rsidRPr="00C068F4">
        <w:rPr>
          <w:snapToGrid/>
          <w:color w:val="000000" w:themeColor="text1"/>
        </w:rPr>
        <w:t xml:space="preserve">. </w:t>
      </w:r>
      <w:r w:rsidRPr="00C068F4">
        <w:rPr>
          <w:snapToGrid/>
          <w:color w:val="000000" w:themeColor="text1"/>
        </w:rPr>
        <w:t xml:space="preserve">The </w:t>
      </w:r>
      <w:r w:rsidR="00ED52C4" w:rsidRPr="00C068F4">
        <w:rPr>
          <w:snapToGrid/>
          <w:color w:val="000000" w:themeColor="text1"/>
        </w:rPr>
        <w:t xml:space="preserve">primary </w:t>
      </w:r>
      <w:r w:rsidRPr="00C068F4">
        <w:rPr>
          <w:snapToGrid/>
          <w:color w:val="000000" w:themeColor="text1"/>
        </w:rPr>
        <w:t>analysis censored patients at unblinding</w:t>
      </w:r>
      <w:r w:rsidR="00247D49" w:rsidRPr="00C068F4">
        <w:rPr>
          <w:snapToGrid/>
          <w:color w:val="000000" w:themeColor="text1"/>
        </w:rPr>
        <w:t xml:space="preserve"> or receipt of COVID-19 vaccine. Supportive analyses</w:t>
      </w:r>
      <w:r w:rsidR="003C57AD" w:rsidRPr="00C068F4">
        <w:rPr>
          <w:snapToGrid/>
          <w:color w:val="000000" w:themeColor="text1"/>
        </w:rPr>
        <w:t xml:space="preserve"> that reported PCR-confirmed symptomatic SARS</w:t>
      </w:r>
      <w:r w:rsidR="00715137" w:rsidRPr="00C068F4">
        <w:rPr>
          <w:snapToGrid/>
          <w:color w:val="000000" w:themeColor="text1"/>
        </w:rPr>
        <w:t>-</w:t>
      </w:r>
      <w:r w:rsidR="003C57AD" w:rsidRPr="00C068F4">
        <w:rPr>
          <w:snapToGrid/>
          <w:color w:val="000000" w:themeColor="text1"/>
        </w:rPr>
        <w:t xml:space="preserve">CoV-2 illness within 183 days of enrolment in the trial regardless of unblinding or receipt of </w:t>
      </w:r>
      <w:r w:rsidR="00023012" w:rsidRPr="00C068F4">
        <w:rPr>
          <w:snapToGrid/>
          <w:color w:val="000000" w:themeColor="text1"/>
        </w:rPr>
        <w:t>vaccination</w:t>
      </w:r>
      <w:r w:rsidR="006A3E61" w:rsidRPr="00C068F4">
        <w:rPr>
          <w:snapToGrid/>
          <w:color w:val="000000" w:themeColor="text1"/>
        </w:rPr>
        <w:t xml:space="preserve"> were</w:t>
      </w:r>
      <w:r w:rsidR="00776496" w:rsidRPr="00C068F4">
        <w:rPr>
          <w:snapToGrid/>
          <w:color w:val="000000" w:themeColor="text1"/>
        </w:rPr>
        <w:t xml:space="preserve"> also conducted</w:t>
      </w:r>
      <w:r w:rsidR="001E52F1" w:rsidRPr="00C068F4">
        <w:rPr>
          <w:snapToGrid/>
          <w:color w:val="000000" w:themeColor="text1"/>
        </w:rPr>
        <w:t xml:space="preserve">. </w:t>
      </w:r>
      <w:r w:rsidR="001B20F6" w:rsidRPr="00C068F4">
        <w:rPr>
          <w:iCs/>
          <w:snapToGrid/>
          <w:color w:val="000000" w:themeColor="text1"/>
        </w:rPr>
        <w:t>The supportive analyses are relevant given the proposed positioning of tixagevimab and cilgavimab as an adjunct to vaccination.</w:t>
      </w:r>
      <w:bookmarkEnd w:id="38"/>
    </w:p>
    <w:p w14:paraId="36BD68FD" w14:textId="04DACD6E" w:rsidR="00C84746" w:rsidRPr="00C068F4" w:rsidRDefault="00886895">
      <w:pPr>
        <w:pStyle w:val="3-BodyText"/>
      </w:pPr>
      <w:bookmarkStart w:id="39" w:name="_Ref110854289"/>
      <w:r w:rsidRPr="00C068F4">
        <w:rPr>
          <w:snapToGrid/>
        </w:rPr>
        <w:t xml:space="preserve">Results from the PROVENT trial </w:t>
      </w:r>
      <w:r w:rsidR="00AC21BF" w:rsidRPr="00C068F4">
        <w:rPr>
          <w:snapToGrid/>
        </w:rPr>
        <w:t xml:space="preserve">were </w:t>
      </w:r>
      <w:r w:rsidRPr="00C068F4">
        <w:rPr>
          <w:snapToGrid/>
        </w:rPr>
        <w:t xml:space="preserve">analysed at </w:t>
      </w:r>
      <w:r w:rsidR="00016BB7" w:rsidRPr="00C068F4">
        <w:rPr>
          <w:snapToGrid/>
        </w:rPr>
        <w:t>four</w:t>
      </w:r>
      <w:r w:rsidRPr="00C068F4">
        <w:rPr>
          <w:snapToGrid/>
        </w:rPr>
        <w:t xml:space="preserve"> </w:t>
      </w:r>
      <w:r w:rsidR="00A540B0" w:rsidRPr="00C068F4">
        <w:rPr>
          <w:snapToGrid/>
        </w:rPr>
        <w:t>data cut-offs</w:t>
      </w:r>
      <w:r w:rsidR="00343B0B" w:rsidRPr="00C068F4">
        <w:rPr>
          <w:snapToGrid/>
        </w:rPr>
        <w:t xml:space="preserve"> (DCOs)</w:t>
      </w:r>
      <w:r w:rsidR="00A540B0" w:rsidRPr="00C068F4">
        <w:rPr>
          <w:snapToGrid/>
        </w:rPr>
        <w:t xml:space="preserve"> as summarised in </w:t>
      </w:r>
      <w:r w:rsidR="00016BB7" w:rsidRPr="00C068F4">
        <w:rPr>
          <w:snapToGrid/>
        </w:rPr>
        <w:fldChar w:fldCharType="begin" w:fldLock="1"/>
      </w:r>
      <w:r w:rsidR="00016BB7" w:rsidRPr="00C068F4">
        <w:rPr>
          <w:snapToGrid/>
        </w:rPr>
        <w:instrText xml:space="preserve"> REF _Ref110022761 \h </w:instrText>
      </w:r>
      <w:r w:rsidR="00016BB7" w:rsidRPr="00C068F4">
        <w:rPr>
          <w:snapToGrid/>
        </w:rPr>
      </w:r>
      <w:r w:rsidR="00016BB7" w:rsidRPr="00C068F4">
        <w:rPr>
          <w:snapToGrid/>
        </w:rPr>
        <w:fldChar w:fldCharType="separate"/>
      </w:r>
      <w:r w:rsidR="00AB751C" w:rsidRPr="00C068F4">
        <w:t xml:space="preserve">Table </w:t>
      </w:r>
      <w:r w:rsidR="00AB751C">
        <w:rPr>
          <w:noProof/>
        </w:rPr>
        <w:t>4</w:t>
      </w:r>
      <w:r w:rsidR="00016BB7" w:rsidRPr="00C068F4">
        <w:rPr>
          <w:snapToGrid/>
        </w:rPr>
        <w:fldChar w:fldCharType="end"/>
      </w:r>
      <w:r w:rsidR="00016BB7" w:rsidRPr="00C068F4">
        <w:rPr>
          <w:snapToGrid/>
        </w:rPr>
        <w:t>.</w:t>
      </w:r>
      <w:r w:rsidR="00E76105" w:rsidRPr="00C068F4">
        <w:rPr>
          <w:snapToGrid/>
        </w:rPr>
        <w:t xml:space="preserve"> </w:t>
      </w:r>
      <w:r w:rsidR="00D8377B" w:rsidRPr="00C068F4">
        <w:rPr>
          <w:snapToGrid/>
        </w:rPr>
        <w:t xml:space="preserve">Some key participant disposition statistics at each </w:t>
      </w:r>
      <w:r w:rsidR="00343B0B" w:rsidRPr="00C068F4">
        <w:rPr>
          <w:snapToGrid/>
        </w:rPr>
        <w:t>DCO</w:t>
      </w:r>
      <w:r w:rsidR="00D8377B" w:rsidRPr="00C068F4">
        <w:rPr>
          <w:snapToGrid/>
        </w:rPr>
        <w:t xml:space="preserve"> are also presented. </w:t>
      </w:r>
      <w:r w:rsidR="00FF521F" w:rsidRPr="00C068F4">
        <w:rPr>
          <w:snapToGrid/>
        </w:rPr>
        <w:t xml:space="preserve">At each </w:t>
      </w:r>
      <w:r w:rsidR="00343B0B" w:rsidRPr="00C068F4">
        <w:rPr>
          <w:snapToGrid/>
        </w:rPr>
        <w:t>DCO</w:t>
      </w:r>
      <w:r w:rsidR="00FF521F" w:rsidRPr="00C068F4">
        <w:rPr>
          <w:snapToGrid/>
        </w:rPr>
        <w:t>, the</w:t>
      </w:r>
      <w:r w:rsidR="00A4154B" w:rsidRPr="00C068F4">
        <w:rPr>
          <w:snapToGrid/>
        </w:rPr>
        <w:t>re was no statistically significant difference across the two arms of the trial in proportion</w:t>
      </w:r>
      <w:r w:rsidR="00E106BE" w:rsidRPr="00C068F4">
        <w:rPr>
          <w:snapToGrid/>
        </w:rPr>
        <w:t xml:space="preserve"> of participants</w:t>
      </w:r>
      <w:r w:rsidR="00A4154B" w:rsidRPr="00C068F4">
        <w:rPr>
          <w:snapToGrid/>
        </w:rPr>
        <w:t xml:space="preserve"> discontinuing. The</w:t>
      </w:r>
      <w:r w:rsidR="00952FFF" w:rsidRPr="00C068F4">
        <w:rPr>
          <w:snapToGrid/>
        </w:rPr>
        <w:t xml:space="preserve"> most common reason</w:t>
      </w:r>
      <w:r w:rsidR="00CA4873" w:rsidRPr="00C068F4">
        <w:rPr>
          <w:snapToGrid/>
        </w:rPr>
        <w:t>s</w:t>
      </w:r>
      <w:r w:rsidR="00952FFF" w:rsidRPr="00C068F4">
        <w:rPr>
          <w:snapToGrid/>
        </w:rPr>
        <w:t xml:space="preserve"> for discontinuation </w:t>
      </w:r>
      <w:r w:rsidR="00D8377B" w:rsidRPr="00C068F4">
        <w:rPr>
          <w:snapToGrid/>
        </w:rPr>
        <w:t xml:space="preserve">of participants from the trial </w:t>
      </w:r>
      <w:r w:rsidR="00CA4873" w:rsidRPr="00C068F4">
        <w:rPr>
          <w:snapToGrid/>
        </w:rPr>
        <w:t>were</w:t>
      </w:r>
      <w:r w:rsidR="00952FFF" w:rsidRPr="00C068F4">
        <w:rPr>
          <w:snapToGrid/>
        </w:rPr>
        <w:t xml:space="preserve"> loss to follow-up and</w:t>
      </w:r>
      <w:r w:rsidR="00BE3848" w:rsidRPr="00C068F4">
        <w:rPr>
          <w:snapToGrid/>
        </w:rPr>
        <w:t xml:space="preserve"> </w:t>
      </w:r>
      <w:r w:rsidR="00D8377B" w:rsidRPr="00C068F4">
        <w:rPr>
          <w:snapToGrid/>
        </w:rPr>
        <w:t>participants</w:t>
      </w:r>
      <w:r w:rsidR="00017643" w:rsidRPr="00C068F4">
        <w:rPr>
          <w:snapToGrid/>
        </w:rPr>
        <w:t xml:space="preserve"> electing to </w:t>
      </w:r>
      <w:r w:rsidR="00BE3848" w:rsidRPr="00C068F4">
        <w:rPr>
          <w:snapToGrid/>
        </w:rPr>
        <w:t xml:space="preserve">withdraw from </w:t>
      </w:r>
      <w:r w:rsidR="00017643" w:rsidRPr="00C068F4">
        <w:rPr>
          <w:snapToGrid/>
        </w:rPr>
        <w:t xml:space="preserve">the trial. </w:t>
      </w:r>
      <w:r w:rsidR="003C6E91" w:rsidRPr="00C068F4">
        <w:rPr>
          <w:snapToGrid/>
        </w:rPr>
        <w:t>S</w:t>
      </w:r>
      <w:r w:rsidR="00E106BE" w:rsidRPr="00C068F4">
        <w:rPr>
          <w:snapToGrid/>
        </w:rPr>
        <w:t xml:space="preserve">imilarly, there was </w:t>
      </w:r>
      <w:r w:rsidR="008A4BFD" w:rsidRPr="00C068F4">
        <w:rPr>
          <w:snapToGrid/>
        </w:rPr>
        <w:t>n</w:t>
      </w:r>
      <w:r w:rsidR="00E106BE" w:rsidRPr="00C068F4">
        <w:rPr>
          <w:snapToGrid/>
        </w:rPr>
        <w:t xml:space="preserve">o significant difference </w:t>
      </w:r>
      <w:r w:rsidR="00070F4E" w:rsidRPr="00C068F4">
        <w:rPr>
          <w:snapToGrid/>
        </w:rPr>
        <w:t xml:space="preserve">across the two arms of the trial in proportion of patients unblinded. </w:t>
      </w:r>
      <w:r w:rsidR="00477F1C" w:rsidRPr="00C068F4">
        <w:rPr>
          <w:snapToGrid/>
        </w:rPr>
        <w:t xml:space="preserve">The predominant reason for </w:t>
      </w:r>
      <w:r w:rsidR="004718B6" w:rsidRPr="00C068F4">
        <w:rPr>
          <w:snapToGrid/>
        </w:rPr>
        <w:t xml:space="preserve">unblinding was </w:t>
      </w:r>
      <w:r w:rsidR="00D44FB4" w:rsidRPr="00C068F4">
        <w:rPr>
          <w:snapToGrid/>
        </w:rPr>
        <w:t xml:space="preserve">participants </w:t>
      </w:r>
      <w:r w:rsidR="00AB0A96" w:rsidRPr="00C068F4">
        <w:rPr>
          <w:snapToGrid/>
        </w:rPr>
        <w:t>elect</w:t>
      </w:r>
      <w:r w:rsidR="00D44FB4" w:rsidRPr="00C068F4">
        <w:rPr>
          <w:snapToGrid/>
        </w:rPr>
        <w:t>ing</w:t>
      </w:r>
      <w:r w:rsidR="00AB0A96" w:rsidRPr="00C068F4">
        <w:rPr>
          <w:snapToGrid/>
        </w:rPr>
        <w:t xml:space="preserve"> to be unblinded to make an informed decision about receiving a COVID-19 vaccine</w:t>
      </w:r>
      <w:r w:rsidR="004718B6" w:rsidRPr="00C068F4">
        <w:rPr>
          <w:snapToGrid/>
        </w:rPr>
        <w:t>.</w:t>
      </w:r>
      <w:r w:rsidR="009F6BE5" w:rsidRPr="00C068F4">
        <w:rPr>
          <w:snapToGrid/>
        </w:rPr>
        <w:t xml:space="preserve"> There was a </w:t>
      </w:r>
      <w:r w:rsidR="00334831" w:rsidRPr="00C068F4">
        <w:rPr>
          <w:snapToGrid/>
        </w:rPr>
        <w:t>significant differen</w:t>
      </w:r>
      <w:r w:rsidR="00D7128E" w:rsidRPr="00C068F4">
        <w:rPr>
          <w:snapToGrid/>
        </w:rPr>
        <w:t>ce at each DCO</w:t>
      </w:r>
      <w:r w:rsidR="00334831" w:rsidRPr="00C068F4">
        <w:rPr>
          <w:snapToGrid/>
        </w:rPr>
        <w:t xml:space="preserve"> in the proportion of participants receiving COVID-19 vaccination after unblinding</w:t>
      </w:r>
      <w:r w:rsidR="00A43D90" w:rsidRPr="00C068F4">
        <w:rPr>
          <w:snapToGrid/>
        </w:rPr>
        <w:t>, with more patients in the placebo arm electing to be vaccinated</w:t>
      </w:r>
      <w:r w:rsidR="00334831" w:rsidRPr="00C068F4">
        <w:rPr>
          <w:snapToGrid/>
        </w:rPr>
        <w:t>.</w:t>
      </w:r>
      <w:r w:rsidR="00776496" w:rsidRPr="00C068F4">
        <w:rPr>
          <w:snapToGrid/>
        </w:rPr>
        <w:t xml:space="preserve"> </w:t>
      </w:r>
      <w:r w:rsidR="00776496" w:rsidRPr="00C068F4">
        <w:rPr>
          <w:iCs/>
          <w:snapToGrid/>
        </w:rPr>
        <w:t>The differences in proportion of patients</w:t>
      </w:r>
      <w:r w:rsidR="006B3A29" w:rsidRPr="00C068F4">
        <w:rPr>
          <w:iCs/>
          <w:snapToGrid/>
        </w:rPr>
        <w:t xml:space="preserve"> receiving vaccination for COVID</w:t>
      </w:r>
      <w:r w:rsidR="00084DE6" w:rsidRPr="00C068F4">
        <w:rPr>
          <w:iCs/>
          <w:snapToGrid/>
        </w:rPr>
        <w:noBreakHyphen/>
      </w:r>
      <w:r w:rsidR="006B3A29" w:rsidRPr="00C068F4">
        <w:rPr>
          <w:iCs/>
          <w:snapToGrid/>
        </w:rPr>
        <w:t xml:space="preserve">19 could potentially bias results of analyses that include these patients against </w:t>
      </w:r>
      <w:r w:rsidR="006B3A29" w:rsidRPr="00C068F4">
        <w:rPr>
          <w:iCs/>
          <w:snapToGrid/>
          <w:color w:val="000000" w:themeColor="text1"/>
        </w:rPr>
        <w:t>tixagevimab and cilgavimab</w:t>
      </w:r>
      <w:r w:rsidR="0018128C" w:rsidRPr="00C068F4">
        <w:rPr>
          <w:iCs/>
          <w:snapToGrid/>
          <w:color w:val="000000" w:themeColor="text1"/>
        </w:rPr>
        <w:t xml:space="preserve"> if the effect of tixagevimab and cilgavimab is additive to the effect of vaccination.</w:t>
      </w:r>
      <w:bookmarkEnd w:id="39"/>
    </w:p>
    <w:p w14:paraId="75696C75" w14:textId="35C5478E" w:rsidR="00A540B0" w:rsidRPr="00C068F4" w:rsidRDefault="00A540B0" w:rsidP="00A540B0">
      <w:pPr>
        <w:pStyle w:val="Caption"/>
        <w:rPr>
          <w:rStyle w:val="CommentReference"/>
          <w:rFonts w:eastAsiaTheme="majorEastAsia" w:cstheme="majorBidi"/>
          <w:b/>
          <w:szCs w:val="24"/>
        </w:rPr>
      </w:pPr>
      <w:bookmarkStart w:id="40" w:name="_Ref110022761"/>
      <w:r w:rsidRPr="00C068F4">
        <w:lastRenderedPageBreak/>
        <w:t xml:space="preserve">Table </w:t>
      </w:r>
      <w:fldSimple w:instr=" SEQ Table \* ARABIC " w:fldLock="1">
        <w:r w:rsidR="00DB55F2">
          <w:rPr>
            <w:noProof/>
          </w:rPr>
          <w:t>4</w:t>
        </w:r>
      </w:fldSimple>
      <w:bookmarkEnd w:id="40"/>
      <w:r w:rsidRPr="00C068F4">
        <w:rPr>
          <w:rStyle w:val="CommentReference"/>
          <w:rFonts w:eastAsiaTheme="majorEastAsia" w:cstheme="majorBidi"/>
          <w:b/>
          <w:szCs w:val="24"/>
        </w:rPr>
        <w:t>: Primary and key supportive efficacy endpoints from the PROVENT trial</w:t>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4: Primary and key supportive efficacy endpoints from the PROVENT trial"/>
      </w:tblPr>
      <w:tblGrid>
        <w:gridCol w:w="2405"/>
        <w:gridCol w:w="1743"/>
        <w:gridCol w:w="1744"/>
        <w:gridCol w:w="1744"/>
        <w:gridCol w:w="1744"/>
      </w:tblGrid>
      <w:tr w:rsidR="00706B30" w:rsidRPr="00C068F4" w14:paraId="4C156D68" w14:textId="77777777" w:rsidTr="00DC4004">
        <w:tc>
          <w:tcPr>
            <w:tcW w:w="2405" w:type="dxa"/>
            <w:vAlign w:val="center"/>
          </w:tcPr>
          <w:p w14:paraId="6872BA24" w14:textId="4D6E6686" w:rsidR="00706B30" w:rsidRPr="00C068F4" w:rsidRDefault="00706B30">
            <w:pPr>
              <w:pStyle w:val="In-tableHeading"/>
              <w:rPr>
                <w:lang w:val="en-AU"/>
              </w:rPr>
            </w:pPr>
          </w:p>
        </w:tc>
        <w:tc>
          <w:tcPr>
            <w:tcW w:w="6975" w:type="dxa"/>
            <w:gridSpan w:val="4"/>
          </w:tcPr>
          <w:p w14:paraId="5342FDF4" w14:textId="463681CD" w:rsidR="00706B30" w:rsidRPr="00C068F4" w:rsidRDefault="00706B30">
            <w:pPr>
              <w:pStyle w:val="In-tableHeading"/>
              <w:jc w:val="center"/>
              <w:rPr>
                <w:lang w:val="en-AU"/>
              </w:rPr>
            </w:pPr>
            <w:r w:rsidRPr="00C068F4">
              <w:rPr>
                <w:lang w:val="en-AU"/>
              </w:rPr>
              <w:t>Date of data cut-off</w:t>
            </w:r>
          </w:p>
        </w:tc>
      </w:tr>
      <w:tr w:rsidR="00706B30" w:rsidRPr="00C068F4" w14:paraId="3E4516D3" w14:textId="77777777" w:rsidTr="00DC4004">
        <w:tc>
          <w:tcPr>
            <w:tcW w:w="2405" w:type="dxa"/>
            <w:vAlign w:val="center"/>
          </w:tcPr>
          <w:p w14:paraId="2EDD21F2" w14:textId="5B4A08A2" w:rsidR="00706B30" w:rsidRPr="00C068F4" w:rsidRDefault="00706B30">
            <w:pPr>
              <w:pStyle w:val="In-tableHeading"/>
              <w:rPr>
                <w:lang w:val="en-AU"/>
              </w:rPr>
            </w:pPr>
          </w:p>
        </w:tc>
        <w:tc>
          <w:tcPr>
            <w:tcW w:w="1743" w:type="dxa"/>
          </w:tcPr>
          <w:p w14:paraId="746C1B80" w14:textId="1612B1D5" w:rsidR="00706B30" w:rsidRPr="00C068F4" w:rsidRDefault="00F36CD0">
            <w:pPr>
              <w:pStyle w:val="In-tableHeading"/>
              <w:jc w:val="center"/>
              <w:rPr>
                <w:lang w:val="en-AU"/>
              </w:rPr>
            </w:pPr>
            <w:r w:rsidRPr="00C068F4">
              <w:rPr>
                <w:lang w:val="en-AU"/>
              </w:rPr>
              <w:t>5 May 2021</w:t>
            </w:r>
          </w:p>
        </w:tc>
        <w:tc>
          <w:tcPr>
            <w:tcW w:w="1744" w:type="dxa"/>
            <w:vAlign w:val="center"/>
          </w:tcPr>
          <w:p w14:paraId="7267EE7D" w14:textId="59C75520" w:rsidR="00706B30" w:rsidRPr="00C068F4" w:rsidRDefault="00F36CD0">
            <w:pPr>
              <w:pStyle w:val="In-tableHeading"/>
              <w:jc w:val="center"/>
              <w:rPr>
                <w:lang w:val="en-AU"/>
              </w:rPr>
            </w:pPr>
            <w:r w:rsidRPr="00C068F4">
              <w:rPr>
                <w:lang w:val="en-AU"/>
              </w:rPr>
              <w:t>29 Jun 2021</w:t>
            </w:r>
          </w:p>
        </w:tc>
        <w:tc>
          <w:tcPr>
            <w:tcW w:w="1744" w:type="dxa"/>
            <w:vAlign w:val="center"/>
          </w:tcPr>
          <w:p w14:paraId="18352E52" w14:textId="5A0D5246" w:rsidR="00706B30" w:rsidRPr="00C068F4" w:rsidRDefault="00F36CD0">
            <w:pPr>
              <w:pStyle w:val="In-tableHeading"/>
              <w:jc w:val="center"/>
              <w:rPr>
                <w:lang w:val="en-AU"/>
              </w:rPr>
            </w:pPr>
            <w:r w:rsidRPr="00C068F4">
              <w:rPr>
                <w:lang w:val="en-AU"/>
              </w:rPr>
              <w:t>29 Aug 2021</w:t>
            </w:r>
          </w:p>
        </w:tc>
        <w:tc>
          <w:tcPr>
            <w:tcW w:w="1744" w:type="dxa"/>
            <w:vAlign w:val="center"/>
          </w:tcPr>
          <w:p w14:paraId="4B3EAB79" w14:textId="0B20F078" w:rsidR="00706B30" w:rsidRPr="00C068F4" w:rsidRDefault="00F36CD0">
            <w:pPr>
              <w:pStyle w:val="In-tableHeading"/>
              <w:jc w:val="center"/>
              <w:rPr>
                <w:lang w:val="en-AU"/>
              </w:rPr>
            </w:pPr>
            <w:r w:rsidRPr="00C068F4">
              <w:rPr>
                <w:lang w:val="en-AU"/>
              </w:rPr>
              <w:t>13 Apr 202</w:t>
            </w:r>
            <w:r w:rsidR="005C1686" w:rsidRPr="00C068F4">
              <w:rPr>
                <w:lang w:val="en-AU"/>
              </w:rPr>
              <w:t>2</w:t>
            </w:r>
          </w:p>
        </w:tc>
      </w:tr>
      <w:tr w:rsidR="00E8074C" w:rsidRPr="00C068F4" w14:paraId="377F6966" w14:textId="77777777" w:rsidTr="00DC4004">
        <w:tc>
          <w:tcPr>
            <w:tcW w:w="2405" w:type="dxa"/>
          </w:tcPr>
          <w:p w14:paraId="6D12FA9B" w14:textId="7C6EC4E5" w:rsidR="00E8074C" w:rsidRPr="00C068F4" w:rsidRDefault="00706B30">
            <w:pPr>
              <w:pStyle w:val="TableText0"/>
            </w:pPr>
            <w:r w:rsidRPr="00C068F4">
              <w:t>Median follow up, days (range)</w:t>
            </w:r>
          </w:p>
        </w:tc>
        <w:tc>
          <w:tcPr>
            <w:tcW w:w="1743" w:type="dxa"/>
          </w:tcPr>
          <w:p w14:paraId="04295BB3" w14:textId="2B724EBE" w:rsidR="005734DB" w:rsidRPr="00C068F4" w:rsidRDefault="005734DB" w:rsidP="005734DB">
            <w:pPr>
              <w:pStyle w:val="TableText0"/>
              <w:jc w:val="center"/>
            </w:pPr>
            <w:r w:rsidRPr="00C068F4">
              <w:t>83 (4 – 66)</w:t>
            </w:r>
          </w:p>
        </w:tc>
        <w:tc>
          <w:tcPr>
            <w:tcW w:w="1744" w:type="dxa"/>
          </w:tcPr>
          <w:p w14:paraId="0C25059F" w14:textId="53C0A815" w:rsidR="00E8074C" w:rsidRPr="00C068F4" w:rsidRDefault="005734DB">
            <w:pPr>
              <w:pStyle w:val="TableText0"/>
              <w:jc w:val="center"/>
            </w:pPr>
            <w:r w:rsidRPr="00C068F4">
              <w:t>137 (4 – 221)</w:t>
            </w:r>
          </w:p>
        </w:tc>
        <w:tc>
          <w:tcPr>
            <w:tcW w:w="1744" w:type="dxa"/>
          </w:tcPr>
          <w:p w14:paraId="03555B3D" w14:textId="12D316E5" w:rsidR="00E8074C" w:rsidRPr="00C068F4" w:rsidRDefault="005734DB">
            <w:pPr>
              <w:pStyle w:val="TableText0"/>
              <w:jc w:val="center"/>
            </w:pPr>
            <w:r w:rsidRPr="00C068F4">
              <w:t>196 (4 -282)</w:t>
            </w:r>
          </w:p>
        </w:tc>
        <w:tc>
          <w:tcPr>
            <w:tcW w:w="1744" w:type="dxa"/>
          </w:tcPr>
          <w:p w14:paraId="7C99E8A8" w14:textId="56950857" w:rsidR="00E8074C" w:rsidRPr="00C068F4" w:rsidRDefault="00BE59BA">
            <w:pPr>
              <w:pStyle w:val="TableText0"/>
              <w:jc w:val="center"/>
            </w:pPr>
            <w:r w:rsidRPr="00C068F4">
              <w:t>414 (4 -509)</w:t>
            </w:r>
          </w:p>
        </w:tc>
      </w:tr>
      <w:tr w:rsidR="003411E3" w:rsidRPr="00C068F4" w14:paraId="0700889F" w14:textId="77777777" w:rsidTr="00DC4004">
        <w:tc>
          <w:tcPr>
            <w:tcW w:w="2405" w:type="dxa"/>
          </w:tcPr>
          <w:p w14:paraId="2DFB3BE8" w14:textId="71F065D3" w:rsidR="003411E3" w:rsidRPr="00C068F4" w:rsidRDefault="003411E3" w:rsidP="003411E3">
            <w:pPr>
              <w:pStyle w:val="TableText0"/>
            </w:pPr>
            <w:r w:rsidRPr="00C068F4">
              <w:t>Number randomised</w:t>
            </w:r>
          </w:p>
        </w:tc>
        <w:tc>
          <w:tcPr>
            <w:tcW w:w="1743" w:type="dxa"/>
          </w:tcPr>
          <w:p w14:paraId="4AD822F4" w14:textId="19898103" w:rsidR="003411E3" w:rsidRPr="00C068F4" w:rsidRDefault="003411E3" w:rsidP="003411E3">
            <w:pPr>
              <w:pStyle w:val="TableText0"/>
              <w:jc w:val="center"/>
            </w:pPr>
            <w:r w:rsidRPr="00C068F4">
              <w:t>5,254</w:t>
            </w:r>
          </w:p>
        </w:tc>
        <w:tc>
          <w:tcPr>
            <w:tcW w:w="1744" w:type="dxa"/>
          </w:tcPr>
          <w:p w14:paraId="1A36028F" w14:textId="21CF4977" w:rsidR="003411E3" w:rsidRPr="00C068F4" w:rsidRDefault="003411E3" w:rsidP="003411E3">
            <w:pPr>
              <w:pStyle w:val="TableText0"/>
              <w:jc w:val="center"/>
            </w:pPr>
            <w:r w:rsidRPr="00C068F4">
              <w:t>5,254</w:t>
            </w:r>
          </w:p>
        </w:tc>
        <w:tc>
          <w:tcPr>
            <w:tcW w:w="1744" w:type="dxa"/>
          </w:tcPr>
          <w:p w14:paraId="250CE22C" w14:textId="284216C6" w:rsidR="003411E3" w:rsidRPr="00C068F4" w:rsidRDefault="003411E3" w:rsidP="003411E3">
            <w:pPr>
              <w:pStyle w:val="TableText0"/>
              <w:jc w:val="center"/>
            </w:pPr>
            <w:r w:rsidRPr="00C068F4">
              <w:t>5,254</w:t>
            </w:r>
          </w:p>
        </w:tc>
        <w:tc>
          <w:tcPr>
            <w:tcW w:w="1744" w:type="dxa"/>
          </w:tcPr>
          <w:p w14:paraId="7A4D6AA0" w14:textId="0A707AC8" w:rsidR="003411E3" w:rsidRPr="00C068F4" w:rsidRDefault="003411E3" w:rsidP="003411E3">
            <w:pPr>
              <w:pStyle w:val="TableText0"/>
              <w:jc w:val="center"/>
            </w:pPr>
            <w:r w:rsidRPr="00C068F4">
              <w:t>5,254</w:t>
            </w:r>
          </w:p>
        </w:tc>
      </w:tr>
      <w:tr w:rsidR="00F448F6" w:rsidRPr="00C068F4" w14:paraId="715872CB" w14:textId="77777777" w:rsidTr="00DC4004">
        <w:tc>
          <w:tcPr>
            <w:tcW w:w="2405" w:type="dxa"/>
          </w:tcPr>
          <w:p w14:paraId="3A85DF0E" w14:textId="33696421" w:rsidR="00F448F6" w:rsidRPr="00C068F4" w:rsidRDefault="00F448F6" w:rsidP="00F448F6">
            <w:pPr>
              <w:pStyle w:val="TableText0"/>
            </w:pPr>
            <w:r w:rsidRPr="00C068F4">
              <w:t>Number not dosed</w:t>
            </w:r>
            <w:r w:rsidR="0008634C" w:rsidRPr="00C068F4">
              <w:t xml:space="preserve"> (%)</w:t>
            </w:r>
          </w:p>
        </w:tc>
        <w:tc>
          <w:tcPr>
            <w:tcW w:w="1743" w:type="dxa"/>
          </w:tcPr>
          <w:p w14:paraId="3E4DB89A" w14:textId="275B8F0F" w:rsidR="00F448F6" w:rsidRPr="00C068F4" w:rsidRDefault="00F448F6" w:rsidP="00F448F6">
            <w:pPr>
              <w:pStyle w:val="TableText0"/>
              <w:jc w:val="center"/>
            </w:pPr>
            <w:r w:rsidRPr="00C068F4">
              <w:t>57 (1.1%)</w:t>
            </w:r>
          </w:p>
        </w:tc>
        <w:tc>
          <w:tcPr>
            <w:tcW w:w="1744" w:type="dxa"/>
          </w:tcPr>
          <w:p w14:paraId="3CCAE4C4" w14:textId="0837799A" w:rsidR="00F448F6" w:rsidRPr="00C068F4" w:rsidRDefault="00F448F6" w:rsidP="00F448F6">
            <w:pPr>
              <w:pStyle w:val="TableText0"/>
              <w:jc w:val="center"/>
            </w:pPr>
            <w:r w:rsidRPr="00C068F4">
              <w:t>57 (1.1%)</w:t>
            </w:r>
          </w:p>
        </w:tc>
        <w:tc>
          <w:tcPr>
            <w:tcW w:w="1744" w:type="dxa"/>
          </w:tcPr>
          <w:p w14:paraId="4EB71462" w14:textId="753BB065" w:rsidR="00F448F6" w:rsidRPr="00C068F4" w:rsidRDefault="00F448F6" w:rsidP="00F448F6">
            <w:pPr>
              <w:pStyle w:val="TableText0"/>
              <w:jc w:val="center"/>
            </w:pPr>
            <w:r w:rsidRPr="00C068F4">
              <w:t>57 (1.1%)</w:t>
            </w:r>
          </w:p>
        </w:tc>
        <w:tc>
          <w:tcPr>
            <w:tcW w:w="1744" w:type="dxa"/>
          </w:tcPr>
          <w:p w14:paraId="6095E3FE" w14:textId="0D9CD463" w:rsidR="00F448F6" w:rsidRPr="00C068F4" w:rsidRDefault="00F448F6" w:rsidP="00F448F6">
            <w:pPr>
              <w:pStyle w:val="TableText0"/>
              <w:jc w:val="center"/>
            </w:pPr>
            <w:r w:rsidRPr="00C068F4">
              <w:t>57 (1.1%)</w:t>
            </w:r>
          </w:p>
        </w:tc>
      </w:tr>
      <w:tr w:rsidR="00AA7795" w:rsidRPr="00C068F4" w14:paraId="1166D82B" w14:textId="77777777" w:rsidTr="00DC4004">
        <w:tc>
          <w:tcPr>
            <w:tcW w:w="2405" w:type="dxa"/>
          </w:tcPr>
          <w:p w14:paraId="71DCBC94" w14:textId="36B64070" w:rsidR="00AA7795" w:rsidRPr="00C068F4" w:rsidRDefault="00AA7795" w:rsidP="00AA7795">
            <w:pPr>
              <w:pStyle w:val="TableText0"/>
            </w:pPr>
            <w:r w:rsidRPr="00C068F4">
              <w:t>Number discontinuing early</w:t>
            </w:r>
            <w:r w:rsidR="0008634C" w:rsidRPr="00C068F4">
              <w:t xml:space="preserve"> (%)</w:t>
            </w:r>
            <w:r w:rsidR="001203A3" w:rsidRPr="00C068F4">
              <w:rPr>
                <w:vertAlign w:val="superscript"/>
              </w:rPr>
              <w:t>a</w:t>
            </w:r>
          </w:p>
        </w:tc>
        <w:tc>
          <w:tcPr>
            <w:tcW w:w="1743" w:type="dxa"/>
          </w:tcPr>
          <w:p w14:paraId="3C3B6DE8" w14:textId="726913A2" w:rsidR="00AA7795" w:rsidRPr="00C068F4" w:rsidRDefault="00F448F6" w:rsidP="00AA7795">
            <w:pPr>
              <w:pStyle w:val="TableText0"/>
              <w:jc w:val="center"/>
            </w:pPr>
            <w:r w:rsidRPr="00C068F4">
              <w:t>145 (2.8%)</w:t>
            </w:r>
          </w:p>
        </w:tc>
        <w:tc>
          <w:tcPr>
            <w:tcW w:w="1744" w:type="dxa"/>
          </w:tcPr>
          <w:p w14:paraId="4EF425BC" w14:textId="4EB531BB" w:rsidR="00AA7795" w:rsidRPr="00C068F4" w:rsidRDefault="00F448F6" w:rsidP="00AA7795">
            <w:pPr>
              <w:pStyle w:val="TableText0"/>
              <w:jc w:val="center"/>
            </w:pPr>
            <w:r w:rsidRPr="00C068F4">
              <w:t>223 (4.2%)</w:t>
            </w:r>
          </w:p>
        </w:tc>
        <w:tc>
          <w:tcPr>
            <w:tcW w:w="1744" w:type="dxa"/>
          </w:tcPr>
          <w:p w14:paraId="07588FF1" w14:textId="6C5C8177" w:rsidR="00AA7795" w:rsidRPr="00C068F4" w:rsidRDefault="00F448F6" w:rsidP="00AA7795">
            <w:pPr>
              <w:pStyle w:val="TableText0"/>
              <w:jc w:val="center"/>
            </w:pPr>
            <w:r w:rsidRPr="00C068F4">
              <w:t>263 (</w:t>
            </w:r>
            <w:r w:rsidR="00BD3ADD" w:rsidRPr="00C068F4">
              <w:t>5.0%)</w:t>
            </w:r>
          </w:p>
        </w:tc>
        <w:tc>
          <w:tcPr>
            <w:tcW w:w="1744" w:type="dxa"/>
          </w:tcPr>
          <w:p w14:paraId="6B96C094" w14:textId="2770AB99" w:rsidR="00AA7795" w:rsidRPr="00C068F4" w:rsidRDefault="00F448F6" w:rsidP="00AA7795">
            <w:pPr>
              <w:pStyle w:val="TableText0"/>
              <w:jc w:val="center"/>
            </w:pPr>
            <w:r w:rsidRPr="00C068F4">
              <w:t>599</w:t>
            </w:r>
            <w:r w:rsidR="00BD3ADD" w:rsidRPr="00C068F4">
              <w:t xml:space="preserve"> (11.4%)</w:t>
            </w:r>
          </w:p>
        </w:tc>
      </w:tr>
      <w:tr w:rsidR="00420E68" w:rsidRPr="00C068F4" w14:paraId="3740B7DE" w14:textId="77777777" w:rsidTr="00DC4004">
        <w:tc>
          <w:tcPr>
            <w:tcW w:w="2405" w:type="dxa"/>
          </w:tcPr>
          <w:p w14:paraId="1A0ED502" w14:textId="34CB1A4D" w:rsidR="00420E68" w:rsidRPr="00C068F4" w:rsidRDefault="00420E68" w:rsidP="00AA7795">
            <w:pPr>
              <w:pStyle w:val="TableText0"/>
            </w:pPr>
            <w:r w:rsidRPr="00C068F4">
              <w:t>Number unblinded</w:t>
            </w:r>
            <w:r w:rsidR="0008634C" w:rsidRPr="00C068F4">
              <w:t xml:space="preserve"> (%)</w:t>
            </w:r>
            <w:r w:rsidR="00B352D6" w:rsidRPr="00C068F4">
              <w:rPr>
                <w:vertAlign w:val="superscript"/>
              </w:rPr>
              <w:t>b</w:t>
            </w:r>
          </w:p>
        </w:tc>
        <w:tc>
          <w:tcPr>
            <w:tcW w:w="1743" w:type="dxa"/>
          </w:tcPr>
          <w:p w14:paraId="460E76DB" w14:textId="5973C7A7" w:rsidR="00420E68" w:rsidRPr="00C068F4" w:rsidRDefault="00187836" w:rsidP="00187836">
            <w:pPr>
              <w:pStyle w:val="TableText0"/>
              <w:jc w:val="center"/>
            </w:pPr>
            <w:r w:rsidRPr="00C068F4">
              <w:t>1555 (29.6%)</w:t>
            </w:r>
          </w:p>
        </w:tc>
        <w:tc>
          <w:tcPr>
            <w:tcW w:w="1744" w:type="dxa"/>
          </w:tcPr>
          <w:p w14:paraId="33F29430" w14:textId="5BC61BFF" w:rsidR="00420E68" w:rsidRPr="00C068F4" w:rsidRDefault="008C72AB" w:rsidP="008C72AB">
            <w:pPr>
              <w:pStyle w:val="TableText0"/>
              <w:jc w:val="center"/>
            </w:pPr>
            <w:r w:rsidRPr="00C068F4">
              <w:t>1933 (36.8%)</w:t>
            </w:r>
          </w:p>
        </w:tc>
        <w:tc>
          <w:tcPr>
            <w:tcW w:w="1744" w:type="dxa"/>
          </w:tcPr>
          <w:p w14:paraId="7C2BCD1A" w14:textId="4AE095C4" w:rsidR="00420E68" w:rsidRPr="00C068F4" w:rsidRDefault="008C72AB" w:rsidP="008C72AB">
            <w:pPr>
              <w:pStyle w:val="TableText0"/>
              <w:jc w:val="center"/>
            </w:pPr>
            <w:r w:rsidRPr="00C068F4">
              <w:t>2162 (41.1%)</w:t>
            </w:r>
          </w:p>
        </w:tc>
        <w:tc>
          <w:tcPr>
            <w:tcW w:w="1744" w:type="dxa"/>
          </w:tcPr>
          <w:p w14:paraId="37684C37" w14:textId="4FAE712D" w:rsidR="00420E68" w:rsidRPr="00C068F4" w:rsidRDefault="004C4F98" w:rsidP="004C4F98">
            <w:pPr>
              <w:pStyle w:val="TableText0"/>
              <w:jc w:val="center"/>
            </w:pPr>
            <w:r w:rsidRPr="00C068F4">
              <w:t>2574 (49.0%)</w:t>
            </w:r>
          </w:p>
        </w:tc>
      </w:tr>
      <w:tr w:rsidR="009A30AD" w:rsidRPr="00C068F4" w14:paraId="500BB877" w14:textId="77777777" w:rsidTr="00DC4004">
        <w:tc>
          <w:tcPr>
            <w:tcW w:w="2405" w:type="dxa"/>
            <w:vAlign w:val="center"/>
          </w:tcPr>
          <w:p w14:paraId="12337C66" w14:textId="687E9811" w:rsidR="009A30AD" w:rsidRPr="00C068F4" w:rsidRDefault="009A30AD" w:rsidP="009A30AD">
            <w:pPr>
              <w:pStyle w:val="TableText0"/>
            </w:pPr>
            <w:r w:rsidRPr="00C068F4">
              <w:t>Participant received COVID-19 vaccination, %</w:t>
            </w:r>
          </w:p>
        </w:tc>
        <w:tc>
          <w:tcPr>
            <w:tcW w:w="1743" w:type="dxa"/>
            <w:vAlign w:val="center"/>
          </w:tcPr>
          <w:p w14:paraId="5C37FDBD" w14:textId="121D6003" w:rsidR="009A30AD" w:rsidRPr="00C068F4" w:rsidRDefault="009A30AD" w:rsidP="009A30AD">
            <w:pPr>
              <w:pStyle w:val="TableText0"/>
              <w:jc w:val="center"/>
            </w:pPr>
            <w:r w:rsidRPr="00C068F4">
              <w:t xml:space="preserve">12.2% in </w:t>
            </w:r>
            <w:r w:rsidRPr="00C068F4">
              <w:rPr>
                <w:color w:val="000000" w:themeColor="text1"/>
              </w:rPr>
              <w:t>tixagevimab and cilgavimab</w:t>
            </w:r>
            <w:r w:rsidRPr="00C068F4">
              <w:t xml:space="preserve"> arm 30.7% in placebo arm</w:t>
            </w:r>
          </w:p>
        </w:tc>
        <w:tc>
          <w:tcPr>
            <w:tcW w:w="1744" w:type="dxa"/>
          </w:tcPr>
          <w:p w14:paraId="6B0E2DB3" w14:textId="7AB92D66" w:rsidR="009A30AD" w:rsidRPr="00C068F4" w:rsidRDefault="009A30AD" w:rsidP="009A30AD">
            <w:pPr>
              <w:pStyle w:val="TableText0"/>
              <w:jc w:val="center"/>
            </w:pPr>
            <w:r w:rsidRPr="00C068F4">
              <w:t xml:space="preserve">21.2% in </w:t>
            </w:r>
            <w:r w:rsidRPr="00C068F4">
              <w:rPr>
                <w:color w:val="000000" w:themeColor="text1"/>
              </w:rPr>
              <w:t>tixagevimab and cilgavimab</w:t>
            </w:r>
            <w:r w:rsidRPr="00C068F4">
              <w:t xml:space="preserve"> arm </w:t>
            </w:r>
            <w:r w:rsidR="00C95DA3" w:rsidRPr="00C068F4">
              <w:t>41.8</w:t>
            </w:r>
            <w:r w:rsidRPr="00C068F4">
              <w:t>% in placebo arm</w:t>
            </w:r>
          </w:p>
        </w:tc>
        <w:tc>
          <w:tcPr>
            <w:tcW w:w="1744" w:type="dxa"/>
          </w:tcPr>
          <w:p w14:paraId="19FC1767" w14:textId="2363A61F" w:rsidR="009A30AD" w:rsidRPr="00C068F4" w:rsidRDefault="00C95DA3" w:rsidP="009A30AD">
            <w:pPr>
              <w:pStyle w:val="TableText0"/>
              <w:jc w:val="center"/>
            </w:pPr>
            <w:r w:rsidRPr="00C068F4">
              <w:t>33.2</w:t>
            </w:r>
            <w:r w:rsidR="009A30AD" w:rsidRPr="00C068F4">
              <w:t xml:space="preserve">% in </w:t>
            </w:r>
            <w:r w:rsidR="009A30AD" w:rsidRPr="00C068F4">
              <w:rPr>
                <w:color w:val="000000" w:themeColor="text1"/>
              </w:rPr>
              <w:t>tixagevimab and cilgavimab</w:t>
            </w:r>
            <w:r w:rsidR="009A30AD" w:rsidRPr="00C068F4">
              <w:t xml:space="preserve"> arm </w:t>
            </w:r>
            <w:r w:rsidRPr="00C068F4">
              <w:t>48.6</w:t>
            </w:r>
            <w:r w:rsidR="009A30AD" w:rsidRPr="00C068F4">
              <w:t>% in placebo arm</w:t>
            </w:r>
          </w:p>
        </w:tc>
        <w:tc>
          <w:tcPr>
            <w:tcW w:w="1744" w:type="dxa"/>
          </w:tcPr>
          <w:p w14:paraId="771A8921" w14:textId="600952A1" w:rsidR="009A30AD" w:rsidRPr="00C068F4" w:rsidRDefault="0078575A" w:rsidP="009A30AD">
            <w:pPr>
              <w:pStyle w:val="TableText0"/>
              <w:jc w:val="center"/>
            </w:pPr>
            <w:r w:rsidRPr="00C068F4">
              <w:t>52.1</w:t>
            </w:r>
            <w:r w:rsidR="009A30AD" w:rsidRPr="00C068F4">
              <w:t xml:space="preserve">% in </w:t>
            </w:r>
            <w:r w:rsidR="009A30AD" w:rsidRPr="00C068F4">
              <w:rPr>
                <w:color w:val="000000" w:themeColor="text1"/>
              </w:rPr>
              <w:t>tixagevimab and cilgavimab</w:t>
            </w:r>
            <w:r w:rsidR="009A30AD" w:rsidRPr="00C068F4">
              <w:t xml:space="preserve"> arm </w:t>
            </w:r>
            <w:r w:rsidRPr="00C068F4">
              <w:t>59.9</w:t>
            </w:r>
            <w:r w:rsidR="009A30AD" w:rsidRPr="00C068F4">
              <w:t>% in placebo arm</w:t>
            </w:r>
          </w:p>
        </w:tc>
      </w:tr>
    </w:tbl>
    <w:p w14:paraId="294E42FE" w14:textId="22E4E17D" w:rsidR="00A540B0" w:rsidRPr="00C068F4" w:rsidRDefault="00B352D6" w:rsidP="008D6171">
      <w:pPr>
        <w:pStyle w:val="FooterTableFigure"/>
        <w:jc w:val="left"/>
      </w:pPr>
      <w:r w:rsidRPr="00C068F4">
        <w:t xml:space="preserve">Source: Table 2, </w:t>
      </w:r>
      <w:r w:rsidR="00AB5EFD" w:rsidRPr="00C068F4">
        <w:t>PROVENT High-level Data Summary</w:t>
      </w:r>
    </w:p>
    <w:p w14:paraId="729A1B2B" w14:textId="5506FCF2" w:rsidR="00220EA2" w:rsidRPr="00C068F4" w:rsidRDefault="00CC2442" w:rsidP="00EC5836">
      <w:pPr>
        <w:pStyle w:val="3-BodyText"/>
        <w:rPr>
          <w:color w:val="000000" w:themeColor="text1"/>
        </w:rPr>
      </w:pPr>
      <w:r w:rsidRPr="00C068F4">
        <w:rPr>
          <w:snapToGrid/>
        </w:rPr>
        <w:t xml:space="preserve">The May 2021 </w:t>
      </w:r>
      <w:r w:rsidR="001C53F1" w:rsidRPr="00C068F4">
        <w:rPr>
          <w:snapToGrid/>
        </w:rPr>
        <w:t>DCO</w:t>
      </w:r>
      <w:r w:rsidRPr="00C068F4">
        <w:rPr>
          <w:snapToGrid/>
        </w:rPr>
        <w:t xml:space="preserve"> </w:t>
      </w:r>
      <w:r w:rsidR="001E2F44" w:rsidRPr="00C068F4">
        <w:rPr>
          <w:snapToGrid/>
        </w:rPr>
        <w:t xml:space="preserve">was </w:t>
      </w:r>
      <w:r w:rsidR="00984ECF" w:rsidRPr="00C068F4">
        <w:rPr>
          <w:snapToGrid/>
        </w:rPr>
        <w:t xml:space="preserve">defined as </w:t>
      </w:r>
      <w:r w:rsidR="0027364F" w:rsidRPr="00C068F4">
        <w:rPr>
          <w:snapToGrid/>
        </w:rPr>
        <w:t xml:space="preserve">the primary analysis for efficacy. </w:t>
      </w:r>
      <w:r w:rsidR="00984ECF" w:rsidRPr="00C068F4">
        <w:rPr>
          <w:snapToGrid/>
        </w:rPr>
        <w:t>This analysis was planned to be conducted</w:t>
      </w:r>
      <w:r w:rsidR="00A9524E" w:rsidRPr="00C068F4">
        <w:rPr>
          <w:snapToGrid/>
        </w:rPr>
        <w:t xml:space="preserve"> when 24 primary endpoint events had been confirmed or 30% of study participants had become unblinded. </w:t>
      </w:r>
      <w:r w:rsidR="00220EA2" w:rsidRPr="00C068F4">
        <w:rPr>
          <w:snapToGrid/>
        </w:rPr>
        <w:t xml:space="preserve">The August 2021 </w:t>
      </w:r>
      <w:r w:rsidR="001C53F1" w:rsidRPr="00C068F4">
        <w:rPr>
          <w:snapToGrid/>
        </w:rPr>
        <w:t>DCO</w:t>
      </w:r>
      <w:r w:rsidR="00220EA2" w:rsidRPr="00C068F4">
        <w:rPr>
          <w:snapToGrid/>
        </w:rPr>
        <w:t xml:space="preserve"> represented the </w:t>
      </w:r>
      <w:r w:rsidR="00F37533" w:rsidRPr="00C068F4">
        <w:rPr>
          <w:snapToGrid/>
        </w:rPr>
        <w:t>six</w:t>
      </w:r>
      <w:r w:rsidR="00192F4F" w:rsidRPr="00C068F4">
        <w:rPr>
          <w:snapToGrid/>
        </w:rPr>
        <w:t>-</w:t>
      </w:r>
      <w:r w:rsidR="00220EA2" w:rsidRPr="00C068F4">
        <w:rPr>
          <w:snapToGrid/>
        </w:rPr>
        <w:t xml:space="preserve">month </w:t>
      </w:r>
      <w:r w:rsidR="001C53F1" w:rsidRPr="00C068F4">
        <w:rPr>
          <w:snapToGrid/>
        </w:rPr>
        <w:t>DCO</w:t>
      </w:r>
      <w:r w:rsidR="00220EA2" w:rsidRPr="00C068F4">
        <w:rPr>
          <w:snapToGrid/>
        </w:rPr>
        <w:t>. The median follow-up at that time was 196 days</w:t>
      </w:r>
      <w:r w:rsidR="001C53F1" w:rsidRPr="00C068F4">
        <w:rPr>
          <w:snapToGrid/>
        </w:rPr>
        <w:t xml:space="preserve"> and,</w:t>
      </w:r>
      <w:r w:rsidR="00DD3F16" w:rsidRPr="00C068F4">
        <w:rPr>
          <w:snapToGrid/>
        </w:rPr>
        <w:t xml:space="preserve"> </w:t>
      </w:r>
      <w:r w:rsidR="001C53F1" w:rsidRPr="00C068F4">
        <w:rPr>
          <w:snapToGrid/>
        </w:rPr>
        <w:t>t</w:t>
      </w:r>
      <w:r w:rsidR="00956A2B" w:rsidRPr="00C068F4">
        <w:rPr>
          <w:snapToGrid/>
        </w:rPr>
        <w:t>herefore, n</w:t>
      </w:r>
      <w:r w:rsidR="00220EA2" w:rsidRPr="00C068F4">
        <w:rPr>
          <w:snapToGrid/>
        </w:rPr>
        <w:t>ot all patients had reached Day 183 (6 months)</w:t>
      </w:r>
      <w:r w:rsidR="00956A2B" w:rsidRPr="00C068F4">
        <w:rPr>
          <w:snapToGrid/>
        </w:rPr>
        <w:t xml:space="preserve"> at that time</w:t>
      </w:r>
      <w:r w:rsidR="00220EA2" w:rsidRPr="00C068F4">
        <w:rPr>
          <w:snapToGrid/>
        </w:rPr>
        <w:t xml:space="preserve">. </w:t>
      </w:r>
      <w:r w:rsidR="0041238B" w:rsidRPr="00C068F4">
        <w:rPr>
          <w:snapToGrid/>
        </w:rPr>
        <w:t>By the time of</w:t>
      </w:r>
      <w:r w:rsidR="00220EA2" w:rsidRPr="00C068F4">
        <w:rPr>
          <w:snapToGrid/>
        </w:rPr>
        <w:t xml:space="preserve"> the April 2022 </w:t>
      </w:r>
      <w:r w:rsidR="003A6D33" w:rsidRPr="00C068F4">
        <w:rPr>
          <w:snapToGrid/>
        </w:rPr>
        <w:t>DCO</w:t>
      </w:r>
      <w:r w:rsidR="00220EA2" w:rsidRPr="00C068F4">
        <w:rPr>
          <w:snapToGrid/>
        </w:rPr>
        <w:t xml:space="preserve">, all patients had reached Day 183 after randomisation. </w:t>
      </w:r>
      <w:r w:rsidR="00220EA2" w:rsidRPr="00C068F4">
        <w:rPr>
          <w:snapToGrid/>
          <w:color w:val="000000" w:themeColor="text1"/>
        </w:rPr>
        <w:t xml:space="preserve">The top-line </w:t>
      </w:r>
      <w:r w:rsidR="00F96A59" w:rsidRPr="00C068F4">
        <w:rPr>
          <w:snapToGrid/>
          <w:color w:val="000000" w:themeColor="text1"/>
        </w:rPr>
        <w:t xml:space="preserve">6-month </w:t>
      </w:r>
      <w:r w:rsidR="00220EA2" w:rsidRPr="00C068F4">
        <w:rPr>
          <w:snapToGrid/>
          <w:color w:val="000000" w:themeColor="text1"/>
        </w:rPr>
        <w:t xml:space="preserve">analyses for the primary endpoint, key secondary endpoints, and AE occurrence were repeated using data from the latest </w:t>
      </w:r>
      <w:r w:rsidR="003A6D33" w:rsidRPr="00C068F4">
        <w:rPr>
          <w:snapToGrid/>
          <w:color w:val="000000" w:themeColor="text1"/>
        </w:rPr>
        <w:t>DCO</w:t>
      </w:r>
      <w:r w:rsidR="00220EA2" w:rsidRPr="00C068F4">
        <w:rPr>
          <w:snapToGrid/>
          <w:color w:val="000000" w:themeColor="text1"/>
        </w:rPr>
        <w:t>. In addition, the top-line analyses 12 months after last participant dosed were conducted and are presented.</w:t>
      </w:r>
    </w:p>
    <w:p w14:paraId="6EFF8A55" w14:textId="78D1639F" w:rsidR="0077454B" w:rsidRPr="00C068F4" w:rsidRDefault="00430CBD" w:rsidP="00EC5836">
      <w:pPr>
        <w:pStyle w:val="3-BodyText"/>
        <w:rPr>
          <w:color w:val="000000" w:themeColor="text1"/>
        </w:rPr>
      </w:pPr>
      <w:r w:rsidRPr="00C068F4">
        <w:rPr>
          <w:snapToGrid/>
          <w:color w:val="000000" w:themeColor="text1"/>
        </w:rPr>
        <w:fldChar w:fldCharType="begin" w:fldLock="1"/>
      </w:r>
      <w:r w:rsidRPr="00C068F4">
        <w:rPr>
          <w:snapToGrid/>
          <w:color w:val="000000" w:themeColor="text1"/>
        </w:rPr>
        <w:instrText xml:space="preserve"> REF _Ref109860884 \h  \* MERGEFORMAT </w:instrText>
      </w:r>
      <w:r w:rsidRPr="00C068F4">
        <w:rPr>
          <w:snapToGrid/>
          <w:color w:val="000000" w:themeColor="text1"/>
        </w:rPr>
      </w:r>
      <w:r w:rsidRPr="00C068F4">
        <w:rPr>
          <w:snapToGrid/>
          <w:color w:val="000000" w:themeColor="text1"/>
        </w:rPr>
        <w:fldChar w:fldCharType="separate"/>
      </w:r>
      <w:r w:rsidR="00AB751C" w:rsidRPr="00AB751C">
        <w:rPr>
          <w:snapToGrid/>
          <w:color w:val="000000" w:themeColor="text1"/>
        </w:rPr>
        <w:t>Table 5</w:t>
      </w:r>
      <w:r w:rsidRPr="00C068F4">
        <w:rPr>
          <w:snapToGrid/>
          <w:color w:val="000000" w:themeColor="text1"/>
        </w:rPr>
        <w:fldChar w:fldCharType="end"/>
      </w:r>
      <w:r w:rsidRPr="00C068F4">
        <w:rPr>
          <w:snapToGrid/>
          <w:color w:val="000000" w:themeColor="text1"/>
        </w:rPr>
        <w:t xml:space="preserve"> </w:t>
      </w:r>
      <w:r w:rsidR="0077454B" w:rsidRPr="00C068F4">
        <w:rPr>
          <w:snapToGrid/>
          <w:color w:val="000000" w:themeColor="text1"/>
        </w:rPr>
        <w:t xml:space="preserve">summarises the </w:t>
      </w:r>
      <w:r w:rsidR="005503A2" w:rsidRPr="00C068F4">
        <w:rPr>
          <w:snapToGrid/>
          <w:color w:val="000000" w:themeColor="text1"/>
        </w:rPr>
        <w:t xml:space="preserve">results for the primary </w:t>
      </w:r>
      <w:r w:rsidR="00075673" w:rsidRPr="00C068F4">
        <w:rPr>
          <w:snapToGrid/>
          <w:color w:val="000000" w:themeColor="text1"/>
        </w:rPr>
        <w:t>outcome</w:t>
      </w:r>
      <w:r w:rsidR="005503A2" w:rsidRPr="00C068F4">
        <w:rPr>
          <w:snapToGrid/>
          <w:color w:val="000000" w:themeColor="text1"/>
        </w:rPr>
        <w:t xml:space="preserve"> and key secondary </w:t>
      </w:r>
      <w:r w:rsidR="00634870" w:rsidRPr="00C068F4">
        <w:rPr>
          <w:snapToGrid/>
          <w:color w:val="000000" w:themeColor="text1"/>
        </w:rPr>
        <w:t xml:space="preserve">and exploratory </w:t>
      </w:r>
      <w:r w:rsidR="005503A2" w:rsidRPr="00C068F4">
        <w:rPr>
          <w:snapToGrid/>
          <w:color w:val="000000" w:themeColor="text1"/>
        </w:rPr>
        <w:t>outcome</w:t>
      </w:r>
      <w:r w:rsidR="00634870" w:rsidRPr="00C068F4">
        <w:rPr>
          <w:snapToGrid/>
          <w:color w:val="000000" w:themeColor="text1"/>
        </w:rPr>
        <w:t>s</w:t>
      </w:r>
      <w:r w:rsidR="00075673" w:rsidRPr="00C068F4">
        <w:rPr>
          <w:snapToGrid/>
          <w:color w:val="000000" w:themeColor="text1"/>
        </w:rPr>
        <w:t xml:space="preserve"> </w:t>
      </w:r>
      <w:r w:rsidR="007C7D7E" w:rsidRPr="00C068F4">
        <w:rPr>
          <w:snapToGrid/>
          <w:color w:val="000000" w:themeColor="text1"/>
        </w:rPr>
        <w:t xml:space="preserve">from the PROVENT trial </w:t>
      </w:r>
      <w:r w:rsidR="00EB491D" w:rsidRPr="00C068F4">
        <w:rPr>
          <w:snapToGrid/>
          <w:color w:val="000000" w:themeColor="text1"/>
        </w:rPr>
        <w:t xml:space="preserve">at the May 2021 </w:t>
      </w:r>
      <w:r w:rsidR="00A3729B" w:rsidRPr="00C068F4">
        <w:rPr>
          <w:snapToGrid/>
          <w:color w:val="000000" w:themeColor="text1"/>
        </w:rPr>
        <w:t>DCO (primary</w:t>
      </w:r>
      <w:r w:rsidR="00035180" w:rsidRPr="00C068F4">
        <w:rPr>
          <w:snapToGrid/>
          <w:color w:val="000000" w:themeColor="text1"/>
        </w:rPr>
        <w:t xml:space="preserve"> analysis), the August 2021 DCO (</w:t>
      </w:r>
      <w:proofErr w:type="gramStart"/>
      <w:r w:rsidR="00F37533" w:rsidRPr="00C068F4">
        <w:rPr>
          <w:snapToGrid/>
          <w:color w:val="000000" w:themeColor="text1"/>
        </w:rPr>
        <w:t>six month</w:t>
      </w:r>
      <w:proofErr w:type="gramEnd"/>
      <w:r w:rsidR="00F37533" w:rsidRPr="00C068F4">
        <w:rPr>
          <w:snapToGrid/>
          <w:color w:val="000000" w:themeColor="text1"/>
        </w:rPr>
        <w:t xml:space="preserve"> DCO) and the April 2022 DCO</w:t>
      </w:r>
      <w:r w:rsidR="00BD64A4" w:rsidRPr="00C068F4">
        <w:rPr>
          <w:snapToGrid/>
          <w:color w:val="000000" w:themeColor="text1"/>
        </w:rPr>
        <w:t xml:space="preserve"> (when</w:t>
      </w:r>
      <w:r w:rsidR="0082623D" w:rsidRPr="00C068F4">
        <w:rPr>
          <w:snapToGrid/>
          <w:color w:val="000000" w:themeColor="text1"/>
        </w:rPr>
        <w:t xml:space="preserve"> all patients</w:t>
      </w:r>
      <w:r w:rsidR="00F21FF5" w:rsidRPr="00C068F4">
        <w:rPr>
          <w:snapToGrid/>
          <w:color w:val="000000" w:themeColor="text1"/>
        </w:rPr>
        <w:t xml:space="preserve"> had completed</w:t>
      </w:r>
      <w:r w:rsidR="00281092" w:rsidRPr="00C068F4">
        <w:rPr>
          <w:snapToGrid/>
          <w:color w:val="000000" w:themeColor="text1"/>
        </w:rPr>
        <w:t xml:space="preserve"> Day 183 follow-up</w:t>
      </w:r>
      <w:r w:rsidR="00BD64A4" w:rsidRPr="00C068F4">
        <w:rPr>
          <w:snapToGrid/>
          <w:color w:val="000000" w:themeColor="text1"/>
        </w:rPr>
        <w:t>)</w:t>
      </w:r>
      <w:r w:rsidR="007C7D7E" w:rsidRPr="00C068F4">
        <w:rPr>
          <w:snapToGrid/>
          <w:color w:val="000000" w:themeColor="text1"/>
        </w:rPr>
        <w:t>.</w:t>
      </w:r>
      <w:r w:rsidR="00376DF9" w:rsidRPr="00C068F4">
        <w:rPr>
          <w:snapToGrid/>
          <w:color w:val="000000" w:themeColor="text1"/>
        </w:rPr>
        <w:t xml:space="preserve"> Results at 6 months are consistent regardless of DCO.</w:t>
      </w:r>
    </w:p>
    <w:p w14:paraId="11588662" w14:textId="7B1BB782" w:rsidR="00264843" w:rsidRPr="00C068F4" w:rsidRDefault="000D28CB" w:rsidP="00EC5836">
      <w:pPr>
        <w:pStyle w:val="3-BodyText"/>
        <w:rPr>
          <w:color w:val="000000" w:themeColor="text1"/>
        </w:rPr>
      </w:pPr>
      <w:r w:rsidRPr="00C068F4">
        <w:rPr>
          <w:snapToGrid/>
          <w:color w:val="000000" w:themeColor="text1"/>
        </w:rPr>
        <w:t xml:space="preserve">As shown in </w:t>
      </w:r>
      <w:r w:rsidR="00CA1FC3" w:rsidRPr="00C068F4">
        <w:rPr>
          <w:snapToGrid/>
          <w:color w:val="000000" w:themeColor="text1"/>
        </w:rPr>
        <w:fldChar w:fldCharType="begin" w:fldLock="1"/>
      </w:r>
      <w:r w:rsidR="00CA1FC3" w:rsidRPr="00C068F4">
        <w:rPr>
          <w:snapToGrid/>
          <w:color w:val="000000" w:themeColor="text1"/>
        </w:rPr>
        <w:instrText xml:space="preserve"> REF _Ref110100627 \h </w:instrText>
      </w:r>
      <w:r w:rsidR="00CA1FC3" w:rsidRPr="00C068F4">
        <w:rPr>
          <w:snapToGrid/>
          <w:color w:val="000000" w:themeColor="text1"/>
        </w:rPr>
      </w:r>
      <w:r w:rsidR="00CA1FC3" w:rsidRPr="00C068F4">
        <w:rPr>
          <w:snapToGrid/>
          <w:color w:val="000000" w:themeColor="text1"/>
        </w:rPr>
        <w:fldChar w:fldCharType="separate"/>
      </w:r>
      <w:r w:rsidR="00AB751C" w:rsidRPr="00C068F4">
        <w:t xml:space="preserve">Figure </w:t>
      </w:r>
      <w:r w:rsidR="00AB751C">
        <w:rPr>
          <w:noProof/>
        </w:rPr>
        <w:t>1</w:t>
      </w:r>
      <w:r w:rsidR="00CA1FC3" w:rsidRPr="00C068F4">
        <w:rPr>
          <w:snapToGrid/>
          <w:color w:val="000000" w:themeColor="text1"/>
        </w:rPr>
        <w:fldChar w:fldCharType="end"/>
      </w:r>
      <w:r w:rsidRPr="00C068F4">
        <w:rPr>
          <w:snapToGrid/>
          <w:color w:val="000000" w:themeColor="text1"/>
        </w:rPr>
        <w:t>, results appear to have been consistent across subgroups.</w:t>
      </w:r>
    </w:p>
    <w:bookmarkStart w:id="41" w:name="_Ref110853895"/>
    <w:p w14:paraId="581D63FD" w14:textId="363C39D1" w:rsidR="0070064C" w:rsidRPr="00C068F4" w:rsidRDefault="0070064C">
      <w:pPr>
        <w:pStyle w:val="3-BodyText"/>
      </w:pPr>
      <w:r w:rsidRPr="00C068F4">
        <w:rPr>
          <w:snapToGrid/>
        </w:rPr>
        <w:fldChar w:fldCharType="begin" w:fldLock="1"/>
      </w:r>
      <w:r w:rsidRPr="00C068F4">
        <w:instrText xml:space="preserve"> REF _Ref110093069 \h </w:instrText>
      </w:r>
      <w:r w:rsidRPr="00C068F4">
        <w:rPr>
          <w:snapToGrid/>
        </w:rPr>
      </w:r>
      <w:r w:rsidRPr="00C068F4">
        <w:rPr>
          <w:snapToGrid/>
        </w:rPr>
        <w:fldChar w:fldCharType="separate"/>
      </w:r>
      <w:r w:rsidR="00AB751C" w:rsidRPr="00C068F4">
        <w:t xml:space="preserve">Figure </w:t>
      </w:r>
      <w:r w:rsidR="00AB751C">
        <w:rPr>
          <w:noProof/>
        </w:rPr>
        <w:t>2</w:t>
      </w:r>
      <w:r w:rsidRPr="00C068F4">
        <w:rPr>
          <w:snapToGrid/>
        </w:rPr>
        <w:fldChar w:fldCharType="end"/>
      </w:r>
      <w:r w:rsidRPr="00C068F4">
        <w:rPr>
          <w:snapToGrid/>
        </w:rPr>
        <w:t xml:space="preserve"> shows the cumulative incidence of symptomatic COVID</w:t>
      </w:r>
      <w:r w:rsidR="001C60FF" w:rsidRPr="00C068F4">
        <w:rPr>
          <w:snapToGrid/>
        </w:rPr>
        <w:t>-19</w:t>
      </w:r>
      <w:r w:rsidR="001235B9" w:rsidRPr="00C068F4">
        <w:rPr>
          <w:snapToGrid/>
        </w:rPr>
        <w:t xml:space="preserve"> </w:t>
      </w:r>
      <w:r w:rsidR="00C53CBB" w:rsidRPr="00C068F4">
        <w:rPr>
          <w:snapToGrid/>
        </w:rPr>
        <w:t>through to Day</w:t>
      </w:r>
      <w:r w:rsidR="00E064CE" w:rsidRPr="00C068F4">
        <w:rPr>
          <w:snapToGrid/>
        </w:rPr>
        <w:t> </w:t>
      </w:r>
      <w:r w:rsidR="00C53CBB" w:rsidRPr="00C068F4">
        <w:rPr>
          <w:snapToGrid/>
        </w:rPr>
        <w:t xml:space="preserve">366 for the full pre-exposure analysis set in </w:t>
      </w:r>
      <w:r w:rsidR="00B471CE" w:rsidRPr="00C068F4">
        <w:rPr>
          <w:snapToGrid/>
        </w:rPr>
        <w:t xml:space="preserve">the </w:t>
      </w:r>
      <w:r w:rsidR="00C53CBB" w:rsidRPr="00C068F4">
        <w:rPr>
          <w:snapToGrid/>
        </w:rPr>
        <w:t>PROVENT</w:t>
      </w:r>
      <w:r w:rsidR="00B471CE" w:rsidRPr="00C068F4">
        <w:rPr>
          <w:snapToGrid/>
        </w:rPr>
        <w:t xml:space="preserve"> trial</w:t>
      </w:r>
      <w:r w:rsidR="00C53CBB" w:rsidRPr="00C068F4">
        <w:rPr>
          <w:snapToGrid/>
        </w:rPr>
        <w:t>.</w:t>
      </w:r>
      <w:r w:rsidR="00E064CE" w:rsidRPr="00C068F4">
        <w:rPr>
          <w:snapToGrid/>
        </w:rPr>
        <w:t xml:space="preserve"> </w:t>
      </w:r>
      <w:r w:rsidR="002F6446">
        <w:rPr>
          <w:snapToGrid/>
        </w:rPr>
        <w:t>T</w:t>
      </w:r>
      <w:r w:rsidR="00E064CE" w:rsidRPr="00C068F4">
        <w:rPr>
          <w:snapToGrid/>
        </w:rPr>
        <w:t>here is divergence of the Kaplan-Meier estimat</w:t>
      </w:r>
      <w:r w:rsidR="00CF410D" w:rsidRPr="00C068F4">
        <w:rPr>
          <w:snapToGrid/>
        </w:rPr>
        <w:t xml:space="preserve">es through to approximately 180 days and the Kaplan-Meier curves then appear to start converging. </w:t>
      </w:r>
      <w:r w:rsidR="00F7635B" w:rsidRPr="00C068F4">
        <w:rPr>
          <w:snapToGrid/>
        </w:rPr>
        <w:t xml:space="preserve">The hazard ratio </w:t>
      </w:r>
      <w:r w:rsidR="00450868" w:rsidRPr="00C068F4">
        <w:rPr>
          <w:snapToGrid/>
        </w:rPr>
        <w:t xml:space="preserve">at 6 months was </w:t>
      </w:r>
      <w:r w:rsidR="00A81736" w:rsidRPr="00C068F4">
        <w:rPr>
          <w:snapToGrid/>
        </w:rPr>
        <w:t>0.</w:t>
      </w:r>
      <w:r w:rsidR="000B367D" w:rsidRPr="00C068F4">
        <w:rPr>
          <w:snapToGrid/>
        </w:rPr>
        <w:t>17 (95% CI: 0.09, 0.33). It dete</w:t>
      </w:r>
      <w:r w:rsidR="00D81FC9" w:rsidRPr="00C068F4">
        <w:rPr>
          <w:snapToGrid/>
        </w:rPr>
        <w:t>riorates to</w:t>
      </w:r>
      <w:r w:rsidR="00C14CFB" w:rsidRPr="00C068F4">
        <w:rPr>
          <w:snapToGrid/>
        </w:rPr>
        <w:t xml:space="preserve"> 0.52 (95% CI: 0.36, 0.75) </w:t>
      </w:r>
      <w:r w:rsidR="00441701" w:rsidRPr="00C068F4">
        <w:rPr>
          <w:snapToGrid/>
        </w:rPr>
        <w:t>at 12</w:t>
      </w:r>
      <w:r w:rsidR="005970B8" w:rsidRPr="00C068F4">
        <w:rPr>
          <w:snapToGrid/>
        </w:rPr>
        <w:t> </w:t>
      </w:r>
      <w:r w:rsidR="00441701" w:rsidRPr="00C068F4">
        <w:rPr>
          <w:snapToGrid/>
        </w:rPr>
        <w:t>months.</w:t>
      </w:r>
      <w:r w:rsidR="00D81FC9" w:rsidRPr="00C068F4">
        <w:rPr>
          <w:snapToGrid/>
        </w:rPr>
        <w:t xml:space="preserve"> </w:t>
      </w:r>
      <w:r w:rsidR="00AA5A83" w:rsidRPr="00C068F4">
        <w:rPr>
          <w:snapToGrid/>
        </w:rPr>
        <w:t>Notwithstanding issues in relation to the predominant SARS-CoV-2 variants circulating at the time</w:t>
      </w:r>
      <w:r w:rsidR="005C554A" w:rsidRPr="00C068F4">
        <w:rPr>
          <w:snapToGrid/>
        </w:rPr>
        <w:t xml:space="preserve"> of the conduct of the PROVENT trial, the analysis suggests the benefit of tixagevimab and cilgavimab </w:t>
      </w:r>
      <w:r w:rsidR="008B509D" w:rsidRPr="00C068F4">
        <w:rPr>
          <w:snapToGrid/>
        </w:rPr>
        <w:t xml:space="preserve">in terms of impact on </w:t>
      </w:r>
      <w:r w:rsidR="00014F5C" w:rsidRPr="00C068F4">
        <w:rPr>
          <w:snapToGrid/>
        </w:rPr>
        <w:t xml:space="preserve">incidence of symptomatic COVID-19 </w:t>
      </w:r>
      <w:r w:rsidR="005C554A" w:rsidRPr="00C068F4">
        <w:rPr>
          <w:snapToGrid/>
        </w:rPr>
        <w:t xml:space="preserve">is </w:t>
      </w:r>
      <w:r w:rsidR="00053D67" w:rsidRPr="00C068F4">
        <w:rPr>
          <w:snapToGrid/>
        </w:rPr>
        <w:t xml:space="preserve">maintained through to six months but </w:t>
      </w:r>
      <w:r w:rsidR="00073081" w:rsidRPr="00C068F4">
        <w:rPr>
          <w:snapToGrid/>
        </w:rPr>
        <w:t xml:space="preserve">then </w:t>
      </w:r>
      <w:r w:rsidR="005C554A" w:rsidRPr="00C068F4">
        <w:rPr>
          <w:snapToGrid/>
        </w:rPr>
        <w:t xml:space="preserve">reduced beyond </w:t>
      </w:r>
      <w:r w:rsidR="00073081" w:rsidRPr="00C068F4">
        <w:rPr>
          <w:snapToGrid/>
        </w:rPr>
        <w:t>six</w:t>
      </w:r>
      <w:r w:rsidR="005C554A" w:rsidRPr="00C068F4">
        <w:rPr>
          <w:snapToGrid/>
        </w:rPr>
        <w:t xml:space="preserve"> months. </w:t>
      </w:r>
      <w:r w:rsidR="005B489D" w:rsidRPr="00C068F4">
        <w:rPr>
          <w:iCs/>
          <w:snapToGrid/>
        </w:rPr>
        <w:t>The submission claims that</w:t>
      </w:r>
      <w:r w:rsidR="001D0F8A" w:rsidRPr="00C068F4">
        <w:rPr>
          <w:iCs/>
          <w:snapToGrid/>
        </w:rPr>
        <w:t xml:space="preserve"> </w:t>
      </w:r>
      <w:r w:rsidR="001D0F8A" w:rsidRPr="00C068F4">
        <w:rPr>
          <w:iCs/>
          <w:snapToGrid/>
          <w:color w:val="000000" w:themeColor="text1"/>
        </w:rPr>
        <w:t>the observation supports a re-dosing interval of 6 months to provide ongoing</w:t>
      </w:r>
      <w:r w:rsidR="009C56BC" w:rsidRPr="00C068F4">
        <w:rPr>
          <w:iCs/>
          <w:snapToGrid/>
          <w:color w:val="000000" w:themeColor="text1"/>
        </w:rPr>
        <w:t xml:space="preserve"> </w:t>
      </w:r>
      <w:r w:rsidR="001D0F8A" w:rsidRPr="00C068F4">
        <w:rPr>
          <w:iCs/>
          <w:snapToGrid/>
          <w:color w:val="000000" w:themeColor="text1"/>
        </w:rPr>
        <w:t>prophylaxis from symptomatic SARS-CoV-2.</w:t>
      </w:r>
      <w:r w:rsidR="009C56BC" w:rsidRPr="00C068F4">
        <w:rPr>
          <w:iCs/>
          <w:snapToGrid/>
          <w:color w:val="000000" w:themeColor="text1"/>
        </w:rPr>
        <w:t xml:space="preserve"> However,</w:t>
      </w:r>
      <w:r w:rsidR="00361EFE" w:rsidRPr="00C068F4">
        <w:rPr>
          <w:iCs/>
          <w:snapToGrid/>
          <w:color w:val="000000" w:themeColor="text1"/>
        </w:rPr>
        <w:t xml:space="preserve"> </w:t>
      </w:r>
      <w:r w:rsidR="00E9460F" w:rsidRPr="00C068F4">
        <w:rPr>
          <w:iCs/>
          <w:snapToGrid/>
          <w:color w:val="000000" w:themeColor="text1"/>
        </w:rPr>
        <w:t xml:space="preserve">demonstration of waning </w:t>
      </w:r>
      <w:r w:rsidR="000A504A" w:rsidRPr="00C068F4">
        <w:rPr>
          <w:iCs/>
          <w:snapToGrid/>
          <w:color w:val="000000" w:themeColor="text1"/>
        </w:rPr>
        <w:t>of treatment effect</w:t>
      </w:r>
      <w:r w:rsidR="00AB4967" w:rsidRPr="00C068F4">
        <w:rPr>
          <w:iCs/>
          <w:snapToGrid/>
          <w:color w:val="000000" w:themeColor="text1"/>
        </w:rPr>
        <w:t xml:space="preserve"> </w:t>
      </w:r>
      <w:r w:rsidR="00AD27E1" w:rsidRPr="00C068F4">
        <w:rPr>
          <w:iCs/>
          <w:snapToGrid/>
          <w:color w:val="000000" w:themeColor="text1"/>
        </w:rPr>
        <w:t>in terms of rates of symptomatic COVID</w:t>
      </w:r>
      <w:r w:rsidR="00AD27E1" w:rsidRPr="00C068F4">
        <w:rPr>
          <w:iCs/>
          <w:snapToGrid/>
          <w:color w:val="000000" w:themeColor="text1"/>
        </w:rPr>
        <w:noBreakHyphen/>
        <w:t>19</w:t>
      </w:r>
      <w:r w:rsidR="000A504A" w:rsidRPr="00C068F4">
        <w:rPr>
          <w:iCs/>
          <w:snapToGrid/>
          <w:color w:val="000000" w:themeColor="text1"/>
        </w:rPr>
        <w:t xml:space="preserve"> </w:t>
      </w:r>
      <w:r w:rsidR="00E9460F" w:rsidRPr="00C068F4">
        <w:rPr>
          <w:iCs/>
          <w:snapToGrid/>
          <w:color w:val="000000" w:themeColor="text1"/>
        </w:rPr>
        <w:t>after a period of time is, typically, not a</w:t>
      </w:r>
      <w:r w:rsidR="00671EBD" w:rsidRPr="00C068F4">
        <w:rPr>
          <w:iCs/>
          <w:snapToGrid/>
          <w:color w:val="000000" w:themeColor="text1"/>
        </w:rPr>
        <w:t xml:space="preserve">n adequate </w:t>
      </w:r>
      <w:r w:rsidR="000A504A" w:rsidRPr="00C068F4">
        <w:rPr>
          <w:iCs/>
          <w:snapToGrid/>
          <w:color w:val="000000" w:themeColor="text1"/>
        </w:rPr>
        <w:t>support for re-administration. Evidence demonstrating</w:t>
      </w:r>
      <w:r w:rsidR="00A26755" w:rsidRPr="00C068F4">
        <w:rPr>
          <w:iCs/>
          <w:snapToGrid/>
          <w:color w:val="000000" w:themeColor="text1"/>
        </w:rPr>
        <w:t xml:space="preserve"> safety and efficacy of re</w:t>
      </w:r>
      <w:r w:rsidR="0055457E" w:rsidRPr="00C068F4">
        <w:rPr>
          <w:iCs/>
          <w:snapToGrid/>
          <w:color w:val="000000" w:themeColor="text1"/>
        </w:rPr>
        <w:t>dosing</w:t>
      </w:r>
      <w:r w:rsidR="00A26755" w:rsidRPr="00C068F4">
        <w:rPr>
          <w:iCs/>
          <w:snapToGrid/>
          <w:color w:val="000000" w:themeColor="text1"/>
        </w:rPr>
        <w:t xml:space="preserve"> would typically </w:t>
      </w:r>
      <w:r w:rsidR="00350DD9" w:rsidRPr="00C068F4">
        <w:rPr>
          <w:iCs/>
          <w:snapToGrid/>
          <w:color w:val="000000" w:themeColor="text1"/>
        </w:rPr>
        <w:t xml:space="preserve">be required in addition to </w:t>
      </w:r>
      <w:r w:rsidR="00361EFE" w:rsidRPr="00C068F4">
        <w:rPr>
          <w:iCs/>
          <w:snapToGrid/>
          <w:color w:val="000000" w:themeColor="text1"/>
        </w:rPr>
        <w:t>assessment</w:t>
      </w:r>
      <w:r w:rsidR="00350DD9" w:rsidRPr="00C068F4">
        <w:rPr>
          <w:iCs/>
          <w:snapToGrid/>
          <w:color w:val="000000" w:themeColor="text1"/>
        </w:rPr>
        <w:t xml:space="preserve"> of the duration of treatment effect after a single dose.</w:t>
      </w:r>
      <w:bookmarkEnd w:id="41"/>
    </w:p>
    <w:p w14:paraId="20F1FBAC" w14:textId="6F371F86" w:rsidR="00287C72" w:rsidRDefault="008319DC">
      <w:pPr>
        <w:pStyle w:val="3-BodyText"/>
        <w:rPr>
          <w:snapToGrid/>
          <w:color w:val="000000" w:themeColor="text1"/>
        </w:rPr>
      </w:pPr>
      <w:r w:rsidRPr="00C068F4">
        <w:rPr>
          <w:color w:val="000000" w:themeColor="text1"/>
        </w:rPr>
        <w:lastRenderedPageBreak/>
        <w:fldChar w:fldCharType="begin" w:fldLock="1"/>
      </w:r>
      <w:r w:rsidRPr="00C068F4">
        <w:rPr>
          <w:snapToGrid/>
          <w:color w:val="000000" w:themeColor="text1"/>
        </w:rPr>
        <w:instrText xml:space="preserve"> REF _Ref110093686 \h </w:instrText>
      </w:r>
      <w:r w:rsidRPr="00C068F4">
        <w:rPr>
          <w:color w:val="000000" w:themeColor="text1"/>
        </w:rPr>
      </w:r>
      <w:r w:rsidRPr="00C068F4">
        <w:rPr>
          <w:color w:val="000000" w:themeColor="text1"/>
        </w:rPr>
        <w:fldChar w:fldCharType="separate"/>
      </w:r>
      <w:r w:rsidR="00AB751C" w:rsidRPr="00C068F4">
        <w:t xml:space="preserve">Figure </w:t>
      </w:r>
      <w:r w:rsidR="00AB751C">
        <w:rPr>
          <w:noProof/>
        </w:rPr>
        <w:t>3</w:t>
      </w:r>
      <w:r w:rsidRPr="00C068F4">
        <w:rPr>
          <w:color w:val="000000" w:themeColor="text1"/>
        </w:rPr>
        <w:fldChar w:fldCharType="end"/>
      </w:r>
      <w:r w:rsidRPr="00C068F4">
        <w:rPr>
          <w:snapToGrid/>
          <w:color w:val="000000" w:themeColor="text1"/>
        </w:rPr>
        <w:t xml:space="preserve"> shows the cumulative incidence of </w:t>
      </w:r>
      <w:r w:rsidR="00143868" w:rsidRPr="00C068F4">
        <w:rPr>
          <w:snapToGrid/>
          <w:color w:val="000000" w:themeColor="text1"/>
        </w:rPr>
        <w:t>severe or critical</w:t>
      </w:r>
      <w:r w:rsidRPr="00C068F4">
        <w:rPr>
          <w:snapToGrid/>
          <w:color w:val="000000" w:themeColor="text1"/>
        </w:rPr>
        <w:t xml:space="preserve"> COVID-1</w:t>
      </w:r>
      <w:r w:rsidR="00C92F94" w:rsidRPr="00C068F4">
        <w:rPr>
          <w:snapToGrid/>
          <w:color w:val="000000" w:themeColor="text1"/>
        </w:rPr>
        <w:t>9</w:t>
      </w:r>
      <w:r w:rsidRPr="00C068F4">
        <w:rPr>
          <w:snapToGrid/>
          <w:color w:val="000000" w:themeColor="text1"/>
        </w:rPr>
        <w:t>.</w:t>
      </w:r>
      <w:r w:rsidR="00C92F94" w:rsidRPr="00C068F4">
        <w:rPr>
          <w:snapToGrid/>
          <w:color w:val="000000" w:themeColor="text1"/>
        </w:rPr>
        <w:t xml:space="preserve"> In contrast to the </w:t>
      </w:r>
      <w:r w:rsidR="0088184F" w:rsidRPr="00C068F4">
        <w:rPr>
          <w:snapToGrid/>
          <w:color w:val="000000" w:themeColor="text1"/>
        </w:rPr>
        <w:t>effect</w:t>
      </w:r>
      <w:r w:rsidR="00C92F94" w:rsidRPr="00C068F4">
        <w:rPr>
          <w:snapToGrid/>
          <w:color w:val="000000" w:themeColor="text1"/>
        </w:rPr>
        <w:t xml:space="preserve"> on </w:t>
      </w:r>
      <w:r w:rsidR="0088184F" w:rsidRPr="00C068F4">
        <w:rPr>
          <w:snapToGrid/>
          <w:color w:val="000000" w:themeColor="text1"/>
        </w:rPr>
        <w:t xml:space="preserve">symptomatic COVID-19, the benefit observed at </w:t>
      </w:r>
      <w:r w:rsidR="00073081" w:rsidRPr="00C068F4">
        <w:rPr>
          <w:snapToGrid/>
          <w:color w:val="000000" w:themeColor="text1"/>
        </w:rPr>
        <w:t>six</w:t>
      </w:r>
      <w:r w:rsidR="0088184F" w:rsidRPr="00C068F4">
        <w:rPr>
          <w:snapToGrid/>
          <w:color w:val="000000" w:themeColor="text1"/>
        </w:rPr>
        <w:t xml:space="preserve"> months appears to be maintained through to </w:t>
      </w:r>
      <w:r w:rsidR="00073081" w:rsidRPr="00C068F4">
        <w:rPr>
          <w:snapToGrid/>
          <w:color w:val="000000" w:themeColor="text1"/>
        </w:rPr>
        <w:t>12</w:t>
      </w:r>
      <w:r w:rsidR="0088184F" w:rsidRPr="00C068F4">
        <w:rPr>
          <w:snapToGrid/>
          <w:color w:val="000000" w:themeColor="text1"/>
        </w:rPr>
        <w:t xml:space="preserve"> months. </w:t>
      </w:r>
      <w:r w:rsidR="00032A13" w:rsidRPr="00C068F4">
        <w:rPr>
          <w:snapToGrid/>
          <w:color w:val="000000" w:themeColor="text1"/>
        </w:rPr>
        <w:t>At 12 months, the</w:t>
      </w:r>
      <w:r w:rsidR="0022268C" w:rsidRPr="00C068F4">
        <w:rPr>
          <w:snapToGrid/>
          <w:color w:val="000000" w:themeColor="text1"/>
        </w:rPr>
        <w:t xml:space="preserve"> absolute risk of severe or critical COVID-19 was </w:t>
      </w:r>
      <w:r w:rsidR="00CC38BC" w:rsidRPr="00C068F4">
        <w:rPr>
          <w:snapToGrid/>
          <w:color w:val="000000" w:themeColor="text1"/>
        </w:rPr>
        <w:t xml:space="preserve">significantly </w:t>
      </w:r>
      <w:r w:rsidR="00032A13" w:rsidRPr="00C068F4">
        <w:rPr>
          <w:snapToGrid/>
          <w:color w:val="000000" w:themeColor="text1"/>
        </w:rPr>
        <w:t xml:space="preserve">reduced </w:t>
      </w:r>
      <w:r w:rsidR="00AF6B89" w:rsidRPr="00C068F4">
        <w:rPr>
          <w:snapToGrid/>
          <w:color w:val="000000" w:themeColor="text1"/>
        </w:rPr>
        <w:t>in the tixagevimab and cilgavimab arm compared to the control arm (</w:t>
      </w:r>
      <w:r w:rsidR="00CC38BC" w:rsidRPr="00C068F4">
        <w:rPr>
          <w:snapToGrid/>
          <w:color w:val="000000" w:themeColor="text1"/>
        </w:rPr>
        <w:t xml:space="preserve">0.1% </w:t>
      </w:r>
      <w:r w:rsidR="00AF6B89" w:rsidRPr="00C068F4">
        <w:rPr>
          <w:snapToGrid/>
          <w:color w:val="000000" w:themeColor="text1"/>
        </w:rPr>
        <w:t xml:space="preserve">vs 0.6%; RRR = </w:t>
      </w:r>
      <w:r w:rsidR="00032A13" w:rsidRPr="00C068F4">
        <w:rPr>
          <w:snapToGrid/>
          <w:color w:val="000000" w:themeColor="text1"/>
        </w:rPr>
        <w:t>91.3%</w:t>
      </w:r>
      <w:r w:rsidR="00AF6B89" w:rsidRPr="00C068F4">
        <w:rPr>
          <w:snapToGrid/>
          <w:color w:val="000000" w:themeColor="text1"/>
        </w:rPr>
        <w:t>; 95% CI = 60.7% – 98.1%)</w:t>
      </w:r>
      <w:r w:rsidR="00006CF1" w:rsidRPr="00C068F4">
        <w:rPr>
          <w:snapToGrid/>
          <w:color w:val="000000" w:themeColor="text1"/>
        </w:rPr>
        <w:t>.</w:t>
      </w:r>
      <w:r w:rsidR="0022268C" w:rsidRPr="00C068F4">
        <w:rPr>
          <w:snapToGrid/>
          <w:color w:val="000000" w:themeColor="text1"/>
        </w:rPr>
        <w:t xml:space="preserve"> </w:t>
      </w:r>
      <w:r w:rsidR="0088184F" w:rsidRPr="00C068F4">
        <w:rPr>
          <w:snapToGrid/>
          <w:color w:val="000000" w:themeColor="text1"/>
        </w:rPr>
        <w:t xml:space="preserve">However, </w:t>
      </w:r>
      <w:r w:rsidR="00006CF1" w:rsidRPr="00C068F4">
        <w:rPr>
          <w:snapToGrid/>
          <w:color w:val="000000" w:themeColor="text1"/>
        </w:rPr>
        <w:t xml:space="preserve">the results of this analysis should be interpreted with caution given that </w:t>
      </w:r>
      <w:r w:rsidR="003A1451" w:rsidRPr="00C068F4">
        <w:rPr>
          <w:snapToGrid/>
          <w:color w:val="000000" w:themeColor="text1"/>
        </w:rPr>
        <w:t>the number of cases of</w:t>
      </w:r>
      <w:r w:rsidR="00CB08DC" w:rsidRPr="00C068F4">
        <w:rPr>
          <w:snapToGrid/>
          <w:color w:val="000000" w:themeColor="text1"/>
        </w:rPr>
        <w:t xml:space="preserve"> severe or critical COVID-19 </w:t>
      </w:r>
      <w:r w:rsidR="00DD32BC" w:rsidRPr="00C068F4">
        <w:rPr>
          <w:snapToGrid/>
          <w:color w:val="000000" w:themeColor="text1"/>
        </w:rPr>
        <w:t>was</w:t>
      </w:r>
      <w:r w:rsidR="00CB08DC" w:rsidRPr="00C068F4">
        <w:rPr>
          <w:snapToGrid/>
          <w:color w:val="000000" w:themeColor="text1"/>
        </w:rPr>
        <w:t xml:space="preserve"> low</w:t>
      </w:r>
      <w:r w:rsidR="00006CF1" w:rsidRPr="00C068F4">
        <w:rPr>
          <w:snapToGrid/>
          <w:color w:val="000000" w:themeColor="text1"/>
        </w:rPr>
        <w:t xml:space="preserve"> in both arms of the trial.</w:t>
      </w:r>
    </w:p>
    <w:p w14:paraId="48343770" w14:textId="2069D57D" w:rsidR="006A6C06" w:rsidRPr="00C068F4" w:rsidRDefault="00B56D83" w:rsidP="00EC5836">
      <w:pPr>
        <w:pStyle w:val="3-BodyText"/>
        <w:rPr>
          <w:color w:val="000000" w:themeColor="text1"/>
        </w:rPr>
      </w:pPr>
      <w:r w:rsidRPr="00C068F4">
        <w:rPr>
          <w:snapToGrid/>
          <w:color w:val="000000" w:themeColor="text1"/>
        </w:rPr>
        <w:t>T</w:t>
      </w:r>
      <w:r w:rsidR="0011396E" w:rsidRPr="00C068F4">
        <w:rPr>
          <w:snapToGrid/>
          <w:color w:val="000000" w:themeColor="text1"/>
        </w:rPr>
        <w:t>he economic analysis assume</w:t>
      </w:r>
      <w:r w:rsidR="00C76918" w:rsidRPr="00C068F4">
        <w:rPr>
          <w:snapToGrid/>
          <w:color w:val="000000" w:themeColor="text1"/>
        </w:rPr>
        <w:t>s</w:t>
      </w:r>
      <w:r w:rsidR="0011396E" w:rsidRPr="00C068F4">
        <w:rPr>
          <w:snapToGrid/>
          <w:color w:val="000000" w:themeColor="text1"/>
        </w:rPr>
        <w:t xml:space="preserve"> that patients who develop symptomatic COVID-19 while receiv</w:t>
      </w:r>
      <w:r w:rsidR="003A2B94" w:rsidRPr="00C068F4">
        <w:rPr>
          <w:snapToGrid/>
          <w:color w:val="000000" w:themeColor="text1"/>
        </w:rPr>
        <w:t>ing</w:t>
      </w:r>
      <w:r w:rsidR="0011396E" w:rsidRPr="00C068F4">
        <w:rPr>
          <w:snapToGrid/>
          <w:color w:val="000000" w:themeColor="text1"/>
        </w:rPr>
        <w:t xml:space="preserve"> PrEP with tixagevimab and cilgavimab will have a lower risk of hospitalisation than those who were not receiving tixagevimab and cilgavimab as PrEP. </w:t>
      </w:r>
      <w:r w:rsidR="001D0F7E" w:rsidRPr="00C068F4">
        <w:rPr>
          <w:snapToGrid/>
          <w:color w:val="000000" w:themeColor="text1"/>
        </w:rPr>
        <w:t xml:space="preserve">This assumption appears validated </w:t>
      </w:r>
      <w:r w:rsidR="00AB7CC0" w:rsidRPr="00C068F4">
        <w:rPr>
          <w:snapToGrid/>
          <w:color w:val="000000" w:themeColor="text1"/>
        </w:rPr>
        <w:t>by the analyses of the incidence of severe or critical COVID-19</w:t>
      </w:r>
      <w:r w:rsidR="00C76918" w:rsidRPr="00C068F4">
        <w:rPr>
          <w:snapToGrid/>
          <w:color w:val="000000" w:themeColor="text1"/>
        </w:rPr>
        <w:t xml:space="preserve"> in the </w:t>
      </w:r>
      <w:r w:rsidR="00BB4EF6" w:rsidRPr="00C068F4">
        <w:rPr>
          <w:snapToGrid/>
          <w:color w:val="000000" w:themeColor="text1"/>
        </w:rPr>
        <w:t xml:space="preserve">latest analyses of data from the </w:t>
      </w:r>
      <w:r w:rsidR="00C76918" w:rsidRPr="00C068F4">
        <w:rPr>
          <w:snapToGrid/>
          <w:color w:val="000000" w:themeColor="text1"/>
        </w:rPr>
        <w:t>PROV</w:t>
      </w:r>
      <w:r w:rsidR="00BB4EF6" w:rsidRPr="00C068F4">
        <w:rPr>
          <w:snapToGrid/>
          <w:color w:val="000000" w:themeColor="text1"/>
        </w:rPr>
        <w:t>ENT trial</w:t>
      </w:r>
      <w:r w:rsidR="00AB7CC0" w:rsidRPr="00C068F4">
        <w:rPr>
          <w:snapToGrid/>
          <w:color w:val="000000" w:themeColor="text1"/>
        </w:rPr>
        <w:t>.</w:t>
      </w:r>
    </w:p>
    <w:p w14:paraId="44AB8B5C" w14:textId="2077EA4E" w:rsidR="001A225C" w:rsidRPr="00C068F4" w:rsidRDefault="00250BA2" w:rsidP="00EC5836">
      <w:pPr>
        <w:pStyle w:val="3-BodyText"/>
        <w:rPr>
          <w:color w:val="000000" w:themeColor="text1"/>
        </w:rPr>
      </w:pPr>
      <w:r w:rsidRPr="00C068F4">
        <w:rPr>
          <w:snapToGrid/>
          <w:color w:val="000000" w:themeColor="text1"/>
        </w:rPr>
        <w:t>At the time of the April 2022 DCO, t</w:t>
      </w:r>
      <w:r w:rsidR="001A225C" w:rsidRPr="00C068F4">
        <w:rPr>
          <w:snapToGrid/>
          <w:color w:val="000000" w:themeColor="text1"/>
        </w:rPr>
        <w:t>here was no significant difference in proportion of patients dying</w:t>
      </w:r>
      <w:r w:rsidR="00D37D23" w:rsidRPr="00C068F4">
        <w:rPr>
          <w:snapToGrid/>
          <w:color w:val="000000" w:themeColor="text1"/>
        </w:rPr>
        <w:t xml:space="preserve"> across the two arms of the PROVENT trial.</w:t>
      </w:r>
      <w:r w:rsidR="00806D53" w:rsidRPr="00C068F4">
        <w:rPr>
          <w:snapToGrid/>
          <w:color w:val="000000" w:themeColor="text1"/>
        </w:rPr>
        <w:t xml:space="preserve"> </w:t>
      </w:r>
      <w:r w:rsidR="00995D51" w:rsidRPr="00C068F4">
        <w:rPr>
          <w:snapToGrid/>
          <w:color w:val="000000" w:themeColor="text1"/>
        </w:rPr>
        <w:t xml:space="preserve">3 of the 21 </w:t>
      </w:r>
      <w:r w:rsidR="00295484" w:rsidRPr="00C068F4">
        <w:rPr>
          <w:snapToGrid/>
          <w:color w:val="000000" w:themeColor="text1"/>
        </w:rPr>
        <w:t xml:space="preserve">(14%) </w:t>
      </w:r>
      <w:r w:rsidR="00995D51" w:rsidRPr="00C068F4">
        <w:rPr>
          <w:snapToGrid/>
          <w:color w:val="000000" w:themeColor="text1"/>
        </w:rPr>
        <w:t xml:space="preserve">deaths in the tixagevimab and cilgavimab arm and 4 of the 10 </w:t>
      </w:r>
      <w:r w:rsidR="00ED0728" w:rsidRPr="00C068F4">
        <w:rPr>
          <w:snapToGrid/>
          <w:color w:val="000000" w:themeColor="text1"/>
        </w:rPr>
        <w:t xml:space="preserve">(40%) </w:t>
      </w:r>
      <w:r w:rsidR="00995D51" w:rsidRPr="00C068F4">
        <w:rPr>
          <w:snapToGrid/>
          <w:color w:val="000000" w:themeColor="text1"/>
        </w:rPr>
        <w:t>deaths in the placebo arm of the PROVENT trial were adjudicated as being related to COVID-19.</w:t>
      </w:r>
    </w:p>
    <w:p w14:paraId="7F518EB3" w14:textId="45797178" w:rsidR="007C0622" w:rsidRPr="00C068F4" w:rsidRDefault="007C0622" w:rsidP="0070659A">
      <w:pPr>
        <w:pStyle w:val="TableFigureHeading"/>
      </w:pPr>
      <w:bookmarkStart w:id="42" w:name="_Ref109860884"/>
      <w:r w:rsidRPr="00C068F4">
        <w:lastRenderedPageBreak/>
        <w:t xml:space="preserve">Table </w:t>
      </w:r>
      <w:fldSimple w:instr=" SEQ Table \* ARABIC " w:fldLock="1">
        <w:r w:rsidR="00DB55F2">
          <w:rPr>
            <w:noProof/>
          </w:rPr>
          <w:t>5</w:t>
        </w:r>
      </w:fldSimple>
      <w:bookmarkEnd w:id="42"/>
      <w:r w:rsidRPr="00C068F4">
        <w:t xml:space="preserve">: </w:t>
      </w:r>
      <w:r w:rsidR="00924950" w:rsidRPr="00C068F4">
        <w:t xml:space="preserve">Primary and key supportive efficacy </w:t>
      </w:r>
      <w:r w:rsidR="00860868" w:rsidRPr="00C068F4">
        <w:t>outcomes</w:t>
      </w:r>
      <w:r w:rsidR="00924950" w:rsidRPr="00C068F4">
        <w:t xml:space="preserve"> from the PROVENT trial</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Primary and key supportive efficacy outcomes from the PROVENT trial"/>
      </w:tblPr>
      <w:tblGrid>
        <w:gridCol w:w="1297"/>
        <w:gridCol w:w="11"/>
        <w:gridCol w:w="1300"/>
        <w:gridCol w:w="1304"/>
        <w:gridCol w:w="29"/>
        <w:gridCol w:w="1282"/>
        <w:gridCol w:w="1304"/>
        <w:gridCol w:w="48"/>
        <w:gridCol w:w="1263"/>
        <w:gridCol w:w="54"/>
        <w:gridCol w:w="1317"/>
      </w:tblGrid>
      <w:tr w:rsidR="006B2D7C" w:rsidRPr="00C068F4" w14:paraId="0448674A" w14:textId="77777777" w:rsidTr="00DC4004">
        <w:tc>
          <w:tcPr>
            <w:tcW w:w="1297" w:type="dxa"/>
            <w:vMerge w:val="restart"/>
            <w:vAlign w:val="center"/>
          </w:tcPr>
          <w:p w14:paraId="76DC5718" w14:textId="104B9A85" w:rsidR="00284193" w:rsidRPr="00C068F4" w:rsidRDefault="00284193" w:rsidP="003C6ED3">
            <w:pPr>
              <w:pStyle w:val="In-tableHeading"/>
              <w:rPr>
                <w:lang w:val="en-AU"/>
              </w:rPr>
            </w:pPr>
            <w:r w:rsidRPr="00C068F4">
              <w:rPr>
                <w:lang w:val="en-AU"/>
              </w:rPr>
              <w:t>Endpoint</w:t>
            </w:r>
          </w:p>
        </w:tc>
        <w:tc>
          <w:tcPr>
            <w:tcW w:w="2615" w:type="dxa"/>
            <w:gridSpan w:val="3"/>
            <w:vAlign w:val="center"/>
          </w:tcPr>
          <w:p w14:paraId="33F94C08" w14:textId="53412E43" w:rsidR="00284193" w:rsidRPr="00C068F4" w:rsidRDefault="00284193" w:rsidP="003C6ED3">
            <w:pPr>
              <w:pStyle w:val="In-tableHeading"/>
              <w:jc w:val="center"/>
              <w:rPr>
                <w:color w:val="000000" w:themeColor="text1"/>
                <w:lang w:val="en-AU"/>
              </w:rPr>
            </w:pPr>
            <w:r w:rsidRPr="00C068F4">
              <w:rPr>
                <w:color w:val="000000" w:themeColor="text1"/>
                <w:lang w:val="en-AU"/>
              </w:rPr>
              <w:t>May 2021 DCO</w:t>
            </w:r>
          </w:p>
          <w:p w14:paraId="4E0B819A" w14:textId="500FAE90" w:rsidR="00284193" w:rsidRPr="00C068F4" w:rsidRDefault="00284193" w:rsidP="003C6ED3">
            <w:pPr>
              <w:pStyle w:val="In-tableHeading"/>
              <w:jc w:val="center"/>
              <w:rPr>
                <w:lang w:val="en-AU"/>
              </w:rPr>
            </w:pPr>
            <w:r w:rsidRPr="00C068F4">
              <w:rPr>
                <w:color w:val="000000" w:themeColor="text1"/>
                <w:lang w:val="en-AU"/>
              </w:rPr>
              <w:t>(Primary analysis)</w:t>
            </w:r>
          </w:p>
        </w:tc>
        <w:tc>
          <w:tcPr>
            <w:tcW w:w="2615" w:type="dxa"/>
            <w:gridSpan w:val="3"/>
            <w:vAlign w:val="center"/>
          </w:tcPr>
          <w:p w14:paraId="5B13E8B3" w14:textId="77777777" w:rsidR="00284193" w:rsidRPr="00C068F4" w:rsidRDefault="00284193" w:rsidP="003C6ED3">
            <w:pPr>
              <w:pStyle w:val="In-tableHeading"/>
              <w:jc w:val="center"/>
              <w:rPr>
                <w:color w:val="000000" w:themeColor="text1"/>
                <w:lang w:val="en-AU"/>
              </w:rPr>
            </w:pPr>
            <w:r w:rsidRPr="00C068F4">
              <w:rPr>
                <w:color w:val="000000" w:themeColor="text1"/>
                <w:lang w:val="en-AU"/>
              </w:rPr>
              <w:t>August 2021 DCO</w:t>
            </w:r>
          </w:p>
          <w:p w14:paraId="5306F788" w14:textId="6EB863B8" w:rsidR="00284193" w:rsidRPr="00C068F4" w:rsidRDefault="00284193" w:rsidP="003C6ED3">
            <w:pPr>
              <w:pStyle w:val="In-tableHeading"/>
              <w:jc w:val="center"/>
              <w:rPr>
                <w:lang w:val="en-AU"/>
              </w:rPr>
            </w:pPr>
            <w:r w:rsidRPr="00C068F4">
              <w:rPr>
                <w:color w:val="000000" w:themeColor="text1"/>
                <w:lang w:val="en-AU"/>
              </w:rPr>
              <w:t>(~ 6.4 month median follow-up)</w:t>
            </w:r>
          </w:p>
        </w:tc>
        <w:tc>
          <w:tcPr>
            <w:tcW w:w="2682" w:type="dxa"/>
            <w:gridSpan w:val="4"/>
            <w:vAlign w:val="center"/>
          </w:tcPr>
          <w:p w14:paraId="264ACF9F" w14:textId="54561500" w:rsidR="00284193" w:rsidRPr="00C068F4" w:rsidRDefault="00284193" w:rsidP="003C6ED3">
            <w:pPr>
              <w:pStyle w:val="In-tableHeading"/>
              <w:jc w:val="center"/>
              <w:rPr>
                <w:color w:val="000000" w:themeColor="text1"/>
                <w:lang w:val="en-AU"/>
              </w:rPr>
            </w:pPr>
            <w:r w:rsidRPr="00C068F4">
              <w:rPr>
                <w:color w:val="000000" w:themeColor="text1"/>
                <w:lang w:val="en-AU"/>
              </w:rPr>
              <w:t>April 2022 DCO</w:t>
            </w:r>
          </w:p>
          <w:p w14:paraId="0536041C" w14:textId="5E1BE1F5" w:rsidR="00284193" w:rsidRPr="00C068F4" w:rsidRDefault="00284193" w:rsidP="003C6ED3">
            <w:pPr>
              <w:pStyle w:val="In-tableHeading"/>
              <w:jc w:val="center"/>
              <w:rPr>
                <w:lang w:val="en-AU"/>
              </w:rPr>
            </w:pPr>
            <w:r w:rsidRPr="00C068F4">
              <w:rPr>
                <w:color w:val="000000" w:themeColor="text1"/>
                <w:lang w:val="en-AU"/>
              </w:rPr>
              <w:t>(~ 13.6-month median follow-up)</w:t>
            </w:r>
          </w:p>
        </w:tc>
      </w:tr>
      <w:tr w:rsidR="002650A8" w:rsidRPr="00C068F4" w14:paraId="2D3F2FF8" w14:textId="77777777" w:rsidTr="00DC4004">
        <w:tc>
          <w:tcPr>
            <w:tcW w:w="1297" w:type="dxa"/>
            <w:vMerge/>
            <w:vAlign w:val="center"/>
          </w:tcPr>
          <w:p w14:paraId="275FAD41" w14:textId="77777777" w:rsidR="00284193" w:rsidRPr="00C068F4" w:rsidRDefault="00284193" w:rsidP="00887010">
            <w:pPr>
              <w:pStyle w:val="In-tableHeading"/>
              <w:rPr>
                <w:lang w:val="en-AU"/>
              </w:rPr>
            </w:pPr>
          </w:p>
        </w:tc>
        <w:tc>
          <w:tcPr>
            <w:tcW w:w="1311" w:type="dxa"/>
            <w:gridSpan w:val="2"/>
            <w:vAlign w:val="center"/>
          </w:tcPr>
          <w:p w14:paraId="0C040482" w14:textId="24DB43F6" w:rsidR="00284193" w:rsidRPr="00C068F4" w:rsidRDefault="00284193" w:rsidP="00887010">
            <w:pPr>
              <w:pStyle w:val="In-tableHeading"/>
              <w:jc w:val="center"/>
              <w:rPr>
                <w:color w:val="000000" w:themeColor="text1"/>
                <w:lang w:val="en-AU"/>
              </w:rPr>
            </w:pPr>
            <w:r w:rsidRPr="00C068F4">
              <w:rPr>
                <w:color w:val="000000" w:themeColor="text1"/>
                <w:lang w:val="en-AU"/>
              </w:rPr>
              <w:t>Tixagevimab and cilgavimab</w:t>
            </w:r>
          </w:p>
        </w:tc>
        <w:tc>
          <w:tcPr>
            <w:tcW w:w="1304" w:type="dxa"/>
            <w:vAlign w:val="center"/>
          </w:tcPr>
          <w:p w14:paraId="112DA794" w14:textId="59238B10" w:rsidR="00284193" w:rsidRPr="00C068F4" w:rsidRDefault="00284193" w:rsidP="00887010">
            <w:pPr>
              <w:pStyle w:val="In-tableHeading"/>
              <w:jc w:val="center"/>
              <w:rPr>
                <w:color w:val="000000" w:themeColor="text1"/>
                <w:lang w:val="en-AU"/>
              </w:rPr>
            </w:pPr>
            <w:r w:rsidRPr="00C068F4">
              <w:rPr>
                <w:color w:val="000000" w:themeColor="text1"/>
                <w:lang w:val="en-AU"/>
              </w:rPr>
              <w:t>Placebo</w:t>
            </w:r>
          </w:p>
        </w:tc>
        <w:tc>
          <w:tcPr>
            <w:tcW w:w="1311" w:type="dxa"/>
            <w:gridSpan w:val="2"/>
            <w:vAlign w:val="center"/>
          </w:tcPr>
          <w:p w14:paraId="1F828B09" w14:textId="4B26EFBC" w:rsidR="00284193" w:rsidRPr="00C068F4" w:rsidRDefault="00284193" w:rsidP="00887010">
            <w:pPr>
              <w:pStyle w:val="In-tableHeading"/>
              <w:jc w:val="center"/>
              <w:rPr>
                <w:color w:val="000000" w:themeColor="text1"/>
                <w:lang w:val="en-AU"/>
              </w:rPr>
            </w:pPr>
            <w:r w:rsidRPr="00C068F4">
              <w:rPr>
                <w:color w:val="000000" w:themeColor="text1"/>
                <w:lang w:val="en-AU"/>
              </w:rPr>
              <w:t>Tixagevimab and cilgavimab</w:t>
            </w:r>
          </w:p>
        </w:tc>
        <w:tc>
          <w:tcPr>
            <w:tcW w:w="1304" w:type="dxa"/>
            <w:vAlign w:val="center"/>
          </w:tcPr>
          <w:p w14:paraId="6E1C9E4A" w14:textId="2FC7E2F5" w:rsidR="00284193" w:rsidRPr="00C068F4" w:rsidRDefault="00284193" w:rsidP="00887010">
            <w:pPr>
              <w:pStyle w:val="In-tableHeading"/>
              <w:jc w:val="center"/>
              <w:rPr>
                <w:color w:val="000000" w:themeColor="text1"/>
                <w:lang w:val="en-AU"/>
              </w:rPr>
            </w:pPr>
            <w:r w:rsidRPr="00C068F4">
              <w:rPr>
                <w:color w:val="000000" w:themeColor="text1"/>
                <w:lang w:val="en-AU"/>
              </w:rPr>
              <w:t>Placebo</w:t>
            </w:r>
          </w:p>
        </w:tc>
        <w:tc>
          <w:tcPr>
            <w:tcW w:w="1311" w:type="dxa"/>
            <w:gridSpan w:val="2"/>
            <w:vAlign w:val="center"/>
          </w:tcPr>
          <w:p w14:paraId="5AF1600D" w14:textId="225A8B73" w:rsidR="00284193" w:rsidRPr="00C068F4" w:rsidRDefault="00284193" w:rsidP="00887010">
            <w:pPr>
              <w:pStyle w:val="In-tableHeading"/>
              <w:jc w:val="center"/>
              <w:rPr>
                <w:color w:val="000000" w:themeColor="text1"/>
                <w:lang w:val="en-AU"/>
              </w:rPr>
            </w:pPr>
            <w:r w:rsidRPr="00C068F4">
              <w:rPr>
                <w:color w:val="000000" w:themeColor="text1"/>
                <w:lang w:val="en-AU"/>
              </w:rPr>
              <w:t>Tixagevimab and cilgavimab</w:t>
            </w:r>
          </w:p>
        </w:tc>
        <w:tc>
          <w:tcPr>
            <w:tcW w:w="1371" w:type="dxa"/>
            <w:gridSpan w:val="2"/>
            <w:vAlign w:val="center"/>
          </w:tcPr>
          <w:p w14:paraId="75B49EDB" w14:textId="06A48855" w:rsidR="00284193" w:rsidRPr="00C068F4" w:rsidRDefault="00284193" w:rsidP="00887010">
            <w:pPr>
              <w:pStyle w:val="In-tableHeading"/>
              <w:jc w:val="center"/>
              <w:rPr>
                <w:color w:val="000000" w:themeColor="text1"/>
                <w:lang w:val="en-AU"/>
              </w:rPr>
            </w:pPr>
            <w:r w:rsidRPr="00C068F4">
              <w:rPr>
                <w:color w:val="000000" w:themeColor="text1"/>
                <w:lang w:val="en-AU"/>
              </w:rPr>
              <w:t>Placebo</w:t>
            </w:r>
          </w:p>
        </w:tc>
      </w:tr>
      <w:tr w:rsidR="00453B72" w:rsidRPr="00C068F4" w14:paraId="01A9769A" w14:textId="77777777" w:rsidTr="00DC4004">
        <w:tc>
          <w:tcPr>
            <w:tcW w:w="9209" w:type="dxa"/>
            <w:gridSpan w:val="11"/>
            <w:shd w:val="clear" w:color="auto" w:fill="auto"/>
            <w:vAlign w:val="center"/>
          </w:tcPr>
          <w:p w14:paraId="311805F6" w14:textId="77777777" w:rsidR="00453B72" w:rsidRPr="00C068F4" w:rsidRDefault="00453B72">
            <w:pPr>
              <w:pStyle w:val="TableText0"/>
            </w:pPr>
            <w:r w:rsidRPr="00C068F4">
              <w:t xml:space="preserve">Primary: Patients with a symptomatic confirmed SARS-CoV-2 infection by </w:t>
            </w:r>
            <w:r w:rsidRPr="00C068F4">
              <w:rPr>
                <w:u w:val="single"/>
              </w:rPr>
              <w:t>Day 183</w:t>
            </w:r>
            <w:r w:rsidRPr="00C068F4">
              <w:t xml:space="preserve"> (censored at unblinding or receipt of COVID-19 vaccine)</w:t>
            </w:r>
          </w:p>
        </w:tc>
      </w:tr>
      <w:tr w:rsidR="006B2D7C" w:rsidRPr="00C068F4" w14:paraId="65674070" w14:textId="77777777" w:rsidTr="00DC4004">
        <w:tc>
          <w:tcPr>
            <w:tcW w:w="1297" w:type="dxa"/>
            <w:shd w:val="clear" w:color="auto" w:fill="auto"/>
          </w:tcPr>
          <w:p w14:paraId="1A5A49B3" w14:textId="49E4CAE3" w:rsidR="00D94BC6" w:rsidRPr="00C068F4" w:rsidRDefault="00D94BC6" w:rsidP="00284193">
            <w:pPr>
              <w:pStyle w:val="TableText0"/>
              <w:ind w:left="109"/>
            </w:pPr>
            <w:r w:rsidRPr="00C068F4">
              <w:t>n/N (%)</w:t>
            </w:r>
          </w:p>
        </w:tc>
        <w:tc>
          <w:tcPr>
            <w:tcW w:w="1311" w:type="dxa"/>
            <w:gridSpan w:val="2"/>
            <w:shd w:val="clear" w:color="auto" w:fill="auto"/>
          </w:tcPr>
          <w:p w14:paraId="62DD2DEB" w14:textId="07D9C69F" w:rsidR="00D94BC6" w:rsidRPr="00C068F4" w:rsidRDefault="00D94BC6" w:rsidP="00D94BC6">
            <w:pPr>
              <w:pStyle w:val="TableText0"/>
              <w:jc w:val="center"/>
            </w:pPr>
            <w:r w:rsidRPr="00C068F4">
              <w:t>8/3441 (0.2)</w:t>
            </w:r>
          </w:p>
        </w:tc>
        <w:tc>
          <w:tcPr>
            <w:tcW w:w="1304" w:type="dxa"/>
            <w:shd w:val="clear" w:color="auto" w:fill="auto"/>
          </w:tcPr>
          <w:p w14:paraId="5A37791F" w14:textId="48A56FC4" w:rsidR="00D94BC6" w:rsidRPr="00C068F4" w:rsidRDefault="00D94BC6" w:rsidP="00D94BC6">
            <w:pPr>
              <w:pStyle w:val="TableText0"/>
              <w:jc w:val="center"/>
            </w:pPr>
            <w:r w:rsidRPr="00C068F4">
              <w:t>17/1731 (1.0)</w:t>
            </w:r>
          </w:p>
        </w:tc>
        <w:tc>
          <w:tcPr>
            <w:tcW w:w="1311" w:type="dxa"/>
            <w:gridSpan w:val="2"/>
            <w:shd w:val="clear" w:color="auto" w:fill="auto"/>
          </w:tcPr>
          <w:p w14:paraId="1D2E718E" w14:textId="0DBDA047" w:rsidR="00D94BC6" w:rsidRPr="00C068F4" w:rsidRDefault="00D94BC6" w:rsidP="00D94BC6">
            <w:pPr>
              <w:pStyle w:val="TableText0"/>
              <w:jc w:val="center"/>
            </w:pPr>
            <w:r w:rsidRPr="00C068F4">
              <w:t>11/3441 (0.3)</w:t>
            </w:r>
          </w:p>
        </w:tc>
        <w:tc>
          <w:tcPr>
            <w:tcW w:w="1304" w:type="dxa"/>
            <w:shd w:val="clear" w:color="auto" w:fill="auto"/>
          </w:tcPr>
          <w:p w14:paraId="19C71F84" w14:textId="3EBA70C0" w:rsidR="00D94BC6" w:rsidRPr="00C068F4" w:rsidRDefault="00D94BC6" w:rsidP="00D94BC6">
            <w:pPr>
              <w:pStyle w:val="TableText0"/>
              <w:jc w:val="center"/>
            </w:pPr>
            <w:r w:rsidRPr="00C068F4">
              <w:t>31/1731 (1.8)</w:t>
            </w:r>
          </w:p>
        </w:tc>
        <w:tc>
          <w:tcPr>
            <w:tcW w:w="1311" w:type="dxa"/>
            <w:gridSpan w:val="2"/>
            <w:shd w:val="clear" w:color="auto" w:fill="auto"/>
            <w:vAlign w:val="center"/>
          </w:tcPr>
          <w:p w14:paraId="0710D702" w14:textId="5E484DB3" w:rsidR="00D94BC6" w:rsidRPr="00C068F4" w:rsidRDefault="00E00BC3" w:rsidP="00D94BC6">
            <w:pPr>
              <w:pStyle w:val="TableText0"/>
              <w:jc w:val="center"/>
            </w:pPr>
            <w:r w:rsidRPr="00C068F4">
              <w:t>12/3441 (0.3)</w:t>
            </w:r>
          </w:p>
        </w:tc>
        <w:tc>
          <w:tcPr>
            <w:tcW w:w="1371" w:type="dxa"/>
            <w:gridSpan w:val="2"/>
            <w:shd w:val="clear" w:color="auto" w:fill="auto"/>
            <w:vAlign w:val="center"/>
          </w:tcPr>
          <w:p w14:paraId="708625DB" w14:textId="21FFFA7F" w:rsidR="00D94BC6" w:rsidRPr="00C068F4" w:rsidRDefault="00E00BC3" w:rsidP="00D94BC6">
            <w:pPr>
              <w:pStyle w:val="TableText0"/>
              <w:jc w:val="center"/>
            </w:pPr>
            <w:r w:rsidRPr="00C068F4">
              <w:t>33</w:t>
            </w:r>
            <w:r w:rsidR="00A930C5" w:rsidRPr="00C068F4">
              <w:t>/1731</w:t>
            </w:r>
            <w:r w:rsidRPr="00C068F4">
              <w:t xml:space="preserve"> (1.9)</w:t>
            </w:r>
          </w:p>
        </w:tc>
      </w:tr>
      <w:tr w:rsidR="00D527AB" w:rsidRPr="00C068F4" w14:paraId="3226BD4E" w14:textId="77777777" w:rsidTr="00DC4004">
        <w:tc>
          <w:tcPr>
            <w:tcW w:w="1297" w:type="dxa"/>
            <w:shd w:val="clear" w:color="auto" w:fill="auto"/>
          </w:tcPr>
          <w:p w14:paraId="451FE885" w14:textId="22CB8B9B" w:rsidR="00E00BC3" w:rsidRPr="00C068F4" w:rsidRDefault="00E00BC3" w:rsidP="00284193">
            <w:pPr>
              <w:pStyle w:val="TableText0"/>
              <w:ind w:left="109"/>
            </w:pPr>
            <w:r w:rsidRPr="00C068F4">
              <w:rPr>
                <w:rFonts w:cs="Arial"/>
              </w:rPr>
              <w:t>RRR (95% CI)</w:t>
            </w:r>
          </w:p>
        </w:tc>
        <w:tc>
          <w:tcPr>
            <w:tcW w:w="2615" w:type="dxa"/>
            <w:gridSpan w:val="3"/>
            <w:shd w:val="clear" w:color="auto" w:fill="auto"/>
          </w:tcPr>
          <w:p w14:paraId="2EBCF585" w14:textId="68FC226A" w:rsidR="00E00BC3" w:rsidRPr="00C068F4" w:rsidRDefault="00E00BC3" w:rsidP="00D94BC6">
            <w:pPr>
              <w:pStyle w:val="TableText0"/>
              <w:jc w:val="center"/>
              <w:rPr>
                <w:b/>
                <w:bCs w:val="0"/>
              </w:rPr>
            </w:pPr>
            <w:r w:rsidRPr="00C068F4">
              <w:rPr>
                <w:b/>
                <w:bCs w:val="0"/>
              </w:rPr>
              <w:t>76.7% (46.0</w:t>
            </w:r>
            <w:r w:rsidRPr="00C068F4">
              <w:rPr>
                <w:rFonts w:ascii="Arial" w:hAnsi="Arial" w:cs="Arial"/>
                <w:b/>
                <w:bCs w:val="0"/>
              </w:rPr>
              <w:t xml:space="preserve"> - </w:t>
            </w:r>
            <w:r w:rsidRPr="00C068F4">
              <w:rPr>
                <w:b/>
                <w:bCs w:val="0"/>
              </w:rPr>
              <w:t>90.0)</w:t>
            </w:r>
          </w:p>
        </w:tc>
        <w:tc>
          <w:tcPr>
            <w:tcW w:w="2615" w:type="dxa"/>
            <w:gridSpan w:val="3"/>
            <w:shd w:val="clear" w:color="auto" w:fill="auto"/>
          </w:tcPr>
          <w:p w14:paraId="51F454AF" w14:textId="524B6CFA" w:rsidR="00E00BC3" w:rsidRPr="00C068F4" w:rsidRDefault="00E00BC3" w:rsidP="00D94BC6">
            <w:pPr>
              <w:pStyle w:val="TableText0"/>
              <w:jc w:val="center"/>
              <w:rPr>
                <w:b/>
                <w:bCs w:val="0"/>
              </w:rPr>
            </w:pPr>
            <w:r w:rsidRPr="00C068F4">
              <w:rPr>
                <w:b/>
                <w:bCs w:val="0"/>
              </w:rPr>
              <w:t>82.8% (65.8</w:t>
            </w:r>
            <w:r w:rsidRPr="00C068F4">
              <w:rPr>
                <w:rFonts w:ascii="Arial" w:hAnsi="Arial" w:cs="Arial"/>
                <w:b/>
                <w:bCs w:val="0"/>
              </w:rPr>
              <w:t xml:space="preserve"> - </w:t>
            </w:r>
            <w:r w:rsidRPr="00C068F4">
              <w:rPr>
                <w:b/>
                <w:bCs w:val="0"/>
              </w:rPr>
              <w:t>91.4)</w:t>
            </w:r>
          </w:p>
        </w:tc>
        <w:tc>
          <w:tcPr>
            <w:tcW w:w="2682" w:type="dxa"/>
            <w:gridSpan w:val="4"/>
            <w:shd w:val="clear" w:color="auto" w:fill="auto"/>
          </w:tcPr>
          <w:p w14:paraId="29E43089" w14:textId="01192C8B" w:rsidR="00E00BC3" w:rsidRPr="00C068F4" w:rsidRDefault="00E00BC3" w:rsidP="00E0594A">
            <w:pPr>
              <w:pStyle w:val="TableText0"/>
              <w:jc w:val="center"/>
              <w:rPr>
                <w:b/>
                <w:bCs w:val="0"/>
              </w:rPr>
            </w:pPr>
            <w:r w:rsidRPr="00C068F4">
              <w:rPr>
                <w:b/>
                <w:bCs w:val="0"/>
              </w:rPr>
              <w:t>82.</w:t>
            </w:r>
            <w:r w:rsidR="00217854" w:rsidRPr="00C068F4">
              <w:rPr>
                <w:b/>
                <w:bCs w:val="0"/>
              </w:rPr>
              <w:t>4% (66.0 – 90.9)</w:t>
            </w:r>
          </w:p>
        </w:tc>
      </w:tr>
      <w:tr w:rsidR="00386020" w:rsidRPr="00C068F4" w14:paraId="3E38CCC5" w14:textId="77777777" w:rsidTr="00DC4004">
        <w:tc>
          <w:tcPr>
            <w:tcW w:w="920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7B065D5E" w14:textId="77777777" w:rsidR="00386020" w:rsidRPr="00C068F4" w:rsidRDefault="00386020" w:rsidP="009174C1">
            <w:pPr>
              <w:pStyle w:val="TableText0"/>
            </w:pPr>
            <w:r w:rsidRPr="00C068F4">
              <w:t xml:space="preserve">Primary: Patients with a symptomatic confirmed SARS-CoV-2 infection by </w:t>
            </w:r>
            <w:r w:rsidRPr="00C068F4">
              <w:rPr>
                <w:u w:val="single"/>
              </w:rPr>
              <w:t>Day 366</w:t>
            </w:r>
            <w:r w:rsidRPr="00C068F4">
              <w:t xml:space="preserve"> (censored at unblinding or receipt of COVID-19 vaccine)</w:t>
            </w:r>
          </w:p>
        </w:tc>
      </w:tr>
      <w:tr w:rsidR="00386020" w:rsidRPr="00C068F4" w14:paraId="42E814B6" w14:textId="77777777" w:rsidTr="00DC4004">
        <w:tc>
          <w:tcPr>
            <w:tcW w:w="1308" w:type="dxa"/>
            <w:gridSpan w:val="2"/>
            <w:tcBorders>
              <w:top w:val="single" w:sz="4" w:space="0" w:color="auto"/>
              <w:left w:val="single" w:sz="4" w:space="0" w:color="auto"/>
              <w:bottom w:val="single" w:sz="4" w:space="0" w:color="auto"/>
              <w:right w:val="single" w:sz="4" w:space="0" w:color="auto"/>
            </w:tcBorders>
            <w:shd w:val="clear" w:color="auto" w:fill="auto"/>
          </w:tcPr>
          <w:p w14:paraId="24147184" w14:textId="77777777" w:rsidR="00386020" w:rsidRPr="00C068F4" w:rsidRDefault="00386020" w:rsidP="009174C1">
            <w:pPr>
              <w:pStyle w:val="TableText0"/>
              <w:ind w:left="109"/>
              <w:rPr>
                <w:rFonts w:cs="Arial"/>
              </w:rPr>
            </w:pPr>
            <w:r w:rsidRPr="00C068F4">
              <w:t>n/N (%)</w:t>
            </w:r>
          </w:p>
        </w:tc>
        <w:tc>
          <w:tcPr>
            <w:tcW w:w="2633" w:type="dxa"/>
            <w:gridSpan w:val="3"/>
            <w:vMerge w:val="restart"/>
            <w:tcBorders>
              <w:top w:val="single" w:sz="4" w:space="0" w:color="auto"/>
              <w:left w:val="single" w:sz="4" w:space="0" w:color="auto"/>
              <w:right w:val="single" w:sz="4" w:space="0" w:color="auto"/>
            </w:tcBorders>
            <w:shd w:val="clear" w:color="auto" w:fill="auto"/>
            <w:vAlign w:val="center"/>
          </w:tcPr>
          <w:p w14:paraId="3F53A786" w14:textId="77777777" w:rsidR="00386020" w:rsidRPr="00C068F4" w:rsidRDefault="00386020" w:rsidP="009174C1">
            <w:pPr>
              <w:pStyle w:val="TableText0"/>
              <w:jc w:val="center"/>
            </w:pPr>
            <w:r w:rsidRPr="00C068F4">
              <w:t>Not assessable</w:t>
            </w:r>
          </w:p>
        </w:tc>
        <w:tc>
          <w:tcPr>
            <w:tcW w:w="2634" w:type="dxa"/>
            <w:gridSpan w:val="3"/>
            <w:vMerge w:val="restart"/>
            <w:tcBorders>
              <w:top w:val="single" w:sz="4" w:space="0" w:color="auto"/>
              <w:left w:val="single" w:sz="4" w:space="0" w:color="auto"/>
              <w:right w:val="single" w:sz="4" w:space="0" w:color="auto"/>
            </w:tcBorders>
            <w:shd w:val="clear" w:color="auto" w:fill="auto"/>
            <w:vAlign w:val="center"/>
          </w:tcPr>
          <w:p w14:paraId="074E9FF7" w14:textId="77777777" w:rsidR="00386020" w:rsidRPr="00C068F4" w:rsidRDefault="00386020" w:rsidP="009174C1">
            <w:pPr>
              <w:pStyle w:val="TableText0"/>
              <w:jc w:val="center"/>
            </w:pPr>
            <w:r w:rsidRPr="00C068F4">
              <w:t>Not assessable</w:t>
            </w:r>
          </w:p>
        </w:tc>
        <w:tc>
          <w:tcPr>
            <w:tcW w:w="13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5B89DD" w14:textId="77777777" w:rsidR="00386020" w:rsidRPr="00C068F4" w:rsidRDefault="00386020" w:rsidP="009174C1">
            <w:pPr>
              <w:pStyle w:val="TableText0"/>
              <w:jc w:val="center"/>
            </w:pPr>
            <w:r w:rsidRPr="00C068F4">
              <w:t>61/3441 (1.8)</w:t>
            </w:r>
          </w:p>
        </w:tc>
        <w:tc>
          <w:tcPr>
            <w:tcW w:w="1317" w:type="dxa"/>
            <w:tcBorders>
              <w:top w:val="single" w:sz="4" w:space="0" w:color="auto"/>
              <w:left w:val="single" w:sz="4" w:space="0" w:color="auto"/>
              <w:bottom w:val="single" w:sz="4" w:space="0" w:color="auto"/>
              <w:right w:val="single" w:sz="4" w:space="0" w:color="auto"/>
            </w:tcBorders>
            <w:shd w:val="clear" w:color="auto" w:fill="auto"/>
            <w:vAlign w:val="center"/>
          </w:tcPr>
          <w:p w14:paraId="48C4D9E5" w14:textId="77777777" w:rsidR="00386020" w:rsidRPr="00C068F4" w:rsidRDefault="00386020" w:rsidP="009174C1">
            <w:pPr>
              <w:pStyle w:val="TableText0"/>
              <w:jc w:val="center"/>
            </w:pPr>
            <w:r w:rsidRPr="00C068F4">
              <w:t>55/1731 (3.2)</w:t>
            </w:r>
          </w:p>
        </w:tc>
      </w:tr>
      <w:tr w:rsidR="00386020" w:rsidRPr="00C068F4" w14:paraId="49D9FE97" w14:textId="77777777" w:rsidTr="00DC4004">
        <w:tc>
          <w:tcPr>
            <w:tcW w:w="1308" w:type="dxa"/>
            <w:gridSpan w:val="2"/>
            <w:tcBorders>
              <w:top w:val="single" w:sz="4" w:space="0" w:color="auto"/>
              <w:left w:val="single" w:sz="4" w:space="0" w:color="auto"/>
              <w:bottom w:val="single" w:sz="4" w:space="0" w:color="auto"/>
              <w:right w:val="single" w:sz="4" w:space="0" w:color="auto"/>
            </w:tcBorders>
            <w:shd w:val="clear" w:color="auto" w:fill="auto"/>
          </w:tcPr>
          <w:p w14:paraId="5C6F60E2" w14:textId="77777777" w:rsidR="00386020" w:rsidRPr="00C068F4" w:rsidRDefault="00386020" w:rsidP="009174C1">
            <w:pPr>
              <w:pStyle w:val="TableText0"/>
              <w:ind w:left="109"/>
              <w:rPr>
                <w:rFonts w:cs="Arial"/>
              </w:rPr>
            </w:pPr>
            <w:r w:rsidRPr="00C068F4">
              <w:rPr>
                <w:rFonts w:cs="Arial"/>
              </w:rPr>
              <w:t>RRR (95% CI)</w:t>
            </w:r>
          </w:p>
        </w:tc>
        <w:tc>
          <w:tcPr>
            <w:tcW w:w="2633" w:type="dxa"/>
            <w:gridSpan w:val="3"/>
            <w:vMerge/>
            <w:tcBorders>
              <w:left w:val="single" w:sz="4" w:space="0" w:color="auto"/>
              <w:bottom w:val="single" w:sz="4" w:space="0" w:color="auto"/>
              <w:right w:val="single" w:sz="4" w:space="0" w:color="auto"/>
            </w:tcBorders>
            <w:shd w:val="clear" w:color="auto" w:fill="auto"/>
          </w:tcPr>
          <w:p w14:paraId="37E4A4FB" w14:textId="77777777" w:rsidR="00386020" w:rsidRPr="00C068F4" w:rsidRDefault="00386020" w:rsidP="009174C1">
            <w:pPr>
              <w:pStyle w:val="TableText0"/>
              <w:jc w:val="center"/>
              <w:rPr>
                <w:b/>
                <w:bCs w:val="0"/>
              </w:rPr>
            </w:pPr>
          </w:p>
        </w:tc>
        <w:tc>
          <w:tcPr>
            <w:tcW w:w="2634" w:type="dxa"/>
            <w:gridSpan w:val="3"/>
            <w:vMerge/>
            <w:tcBorders>
              <w:left w:val="single" w:sz="4" w:space="0" w:color="auto"/>
              <w:bottom w:val="single" w:sz="4" w:space="0" w:color="auto"/>
              <w:right w:val="single" w:sz="4" w:space="0" w:color="auto"/>
            </w:tcBorders>
            <w:shd w:val="clear" w:color="auto" w:fill="auto"/>
          </w:tcPr>
          <w:p w14:paraId="5999F3B8" w14:textId="77777777" w:rsidR="00386020" w:rsidRPr="00C068F4" w:rsidRDefault="00386020" w:rsidP="009174C1">
            <w:pPr>
              <w:pStyle w:val="TableText0"/>
              <w:jc w:val="center"/>
              <w:rPr>
                <w:b/>
                <w:bCs w:val="0"/>
              </w:rPr>
            </w:pPr>
          </w:p>
        </w:tc>
        <w:tc>
          <w:tcPr>
            <w:tcW w:w="2634" w:type="dxa"/>
            <w:gridSpan w:val="3"/>
            <w:tcBorders>
              <w:top w:val="single" w:sz="4" w:space="0" w:color="auto"/>
              <w:left w:val="single" w:sz="4" w:space="0" w:color="auto"/>
              <w:bottom w:val="single" w:sz="4" w:space="0" w:color="auto"/>
              <w:right w:val="single" w:sz="4" w:space="0" w:color="auto"/>
            </w:tcBorders>
            <w:shd w:val="clear" w:color="auto" w:fill="auto"/>
          </w:tcPr>
          <w:p w14:paraId="0227BF13" w14:textId="77777777" w:rsidR="00386020" w:rsidRPr="00C068F4" w:rsidRDefault="00386020" w:rsidP="009174C1">
            <w:pPr>
              <w:pStyle w:val="TableText0"/>
              <w:jc w:val="center"/>
            </w:pPr>
            <w:r w:rsidRPr="00C068F4">
              <w:rPr>
                <w:b/>
                <w:bCs w:val="0"/>
              </w:rPr>
              <w:t>47.3% (24.4 – 63.2)</w:t>
            </w:r>
          </w:p>
        </w:tc>
      </w:tr>
      <w:tr w:rsidR="00D930AE" w:rsidRPr="00C068F4" w14:paraId="494A594D" w14:textId="77777777" w:rsidTr="00DC4004">
        <w:tc>
          <w:tcPr>
            <w:tcW w:w="920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237E8F40" w14:textId="6D55B3A0" w:rsidR="00D930AE" w:rsidRPr="00C068F4" w:rsidRDefault="00D930AE" w:rsidP="00D930AE">
            <w:pPr>
              <w:pStyle w:val="TableText0"/>
            </w:pPr>
            <w:r w:rsidRPr="00C068F4">
              <w:t xml:space="preserve">Key supportive: Patients with a symptomatic confirmed SARS-CoV-2 infection </w:t>
            </w:r>
            <w:r w:rsidR="00D1452D" w:rsidRPr="00C068F4">
              <w:t xml:space="preserve">by </w:t>
            </w:r>
            <w:r w:rsidR="00D1452D" w:rsidRPr="00C068F4">
              <w:rPr>
                <w:u w:val="single"/>
              </w:rPr>
              <w:t>Day 183</w:t>
            </w:r>
            <w:r w:rsidR="00D1452D" w:rsidRPr="00C068F4">
              <w:t xml:space="preserve"> </w:t>
            </w:r>
            <w:r w:rsidRPr="00C068F4">
              <w:t>regardless of unblinding or receipt of COVID-19 vaccine</w:t>
            </w:r>
            <w:r w:rsidR="00110ACA" w:rsidRPr="00C068F4">
              <w:t xml:space="preserve"> (</w:t>
            </w:r>
            <w:r w:rsidR="00674014" w:rsidRPr="00C068F4">
              <w:t xml:space="preserve">i.e., </w:t>
            </w:r>
            <w:r w:rsidR="00110ACA" w:rsidRPr="00C068F4">
              <w:t>full pre-exposure analysis set)</w:t>
            </w:r>
          </w:p>
        </w:tc>
      </w:tr>
      <w:tr w:rsidR="006B2D7C" w:rsidRPr="00C068F4" w14:paraId="2B07BBE0" w14:textId="77777777" w:rsidTr="00DC4004">
        <w:tc>
          <w:tcPr>
            <w:tcW w:w="1297" w:type="dxa"/>
            <w:tcBorders>
              <w:top w:val="single" w:sz="4" w:space="0" w:color="auto"/>
              <w:left w:val="single" w:sz="4" w:space="0" w:color="auto"/>
              <w:bottom w:val="single" w:sz="4" w:space="0" w:color="auto"/>
              <w:right w:val="single" w:sz="4" w:space="0" w:color="auto"/>
            </w:tcBorders>
            <w:shd w:val="clear" w:color="auto" w:fill="auto"/>
          </w:tcPr>
          <w:p w14:paraId="4450AAA6" w14:textId="08169C80" w:rsidR="00DC019B" w:rsidRPr="00C068F4" w:rsidRDefault="00DC019B" w:rsidP="00DC019B">
            <w:pPr>
              <w:pStyle w:val="TableText0"/>
              <w:ind w:left="109"/>
              <w:rPr>
                <w:rFonts w:cs="Arial"/>
              </w:rPr>
            </w:pPr>
            <w:r w:rsidRPr="00C068F4">
              <w:t>n/N (%)</w:t>
            </w:r>
          </w:p>
        </w:tc>
        <w:tc>
          <w:tcPr>
            <w:tcW w:w="1311" w:type="dxa"/>
            <w:gridSpan w:val="2"/>
            <w:tcBorders>
              <w:top w:val="single" w:sz="4" w:space="0" w:color="auto"/>
              <w:left w:val="single" w:sz="4" w:space="0" w:color="auto"/>
              <w:bottom w:val="single" w:sz="4" w:space="0" w:color="auto"/>
              <w:right w:val="single" w:sz="4" w:space="0" w:color="auto"/>
            </w:tcBorders>
            <w:shd w:val="clear" w:color="auto" w:fill="auto"/>
          </w:tcPr>
          <w:p w14:paraId="65AF8DAD" w14:textId="42673DCD" w:rsidR="00DC019B" w:rsidRPr="00C068F4" w:rsidRDefault="00DC019B" w:rsidP="00DC019B">
            <w:pPr>
              <w:pStyle w:val="TableText0"/>
              <w:jc w:val="center"/>
            </w:pPr>
            <w:r w:rsidRPr="00C068F4">
              <w:t>10/3441 (0.3)</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1ADB0ADB" w14:textId="0DBAB8FE" w:rsidR="00DC019B" w:rsidRPr="00C068F4" w:rsidRDefault="00DC019B" w:rsidP="00DC019B">
            <w:pPr>
              <w:pStyle w:val="TableText0"/>
              <w:jc w:val="center"/>
            </w:pPr>
            <w:r w:rsidRPr="00C068F4">
              <w:t>22/1731 (1.3)</w:t>
            </w:r>
          </w:p>
        </w:tc>
        <w:tc>
          <w:tcPr>
            <w:tcW w:w="1311" w:type="dxa"/>
            <w:gridSpan w:val="2"/>
            <w:tcBorders>
              <w:top w:val="single" w:sz="4" w:space="0" w:color="auto"/>
              <w:left w:val="single" w:sz="4" w:space="0" w:color="auto"/>
              <w:bottom w:val="single" w:sz="4" w:space="0" w:color="auto"/>
              <w:right w:val="single" w:sz="4" w:space="0" w:color="auto"/>
            </w:tcBorders>
            <w:shd w:val="clear" w:color="auto" w:fill="auto"/>
          </w:tcPr>
          <w:p w14:paraId="603C2157" w14:textId="4F57A1BE" w:rsidR="00DC019B" w:rsidRPr="00C068F4" w:rsidRDefault="00DC019B" w:rsidP="00DC019B">
            <w:pPr>
              <w:pStyle w:val="TableText0"/>
              <w:jc w:val="center"/>
            </w:pPr>
            <w:r w:rsidRPr="00C068F4">
              <w:t>20/3441 (0.6)</w:t>
            </w:r>
          </w:p>
        </w:tc>
        <w:tc>
          <w:tcPr>
            <w:tcW w:w="1304" w:type="dxa"/>
            <w:tcBorders>
              <w:top w:val="single" w:sz="4" w:space="0" w:color="auto"/>
              <w:left w:val="single" w:sz="4" w:space="0" w:color="auto"/>
              <w:bottom w:val="single" w:sz="4" w:space="0" w:color="auto"/>
              <w:right w:val="single" w:sz="4" w:space="0" w:color="auto"/>
            </w:tcBorders>
            <w:shd w:val="clear" w:color="auto" w:fill="auto"/>
          </w:tcPr>
          <w:p w14:paraId="7DD7DFC4" w14:textId="6FE4DC13" w:rsidR="00DC019B" w:rsidRPr="00C068F4" w:rsidRDefault="00DC019B" w:rsidP="00DC019B">
            <w:pPr>
              <w:pStyle w:val="TableText0"/>
              <w:jc w:val="center"/>
            </w:pPr>
            <w:r w:rsidRPr="00C068F4">
              <w:t>44/1731 (2.5)</w:t>
            </w:r>
          </w:p>
        </w:tc>
        <w:tc>
          <w:tcPr>
            <w:tcW w:w="13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B06840" w14:textId="7E3932C6" w:rsidR="00DC019B" w:rsidRPr="00C068F4" w:rsidRDefault="00DC019B" w:rsidP="00DC019B">
            <w:pPr>
              <w:pStyle w:val="TableText0"/>
              <w:jc w:val="center"/>
            </w:pPr>
            <w:r w:rsidRPr="00C068F4">
              <w:t>21/3441 (0.6)</w:t>
            </w:r>
          </w:p>
        </w:tc>
        <w:tc>
          <w:tcPr>
            <w:tcW w:w="13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9C3771" w14:textId="493FA748" w:rsidR="00DC019B" w:rsidRPr="00C068F4" w:rsidRDefault="00DC019B" w:rsidP="00DC019B">
            <w:pPr>
              <w:pStyle w:val="TableText0"/>
              <w:jc w:val="center"/>
            </w:pPr>
            <w:r w:rsidRPr="00C068F4">
              <w:t>46/</w:t>
            </w:r>
            <w:r w:rsidR="00916CB2" w:rsidRPr="00C068F4">
              <w:t>1731</w:t>
            </w:r>
            <w:r w:rsidRPr="00C068F4">
              <w:t xml:space="preserve"> (2.7)</w:t>
            </w:r>
          </w:p>
        </w:tc>
      </w:tr>
      <w:tr w:rsidR="00D527AB" w:rsidRPr="00C068F4" w14:paraId="511646E1" w14:textId="77777777" w:rsidTr="00DC4004">
        <w:tc>
          <w:tcPr>
            <w:tcW w:w="1297" w:type="dxa"/>
            <w:tcBorders>
              <w:top w:val="single" w:sz="4" w:space="0" w:color="auto"/>
              <w:left w:val="single" w:sz="4" w:space="0" w:color="auto"/>
              <w:bottom w:val="single" w:sz="4" w:space="0" w:color="auto"/>
              <w:right w:val="single" w:sz="4" w:space="0" w:color="auto"/>
            </w:tcBorders>
            <w:shd w:val="clear" w:color="auto" w:fill="auto"/>
          </w:tcPr>
          <w:p w14:paraId="62BF4156" w14:textId="1DEBDA95" w:rsidR="00DC019B" w:rsidRPr="00C068F4" w:rsidRDefault="00DC019B" w:rsidP="00DC019B">
            <w:pPr>
              <w:pStyle w:val="TableText0"/>
              <w:ind w:left="109"/>
              <w:rPr>
                <w:rFonts w:cs="Arial"/>
              </w:rPr>
            </w:pPr>
            <w:r w:rsidRPr="00C068F4">
              <w:rPr>
                <w:rFonts w:cs="Arial"/>
              </w:rPr>
              <w:t>RRR (95% CI)</w:t>
            </w:r>
          </w:p>
        </w:tc>
        <w:tc>
          <w:tcPr>
            <w:tcW w:w="2615" w:type="dxa"/>
            <w:gridSpan w:val="3"/>
            <w:tcBorders>
              <w:top w:val="single" w:sz="4" w:space="0" w:color="auto"/>
              <w:left w:val="single" w:sz="4" w:space="0" w:color="auto"/>
              <w:bottom w:val="single" w:sz="4" w:space="0" w:color="auto"/>
              <w:right w:val="single" w:sz="4" w:space="0" w:color="auto"/>
            </w:tcBorders>
            <w:shd w:val="clear" w:color="auto" w:fill="auto"/>
          </w:tcPr>
          <w:p w14:paraId="0264A95D" w14:textId="5D950084" w:rsidR="00DC019B" w:rsidRPr="00C068F4" w:rsidRDefault="00DC019B" w:rsidP="00DC019B">
            <w:pPr>
              <w:pStyle w:val="TableText0"/>
              <w:jc w:val="center"/>
              <w:rPr>
                <w:b/>
                <w:bCs w:val="0"/>
              </w:rPr>
            </w:pPr>
            <w:r w:rsidRPr="00C068F4">
              <w:rPr>
                <w:b/>
                <w:bCs w:val="0"/>
              </w:rPr>
              <w:t>77.3% (52.0</w:t>
            </w:r>
            <w:r w:rsidRPr="00C068F4">
              <w:rPr>
                <w:rFonts w:ascii="Arial" w:hAnsi="Arial" w:cs="Arial"/>
                <w:b/>
                <w:bCs w:val="0"/>
              </w:rPr>
              <w:t xml:space="preserve"> - </w:t>
            </w:r>
            <w:r w:rsidRPr="00C068F4">
              <w:rPr>
                <w:b/>
                <w:bCs w:val="0"/>
              </w:rPr>
              <w:t>89.3)</w:t>
            </w:r>
          </w:p>
        </w:tc>
        <w:tc>
          <w:tcPr>
            <w:tcW w:w="2615" w:type="dxa"/>
            <w:gridSpan w:val="3"/>
            <w:tcBorders>
              <w:top w:val="single" w:sz="4" w:space="0" w:color="auto"/>
              <w:left w:val="single" w:sz="4" w:space="0" w:color="auto"/>
              <w:bottom w:val="single" w:sz="4" w:space="0" w:color="auto"/>
              <w:right w:val="single" w:sz="4" w:space="0" w:color="auto"/>
            </w:tcBorders>
            <w:shd w:val="clear" w:color="auto" w:fill="auto"/>
          </w:tcPr>
          <w:p w14:paraId="2DA1C819" w14:textId="52ABB7C1" w:rsidR="00DC019B" w:rsidRPr="00C068F4" w:rsidRDefault="00DC019B" w:rsidP="00DC019B">
            <w:pPr>
              <w:pStyle w:val="TableText0"/>
              <w:jc w:val="center"/>
              <w:rPr>
                <w:b/>
                <w:bCs w:val="0"/>
              </w:rPr>
            </w:pPr>
            <w:r w:rsidRPr="00C068F4">
              <w:rPr>
                <w:b/>
                <w:bCs w:val="0"/>
              </w:rPr>
              <w:t>77.4% (61.7</w:t>
            </w:r>
            <w:r w:rsidRPr="00C068F4">
              <w:rPr>
                <w:rFonts w:ascii="Arial" w:hAnsi="Arial" w:cs="Arial"/>
                <w:b/>
                <w:bCs w:val="0"/>
              </w:rPr>
              <w:t xml:space="preserve"> - </w:t>
            </w:r>
            <w:r w:rsidRPr="00C068F4">
              <w:rPr>
                <w:b/>
                <w:bCs w:val="0"/>
              </w:rPr>
              <w:t>86.7)</w:t>
            </w:r>
          </w:p>
        </w:tc>
        <w:tc>
          <w:tcPr>
            <w:tcW w:w="2682" w:type="dxa"/>
            <w:gridSpan w:val="4"/>
            <w:tcBorders>
              <w:top w:val="single" w:sz="4" w:space="0" w:color="auto"/>
              <w:left w:val="single" w:sz="4" w:space="0" w:color="auto"/>
              <w:bottom w:val="single" w:sz="4" w:space="0" w:color="auto"/>
              <w:right w:val="single" w:sz="4" w:space="0" w:color="auto"/>
            </w:tcBorders>
            <w:shd w:val="clear" w:color="auto" w:fill="auto"/>
          </w:tcPr>
          <w:p w14:paraId="60EBCCA2" w14:textId="1BF08EEF" w:rsidR="00DC019B" w:rsidRPr="00C068F4" w:rsidRDefault="00860D39" w:rsidP="00DC019B">
            <w:pPr>
              <w:pStyle w:val="TableText0"/>
              <w:jc w:val="center"/>
            </w:pPr>
            <w:r w:rsidRPr="00C068F4">
              <w:rPr>
                <w:b/>
                <w:bCs w:val="0"/>
              </w:rPr>
              <w:t>77.</w:t>
            </w:r>
            <w:r w:rsidR="0074770A" w:rsidRPr="00C068F4">
              <w:rPr>
                <w:b/>
                <w:bCs w:val="0"/>
              </w:rPr>
              <w:t>4</w:t>
            </w:r>
            <w:r w:rsidR="00DC019B" w:rsidRPr="00C068F4">
              <w:rPr>
                <w:b/>
                <w:bCs w:val="0"/>
              </w:rPr>
              <w:t>% (</w:t>
            </w:r>
            <w:r w:rsidR="006F05C7" w:rsidRPr="00C068F4">
              <w:rPr>
                <w:b/>
                <w:bCs w:val="0"/>
              </w:rPr>
              <w:t>62.1 – 86.5</w:t>
            </w:r>
            <w:r w:rsidR="00DC019B" w:rsidRPr="00C068F4">
              <w:rPr>
                <w:b/>
                <w:bCs w:val="0"/>
              </w:rPr>
              <w:t>)</w:t>
            </w:r>
          </w:p>
        </w:tc>
      </w:tr>
      <w:tr w:rsidR="00FF74E7" w:rsidRPr="00C068F4" w14:paraId="3869DB14" w14:textId="77777777" w:rsidTr="00DC4004">
        <w:tc>
          <w:tcPr>
            <w:tcW w:w="920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4CCEE667" w14:textId="61EEA897" w:rsidR="00FF74E7" w:rsidRPr="00C068F4" w:rsidRDefault="00FF74E7">
            <w:pPr>
              <w:pStyle w:val="TableText0"/>
            </w:pPr>
            <w:r w:rsidRPr="00C068F4">
              <w:t xml:space="preserve">Primary: Patients with a symptomatic confirmed SARS-CoV-2 infection by Day 366 </w:t>
            </w:r>
            <w:r w:rsidR="004E762B" w:rsidRPr="00C068F4">
              <w:t>regardless of unblinding or receipt of COVID-19 vaccine</w:t>
            </w:r>
            <w:r w:rsidR="00110ACA" w:rsidRPr="00C068F4">
              <w:t xml:space="preserve"> (</w:t>
            </w:r>
            <w:r w:rsidR="00674014" w:rsidRPr="00C068F4">
              <w:t>i.e.,</w:t>
            </w:r>
            <w:r w:rsidR="00110ACA" w:rsidRPr="00C068F4">
              <w:t xml:space="preserve"> full pre-exposure analysis set)</w:t>
            </w:r>
          </w:p>
        </w:tc>
      </w:tr>
      <w:tr w:rsidR="007A5FDF" w:rsidRPr="00C068F4" w14:paraId="1F7AF592" w14:textId="77777777" w:rsidTr="00DC4004">
        <w:tc>
          <w:tcPr>
            <w:tcW w:w="1297" w:type="dxa"/>
            <w:tcBorders>
              <w:top w:val="single" w:sz="4" w:space="0" w:color="auto"/>
              <w:left w:val="single" w:sz="4" w:space="0" w:color="auto"/>
              <w:bottom w:val="single" w:sz="4" w:space="0" w:color="auto"/>
              <w:right w:val="single" w:sz="4" w:space="0" w:color="auto"/>
            </w:tcBorders>
            <w:shd w:val="clear" w:color="auto" w:fill="auto"/>
          </w:tcPr>
          <w:p w14:paraId="50066A0D" w14:textId="77777777" w:rsidR="007A5FDF" w:rsidRPr="00C068F4" w:rsidRDefault="007A5FDF" w:rsidP="007A5FDF">
            <w:pPr>
              <w:pStyle w:val="TableText0"/>
              <w:ind w:left="109"/>
              <w:rPr>
                <w:rFonts w:cs="Arial"/>
              </w:rPr>
            </w:pPr>
            <w:r w:rsidRPr="00C068F4">
              <w:t>n/N (%)</w:t>
            </w:r>
          </w:p>
        </w:tc>
        <w:tc>
          <w:tcPr>
            <w:tcW w:w="2615" w:type="dxa"/>
            <w:gridSpan w:val="3"/>
            <w:vMerge w:val="restart"/>
            <w:tcBorders>
              <w:top w:val="single" w:sz="4" w:space="0" w:color="auto"/>
              <w:left w:val="single" w:sz="4" w:space="0" w:color="auto"/>
              <w:right w:val="single" w:sz="4" w:space="0" w:color="auto"/>
            </w:tcBorders>
            <w:shd w:val="clear" w:color="auto" w:fill="auto"/>
            <w:vAlign w:val="center"/>
          </w:tcPr>
          <w:p w14:paraId="211F621F" w14:textId="77777777" w:rsidR="007A5FDF" w:rsidRPr="00C068F4" w:rsidRDefault="007A5FDF" w:rsidP="007A5FDF">
            <w:pPr>
              <w:pStyle w:val="TableText0"/>
              <w:jc w:val="center"/>
            </w:pPr>
            <w:r w:rsidRPr="00C068F4">
              <w:t>Not assessable</w:t>
            </w:r>
          </w:p>
        </w:tc>
        <w:tc>
          <w:tcPr>
            <w:tcW w:w="2615" w:type="dxa"/>
            <w:gridSpan w:val="3"/>
            <w:vMerge w:val="restart"/>
            <w:tcBorders>
              <w:top w:val="single" w:sz="4" w:space="0" w:color="auto"/>
              <w:left w:val="single" w:sz="4" w:space="0" w:color="auto"/>
              <w:right w:val="single" w:sz="4" w:space="0" w:color="auto"/>
            </w:tcBorders>
            <w:shd w:val="clear" w:color="auto" w:fill="auto"/>
            <w:vAlign w:val="center"/>
          </w:tcPr>
          <w:p w14:paraId="4C03FA3B" w14:textId="77777777" w:rsidR="007A5FDF" w:rsidRPr="00C068F4" w:rsidRDefault="007A5FDF" w:rsidP="007A5FDF">
            <w:pPr>
              <w:pStyle w:val="TableText0"/>
              <w:jc w:val="center"/>
            </w:pPr>
            <w:r w:rsidRPr="00C068F4">
              <w:t>Not assessable</w:t>
            </w:r>
          </w:p>
        </w:tc>
        <w:tc>
          <w:tcPr>
            <w:tcW w:w="13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A38166" w14:textId="541F08AC" w:rsidR="007A5FDF" w:rsidRPr="00C068F4" w:rsidRDefault="007A5FDF" w:rsidP="007A5FDF">
            <w:pPr>
              <w:pStyle w:val="TableText0"/>
              <w:jc w:val="center"/>
            </w:pPr>
            <w:r w:rsidRPr="00C068F4">
              <w:t>281/3441 (8.2)</w:t>
            </w:r>
          </w:p>
        </w:tc>
        <w:tc>
          <w:tcPr>
            <w:tcW w:w="13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A80956" w14:textId="250C1CF3" w:rsidR="007A5FDF" w:rsidRPr="00C068F4" w:rsidRDefault="007A5FDF" w:rsidP="007A5FDF">
            <w:pPr>
              <w:pStyle w:val="TableText0"/>
              <w:jc w:val="center"/>
            </w:pPr>
            <w:r w:rsidRPr="00C068F4">
              <w:t>164/1731 (9.5)</w:t>
            </w:r>
          </w:p>
        </w:tc>
      </w:tr>
      <w:tr w:rsidR="00FF74E7" w:rsidRPr="00C068F4" w14:paraId="5C54A912" w14:textId="77777777" w:rsidTr="00DC4004">
        <w:tc>
          <w:tcPr>
            <w:tcW w:w="1297" w:type="dxa"/>
            <w:tcBorders>
              <w:top w:val="single" w:sz="4" w:space="0" w:color="auto"/>
              <w:left w:val="single" w:sz="4" w:space="0" w:color="auto"/>
              <w:bottom w:val="single" w:sz="4" w:space="0" w:color="auto"/>
              <w:right w:val="single" w:sz="4" w:space="0" w:color="auto"/>
            </w:tcBorders>
            <w:shd w:val="clear" w:color="auto" w:fill="auto"/>
          </w:tcPr>
          <w:p w14:paraId="4B2BA6E6" w14:textId="77777777" w:rsidR="00FF74E7" w:rsidRPr="00C068F4" w:rsidRDefault="00FF74E7">
            <w:pPr>
              <w:pStyle w:val="TableText0"/>
              <w:ind w:left="109"/>
              <w:rPr>
                <w:rFonts w:cs="Arial"/>
              </w:rPr>
            </w:pPr>
            <w:r w:rsidRPr="00C068F4">
              <w:rPr>
                <w:rFonts w:cs="Arial"/>
              </w:rPr>
              <w:t>RRR (95% CI)</w:t>
            </w:r>
          </w:p>
        </w:tc>
        <w:tc>
          <w:tcPr>
            <w:tcW w:w="2615" w:type="dxa"/>
            <w:gridSpan w:val="3"/>
            <w:vMerge/>
            <w:tcBorders>
              <w:left w:val="single" w:sz="4" w:space="0" w:color="auto"/>
              <w:bottom w:val="single" w:sz="4" w:space="0" w:color="auto"/>
              <w:right w:val="single" w:sz="4" w:space="0" w:color="auto"/>
            </w:tcBorders>
            <w:shd w:val="clear" w:color="auto" w:fill="auto"/>
          </w:tcPr>
          <w:p w14:paraId="64AE9C9F" w14:textId="77777777" w:rsidR="00FF74E7" w:rsidRPr="00C068F4" w:rsidRDefault="00FF74E7">
            <w:pPr>
              <w:pStyle w:val="TableText0"/>
              <w:jc w:val="center"/>
              <w:rPr>
                <w:b/>
                <w:bCs w:val="0"/>
              </w:rPr>
            </w:pPr>
          </w:p>
        </w:tc>
        <w:tc>
          <w:tcPr>
            <w:tcW w:w="2615" w:type="dxa"/>
            <w:gridSpan w:val="3"/>
            <w:vMerge/>
            <w:tcBorders>
              <w:left w:val="single" w:sz="4" w:space="0" w:color="auto"/>
              <w:bottom w:val="single" w:sz="4" w:space="0" w:color="auto"/>
              <w:right w:val="single" w:sz="4" w:space="0" w:color="auto"/>
            </w:tcBorders>
            <w:shd w:val="clear" w:color="auto" w:fill="auto"/>
          </w:tcPr>
          <w:p w14:paraId="19BB5C27" w14:textId="77777777" w:rsidR="00FF74E7" w:rsidRPr="00C068F4" w:rsidRDefault="00FF74E7">
            <w:pPr>
              <w:pStyle w:val="TableText0"/>
              <w:jc w:val="center"/>
              <w:rPr>
                <w:b/>
                <w:bCs w:val="0"/>
              </w:rPr>
            </w:pPr>
          </w:p>
        </w:tc>
        <w:tc>
          <w:tcPr>
            <w:tcW w:w="2682" w:type="dxa"/>
            <w:gridSpan w:val="4"/>
            <w:tcBorders>
              <w:top w:val="single" w:sz="4" w:space="0" w:color="auto"/>
              <w:left w:val="single" w:sz="4" w:space="0" w:color="auto"/>
              <w:bottom w:val="single" w:sz="4" w:space="0" w:color="auto"/>
              <w:right w:val="single" w:sz="4" w:space="0" w:color="auto"/>
            </w:tcBorders>
            <w:shd w:val="clear" w:color="auto" w:fill="auto"/>
          </w:tcPr>
          <w:p w14:paraId="43CAF638" w14:textId="73E62F3C" w:rsidR="00FF74E7" w:rsidRPr="00C068F4" w:rsidRDefault="007A5FDF">
            <w:pPr>
              <w:pStyle w:val="TableText0"/>
              <w:jc w:val="center"/>
            </w:pPr>
            <w:r w:rsidRPr="00C068F4">
              <w:t>15.7% (-1.8</w:t>
            </w:r>
            <w:r w:rsidRPr="00C068F4">
              <w:rPr>
                <w:rFonts w:ascii="Arial" w:hAnsi="Arial" w:cs="Arial"/>
              </w:rPr>
              <w:t xml:space="preserve"> – </w:t>
            </w:r>
            <w:r w:rsidRPr="00C068F4">
              <w:t>30.2)</w:t>
            </w:r>
          </w:p>
        </w:tc>
      </w:tr>
      <w:tr w:rsidR="00895EED" w:rsidRPr="00C068F4" w14:paraId="299D8FA3" w14:textId="77777777" w:rsidTr="00DC4004">
        <w:tc>
          <w:tcPr>
            <w:tcW w:w="920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095F571C" w14:textId="28A705C9" w:rsidR="00895EED" w:rsidRPr="00C068F4" w:rsidRDefault="00895EED">
            <w:pPr>
              <w:pStyle w:val="TableText0"/>
            </w:pPr>
            <w:r w:rsidRPr="00C068F4">
              <w:t xml:space="preserve">Key </w:t>
            </w:r>
            <w:r w:rsidR="00DE420E" w:rsidRPr="00C068F4">
              <w:t>secondary</w:t>
            </w:r>
            <w:r w:rsidRPr="00C068F4">
              <w:t xml:space="preserve">: Patients with </w:t>
            </w:r>
            <w:r w:rsidR="00DE420E" w:rsidRPr="00C068F4">
              <w:t xml:space="preserve">severe or critical </w:t>
            </w:r>
            <w:r w:rsidRPr="00C068F4">
              <w:t>confirmed</w:t>
            </w:r>
            <w:r w:rsidR="00DE420E" w:rsidRPr="00C068F4">
              <w:t xml:space="preserve"> COVID-19</w:t>
            </w:r>
            <w:r w:rsidRPr="00C068F4">
              <w:t xml:space="preserve"> by Day 183 </w:t>
            </w:r>
            <w:r w:rsidR="001D0F7E" w:rsidRPr="00C068F4">
              <w:t>(full pre-exp</w:t>
            </w:r>
            <w:r w:rsidR="0091043B" w:rsidRPr="00C068F4">
              <w:t>os</w:t>
            </w:r>
            <w:r w:rsidR="001D0F7E" w:rsidRPr="00C068F4">
              <w:t>ure analysis set)</w:t>
            </w:r>
          </w:p>
        </w:tc>
      </w:tr>
      <w:tr w:rsidR="00226EBD" w:rsidRPr="00C068F4" w14:paraId="5AEE4463" w14:textId="77777777" w:rsidTr="00DC4004">
        <w:tc>
          <w:tcPr>
            <w:tcW w:w="1297" w:type="dxa"/>
            <w:tcBorders>
              <w:top w:val="single" w:sz="4" w:space="0" w:color="auto"/>
              <w:left w:val="single" w:sz="4" w:space="0" w:color="auto"/>
              <w:bottom w:val="single" w:sz="4" w:space="0" w:color="auto"/>
              <w:right w:val="single" w:sz="4" w:space="0" w:color="auto"/>
            </w:tcBorders>
            <w:shd w:val="clear" w:color="auto" w:fill="auto"/>
          </w:tcPr>
          <w:p w14:paraId="1C9C181D" w14:textId="77777777" w:rsidR="00226EBD" w:rsidRPr="00C068F4" w:rsidRDefault="00226EBD">
            <w:pPr>
              <w:pStyle w:val="TableText0"/>
              <w:ind w:left="109"/>
              <w:rPr>
                <w:rFonts w:cs="Arial"/>
              </w:rPr>
            </w:pPr>
            <w:r w:rsidRPr="00C068F4">
              <w:t>n/N (%)</w:t>
            </w:r>
          </w:p>
        </w:tc>
        <w:tc>
          <w:tcPr>
            <w:tcW w:w="2615" w:type="dxa"/>
            <w:gridSpan w:val="3"/>
            <w:vMerge w:val="restart"/>
            <w:tcBorders>
              <w:top w:val="single" w:sz="4" w:space="0" w:color="auto"/>
              <w:left w:val="single" w:sz="4" w:space="0" w:color="auto"/>
              <w:right w:val="single" w:sz="4" w:space="0" w:color="auto"/>
            </w:tcBorders>
            <w:shd w:val="clear" w:color="auto" w:fill="auto"/>
            <w:vAlign w:val="center"/>
          </w:tcPr>
          <w:p w14:paraId="17331766" w14:textId="6C33B812" w:rsidR="00226EBD" w:rsidRPr="00C068F4" w:rsidRDefault="00226EBD" w:rsidP="00226EBD">
            <w:pPr>
              <w:pStyle w:val="TableText0"/>
              <w:jc w:val="center"/>
            </w:pPr>
          </w:p>
        </w:tc>
        <w:tc>
          <w:tcPr>
            <w:tcW w:w="2615" w:type="dxa"/>
            <w:gridSpan w:val="3"/>
            <w:vMerge w:val="restart"/>
            <w:tcBorders>
              <w:top w:val="single" w:sz="4" w:space="0" w:color="auto"/>
              <w:left w:val="single" w:sz="4" w:space="0" w:color="auto"/>
              <w:right w:val="single" w:sz="4" w:space="0" w:color="auto"/>
            </w:tcBorders>
            <w:shd w:val="clear" w:color="auto" w:fill="auto"/>
            <w:vAlign w:val="center"/>
          </w:tcPr>
          <w:p w14:paraId="355E3BF9" w14:textId="687CBA61" w:rsidR="00226EBD" w:rsidRPr="00C068F4" w:rsidRDefault="00226EBD" w:rsidP="00226EBD">
            <w:pPr>
              <w:pStyle w:val="TableText0"/>
              <w:jc w:val="center"/>
            </w:pPr>
          </w:p>
        </w:tc>
        <w:tc>
          <w:tcPr>
            <w:tcW w:w="13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2F9758" w14:textId="0CE37BEE" w:rsidR="00226EBD" w:rsidRPr="00C068F4" w:rsidRDefault="00226EBD">
            <w:pPr>
              <w:pStyle w:val="TableText0"/>
              <w:jc w:val="center"/>
            </w:pPr>
            <w:r w:rsidRPr="00C068F4">
              <w:t>0/3441 (0)</w:t>
            </w:r>
          </w:p>
        </w:tc>
        <w:tc>
          <w:tcPr>
            <w:tcW w:w="13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CE0DA4" w14:textId="760918A1" w:rsidR="00226EBD" w:rsidRPr="00C068F4" w:rsidRDefault="00226EBD">
            <w:pPr>
              <w:pStyle w:val="TableText0"/>
              <w:jc w:val="center"/>
            </w:pPr>
            <w:r w:rsidRPr="00C068F4">
              <w:t>6/</w:t>
            </w:r>
            <w:r w:rsidR="00916CB2" w:rsidRPr="00C068F4">
              <w:t>1731</w:t>
            </w:r>
            <w:r w:rsidRPr="00C068F4">
              <w:t xml:space="preserve"> (0.3)</w:t>
            </w:r>
          </w:p>
        </w:tc>
      </w:tr>
      <w:tr w:rsidR="00226EBD" w:rsidRPr="00C068F4" w14:paraId="61A1F461" w14:textId="77777777" w:rsidTr="00DC4004">
        <w:tc>
          <w:tcPr>
            <w:tcW w:w="1297" w:type="dxa"/>
            <w:tcBorders>
              <w:top w:val="single" w:sz="4" w:space="0" w:color="auto"/>
              <w:left w:val="single" w:sz="4" w:space="0" w:color="auto"/>
              <w:bottom w:val="single" w:sz="4" w:space="0" w:color="auto"/>
              <w:right w:val="single" w:sz="4" w:space="0" w:color="auto"/>
            </w:tcBorders>
            <w:shd w:val="clear" w:color="auto" w:fill="auto"/>
          </w:tcPr>
          <w:p w14:paraId="01C274E4" w14:textId="77777777" w:rsidR="00226EBD" w:rsidRPr="00C068F4" w:rsidRDefault="00226EBD">
            <w:pPr>
              <w:pStyle w:val="TableText0"/>
              <w:ind w:left="109"/>
              <w:rPr>
                <w:rFonts w:cs="Arial"/>
              </w:rPr>
            </w:pPr>
            <w:r w:rsidRPr="00C068F4">
              <w:rPr>
                <w:rFonts w:cs="Arial"/>
              </w:rPr>
              <w:t>RRR (95% CI)</w:t>
            </w:r>
          </w:p>
        </w:tc>
        <w:tc>
          <w:tcPr>
            <w:tcW w:w="2615" w:type="dxa"/>
            <w:gridSpan w:val="3"/>
            <w:vMerge/>
            <w:tcBorders>
              <w:left w:val="single" w:sz="4" w:space="0" w:color="auto"/>
              <w:bottom w:val="single" w:sz="4" w:space="0" w:color="auto"/>
              <w:right w:val="single" w:sz="4" w:space="0" w:color="auto"/>
            </w:tcBorders>
            <w:shd w:val="clear" w:color="auto" w:fill="auto"/>
          </w:tcPr>
          <w:p w14:paraId="1C0B0A06" w14:textId="00C891B3" w:rsidR="00226EBD" w:rsidRPr="00C068F4" w:rsidRDefault="00226EBD">
            <w:pPr>
              <w:pStyle w:val="TableText0"/>
              <w:jc w:val="center"/>
              <w:rPr>
                <w:b/>
                <w:bCs w:val="0"/>
              </w:rPr>
            </w:pPr>
          </w:p>
        </w:tc>
        <w:tc>
          <w:tcPr>
            <w:tcW w:w="2615" w:type="dxa"/>
            <w:gridSpan w:val="3"/>
            <w:vMerge/>
            <w:tcBorders>
              <w:left w:val="single" w:sz="4" w:space="0" w:color="auto"/>
              <w:bottom w:val="single" w:sz="4" w:space="0" w:color="auto"/>
              <w:right w:val="single" w:sz="4" w:space="0" w:color="auto"/>
            </w:tcBorders>
            <w:shd w:val="clear" w:color="auto" w:fill="auto"/>
          </w:tcPr>
          <w:p w14:paraId="6E8C4EB0" w14:textId="2CE24D9F" w:rsidR="00226EBD" w:rsidRPr="00C068F4" w:rsidRDefault="00226EBD">
            <w:pPr>
              <w:pStyle w:val="TableText0"/>
              <w:jc w:val="center"/>
              <w:rPr>
                <w:b/>
                <w:bCs w:val="0"/>
              </w:rPr>
            </w:pPr>
          </w:p>
        </w:tc>
        <w:tc>
          <w:tcPr>
            <w:tcW w:w="2682" w:type="dxa"/>
            <w:gridSpan w:val="4"/>
            <w:tcBorders>
              <w:top w:val="single" w:sz="4" w:space="0" w:color="auto"/>
              <w:left w:val="single" w:sz="4" w:space="0" w:color="auto"/>
              <w:bottom w:val="single" w:sz="4" w:space="0" w:color="auto"/>
              <w:right w:val="single" w:sz="4" w:space="0" w:color="auto"/>
            </w:tcBorders>
            <w:shd w:val="clear" w:color="auto" w:fill="auto"/>
          </w:tcPr>
          <w:p w14:paraId="17B3A3DC" w14:textId="6D64D95D" w:rsidR="00226EBD" w:rsidRPr="00C068F4" w:rsidRDefault="00226EBD">
            <w:pPr>
              <w:pStyle w:val="TableText0"/>
              <w:jc w:val="center"/>
            </w:pPr>
            <w:r w:rsidRPr="00C068F4">
              <w:t>Not calculated</w:t>
            </w:r>
          </w:p>
        </w:tc>
      </w:tr>
      <w:tr w:rsidR="0006378B" w:rsidRPr="00C068F4" w14:paraId="2DC9E7FC" w14:textId="77777777" w:rsidTr="00DC4004">
        <w:tc>
          <w:tcPr>
            <w:tcW w:w="920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3BC91F7E" w14:textId="273011BA" w:rsidR="0006378B" w:rsidRPr="00C068F4" w:rsidRDefault="0006378B">
            <w:pPr>
              <w:pStyle w:val="TableText0"/>
            </w:pPr>
            <w:r w:rsidRPr="00C068F4">
              <w:t xml:space="preserve">Key secondary: Patients with severe or critical confirmed COVID-19 by Day </w:t>
            </w:r>
            <w:r w:rsidR="008A0049" w:rsidRPr="00C068F4">
              <w:t>366</w:t>
            </w:r>
            <w:r w:rsidRPr="00C068F4">
              <w:t xml:space="preserve"> </w:t>
            </w:r>
            <w:r w:rsidR="001D0F7E" w:rsidRPr="00C068F4">
              <w:t>(full pre-exp</w:t>
            </w:r>
            <w:r w:rsidR="0091043B" w:rsidRPr="00C068F4">
              <w:t>os</w:t>
            </w:r>
            <w:r w:rsidR="001D0F7E" w:rsidRPr="00C068F4">
              <w:t>ure analysis set)</w:t>
            </w:r>
          </w:p>
        </w:tc>
      </w:tr>
      <w:tr w:rsidR="00A463A9" w:rsidRPr="00C068F4" w14:paraId="72E6465E" w14:textId="77777777" w:rsidTr="00DC4004">
        <w:tc>
          <w:tcPr>
            <w:tcW w:w="1297" w:type="dxa"/>
            <w:tcBorders>
              <w:top w:val="single" w:sz="4" w:space="0" w:color="auto"/>
              <w:left w:val="single" w:sz="4" w:space="0" w:color="auto"/>
              <w:bottom w:val="single" w:sz="4" w:space="0" w:color="auto"/>
              <w:right w:val="single" w:sz="4" w:space="0" w:color="auto"/>
            </w:tcBorders>
            <w:shd w:val="clear" w:color="auto" w:fill="auto"/>
          </w:tcPr>
          <w:p w14:paraId="35D585C4" w14:textId="77777777" w:rsidR="00A463A9" w:rsidRPr="00C068F4" w:rsidRDefault="00A463A9">
            <w:pPr>
              <w:pStyle w:val="TableText0"/>
              <w:ind w:left="109"/>
              <w:rPr>
                <w:rFonts w:cs="Arial"/>
              </w:rPr>
            </w:pPr>
            <w:r w:rsidRPr="00C068F4">
              <w:t>n/N (%)</w:t>
            </w:r>
          </w:p>
        </w:tc>
        <w:tc>
          <w:tcPr>
            <w:tcW w:w="2615" w:type="dxa"/>
            <w:gridSpan w:val="3"/>
            <w:vMerge w:val="restart"/>
            <w:tcBorders>
              <w:top w:val="single" w:sz="4" w:space="0" w:color="auto"/>
              <w:left w:val="single" w:sz="4" w:space="0" w:color="auto"/>
              <w:right w:val="single" w:sz="4" w:space="0" w:color="auto"/>
            </w:tcBorders>
            <w:shd w:val="clear" w:color="auto" w:fill="auto"/>
            <w:vAlign w:val="center"/>
          </w:tcPr>
          <w:p w14:paraId="5D6A3F6E" w14:textId="529E1569" w:rsidR="00A463A9" w:rsidRPr="00C068F4" w:rsidRDefault="00A463A9" w:rsidP="00A463A9">
            <w:pPr>
              <w:pStyle w:val="TableText0"/>
              <w:jc w:val="center"/>
            </w:pPr>
            <w:r w:rsidRPr="00C068F4">
              <w:t>Not reported</w:t>
            </w:r>
          </w:p>
        </w:tc>
        <w:tc>
          <w:tcPr>
            <w:tcW w:w="2615" w:type="dxa"/>
            <w:gridSpan w:val="3"/>
            <w:vMerge w:val="restart"/>
            <w:tcBorders>
              <w:top w:val="single" w:sz="4" w:space="0" w:color="auto"/>
              <w:left w:val="single" w:sz="4" w:space="0" w:color="auto"/>
              <w:right w:val="single" w:sz="4" w:space="0" w:color="auto"/>
            </w:tcBorders>
            <w:shd w:val="clear" w:color="auto" w:fill="auto"/>
            <w:vAlign w:val="center"/>
          </w:tcPr>
          <w:p w14:paraId="1B6B0A9C" w14:textId="05681E33" w:rsidR="00A463A9" w:rsidRPr="00C068F4" w:rsidRDefault="00A463A9" w:rsidP="00A463A9">
            <w:pPr>
              <w:pStyle w:val="TableText0"/>
              <w:jc w:val="center"/>
            </w:pPr>
            <w:r w:rsidRPr="00C068F4">
              <w:t>Not reported</w:t>
            </w:r>
          </w:p>
        </w:tc>
        <w:tc>
          <w:tcPr>
            <w:tcW w:w="13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82C6EE" w14:textId="409C7C4F" w:rsidR="00A463A9" w:rsidRPr="00C068F4" w:rsidRDefault="00A463A9">
            <w:pPr>
              <w:pStyle w:val="TableText0"/>
              <w:jc w:val="center"/>
            </w:pPr>
            <w:r w:rsidRPr="00C068F4">
              <w:t>2/3441 (0.1)</w:t>
            </w:r>
          </w:p>
        </w:tc>
        <w:tc>
          <w:tcPr>
            <w:tcW w:w="13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168482" w14:textId="78985E65" w:rsidR="00A463A9" w:rsidRPr="00C068F4" w:rsidRDefault="00A463A9">
            <w:pPr>
              <w:pStyle w:val="TableText0"/>
              <w:jc w:val="center"/>
            </w:pPr>
            <w:r w:rsidRPr="00C068F4">
              <w:t>11/</w:t>
            </w:r>
            <w:r w:rsidR="00916CB2" w:rsidRPr="00C068F4">
              <w:t>1731</w:t>
            </w:r>
            <w:r w:rsidRPr="00C068F4">
              <w:t xml:space="preserve"> (0.6)</w:t>
            </w:r>
          </w:p>
        </w:tc>
      </w:tr>
      <w:tr w:rsidR="00A463A9" w:rsidRPr="00C068F4" w14:paraId="2CFB4D85" w14:textId="77777777" w:rsidTr="00DC4004">
        <w:tc>
          <w:tcPr>
            <w:tcW w:w="1297" w:type="dxa"/>
            <w:tcBorders>
              <w:top w:val="single" w:sz="4" w:space="0" w:color="auto"/>
              <w:left w:val="single" w:sz="4" w:space="0" w:color="auto"/>
              <w:bottom w:val="single" w:sz="4" w:space="0" w:color="auto"/>
              <w:right w:val="single" w:sz="4" w:space="0" w:color="auto"/>
            </w:tcBorders>
            <w:shd w:val="clear" w:color="auto" w:fill="auto"/>
          </w:tcPr>
          <w:p w14:paraId="07266782" w14:textId="77777777" w:rsidR="00A463A9" w:rsidRPr="00C068F4" w:rsidRDefault="00A463A9">
            <w:pPr>
              <w:pStyle w:val="TableText0"/>
              <w:ind w:left="109"/>
              <w:rPr>
                <w:rFonts w:cs="Arial"/>
              </w:rPr>
            </w:pPr>
            <w:r w:rsidRPr="00C068F4">
              <w:rPr>
                <w:rFonts w:cs="Arial"/>
              </w:rPr>
              <w:t>RRR (95% CI)</w:t>
            </w:r>
          </w:p>
        </w:tc>
        <w:tc>
          <w:tcPr>
            <w:tcW w:w="2615" w:type="dxa"/>
            <w:gridSpan w:val="3"/>
            <w:vMerge/>
            <w:tcBorders>
              <w:left w:val="single" w:sz="4" w:space="0" w:color="auto"/>
              <w:bottom w:val="single" w:sz="4" w:space="0" w:color="auto"/>
              <w:right w:val="single" w:sz="4" w:space="0" w:color="auto"/>
            </w:tcBorders>
            <w:shd w:val="clear" w:color="auto" w:fill="auto"/>
          </w:tcPr>
          <w:p w14:paraId="675D944E" w14:textId="4FAA4F3F" w:rsidR="00A463A9" w:rsidRPr="00C068F4" w:rsidRDefault="00A463A9">
            <w:pPr>
              <w:pStyle w:val="TableText0"/>
              <w:jc w:val="center"/>
              <w:rPr>
                <w:b/>
                <w:bCs w:val="0"/>
              </w:rPr>
            </w:pPr>
          </w:p>
        </w:tc>
        <w:tc>
          <w:tcPr>
            <w:tcW w:w="2615" w:type="dxa"/>
            <w:gridSpan w:val="3"/>
            <w:vMerge/>
            <w:tcBorders>
              <w:left w:val="single" w:sz="4" w:space="0" w:color="auto"/>
              <w:bottom w:val="single" w:sz="4" w:space="0" w:color="auto"/>
              <w:right w:val="single" w:sz="4" w:space="0" w:color="auto"/>
            </w:tcBorders>
            <w:shd w:val="clear" w:color="auto" w:fill="auto"/>
          </w:tcPr>
          <w:p w14:paraId="0C0F6961" w14:textId="11178DDF" w:rsidR="00A463A9" w:rsidRPr="00C068F4" w:rsidRDefault="00A463A9">
            <w:pPr>
              <w:pStyle w:val="TableText0"/>
              <w:jc w:val="center"/>
              <w:rPr>
                <w:b/>
                <w:bCs w:val="0"/>
              </w:rPr>
            </w:pPr>
          </w:p>
        </w:tc>
        <w:tc>
          <w:tcPr>
            <w:tcW w:w="2682" w:type="dxa"/>
            <w:gridSpan w:val="4"/>
            <w:tcBorders>
              <w:top w:val="single" w:sz="4" w:space="0" w:color="auto"/>
              <w:left w:val="single" w:sz="4" w:space="0" w:color="auto"/>
              <w:bottom w:val="single" w:sz="4" w:space="0" w:color="auto"/>
              <w:right w:val="single" w:sz="4" w:space="0" w:color="auto"/>
            </w:tcBorders>
            <w:shd w:val="clear" w:color="auto" w:fill="auto"/>
          </w:tcPr>
          <w:p w14:paraId="464A5713" w14:textId="58D37907" w:rsidR="00A463A9" w:rsidRPr="00C068F4" w:rsidRDefault="00A463A9">
            <w:pPr>
              <w:pStyle w:val="TableText0"/>
              <w:jc w:val="center"/>
            </w:pPr>
            <w:r w:rsidRPr="00C068F4">
              <w:rPr>
                <w:b/>
                <w:bCs w:val="0"/>
              </w:rPr>
              <w:t>91.3% (60.7</w:t>
            </w:r>
            <w:r w:rsidRPr="00C068F4">
              <w:rPr>
                <w:rFonts w:ascii="Arial" w:hAnsi="Arial" w:cs="Arial"/>
                <w:b/>
                <w:bCs w:val="0"/>
              </w:rPr>
              <w:t xml:space="preserve"> – </w:t>
            </w:r>
            <w:r w:rsidRPr="00C068F4">
              <w:rPr>
                <w:b/>
                <w:bCs w:val="0"/>
              </w:rPr>
              <w:t>98.1)</w:t>
            </w:r>
          </w:p>
        </w:tc>
      </w:tr>
      <w:tr w:rsidR="00E6409E" w:rsidRPr="00C068F4" w14:paraId="06B2FD32" w14:textId="77777777" w:rsidTr="00DC4004">
        <w:tc>
          <w:tcPr>
            <w:tcW w:w="9209" w:type="dxa"/>
            <w:gridSpan w:val="11"/>
            <w:tcBorders>
              <w:top w:val="single" w:sz="4" w:space="0" w:color="auto"/>
              <w:left w:val="single" w:sz="4" w:space="0" w:color="auto"/>
              <w:bottom w:val="single" w:sz="4" w:space="0" w:color="auto"/>
              <w:right w:val="single" w:sz="4" w:space="0" w:color="auto"/>
            </w:tcBorders>
            <w:vAlign w:val="center"/>
          </w:tcPr>
          <w:p w14:paraId="243E5797" w14:textId="038EC6AD" w:rsidR="00E6409E" w:rsidRPr="00C068F4" w:rsidRDefault="00E6409E">
            <w:pPr>
              <w:pStyle w:val="TableText0"/>
            </w:pPr>
            <w:r w:rsidRPr="00C068F4">
              <w:t>Deaths</w:t>
            </w:r>
            <w:r w:rsidR="005742BB" w:rsidRPr="00C068F4">
              <w:t xml:space="preserve"> (</w:t>
            </w:r>
            <w:r w:rsidR="002C0A43" w:rsidRPr="00C068F4">
              <w:t>full</w:t>
            </w:r>
            <w:r w:rsidR="005742BB" w:rsidRPr="00C068F4">
              <w:t xml:space="preserve"> analysis set)</w:t>
            </w:r>
          </w:p>
        </w:tc>
      </w:tr>
      <w:tr w:rsidR="00CD40CC" w:rsidRPr="00C068F4" w14:paraId="27787B5F" w14:textId="77777777" w:rsidTr="00DC4004">
        <w:tc>
          <w:tcPr>
            <w:tcW w:w="1297" w:type="dxa"/>
            <w:tcBorders>
              <w:top w:val="single" w:sz="4" w:space="0" w:color="auto"/>
              <w:left w:val="single" w:sz="4" w:space="0" w:color="auto"/>
              <w:bottom w:val="single" w:sz="4" w:space="0" w:color="auto"/>
              <w:right w:val="single" w:sz="4" w:space="0" w:color="auto"/>
            </w:tcBorders>
          </w:tcPr>
          <w:p w14:paraId="1BA829A1" w14:textId="77777777" w:rsidR="00CD40CC" w:rsidRPr="00C068F4" w:rsidRDefault="00CD40CC" w:rsidP="00CD40CC">
            <w:pPr>
              <w:pStyle w:val="TableText0"/>
              <w:ind w:left="109"/>
              <w:rPr>
                <w:rFonts w:cs="Arial"/>
              </w:rPr>
            </w:pPr>
            <w:r w:rsidRPr="00C068F4">
              <w:t>n/N (%)</w:t>
            </w:r>
          </w:p>
        </w:tc>
        <w:tc>
          <w:tcPr>
            <w:tcW w:w="1311" w:type="dxa"/>
            <w:gridSpan w:val="2"/>
            <w:tcBorders>
              <w:top w:val="single" w:sz="4" w:space="0" w:color="auto"/>
              <w:left w:val="single" w:sz="4" w:space="0" w:color="auto"/>
              <w:bottom w:val="single" w:sz="4" w:space="0" w:color="auto"/>
              <w:right w:val="single" w:sz="4" w:space="0" w:color="auto"/>
            </w:tcBorders>
            <w:vAlign w:val="center"/>
          </w:tcPr>
          <w:p w14:paraId="1D51BD63" w14:textId="37E12484" w:rsidR="00CD40CC" w:rsidRPr="00C068F4" w:rsidRDefault="00E45D8A" w:rsidP="00CD40CC">
            <w:pPr>
              <w:pStyle w:val="TableText0"/>
              <w:jc w:val="center"/>
            </w:pPr>
            <w:r w:rsidRPr="00C068F4">
              <w:t>4</w:t>
            </w:r>
            <w:r w:rsidR="00CD40CC" w:rsidRPr="00C068F4">
              <w:t>/3461 (0.</w:t>
            </w:r>
            <w:r w:rsidR="00842774" w:rsidRPr="00C068F4">
              <w:t>1</w:t>
            </w:r>
            <w:r w:rsidR="00CD40CC" w:rsidRPr="00C068F4">
              <w:t>)</w:t>
            </w:r>
          </w:p>
        </w:tc>
        <w:tc>
          <w:tcPr>
            <w:tcW w:w="1304" w:type="dxa"/>
            <w:tcBorders>
              <w:top w:val="single" w:sz="4" w:space="0" w:color="auto"/>
              <w:left w:val="single" w:sz="4" w:space="0" w:color="auto"/>
              <w:bottom w:val="single" w:sz="4" w:space="0" w:color="auto"/>
              <w:right w:val="single" w:sz="4" w:space="0" w:color="auto"/>
            </w:tcBorders>
            <w:vAlign w:val="center"/>
          </w:tcPr>
          <w:p w14:paraId="63DB45C5" w14:textId="4219B4D9" w:rsidR="00CD40CC" w:rsidRPr="00C068F4" w:rsidRDefault="00E45D8A" w:rsidP="00CD40CC">
            <w:pPr>
              <w:pStyle w:val="TableText0"/>
              <w:jc w:val="center"/>
            </w:pPr>
            <w:r w:rsidRPr="00C068F4">
              <w:t>4/</w:t>
            </w:r>
            <w:r w:rsidR="00CD40CC" w:rsidRPr="00C068F4">
              <w:t>1736 (0.</w:t>
            </w:r>
            <w:r w:rsidR="00842774" w:rsidRPr="00C068F4">
              <w:t>2</w:t>
            </w:r>
            <w:r w:rsidR="00CD40CC" w:rsidRPr="00C068F4">
              <w:t>)</w:t>
            </w:r>
          </w:p>
        </w:tc>
        <w:tc>
          <w:tcPr>
            <w:tcW w:w="1311" w:type="dxa"/>
            <w:gridSpan w:val="2"/>
            <w:tcBorders>
              <w:top w:val="single" w:sz="4" w:space="0" w:color="auto"/>
              <w:left w:val="single" w:sz="4" w:space="0" w:color="auto"/>
              <w:bottom w:val="single" w:sz="4" w:space="0" w:color="auto"/>
              <w:right w:val="single" w:sz="4" w:space="0" w:color="auto"/>
            </w:tcBorders>
            <w:vAlign w:val="center"/>
          </w:tcPr>
          <w:p w14:paraId="6E10895B" w14:textId="3BE0B4EB" w:rsidR="00CD40CC" w:rsidRPr="00C068F4" w:rsidRDefault="0007099E" w:rsidP="00CD40CC">
            <w:pPr>
              <w:pStyle w:val="TableText0"/>
              <w:jc w:val="center"/>
            </w:pPr>
            <w:r w:rsidRPr="00C068F4">
              <w:t>9</w:t>
            </w:r>
            <w:r w:rsidR="00CD40CC" w:rsidRPr="00C068F4">
              <w:t>/3461 (0.</w:t>
            </w:r>
            <w:r w:rsidRPr="00C068F4">
              <w:t>3</w:t>
            </w:r>
            <w:r w:rsidR="00CD40CC" w:rsidRPr="00C068F4">
              <w:t>)</w:t>
            </w:r>
          </w:p>
        </w:tc>
        <w:tc>
          <w:tcPr>
            <w:tcW w:w="1304" w:type="dxa"/>
            <w:tcBorders>
              <w:top w:val="single" w:sz="4" w:space="0" w:color="auto"/>
              <w:left w:val="single" w:sz="4" w:space="0" w:color="auto"/>
              <w:bottom w:val="single" w:sz="4" w:space="0" w:color="auto"/>
              <w:right w:val="single" w:sz="4" w:space="0" w:color="auto"/>
            </w:tcBorders>
            <w:vAlign w:val="center"/>
          </w:tcPr>
          <w:p w14:paraId="0B724C64" w14:textId="384AE771" w:rsidR="00CD40CC" w:rsidRPr="00C068F4" w:rsidRDefault="0007099E" w:rsidP="00CD40CC">
            <w:pPr>
              <w:pStyle w:val="TableText0"/>
              <w:jc w:val="center"/>
            </w:pPr>
            <w:r w:rsidRPr="00C068F4">
              <w:t>7</w:t>
            </w:r>
            <w:r w:rsidR="00CD40CC" w:rsidRPr="00C068F4">
              <w:t>/1736 (0.</w:t>
            </w:r>
            <w:r w:rsidR="00755443" w:rsidRPr="00C068F4">
              <w:t>4</w:t>
            </w:r>
            <w:r w:rsidR="00CD40CC" w:rsidRPr="00C068F4">
              <w:t>)</w:t>
            </w:r>
          </w:p>
        </w:tc>
        <w:tc>
          <w:tcPr>
            <w:tcW w:w="1311" w:type="dxa"/>
            <w:gridSpan w:val="2"/>
            <w:tcBorders>
              <w:top w:val="single" w:sz="4" w:space="0" w:color="auto"/>
              <w:left w:val="single" w:sz="4" w:space="0" w:color="auto"/>
              <w:bottom w:val="single" w:sz="4" w:space="0" w:color="auto"/>
              <w:right w:val="single" w:sz="4" w:space="0" w:color="auto"/>
            </w:tcBorders>
            <w:vAlign w:val="center"/>
          </w:tcPr>
          <w:p w14:paraId="3AE95432" w14:textId="78D79D9C" w:rsidR="00CD40CC" w:rsidRPr="00C068F4" w:rsidRDefault="00CD40CC" w:rsidP="00CD40CC">
            <w:pPr>
              <w:pStyle w:val="TableText0"/>
              <w:jc w:val="center"/>
            </w:pPr>
            <w:r w:rsidRPr="00C068F4">
              <w:t>21/3461 (0.6)</w:t>
            </w:r>
          </w:p>
        </w:tc>
        <w:tc>
          <w:tcPr>
            <w:tcW w:w="1371" w:type="dxa"/>
            <w:gridSpan w:val="2"/>
            <w:tcBorders>
              <w:top w:val="single" w:sz="4" w:space="0" w:color="auto"/>
              <w:left w:val="single" w:sz="4" w:space="0" w:color="auto"/>
              <w:bottom w:val="single" w:sz="4" w:space="0" w:color="auto"/>
              <w:right w:val="single" w:sz="4" w:space="0" w:color="auto"/>
            </w:tcBorders>
            <w:vAlign w:val="center"/>
          </w:tcPr>
          <w:p w14:paraId="244FE106" w14:textId="7BEB36DD" w:rsidR="00CD40CC" w:rsidRPr="00C068F4" w:rsidRDefault="00CD40CC" w:rsidP="00CD40CC">
            <w:pPr>
              <w:pStyle w:val="TableText0"/>
              <w:jc w:val="center"/>
            </w:pPr>
            <w:r w:rsidRPr="00C068F4">
              <w:t>10/1736 (0.6)</w:t>
            </w:r>
          </w:p>
        </w:tc>
      </w:tr>
      <w:tr w:rsidR="006B4CB3" w:rsidRPr="00C068F4" w14:paraId="1964FADA" w14:textId="77777777" w:rsidTr="00DC4004">
        <w:tc>
          <w:tcPr>
            <w:tcW w:w="1297" w:type="dxa"/>
            <w:tcBorders>
              <w:top w:val="single" w:sz="4" w:space="0" w:color="auto"/>
              <w:left w:val="single" w:sz="4" w:space="0" w:color="auto"/>
              <w:bottom w:val="single" w:sz="4" w:space="0" w:color="auto"/>
              <w:right w:val="single" w:sz="4" w:space="0" w:color="auto"/>
            </w:tcBorders>
          </w:tcPr>
          <w:p w14:paraId="5421BD55" w14:textId="63159E4C" w:rsidR="006B4CB3" w:rsidRPr="00C068F4" w:rsidRDefault="006B4CB3" w:rsidP="00CD40CC">
            <w:pPr>
              <w:pStyle w:val="TableText0"/>
              <w:ind w:left="109"/>
              <w:rPr>
                <w:rFonts w:cs="Arial"/>
              </w:rPr>
            </w:pPr>
            <w:r w:rsidRPr="00C068F4">
              <w:rPr>
                <w:rFonts w:cs="Arial"/>
              </w:rPr>
              <w:t>RR (95% CI)</w:t>
            </w:r>
          </w:p>
        </w:tc>
        <w:tc>
          <w:tcPr>
            <w:tcW w:w="2615" w:type="dxa"/>
            <w:gridSpan w:val="3"/>
            <w:tcBorders>
              <w:top w:val="single" w:sz="4" w:space="0" w:color="auto"/>
              <w:left w:val="single" w:sz="4" w:space="0" w:color="auto"/>
              <w:bottom w:val="single" w:sz="4" w:space="0" w:color="auto"/>
              <w:right w:val="single" w:sz="4" w:space="0" w:color="auto"/>
            </w:tcBorders>
          </w:tcPr>
          <w:p w14:paraId="2D694D35" w14:textId="63AE37EF" w:rsidR="006B4CB3" w:rsidRPr="00C068F4" w:rsidRDefault="006B4CB3" w:rsidP="00CD40CC">
            <w:pPr>
              <w:pStyle w:val="TableText0"/>
              <w:jc w:val="center"/>
            </w:pPr>
            <w:r w:rsidRPr="00C068F4">
              <w:t>0.50 (0.13, 2.00)</w:t>
            </w:r>
          </w:p>
        </w:tc>
        <w:tc>
          <w:tcPr>
            <w:tcW w:w="2615" w:type="dxa"/>
            <w:gridSpan w:val="3"/>
            <w:tcBorders>
              <w:top w:val="single" w:sz="4" w:space="0" w:color="auto"/>
              <w:left w:val="single" w:sz="4" w:space="0" w:color="auto"/>
              <w:bottom w:val="single" w:sz="4" w:space="0" w:color="auto"/>
              <w:right w:val="single" w:sz="4" w:space="0" w:color="auto"/>
            </w:tcBorders>
          </w:tcPr>
          <w:p w14:paraId="3BC3B03D" w14:textId="3CD4FF36" w:rsidR="006B4CB3" w:rsidRPr="00C068F4" w:rsidRDefault="006B4CB3" w:rsidP="00CD40CC">
            <w:pPr>
              <w:pStyle w:val="TableText0"/>
              <w:jc w:val="center"/>
            </w:pPr>
            <w:r w:rsidRPr="00C068F4">
              <w:t>0.64 (0.24, 1.73)</w:t>
            </w:r>
          </w:p>
        </w:tc>
        <w:tc>
          <w:tcPr>
            <w:tcW w:w="2682" w:type="dxa"/>
            <w:gridSpan w:val="4"/>
            <w:tcBorders>
              <w:top w:val="single" w:sz="4" w:space="0" w:color="auto"/>
              <w:left w:val="single" w:sz="4" w:space="0" w:color="auto"/>
              <w:bottom w:val="single" w:sz="4" w:space="0" w:color="auto"/>
              <w:right w:val="single" w:sz="4" w:space="0" w:color="auto"/>
            </w:tcBorders>
          </w:tcPr>
          <w:p w14:paraId="5D4CE0A9" w14:textId="5ECF2716" w:rsidR="006B4CB3" w:rsidRPr="00C068F4" w:rsidRDefault="006B4CB3" w:rsidP="00CD40CC">
            <w:pPr>
              <w:pStyle w:val="TableText0"/>
              <w:jc w:val="center"/>
            </w:pPr>
            <w:r w:rsidRPr="00C068F4">
              <w:t>1.05 (0.50, 2.23)</w:t>
            </w:r>
          </w:p>
        </w:tc>
      </w:tr>
    </w:tbl>
    <w:p w14:paraId="1E56B459" w14:textId="714AE365" w:rsidR="007C0622" w:rsidRPr="00C068F4" w:rsidRDefault="00734BCF" w:rsidP="0019317D">
      <w:pPr>
        <w:pStyle w:val="FooterTableFigure"/>
      </w:pPr>
      <w:r w:rsidRPr="00C068F4">
        <w:t xml:space="preserve">Source: </w:t>
      </w:r>
      <w:r w:rsidR="007400A9" w:rsidRPr="00C068F4">
        <w:t>Tables</w:t>
      </w:r>
      <w:r w:rsidR="00B606D0" w:rsidRPr="00C068F4">
        <w:t xml:space="preserve"> </w:t>
      </w:r>
      <w:r w:rsidR="00CE59A6" w:rsidRPr="00C068F4">
        <w:t xml:space="preserve">2, </w:t>
      </w:r>
      <w:r w:rsidR="00B606D0" w:rsidRPr="00C068F4">
        <w:t>3</w:t>
      </w:r>
      <w:r w:rsidR="00437C1F" w:rsidRPr="00C068F4">
        <w:t xml:space="preserve">, </w:t>
      </w:r>
      <w:r w:rsidR="001649F9" w:rsidRPr="00C068F4">
        <w:t>4</w:t>
      </w:r>
      <w:r w:rsidR="00A806E4" w:rsidRPr="00C068F4">
        <w:t xml:space="preserve">, </w:t>
      </w:r>
      <w:r w:rsidR="0060599E" w:rsidRPr="00C068F4">
        <w:t xml:space="preserve">7, </w:t>
      </w:r>
      <w:r w:rsidR="00A806E4" w:rsidRPr="00C068F4">
        <w:t>8</w:t>
      </w:r>
      <w:r w:rsidR="0067048A" w:rsidRPr="00C068F4">
        <w:t>,</w:t>
      </w:r>
      <w:r w:rsidR="001649F9" w:rsidRPr="00C068F4">
        <w:t xml:space="preserve"> </w:t>
      </w:r>
      <w:r w:rsidR="00226EBD" w:rsidRPr="00C068F4">
        <w:t xml:space="preserve">and Section </w:t>
      </w:r>
      <w:r w:rsidR="00B34C55" w:rsidRPr="00C068F4">
        <w:t>2.2.4</w:t>
      </w:r>
      <w:r w:rsidR="001D0F7E" w:rsidRPr="00C068F4">
        <w:t xml:space="preserve"> </w:t>
      </w:r>
      <w:r w:rsidR="00B606D0" w:rsidRPr="00C068F4">
        <w:t>of the PROVENT high-level data summary</w:t>
      </w:r>
    </w:p>
    <w:p w14:paraId="285A92A2" w14:textId="22C8A60E" w:rsidR="003A2B94" w:rsidRPr="00C068F4" w:rsidRDefault="003A2B94" w:rsidP="0019317D">
      <w:pPr>
        <w:pStyle w:val="FooterTableFigure"/>
      </w:pPr>
      <w:r w:rsidRPr="00C068F4">
        <w:t xml:space="preserve">Abbreviations: CI = confidence interval; </w:t>
      </w:r>
      <w:r w:rsidR="00A463A9" w:rsidRPr="00C068F4">
        <w:t xml:space="preserve">DCO = data cut-off; </w:t>
      </w:r>
      <w:r w:rsidR="009C648C" w:rsidRPr="00C068F4">
        <w:t>R</w:t>
      </w:r>
      <w:r w:rsidR="00E53640" w:rsidRPr="00C068F4">
        <w:t>R</w:t>
      </w:r>
      <w:r w:rsidR="009C648C" w:rsidRPr="00C068F4">
        <w:t xml:space="preserve"> = </w:t>
      </w:r>
      <w:r w:rsidR="00E53640" w:rsidRPr="00C068F4">
        <w:t>risk ratio</w:t>
      </w:r>
      <w:r w:rsidR="009C648C" w:rsidRPr="00C068F4">
        <w:t xml:space="preserve">; </w:t>
      </w:r>
      <w:r w:rsidRPr="00C068F4">
        <w:t>RRR = relative risk reduction</w:t>
      </w:r>
    </w:p>
    <w:p w14:paraId="3AE41BF7" w14:textId="544CFB89" w:rsidR="008C2535" w:rsidRPr="00C068F4" w:rsidRDefault="008C2535" w:rsidP="0019317D">
      <w:pPr>
        <w:pStyle w:val="FooterTableFigure"/>
      </w:pPr>
      <w:r w:rsidRPr="00C068F4">
        <w:t>Bolded text indicates statistically significant difference</w:t>
      </w:r>
    </w:p>
    <w:p w14:paraId="268BE6F0" w14:textId="77777777" w:rsidR="000D28CB" w:rsidRPr="00C068F4" w:rsidRDefault="000D28CB" w:rsidP="0019317D">
      <w:pPr>
        <w:pStyle w:val="FooterTableFigure"/>
      </w:pPr>
    </w:p>
    <w:p w14:paraId="430F4970" w14:textId="77C6F56C" w:rsidR="001B60B3" w:rsidRPr="00C068F4" w:rsidRDefault="001B60B3" w:rsidP="00FD0FFA">
      <w:pPr>
        <w:pStyle w:val="Caption"/>
      </w:pPr>
      <w:bookmarkStart w:id="43" w:name="_Ref110100627"/>
      <w:r w:rsidRPr="00C068F4">
        <w:lastRenderedPageBreak/>
        <w:t xml:space="preserve">Figure </w:t>
      </w:r>
      <w:fldSimple w:instr=" SEQ Figure \* ARABIC " w:fldLock="1">
        <w:r w:rsidR="00DB55F2">
          <w:rPr>
            <w:noProof/>
          </w:rPr>
          <w:t>1</w:t>
        </w:r>
      </w:fldSimple>
      <w:bookmarkEnd w:id="43"/>
      <w:r w:rsidRPr="00C068F4">
        <w:t xml:space="preserve">: </w:t>
      </w:r>
      <w:r w:rsidR="00FD0FFA" w:rsidRPr="00C068F4">
        <w:t xml:space="preserve">Forest Plot for efficacy for symptomatic confirmed COVID-19 by </w:t>
      </w:r>
      <w:r w:rsidR="00A91E53" w:rsidRPr="00C068F4">
        <w:t>s</w:t>
      </w:r>
      <w:r w:rsidR="00FD0FFA" w:rsidRPr="00C068F4">
        <w:t>ubgroup, April 2022 DCO</w:t>
      </w:r>
    </w:p>
    <w:p w14:paraId="45B043C6" w14:textId="77777777" w:rsidR="00B74004" w:rsidRPr="00C068F4" w:rsidRDefault="00610F62" w:rsidP="00E56978">
      <w:r w:rsidRPr="00C068F4">
        <w:rPr>
          <w:noProof/>
        </w:rPr>
        <w:drawing>
          <wp:inline distT="0" distB="0" distL="0" distR="0" wp14:anchorId="4F02A91B" wp14:editId="0F8A6F3F">
            <wp:extent cx="5102860" cy="2596169"/>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a:stretch/>
                  </pic:blipFill>
                  <pic:spPr bwMode="auto">
                    <a:xfrm>
                      <a:off x="0" y="0"/>
                      <a:ext cx="5112152" cy="2600897"/>
                    </a:xfrm>
                    <a:prstGeom prst="rect">
                      <a:avLst/>
                    </a:prstGeom>
                    <a:noFill/>
                    <a:ln>
                      <a:noFill/>
                    </a:ln>
                    <a:extLst>
                      <a:ext uri="{53640926-AAD7-44D8-BBD7-CCE9431645EC}">
                        <a14:shadowObscured xmlns:a14="http://schemas.microsoft.com/office/drawing/2010/main"/>
                      </a:ext>
                    </a:extLst>
                  </pic:spPr>
                </pic:pic>
              </a:graphicData>
            </a:graphic>
          </wp:inline>
        </w:drawing>
      </w:r>
      <w:r w:rsidR="00303251" w:rsidRPr="00C068F4">
        <w:rPr>
          <w:noProof/>
        </w:rPr>
        <w:drawing>
          <wp:inline distT="0" distB="0" distL="0" distR="0" wp14:anchorId="1F7CFFA6" wp14:editId="011DD360">
            <wp:extent cx="5103314" cy="223200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b="4889"/>
                    <a:stretch/>
                  </pic:blipFill>
                  <pic:spPr bwMode="auto">
                    <a:xfrm>
                      <a:off x="0" y="0"/>
                      <a:ext cx="5103314" cy="2232000"/>
                    </a:xfrm>
                    <a:prstGeom prst="rect">
                      <a:avLst/>
                    </a:prstGeom>
                    <a:noFill/>
                    <a:ln>
                      <a:noFill/>
                    </a:ln>
                    <a:extLst>
                      <a:ext uri="{53640926-AAD7-44D8-BBD7-CCE9431645EC}">
                        <a14:shadowObscured xmlns:a14="http://schemas.microsoft.com/office/drawing/2010/main"/>
                      </a:ext>
                    </a:extLst>
                  </pic:spPr>
                </pic:pic>
              </a:graphicData>
            </a:graphic>
          </wp:inline>
        </w:drawing>
      </w:r>
      <w:r w:rsidR="00E828B4" w:rsidRPr="00C068F4">
        <w:t xml:space="preserve"> </w:t>
      </w:r>
      <w:r w:rsidR="00422B0C" w:rsidRPr="00C068F4">
        <w:rPr>
          <w:noProof/>
        </w:rPr>
        <w:drawing>
          <wp:inline distT="0" distB="0" distL="0" distR="0" wp14:anchorId="4C32E06B" wp14:editId="2E91566D">
            <wp:extent cx="5147928" cy="2556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147928" cy="2556000"/>
                    </a:xfrm>
                    <a:prstGeom prst="rect">
                      <a:avLst/>
                    </a:prstGeom>
                  </pic:spPr>
                </pic:pic>
              </a:graphicData>
            </a:graphic>
          </wp:inline>
        </w:drawing>
      </w:r>
    </w:p>
    <w:p w14:paraId="0F3EC74C" w14:textId="0490E510" w:rsidR="001B60B3" w:rsidRPr="00C068F4" w:rsidRDefault="00A91E53" w:rsidP="00B74004">
      <w:pPr>
        <w:pStyle w:val="FooterTableFigure"/>
      </w:pPr>
      <w:r w:rsidRPr="00C068F4">
        <w:t>Source: Figure 2</w:t>
      </w:r>
      <w:r w:rsidR="000449B7" w:rsidRPr="00C068F4">
        <w:t xml:space="preserve"> </w:t>
      </w:r>
      <w:r w:rsidRPr="00C068F4">
        <w:t>of the PROVENT high-level data summary</w:t>
      </w:r>
    </w:p>
    <w:p w14:paraId="69B86623" w14:textId="26C2219A" w:rsidR="00001B0D" w:rsidRPr="00C068F4" w:rsidRDefault="00001B0D" w:rsidP="007456A1">
      <w:pPr>
        <w:pStyle w:val="Caption"/>
        <w:rPr>
          <w:color w:val="000000" w:themeColor="text1"/>
        </w:rPr>
      </w:pPr>
      <w:bookmarkStart w:id="44" w:name="_Ref110093069"/>
      <w:r w:rsidRPr="00C068F4">
        <w:lastRenderedPageBreak/>
        <w:t xml:space="preserve">Figure </w:t>
      </w:r>
      <w:fldSimple w:instr=" SEQ Figure \* ARABIC " w:fldLock="1">
        <w:r w:rsidR="00DB55F2">
          <w:rPr>
            <w:noProof/>
          </w:rPr>
          <w:t>2</w:t>
        </w:r>
      </w:fldSimple>
      <w:bookmarkEnd w:id="44"/>
      <w:r w:rsidRPr="00C068F4">
        <w:t xml:space="preserve">: </w:t>
      </w:r>
      <w:r w:rsidR="004E2DC5" w:rsidRPr="00C068F4">
        <w:t xml:space="preserve">Kaplan-Meier </w:t>
      </w:r>
      <w:r w:rsidR="00ED5328" w:rsidRPr="00C068F4">
        <w:t>t</w:t>
      </w:r>
      <w:r w:rsidR="007456A1" w:rsidRPr="00C068F4">
        <w:t>ime to confirmed s</w:t>
      </w:r>
      <w:r w:rsidR="004E2DC5" w:rsidRPr="00C068F4">
        <w:t xml:space="preserve">ymptomatic COVID-19 in PROVENT </w:t>
      </w:r>
      <w:r w:rsidR="00ED5328" w:rsidRPr="00C068F4">
        <w:t>(</w:t>
      </w:r>
      <w:r w:rsidR="007456A1" w:rsidRPr="00C068F4">
        <w:t>Full Pre-Exposure Analysis Set),</w:t>
      </w:r>
      <w:r w:rsidR="00ED5328" w:rsidRPr="00C068F4">
        <w:t xml:space="preserve"> </w:t>
      </w:r>
      <w:r w:rsidR="007456A1" w:rsidRPr="00C068F4">
        <w:t>April 2022 DCO</w:t>
      </w:r>
    </w:p>
    <w:p w14:paraId="20E660B3" w14:textId="359BEE53" w:rsidR="0019317D" w:rsidRPr="00C068F4" w:rsidRDefault="0070064C" w:rsidP="0070659A">
      <w:pPr>
        <w:pStyle w:val="3-BodyText"/>
        <w:numPr>
          <w:ilvl w:val="0"/>
          <w:numId w:val="0"/>
        </w:numPr>
        <w:spacing w:after="0"/>
        <w:ind w:left="720" w:hanging="720"/>
        <w:rPr>
          <w:color w:val="000000" w:themeColor="text1"/>
        </w:rPr>
      </w:pPr>
      <w:r w:rsidRPr="00C068F4">
        <w:rPr>
          <w:noProof/>
          <w:color w:val="000000" w:themeColor="text1"/>
        </w:rPr>
        <w:drawing>
          <wp:inline distT="0" distB="0" distL="0" distR="0" wp14:anchorId="71DDDEFF" wp14:editId="377378F9">
            <wp:extent cx="5732145" cy="2931795"/>
            <wp:effectExtent l="0" t="0" r="190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2145" cy="2931795"/>
                    </a:xfrm>
                    <a:prstGeom prst="rect">
                      <a:avLst/>
                    </a:prstGeom>
                  </pic:spPr>
                </pic:pic>
              </a:graphicData>
            </a:graphic>
          </wp:inline>
        </w:drawing>
      </w:r>
    </w:p>
    <w:p w14:paraId="060B8775" w14:textId="7E2A4CFE" w:rsidR="00404C7E" w:rsidRPr="00C068F4" w:rsidRDefault="00404C7E" w:rsidP="00447C70">
      <w:pPr>
        <w:pStyle w:val="FooterTableFigure"/>
      </w:pPr>
      <w:r w:rsidRPr="00C068F4">
        <w:t>Source: Figure 6 of the PROVENT high-level data summary</w:t>
      </w:r>
    </w:p>
    <w:p w14:paraId="03585A3E" w14:textId="5AF9E5D4" w:rsidR="00404C7E" w:rsidRPr="00C068F4" w:rsidRDefault="00404C7E" w:rsidP="00404C7E">
      <w:pPr>
        <w:pStyle w:val="FooterTableFigure"/>
      </w:pPr>
    </w:p>
    <w:p w14:paraId="7118F6FA" w14:textId="008FE40C" w:rsidR="004F628D" w:rsidRPr="00C068F4" w:rsidRDefault="00001B0D" w:rsidP="004F628D">
      <w:pPr>
        <w:pStyle w:val="Caption"/>
        <w:rPr>
          <w:color w:val="000000" w:themeColor="text1"/>
        </w:rPr>
      </w:pPr>
      <w:bookmarkStart w:id="45" w:name="_Ref110093686"/>
      <w:r w:rsidRPr="00C068F4">
        <w:t xml:space="preserve">Figure </w:t>
      </w:r>
      <w:fldSimple w:instr=" SEQ Figure \* ARABIC " w:fldLock="1">
        <w:r w:rsidR="00DB55F2">
          <w:rPr>
            <w:noProof/>
          </w:rPr>
          <w:t>3</w:t>
        </w:r>
      </w:fldSimple>
      <w:bookmarkEnd w:id="45"/>
      <w:r w:rsidRPr="00C068F4">
        <w:t xml:space="preserve">: </w:t>
      </w:r>
      <w:r w:rsidR="004F628D" w:rsidRPr="00C068F4">
        <w:t>Kaplan-Meier time to severe or critical COVID-19 illness in PROVENT (Full Pre-Exposure Analysis Set), April 2022 DCO</w:t>
      </w:r>
    </w:p>
    <w:p w14:paraId="00095DA6" w14:textId="7AA8B455" w:rsidR="00001B0D" w:rsidRPr="00C068F4" w:rsidRDefault="00404C7E" w:rsidP="00001B0D">
      <w:pPr>
        <w:pStyle w:val="Caption"/>
        <w:rPr>
          <w:color w:val="000000" w:themeColor="text1"/>
        </w:rPr>
      </w:pPr>
      <w:r w:rsidRPr="00C068F4">
        <w:rPr>
          <w:noProof/>
          <w:color w:val="000000" w:themeColor="text1"/>
        </w:rPr>
        <w:drawing>
          <wp:inline distT="0" distB="0" distL="0" distR="0" wp14:anchorId="351B0C54" wp14:editId="65795B09">
            <wp:extent cx="5732145" cy="2785745"/>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2145" cy="2785745"/>
                    </a:xfrm>
                    <a:prstGeom prst="rect">
                      <a:avLst/>
                    </a:prstGeom>
                  </pic:spPr>
                </pic:pic>
              </a:graphicData>
            </a:graphic>
          </wp:inline>
        </w:drawing>
      </w:r>
    </w:p>
    <w:p w14:paraId="68C39594" w14:textId="4C1B5E2B" w:rsidR="00F35F62" w:rsidRPr="00C068F4" w:rsidRDefault="008319DC" w:rsidP="008319DC">
      <w:pPr>
        <w:pStyle w:val="FooterTableFigure"/>
        <w:rPr>
          <w:color w:val="000000" w:themeColor="text1"/>
        </w:rPr>
      </w:pPr>
      <w:r w:rsidRPr="00C068F4">
        <w:t>Source: Figure 5 of the PROVENT high-level data summary</w:t>
      </w:r>
    </w:p>
    <w:p w14:paraId="7965B6C4" w14:textId="66D4E5A6" w:rsidR="00287C72" w:rsidRDefault="00BE17F7" w:rsidP="00F35F62">
      <w:pPr>
        <w:pStyle w:val="3-BodyText"/>
        <w:rPr>
          <w:iCs/>
          <w:color w:val="000000" w:themeColor="text1"/>
        </w:rPr>
      </w:pPr>
      <w:bookmarkStart w:id="46" w:name="_Ref110854063"/>
      <w:r w:rsidRPr="00C068F4">
        <w:rPr>
          <w:iCs/>
          <w:color w:val="000000" w:themeColor="text1"/>
        </w:rPr>
        <w:t xml:space="preserve">306 patients </w:t>
      </w:r>
      <w:r w:rsidR="0055457E" w:rsidRPr="00C068F4">
        <w:rPr>
          <w:iCs/>
          <w:color w:val="000000" w:themeColor="text1"/>
        </w:rPr>
        <w:t>administered</w:t>
      </w:r>
      <w:r w:rsidRPr="00C068F4">
        <w:rPr>
          <w:iCs/>
          <w:color w:val="000000" w:themeColor="text1"/>
        </w:rPr>
        <w:t xml:space="preserve"> tixagevimab and cilgavimab in the PROVENT trial were recruited to a</w:t>
      </w:r>
      <w:r w:rsidR="00D339D8" w:rsidRPr="00C068F4">
        <w:rPr>
          <w:iCs/>
          <w:color w:val="000000" w:themeColor="text1"/>
        </w:rPr>
        <w:t xml:space="preserve"> substudy of PROVENT </w:t>
      </w:r>
      <w:r w:rsidR="003F214A" w:rsidRPr="00C068F4">
        <w:rPr>
          <w:iCs/>
          <w:color w:val="000000" w:themeColor="text1"/>
        </w:rPr>
        <w:t xml:space="preserve">where they received a second dose of tixagevimab 150 mg and cilgavimab 150 mg at </w:t>
      </w:r>
      <w:r w:rsidR="0035271B" w:rsidRPr="00C068F4">
        <w:rPr>
          <w:iCs/>
          <w:color w:val="000000" w:themeColor="text1"/>
        </w:rPr>
        <w:t xml:space="preserve">12 ± 2 months post-dose in the </w:t>
      </w:r>
      <w:r w:rsidR="004E283A" w:rsidRPr="00C068F4">
        <w:rPr>
          <w:iCs/>
          <w:color w:val="000000" w:themeColor="text1"/>
        </w:rPr>
        <w:t>PROVENT trial</w:t>
      </w:r>
      <w:r w:rsidR="0035271B" w:rsidRPr="00C068F4">
        <w:rPr>
          <w:iCs/>
          <w:color w:val="000000" w:themeColor="text1"/>
        </w:rPr>
        <w:t>.</w:t>
      </w:r>
      <w:r w:rsidR="004E283A" w:rsidRPr="00C068F4">
        <w:rPr>
          <w:iCs/>
          <w:color w:val="000000" w:themeColor="text1"/>
        </w:rPr>
        <w:t xml:space="preserve"> </w:t>
      </w:r>
      <w:r w:rsidR="0083784B" w:rsidRPr="00C068F4">
        <w:rPr>
          <w:iCs/>
          <w:color w:val="000000" w:themeColor="text1"/>
        </w:rPr>
        <w:t xml:space="preserve">Only </w:t>
      </w:r>
      <w:r w:rsidR="00154875" w:rsidRPr="00C068F4">
        <w:rPr>
          <w:iCs/>
          <w:color w:val="000000" w:themeColor="text1"/>
        </w:rPr>
        <w:t xml:space="preserve">analyses of </w:t>
      </w:r>
      <w:r w:rsidR="0083784B" w:rsidRPr="00C068F4">
        <w:rPr>
          <w:iCs/>
          <w:color w:val="000000" w:themeColor="text1"/>
        </w:rPr>
        <w:t xml:space="preserve">safety data from that substudy </w:t>
      </w:r>
      <w:r w:rsidR="00154875" w:rsidRPr="00C068F4">
        <w:rPr>
          <w:iCs/>
          <w:color w:val="000000" w:themeColor="text1"/>
        </w:rPr>
        <w:t>are</w:t>
      </w:r>
      <w:r w:rsidR="0083784B" w:rsidRPr="00C068F4">
        <w:rPr>
          <w:iCs/>
          <w:color w:val="000000" w:themeColor="text1"/>
        </w:rPr>
        <w:t xml:space="preserve"> reported</w:t>
      </w:r>
      <w:r w:rsidR="006D538F" w:rsidRPr="00C068F4">
        <w:rPr>
          <w:iCs/>
          <w:color w:val="000000" w:themeColor="text1"/>
        </w:rPr>
        <w:t xml:space="preserve"> i.e., no </w:t>
      </w:r>
      <w:r w:rsidR="006D538F" w:rsidRPr="00C068F4">
        <w:rPr>
          <w:iCs/>
          <w:color w:val="000000" w:themeColor="text1"/>
        </w:rPr>
        <w:lastRenderedPageBreak/>
        <w:t>analyses of effectiveness after administration of a second dose</w:t>
      </w:r>
      <w:r w:rsidR="00B6496E" w:rsidRPr="00C068F4">
        <w:rPr>
          <w:iCs/>
          <w:color w:val="000000" w:themeColor="text1"/>
        </w:rPr>
        <w:t xml:space="preserve"> of tixagevimab</w:t>
      </w:r>
      <w:r w:rsidR="0025382C" w:rsidRPr="00C068F4">
        <w:rPr>
          <w:iCs/>
          <w:color w:val="000000" w:themeColor="text1"/>
        </w:rPr>
        <w:t xml:space="preserve"> 150 mg</w:t>
      </w:r>
      <w:r w:rsidR="00B6496E" w:rsidRPr="00C068F4">
        <w:rPr>
          <w:iCs/>
          <w:color w:val="000000" w:themeColor="text1"/>
        </w:rPr>
        <w:t xml:space="preserve"> and cilgavimab </w:t>
      </w:r>
      <w:r w:rsidR="0025382C" w:rsidRPr="00C068F4">
        <w:rPr>
          <w:iCs/>
          <w:color w:val="000000" w:themeColor="text1"/>
        </w:rPr>
        <w:t xml:space="preserve">150 mg </w:t>
      </w:r>
      <w:r w:rsidR="00B6496E" w:rsidRPr="00C068F4">
        <w:rPr>
          <w:iCs/>
          <w:color w:val="000000" w:themeColor="text1"/>
        </w:rPr>
        <w:t>are reported</w:t>
      </w:r>
      <w:r w:rsidR="00B56D83" w:rsidRPr="00C068F4">
        <w:rPr>
          <w:iCs/>
          <w:color w:val="000000" w:themeColor="text1"/>
        </w:rPr>
        <w:t>.</w:t>
      </w:r>
      <w:bookmarkEnd w:id="46"/>
    </w:p>
    <w:p w14:paraId="6D2E67A6" w14:textId="3E64404F" w:rsidR="00193D31" w:rsidRPr="00C068F4" w:rsidRDefault="004665AA" w:rsidP="00F35F62">
      <w:pPr>
        <w:pStyle w:val="3-BodyText"/>
        <w:rPr>
          <w:color w:val="000000" w:themeColor="text1"/>
        </w:rPr>
      </w:pPr>
      <w:r w:rsidRPr="00C068F4">
        <w:rPr>
          <w:iCs/>
          <w:color w:val="000000" w:themeColor="text1"/>
        </w:rPr>
        <w:t xml:space="preserve">The cumulative dose </w:t>
      </w:r>
      <w:r w:rsidR="00FB2EF4" w:rsidRPr="00C068F4">
        <w:rPr>
          <w:iCs/>
          <w:color w:val="000000" w:themeColor="text1"/>
        </w:rPr>
        <w:t xml:space="preserve">over 12 months </w:t>
      </w:r>
      <w:r w:rsidRPr="00C068F4">
        <w:rPr>
          <w:iCs/>
          <w:color w:val="000000" w:themeColor="text1"/>
        </w:rPr>
        <w:t>for which PBS-listing of tixagevimab and cilgavimab has been proposed</w:t>
      </w:r>
      <w:r w:rsidR="00FB2EF4" w:rsidRPr="00C068F4">
        <w:rPr>
          <w:iCs/>
          <w:color w:val="000000" w:themeColor="text1"/>
        </w:rPr>
        <w:t xml:space="preserve"> in the revised submission is, effectively, quadruple</w:t>
      </w:r>
      <w:r w:rsidR="007114B2" w:rsidRPr="00C068F4">
        <w:rPr>
          <w:iCs/>
          <w:color w:val="000000" w:themeColor="text1"/>
        </w:rPr>
        <w:t xml:space="preserve"> </w:t>
      </w:r>
      <w:r w:rsidR="00FB2EF4" w:rsidRPr="00C068F4">
        <w:rPr>
          <w:iCs/>
          <w:color w:val="000000" w:themeColor="text1"/>
        </w:rPr>
        <w:t xml:space="preserve">the </w:t>
      </w:r>
      <w:r w:rsidR="00AD4550" w:rsidRPr="00C068F4">
        <w:rPr>
          <w:iCs/>
          <w:color w:val="000000" w:themeColor="text1"/>
        </w:rPr>
        <w:t xml:space="preserve">cumulative </w:t>
      </w:r>
      <w:r w:rsidR="00FB2EF4" w:rsidRPr="00C068F4">
        <w:rPr>
          <w:iCs/>
          <w:color w:val="000000" w:themeColor="text1"/>
        </w:rPr>
        <w:t>dose</w:t>
      </w:r>
      <w:r w:rsidR="00154875" w:rsidRPr="00C068F4">
        <w:rPr>
          <w:iCs/>
          <w:color w:val="000000" w:themeColor="text1"/>
        </w:rPr>
        <w:t xml:space="preserve"> over 12 month</w:t>
      </w:r>
      <w:r w:rsidR="004A5D0F" w:rsidRPr="00C068F4">
        <w:rPr>
          <w:iCs/>
          <w:color w:val="000000" w:themeColor="text1"/>
        </w:rPr>
        <w:t>s as</w:t>
      </w:r>
      <w:r w:rsidR="00154875" w:rsidRPr="00C068F4">
        <w:rPr>
          <w:iCs/>
          <w:color w:val="000000" w:themeColor="text1"/>
        </w:rPr>
        <w:t xml:space="preserve"> examined </w:t>
      </w:r>
      <w:r w:rsidR="004A5D0F" w:rsidRPr="00C068F4">
        <w:rPr>
          <w:iCs/>
          <w:color w:val="000000" w:themeColor="text1"/>
        </w:rPr>
        <w:t>by</w:t>
      </w:r>
      <w:r w:rsidR="00154875" w:rsidRPr="00C068F4">
        <w:rPr>
          <w:iCs/>
          <w:color w:val="000000" w:themeColor="text1"/>
        </w:rPr>
        <w:t xml:space="preserve"> the PROVENT trial</w:t>
      </w:r>
      <w:r w:rsidR="004A5D0F" w:rsidRPr="00C068F4">
        <w:rPr>
          <w:iCs/>
          <w:color w:val="000000" w:themeColor="text1"/>
        </w:rPr>
        <w:t xml:space="preserve"> and its substudy</w:t>
      </w:r>
      <w:r w:rsidR="00357548" w:rsidRPr="00C068F4">
        <w:rPr>
          <w:iCs/>
          <w:color w:val="000000" w:themeColor="text1"/>
        </w:rPr>
        <w:t>.</w:t>
      </w:r>
    </w:p>
    <w:p w14:paraId="68719AAC" w14:textId="6FD6FED1" w:rsidR="00660A13" w:rsidRPr="00C068F4" w:rsidRDefault="004C0A5A">
      <w:pPr>
        <w:pStyle w:val="3-BodyText"/>
        <w:rPr>
          <w:color w:val="000000" w:themeColor="text1"/>
        </w:rPr>
      </w:pPr>
      <w:bookmarkStart w:id="47" w:name="_Ref110854086"/>
      <w:r w:rsidRPr="00C068F4">
        <w:rPr>
          <w:color w:val="000000" w:themeColor="text1"/>
        </w:rPr>
        <w:t xml:space="preserve">The </w:t>
      </w:r>
      <w:r w:rsidR="00C04AD2" w:rsidRPr="00C068F4">
        <w:rPr>
          <w:color w:val="000000" w:themeColor="text1"/>
        </w:rPr>
        <w:t>Sponsor</w:t>
      </w:r>
      <w:r w:rsidRPr="00C068F4">
        <w:rPr>
          <w:color w:val="000000" w:themeColor="text1"/>
        </w:rPr>
        <w:t xml:space="preserve"> </w:t>
      </w:r>
      <w:r w:rsidR="00660A13" w:rsidRPr="00C068F4">
        <w:rPr>
          <w:color w:val="000000" w:themeColor="text1"/>
        </w:rPr>
        <w:t>has advised the Department</w:t>
      </w:r>
      <w:r w:rsidR="006272F5" w:rsidRPr="00C068F4">
        <w:rPr>
          <w:color w:val="000000" w:themeColor="text1"/>
        </w:rPr>
        <w:t xml:space="preserve"> </w:t>
      </w:r>
      <w:r w:rsidR="00660A13" w:rsidRPr="00C068F4">
        <w:rPr>
          <w:color w:val="000000" w:themeColor="text1"/>
        </w:rPr>
        <w:t>that</w:t>
      </w:r>
      <w:r w:rsidR="00BA40AF" w:rsidRPr="00C068F4">
        <w:rPr>
          <w:color w:val="000000" w:themeColor="text1"/>
        </w:rPr>
        <w:t>, as part of its commitment to the FDA to evaluate repeat dosing regimens, a randomised</w:t>
      </w:r>
      <w:r w:rsidR="007B0FDC" w:rsidRPr="00C068F4">
        <w:rPr>
          <w:color w:val="000000" w:themeColor="text1"/>
        </w:rPr>
        <w:t xml:space="preserve">, </w:t>
      </w:r>
      <w:r w:rsidR="00BC0495" w:rsidRPr="00C068F4">
        <w:rPr>
          <w:color w:val="000000" w:themeColor="text1"/>
        </w:rPr>
        <w:t xml:space="preserve">open-label, dose-ranging trial, known as the </w:t>
      </w:r>
      <w:r w:rsidR="00660A13" w:rsidRPr="00C068F4">
        <w:rPr>
          <w:color w:val="000000" w:themeColor="text1"/>
        </w:rPr>
        <w:t>ENDURE study</w:t>
      </w:r>
      <w:r w:rsidR="00AF613A" w:rsidRPr="00C068F4">
        <w:rPr>
          <w:rStyle w:val="FootnoteReference"/>
        </w:rPr>
        <w:footnoteReference w:id="13"/>
      </w:r>
      <w:r w:rsidR="00BC0495" w:rsidRPr="00C068F4">
        <w:rPr>
          <w:color w:val="000000" w:themeColor="text1"/>
        </w:rPr>
        <w:t xml:space="preserve"> is </w:t>
      </w:r>
      <w:r w:rsidR="009C1C21" w:rsidRPr="00C068F4">
        <w:rPr>
          <w:color w:val="000000" w:themeColor="text1"/>
        </w:rPr>
        <w:t>currently recruiting patients</w:t>
      </w:r>
      <w:r w:rsidR="00660A13" w:rsidRPr="00C068F4">
        <w:rPr>
          <w:color w:val="000000" w:themeColor="text1"/>
        </w:rPr>
        <w:t>.</w:t>
      </w:r>
      <w:r w:rsidR="00AF613A" w:rsidRPr="00C068F4">
        <w:rPr>
          <w:color w:val="000000" w:themeColor="text1"/>
        </w:rPr>
        <w:t xml:space="preserve"> </w:t>
      </w:r>
      <w:r w:rsidR="00456286" w:rsidRPr="00C068F4">
        <w:rPr>
          <w:color w:val="000000" w:themeColor="text1"/>
        </w:rPr>
        <w:t>The intent of the trial</w:t>
      </w:r>
      <w:r w:rsidR="00660A13" w:rsidRPr="00C068F4">
        <w:rPr>
          <w:color w:val="000000" w:themeColor="text1"/>
        </w:rPr>
        <w:t xml:space="preserve"> </w:t>
      </w:r>
      <w:r w:rsidR="00D01D26" w:rsidRPr="00C068F4">
        <w:rPr>
          <w:color w:val="000000" w:themeColor="text1"/>
        </w:rPr>
        <w:t xml:space="preserve">is </w:t>
      </w:r>
      <w:r w:rsidR="00660A13" w:rsidRPr="00C068F4">
        <w:rPr>
          <w:color w:val="000000" w:themeColor="text1"/>
        </w:rPr>
        <w:t xml:space="preserve">to assess the safety, immunogenicity, pharmacokinetics, and pharmacodynamics of </w:t>
      </w:r>
      <w:r w:rsidR="00F6169E" w:rsidRPr="00C068F4">
        <w:rPr>
          <w:color w:val="000000" w:themeColor="text1"/>
        </w:rPr>
        <w:t>tixagevimab and cilgavimab</w:t>
      </w:r>
      <w:r w:rsidR="00660A13" w:rsidRPr="00C068F4">
        <w:rPr>
          <w:color w:val="000000" w:themeColor="text1"/>
        </w:rPr>
        <w:t xml:space="preserve"> for pre-exposure prophylaxis of COVID-19. </w:t>
      </w:r>
      <w:r w:rsidR="00A26CC4" w:rsidRPr="00C068F4">
        <w:rPr>
          <w:iCs/>
          <w:color w:val="000000" w:themeColor="text1"/>
        </w:rPr>
        <w:t xml:space="preserve">It does not appear that effectiveness </w:t>
      </w:r>
      <w:r w:rsidR="002F2276" w:rsidRPr="00C068F4">
        <w:rPr>
          <w:iCs/>
          <w:color w:val="000000" w:themeColor="text1"/>
        </w:rPr>
        <w:t xml:space="preserve">is being assessed by this trial. </w:t>
      </w:r>
      <w:r w:rsidR="00660A13" w:rsidRPr="00C068F4">
        <w:rPr>
          <w:color w:val="000000" w:themeColor="text1"/>
        </w:rPr>
        <w:t xml:space="preserve">200 participants </w:t>
      </w:r>
      <w:r w:rsidR="00F6169E" w:rsidRPr="00C068F4">
        <w:rPr>
          <w:color w:val="000000" w:themeColor="text1"/>
        </w:rPr>
        <w:t xml:space="preserve">are planned to be </w:t>
      </w:r>
      <w:r w:rsidR="00660A13" w:rsidRPr="00C068F4">
        <w:rPr>
          <w:color w:val="000000" w:themeColor="text1"/>
        </w:rPr>
        <w:t xml:space="preserve">randomised to </w:t>
      </w:r>
      <w:r w:rsidR="00F6169E" w:rsidRPr="00C068F4">
        <w:rPr>
          <w:color w:val="000000" w:themeColor="text1"/>
        </w:rPr>
        <w:t>two</w:t>
      </w:r>
      <w:r w:rsidR="00660A13" w:rsidRPr="00C068F4">
        <w:rPr>
          <w:color w:val="000000" w:themeColor="text1"/>
        </w:rPr>
        <w:t xml:space="preserve"> groups</w:t>
      </w:r>
      <w:r w:rsidR="00F6169E" w:rsidRPr="00C068F4">
        <w:rPr>
          <w:color w:val="000000" w:themeColor="text1"/>
        </w:rPr>
        <w:t xml:space="preserve"> in the trial</w:t>
      </w:r>
      <w:r w:rsidR="00660A13" w:rsidRPr="00C068F4">
        <w:rPr>
          <w:color w:val="000000" w:themeColor="text1"/>
        </w:rPr>
        <w:t xml:space="preserve">. Group 1 will receive an initial </w:t>
      </w:r>
      <w:r w:rsidR="00081B14" w:rsidRPr="00C068F4">
        <w:rPr>
          <w:color w:val="000000" w:themeColor="text1"/>
        </w:rPr>
        <w:t>administration of tixagevimab 300 mg and cilgavimab</w:t>
      </w:r>
      <w:r w:rsidR="00660A13" w:rsidRPr="00C068F4">
        <w:rPr>
          <w:color w:val="000000" w:themeColor="text1"/>
        </w:rPr>
        <w:t xml:space="preserve"> </w:t>
      </w:r>
      <w:r w:rsidR="00081B14" w:rsidRPr="00C068F4">
        <w:rPr>
          <w:color w:val="000000" w:themeColor="text1"/>
        </w:rPr>
        <w:t xml:space="preserve">300 mg </w:t>
      </w:r>
      <w:r w:rsidR="00660A13" w:rsidRPr="00C068F4">
        <w:rPr>
          <w:color w:val="000000" w:themeColor="text1"/>
        </w:rPr>
        <w:t>followed by 3</w:t>
      </w:r>
      <w:r w:rsidR="00DA2F8B" w:rsidRPr="00C068F4">
        <w:rPr>
          <w:color w:val="000000" w:themeColor="text1"/>
        </w:rPr>
        <w:t>-</w:t>
      </w:r>
      <w:r w:rsidR="00660A13" w:rsidRPr="00C068F4">
        <w:rPr>
          <w:color w:val="000000" w:themeColor="text1"/>
        </w:rPr>
        <w:t>monthly redosing</w:t>
      </w:r>
      <w:r w:rsidR="00DA2F8B" w:rsidRPr="00C068F4">
        <w:rPr>
          <w:color w:val="000000" w:themeColor="text1"/>
        </w:rPr>
        <w:t xml:space="preserve"> with tixagevimab 150 mg and cilgavimab 150 mg</w:t>
      </w:r>
      <w:r w:rsidR="00660A13" w:rsidRPr="00C068F4">
        <w:rPr>
          <w:color w:val="000000" w:themeColor="text1"/>
        </w:rPr>
        <w:t xml:space="preserve">. Group 2 will receive an </w:t>
      </w:r>
      <w:r w:rsidR="00DA2F8B" w:rsidRPr="00C068F4">
        <w:rPr>
          <w:color w:val="000000" w:themeColor="text1"/>
        </w:rPr>
        <w:t xml:space="preserve">initial administration of tixagevimab 600 mg and cilgavimab 600 mg </w:t>
      </w:r>
      <w:r w:rsidR="00660A13" w:rsidRPr="00C068F4">
        <w:rPr>
          <w:color w:val="000000" w:themeColor="text1"/>
        </w:rPr>
        <w:t>followed by 6</w:t>
      </w:r>
      <w:r w:rsidR="006E4DF6" w:rsidRPr="00C068F4">
        <w:rPr>
          <w:color w:val="000000" w:themeColor="text1"/>
        </w:rPr>
        <w:noBreakHyphen/>
      </w:r>
      <w:r w:rsidR="00660A13" w:rsidRPr="00C068F4">
        <w:rPr>
          <w:color w:val="000000" w:themeColor="text1"/>
        </w:rPr>
        <w:t>monthly redosing</w:t>
      </w:r>
      <w:r w:rsidR="006E4DF6" w:rsidRPr="00C068F4">
        <w:rPr>
          <w:color w:val="000000" w:themeColor="text1"/>
        </w:rPr>
        <w:t xml:space="preserve"> with tixagevimab 300 mg and cilgavimab 300 mg</w:t>
      </w:r>
      <w:r w:rsidR="00660A13" w:rsidRPr="00C068F4">
        <w:rPr>
          <w:color w:val="000000" w:themeColor="text1"/>
        </w:rPr>
        <w:t>.</w:t>
      </w:r>
      <w:bookmarkEnd w:id="47"/>
    </w:p>
    <w:p w14:paraId="539D8DAA" w14:textId="5A154F16" w:rsidR="00DE4430" w:rsidRPr="00C068F4" w:rsidRDefault="00DE4430" w:rsidP="00DE4430">
      <w:pPr>
        <w:pStyle w:val="5-SubsectionSubheading"/>
      </w:pPr>
      <w:bookmarkStart w:id="48" w:name="_Toc111710313"/>
      <w:r w:rsidRPr="00C068F4">
        <w:t xml:space="preserve">Observational evidence to support effectiveness of tixagevimab 300 mg and cilgavimab 300 mg </w:t>
      </w:r>
      <w:r w:rsidR="00231B9B" w:rsidRPr="00C068F4">
        <w:t xml:space="preserve">as PrEP against </w:t>
      </w:r>
      <w:r w:rsidR="00231B9B" w:rsidRPr="00C068F4">
        <w:rPr>
          <w:rStyle w:val="normaltextrun"/>
        </w:rPr>
        <w:t>COVID</w:t>
      </w:r>
      <w:r w:rsidR="00231B9B" w:rsidRPr="00C068F4">
        <w:rPr>
          <w:rStyle w:val="normaltextrun"/>
        </w:rPr>
        <w:noBreakHyphen/>
        <w:t xml:space="preserve">19 </w:t>
      </w:r>
      <w:r w:rsidR="002A2895" w:rsidRPr="00C068F4">
        <w:rPr>
          <w:rStyle w:val="normaltextrun"/>
        </w:rPr>
        <w:t>in immunocompromised patients</w:t>
      </w:r>
      <w:bookmarkEnd w:id="48"/>
    </w:p>
    <w:p w14:paraId="49238CF8" w14:textId="1C31202D" w:rsidR="003A20E2" w:rsidRPr="00C068F4" w:rsidRDefault="00193D31" w:rsidP="00F35F62">
      <w:pPr>
        <w:pStyle w:val="3-BodyText"/>
        <w:rPr>
          <w:color w:val="000000" w:themeColor="text1"/>
        </w:rPr>
      </w:pPr>
      <w:bookmarkStart w:id="49" w:name="_Ref110853531"/>
      <w:r w:rsidRPr="00C068F4">
        <w:rPr>
          <w:color w:val="000000" w:themeColor="text1"/>
        </w:rPr>
        <w:t>The revised submission</w:t>
      </w:r>
      <w:r w:rsidR="00466354" w:rsidRPr="00C068F4">
        <w:rPr>
          <w:color w:val="000000" w:themeColor="text1"/>
        </w:rPr>
        <w:t xml:space="preserve"> </w:t>
      </w:r>
      <w:r w:rsidR="00851E90" w:rsidRPr="00C068F4">
        <w:rPr>
          <w:color w:val="000000" w:themeColor="text1"/>
        </w:rPr>
        <w:t xml:space="preserve">claims that two </w:t>
      </w:r>
      <w:r w:rsidR="00AF7EE2" w:rsidRPr="00C068F4">
        <w:rPr>
          <w:color w:val="000000" w:themeColor="text1"/>
        </w:rPr>
        <w:t xml:space="preserve">observational studies </w:t>
      </w:r>
      <w:r w:rsidR="00E960DA" w:rsidRPr="00C068F4">
        <w:rPr>
          <w:color w:val="000000" w:themeColor="text1"/>
        </w:rPr>
        <w:t>(</w:t>
      </w:r>
      <w:r w:rsidR="00E960DA" w:rsidRPr="00C068F4">
        <w:t>Young-Xu 2022</w:t>
      </w:r>
      <w:bookmarkStart w:id="50" w:name="_Ref110113170"/>
      <w:r w:rsidR="00E960DA" w:rsidRPr="00C068F4">
        <w:rPr>
          <w:rStyle w:val="FootnoteReference"/>
        </w:rPr>
        <w:footnoteReference w:id="14"/>
      </w:r>
      <w:bookmarkEnd w:id="50"/>
      <w:r w:rsidR="00E960DA" w:rsidRPr="00C068F4">
        <w:t xml:space="preserve"> an</w:t>
      </w:r>
      <w:r w:rsidR="000B23E7" w:rsidRPr="00C068F4">
        <w:t xml:space="preserve">d </w:t>
      </w:r>
      <w:r w:rsidR="00F57B89" w:rsidRPr="00C068F4">
        <w:t>Al Jurdi 2022</w:t>
      </w:r>
      <w:bookmarkStart w:id="51" w:name="_Ref110115284"/>
      <w:r w:rsidR="000413B0" w:rsidRPr="00C068F4">
        <w:rPr>
          <w:rStyle w:val="FootnoteReference"/>
        </w:rPr>
        <w:footnoteReference w:id="15"/>
      </w:r>
      <w:bookmarkEnd w:id="51"/>
      <w:r w:rsidR="00F57B89" w:rsidRPr="00C068F4">
        <w:t xml:space="preserve">) </w:t>
      </w:r>
      <w:r w:rsidR="00AF7EE2" w:rsidRPr="00C068F4">
        <w:rPr>
          <w:color w:val="000000" w:themeColor="text1"/>
        </w:rPr>
        <w:t xml:space="preserve">conducted in the USA support </w:t>
      </w:r>
      <w:r w:rsidR="00FE3F1F" w:rsidRPr="00C068F4">
        <w:rPr>
          <w:color w:val="000000" w:themeColor="text1"/>
        </w:rPr>
        <w:t xml:space="preserve">the efficacy </w:t>
      </w:r>
      <w:r w:rsidR="00437493" w:rsidRPr="00C068F4">
        <w:rPr>
          <w:color w:val="000000" w:themeColor="text1"/>
        </w:rPr>
        <w:t xml:space="preserve">and safety </w:t>
      </w:r>
      <w:r w:rsidR="00FE3F1F" w:rsidRPr="00C068F4">
        <w:rPr>
          <w:color w:val="000000" w:themeColor="text1"/>
        </w:rPr>
        <w:t>of dosing with tixagevimab 300 mg and cilgavimab</w:t>
      </w:r>
      <w:r w:rsidRPr="00C068F4">
        <w:rPr>
          <w:color w:val="000000" w:themeColor="text1"/>
        </w:rPr>
        <w:t xml:space="preserve"> </w:t>
      </w:r>
      <w:r w:rsidR="003A20E2" w:rsidRPr="00C068F4">
        <w:rPr>
          <w:color w:val="000000" w:themeColor="text1"/>
        </w:rPr>
        <w:t>300</w:t>
      </w:r>
      <w:r w:rsidR="00A54E19" w:rsidRPr="00C068F4">
        <w:rPr>
          <w:color w:val="000000" w:themeColor="text1"/>
        </w:rPr>
        <w:t> </w:t>
      </w:r>
      <w:r w:rsidR="003A20E2" w:rsidRPr="00C068F4">
        <w:rPr>
          <w:color w:val="000000" w:themeColor="text1"/>
        </w:rPr>
        <w:t>mg</w:t>
      </w:r>
      <w:r w:rsidR="00437493" w:rsidRPr="00C068F4">
        <w:rPr>
          <w:color w:val="000000" w:themeColor="text1"/>
        </w:rPr>
        <w:t xml:space="preserve"> in immunocompromised patients</w:t>
      </w:r>
      <w:r w:rsidR="003A20E2" w:rsidRPr="00C068F4">
        <w:rPr>
          <w:color w:val="000000" w:themeColor="text1"/>
        </w:rPr>
        <w:t>.</w:t>
      </w:r>
      <w:r w:rsidR="009F75A7" w:rsidRPr="00C068F4">
        <w:rPr>
          <w:color w:val="000000" w:themeColor="text1"/>
        </w:rPr>
        <w:t xml:space="preserve"> </w:t>
      </w:r>
      <w:r w:rsidR="009F75A7" w:rsidRPr="00C068F4">
        <w:rPr>
          <w:iCs/>
          <w:color w:val="000000" w:themeColor="text1"/>
        </w:rPr>
        <w:t xml:space="preserve">In addition to the observational studies </w:t>
      </w:r>
      <w:r w:rsidR="00E07660" w:rsidRPr="00C068F4">
        <w:rPr>
          <w:iCs/>
          <w:color w:val="000000" w:themeColor="text1"/>
        </w:rPr>
        <w:t xml:space="preserve">referenced by the revised submission, two additional observational studies </w:t>
      </w:r>
      <w:r w:rsidR="005258CA" w:rsidRPr="00C068F4">
        <w:rPr>
          <w:iCs/>
          <w:color w:val="000000" w:themeColor="text1"/>
        </w:rPr>
        <w:t>have been reported</w:t>
      </w:r>
      <w:r w:rsidR="00C95DAD" w:rsidRPr="00C068F4">
        <w:rPr>
          <w:iCs/>
          <w:color w:val="000000" w:themeColor="text1"/>
        </w:rPr>
        <w:t xml:space="preserve"> in the literature that </w:t>
      </w:r>
      <w:r w:rsidR="004353A0" w:rsidRPr="00C068F4">
        <w:rPr>
          <w:iCs/>
          <w:color w:val="000000" w:themeColor="text1"/>
        </w:rPr>
        <w:t>report outcomes of use of tixagevimab and cilgavimab in immunocompromised patients</w:t>
      </w:r>
      <w:r w:rsidR="005258CA" w:rsidRPr="00C068F4">
        <w:rPr>
          <w:iCs/>
          <w:color w:val="000000" w:themeColor="text1"/>
        </w:rPr>
        <w:t xml:space="preserve"> (</w:t>
      </w:r>
      <w:r w:rsidR="00190F21" w:rsidRPr="00C068F4">
        <w:rPr>
          <w:iCs/>
          <w:color w:val="000000" w:themeColor="text1"/>
        </w:rPr>
        <w:t>Kertes 2022</w:t>
      </w:r>
      <w:bookmarkStart w:id="52" w:name="_Ref110774639"/>
      <w:r w:rsidR="00E82C12" w:rsidRPr="00C068F4">
        <w:rPr>
          <w:rStyle w:val="FootnoteReference"/>
        </w:rPr>
        <w:footnoteReference w:id="16"/>
      </w:r>
      <w:bookmarkEnd w:id="52"/>
      <w:r w:rsidR="00FC3C78" w:rsidRPr="00C068F4">
        <w:rPr>
          <w:iCs/>
          <w:color w:val="000000" w:themeColor="text1"/>
        </w:rPr>
        <w:t xml:space="preserve"> and Nguyen 2022</w:t>
      </w:r>
      <w:bookmarkStart w:id="53" w:name="_Ref110779098"/>
      <w:r w:rsidR="00FC3C78" w:rsidRPr="00C068F4">
        <w:rPr>
          <w:rStyle w:val="FootnoteReference"/>
        </w:rPr>
        <w:footnoteReference w:id="17"/>
      </w:r>
      <w:bookmarkEnd w:id="53"/>
      <w:r w:rsidR="00C95DAD" w:rsidRPr="00C068F4">
        <w:rPr>
          <w:iCs/>
          <w:color w:val="000000" w:themeColor="text1"/>
        </w:rPr>
        <w:t>)</w:t>
      </w:r>
      <w:r w:rsidR="004353A0" w:rsidRPr="00C068F4">
        <w:rPr>
          <w:iCs/>
          <w:color w:val="000000" w:themeColor="text1"/>
        </w:rPr>
        <w:t>.</w:t>
      </w:r>
      <w:bookmarkEnd w:id="49"/>
    </w:p>
    <w:p w14:paraId="7C5E1911" w14:textId="301773FB" w:rsidR="006916E7" w:rsidRPr="00C068F4" w:rsidRDefault="004A4653" w:rsidP="009B42EF">
      <w:pPr>
        <w:pStyle w:val="3-BodyText"/>
        <w:rPr>
          <w:color w:val="000000" w:themeColor="text1"/>
        </w:rPr>
      </w:pPr>
      <w:bookmarkStart w:id="54" w:name="_Ref110854387"/>
      <w:r w:rsidRPr="00C068F4">
        <w:lastRenderedPageBreak/>
        <w:t>A</w:t>
      </w:r>
      <w:r w:rsidR="00357954" w:rsidRPr="00C068F4">
        <w:t xml:space="preserve"> pre-print </w:t>
      </w:r>
      <w:r w:rsidR="00316ACF" w:rsidRPr="00C068F4">
        <w:t xml:space="preserve">(not peer reviewed) report </w:t>
      </w:r>
      <w:r w:rsidR="003A20E2" w:rsidRPr="00C068F4">
        <w:t>by</w:t>
      </w:r>
      <w:r w:rsidR="000857AA" w:rsidRPr="00C068F4">
        <w:t xml:space="preserve"> </w:t>
      </w:r>
      <w:r w:rsidR="00046AC6" w:rsidRPr="00C068F4">
        <w:t>Young-Xu 2022</w:t>
      </w:r>
      <w:r w:rsidR="00046AC6" w:rsidRPr="00C068F4">
        <w:fldChar w:fldCharType="begin" w:fldLock="1"/>
      </w:r>
      <w:r w:rsidR="00046AC6" w:rsidRPr="00C068F4">
        <w:instrText xml:space="preserve"> NOTEREF _Ref110113170 \f \h </w:instrText>
      </w:r>
      <w:r w:rsidR="00046AC6" w:rsidRPr="00C068F4">
        <w:fldChar w:fldCharType="separate"/>
      </w:r>
      <w:r w:rsidR="00AB751C" w:rsidRPr="00AB751C">
        <w:rPr>
          <w:rStyle w:val="FootnoteReference"/>
        </w:rPr>
        <w:t>13</w:t>
      </w:r>
      <w:r w:rsidR="00046AC6" w:rsidRPr="00C068F4">
        <w:fldChar w:fldCharType="end"/>
      </w:r>
      <w:r w:rsidR="00046AC6" w:rsidRPr="00C068F4">
        <w:t xml:space="preserve"> </w:t>
      </w:r>
      <w:r w:rsidRPr="00C068F4">
        <w:t xml:space="preserve">describes the results of a </w:t>
      </w:r>
      <w:r w:rsidR="008256F1" w:rsidRPr="00C068F4">
        <w:t>r</w:t>
      </w:r>
      <w:r w:rsidRPr="00C068F4">
        <w:t>etrospective cohort study</w:t>
      </w:r>
      <w:r w:rsidR="008256F1" w:rsidRPr="00C068F4">
        <w:t xml:space="preserve"> estimat</w:t>
      </w:r>
      <w:r w:rsidR="003E2BC8" w:rsidRPr="00C068F4">
        <w:t>ing</w:t>
      </w:r>
      <w:r w:rsidR="008256F1" w:rsidRPr="00C068F4">
        <w:t xml:space="preserve"> </w:t>
      </w:r>
      <w:r w:rsidR="0082394D" w:rsidRPr="00C068F4">
        <w:t xml:space="preserve">the </w:t>
      </w:r>
      <w:r w:rsidR="008256F1" w:rsidRPr="00C068F4">
        <w:t>effectiveness of tixagevimab</w:t>
      </w:r>
      <w:r w:rsidR="0082394D" w:rsidRPr="00C068F4">
        <w:t xml:space="preserve"> and </w:t>
      </w:r>
      <w:r w:rsidR="008256F1" w:rsidRPr="00C068F4">
        <w:t xml:space="preserve">cilgavimab for </w:t>
      </w:r>
      <w:r w:rsidR="0082394D" w:rsidRPr="00C068F4">
        <w:t xml:space="preserve">the </w:t>
      </w:r>
      <w:r w:rsidR="008256F1" w:rsidRPr="00C068F4">
        <w:t>prevention of SARS-CoV-2</w:t>
      </w:r>
      <w:r w:rsidR="0082394D" w:rsidRPr="00C068F4">
        <w:t xml:space="preserve"> </w:t>
      </w:r>
      <w:r w:rsidR="008256F1" w:rsidRPr="00C068F4">
        <w:t xml:space="preserve">infection and severe disease among immunocompromised </w:t>
      </w:r>
      <w:r w:rsidR="00372BED" w:rsidRPr="00C068F4">
        <w:t xml:space="preserve">adult </w:t>
      </w:r>
      <w:r w:rsidR="0082394D" w:rsidRPr="00C068F4">
        <w:t>veterans</w:t>
      </w:r>
      <w:r w:rsidR="00372BED" w:rsidRPr="00C068F4">
        <w:t xml:space="preserve"> receiving care under the U.S. Department of Veterans Affairs (VA) healthcare system</w:t>
      </w:r>
      <w:r w:rsidR="008256F1" w:rsidRPr="00C068F4">
        <w:t>.</w:t>
      </w:r>
      <w:r w:rsidR="00437493" w:rsidRPr="00C068F4">
        <w:t xml:space="preserve"> </w:t>
      </w:r>
      <w:r w:rsidR="006916E7" w:rsidRPr="00C068F4">
        <w:t xml:space="preserve">Outcomes in </w:t>
      </w:r>
      <w:r w:rsidR="006916E7" w:rsidRPr="00C068F4">
        <w:rPr>
          <w:color w:val="000000" w:themeColor="text1"/>
        </w:rPr>
        <w:t>a</w:t>
      </w:r>
      <w:r w:rsidR="001C120E" w:rsidRPr="00C068F4">
        <w:rPr>
          <w:color w:val="000000" w:themeColor="text1"/>
        </w:rPr>
        <w:t xml:space="preserve"> </w:t>
      </w:r>
      <w:r w:rsidR="006916E7" w:rsidRPr="00C068F4">
        <w:rPr>
          <w:color w:val="000000" w:themeColor="text1"/>
        </w:rPr>
        <w:t xml:space="preserve">cohort of 1,848 patients </w:t>
      </w:r>
      <w:r w:rsidR="00667D3B" w:rsidRPr="00C068F4">
        <w:rPr>
          <w:color w:val="000000" w:themeColor="text1"/>
        </w:rPr>
        <w:t>who were administered</w:t>
      </w:r>
      <w:r w:rsidR="006916E7" w:rsidRPr="00C068F4">
        <w:rPr>
          <w:color w:val="000000" w:themeColor="text1"/>
        </w:rPr>
        <w:t xml:space="preserve"> at least one dose of intramuscular tixagevimab</w:t>
      </w:r>
      <w:r w:rsidR="001C120E" w:rsidRPr="00C068F4">
        <w:rPr>
          <w:color w:val="000000" w:themeColor="text1"/>
        </w:rPr>
        <w:t xml:space="preserve"> and </w:t>
      </w:r>
      <w:r w:rsidR="006916E7" w:rsidRPr="00C068F4">
        <w:rPr>
          <w:color w:val="000000" w:themeColor="text1"/>
        </w:rPr>
        <w:t xml:space="preserve">cilgavimab </w:t>
      </w:r>
      <w:r w:rsidR="00B87FA0" w:rsidRPr="00C068F4">
        <w:rPr>
          <w:color w:val="000000" w:themeColor="text1"/>
        </w:rPr>
        <w:t xml:space="preserve">between 1 January 2022 and </w:t>
      </w:r>
      <w:r w:rsidR="00843AD6" w:rsidRPr="00C068F4">
        <w:rPr>
          <w:color w:val="000000" w:themeColor="text1"/>
        </w:rPr>
        <w:t xml:space="preserve">30 April 2022 were compared to </w:t>
      </w:r>
      <w:r w:rsidR="007963AB" w:rsidRPr="00C068F4">
        <w:rPr>
          <w:color w:val="000000" w:themeColor="text1"/>
        </w:rPr>
        <w:t xml:space="preserve">outcomes in </w:t>
      </w:r>
      <w:r w:rsidR="006916E7" w:rsidRPr="00C068F4">
        <w:rPr>
          <w:color w:val="000000" w:themeColor="text1"/>
        </w:rPr>
        <w:t>matched controls who were immunocompromised or otherwise at</w:t>
      </w:r>
      <w:r w:rsidR="001C120E" w:rsidRPr="00C068F4">
        <w:rPr>
          <w:color w:val="000000" w:themeColor="text1"/>
        </w:rPr>
        <w:t xml:space="preserve"> </w:t>
      </w:r>
      <w:r w:rsidR="006916E7" w:rsidRPr="00C068F4">
        <w:rPr>
          <w:color w:val="000000" w:themeColor="text1"/>
        </w:rPr>
        <w:t xml:space="preserve">high risk for COVID-19. </w:t>
      </w:r>
      <w:r w:rsidR="00A62828" w:rsidRPr="00C068F4">
        <w:rPr>
          <w:color w:val="000000" w:themeColor="text1"/>
        </w:rPr>
        <w:t xml:space="preserve">Most (69%) subjects were ≥65 years old, 92% were identified as immunocompromised in electronic data, and 73% had </w:t>
      </w:r>
      <w:r w:rsidR="00626C41" w:rsidRPr="00C068F4">
        <w:rPr>
          <w:color w:val="000000" w:themeColor="text1"/>
        </w:rPr>
        <w:t xml:space="preserve">received </w:t>
      </w:r>
      <w:r w:rsidR="00A62828" w:rsidRPr="00C068F4">
        <w:rPr>
          <w:color w:val="000000" w:themeColor="text1"/>
        </w:rPr>
        <w:t>≥3 mRNA vaccine doses or two doses of</w:t>
      </w:r>
      <w:r w:rsidR="00626C41" w:rsidRPr="00C068F4">
        <w:rPr>
          <w:color w:val="000000" w:themeColor="text1"/>
        </w:rPr>
        <w:t xml:space="preserve"> </w:t>
      </w:r>
      <w:r w:rsidR="00A62828" w:rsidRPr="00C068F4">
        <w:rPr>
          <w:color w:val="000000" w:themeColor="text1"/>
        </w:rPr>
        <w:t>Ad26.COV2</w:t>
      </w:r>
      <w:r w:rsidR="007F0BE1" w:rsidRPr="00C068F4">
        <w:rPr>
          <w:color w:val="000000" w:themeColor="text1"/>
        </w:rPr>
        <w:t xml:space="preserve"> </w:t>
      </w:r>
      <w:r w:rsidR="00437327" w:rsidRPr="00C068F4">
        <w:rPr>
          <w:color w:val="000000" w:themeColor="text1"/>
        </w:rPr>
        <w:t xml:space="preserve">vaccine </w:t>
      </w:r>
      <w:r w:rsidR="007F0BE1" w:rsidRPr="00C068F4">
        <w:rPr>
          <w:color w:val="000000" w:themeColor="text1"/>
        </w:rPr>
        <w:t>(by Janssen)</w:t>
      </w:r>
      <w:r w:rsidR="00A62828" w:rsidRPr="00C068F4">
        <w:rPr>
          <w:color w:val="000000" w:themeColor="text1"/>
        </w:rPr>
        <w:t xml:space="preserve">. </w:t>
      </w:r>
      <w:r w:rsidR="0082188C" w:rsidRPr="00C068F4">
        <w:rPr>
          <w:color w:val="000000" w:themeColor="text1"/>
        </w:rPr>
        <w:t>Tixagevimab 150 mg and cilgavimab 150 mg was initially administered to patients</w:t>
      </w:r>
      <w:r w:rsidR="00DB3906" w:rsidRPr="00C068F4">
        <w:rPr>
          <w:color w:val="000000" w:themeColor="text1"/>
        </w:rPr>
        <w:t>.</w:t>
      </w:r>
      <w:r w:rsidR="0082188C" w:rsidRPr="00C068F4">
        <w:rPr>
          <w:color w:val="000000" w:themeColor="text1"/>
        </w:rPr>
        <w:t xml:space="preserve"> On February 24, 2022, in response to concerns regarding effectiveness of the</w:t>
      </w:r>
      <w:r w:rsidR="00DB3906" w:rsidRPr="00C068F4">
        <w:rPr>
          <w:color w:val="000000" w:themeColor="text1"/>
        </w:rPr>
        <w:t xml:space="preserve"> </w:t>
      </w:r>
      <w:r w:rsidR="0082188C" w:rsidRPr="00C068F4">
        <w:rPr>
          <w:color w:val="000000" w:themeColor="text1"/>
        </w:rPr>
        <w:t>tixagevimab</w:t>
      </w:r>
      <w:r w:rsidR="00DB3906" w:rsidRPr="00C068F4">
        <w:rPr>
          <w:color w:val="000000" w:themeColor="text1"/>
        </w:rPr>
        <w:t xml:space="preserve"> 150 mg and </w:t>
      </w:r>
      <w:r w:rsidR="0082188C" w:rsidRPr="00C068F4">
        <w:rPr>
          <w:color w:val="000000" w:themeColor="text1"/>
        </w:rPr>
        <w:t xml:space="preserve">cilgavimab </w:t>
      </w:r>
      <w:r w:rsidR="00DB3906" w:rsidRPr="00C068F4">
        <w:rPr>
          <w:color w:val="000000" w:themeColor="text1"/>
        </w:rPr>
        <w:t xml:space="preserve">150 mg </w:t>
      </w:r>
      <w:r w:rsidR="0082188C" w:rsidRPr="00C068F4">
        <w:rPr>
          <w:color w:val="000000" w:themeColor="text1"/>
        </w:rPr>
        <w:t>against the Omicron variant, the FDA increase</w:t>
      </w:r>
      <w:r w:rsidR="00DB3906" w:rsidRPr="00C068F4">
        <w:rPr>
          <w:color w:val="000000" w:themeColor="text1"/>
        </w:rPr>
        <w:t>d</w:t>
      </w:r>
      <w:r w:rsidR="0082188C" w:rsidRPr="00C068F4">
        <w:rPr>
          <w:color w:val="000000" w:themeColor="text1"/>
        </w:rPr>
        <w:t xml:space="preserve"> the </w:t>
      </w:r>
      <w:r w:rsidR="00DB3906" w:rsidRPr="00C068F4">
        <w:rPr>
          <w:color w:val="000000" w:themeColor="text1"/>
        </w:rPr>
        <w:t xml:space="preserve">recommended dose to tixagevimab 300 mg and cilgavimab 300 mg. Patients who </w:t>
      </w:r>
      <w:r w:rsidR="0082188C" w:rsidRPr="00C068F4">
        <w:rPr>
          <w:color w:val="000000" w:themeColor="text1"/>
        </w:rPr>
        <w:t>received the previously authori</w:t>
      </w:r>
      <w:r w:rsidR="0068638C" w:rsidRPr="00C068F4">
        <w:rPr>
          <w:color w:val="000000" w:themeColor="text1"/>
        </w:rPr>
        <w:t>s</w:t>
      </w:r>
      <w:r w:rsidR="0082188C" w:rsidRPr="00C068F4">
        <w:rPr>
          <w:color w:val="000000" w:themeColor="text1"/>
        </w:rPr>
        <w:t>ed</w:t>
      </w:r>
      <w:r w:rsidR="0068638C" w:rsidRPr="00C068F4">
        <w:rPr>
          <w:color w:val="000000" w:themeColor="text1"/>
        </w:rPr>
        <w:t xml:space="preserve"> </w:t>
      </w:r>
      <w:r w:rsidR="0082188C" w:rsidRPr="00C068F4">
        <w:rPr>
          <w:color w:val="000000" w:themeColor="text1"/>
        </w:rPr>
        <w:t>(lower) dose were advised to receive an additional dose.</w:t>
      </w:r>
      <w:r w:rsidR="0068638C" w:rsidRPr="00C068F4">
        <w:rPr>
          <w:color w:val="000000" w:themeColor="text1"/>
        </w:rPr>
        <w:t xml:space="preserve"> </w:t>
      </w:r>
      <w:r w:rsidR="00A53D2C" w:rsidRPr="00C068F4">
        <w:rPr>
          <w:color w:val="000000" w:themeColor="text1"/>
        </w:rPr>
        <w:t xml:space="preserve">As shown in </w:t>
      </w:r>
      <w:r w:rsidR="00C96C63" w:rsidRPr="00C068F4">
        <w:rPr>
          <w:color w:val="000000" w:themeColor="text1"/>
        </w:rPr>
        <w:fldChar w:fldCharType="begin" w:fldLock="1"/>
      </w:r>
      <w:r w:rsidR="00C96C63" w:rsidRPr="00C068F4">
        <w:rPr>
          <w:color w:val="000000" w:themeColor="text1"/>
        </w:rPr>
        <w:instrText xml:space="preserve"> REF _Ref110113122 \h </w:instrText>
      </w:r>
      <w:r w:rsidR="00C96C63" w:rsidRPr="00C068F4">
        <w:rPr>
          <w:color w:val="000000" w:themeColor="text1"/>
        </w:rPr>
      </w:r>
      <w:r w:rsidR="00C96C63" w:rsidRPr="00C068F4">
        <w:rPr>
          <w:color w:val="000000" w:themeColor="text1"/>
        </w:rPr>
        <w:fldChar w:fldCharType="separate"/>
      </w:r>
      <w:r w:rsidR="00AB751C" w:rsidRPr="00C068F4">
        <w:t xml:space="preserve">Figure </w:t>
      </w:r>
      <w:r w:rsidR="00AB751C">
        <w:rPr>
          <w:noProof/>
        </w:rPr>
        <w:t>4</w:t>
      </w:r>
      <w:r w:rsidR="00C96C63" w:rsidRPr="00C068F4">
        <w:rPr>
          <w:color w:val="000000" w:themeColor="text1"/>
        </w:rPr>
        <w:fldChar w:fldCharType="end"/>
      </w:r>
      <w:r w:rsidR="00A53D2C" w:rsidRPr="00C068F4">
        <w:rPr>
          <w:color w:val="000000" w:themeColor="text1"/>
        </w:rPr>
        <w:t>, c</w:t>
      </w:r>
      <w:r w:rsidR="00A62828" w:rsidRPr="00C068F4">
        <w:rPr>
          <w:color w:val="000000" w:themeColor="text1"/>
        </w:rPr>
        <w:t xml:space="preserve">ompared to propensity-matched controls, </w:t>
      </w:r>
      <w:r w:rsidR="00A53D2C" w:rsidRPr="00C068F4">
        <w:rPr>
          <w:color w:val="000000" w:themeColor="text1"/>
        </w:rPr>
        <w:t xml:space="preserve">patients </w:t>
      </w:r>
      <w:r w:rsidR="00667D3B" w:rsidRPr="00C068F4">
        <w:rPr>
          <w:color w:val="000000" w:themeColor="text1"/>
        </w:rPr>
        <w:t>administered</w:t>
      </w:r>
      <w:r w:rsidR="00A53D2C" w:rsidRPr="00C068F4">
        <w:rPr>
          <w:color w:val="000000" w:themeColor="text1"/>
        </w:rPr>
        <w:t xml:space="preserve"> </w:t>
      </w:r>
      <w:r w:rsidR="00A62828" w:rsidRPr="00C068F4">
        <w:rPr>
          <w:color w:val="000000" w:themeColor="text1"/>
        </w:rPr>
        <w:t>tixagevimab</w:t>
      </w:r>
      <w:r w:rsidR="00A53D2C" w:rsidRPr="00C068F4">
        <w:rPr>
          <w:color w:val="000000" w:themeColor="text1"/>
        </w:rPr>
        <w:t xml:space="preserve"> and </w:t>
      </w:r>
      <w:r w:rsidR="00A62828" w:rsidRPr="00C068F4">
        <w:rPr>
          <w:color w:val="000000" w:themeColor="text1"/>
        </w:rPr>
        <w:t>cilgavimab had a</w:t>
      </w:r>
      <w:r w:rsidR="002543C2" w:rsidRPr="00C068F4">
        <w:rPr>
          <w:color w:val="000000" w:themeColor="text1"/>
        </w:rPr>
        <w:t xml:space="preserve"> </w:t>
      </w:r>
      <w:r w:rsidR="00A62828" w:rsidRPr="00C068F4">
        <w:rPr>
          <w:color w:val="000000" w:themeColor="text1"/>
        </w:rPr>
        <w:t>lower incidence of the composite outcome</w:t>
      </w:r>
      <w:r w:rsidR="00BE7805" w:rsidRPr="00C068F4">
        <w:rPr>
          <w:color w:val="000000" w:themeColor="text1"/>
        </w:rPr>
        <w:t xml:space="preserve"> of SARS-CoV-2 infection, COVID-19-related hospitalisation, or all-cause</w:t>
      </w:r>
      <w:r w:rsidR="00F84A60" w:rsidRPr="00C068F4">
        <w:rPr>
          <w:color w:val="000000" w:themeColor="text1"/>
        </w:rPr>
        <w:t xml:space="preserve"> </w:t>
      </w:r>
      <w:r w:rsidR="00BE7805" w:rsidRPr="00C068F4">
        <w:rPr>
          <w:color w:val="000000" w:themeColor="text1"/>
        </w:rPr>
        <w:t>mortality</w:t>
      </w:r>
      <w:r w:rsidR="00A62828" w:rsidRPr="00C068F4">
        <w:rPr>
          <w:color w:val="000000" w:themeColor="text1"/>
        </w:rPr>
        <w:t xml:space="preserve"> (17/1733 [1.0%] vs 206/6354 [3.2%]; HR 0.31;</w:t>
      </w:r>
      <w:r w:rsidR="002543C2" w:rsidRPr="00C068F4">
        <w:rPr>
          <w:color w:val="000000" w:themeColor="text1"/>
        </w:rPr>
        <w:t xml:space="preserve"> </w:t>
      </w:r>
      <w:r w:rsidR="00A62828" w:rsidRPr="00C068F4">
        <w:rPr>
          <w:color w:val="000000" w:themeColor="text1"/>
        </w:rPr>
        <w:t>95%</w:t>
      </w:r>
      <w:r w:rsidR="00C95DAD" w:rsidRPr="00C068F4">
        <w:rPr>
          <w:color w:val="000000" w:themeColor="text1"/>
        </w:rPr>
        <w:t xml:space="preserve"> </w:t>
      </w:r>
      <w:r w:rsidR="00A62828" w:rsidRPr="00C068F4">
        <w:rPr>
          <w:color w:val="000000" w:themeColor="text1"/>
        </w:rPr>
        <w:t>CI, 0.18-0.53)</w:t>
      </w:r>
      <w:r w:rsidR="003F2839" w:rsidRPr="00C068F4">
        <w:rPr>
          <w:color w:val="000000" w:themeColor="text1"/>
        </w:rPr>
        <w:t>. Reductions in the incidence of each of the components of the composite outcome were also statistically significant.</w:t>
      </w:r>
      <w:r w:rsidR="0025786A" w:rsidRPr="00C068F4">
        <w:rPr>
          <w:color w:val="000000" w:themeColor="text1"/>
        </w:rPr>
        <w:t xml:space="preserve"> </w:t>
      </w:r>
      <w:r w:rsidR="0025786A" w:rsidRPr="00C068F4">
        <w:rPr>
          <w:iCs/>
          <w:color w:val="000000" w:themeColor="text1"/>
        </w:rPr>
        <w:t xml:space="preserve">The </w:t>
      </w:r>
      <w:r w:rsidR="008A4BC0" w:rsidRPr="00C068F4">
        <w:rPr>
          <w:iCs/>
          <w:color w:val="000000" w:themeColor="text1"/>
        </w:rPr>
        <w:t xml:space="preserve">hazard ratio observed in this study of vaccinated, immunocompromised patients is slightly lower than that observed in the PROVENT trial however the </w:t>
      </w:r>
      <w:r w:rsidR="0025786A" w:rsidRPr="00C068F4">
        <w:rPr>
          <w:iCs/>
          <w:color w:val="000000" w:themeColor="text1"/>
        </w:rPr>
        <w:t xml:space="preserve">results </w:t>
      </w:r>
      <w:r w:rsidR="00D77BBA" w:rsidRPr="00C068F4">
        <w:rPr>
          <w:iCs/>
          <w:color w:val="000000" w:themeColor="text1"/>
        </w:rPr>
        <w:t>giv</w:t>
      </w:r>
      <w:r w:rsidR="00F44285" w:rsidRPr="00C068F4">
        <w:rPr>
          <w:iCs/>
          <w:color w:val="000000" w:themeColor="text1"/>
        </w:rPr>
        <w:t>e</w:t>
      </w:r>
      <w:r w:rsidR="00D77BBA" w:rsidRPr="00C068F4">
        <w:rPr>
          <w:iCs/>
          <w:color w:val="000000" w:themeColor="text1"/>
        </w:rPr>
        <w:t xml:space="preserve"> some confidence that </w:t>
      </w:r>
      <w:r w:rsidR="008A5389" w:rsidRPr="00C068F4">
        <w:rPr>
          <w:iCs/>
          <w:color w:val="000000" w:themeColor="text1"/>
        </w:rPr>
        <w:t>a single administration</w:t>
      </w:r>
      <w:r w:rsidR="000566B0" w:rsidRPr="00C068F4">
        <w:rPr>
          <w:iCs/>
          <w:color w:val="000000" w:themeColor="text1"/>
        </w:rPr>
        <w:t xml:space="preserve"> of</w:t>
      </w:r>
      <w:r w:rsidR="008B18B9" w:rsidRPr="00C068F4">
        <w:rPr>
          <w:iCs/>
          <w:color w:val="000000" w:themeColor="text1"/>
        </w:rPr>
        <w:t xml:space="preserve"> </w:t>
      </w:r>
      <w:r w:rsidR="00AC5B91" w:rsidRPr="00C068F4">
        <w:rPr>
          <w:iCs/>
          <w:color w:val="000000" w:themeColor="text1"/>
        </w:rPr>
        <w:t xml:space="preserve">tixagevimab 300 mg and cilgavimab 300 mg </w:t>
      </w:r>
      <w:r w:rsidR="00D77BBA" w:rsidRPr="00C068F4">
        <w:rPr>
          <w:iCs/>
          <w:color w:val="000000" w:themeColor="text1"/>
        </w:rPr>
        <w:t>patients</w:t>
      </w:r>
      <w:r w:rsidR="008B18B9" w:rsidRPr="00C068F4">
        <w:rPr>
          <w:iCs/>
          <w:color w:val="000000" w:themeColor="text1"/>
        </w:rPr>
        <w:t xml:space="preserve"> </w:t>
      </w:r>
      <w:r w:rsidR="000566B0" w:rsidRPr="00C068F4">
        <w:rPr>
          <w:iCs/>
          <w:color w:val="000000" w:themeColor="text1"/>
        </w:rPr>
        <w:t xml:space="preserve">is effective </w:t>
      </w:r>
      <w:r w:rsidR="00A43157" w:rsidRPr="00C068F4">
        <w:rPr>
          <w:iCs/>
          <w:color w:val="000000" w:themeColor="text1"/>
        </w:rPr>
        <w:t xml:space="preserve">for up to 100 days </w:t>
      </w:r>
      <w:r w:rsidR="008B18B9" w:rsidRPr="00C068F4">
        <w:rPr>
          <w:iCs/>
          <w:color w:val="000000" w:themeColor="text1"/>
        </w:rPr>
        <w:t xml:space="preserve">in </w:t>
      </w:r>
      <w:r w:rsidR="00FA2E06" w:rsidRPr="00C068F4">
        <w:rPr>
          <w:iCs/>
          <w:color w:val="000000" w:themeColor="text1"/>
        </w:rPr>
        <w:t xml:space="preserve">vaccinated, immunocompromised patients </w:t>
      </w:r>
      <w:r w:rsidR="00EF072C" w:rsidRPr="00C068F4">
        <w:rPr>
          <w:iCs/>
          <w:color w:val="000000" w:themeColor="text1"/>
        </w:rPr>
        <w:t xml:space="preserve">in </w:t>
      </w:r>
      <w:r w:rsidR="00AC5B91" w:rsidRPr="00C068F4">
        <w:rPr>
          <w:iCs/>
          <w:color w:val="000000" w:themeColor="text1"/>
        </w:rPr>
        <w:t>a scenario where the predominant circulating variant</w:t>
      </w:r>
      <w:r w:rsidR="00A43157" w:rsidRPr="00C068F4">
        <w:rPr>
          <w:iCs/>
          <w:color w:val="000000" w:themeColor="text1"/>
        </w:rPr>
        <w:t>s</w:t>
      </w:r>
      <w:r w:rsidR="00AC5B91" w:rsidRPr="00C068F4">
        <w:rPr>
          <w:iCs/>
          <w:color w:val="000000" w:themeColor="text1"/>
        </w:rPr>
        <w:t xml:space="preserve"> </w:t>
      </w:r>
      <w:r w:rsidR="00A43157" w:rsidRPr="00C068F4">
        <w:rPr>
          <w:iCs/>
          <w:color w:val="000000" w:themeColor="text1"/>
        </w:rPr>
        <w:t>are</w:t>
      </w:r>
      <w:r w:rsidR="00A449EA" w:rsidRPr="00C068F4">
        <w:rPr>
          <w:iCs/>
          <w:color w:val="000000" w:themeColor="text1"/>
        </w:rPr>
        <w:t xml:space="preserve"> Omicron B</w:t>
      </w:r>
      <w:r w:rsidR="00EC271B" w:rsidRPr="00C068F4">
        <w:rPr>
          <w:iCs/>
          <w:color w:val="000000" w:themeColor="text1"/>
        </w:rPr>
        <w:t xml:space="preserve">A.1 or early BA.2 subvariants. </w:t>
      </w:r>
      <w:r w:rsidR="00C25CB3" w:rsidRPr="00C068F4">
        <w:rPr>
          <w:iCs/>
          <w:color w:val="000000" w:themeColor="text1"/>
        </w:rPr>
        <w:t xml:space="preserve">The applicability of the </w:t>
      </w:r>
      <w:r w:rsidR="00F00155" w:rsidRPr="00C068F4">
        <w:rPr>
          <w:iCs/>
          <w:color w:val="000000" w:themeColor="text1"/>
        </w:rPr>
        <w:t xml:space="preserve">evidence to environments where the </w:t>
      </w:r>
      <w:r w:rsidR="004D7D97" w:rsidRPr="00C068F4">
        <w:rPr>
          <w:iCs/>
          <w:color w:val="000000" w:themeColor="text1"/>
        </w:rPr>
        <w:t xml:space="preserve">Omicron </w:t>
      </w:r>
      <w:r w:rsidR="00C57854" w:rsidRPr="00C068F4">
        <w:rPr>
          <w:iCs/>
          <w:color w:val="000000" w:themeColor="text1"/>
        </w:rPr>
        <w:t>BA.</w:t>
      </w:r>
      <w:r w:rsidR="003F67CC" w:rsidRPr="00C068F4">
        <w:rPr>
          <w:iCs/>
          <w:color w:val="000000" w:themeColor="text1"/>
        </w:rPr>
        <w:t xml:space="preserve">4 or </w:t>
      </w:r>
      <w:r w:rsidR="00F00155" w:rsidRPr="00C068F4">
        <w:rPr>
          <w:iCs/>
          <w:color w:val="000000" w:themeColor="text1"/>
        </w:rPr>
        <w:t>BA.5 variant</w:t>
      </w:r>
      <w:r w:rsidR="003F67CC" w:rsidRPr="00C068F4">
        <w:rPr>
          <w:iCs/>
          <w:color w:val="000000" w:themeColor="text1"/>
        </w:rPr>
        <w:t>s</w:t>
      </w:r>
      <w:r w:rsidR="00F00155" w:rsidRPr="00C068F4">
        <w:rPr>
          <w:iCs/>
          <w:color w:val="000000" w:themeColor="text1"/>
        </w:rPr>
        <w:t xml:space="preserve"> </w:t>
      </w:r>
      <w:r w:rsidR="003F67CC" w:rsidRPr="00C068F4">
        <w:rPr>
          <w:iCs/>
          <w:color w:val="000000" w:themeColor="text1"/>
        </w:rPr>
        <w:t>are</w:t>
      </w:r>
      <w:r w:rsidR="00014F71" w:rsidRPr="00C068F4">
        <w:rPr>
          <w:iCs/>
          <w:color w:val="000000" w:themeColor="text1"/>
        </w:rPr>
        <w:t xml:space="preserve"> circulating</w:t>
      </w:r>
      <w:r w:rsidR="00C25CB3" w:rsidRPr="00C068F4">
        <w:rPr>
          <w:iCs/>
          <w:color w:val="000000" w:themeColor="text1"/>
        </w:rPr>
        <w:t xml:space="preserve"> is uncertain</w:t>
      </w:r>
      <w:r w:rsidR="00014F71" w:rsidRPr="00C068F4">
        <w:rPr>
          <w:iCs/>
          <w:color w:val="000000" w:themeColor="text1"/>
        </w:rPr>
        <w:t>. The authors report that future longitudinal analyses will focus on the newer Omicron variants.</w:t>
      </w:r>
      <w:r w:rsidR="00DA7AF0" w:rsidRPr="00C068F4">
        <w:rPr>
          <w:iCs/>
          <w:color w:val="000000" w:themeColor="text1"/>
        </w:rPr>
        <w:t xml:space="preserve"> </w:t>
      </w:r>
      <w:r w:rsidR="009D582D" w:rsidRPr="00C068F4">
        <w:rPr>
          <w:iCs/>
          <w:color w:val="000000" w:themeColor="text1"/>
        </w:rPr>
        <w:t xml:space="preserve">The </w:t>
      </w:r>
      <w:r w:rsidR="004D7D97" w:rsidRPr="00C068F4">
        <w:rPr>
          <w:iCs/>
          <w:color w:val="000000" w:themeColor="text1"/>
        </w:rPr>
        <w:t xml:space="preserve">rates </w:t>
      </w:r>
      <w:r w:rsidR="009D582D" w:rsidRPr="00C068F4">
        <w:rPr>
          <w:iCs/>
          <w:color w:val="000000" w:themeColor="text1"/>
        </w:rPr>
        <w:t>of adverse events associated with a single administration of tixagevimab and cilgavimab</w:t>
      </w:r>
      <w:r w:rsidR="0042273F" w:rsidRPr="00C068F4">
        <w:rPr>
          <w:iCs/>
          <w:color w:val="000000" w:themeColor="text1"/>
        </w:rPr>
        <w:t xml:space="preserve"> </w:t>
      </w:r>
      <w:r w:rsidR="004D7D97" w:rsidRPr="00C068F4">
        <w:rPr>
          <w:iCs/>
          <w:color w:val="000000" w:themeColor="text1"/>
        </w:rPr>
        <w:t>are</w:t>
      </w:r>
      <w:r w:rsidR="0042273F" w:rsidRPr="00C068F4">
        <w:rPr>
          <w:iCs/>
          <w:color w:val="000000" w:themeColor="text1"/>
        </w:rPr>
        <w:t xml:space="preserve"> not reported by the authors and </w:t>
      </w:r>
      <w:r w:rsidR="00490A5B" w:rsidRPr="00C068F4">
        <w:rPr>
          <w:iCs/>
          <w:color w:val="000000" w:themeColor="text1"/>
        </w:rPr>
        <w:t xml:space="preserve">there is no indication that patients were </w:t>
      </w:r>
      <w:r w:rsidR="00667D3B" w:rsidRPr="00C068F4">
        <w:rPr>
          <w:iCs/>
          <w:color w:val="000000" w:themeColor="text1"/>
        </w:rPr>
        <w:t>redosed</w:t>
      </w:r>
      <w:r w:rsidR="00490A5B" w:rsidRPr="00C068F4">
        <w:rPr>
          <w:iCs/>
          <w:color w:val="000000" w:themeColor="text1"/>
        </w:rPr>
        <w:t xml:space="preserve"> with </w:t>
      </w:r>
      <w:r w:rsidR="0042273F" w:rsidRPr="00C068F4">
        <w:rPr>
          <w:iCs/>
          <w:color w:val="000000" w:themeColor="text1"/>
        </w:rPr>
        <w:t>tixagevimab and cilgavimab</w:t>
      </w:r>
      <w:r w:rsidR="00490A5B" w:rsidRPr="00C068F4">
        <w:rPr>
          <w:iCs/>
          <w:color w:val="000000" w:themeColor="text1"/>
        </w:rPr>
        <w:t xml:space="preserve"> in this study.</w:t>
      </w:r>
      <w:bookmarkEnd w:id="54"/>
    </w:p>
    <w:p w14:paraId="690F3AE7" w14:textId="41B6B01F" w:rsidR="00296D89" w:rsidRPr="00C068F4" w:rsidRDefault="00296D89" w:rsidP="00093D13">
      <w:pPr>
        <w:pStyle w:val="Caption"/>
      </w:pPr>
      <w:bookmarkStart w:id="55" w:name="_Ref110113122"/>
      <w:r w:rsidRPr="00C068F4">
        <w:lastRenderedPageBreak/>
        <w:t xml:space="preserve">Figure </w:t>
      </w:r>
      <w:fldSimple w:instr=" SEQ Figure \* ARABIC " w:fldLock="1">
        <w:r w:rsidR="00DB55F2">
          <w:rPr>
            <w:noProof/>
          </w:rPr>
          <w:t>4</w:t>
        </w:r>
      </w:fldSimple>
      <w:bookmarkEnd w:id="55"/>
      <w:r w:rsidRPr="00C068F4">
        <w:t xml:space="preserve">: </w:t>
      </w:r>
      <w:r w:rsidR="00A35E88" w:rsidRPr="00C068F4">
        <w:t xml:space="preserve">Cumulative risk of composite outcome of SARS-CoV-2 infection, COVID-19-related hospitalisation, or all-cause mortality in immunocompromised </w:t>
      </w:r>
      <w:r w:rsidR="00093D13" w:rsidRPr="00C068F4">
        <w:t xml:space="preserve">US </w:t>
      </w:r>
      <w:r w:rsidR="00A35E88" w:rsidRPr="00C068F4">
        <w:t>veterans</w:t>
      </w:r>
      <w:r w:rsidR="00093D13" w:rsidRPr="00C068F4">
        <w:t xml:space="preserve"> </w:t>
      </w:r>
      <w:r w:rsidR="0084250A" w:rsidRPr="00C068F4">
        <w:t xml:space="preserve">receiving </w:t>
      </w:r>
      <w:r w:rsidR="0084250A" w:rsidRPr="00C068F4">
        <w:rPr>
          <w:color w:val="000000" w:themeColor="text1"/>
        </w:rPr>
        <w:t>tixagevimab and cilgavimab</w:t>
      </w:r>
      <w:r w:rsidR="00925046" w:rsidRPr="00C068F4">
        <w:rPr>
          <w:color w:val="000000" w:themeColor="text1"/>
        </w:rPr>
        <w:t xml:space="preserve"> for PrEP</w:t>
      </w:r>
      <w:r w:rsidR="00105F48" w:rsidRPr="00C068F4">
        <w:rPr>
          <w:color w:val="000000" w:themeColor="text1"/>
        </w:rPr>
        <w:t xml:space="preserve"> </w:t>
      </w:r>
      <w:r w:rsidR="00093D13" w:rsidRPr="00C068F4">
        <w:t>compared to untreated controls</w:t>
      </w:r>
    </w:p>
    <w:p w14:paraId="2D47D4DD" w14:textId="52A605E6" w:rsidR="00296D89" w:rsidRPr="00C068F4" w:rsidRDefault="00C96C63" w:rsidP="00BA28A9">
      <w:pPr>
        <w:pStyle w:val="Caption"/>
      </w:pPr>
      <w:r w:rsidRPr="00C068F4">
        <w:rPr>
          <w:noProof/>
        </w:rPr>
        <w:drawing>
          <wp:inline distT="0" distB="0" distL="0" distR="0" wp14:anchorId="463D21F0" wp14:editId="0321FC79">
            <wp:extent cx="4586299" cy="3276000"/>
            <wp:effectExtent l="0" t="0" r="508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86299" cy="3276000"/>
                    </a:xfrm>
                    <a:prstGeom prst="rect">
                      <a:avLst/>
                    </a:prstGeom>
                  </pic:spPr>
                </pic:pic>
              </a:graphicData>
            </a:graphic>
          </wp:inline>
        </w:drawing>
      </w:r>
    </w:p>
    <w:p w14:paraId="7F0D5F1B" w14:textId="64A3CC16" w:rsidR="00296D89" w:rsidRPr="00C068F4" w:rsidRDefault="00EB5EA0" w:rsidP="00EB5EA0">
      <w:pPr>
        <w:pStyle w:val="FooterTableFigure"/>
        <w:jc w:val="left"/>
      </w:pPr>
      <w:r w:rsidRPr="00C068F4">
        <w:t>Source: Figure 3, Young-Xu 2022</w:t>
      </w:r>
      <w:r w:rsidR="0025786A" w:rsidRPr="00C068F4">
        <w:fldChar w:fldCharType="begin" w:fldLock="1"/>
      </w:r>
      <w:r w:rsidR="0025786A" w:rsidRPr="00C068F4">
        <w:instrText xml:space="preserve"> NOTEREF _Ref110113170 \f \h </w:instrText>
      </w:r>
      <w:r w:rsidR="0025786A" w:rsidRPr="00C068F4">
        <w:fldChar w:fldCharType="separate"/>
      </w:r>
      <w:r w:rsidR="00AB751C" w:rsidRPr="00AB751C">
        <w:rPr>
          <w:rStyle w:val="FootnoteReference"/>
        </w:rPr>
        <w:t>13</w:t>
      </w:r>
      <w:r w:rsidR="0025786A" w:rsidRPr="00C068F4">
        <w:fldChar w:fldCharType="end"/>
      </w:r>
    </w:p>
    <w:p w14:paraId="3E554A53" w14:textId="40DC149C" w:rsidR="00F35F62" w:rsidRPr="00C068F4" w:rsidRDefault="00B5419E">
      <w:pPr>
        <w:pStyle w:val="3-BodyText"/>
        <w:rPr>
          <w:color w:val="000000" w:themeColor="text1"/>
        </w:rPr>
      </w:pPr>
      <w:bookmarkStart w:id="56" w:name="_Ref110854931"/>
      <w:r w:rsidRPr="00C068F4">
        <w:t>Al Jurdi 2022</w:t>
      </w:r>
      <w:r w:rsidRPr="00C068F4">
        <w:fldChar w:fldCharType="begin" w:fldLock="1"/>
      </w:r>
      <w:r w:rsidRPr="00C068F4">
        <w:instrText xml:space="preserve"> NOTEREF _Ref110115284 \f \h </w:instrText>
      </w:r>
      <w:r w:rsidRPr="00C068F4">
        <w:fldChar w:fldCharType="separate"/>
      </w:r>
      <w:r w:rsidR="00AB751C" w:rsidRPr="00AB751C">
        <w:rPr>
          <w:rStyle w:val="FootnoteReference"/>
        </w:rPr>
        <w:t>14</w:t>
      </w:r>
      <w:r w:rsidRPr="00C068F4">
        <w:fldChar w:fldCharType="end"/>
      </w:r>
      <w:r w:rsidRPr="00C068F4">
        <w:t xml:space="preserve"> </w:t>
      </w:r>
      <w:r w:rsidR="00FF0D7A" w:rsidRPr="00C068F4">
        <w:t xml:space="preserve">report the results of a retrospective </w:t>
      </w:r>
      <w:r w:rsidR="00AF4978" w:rsidRPr="00C068F4">
        <w:t>cohort study comparing outcomes in a sample of 222 solid organ transplant recipients who received</w:t>
      </w:r>
      <w:r w:rsidR="00110904" w:rsidRPr="00C068F4">
        <w:t xml:space="preserve"> t</w:t>
      </w:r>
      <w:r w:rsidR="00AF4978" w:rsidRPr="00C068F4">
        <w:t>ixagevimab</w:t>
      </w:r>
      <w:r w:rsidR="00110904" w:rsidRPr="00C068F4">
        <w:t xml:space="preserve"> and </w:t>
      </w:r>
      <w:r w:rsidR="00AF4978" w:rsidRPr="00C068F4">
        <w:t xml:space="preserve">cilgavimab for </w:t>
      </w:r>
      <w:r w:rsidR="00110904" w:rsidRPr="00C068F4">
        <w:t>PrEP</w:t>
      </w:r>
      <w:r w:rsidR="00AF4978" w:rsidRPr="00C068F4">
        <w:t xml:space="preserve"> </w:t>
      </w:r>
      <w:r w:rsidR="008D6D66" w:rsidRPr="00C068F4">
        <w:t xml:space="preserve">between 28 December 2021 and 13 April 13 2022 </w:t>
      </w:r>
      <w:r w:rsidR="00AF4978" w:rsidRPr="00C068F4">
        <w:t>and 222 vaccine-matched</w:t>
      </w:r>
      <w:r w:rsidR="00110904" w:rsidRPr="00C068F4">
        <w:t xml:space="preserve"> </w:t>
      </w:r>
      <w:r w:rsidR="00AF4978" w:rsidRPr="00C068F4">
        <w:t>solid</w:t>
      </w:r>
      <w:r w:rsidR="00110904" w:rsidRPr="00C068F4">
        <w:t xml:space="preserve"> </w:t>
      </w:r>
      <w:r w:rsidR="00AF4978" w:rsidRPr="00C068F4">
        <w:t>organ transplant recipients who did not receive tixagevimab</w:t>
      </w:r>
      <w:r w:rsidR="00110904" w:rsidRPr="00C068F4">
        <w:t xml:space="preserve"> and </w:t>
      </w:r>
      <w:r w:rsidR="00AF4978" w:rsidRPr="00C068F4">
        <w:t>cilgavimab.</w:t>
      </w:r>
      <w:r w:rsidR="009B4A1F" w:rsidRPr="00C068F4">
        <w:t xml:space="preserve"> The median age of </w:t>
      </w:r>
      <w:r w:rsidR="0079277F" w:rsidRPr="00C068F4">
        <w:t xml:space="preserve">the recipients of </w:t>
      </w:r>
      <w:r w:rsidR="0079277F" w:rsidRPr="00C068F4">
        <w:rPr>
          <w:color w:val="000000" w:themeColor="text1"/>
        </w:rPr>
        <w:t xml:space="preserve">tixagevimab and cilgavimab </w:t>
      </w:r>
      <w:r w:rsidR="009B4A1F" w:rsidRPr="00C068F4">
        <w:t>was 65 years,</w:t>
      </w:r>
      <w:r w:rsidR="0079277F" w:rsidRPr="00C068F4">
        <w:t xml:space="preserve"> </w:t>
      </w:r>
      <w:r w:rsidR="009B4A1F" w:rsidRPr="00C068F4">
        <w:t>39% were female and the median time from</w:t>
      </w:r>
      <w:r w:rsidR="0079277F" w:rsidRPr="00C068F4">
        <w:t xml:space="preserve"> </w:t>
      </w:r>
      <w:r w:rsidR="009B4A1F" w:rsidRPr="00C068F4">
        <w:t>transplantation to tixagevimab/cilgavimab administration was</w:t>
      </w:r>
      <w:r w:rsidR="0079277F" w:rsidRPr="00C068F4">
        <w:t xml:space="preserve"> </w:t>
      </w:r>
      <w:r w:rsidR="009B4A1F" w:rsidRPr="00C068F4">
        <w:t>3.8 years.</w:t>
      </w:r>
      <w:r w:rsidR="0079277F" w:rsidRPr="00C068F4">
        <w:t xml:space="preserve"> </w:t>
      </w:r>
      <w:r w:rsidR="009B4A1F" w:rsidRPr="00C068F4">
        <w:t>7% had a history of prior SARS</w:t>
      </w:r>
      <w:r w:rsidR="00C50974" w:rsidRPr="00C068F4">
        <w:noBreakHyphen/>
      </w:r>
      <w:r w:rsidR="009B4A1F" w:rsidRPr="00C068F4">
        <w:t>CoV-2</w:t>
      </w:r>
      <w:r w:rsidR="0079277F" w:rsidRPr="00C068F4">
        <w:t xml:space="preserve"> </w:t>
      </w:r>
      <w:r w:rsidR="009B4A1F" w:rsidRPr="00C068F4">
        <w:t>infection</w:t>
      </w:r>
      <w:r w:rsidR="0079277F" w:rsidRPr="00C068F4">
        <w:t xml:space="preserve"> </w:t>
      </w:r>
      <w:r w:rsidR="009B4A1F" w:rsidRPr="00C068F4">
        <w:t>and &gt; 99% had received at least one dose of SARS</w:t>
      </w:r>
      <w:r w:rsidR="0079277F" w:rsidRPr="00C068F4">
        <w:noBreakHyphen/>
      </w:r>
      <w:r w:rsidR="009B4A1F" w:rsidRPr="00C068F4">
        <w:t>CoV</w:t>
      </w:r>
      <w:r w:rsidR="0079277F" w:rsidRPr="00C068F4">
        <w:noBreakHyphen/>
      </w:r>
      <w:r w:rsidR="009B4A1F" w:rsidRPr="00C068F4">
        <w:t>2</w:t>
      </w:r>
      <w:r w:rsidR="0079277F" w:rsidRPr="00C068F4">
        <w:t xml:space="preserve"> </w:t>
      </w:r>
      <w:r w:rsidR="009B4A1F" w:rsidRPr="00C068F4">
        <w:t>vaccine.</w:t>
      </w:r>
      <w:r w:rsidR="000E2545" w:rsidRPr="00C068F4">
        <w:t xml:space="preserve"> The control group had similar characteristics to the tixagevimab and cilgavimab group, with the exception of a higher proportion of</w:t>
      </w:r>
      <w:r w:rsidR="00556C05" w:rsidRPr="00C068F4">
        <w:t xml:space="preserve"> </w:t>
      </w:r>
      <w:r w:rsidR="00C50974" w:rsidRPr="00C068F4">
        <w:t xml:space="preserve">patients in the control arm reporting </w:t>
      </w:r>
      <w:r w:rsidR="000E2545" w:rsidRPr="00C068F4">
        <w:t>prior SARS-CoV-2</w:t>
      </w:r>
      <w:r w:rsidR="00556C05" w:rsidRPr="00C068F4">
        <w:t xml:space="preserve"> </w:t>
      </w:r>
      <w:r w:rsidR="000E2545" w:rsidRPr="00C068F4">
        <w:t>infection (19% vs. 7%,</w:t>
      </w:r>
      <w:r w:rsidR="00556C05" w:rsidRPr="00C068F4">
        <w:t xml:space="preserve"> </w:t>
      </w:r>
      <w:r w:rsidR="000E2545" w:rsidRPr="00C068F4">
        <w:t>p &lt; .001).</w:t>
      </w:r>
      <w:r w:rsidR="00556C05" w:rsidRPr="00C068F4">
        <w:t xml:space="preserve"> Of the patients who </w:t>
      </w:r>
      <w:r w:rsidR="00105F48" w:rsidRPr="00C068F4">
        <w:t>were administered</w:t>
      </w:r>
      <w:r w:rsidR="00556C05" w:rsidRPr="00C068F4">
        <w:t xml:space="preserve"> </w:t>
      </w:r>
      <w:r w:rsidR="00556C05" w:rsidRPr="00C068F4">
        <w:rPr>
          <w:color w:val="000000" w:themeColor="text1"/>
        </w:rPr>
        <w:t xml:space="preserve">tixagevimab and cilgavimab, </w:t>
      </w:r>
      <w:r w:rsidR="00E3304C" w:rsidRPr="00C068F4">
        <w:rPr>
          <w:color w:val="000000" w:themeColor="text1"/>
        </w:rPr>
        <w:t>90 (40.5%) received a 150</w:t>
      </w:r>
      <w:r w:rsidR="00BE1471" w:rsidRPr="00C068F4">
        <w:rPr>
          <w:color w:val="000000" w:themeColor="text1"/>
        </w:rPr>
        <w:noBreakHyphen/>
      </w:r>
      <w:r w:rsidR="00E3304C" w:rsidRPr="00C068F4">
        <w:rPr>
          <w:color w:val="000000" w:themeColor="text1"/>
        </w:rPr>
        <w:t>150</w:t>
      </w:r>
      <w:r w:rsidR="00BE1471" w:rsidRPr="00C068F4">
        <w:rPr>
          <w:color w:val="000000" w:themeColor="text1"/>
        </w:rPr>
        <w:t> </w:t>
      </w:r>
      <w:r w:rsidR="00E3304C" w:rsidRPr="00C068F4">
        <w:rPr>
          <w:color w:val="000000" w:themeColor="text1"/>
        </w:rPr>
        <w:t>mg dose, 131 (59.0%) received a 300–300 mg dose and one (0.5%) received a 450–450 mg dose.</w:t>
      </w:r>
      <w:r w:rsidR="00375322" w:rsidRPr="00C068F4">
        <w:rPr>
          <w:color w:val="000000" w:themeColor="text1"/>
        </w:rPr>
        <w:t xml:space="preserve"> As shown in </w:t>
      </w:r>
      <w:r w:rsidR="00BA28A9" w:rsidRPr="00C068F4">
        <w:rPr>
          <w:color w:val="000000" w:themeColor="text1"/>
        </w:rPr>
        <w:fldChar w:fldCharType="begin" w:fldLock="1"/>
      </w:r>
      <w:r w:rsidR="00BA28A9" w:rsidRPr="00C068F4">
        <w:rPr>
          <w:color w:val="000000" w:themeColor="text1"/>
        </w:rPr>
        <w:instrText xml:space="preserve"> REF _Ref110117015 \h </w:instrText>
      </w:r>
      <w:r w:rsidR="0059504D" w:rsidRPr="00C068F4">
        <w:rPr>
          <w:color w:val="000000" w:themeColor="text1"/>
        </w:rPr>
        <w:instrText xml:space="preserve"> \* MERGEFORMAT </w:instrText>
      </w:r>
      <w:r w:rsidR="00BA28A9" w:rsidRPr="00C068F4">
        <w:rPr>
          <w:color w:val="000000" w:themeColor="text1"/>
        </w:rPr>
      </w:r>
      <w:r w:rsidR="00BA28A9" w:rsidRPr="00C068F4">
        <w:rPr>
          <w:color w:val="000000" w:themeColor="text1"/>
        </w:rPr>
        <w:fldChar w:fldCharType="separate"/>
      </w:r>
      <w:r w:rsidR="00AB751C" w:rsidRPr="00AB751C">
        <w:rPr>
          <w:color w:val="000000" w:themeColor="text1"/>
        </w:rPr>
        <w:t>Figure 5</w:t>
      </w:r>
      <w:r w:rsidR="00BA28A9" w:rsidRPr="00C068F4">
        <w:rPr>
          <w:color w:val="000000" w:themeColor="text1"/>
        </w:rPr>
        <w:fldChar w:fldCharType="end"/>
      </w:r>
      <w:r w:rsidR="00BA28A9" w:rsidRPr="00C068F4">
        <w:rPr>
          <w:color w:val="000000" w:themeColor="text1"/>
        </w:rPr>
        <w:t xml:space="preserve">, </w:t>
      </w:r>
      <w:r w:rsidR="009377E3" w:rsidRPr="00C068F4">
        <w:rPr>
          <w:color w:val="000000" w:themeColor="text1"/>
        </w:rPr>
        <w:t>a</w:t>
      </w:r>
      <w:r w:rsidR="0059504D" w:rsidRPr="00C068F4">
        <w:rPr>
          <w:color w:val="000000" w:themeColor="text1"/>
        </w:rPr>
        <w:t>t a mean follow-up</w:t>
      </w:r>
      <w:r w:rsidR="009377E3" w:rsidRPr="00C068F4">
        <w:rPr>
          <w:color w:val="000000" w:themeColor="text1"/>
        </w:rPr>
        <w:t xml:space="preserve"> </w:t>
      </w:r>
      <w:r w:rsidR="0059504D" w:rsidRPr="00C068F4">
        <w:rPr>
          <w:color w:val="000000" w:themeColor="text1"/>
        </w:rPr>
        <w:t>of 87 ± 30 days after tixagevimab</w:t>
      </w:r>
      <w:r w:rsidR="009377E3" w:rsidRPr="00C068F4">
        <w:rPr>
          <w:color w:val="000000" w:themeColor="text1"/>
        </w:rPr>
        <w:t xml:space="preserve"> and </w:t>
      </w:r>
      <w:r w:rsidR="0059504D" w:rsidRPr="00C068F4">
        <w:rPr>
          <w:color w:val="000000" w:themeColor="text1"/>
        </w:rPr>
        <w:t>cilgavimab</w:t>
      </w:r>
      <w:r w:rsidR="009377E3" w:rsidRPr="00C068F4">
        <w:rPr>
          <w:color w:val="000000" w:themeColor="text1"/>
        </w:rPr>
        <w:t xml:space="preserve"> </w:t>
      </w:r>
      <w:r w:rsidR="0059504D" w:rsidRPr="00C068F4">
        <w:rPr>
          <w:color w:val="000000" w:themeColor="text1"/>
        </w:rPr>
        <w:t xml:space="preserve">administration, 11 (5%) </w:t>
      </w:r>
      <w:r w:rsidR="009377E3" w:rsidRPr="00C068F4">
        <w:rPr>
          <w:color w:val="000000" w:themeColor="text1"/>
        </w:rPr>
        <w:t xml:space="preserve">subjects </w:t>
      </w:r>
      <w:r w:rsidR="0059504D" w:rsidRPr="00C068F4">
        <w:rPr>
          <w:color w:val="000000" w:themeColor="text1"/>
        </w:rPr>
        <w:t>developed breakthrough SARS-CoV-2</w:t>
      </w:r>
      <w:r w:rsidR="009377E3" w:rsidRPr="00C068F4">
        <w:rPr>
          <w:color w:val="000000" w:themeColor="text1"/>
        </w:rPr>
        <w:t xml:space="preserve"> </w:t>
      </w:r>
      <w:r w:rsidR="0059504D" w:rsidRPr="00C068F4">
        <w:rPr>
          <w:color w:val="000000" w:themeColor="text1"/>
        </w:rPr>
        <w:t>infections, of whom one required hospitali</w:t>
      </w:r>
      <w:r w:rsidR="003F6FF6" w:rsidRPr="00C068F4">
        <w:rPr>
          <w:color w:val="000000" w:themeColor="text1"/>
        </w:rPr>
        <w:t>s</w:t>
      </w:r>
      <w:r w:rsidR="0059504D" w:rsidRPr="00C068F4">
        <w:rPr>
          <w:color w:val="000000" w:themeColor="text1"/>
        </w:rPr>
        <w:t>ation and none</w:t>
      </w:r>
      <w:r w:rsidR="009377E3" w:rsidRPr="00C068F4">
        <w:rPr>
          <w:color w:val="000000" w:themeColor="text1"/>
        </w:rPr>
        <w:t xml:space="preserve"> </w:t>
      </w:r>
      <w:r w:rsidR="0059504D" w:rsidRPr="00C068F4">
        <w:rPr>
          <w:color w:val="000000" w:themeColor="text1"/>
        </w:rPr>
        <w:t>died. In the control group,</w:t>
      </w:r>
      <w:r w:rsidR="00C0249E" w:rsidRPr="00C068F4">
        <w:rPr>
          <w:color w:val="000000" w:themeColor="text1"/>
        </w:rPr>
        <w:t xml:space="preserve"> </w:t>
      </w:r>
      <w:r w:rsidR="0059504D" w:rsidRPr="00C068F4">
        <w:rPr>
          <w:color w:val="000000" w:themeColor="text1"/>
        </w:rPr>
        <w:t xml:space="preserve">32 (14%) </w:t>
      </w:r>
      <w:r w:rsidR="00C0249E" w:rsidRPr="00C068F4">
        <w:rPr>
          <w:color w:val="000000" w:themeColor="text1"/>
        </w:rPr>
        <w:t xml:space="preserve">subjects </w:t>
      </w:r>
      <w:r w:rsidR="0059504D" w:rsidRPr="00C068F4">
        <w:rPr>
          <w:color w:val="000000" w:themeColor="text1"/>
        </w:rPr>
        <w:t>developed SARS-CoV-2</w:t>
      </w:r>
      <w:r w:rsidR="00C0249E" w:rsidRPr="00C068F4">
        <w:rPr>
          <w:color w:val="000000" w:themeColor="text1"/>
        </w:rPr>
        <w:t xml:space="preserve"> </w:t>
      </w:r>
      <w:r w:rsidR="0059504D" w:rsidRPr="00C068F4">
        <w:rPr>
          <w:color w:val="000000" w:themeColor="text1"/>
        </w:rPr>
        <w:t>infections, of whom six</w:t>
      </w:r>
      <w:r w:rsidR="00C0249E" w:rsidRPr="00C068F4">
        <w:rPr>
          <w:color w:val="000000" w:themeColor="text1"/>
        </w:rPr>
        <w:t xml:space="preserve"> </w:t>
      </w:r>
      <w:r w:rsidR="0059504D" w:rsidRPr="00C068F4">
        <w:rPr>
          <w:color w:val="000000" w:themeColor="text1"/>
        </w:rPr>
        <w:t>were hospitali</w:t>
      </w:r>
      <w:r w:rsidR="00900DD3" w:rsidRPr="00C068F4">
        <w:rPr>
          <w:color w:val="000000" w:themeColor="text1"/>
        </w:rPr>
        <w:t>s</w:t>
      </w:r>
      <w:r w:rsidR="0059504D" w:rsidRPr="00C068F4">
        <w:rPr>
          <w:color w:val="000000" w:themeColor="text1"/>
        </w:rPr>
        <w:t>ed and three died at a mean follow-up</w:t>
      </w:r>
      <w:r w:rsidR="00C0249E" w:rsidRPr="00C068F4">
        <w:rPr>
          <w:color w:val="000000" w:themeColor="text1"/>
        </w:rPr>
        <w:t xml:space="preserve"> </w:t>
      </w:r>
      <w:r w:rsidR="0059504D" w:rsidRPr="00C068F4">
        <w:rPr>
          <w:color w:val="000000" w:themeColor="text1"/>
        </w:rPr>
        <w:t>of 82 ± 28 days</w:t>
      </w:r>
      <w:r w:rsidR="00C0249E" w:rsidRPr="00C068F4">
        <w:rPr>
          <w:color w:val="000000" w:themeColor="text1"/>
        </w:rPr>
        <w:t>.</w:t>
      </w:r>
      <w:r w:rsidR="0034201A" w:rsidRPr="00C068F4">
        <w:rPr>
          <w:color w:val="000000" w:themeColor="text1"/>
        </w:rPr>
        <w:t xml:space="preserve"> As shown in </w:t>
      </w:r>
      <w:r w:rsidR="0034201A" w:rsidRPr="00C068F4">
        <w:rPr>
          <w:color w:val="000000" w:themeColor="text1"/>
        </w:rPr>
        <w:fldChar w:fldCharType="begin" w:fldLock="1"/>
      </w:r>
      <w:r w:rsidR="0034201A" w:rsidRPr="00C068F4">
        <w:rPr>
          <w:color w:val="000000" w:themeColor="text1"/>
        </w:rPr>
        <w:instrText xml:space="preserve"> REF _Ref110117689 \h  \* MERGEFORMAT </w:instrText>
      </w:r>
      <w:r w:rsidR="0034201A" w:rsidRPr="00C068F4">
        <w:rPr>
          <w:color w:val="000000" w:themeColor="text1"/>
        </w:rPr>
      </w:r>
      <w:r w:rsidR="0034201A" w:rsidRPr="00C068F4">
        <w:rPr>
          <w:color w:val="000000" w:themeColor="text1"/>
        </w:rPr>
        <w:fldChar w:fldCharType="separate"/>
      </w:r>
      <w:r w:rsidR="00AB751C" w:rsidRPr="00AB751C">
        <w:rPr>
          <w:color w:val="000000" w:themeColor="text1"/>
        </w:rPr>
        <w:t>Figure 6</w:t>
      </w:r>
      <w:r w:rsidR="0034201A" w:rsidRPr="00C068F4">
        <w:rPr>
          <w:color w:val="000000" w:themeColor="text1"/>
        </w:rPr>
        <w:fldChar w:fldCharType="end"/>
      </w:r>
      <w:r w:rsidR="0034201A" w:rsidRPr="00C068F4">
        <w:rPr>
          <w:color w:val="000000" w:themeColor="text1"/>
        </w:rPr>
        <w:t xml:space="preserve">, </w:t>
      </w:r>
      <w:r w:rsidR="00254F27" w:rsidRPr="00C068F4">
        <w:rPr>
          <w:color w:val="000000" w:themeColor="text1"/>
        </w:rPr>
        <w:t>In the tixagevimab</w:t>
      </w:r>
      <w:r w:rsidR="002C3D02" w:rsidRPr="00C068F4">
        <w:rPr>
          <w:color w:val="000000" w:themeColor="text1"/>
        </w:rPr>
        <w:t xml:space="preserve"> and </w:t>
      </w:r>
      <w:r w:rsidR="00254F27" w:rsidRPr="00C068F4">
        <w:rPr>
          <w:color w:val="000000" w:themeColor="text1"/>
        </w:rPr>
        <w:t>cilgavimab group, the incidence rate of breakthrough SARS-CoV-2 infection was higher in those who</w:t>
      </w:r>
      <w:r w:rsidR="002C3D02" w:rsidRPr="00C068F4">
        <w:rPr>
          <w:color w:val="000000" w:themeColor="text1"/>
        </w:rPr>
        <w:t xml:space="preserve"> received the lower (150–150 mg) dose of </w:t>
      </w:r>
      <w:r w:rsidR="002C3D02" w:rsidRPr="00C068F4">
        <w:rPr>
          <w:color w:val="000000" w:themeColor="text1"/>
        </w:rPr>
        <w:lastRenderedPageBreak/>
        <w:t xml:space="preserve">tixagevimab and cilgavimab compared to those who received the higher dose of 300–300 mg (log-rank p = </w:t>
      </w:r>
      <w:r w:rsidR="0040124B" w:rsidRPr="00C068F4">
        <w:rPr>
          <w:color w:val="000000" w:themeColor="text1"/>
        </w:rPr>
        <w:t>0</w:t>
      </w:r>
      <w:r w:rsidR="002C3D02" w:rsidRPr="00C068F4">
        <w:rPr>
          <w:color w:val="000000" w:themeColor="text1"/>
        </w:rPr>
        <w:t>.025).</w:t>
      </w:r>
      <w:r w:rsidR="00361414" w:rsidRPr="00C068F4">
        <w:rPr>
          <w:color w:val="000000" w:themeColor="text1"/>
        </w:rPr>
        <w:t xml:space="preserve"> </w:t>
      </w:r>
      <w:r w:rsidR="00361414" w:rsidRPr="00C068F4">
        <w:rPr>
          <w:iCs/>
          <w:color w:val="000000" w:themeColor="text1"/>
        </w:rPr>
        <w:t>As with the study reported by Young-Xu 2022</w:t>
      </w:r>
      <w:r w:rsidR="00361414" w:rsidRPr="00C068F4">
        <w:rPr>
          <w:i/>
          <w:iCs/>
          <w:color w:val="000000" w:themeColor="text1"/>
        </w:rPr>
        <w:fldChar w:fldCharType="begin" w:fldLock="1"/>
      </w:r>
      <w:r w:rsidR="00361414" w:rsidRPr="00C068F4">
        <w:rPr>
          <w:i/>
          <w:iCs/>
          <w:color w:val="000000" w:themeColor="text1"/>
        </w:rPr>
        <w:instrText xml:space="preserve"> NOTEREF _Ref110113170 \f \h </w:instrText>
      </w:r>
      <w:r w:rsidR="00361414" w:rsidRPr="00C068F4">
        <w:rPr>
          <w:i/>
          <w:iCs/>
          <w:color w:val="000000" w:themeColor="text1"/>
        </w:rPr>
      </w:r>
      <w:r w:rsidR="00361414" w:rsidRPr="00C068F4">
        <w:rPr>
          <w:i/>
          <w:iCs/>
          <w:color w:val="000000" w:themeColor="text1"/>
        </w:rPr>
        <w:fldChar w:fldCharType="separate"/>
      </w:r>
      <w:r w:rsidR="00AB751C" w:rsidRPr="00AB751C">
        <w:rPr>
          <w:rStyle w:val="FootnoteReference"/>
        </w:rPr>
        <w:t>13</w:t>
      </w:r>
      <w:r w:rsidR="00361414" w:rsidRPr="00C068F4">
        <w:rPr>
          <w:i/>
          <w:iCs/>
          <w:color w:val="000000" w:themeColor="text1"/>
        </w:rPr>
        <w:fldChar w:fldCharType="end"/>
      </w:r>
      <w:r w:rsidR="00361414" w:rsidRPr="00C068F4">
        <w:rPr>
          <w:iCs/>
          <w:color w:val="000000" w:themeColor="text1"/>
        </w:rPr>
        <w:t xml:space="preserve">, the results </w:t>
      </w:r>
      <w:r w:rsidR="00C900DC" w:rsidRPr="00C068F4">
        <w:rPr>
          <w:iCs/>
          <w:color w:val="000000" w:themeColor="text1"/>
        </w:rPr>
        <w:t>from this study</w:t>
      </w:r>
      <w:r w:rsidR="00361414" w:rsidRPr="00C068F4">
        <w:rPr>
          <w:iCs/>
          <w:color w:val="000000" w:themeColor="text1"/>
        </w:rPr>
        <w:t xml:space="preserve"> giv</w:t>
      </w:r>
      <w:r w:rsidR="00C900DC" w:rsidRPr="00C068F4">
        <w:rPr>
          <w:iCs/>
          <w:color w:val="000000" w:themeColor="text1"/>
        </w:rPr>
        <w:t>e</w:t>
      </w:r>
      <w:r w:rsidR="00361414" w:rsidRPr="00C068F4">
        <w:rPr>
          <w:iCs/>
          <w:color w:val="000000" w:themeColor="text1"/>
        </w:rPr>
        <w:t xml:space="preserve"> some confidence that a single administration of tixagevimab 300</w:t>
      </w:r>
      <w:r w:rsidR="00C900DC" w:rsidRPr="00C068F4">
        <w:rPr>
          <w:iCs/>
          <w:color w:val="000000" w:themeColor="text1"/>
        </w:rPr>
        <w:t> </w:t>
      </w:r>
      <w:r w:rsidR="00361414" w:rsidRPr="00C068F4">
        <w:rPr>
          <w:iCs/>
          <w:color w:val="000000" w:themeColor="text1"/>
        </w:rPr>
        <w:t>mg and cilgavimab 300 mg patients is effective for up to 100 days in vaccinated, immunocompromised patients in a</w:t>
      </w:r>
      <w:r w:rsidR="001D2BA3" w:rsidRPr="00C068F4">
        <w:rPr>
          <w:iCs/>
          <w:color w:val="000000" w:themeColor="text1"/>
        </w:rPr>
        <w:t xml:space="preserve">n environment </w:t>
      </w:r>
      <w:r w:rsidR="00361414" w:rsidRPr="00C068F4">
        <w:rPr>
          <w:iCs/>
          <w:color w:val="000000" w:themeColor="text1"/>
        </w:rPr>
        <w:t xml:space="preserve">where the predominant circulating variants are Omicron BA.1 or early BA.2 subvariants. However, it is not clear that the evidence is directly applicable to environments where the Omicron BA.5 variant is circulating. </w:t>
      </w:r>
      <w:r w:rsidR="002509A9" w:rsidRPr="00C068F4">
        <w:rPr>
          <w:iCs/>
          <w:color w:val="000000" w:themeColor="text1"/>
        </w:rPr>
        <w:t>T</w:t>
      </w:r>
      <w:r w:rsidR="00361414" w:rsidRPr="00C068F4">
        <w:rPr>
          <w:iCs/>
          <w:color w:val="000000" w:themeColor="text1"/>
        </w:rPr>
        <w:t xml:space="preserve">here is </w:t>
      </w:r>
      <w:r w:rsidR="002509A9" w:rsidRPr="00C068F4">
        <w:rPr>
          <w:iCs/>
          <w:color w:val="000000" w:themeColor="text1"/>
        </w:rPr>
        <w:t xml:space="preserve">also </w:t>
      </w:r>
      <w:r w:rsidR="00361414" w:rsidRPr="00C068F4">
        <w:rPr>
          <w:iCs/>
          <w:color w:val="000000" w:themeColor="text1"/>
        </w:rPr>
        <w:t>no indication that patients were re</w:t>
      </w:r>
      <w:r w:rsidR="00C23832" w:rsidRPr="00C068F4">
        <w:rPr>
          <w:iCs/>
          <w:color w:val="000000" w:themeColor="text1"/>
        </w:rPr>
        <w:t>dos</w:t>
      </w:r>
      <w:r w:rsidR="00361414" w:rsidRPr="00C068F4">
        <w:rPr>
          <w:iCs/>
          <w:color w:val="000000" w:themeColor="text1"/>
        </w:rPr>
        <w:t>ed with tixagevimab and cilgavimab in this study.</w:t>
      </w:r>
      <w:bookmarkEnd w:id="56"/>
    </w:p>
    <w:p w14:paraId="1E871C73" w14:textId="188F5FBE" w:rsidR="000235FA" w:rsidRPr="00C068F4" w:rsidRDefault="000235FA" w:rsidP="000235FA">
      <w:pPr>
        <w:pStyle w:val="Caption"/>
      </w:pPr>
      <w:bookmarkStart w:id="57" w:name="_Ref110117015"/>
      <w:r w:rsidRPr="00C068F4">
        <w:t xml:space="preserve">Figure </w:t>
      </w:r>
      <w:fldSimple w:instr=" SEQ Figure \* ARABIC " w:fldLock="1">
        <w:r w:rsidR="00DB55F2">
          <w:rPr>
            <w:noProof/>
          </w:rPr>
          <w:t>5</w:t>
        </w:r>
      </w:fldSimple>
      <w:bookmarkEnd w:id="57"/>
      <w:r w:rsidRPr="00C068F4">
        <w:t xml:space="preserve">: Cumulative risk of SARS-CoV-2 infection in </w:t>
      </w:r>
      <w:r w:rsidR="0084250A" w:rsidRPr="00C068F4">
        <w:t xml:space="preserve">solid organ transplant recipients administered </w:t>
      </w:r>
      <w:r w:rsidR="0084250A" w:rsidRPr="00C068F4">
        <w:rPr>
          <w:color w:val="000000" w:themeColor="text1"/>
        </w:rPr>
        <w:t xml:space="preserve">tixagevimab and cilgavimab for PrEP </w:t>
      </w:r>
      <w:r w:rsidRPr="00C068F4">
        <w:t>compared to untreated controls</w:t>
      </w:r>
    </w:p>
    <w:p w14:paraId="405B2B96" w14:textId="16A76471" w:rsidR="000235FA" w:rsidRPr="00C068F4" w:rsidRDefault="003E7219" w:rsidP="00BA28A9">
      <w:pPr>
        <w:pStyle w:val="Caption"/>
      </w:pPr>
      <w:r w:rsidRPr="00C068F4">
        <w:rPr>
          <w:noProof/>
        </w:rPr>
        <w:drawing>
          <wp:inline distT="0" distB="0" distL="0" distR="0" wp14:anchorId="7E6E289E" wp14:editId="3CB58356">
            <wp:extent cx="3352800" cy="2544591"/>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65144" cy="2553960"/>
                    </a:xfrm>
                    <a:prstGeom prst="rect">
                      <a:avLst/>
                    </a:prstGeom>
                    <a:noFill/>
                    <a:ln>
                      <a:noFill/>
                    </a:ln>
                  </pic:spPr>
                </pic:pic>
              </a:graphicData>
            </a:graphic>
          </wp:inline>
        </w:drawing>
      </w:r>
    </w:p>
    <w:p w14:paraId="04A40219" w14:textId="2D74E23E" w:rsidR="000235FA" w:rsidRPr="00C068F4" w:rsidRDefault="000235FA" w:rsidP="00BA28A9">
      <w:pPr>
        <w:pStyle w:val="FooterTableFigure"/>
        <w:jc w:val="left"/>
      </w:pPr>
      <w:r w:rsidRPr="00C068F4">
        <w:t xml:space="preserve">Source: Figure </w:t>
      </w:r>
      <w:r w:rsidR="0084250A" w:rsidRPr="00C068F4">
        <w:t>1A</w:t>
      </w:r>
      <w:r w:rsidRPr="00C068F4">
        <w:t xml:space="preserve">, </w:t>
      </w:r>
      <w:r w:rsidR="0084250A" w:rsidRPr="00C068F4">
        <w:t>Al Jurdi 2022</w:t>
      </w:r>
      <w:r w:rsidR="0084250A" w:rsidRPr="00C068F4">
        <w:fldChar w:fldCharType="begin" w:fldLock="1"/>
      </w:r>
      <w:r w:rsidR="0084250A" w:rsidRPr="00C068F4">
        <w:instrText xml:space="preserve"> NOTEREF _Ref110115284 \f \h </w:instrText>
      </w:r>
      <w:r w:rsidR="0084250A" w:rsidRPr="00C068F4">
        <w:fldChar w:fldCharType="separate"/>
      </w:r>
      <w:r w:rsidR="00AB751C" w:rsidRPr="00AB751C">
        <w:rPr>
          <w:rStyle w:val="FootnoteReference"/>
        </w:rPr>
        <w:t>14</w:t>
      </w:r>
      <w:r w:rsidR="0084250A" w:rsidRPr="00C068F4">
        <w:fldChar w:fldCharType="end"/>
      </w:r>
    </w:p>
    <w:p w14:paraId="186321C0" w14:textId="4F58C4A1" w:rsidR="00900DD3" w:rsidRPr="00C068F4" w:rsidRDefault="00900DD3" w:rsidP="00900DD3">
      <w:pPr>
        <w:pStyle w:val="Caption"/>
      </w:pPr>
      <w:bookmarkStart w:id="58" w:name="_Ref110117689"/>
      <w:r w:rsidRPr="00C068F4">
        <w:lastRenderedPageBreak/>
        <w:t xml:space="preserve">Figure </w:t>
      </w:r>
      <w:fldSimple w:instr=" SEQ Figure \* ARABIC " w:fldLock="1">
        <w:r w:rsidR="00DB55F2">
          <w:rPr>
            <w:noProof/>
          </w:rPr>
          <w:t>6</w:t>
        </w:r>
      </w:fldSimple>
      <w:bookmarkEnd w:id="58"/>
      <w:r w:rsidRPr="00C068F4">
        <w:t xml:space="preserve">: Cumulative risk of SARS-CoV-2 infection in solid organ transplant recipients administered </w:t>
      </w:r>
      <w:r w:rsidRPr="00C068F4">
        <w:rPr>
          <w:color w:val="000000" w:themeColor="text1"/>
        </w:rPr>
        <w:t xml:space="preserve">tixagevimab and cilgavimab for PrEP </w:t>
      </w:r>
      <w:r w:rsidRPr="00C068F4">
        <w:t>compared to untreated controls</w:t>
      </w:r>
      <w:r w:rsidR="00717D59" w:rsidRPr="00C068F4">
        <w:t xml:space="preserve"> stratified by dose of </w:t>
      </w:r>
      <w:r w:rsidR="00717D59" w:rsidRPr="00C068F4">
        <w:rPr>
          <w:color w:val="000000" w:themeColor="text1"/>
        </w:rPr>
        <w:t>tixagevimab and cilgavimab</w:t>
      </w:r>
    </w:p>
    <w:p w14:paraId="12F87287" w14:textId="4D22BBEE" w:rsidR="002509A9" w:rsidRPr="00C068F4" w:rsidRDefault="008C1AD7" w:rsidP="002509A9">
      <w:pPr>
        <w:pStyle w:val="Caption"/>
      </w:pPr>
      <w:r w:rsidRPr="00C068F4">
        <w:rPr>
          <w:noProof/>
        </w:rPr>
        <w:drawing>
          <wp:inline distT="0" distB="0" distL="0" distR="0" wp14:anchorId="371D8A36" wp14:editId="69311215">
            <wp:extent cx="4000500" cy="293423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006117" cy="2938353"/>
                    </a:xfrm>
                    <a:prstGeom prst="rect">
                      <a:avLst/>
                    </a:prstGeom>
                  </pic:spPr>
                </pic:pic>
              </a:graphicData>
            </a:graphic>
          </wp:inline>
        </w:drawing>
      </w:r>
    </w:p>
    <w:p w14:paraId="4FF56AD9" w14:textId="1EC43CBE" w:rsidR="008A489D" w:rsidRPr="00C068F4" w:rsidRDefault="00900DD3" w:rsidP="00900DD3">
      <w:pPr>
        <w:pStyle w:val="FooterTableFigure"/>
        <w:jc w:val="left"/>
      </w:pPr>
      <w:r w:rsidRPr="00C068F4">
        <w:t>Source: Figure 1</w:t>
      </w:r>
      <w:r w:rsidR="008C1AD7" w:rsidRPr="00C068F4">
        <w:t>I</w:t>
      </w:r>
      <w:r w:rsidRPr="00C068F4">
        <w:t>, Al Jurdi 2022</w:t>
      </w:r>
      <w:r w:rsidRPr="00C068F4">
        <w:fldChar w:fldCharType="begin" w:fldLock="1"/>
      </w:r>
      <w:r w:rsidRPr="00C068F4">
        <w:instrText xml:space="preserve"> NOTEREF _Ref110115284 \f \h </w:instrText>
      </w:r>
      <w:r w:rsidRPr="00C068F4">
        <w:fldChar w:fldCharType="separate"/>
      </w:r>
      <w:r w:rsidR="00AB751C" w:rsidRPr="00AB751C">
        <w:rPr>
          <w:rStyle w:val="FootnoteReference"/>
        </w:rPr>
        <w:t>14</w:t>
      </w:r>
      <w:r w:rsidRPr="00C068F4">
        <w:fldChar w:fldCharType="end"/>
      </w:r>
    </w:p>
    <w:p w14:paraId="33977C8C" w14:textId="0041610C" w:rsidR="00280278" w:rsidRPr="00C068F4" w:rsidRDefault="003B53AE" w:rsidP="00F41731">
      <w:pPr>
        <w:pStyle w:val="3-BodyText"/>
      </w:pPr>
      <w:r w:rsidRPr="00C068F4">
        <w:t>Kertes 2022</w:t>
      </w:r>
      <w:r w:rsidRPr="00C068F4">
        <w:fldChar w:fldCharType="begin" w:fldLock="1"/>
      </w:r>
      <w:r w:rsidRPr="00C068F4">
        <w:instrText xml:space="preserve"> NOTEREF _Ref110774639 \f \h </w:instrText>
      </w:r>
      <w:r w:rsidRPr="00C068F4">
        <w:fldChar w:fldCharType="separate"/>
      </w:r>
      <w:r w:rsidR="00AB751C" w:rsidRPr="00AB751C">
        <w:rPr>
          <w:rStyle w:val="FootnoteReference"/>
        </w:rPr>
        <w:t>15</w:t>
      </w:r>
      <w:r w:rsidRPr="00C068F4">
        <w:fldChar w:fldCharType="end"/>
      </w:r>
      <w:r w:rsidRPr="00C068F4">
        <w:t xml:space="preserve"> </w:t>
      </w:r>
      <w:r w:rsidR="004353A0" w:rsidRPr="00C068F4">
        <w:t xml:space="preserve">report the results of a retrospective cohort study comparing outcomes in a sample of </w:t>
      </w:r>
      <w:r w:rsidR="009D7224" w:rsidRPr="00C068F4">
        <w:t>825</w:t>
      </w:r>
      <w:r w:rsidR="004353A0" w:rsidRPr="00C068F4">
        <w:t xml:space="preserve"> </w:t>
      </w:r>
      <w:r w:rsidR="000B5C1F" w:rsidRPr="00C068F4">
        <w:t xml:space="preserve">immunosuppressed </w:t>
      </w:r>
      <w:r w:rsidR="00761865" w:rsidRPr="00C068F4">
        <w:t>patients</w:t>
      </w:r>
      <w:r w:rsidR="004353A0" w:rsidRPr="00C068F4">
        <w:t xml:space="preserve"> who </w:t>
      </w:r>
      <w:r w:rsidR="00C92A40" w:rsidRPr="00C068F4">
        <w:t xml:space="preserve">accepted an invitation </w:t>
      </w:r>
      <w:r w:rsidR="00EA0B41" w:rsidRPr="00C068F4">
        <w:t xml:space="preserve">from Maccabi HealthCare Services (the second-largest health maintenance organisation in Israel) </w:t>
      </w:r>
      <w:r w:rsidR="00C92A40" w:rsidRPr="00C068F4">
        <w:t>to receive</w:t>
      </w:r>
      <w:r w:rsidR="004353A0" w:rsidRPr="00C068F4">
        <w:t xml:space="preserve"> tixagevimab </w:t>
      </w:r>
      <w:r w:rsidR="000B5C1F" w:rsidRPr="00C068F4">
        <w:t xml:space="preserve">150 mg </w:t>
      </w:r>
      <w:r w:rsidR="004353A0" w:rsidRPr="00C068F4">
        <w:t>and cilgavimab</w:t>
      </w:r>
      <w:r w:rsidR="000B5C1F" w:rsidRPr="00C068F4">
        <w:t xml:space="preserve"> 150 mg</w:t>
      </w:r>
      <w:r w:rsidR="004353A0" w:rsidRPr="00C068F4">
        <w:t xml:space="preserve"> for PrEP between </w:t>
      </w:r>
      <w:r w:rsidR="001873FC" w:rsidRPr="00C068F4">
        <w:t>23 February 2022</w:t>
      </w:r>
      <w:r w:rsidR="004353A0" w:rsidRPr="00C068F4">
        <w:t xml:space="preserve"> and </w:t>
      </w:r>
      <w:r w:rsidR="001873FC" w:rsidRPr="00C068F4">
        <w:t>2</w:t>
      </w:r>
      <w:r w:rsidR="008A3E67" w:rsidRPr="00C068F4">
        <w:t>6</w:t>
      </w:r>
      <w:r w:rsidR="001873FC" w:rsidRPr="00C068F4">
        <w:t xml:space="preserve"> May 2022</w:t>
      </w:r>
      <w:r w:rsidR="004353A0" w:rsidRPr="00C068F4">
        <w:t xml:space="preserve"> and </w:t>
      </w:r>
      <w:r w:rsidR="00033824" w:rsidRPr="00C068F4">
        <w:t>4</w:t>
      </w:r>
      <w:r w:rsidR="00CA6690" w:rsidRPr="00C068F4">
        <w:t>,</w:t>
      </w:r>
      <w:r w:rsidR="00033824" w:rsidRPr="00C068F4">
        <w:t>299</w:t>
      </w:r>
      <w:r w:rsidR="006B1094" w:rsidRPr="00C068F4">
        <w:t xml:space="preserve"> immunosuppressed patients </w:t>
      </w:r>
      <w:r w:rsidR="004353A0" w:rsidRPr="00C068F4">
        <w:t xml:space="preserve">who </w:t>
      </w:r>
      <w:r w:rsidR="00B00E75" w:rsidRPr="00C068F4">
        <w:t xml:space="preserve">declined </w:t>
      </w:r>
      <w:r w:rsidR="00EA0B41" w:rsidRPr="00C068F4">
        <w:t>th</w:t>
      </w:r>
      <w:r w:rsidR="001827B5" w:rsidRPr="00C068F4">
        <w:t>e invitation</w:t>
      </w:r>
      <w:r w:rsidR="004353A0" w:rsidRPr="00C068F4">
        <w:t xml:space="preserve">. </w:t>
      </w:r>
      <w:r w:rsidR="00280278" w:rsidRPr="00C068F4">
        <w:t xml:space="preserve">Results from this study are shown in </w:t>
      </w:r>
      <w:r w:rsidR="00FA144D" w:rsidRPr="00C068F4">
        <w:fldChar w:fldCharType="begin" w:fldLock="1"/>
      </w:r>
      <w:r w:rsidR="00FA144D" w:rsidRPr="00C068F4">
        <w:instrText xml:space="preserve"> REF _Ref110777938 \h </w:instrText>
      </w:r>
      <w:r w:rsidR="00FA144D" w:rsidRPr="00C068F4">
        <w:fldChar w:fldCharType="separate"/>
      </w:r>
      <w:r w:rsidR="00AB751C" w:rsidRPr="00C068F4">
        <w:t xml:space="preserve">Figure </w:t>
      </w:r>
      <w:r w:rsidR="00AB751C">
        <w:rPr>
          <w:noProof/>
        </w:rPr>
        <w:t>7</w:t>
      </w:r>
      <w:r w:rsidR="00FA144D" w:rsidRPr="00C068F4">
        <w:fldChar w:fldCharType="end"/>
      </w:r>
      <w:r w:rsidR="00FA144D" w:rsidRPr="00C068F4">
        <w:t>.</w:t>
      </w:r>
      <w:r w:rsidR="00152DA4" w:rsidRPr="00C068F4">
        <w:t xml:space="preserve"> After adjustment</w:t>
      </w:r>
      <w:r w:rsidR="0032128E" w:rsidRPr="00C068F4">
        <w:t xml:space="preserve"> for differences in baseline characteristics </w:t>
      </w:r>
      <w:r w:rsidR="00A4572E" w:rsidRPr="00C068F4">
        <w:t>between the two groups</w:t>
      </w:r>
      <w:r w:rsidR="00152DA4" w:rsidRPr="00C068F4">
        <w:t xml:space="preserve">, the group </w:t>
      </w:r>
      <w:r w:rsidR="00A4572E" w:rsidRPr="00C068F4">
        <w:t xml:space="preserve">who received </w:t>
      </w:r>
      <w:r w:rsidR="00A4572E" w:rsidRPr="00C068F4">
        <w:rPr>
          <w:color w:val="000000" w:themeColor="text1"/>
        </w:rPr>
        <w:t xml:space="preserve">tixagevimab and cilgavimab </w:t>
      </w:r>
      <w:r w:rsidR="00152DA4" w:rsidRPr="00C068F4">
        <w:t xml:space="preserve">were half as likely to become infected with </w:t>
      </w:r>
      <w:r w:rsidR="00140086" w:rsidRPr="00C068F4">
        <w:t>SARS-CoV-2</w:t>
      </w:r>
      <w:r w:rsidR="00152DA4" w:rsidRPr="00C068F4">
        <w:t xml:space="preserve"> than the group </w:t>
      </w:r>
      <w:r w:rsidR="00140086" w:rsidRPr="00C068F4">
        <w:t xml:space="preserve">who did not receive </w:t>
      </w:r>
      <w:r w:rsidR="00140086" w:rsidRPr="00C068F4">
        <w:rPr>
          <w:color w:val="000000" w:themeColor="text1"/>
        </w:rPr>
        <w:t xml:space="preserve">tixagevimab and cilgavimab </w:t>
      </w:r>
      <w:r w:rsidR="00152DA4" w:rsidRPr="00C068F4">
        <w:t xml:space="preserve">(OR: 0.51, 95% CI: 0.30-0.84). One person </w:t>
      </w:r>
      <w:r w:rsidR="00140086" w:rsidRPr="00C068F4">
        <w:t xml:space="preserve">(0.1%) </w:t>
      </w:r>
      <w:r w:rsidR="00152DA4" w:rsidRPr="00C068F4">
        <w:t xml:space="preserve">in the </w:t>
      </w:r>
      <w:r w:rsidR="00140086" w:rsidRPr="00C068F4">
        <w:rPr>
          <w:color w:val="000000" w:themeColor="text1"/>
        </w:rPr>
        <w:t>tixagevimab and cilgavimab</w:t>
      </w:r>
      <w:r w:rsidR="00152DA4" w:rsidRPr="00C068F4">
        <w:t xml:space="preserve"> group was hospitali</w:t>
      </w:r>
      <w:r w:rsidR="006128D7" w:rsidRPr="00C068F4">
        <w:t>s</w:t>
      </w:r>
      <w:r w:rsidR="00152DA4" w:rsidRPr="00C068F4">
        <w:t>ed for COVID-19 compared to 27 (0.6%) in the non-administered group (p=0.07). No mortality was recorded among the group</w:t>
      </w:r>
      <w:r w:rsidR="00140086" w:rsidRPr="00C068F4">
        <w:t xml:space="preserve"> who received</w:t>
      </w:r>
      <w:r w:rsidR="008550B4" w:rsidRPr="00C068F4">
        <w:t xml:space="preserve"> </w:t>
      </w:r>
      <w:r w:rsidR="008550B4" w:rsidRPr="00C068F4">
        <w:rPr>
          <w:color w:val="000000" w:themeColor="text1"/>
        </w:rPr>
        <w:t>tixagevimab and cilgavimab</w:t>
      </w:r>
      <w:r w:rsidR="00152DA4" w:rsidRPr="00C068F4">
        <w:t xml:space="preserve">, compared to 40 deaths (0.9%) in the non-administered group (p=0.005). After adjustment, </w:t>
      </w:r>
      <w:r w:rsidR="008550B4" w:rsidRPr="00C068F4">
        <w:t>immunocompromised individuals</w:t>
      </w:r>
      <w:r w:rsidR="00152DA4" w:rsidRPr="00C068F4">
        <w:t xml:space="preserve"> administered </w:t>
      </w:r>
      <w:r w:rsidR="00944321" w:rsidRPr="00C068F4">
        <w:rPr>
          <w:color w:val="000000" w:themeColor="text1"/>
        </w:rPr>
        <w:t>tixagevimab and cilgavimab</w:t>
      </w:r>
      <w:r w:rsidR="00152DA4" w:rsidRPr="00C068F4">
        <w:t xml:space="preserve"> were 92% less likely to be hospitali</w:t>
      </w:r>
      <w:r w:rsidR="00944321" w:rsidRPr="00C068F4">
        <w:t>s</w:t>
      </w:r>
      <w:r w:rsidR="00152DA4" w:rsidRPr="00C068F4">
        <w:t xml:space="preserve">ed/die than those not administered </w:t>
      </w:r>
      <w:r w:rsidR="00944321" w:rsidRPr="00C068F4">
        <w:rPr>
          <w:color w:val="000000" w:themeColor="text1"/>
        </w:rPr>
        <w:t>tixagevimab and cilgavimab</w:t>
      </w:r>
      <w:r w:rsidR="00152DA4" w:rsidRPr="00C068F4">
        <w:t xml:space="preserve"> (OR: 0.08, 95% CI: 0.01-23 0.54).</w:t>
      </w:r>
      <w:r w:rsidR="00944321" w:rsidRPr="00C068F4">
        <w:t xml:space="preserve"> </w:t>
      </w:r>
      <w:r w:rsidR="00944321" w:rsidRPr="00C068F4">
        <w:rPr>
          <w:iCs/>
        </w:rPr>
        <w:t xml:space="preserve">The results from this study </w:t>
      </w:r>
      <w:r w:rsidR="006D2AF8" w:rsidRPr="00C068F4">
        <w:rPr>
          <w:iCs/>
        </w:rPr>
        <w:t>suggest</w:t>
      </w:r>
      <w:r w:rsidR="00944321" w:rsidRPr="00C068F4">
        <w:rPr>
          <w:iCs/>
        </w:rPr>
        <w:t xml:space="preserve"> that</w:t>
      </w:r>
      <w:r w:rsidR="00F26ECD" w:rsidRPr="00C068F4">
        <w:rPr>
          <w:iCs/>
        </w:rPr>
        <w:t xml:space="preserve"> </w:t>
      </w:r>
      <w:r w:rsidR="00F26ECD" w:rsidRPr="00C068F4">
        <w:rPr>
          <w:iCs/>
          <w:color w:val="000000" w:themeColor="text1"/>
        </w:rPr>
        <w:t xml:space="preserve">tixagevimab 150 mg and cilgavimab 150 mg may be less effective in preventing </w:t>
      </w:r>
      <w:r w:rsidR="007E7B3D" w:rsidRPr="00C068F4">
        <w:rPr>
          <w:iCs/>
          <w:color w:val="000000" w:themeColor="text1"/>
        </w:rPr>
        <w:t>SARS-CoV-2 infection due to the Omicron variant</w:t>
      </w:r>
      <w:r w:rsidR="00E60C26" w:rsidRPr="00C068F4">
        <w:rPr>
          <w:iCs/>
          <w:color w:val="000000" w:themeColor="text1"/>
        </w:rPr>
        <w:t>s</w:t>
      </w:r>
      <w:r w:rsidR="006D2AF8" w:rsidRPr="00C068F4">
        <w:rPr>
          <w:iCs/>
          <w:color w:val="000000" w:themeColor="text1"/>
        </w:rPr>
        <w:t xml:space="preserve"> (BA.1 and BA.2)</w:t>
      </w:r>
      <w:r w:rsidR="00E60C26" w:rsidRPr="00C068F4">
        <w:rPr>
          <w:iCs/>
          <w:color w:val="000000" w:themeColor="text1"/>
        </w:rPr>
        <w:t xml:space="preserve"> that were circulating in early 2022</w:t>
      </w:r>
      <w:r w:rsidR="007E7B3D" w:rsidRPr="00C068F4">
        <w:rPr>
          <w:iCs/>
          <w:color w:val="000000" w:themeColor="text1"/>
        </w:rPr>
        <w:t xml:space="preserve"> </w:t>
      </w:r>
      <w:r w:rsidR="00A803CC" w:rsidRPr="00C068F4">
        <w:rPr>
          <w:iCs/>
          <w:color w:val="000000" w:themeColor="text1"/>
        </w:rPr>
        <w:t xml:space="preserve">than was observed over a similar time horizon in the PROVENT trial </w:t>
      </w:r>
      <w:r w:rsidR="0079748E">
        <w:rPr>
          <w:iCs/>
          <w:color w:val="000000" w:themeColor="text1"/>
        </w:rPr>
        <w:t>and</w:t>
      </w:r>
      <w:r w:rsidR="0079748E" w:rsidRPr="00C068F4">
        <w:rPr>
          <w:iCs/>
          <w:color w:val="000000" w:themeColor="text1"/>
        </w:rPr>
        <w:t xml:space="preserve"> </w:t>
      </w:r>
      <w:r w:rsidR="00A803CC" w:rsidRPr="00C068F4">
        <w:rPr>
          <w:iCs/>
          <w:color w:val="000000" w:themeColor="text1"/>
        </w:rPr>
        <w:t>also suggests, that protection against severe or critical COVID</w:t>
      </w:r>
      <w:r w:rsidR="006E5EA0" w:rsidRPr="00C068F4">
        <w:rPr>
          <w:iCs/>
          <w:color w:val="000000" w:themeColor="text1"/>
        </w:rPr>
        <w:t>-19 persists</w:t>
      </w:r>
      <w:r w:rsidR="006A180C" w:rsidRPr="00C068F4">
        <w:rPr>
          <w:iCs/>
          <w:color w:val="000000" w:themeColor="text1"/>
        </w:rPr>
        <w:t xml:space="preserve"> for approximately 3 months</w:t>
      </w:r>
      <w:r w:rsidR="006E5EA0" w:rsidRPr="00C068F4">
        <w:rPr>
          <w:iCs/>
          <w:color w:val="000000" w:themeColor="text1"/>
        </w:rPr>
        <w:t>.</w:t>
      </w:r>
    </w:p>
    <w:p w14:paraId="7F61534D" w14:textId="1B7C2EB4" w:rsidR="00F41731" w:rsidRPr="00C068F4" w:rsidRDefault="00F41731" w:rsidP="00F41731">
      <w:pPr>
        <w:pStyle w:val="Caption"/>
      </w:pPr>
      <w:bookmarkStart w:id="59" w:name="_Ref110777938"/>
      <w:r w:rsidRPr="00C068F4">
        <w:lastRenderedPageBreak/>
        <w:t xml:space="preserve">Figure </w:t>
      </w:r>
      <w:fldSimple w:instr=" SEQ Figure \* ARABIC " w:fldLock="1">
        <w:r w:rsidR="00DB55F2">
          <w:rPr>
            <w:noProof/>
          </w:rPr>
          <w:t>7</w:t>
        </w:r>
      </w:fldSimple>
      <w:bookmarkEnd w:id="59"/>
      <w:r w:rsidRPr="00C068F4">
        <w:t xml:space="preserve">: Cumulative risk of SARS-CoV-2 infection </w:t>
      </w:r>
      <w:r w:rsidR="000A0057" w:rsidRPr="00C068F4">
        <w:t xml:space="preserve">and severe COVID-19 </w:t>
      </w:r>
      <w:r w:rsidRPr="00C068F4">
        <w:t xml:space="preserve">in </w:t>
      </w:r>
      <w:r w:rsidR="000A0057" w:rsidRPr="00C068F4">
        <w:t>immunocompromised patients</w:t>
      </w:r>
      <w:r w:rsidRPr="00C068F4">
        <w:t xml:space="preserve"> administered tixagevimab </w:t>
      </w:r>
      <w:r w:rsidR="007756FC" w:rsidRPr="00C068F4">
        <w:t xml:space="preserve">150 mg </w:t>
      </w:r>
      <w:r w:rsidRPr="00C068F4">
        <w:t xml:space="preserve">and cilgavimab </w:t>
      </w:r>
      <w:r w:rsidR="007756FC" w:rsidRPr="00C068F4">
        <w:t xml:space="preserve">150 mg </w:t>
      </w:r>
      <w:r w:rsidRPr="00C068F4">
        <w:t>for PrEP compared to untreated controls</w:t>
      </w:r>
    </w:p>
    <w:p w14:paraId="3B3F040B" w14:textId="6DC76EFF" w:rsidR="00F41731" w:rsidRPr="00C068F4" w:rsidRDefault="00BD288D" w:rsidP="00F41731">
      <w:r w:rsidRPr="00C068F4">
        <w:rPr>
          <w:noProof/>
        </w:rPr>
        <w:drawing>
          <wp:inline distT="0" distB="0" distL="0" distR="0" wp14:anchorId="18B335D4" wp14:editId="50A46E07">
            <wp:extent cx="5671870" cy="2864313"/>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a:stretch/>
                  </pic:blipFill>
                  <pic:spPr bwMode="auto">
                    <a:xfrm>
                      <a:off x="0" y="0"/>
                      <a:ext cx="5691217" cy="2874084"/>
                    </a:xfrm>
                    <a:prstGeom prst="rect">
                      <a:avLst/>
                    </a:prstGeom>
                    <a:noFill/>
                    <a:ln>
                      <a:noFill/>
                    </a:ln>
                    <a:extLst>
                      <a:ext uri="{53640926-AAD7-44D8-BBD7-CCE9431645EC}">
                        <a14:shadowObscured xmlns:a14="http://schemas.microsoft.com/office/drawing/2010/main"/>
                      </a:ext>
                    </a:extLst>
                  </pic:spPr>
                </pic:pic>
              </a:graphicData>
            </a:graphic>
          </wp:inline>
        </w:drawing>
      </w:r>
    </w:p>
    <w:p w14:paraId="2755F69F" w14:textId="37A1DBBF" w:rsidR="001D483F" w:rsidRPr="00C068F4" w:rsidRDefault="001D483F" w:rsidP="001D483F">
      <w:pPr>
        <w:pStyle w:val="FooterTableFigure"/>
        <w:jc w:val="left"/>
      </w:pPr>
      <w:r w:rsidRPr="00C068F4">
        <w:t xml:space="preserve">Source: Figure 1A and 1B, </w:t>
      </w:r>
      <w:r w:rsidR="00896333" w:rsidRPr="00C068F4">
        <w:t>Kertes</w:t>
      </w:r>
      <w:r w:rsidRPr="00C068F4">
        <w:t xml:space="preserve"> 2022</w:t>
      </w:r>
      <w:r w:rsidR="00896333" w:rsidRPr="00C068F4">
        <w:fldChar w:fldCharType="begin" w:fldLock="1"/>
      </w:r>
      <w:r w:rsidR="00896333" w:rsidRPr="00C068F4">
        <w:instrText xml:space="preserve"> NOTEREF _Ref110774639 \f \h </w:instrText>
      </w:r>
      <w:r w:rsidR="00896333" w:rsidRPr="00C068F4">
        <w:fldChar w:fldCharType="separate"/>
      </w:r>
      <w:r w:rsidR="00AB751C" w:rsidRPr="00AB751C">
        <w:rPr>
          <w:rStyle w:val="FootnoteReference"/>
        </w:rPr>
        <w:t>15</w:t>
      </w:r>
      <w:r w:rsidR="00896333" w:rsidRPr="00C068F4">
        <w:fldChar w:fldCharType="end"/>
      </w:r>
    </w:p>
    <w:p w14:paraId="439AE998" w14:textId="31FD606D" w:rsidR="006E5EA0" w:rsidRPr="00C068F4" w:rsidRDefault="00F627CA" w:rsidP="002A397A">
      <w:pPr>
        <w:pStyle w:val="3-BodyText"/>
      </w:pPr>
      <w:bookmarkStart w:id="60" w:name="_Ref110853547"/>
      <w:r w:rsidRPr="00C068F4">
        <w:t>Nguyen</w:t>
      </w:r>
      <w:r w:rsidR="0002068D" w:rsidRPr="00C068F4">
        <w:t xml:space="preserve"> 2022</w:t>
      </w:r>
      <w:r w:rsidRPr="00C068F4">
        <w:fldChar w:fldCharType="begin" w:fldLock="1"/>
      </w:r>
      <w:r w:rsidRPr="00C068F4">
        <w:instrText xml:space="preserve"> NOTEREF _Ref110779098 \f \h </w:instrText>
      </w:r>
      <w:r w:rsidRPr="00C068F4">
        <w:fldChar w:fldCharType="separate"/>
      </w:r>
      <w:r w:rsidR="00AB751C" w:rsidRPr="00AB751C">
        <w:rPr>
          <w:rStyle w:val="FootnoteReference"/>
        </w:rPr>
        <w:t>16</w:t>
      </w:r>
      <w:r w:rsidRPr="00C068F4">
        <w:fldChar w:fldCharType="end"/>
      </w:r>
      <w:r w:rsidR="0002068D" w:rsidRPr="00C068F4">
        <w:t xml:space="preserve"> report the results of a retrospective cohort study </w:t>
      </w:r>
      <w:r w:rsidR="005E5B24" w:rsidRPr="00C068F4">
        <w:t>examining outcomes</w:t>
      </w:r>
      <w:r w:rsidR="001B4520" w:rsidRPr="00C068F4">
        <w:t xml:space="preserve"> in</w:t>
      </w:r>
      <w:r w:rsidR="008F4B29" w:rsidRPr="00C068F4">
        <w:t xml:space="preserve"> 1</w:t>
      </w:r>
      <w:r w:rsidR="000E669B" w:rsidRPr="00C068F4">
        <w:t>,</w:t>
      </w:r>
      <w:r w:rsidR="008F4B29" w:rsidRPr="00C068F4">
        <w:t>1</w:t>
      </w:r>
      <w:r w:rsidR="008F1205" w:rsidRPr="00C068F4">
        <w:t>12</w:t>
      </w:r>
      <w:r w:rsidR="001B4520" w:rsidRPr="00C068F4">
        <w:t xml:space="preserve"> immunocompromised patients </w:t>
      </w:r>
      <w:r w:rsidR="008F4B29" w:rsidRPr="00C068F4">
        <w:t xml:space="preserve">in </w:t>
      </w:r>
      <w:r w:rsidR="00A23D2D" w:rsidRPr="00C068F4">
        <w:t>three hospitals located in Ile-de</w:t>
      </w:r>
      <w:r w:rsidR="00543B7F" w:rsidRPr="00C068F4">
        <w:t>-</w:t>
      </w:r>
      <w:r w:rsidR="008F4B29" w:rsidRPr="00C068F4">
        <w:t xml:space="preserve">France </w:t>
      </w:r>
      <w:r w:rsidR="00353C20" w:rsidRPr="00C068F4">
        <w:t xml:space="preserve">(a region in north-central France that surrounds Paris) </w:t>
      </w:r>
      <w:r w:rsidR="001B4520" w:rsidRPr="00C068F4">
        <w:t>who</w:t>
      </w:r>
      <w:r w:rsidR="0002068D" w:rsidRPr="00C068F4">
        <w:t xml:space="preserve"> receive</w:t>
      </w:r>
      <w:r w:rsidR="001B4520" w:rsidRPr="00C068F4">
        <w:t>d</w:t>
      </w:r>
      <w:r w:rsidR="0002068D" w:rsidRPr="00C068F4">
        <w:t xml:space="preserve"> tixagevimab 150 mg and cilgavimab 150 mg for PrEP </w:t>
      </w:r>
      <w:r w:rsidR="00F11748" w:rsidRPr="00C068F4">
        <w:t>against infection with SARS-CoV-2</w:t>
      </w:r>
      <w:r w:rsidR="00E3238D" w:rsidRPr="00C068F4">
        <w:t xml:space="preserve"> Omicron sub-lineages BA.1 and BA.2 </w:t>
      </w:r>
      <w:r w:rsidR="0002068D" w:rsidRPr="00C068F4">
        <w:t>between 2</w:t>
      </w:r>
      <w:r w:rsidR="004B3C47" w:rsidRPr="00C068F4">
        <w:t>8 December 2021</w:t>
      </w:r>
      <w:r w:rsidR="0002068D" w:rsidRPr="00C068F4">
        <w:t xml:space="preserve"> and </w:t>
      </w:r>
      <w:r w:rsidR="004B3C47" w:rsidRPr="00C068F4">
        <w:t>31 March 2022.</w:t>
      </w:r>
      <w:r w:rsidR="0094230F" w:rsidRPr="00C068F4">
        <w:t xml:space="preserve"> </w:t>
      </w:r>
      <w:r w:rsidR="00071F48" w:rsidRPr="00C068F4">
        <w:t xml:space="preserve">Patients were followed up for a median of 63 days (range: 49 – 73 days). </w:t>
      </w:r>
      <w:r w:rsidR="002E2D10" w:rsidRPr="00C068F4">
        <w:t>COVID-19 was confirmed in 49/1112 (4.4%) at least 5 days following treatment. Among infected patients, 43/49 (88%) had a mild-to moderate form and 6/49 (12%) had a</w:t>
      </w:r>
      <w:r w:rsidR="001D6B32" w:rsidRPr="00C068F4">
        <w:t xml:space="preserve"> </w:t>
      </w:r>
      <w:r w:rsidR="002E2D10" w:rsidRPr="00C068F4">
        <w:t>moderate-to-severe form of COVID-19. 2/49</w:t>
      </w:r>
      <w:r w:rsidR="00705E1A" w:rsidRPr="00C068F4">
        <w:t xml:space="preserve"> </w:t>
      </w:r>
      <w:r w:rsidR="002E2D10" w:rsidRPr="00C068F4">
        <w:t>(4%) patients died from COVID-19.</w:t>
      </w:r>
      <w:r w:rsidR="0002068D" w:rsidRPr="00C068F4">
        <w:t xml:space="preserve"> </w:t>
      </w:r>
      <w:r w:rsidR="00E60C92" w:rsidRPr="00C068F4">
        <w:rPr>
          <w:iCs/>
        </w:rPr>
        <w:t>N</w:t>
      </w:r>
      <w:r w:rsidR="00770D33" w:rsidRPr="00C068F4">
        <w:rPr>
          <w:iCs/>
        </w:rPr>
        <w:t>o control group of immunocompromised patients was defined for this study</w:t>
      </w:r>
      <w:r w:rsidR="002A397A" w:rsidRPr="00C068F4">
        <w:rPr>
          <w:iCs/>
        </w:rPr>
        <w:t xml:space="preserve"> therefore no estimate of the incremental benefit of </w:t>
      </w:r>
      <w:r w:rsidR="002A397A" w:rsidRPr="00C068F4">
        <w:rPr>
          <w:iCs/>
          <w:color w:val="000000" w:themeColor="text1"/>
        </w:rPr>
        <w:t xml:space="preserve">tixagevimab and cilgavimab </w:t>
      </w:r>
      <w:r w:rsidR="006D2AF8" w:rsidRPr="00C068F4">
        <w:rPr>
          <w:iCs/>
          <w:color w:val="000000" w:themeColor="text1"/>
        </w:rPr>
        <w:t>is reported by this study.</w:t>
      </w:r>
      <w:bookmarkEnd w:id="60"/>
    </w:p>
    <w:p w14:paraId="559B5597" w14:textId="77777777" w:rsidR="00E840D3" w:rsidRPr="00C068F4" w:rsidRDefault="00E840D3" w:rsidP="00E840D3">
      <w:pPr>
        <w:pStyle w:val="5-SubsectionSubheading"/>
      </w:pPr>
      <w:bookmarkStart w:id="61" w:name="_Toc111710314"/>
      <w:r w:rsidRPr="00C068F4">
        <w:t>In vitro susceptibility studies as evidence of effectiveness of tixagevimab and cilgavimab vs Omicron subvariants</w:t>
      </w:r>
      <w:bookmarkEnd w:id="61"/>
    </w:p>
    <w:p w14:paraId="432F6669" w14:textId="559CD468" w:rsidR="00E840D3" w:rsidRPr="00C068F4" w:rsidRDefault="00E840D3" w:rsidP="00E840D3">
      <w:pPr>
        <w:pStyle w:val="3-BodyText"/>
        <w:rPr>
          <w:iCs/>
          <w:color w:val="000000" w:themeColor="text1"/>
        </w:rPr>
      </w:pPr>
      <w:bookmarkStart w:id="62" w:name="_Ref110853396"/>
      <w:r w:rsidRPr="00C068F4">
        <w:rPr>
          <w:iCs/>
          <w:color w:val="000000" w:themeColor="text1"/>
        </w:rPr>
        <w:t xml:space="preserve">Several in vitro studies have examined the susceptibility of Omicron subvariants to tixagevimab and cilgavimab. Results of these studies are summarised in </w:t>
      </w:r>
      <w:r w:rsidRPr="00C068F4">
        <w:rPr>
          <w:iCs/>
          <w:color w:val="000000" w:themeColor="text1"/>
        </w:rPr>
        <w:fldChar w:fldCharType="begin" w:fldLock="1"/>
      </w:r>
      <w:r w:rsidRPr="00C068F4">
        <w:rPr>
          <w:iCs/>
          <w:color w:val="000000" w:themeColor="text1"/>
        </w:rPr>
        <w:instrText xml:space="preserve"> REF _Ref110105365 \h  \* MERGEFORMAT </w:instrText>
      </w:r>
      <w:r w:rsidRPr="00C068F4">
        <w:rPr>
          <w:iCs/>
          <w:color w:val="000000" w:themeColor="text1"/>
        </w:rPr>
      </w:r>
      <w:r w:rsidRPr="00C068F4">
        <w:rPr>
          <w:iCs/>
          <w:color w:val="000000" w:themeColor="text1"/>
        </w:rPr>
        <w:fldChar w:fldCharType="separate"/>
      </w:r>
      <w:r w:rsidR="00AB751C" w:rsidRPr="00AB751C">
        <w:rPr>
          <w:iCs/>
          <w:color w:val="000000" w:themeColor="text1"/>
        </w:rPr>
        <w:t>Table 6</w:t>
      </w:r>
      <w:r w:rsidRPr="00C068F4">
        <w:rPr>
          <w:iCs/>
          <w:color w:val="000000" w:themeColor="text1"/>
        </w:rPr>
        <w:fldChar w:fldCharType="end"/>
      </w:r>
      <w:r w:rsidRPr="00C068F4">
        <w:rPr>
          <w:iCs/>
          <w:color w:val="000000" w:themeColor="text1"/>
        </w:rPr>
        <w:t xml:space="preserve">. As noted </w:t>
      </w:r>
      <w:r w:rsidR="0082637C" w:rsidRPr="00C068F4">
        <w:rPr>
          <w:iCs/>
          <w:color w:val="000000" w:themeColor="text1"/>
        </w:rPr>
        <w:t>above</w:t>
      </w:r>
      <w:r w:rsidRPr="00C068F4">
        <w:rPr>
          <w:iCs/>
          <w:color w:val="000000" w:themeColor="text1"/>
        </w:rPr>
        <w:t xml:space="preserve"> the predominant Omicron sub-variant circulating in Australia (at 25 Jul 2022) is the BA.5 variant. The EC</w:t>
      </w:r>
      <w:r w:rsidRPr="00C068F4">
        <w:rPr>
          <w:iCs/>
          <w:color w:val="000000" w:themeColor="text1"/>
          <w:vertAlign w:val="subscript"/>
        </w:rPr>
        <w:t>50</w:t>
      </w:r>
      <w:r w:rsidRPr="00C068F4">
        <w:rPr>
          <w:iCs/>
          <w:color w:val="000000" w:themeColor="text1"/>
        </w:rPr>
        <w:t xml:space="preserve"> is the concentration of tixagevimab and cilgavimab that is required in vitro to generate a half of the maximal protection against an Omicron variant after a specified exposure time. </w:t>
      </w:r>
      <w:r w:rsidRPr="00C068F4">
        <w:rPr>
          <w:iCs/>
          <w:color w:val="000000" w:themeColor="text1"/>
        </w:rPr>
        <w:fldChar w:fldCharType="begin" w:fldLock="1"/>
      </w:r>
      <w:r w:rsidRPr="00C068F4">
        <w:rPr>
          <w:iCs/>
          <w:color w:val="000000" w:themeColor="text1"/>
        </w:rPr>
        <w:instrText xml:space="preserve"> REF _Ref110105365 \h  \* MERGEFORMAT </w:instrText>
      </w:r>
      <w:r w:rsidRPr="00C068F4">
        <w:rPr>
          <w:iCs/>
          <w:color w:val="000000" w:themeColor="text1"/>
        </w:rPr>
      </w:r>
      <w:r w:rsidRPr="00C068F4">
        <w:rPr>
          <w:iCs/>
          <w:color w:val="000000" w:themeColor="text1"/>
        </w:rPr>
        <w:fldChar w:fldCharType="separate"/>
      </w:r>
      <w:r w:rsidR="00AB751C" w:rsidRPr="00AB751C">
        <w:rPr>
          <w:iCs/>
          <w:color w:val="000000" w:themeColor="text1"/>
        </w:rPr>
        <w:t>Table 6</w:t>
      </w:r>
      <w:r w:rsidRPr="00C068F4">
        <w:rPr>
          <w:iCs/>
          <w:color w:val="000000" w:themeColor="text1"/>
        </w:rPr>
        <w:fldChar w:fldCharType="end"/>
      </w:r>
      <w:r w:rsidRPr="00C068F4">
        <w:rPr>
          <w:iCs/>
          <w:color w:val="000000" w:themeColor="text1"/>
        </w:rPr>
        <w:t xml:space="preserve"> indicates EC</w:t>
      </w:r>
      <w:r w:rsidRPr="00C068F4">
        <w:rPr>
          <w:iCs/>
          <w:color w:val="000000" w:themeColor="text1"/>
          <w:vertAlign w:val="subscript"/>
        </w:rPr>
        <w:t>50</w:t>
      </w:r>
      <w:r w:rsidRPr="00C068F4">
        <w:rPr>
          <w:iCs/>
          <w:color w:val="000000" w:themeColor="text1"/>
        </w:rPr>
        <w:t xml:space="preserve"> values ranged from 40 to 609 ng/mL, which corresponds to a 19 to 149-fold reduction in susceptibility of </w:t>
      </w:r>
      <w:r w:rsidRPr="00C068F4">
        <w:rPr>
          <w:iCs/>
          <w:color w:val="000000" w:themeColor="text1"/>
        </w:rPr>
        <w:lastRenderedPageBreak/>
        <w:t>Omicron subvariants BA.4 or BA.5 to tixagevimab and cilgavimab compared to pre-Omicron reference SAR-CoV-2 variants, noting that no susceptibility data for authentic BA.4 or BA.5 subvariants are available (the studies reporting susceptibility data conducted neutralisation assays using virus-like particles [VLP] that were pseudotypes with the S protein of the BA.4/BA.5 subvariant). Two of the studies reporting susceptibility data for BA.4/BA.5 were conducted using parental monoclonal antibodies (pmAbs) rather than tixagevimab and cilgavimab.</w:t>
      </w:r>
      <w:bookmarkEnd w:id="62"/>
    </w:p>
    <w:p w14:paraId="0C789AD9" w14:textId="4368A110" w:rsidR="00E840D3" w:rsidRPr="00C068F4" w:rsidRDefault="00E840D3" w:rsidP="00E840D3">
      <w:pPr>
        <w:pStyle w:val="3-BodyText"/>
        <w:rPr>
          <w:iCs/>
          <w:color w:val="000000" w:themeColor="text1"/>
        </w:rPr>
      </w:pPr>
      <w:r w:rsidRPr="00C068F4">
        <w:rPr>
          <w:iCs/>
          <w:color w:val="000000" w:themeColor="text1"/>
        </w:rPr>
        <w:t xml:space="preserve">The susceptibility data presented in </w:t>
      </w:r>
      <w:r w:rsidRPr="00C068F4">
        <w:rPr>
          <w:rFonts w:cstheme="minorHAnsi"/>
          <w:iCs/>
          <w:color w:val="000000" w:themeColor="text1"/>
        </w:rPr>
        <w:fldChar w:fldCharType="begin" w:fldLock="1"/>
      </w:r>
      <w:r w:rsidRPr="00C068F4">
        <w:rPr>
          <w:rFonts w:cstheme="minorHAnsi"/>
          <w:iCs/>
          <w:color w:val="000000" w:themeColor="text1"/>
        </w:rPr>
        <w:instrText xml:space="preserve"> REF _Ref110105365 \h  \* MERGEFORMAT </w:instrText>
      </w:r>
      <w:r w:rsidRPr="00C068F4">
        <w:rPr>
          <w:rFonts w:cstheme="minorHAnsi"/>
          <w:iCs/>
          <w:color w:val="000000" w:themeColor="text1"/>
        </w:rPr>
      </w:r>
      <w:r w:rsidRPr="00C068F4">
        <w:rPr>
          <w:rFonts w:cstheme="minorHAnsi"/>
          <w:iCs/>
          <w:color w:val="000000" w:themeColor="text1"/>
        </w:rPr>
        <w:fldChar w:fldCharType="separate"/>
      </w:r>
      <w:r w:rsidR="00AB751C" w:rsidRPr="00AB751C">
        <w:rPr>
          <w:rFonts w:cstheme="minorHAnsi"/>
          <w:iCs/>
          <w:color w:val="000000" w:themeColor="text1"/>
        </w:rPr>
        <w:t>Table</w:t>
      </w:r>
      <w:r w:rsidR="00AB751C" w:rsidRPr="00AB751C">
        <w:rPr>
          <w:rStyle w:val="CommentReference"/>
          <w:rFonts w:asciiTheme="minorHAnsi" w:eastAsiaTheme="majorEastAsia" w:hAnsiTheme="minorHAnsi" w:cstheme="minorHAnsi"/>
          <w:sz w:val="24"/>
          <w:szCs w:val="24"/>
        </w:rPr>
        <w:t xml:space="preserve"> </w:t>
      </w:r>
      <w:r w:rsidR="00AB751C" w:rsidRPr="00AB751C">
        <w:rPr>
          <w:rStyle w:val="CommentReference"/>
          <w:rFonts w:asciiTheme="minorHAnsi" w:eastAsiaTheme="majorEastAsia" w:hAnsiTheme="minorHAnsi" w:cstheme="minorHAnsi"/>
          <w:b w:val="0"/>
          <w:sz w:val="24"/>
          <w:szCs w:val="24"/>
        </w:rPr>
        <w:t>6</w:t>
      </w:r>
      <w:r w:rsidRPr="00C068F4">
        <w:rPr>
          <w:rFonts w:cstheme="minorHAnsi"/>
          <w:iCs/>
          <w:color w:val="000000" w:themeColor="text1"/>
        </w:rPr>
        <w:fldChar w:fldCharType="end"/>
      </w:r>
      <w:r w:rsidRPr="00C068F4">
        <w:rPr>
          <w:rFonts w:cstheme="minorHAnsi"/>
          <w:iCs/>
          <w:color w:val="000000" w:themeColor="text1"/>
        </w:rPr>
        <w:t xml:space="preserve"> consistently suggests that the Omicron BA.4 and BA.5 subvariants are</w:t>
      </w:r>
      <w:r w:rsidRPr="00C068F4">
        <w:rPr>
          <w:iCs/>
          <w:color w:val="000000" w:themeColor="text1"/>
        </w:rPr>
        <w:t xml:space="preserve"> less susceptible to tixagevimab and cilgavimab however there is considerable uncertainty around the magnitude of this reduced susceptibility.</w:t>
      </w:r>
    </w:p>
    <w:p w14:paraId="09D91C00" w14:textId="500190CC" w:rsidR="00E840D3" w:rsidRPr="00C068F4" w:rsidRDefault="00E840D3" w:rsidP="00E840D3">
      <w:pPr>
        <w:pStyle w:val="3-BodyText"/>
        <w:rPr>
          <w:iCs/>
          <w:color w:val="000000" w:themeColor="text1"/>
        </w:rPr>
      </w:pPr>
      <w:r w:rsidRPr="00C068F4">
        <w:rPr>
          <w:iCs/>
          <w:color w:val="000000" w:themeColor="text1"/>
        </w:rPr>
        <w:t>The clinical significance of the observed in vitro reductions in susceptibility of the SARS-CoV-2 variants to tixagevimab and cilgavimab is unknown.</w:t>
      </w:r>
      <w:r w:rsidR="00A6511A" w:rsidRPr="00C068F4">
        <w:rPr>
          <w:iCs/>
          <w:color w:val="000000" w:themeColor="text1"/>
        </w:rPr>
        <w:t xml:space="preserve"> Measures of neutralising activity do </w:t>
      </w:r>
      <w:r w:rsidR="00A311C3" w:rsidRPr="00C068F4">
        <w:rPr>
          <w:iCs/>
          <w:color w:val="000000" w:themeColor="text1"/>
        </w:rPr>
        <w:t>not necessarily correlate with clinical outcomes.</w:t>
      </w:r>
    </w:p>
    <w:p w14:paraId="6913E312" w14:textId="72F471A5" w:rsidR="00E840D3" w:rsidRPr="00C068F4" w:rsidRDefault="00E840D3" w:rsidP="00E840D3">
      <w:pPr>
        <w:pStyle w:val="Caption"/>
        <w:rPr>
          <w:rStyle w:val="CommentReference"/>
          <w:rFonts w:eastAsiaTheme="majorEastAsia" w:cstheme="majorBidi"/>
          <w:b/>
          <w:color w:val="000000" w:themeColor="text1"/>
          <w:szCs w:val="24"/>
        </w:rPr>
      </w:pPr>
      <w:bookmarkStart w:id="63" w:name="_Ref110105365"/>
      <w:r w:rsidRPr="00C068F4">
        <w:rPr>
          <w:rStyle w:val="CommentReference"/>
          <w:rFonts w:eastAsiaTheme="majorEastAsia" w:cstheme="majorBidi"/>
          <w:b/>
          <w:szCs w:val="24"/>
        </w:rPr>
        <w:t xml:space="preserve">Table </w:t>
      </w:r>
      <w:r w:rsidRPr="00C068F4">
        <w:rPr>
          <w:rStyle w:val="CommentReference"/>
          <w:rFonts w:eastAsiaTheme="majorEastAsia" w:cstheme="majorBidi"/>
          <w:b/>
          <w:szCs w:val="24"/>
        </w:rPr>
        <w:fldChar w:fldCharType="begin" w:fldLock="1"/>
      </w:r>
      <w:r w:rsidRPr="00C068F4">
        <w:rPr>
          <w:rStyle w:val="CommentReference"/>
          <w:rFonts w:eastAsiaTheme="majorEastAsia" w:cstheme="majorBidi"/>
          <w:b/>
          <w:szCs w:val="24"/>
        </w:rPr>
        <w:instrText xml:space="preserve"> SEQ Table \* ARABIC </w:instrText>
      </w:r>
      <w:r w:rsidRPr="00C068F4">
        <w:rPr>
          <w:rStyle w:val="CommentReference"/>
          <w:rFonts w:eastAsiaTheme="majorEastAsia" w:cstheme="majorBidi"/>
          <w:b/>
          <w:szCs w:val="24"/>
        </w:rPr>
        <w:fldChar w:fldCharType="separate"/>
      </w:r>
      <w:r w:rsidR="00DB55F2">
        <w:rPr>
          <w:rStyle w:val="CommentReference"/>
          <w:rFonts w:eastAsiaTheme="majorEastAsia" w:cstheme="majorBidi"/>
          <w:b/>
          <w:noProof/>
          <w:szCs w:val="24"/>
        </w:rPr>
        <w:t>6</w:t>
      </w:r>
      <w:r w:rsidRPr="00C068F4">
        <w:rPr>
          <w:rStyle w:val="CommentReference"/>
          <w:rFonts w:eastAsiaTheme="majorEastAsia" w:cstheme="majorBidi"/>
          <w:b/>
          <w:szCs w:val="24"/>
        </w:rPr>
        <w:fldChar w:fldCharType="end"/>
      </w:r>
      <w:bookmarkEnd w:id="63"/>
      <w:r w:rsidRPr="00C068F4">
        <w:rPr>
          <w:rStyle w:val="CommentReference"/>
          <w:rFonts w:eastAsiaTheme="majorEastAsia" w:cstheme="majorBidi"/>
          <w:b/>
          <w:szCs w:val="24"/>
        </w:rPr>
        <w:t xml:space="preserve">: Susceptibility of Omicron subvariants to </w:t>
      </w:r>
      <w:r w:rsidRPr="00C068F4">
        <w:rPr>
          <w:rStyle w:val="CommentReference"/>
          <w:rFonts w:eastAsiaTheme="majorEastAsia" w:cstheme="majorBidi"/>
          <w:b/>
          <w:color w:val="000000" w:themeColor="text1"/>
          <w:szCs w:val="24"/>
        </w:rPr>
        <w:t>tixagevimab and cilgavimab</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6: Susceptibility of Omicron subvariants to tixagevimab and cilgavimab"/>
      </w:tblPr>
      <w:tblGrid>
        <w:gridCol w:w="1696"/>
        <w:gridCol w:w="1580"/>
        <w:gridCol w:w="872"/>
        <w:gridCol w:w="983"/>
        <w:gridCol w:w="984"/>
        <w:gridCol w:w="984"/>
        <w:gridCol w:w="984"/>
        <w:gridCol w:w="984"/>
      </w:tblGrid>
      <w:tr w:rsidR="00E840D3" w:rsidRPr="00C068F4" w14:paraId="2EF7FC89" w14:textId="77777777" w:rsidTr="00DC4004">
        <w:tc>
          <w:tcPr>
            <w:tcW w:w="1696" w:type="dxa"/>
            <w:vMerge w:val="restart"/>
            <w:vAlign w:val="bottom"/>
          </w:tcPr>
          <w:p w14:paraId="3AFB16C9" w14:textId="77777777" w:rsidR="00E840D3" w:rsidRPr="00C068F4" w:rsidRDefault="00E840D3">
            <w:pPr>
              <w:pStyle w:val="In-tableHeading"/>
              <w:rPr>
                <w:lang w:val="en-AU"/>
              </w:rPr>
            </w:pPr>
            <w:r w:rsidRPr="00C068F4">
              <w:rPr>
                <w:lang w:val="en-AU"/>
              </w:rPr>
              <w:t>Data Source</w:t>
            </w:r>
          </w:p>
        </w:tc>
        <w:tc>
          <w:tcPr>
            <w:tcW w:w="1580" w:type="dxa"/>
            <w:vMerge w:val="restart"/>
            <w:vAlign w:val="bottom"/>
          </w:tcPr>
          <w:p w14:paraId="4DA5F06A" w14:textId="77777777" w:rsidR="00E840D3" w:rsidRPr="00C068F4" w:rsidRDefault="00E840D3">
            <w:pPr>
              <w:pStyle w:val="In-tableHeading"/>
              <w:jc w:val="center"/>
              <w:rPr>
                <w:lang w:val="en-AU"/>
              </w:rPr>
            </w:pPr>
            <w:r w:rsidRPr="00C068F4">
              <w:rPr>
                <w:lang w:val="en-AU"/>
              </w:rPr>
              <w:t>Target</w:t>
            </w:r>
            <w:r w:rsidRPr="00C068F4">
              <w:rPr>
                <w:vertAlign w:val="superscript"/>
                <w:lang w:val="en-AU"/>
              </w:rPr>
              <w:t>1</w:t>
            </w:r>
          </w:p>
        </w:tc>
        <w:tc>
          <w:tcPr>
            <w:tcW w:w="872" w:type="dxa"/>
            <w:vMerge w:val="restart"/>
            <w:vAlign w:val="bottom"/>
          </w:tcPr>
          <w:p w14:paraId="7204F2B7" w14:textId="77777777" w:rsidR="00E840D3" w:rsidRPr="00C068F4" w:rsidRDefault="00E840D3">
            <w:pPr>
              <w:pStyle w:val="In-tableHeading"/>
              <w:jc w:val="center"/>
              <w:rPr>
                <w:lang w:val="en-AU"/>
              </w:rPr>
            </w:pPr>
            <w:r w:rsidRPr="00C068F4">
              <w:rPr>
                <w:lang w:val="en-AU"/>
              </w:rPr>
              <w:t>mAb</w:t>
            </w:r>
            <w:r w:rsidRPr="00C068F4">
              <w:rPr>
                <w:vertAlign w:val="superscript"/>
                <w:lang w:val="en-AU"/>
              </w:rPr>
              <w:t>2</w:t>
            </w:r>
          </w:p>
        </w:tc>
        <w:tc>
          <w:tcPr>
            <w:tcW w:w="4919" w:type="dxa"/>
            <w:gridSpan w:val="5"/>
          </w:tcPr>
          <w:p w14:paraId="42E03903" w14:textId="77777777" w:rsidR="00E840D3" w:rsidRPr="00C068F4" w:rsidRDefault="00E840D3">
            <w:pPr>
              <w:pStyle w:val="In-tableHeading"/>
              <w:jc w:val="center"/>
              <w:rPr>
                <w:lang w:val="en-AU"/>
              </w:rPr>
            </w:pPr>
            <w:r w:rsidRPr="00C068F4">
              <w:rPr>
                <w:rStyle w:val="CommentReference"/>
                <w:rFonts w:cstheme="majorBidi"/>
                <w:b/>
                <w:szCs w:val="24"/>
                <w:lang w:val="en-AU"/>
              </w:rPr>
              <w:t>Concentration required to achieve 50% neutralisation</w:t>
            </w:r>
            <w:r w:rsidRPr="00C068F4">
              <w:rPr>
                <w:lang w:val="en-AU"/>
              </w:rPr>
              <w:t xml:space="preserve"> (ng/mL) [Fold-Change from Reference]</w:t>
            </w:r>
            <w:r w:rsidRPr="00C068F4">
              <w:rPr>
                <w:vertAlign w:val="superscript"/>
                <w:lang w:val="en-AU"/>
              </w:rPr>
              <w:t>3</w:t>
            </w:r>
          </w:p>
        </w:tc>
      </w:tr>
      <w:tr w:rsidR="00E840D3" w:rsidRPr="00C068F4" w14:paraId="4959D3D0" w14:textId="77777777" w:rsidTr="00DC4004">
        <w:tc>
          <w:tcPr>
            <w:tcW w:w="1696" w:type="dxa"/>
            <w:vMerge/>
            <w:vAlign w:val="bottom"/>
          </w:tcPr>
          <w:p w14:paraId="7A9FE271" w14:textId="77777777" w:rsidR="00E840D3" w:rsidRPr="00C068F4" w:rsidRDefault="00E840D3">
            <w:pPr>
              <w:pStyle w:val="In-tableHeading"/>
              <w:rPr>
                <w:lang w:val="en-AU"/>
              </w:rPr>
            </w:pPr>
          </w:p>
        </w:tc>
        <w:tc>
          <w:tcPr>
            <w:tcW w:w="1580" w:type="dxa"/>
            <w:vMerge/>
            <w:vAlign w:val="bottom"/>
          </w:tcPr>
          <w:p w14:paraId="62BEFE9D" w14:textId="77777777" w:rsidR="00E840D3" w:rsidRPr="00C068F4" w:rsidRDefault="00E840D3">
            <w:pPr>
              <w:pStyle w:val="In-tableHeading"/>
              <w:rPr>
                <w:lang w:val="en-AU"/>
              </w:rPr>
            </w:pPr>
          </w:p>
        </w:tc>
        <w:tc>
          <w:tcPr>
            <w:tcW w:w="872" w:type="dxa"/>
            <w:vMerge/>
            <w:vAlign w:val="bottom"/>
          </w:tcPr>
          <w:p w14:paraId="543AA6B9" w14:textId="77777777" w:rsidR="00E840D3" w:rsidRPr="00C068F4" w:rsidRDefault="00E840D3">
            <w:pPr>
              <w:pStyle w:val="In-tableHeading"/>
              <w:jc w:val="center"/>
              <w:rPr>
                <w:lang w:val="en-AU"/>
              </w:rPr>
            </w:pPr>
          </w:p>
        </w:tc>
        <w:tc>
          <w:tcPr>
            <w:tcW w:w="983" w:type="dxa"/>
          </w:tcPr>
          <w:p w14:paraId="691AF14E" w14:textId="77777777" w:rsidR="00E840D3" w:rsidRPr="00C068F4" w:rsidRDefault="00E840D3">
            <w:pPr>
              <w:pStyle w:val="In-tableHeading"/>
              <w:jc w:val="center"/>
              <w:rPr>
                <w:lang w:val="en-AU"/>
              </w:rPr>
            </w:pPr>
            <w:r w:rsidRPr="00C068F4">
              <w:rPr>
                <w:lang w:val="en-AU"/>
              </w:rPr>
              <w:t>BA.1</w:t>
            </w:r>
          </w:p>
        </w:tc>
        <w:tc>
          <w:tcPr>
            <w:tcW w:w="984" w:type="dxa"/>
          </w:tcPr>
          <w:p w14:paraId="49A81EF8" w14:textId="77777777" w:rsidR="00E840D3" w:rsidRPr="00C068F4" w:rsidRDefault="00E840D3">
            <w:pPr>
              <w:pStyle w:val="In-tableHeading"/>
              <w:jc w:val="center"/>
              <w:rPr>
                <w:lang w:val="en-AU"/>
              </w:rPr>
            </w:pPr>
            <w:r w:rsidRPr="00C068F4">
              <w:rPr>
                <w:lang w:val="en-AU"/>
              </w:rPr>
              <w:t>BA.1.1</w:t>
            </w:r>
          </w:p>
        </w:tc>
        <w:tc>
          <w:tcPr>
            <w:tcW w:w="984" w:type="dxa"/>
          </w:tcPr>
          <w:p w14:paraId="51B8DD92" w14:textId="77777777" w:rsidR="00E840D3" w:rsidRPr="00C068F4" w:rsidRDefault="00E840D3">
            <w:pPr>
              <w:pStyle w:val="In-tableHeading"/>
              <w:jc w:val="center"/>
              <w:rPr>
                <w:lang w:val="en-AU"/>
              </w:rPr>
            </w:pPr>
            <w:r w:rsidRPr="00C068F4">
              <w:rPr>
                <w:lang w:val="en-AU"/>
              </w:rPr>
              <w:t>BA.2</w:t>
            </w:r>
          </w:p>
        </w:tc>
        <w:tc>
          <w:tcPr>
            <w:tcW w:w="984" w:type="dxa"/>
          </w:tcPr>
          <w:p w14:paraId="3C18FCD6" w14:textId="77777777" w:rsidR="00E840D3" w:rsidRPr="00C068F4" w:rsidRDefault="00E840D3">
            <w:pPr>
              <w:pStyle w:val="In-tableHeading"/>
              <w:jc w:val="center"/>
              <w:rPr>
                <w:lang w:val="en-AU"/>
              </w:rPr>
            </w:pPr>
            <w:r w:rsidRPr="00C068F4">
              <w:rPr>
                <w:lang w:val="en-AU"/>
              </w:rPr>
              <w:t>BA.2.12.1</w:t>
            </w:r>
          </w:p>
        </w:tc>
        <w:tc>
          <w:tcPr>
            <w:tcW w:w="984" w:type="dxa"/>
          </w:tcPr>
          <w:p w14:paraId="25A86C92" w14:textId="77777777" w:rsidR="00E840D3" w:rsidRPr="00C068F4" w:rsidRDefault="00E840D3">
            <w:pPr>
              <w:pStyle w:val="In-tableHeading"/>
              <w:jc w:val="center"/>
              <w:rPr>
                <w:lang w:val="en-AU"/>
              </w:rPr>
            </w:pPr>
            <w:r w:rsidRPr="00C068F4">
              <w:rPr>
                <w:lang w:val="en-AU"/>
              </w:rPr>
              <w:t>BA.4/BA.5</w:t>
            </w:r>
          </w:p>
        </w:tc>
      </w:tr>
      <w:tr w:rsidR="00E840D3" w:rsidRPr="00C068F4" w14:paraId="3FD90A32" w14:textId="77777777" w:rsidTr="00DC4004">
        <w:tc>
          <w:tcPr>
            <w:tcW w:w="1696" w:type="dxa"/>
          </w:tcPr>
          <w:p w14:paraId="161FA3F0" w14:textId="77777777" w:rsidR="00E840D3" w:rsidRPr="00C068F4" w:rsidRDefault="00E840D3">
            <w:pPr>
              <w:pStyle w:val="TableText0"/>
            </w:pPr>
            <w:r w:rsidRPr="00C068F4">
              <w:t>AZ (Monogram/FDA)</w:t>
            </w:r>
          </w:p>
        </w:tc>
        <w:tc>
          <w:tcPr>
            <w:tcW w:w="1580" w:type="dxa"/>
          </w:tcPr>
          <w:p w14:paraId="56E0EBB4" w14:textId="77777777" w:rsidR="00E840D3" w:rsidRPr="00C068F4" w:rsidRDefault="00E840D3">
            <w:pPr>
              <w:pStyle w:val="TableText0"/>
              <w:jc w:val="center"/>
            </w:pPr>
            <w:r w:rsidRPr="00C068F4">
              <w:t>VLP</w:t>
            </w:r>
          </w:p>
        </w:tc>
        <w:tc>
          <w:tcPr>
            <w:tcW w:w="872" w:type="dxa"/>
          </w:tcPr>
          <w:p w14:paraId="0DBF371A" w14:textId="77777777" w:rsidR="00E840D3" w:rsidRPr="00C068F4" w:rsidRDefault="00E840D3">
            <w:pPr>
              <w:pStyle w:val="TableText0"/>
              <w:jc w:val="center"/>
            </w:pPr>
            <w:r w:rsidRPr="00C068F4">
              <w:t>EVU</w:t>
            </w:r>
          </w:p>
        </w:tc>
        <w:tc>
          <w:tcPr>
            <w:tcW w:w="983" w:type="dxa"/>
          </w:tcPr>
          <w:p w14:paraId="7BB1AAB2" w14:textId="77777777" w:rsidR="00E840D3" w:rsidRPr="00C068F4" w:rsidRDefault="00E840D3">
            <w:pPr>
              <w:pStyle w:val="TableText0"/>
              <w:jc w:val="center"/>
            </w:pPr>
            <w:r w:rsidRPr="00C068F4">
              <w:t>171 [132]</w:t>
            </w:r>
          </w:p>
        </w:tc>
        <w:tc>
          <w:tcPr>
            <w:tcW w:w="984" w:type="dxa"/>
          </w:tcPr>
          <w:p w14:paraId="69EE6F17" w14:textId="77777777" w:rsidR="00E840D3" w:rsidRPr="00C068F4" w:rsidRDefault="00E840D3">
            <w:pPr>
              <w:pStyle w:val="TableText0"/>
              <w:jc w:val="center"/>
            </w:pPr>
            <w:r w:rsidRPr="00C068F4">
              <w:t>466 [424]</w:t>
            </w:r>
          </w:p>
        </w:tc>
        <w:tc>
          <w:tcPr>
            <w:tcW w:w="984" w:type="dxa"/>
          </w:tcPr>
          <w:p w14:paraId="7B28AC14" w14:textId="77777777" w:rsidR="00E840D3" w:rsidRPr="00C068F4" w:rsidRDefault="00E840D3">
            <w:pPr>
              <w:pStyle w:val="TableText0"/>
              <w:jc w:val="center"/>
            </w:pPr>
            <w:r w:rsidRPr="00C068F4">
              <w:t>9.8 [3.2]</w:t>
            </w:r>
          </w:p>
        </w:tc>
        <w:tc>
          <w:tcPr>
            <w:tcW w:w="984" w:type="dxa"/>
          </w:tcPr>
          <w:p w14:paraId="625E7C97" w14:textId="77777777" w:rsidR="00E840D3" w:rsidRPr="00C068F4" w:rsidRDefault="00E840D3">
            <w:pPr>
              <w:pStyle w:val="TableText0"/>
              <w:jc w:val="center"/>
            </w:pPr>
            <w:r w:rsidRPr="00C068F4">
              <w:t>10.7 [5]</w:t>
            </w:r>
          </w:p>
        </w:tc>
        <w:tc>
          <w:tcPr>
            <w:tcW w:w="984" w:type="dxa"/>
          </w:tcPr>
          <w:p w14:paraId="5DDE9A79" w14:textId="77777777" w:rsidR="00E840D3" w:rsidRPr="00C068F4" w:rsidRDefault="00E840D3">
            <w:pPr>
              <w:pStyle w:val="TableText0"/>
              <w:jc w:val="center"/>
            </w:pPr>
            <w:r w:rsidRPr="00C068F4">
              <w:t>69.4 [33]</w:t>
            </w:r>
          </w:p>
        </w:tc>
      </w:tr>
      <w:tr w:rsidR="00E840D3" w:rsidRPr="00C068F4" w14:paraId="2F61F6D2" w14:textId="77777777" w:rsidTr="00DC4004">
        <w:tc>
          <w:tcPr>
            <w:tcW w:w="1696" w:type="dxa"/>
          </w:tcPr>
          <w:p w14:paraId="0468EBC5" w14:textId="77777777" w:rsidR="00E840D3" w:rsidRPr="00C068F4" w:rsidRDefault="00E840D3">
            <w:pPr>
              <w:pStyle w:val="TableText0"/>
            </w:pPr>
            <w:r w:rsidRPr="00C068F4">
              <w:t>Tuekprakhon 2022</w:t>
            </w:r>
          </w:p>
        </w:tc>
        <w:tc>
          <w:tcPr>
            <w:tcW w:w="1580" w:type="dxa"/>
          </w:tcPr>
          <w:p w14:paraId="4829A29B" w14:textId="77777777" w:rsidR="00E840D3" w:rsidRPr="00C068F4" w:rsidRDefault="00E840D3">
            <w:pPr>
              <w:pStyle w:val="TableText0"/>
              <w:jc w:val="center"/>
            </w:pPr>
            <w:r w:rsidRPr="00C068F4">
              <w:t>VLP</w:t>
            </w:r>
          </w:p>
        </w:tc>
        <w:tc>
          <w:tcPr>
            <w:tcW w:w="872" w:type="dxa"/>
          </w:tcPr>
          <w:p w14:paraId="004FFD70" w14:textId="77777777" w:rsidR="00E840D3" w:rsidRPr="00C068F4" w:rsidRDefault="00E840D3">
            <w:pPr>
              <w:pStyle w:val="TableText0"/>
              <w:jc w:val="center"/>
            </w:pPr>
            <w:r w:rsidRPr="00C068F4">
              <w:t>EVU</w:t>
            </w:r>
          </w:p>
        </w:tc>
        <w:tc>
          <w:tcPr>
            <w:tcW w:w="983" w:type="dxa"/>
          </w:tcPr>
          <w:p w14:paraId="17BA5F19" w14:textId="77777777" w:rsidR="00E840D3" w:rsidRPr="00C068F4" w:rsidRDefault="00E840D3">
            <w:pPr>
              <w:pStyle w:val="TableText0"/>
              <w:jc w:val="center"/>
            </w:pPr>
            <w:r w:rsidRPr="00C068F4">
              <w:t>232 [232]</w:t>
            </w:r>
          </w:p>
        </w:tc>
        <w:tc>
          <w:tcPr>
            <w:tcW w:w="984" w:type="dxa"/>
          </w:tcPr>
          <w:p w14:paraId="63DEF868" w14:textId="77777777" w:rsidR="00E840D3" w:rsidRPr="00C068F4" w:rsidRDefault="00E840D3">
            <w:pPr>
              <w:pStyle w:val="TableText0"/>
              <w:jc w:val="center"/>
            </w:pPr>
            <w:r w:rsidRPr="00C068F4">
              <w:t>806 [806]</w:t>
            </w:r>
          </w:p>
        </w:tc>
        <w:tc>
          <w:tcPr>
            <w:tcW w:w="984" w:type="dxa"/>
          </w:tcPr>
          <w:p w14:paraId="7BEC8A12" w14:textId="77777777" w:rsidR="00E840D3" w:rsidRPr="00C068F4" w:rsidRDefault="00E840D3">
            <w:pPr>
              <w:pStyle w:val="TableText0"/>
              <w:jc w:val="center"/>
            </w:pPr>
            <w:r w:rsidRPr="00C068F4">
              <w:t>8 [8]</w:t>
            </w:r>
          </w:p>
        </w:tc>
        <w:tc>
          <w:tcPr>
            <w:tcW w:w="984" w:type="dxa"/>
          </w:tcPr>
          <w:p w14:paraId="3C79D438" w14:textId="77777777" w:rsidR="00E840D3" w:rsidRPr="00C068F4" w:rsidRDefault="00E840D3">
            <w:pPr>
              <w:pStyle w:val="TableText0"/>
              <w:jc w:val="center"/>
            </w:pPr>
          </w:p>
        </w:tc>
        <w:tc>
          <w:tcPr>
            <w:tcW w:w="984" w:type="dxa"/>
          </w:tcPr>
          <w:p w14:paraId="28CF2F9A" w14:textId="77777777" w:rsidR="00E840D3" w:rsidRPr="00C068F4" w:rsidRDefault="00E840D3">
            <w:pPr>
              <w:pStyle w:val="TableText0"/>
              <w:jc w:val="center"/>
            </w:pPr>
            <w:r w:rsidRPr="00C068F4">
              <w:t>65 [65]</w:t>
            </w:r>
          </w:p>
        </w:tc>
      </w:tr>
      <w:tr w:rsidR="00E840D3" w:rsidRPr="00C068F4" w14:paraId="40A1D397" w14:textId="77777777" w:rsidTr="00DC4004">
        <w:tc>
          <w:tcPr>
            <w:tcW w:w="1696" w:type="dxa"/>
            <w:tcBorders>
              <w:top w:val="single" w:sz="4" w:space="0" w:color="auto"/>
              <w:left w:val="single" w:sz="4" w:space="0" w:color="auto"/>
              <w:bottom w:val="single" w:sz="4" w:space="0" w:color="auto"/>
              <w:right w:val="single" w:sz="4" w:space="0" w:color="auto"/>
            </w:tcBorders>
          </w:tcPr>
          <w:p w14:paraId="5C46A1E4" w14:textId="77777777" w:rsidR="00E840D3" w:rsidRPr="00C068F4" w:rsidRDefault="00E840D3">
            <w:pPr>
              <w:pStyle w:val="TableText0"/>
            </w:pPr>
            <w:r w:rsidRPr="00C068F4">
              <w:t>Yamasoba 2022</w:t>
            </w:r>
          </w:p>
        </w:tc>
        <w:tc>
          <w:tcPr>
            <w:tcW w:w="1580" w:type="dxa"/>
            <w:tcBorders>
              <w:top w:val="single" w:sz="4" w:space="0" w:color="auto"/>
              <w:left w:val="single" w:sz="4" w:space="0" w:color="auto"/>
              <w:bottom w:val="single" w:sz="4" w:space="0" w:color="auto"/>
              <w:right w:val="single" w:sz="4" w:space="0" w:color="auto"/>
            </w:tcBorders>
          </w:tcPr>
          <w:p w14:paraId="1CBD8C3C" w14:textId="77777777" w:rsidR="00E840D3" w:rsidRPr="00C068F4" w:rsidRDefault="00E840D3">
            <w:pPr>
              <w:pStyle w:val="TableText0"/>
              <w:jc w:val="center"/>
            </w:pPr>
            <w:r w:rsidRPr="00C068F4">
              <w:t>VLP</w:t>
            </w:r>
          </w:p>
        </w:tc>
        <w:tc>
          <w:tcPr>
            <w:tcW w:w="872" w:type="dxa"/>
            <w:tcBorders>
              <w:top w:val="single" w:sz="4" w:space="0" w:color="auto"/>
              <w:left w:val="single" w:sz="4" w:space="0" w:color="auto"/>
              <w:bottom w:val="single" w:sz="4" w:space="0" w:color="auto"/>
              <w:right w:val="single" w:sz="4" w:space="0" w:color="auto"/>
            </w:tcBorders>
          </w:tcPr>
          <w:p w14:paraId="2EB99C8F" w14:textId="77777777" w:rsidR="00E840D3" w:rsidRPr="00C068F4" w:rsidRDefault="00E840D3">
            <w:pPr>
              <w:pStyle w:val="TableText0"/>
              <w:jc w:val="center"/>
            </w:pPr>
            <w:r w:rsidRPr="00C068F4">
              <w:t>EVU</w:t>
            </w:r>
          </w:p>
        </w:tc>
        <w:tc>
          <w:tcPr>
            <w:tcW w:w="983" w:type="dxa"/>
            <w:tcBorders>
              <w:top w:val="single" w:sz="4" w:space="0" w:color="auto"/>
              <w:left w:val="single" w:sz="4" w:space="0" w:color="auto"/>
              <w:bottom w:val="single" w:sz="4" w:space="0" w:color="auto"/>
              <w:right w:val="single" w:sz="4" w:space="0" w:color="auto"/>
            </w:tcBorders>
          </w:tcPr>
          <w:p w14:paraId="21B7EDB9" w14:textId="77777777" w:rsidR="00E840D3" w:rsidRPr="00C068F4" w:rsidRDefault="00E840D3">
            <w:pPr>
              <w:pStyle w:val="TableText0"/>
              <w:jc w:val="center"/>
            </w:pPr>
          </w:p>
        </w:tc>
        <w:tc>
          <w:tcPr>
            <w:tcW w:w="984" w:type="dxa"/>
            <w:tcBorders>
              <w:top w:val="single" w:sz="4" w:space="0" w:color="auto"/>
              <w:left w:val="single" w:sz="4" w:space="0" w:color="auto"/>
              <w:bottom w:val="single" w:sz="4" w:space="0" w:color="auto"/>
              <w:right w:val="single" w:sz="4" w:space="0" w:color="auto"/>
            </w:tcBorders>
          </w:tcPr>
          <w:p w14:paraId="28278888" w14:textId="77777777" w:rsidR="00E840D3" w:rsidRPr="00C068F4" w:rsidRDefault="00E840D3">
            <w:pPr>
              <w:pStyle w:val="TableText0"/>
              <w:jc w:val="center"/>
            </w:pPr>
          </w:p>
        </w:tc>
        <w:tc>
          <w:tcPr>
            <w:tcW w:w="984" w:type="dxa"/>
            <w:tcBorders>
              <w:top w:val="single" w:sz="4" w:space="0" w:color="auto"/>
              <w:left w:val="single" w:sz="4" w:space="0" w:color="auto"/>
              <w:bottom w:val="single" w:sz="4" w:space="0" w:color="auto"/>
              <w:right w:val="single" w:sz="4" w:space="0" w:color="auto"/>
            </w:tcBorders>
          </w:tcPr>
          <w:p w14:paraId="0FAD9756" w14:textId="77777777" w:rsidR="00E840D3" w:rsidRPr="00C068F4" w:rsidRDefault="00E840D3">
            <w:pPr>
              <w:pStyle w:val="TableText0"/>
              <w:jc w:val="center"/>
            </w:pPr>
            <w:r w:rsidRPr="00C068F4">
              <w:t>33 [8]</w:t>
            </w:r>
          </w:p>
        </w:tc>
        <w:tc>
          <w:tcPr>
            <w:tcW w:w="984" w:type="dxa"/>
            <w:tcBorders>
              <w:top w:val="single" w:sz="4" w:space="0" w:color="auto"/>
              <w:left w:val="single" w:sz="4" w:space="0" w:color="auto"/>
              <w:bottom w:val="single" w:sz="4" w:space="0" w:color="auto"/>
              <w:right w:val="single" w:sz="4" w:space="0" w:color="auto"/>
            </w:tcBorders>
          </w:tcPr>
          <w:p w14:paraId="11936E20" w14:textId="77777777" w:rsidR="00E840D3" w:rsidRPr="00C068F4" w:rsidRDefault="00E840D3">
            <w:pPr>
              <w:pStyle w:val="TableText0"/>
              <w:jc w:val="center"/>
            </w:pPr>
            <w:r w:rsidRPr="00C068F4">
              <w:t>135 [33]</w:t>
            </w:r>
          </w:p>
        </w:tc>
        <w:tc>
          <w:tcPr>
            <w:tcW w:w="984" w:type="dxa"/>
            <w:tcBorders>
              <w:top w:val="single" w:sz="4" w:space="0" w:color="auto"/>
              <w:left w:val="single" w:sz="4" w:space="0" w:color="auto"/>
              <w:bottom w:val="single" w:sz="4" w:space="0" w:color="auto"/>
              <w:right w:val="single" w:sz="4" w:space="0" w:color="auto"/>
            </w:tcBorders>
          </w:tcPr>
          <w:p w14:paraId="5FF477B9" w14:textId="77777777" w:rsidR="00E840D3" w:rsidRPr="00C068F4" w:rsidRDefault="00E840D3">
            <w:pPr>
              <w:pStyle w:val="TableText0"/>
              <w:jc w:val="center"/>
            </w:pPr>
            <w:r w:rsidRPr="00C068F4">
              <w:t>609 [149]</w:t>
            </w:r>
          </w:p>
        </w:tc>
      </w:tr>
      <w:tr w:rsidR="00E840D3" w:rsidRPr="00C068F4" w14:paraId="3C842BB7" w14:textId="77777777" w:rsidTr="00DC4004">
        <w:tc>
          <w:tcPr>
            <w:tcW w:w="1696" w:type="dxa"/>
            <w:tcBorders>
              <w:top w:val="single" w:sz="4" w:space="0" w:color="auto"/>
              <w:left w:val="single" w:sz="4" w:space="0" w:color="auto"/>
              <w:bottom w:val="single" w:sz="4" w:space="0" w:color="auto"/>
              <w:right w:val="single" w:sz="4" w:space="0" w:color="auto"/>
            </w:tcBorders>
          </w:tcPr>
          <w:p w14:paraId="1B3F2A77" w14:textId="77777777" w:rsidR="00E840D3" w:rsidRPr="00C068F4" w:rsidRDefault="00E840D3">
            <w:pPr>
              <w:pStyle w:val="TableText0"/>
            </w:pPr>
            <w:r w:rsidRPr="00C068F4">
              <w:t>Cao 2022</w:t>
            </w:r>
          </w:p>
        </w:tc>
        <w:tc>
          <w:tcPr>
            <w:tcW w:w="1580" w:type="dxa"/>
            <w:tcBorders>
              <w:top w:val="single" w:sz="4" w:space="0" w:color="auto"/>
              <w:left w:val="single" w:sz="4" w:space="0" w:color="auto"/>
              <w:bottom w:val="single" w:sz="4" w:space="0" w:color="auto"/>
              <w:right w:val="single" w:sz="4" w:space="0" w:color="auto"/>
            </w:tcBorders>
          </w:tcPr>
          <w:p w14:paraId="614CCC34" w14:textId="77777777" w:rsidR="00E840D3" w:rsidRPr="00C068F4" w:rsidRDefault="00E840D3">
            <w:pPr>
              <w:pStyle w:val="TableText0"/>
              <w:jc w:val="center"/>
            </w:pPr>
            <w:r w:rsidRPr="00C068F4">
              <w:t>VLP</w:t>
            </w:r>
          </w:p>
        </w:tc>
        <w:tc>
          <w:tcPr>
            <w:tcW w:w="872" w:type="dxa"/>
            <w:tcBorders>
              <w:top w:val="single" w:sz="4" w:space="0" w:color="auto"/>
              <w:left w:val="single" w:sz="4" w:space="0" w:color="auto"/>
              <w:bottom w:val="single" w:sz="4" w:space="0" w:color="auto"/>
              <w:right w:val="single" w:sz="4" w:space="0" w:color="auto"/>
            </w:tcBorders>
          </w:tcPr>
          <w:p w14:paraId="5A42D0D7" w14:textId="77777777" w:rsidR="00E840D3" w:rsidRPr="00C068F4" w:rsidRDefault="00E840D3">
            <w:pPr>
              <w:pStyle w:val="TableText0"/>
              <w:jc w:val="center"/>
            </w:pPr>
            <w:r w:rsidRPr="00C068F4">
              <w:t>pmAbs</w:t>
            </w:r>
          </w:p>
        </w:tc>
        <w:tc>
          <w:tcPr>
            <w:tcW w:w="983" w:type="dxa"/>
            <w:tcBorders>
              <w:top w:val="single" w:sz="4" w:space="0" w:color="auto"/>
              <w:left w:val="single" w:sz="4" w:space="0" w:color="auto"/>
              <w:bottom w:val="single" w:sz="4" w:space="0" w:color="auto"/>
              <w:right w:val="single" w:sz="4" w:space="0" w:color="auto"/>
            </w:tcBorders>
          </w:tcPr>
          <w:p w14:paraId="50529BCD" w14:textId="77777777" w:rsidR="00E840D3" w:rsidRPr="00C068F4" w:rsidRDefault="00E840D3">
            <w:pPr>
              <w:pStyle w:val="TableText0"/>
              <w:jc w:val="center"/>
            </w:pPr>
            <w:r w:rsidRPr="00C068F4">
              <w:t>491 [230]</w:t>
            </w:r>
          </w:p>
        </w:tc>
        <w:tc>
          <w:tcPr>
            <w:tcW w:w="984" w:type="dxa"/>
            <w:tcBorders>
              <w:top w:val="single" w:sz="4" w:space="0" w:color="auto"/>
              <w:left w:val="single" w:sz="4" w:space="0" w:color="auto"/>
              <w:bottom w:val="single" w:sz="4" w:space="0" w:color="auto"/>
              <w:right w:val="single" w:sz="4" w:space="0" w:color="auto"/>
            </w:tcBorders>
          </w:tcPr>
          <w:p w14:paraId="0C2FDD32" w14:textId="77777777" w:rsidR="00E840D3" w:rsidRPr="00C068F4" w:rsidRDefault="00E840D3">
            <w:pPr>
              <w:pStyle w:val="TableText0"/>
              <w:jc w:val="center"/>
            </w:pPr>
            <w:r w:rsidRPr="00C068F4">
              <w:t>8090 [3900]</w:t>
            </w:r>
          </w:p>
        </w:tc>
        <w:tc>
          <w:tcPr>
            <w:tcW w:w="984" w:type="dxa"/>
            <w:tcBorders>
              <w:top w:val="single" w:sz="4" w:space="0" w:color="auto"/>
              <w:left w:val="single" w:sz="4" w:space="0" w:color="auto"/>
              <w:bottom w:val="single" w:sz="4" w:space="0" w:color="auto"/>
              <w:right w:val="single" w:sz="4" w:space="0" w:color="auto"/>
            </w:tcBorders>
          </w:tcPr>
          <w:p w14:paraId="234572D9" w14:textId="77777777" w:rsidR="00E840D3" w:rsidRPr="00C068F4" w:rsidRDefault="00E840D3">
            <w:pPr>
              <w:pStyle w:val="TableText0"/>
              <w:jc w:val="center"/>
            </w:pPr>
            <w:r w:rsidRPr="00C068F4">
              <w:t>8.2 [3.9]</w:t>
            </w:r>
          </w:p>
        </w:tc>
        <w:tc>
          <w:tcPr>
            <w:tcW w:w="984" w:type="dxa"/>
            <w:tcBorders>
              <w:top w:val="single" w:sz="4" w:space="0" w:color="auto"/>
              <w:left w:val="single" w:sz="4" w:space="0" w:color="auto"/>
              <w:bottom w:val="single" w:sz="4" w:space="0" w:color="auto"/>
              <w:right w:val="single" w:sz="4" w:space="0" w:color="auto"/>
            </w:tcBorders>
          </w:tcPr>
          <w:p w14:paraId="3A53C4B3" w14:textId="77777777" w:rsidR="00E840D3" w:rsidRPr="00C068F4" w:rsidRDefault="00E840D3">
            <w:pPr>
              <w:pStyle w:val="TableText0"/>
              <w:jc w:val="center"/>
            </w:pPr>
            <w:r w:rsidRPr="00C068F4">
              <w:t>18 [8.6]</w:t>
            </w:r>
          </w:p>
        </w:tc>
        <w:tc>
          <w:tcPr>
            <w:tcW w:w="984" w:type="dxa"/>
            <w:tcBorders>
              <w:top w:val="single" w:sz="4" w:space="0" w:color="auto"/>
              <w:left w:val="single" w:sz="4" w:space="0" w:color="auto"/>
              <w:bottom w:val="single" w:sz="4" w:space="0" w:color="auto"/>
              <w:right w:val="single" w:sz="4" w:space="0" w:color="auto"/>
            </w:tcBorders>
          </w:tcPr>
          <w:p w14:paraId="3AADE703" w14:textId="77777777" w:rsidR="00E840D3" w:rsidRPr="00C068F4" w:rsidRDefault="00E840D3">
            <w:pPr>
              <w:pStyle w:val="TableText0"/>
              <w:jc w:val="center"/>
            </w:pPr>
            <w:r w:rsidRPr="00C068F4">
              <w:t>40 [19]</w:t>
            </w:r>
          </w:p>
        </w:tc>
      </w:tr>
      <w:tr w:rsidR="00E840D3" w:rsidRPr="00C068F4" w14:paraId="3EA9C265" w14:textId="77777777" w:rsidTr="00DC4004">
        <w:tc>
          <w:tcPr>
            <w:tcW w:w="1696" w:type="dxa"/>
            <w:tcBorders>
              <w:top w:val="single" w:sz="4" w:space="0" w:color="auto"/>
              <w:left w:val="single" w:sz="4" w:space="0" w:color="auto"/>
              <w:bottom w:val="single" w:sz="4" w:space="0" w:color="auto"/>
              <w:right w:val="single" w:sz="4" w:space="0" w:color="auto"/>
            </w:tcBorders>
          </w:tcPr>
          <w:p w14:paraId="358DEC37" w14:textId="77777777" w:rsidR="00E840D3" w:rsidRPr="00C068F4" w:rsidRDefault="00E840D3">
            <w:pPr>
              <w:pStyle w:val="TableText0"/>
            </w:pPr>
            <w:r w:rsidRPr="00C068F4">
              <w:t>Takashita 2022</w:t>
            </w:r>
          </w:p>
        </w:tc>
        <w:tc>
          <w:tcPr>
            <w:tcW w:w="1580" w:type="dxa"/>
            <w:tcBorders>
              <w:top w:val="single" w:sz="4" w:space="0" w:color="auto"/>
              <w:left w:val="single" w:sz="4" w:space="0" w:color="auto"/>
              <w:bottom w:val="single" w:sz="4" w:space="0" w:color="auto"/>
              <w:right w:val="single" w:sz="4" w:space="0" w:color="auto"/>
            </w:tcBorders>
          </w:tcPr>
          <w:p w14:paraId="20ABC091" w14:textId="77777777" w:rsidR="00E840D3" w:rsidRPr="00C068F4" w:rsidRDefault="00E840D3">
            <w:pPr>
              <w:pStyle w:val="TableText0"/>
              <w:jc w:val="center"/>
            </w:pPr>
            <w:r w:rsidRPr="00C068F4">
              <w:t>VLP</w:t>
            </w:r>
          </w:p>
        </w:tc>
        <w:tc>
          <w:tcPr>
            <w:tcW w:w="872" w:type="dxa"/>
            <w:tcBorders>
              <w:top w:val="single" w:sz="4" w:space="0" w:color="auto"/>
              <w:left w:val="single" w:sz="4" w:space="0" w:color="auto"/>
              <w:bottom w:val="single" w:sz="4" w:space="0" w:color="auto"/>
              <w:right w:val="single" w:sz="4" w:space="0" w:color="auto"/>
            </w:tcBorders>
          </w:tcPr>
          <w:p w14:paraId="78073232" w14:textId="77777777" w:rsidR="00E840D3" w:rsidRPr="00C068F4" w:rsidRDefault="00E840D3">
            <w:pPr>
              <w:pStyle w:val="TableText0"/>
              <w:jc w:val="center"/>
            </w:pPr>
            <w:r w:rsidRPr="00C068F4">
              <w:t>pmAbs</w:t>
            </w:r>
          </w:p>
        </w:tc>
        <w:tc>
          <w:tcPr>
            <w:tcW w:w="983" w:type="dxa"/>
            <w:tcBorders>
              <w:top w:val="single" w:sz="4" w:space="0" w:color="auto"/>
              <w:left w:val="single" w:sz="4" w:space="0" w:color="auto"/>
              <w:bottom w:val="single" w:sz="4" w:space="0" w:color="auto"/>
              <w:right w:val="single" w:sz="4" w:space="0" w:color="auto"/>
            </w:tcBorders>
          </w:tcPr>
          <w:p w14:paraId="471D98DB" w14:textId="77777777" w:rsidR="00E840D3" w:rsidRPr="00C068F4" w:rsidRDefault="00E840D3">
            <w:pPr>
              <w:pStyle w:val="TableText0"/>
              <w:jc w:val="center"/>
            </w:pPr>
            <w:r w:rsidRPr="00C068F4">
              <w:t>351</w:t>
            </w:r>
          </w:p>
        </w:tc>
        <w:tc>
          <w:tcPr>
            <w:tcW w:w="984" w:type="dxa"/>
            <w:tcBorders>
              <w:top w:val="single" w:sz="4" w:space="0" w:color="auto"/>
              <w:left w:val="single" w:sz="4" w:space="0" w:color="auto"/>
              <w:bottom w:val="single" w:sz="4" w:space="0" w:color="auto"/>
              <w:right w:val="single" w:sz="4" w:space="0" w:color="auto"/>
            </w:tcBorders>
          </w:tcPr>
          <w:p w14:paraId="557DEA97" w14:textId="77777777" w:rsidR="00E840D3" w:rsidRPr="00C068F4" w:rsidRDefault="00E840D3">
            <w:pPr>
              <w:pStyle w:val="TableText0"/>
              <w:jc w:val="center"/>
            </w:pPr>
            <w:r w:rsidRPr="00C068F4">
              <w:t>1297</w:t>
            </w:r>
          </w:p>
        </w:tc>
        <w:tc>
          <w:tcPr>
            <w:tcW w:w="984" w:type="dxa"/>
            <w:tcBorders>
              <w:top w:val="single" w:sz="4" w:space="0" w:color="auto"/>
              <w:left w:val="single" w:sz="4" w:space="0" w:color="auto"/>
              <w:bottom w:val="single" w:sz="4" w:space="0" w:color="auto"/>
              <w:right w:val="single" w:sz="4" w:space="0" w:color="auto"/>
            </w:tcBorders>
          </w:tcPr>
          <w:p w14:paraId="5A9D854F" w14:textId="77777777" w:rsidR="00E840D3" w:rsidRPr="00C068F4" w:rsidRDefault="00E840D3">
            <w:pPr>
              <w:pStyle w:val="TableText0"/>
              <w:jc w:val="center"/>
            </w:pPr>
            <w:r w:rsidRPr="00C068F4">
              <w:t>35</w:t>
            </w:r>
          </w:p>
        </w:tc>
        <w:tc>
          <w:tcPr>
            <w:tcW w:w="984" w:type="dxa"/>
            <w:tcBorders>
              <w:top w:val="single" w:sz="4" w:space="0" w:color="auto"/>
              <w:left w:val="single" w:sz="4" w:space="0" w:color="auto"/>
              <w:bottom w:val="single" w:sz="4" w:space="0" w:color="auto"/>
              <w:right w:val="single" w:sz="4" w:space="0" w:color="auto"/>
            </w:tcBorders>
          </w:tcPr>
          <w:p w14:paraId="68101B76" w14:textId="77777777" w:rsidR="00E840D3" w:rsidRPr="00C068F4" w:rsidRDefault="00E840D3">
            <w:pPr>
              <w:pStyle w:val="TableText0"/>
              <w:jc w:val="center"/>
            </w:pPr>
            <w:r w:rsidRPr="00C068F4">
              <w:t>38</w:t>
            </w:r>
          </w:p>
        </w:tc>
        <w:tc>
          <w:tcPr>
            <w:tcW w:w="984" w:type="dxa"/>
            <w:tcBorders>
              <w:top w:val="single" w:sz="4" w:space="0" w:color="auto"/>
              <w:left w:val="single" w:sz="4" w:space="0" w:color="auto"/>
              <w:bottom w:val="single" w:sz="4" w:space="0" w:color="auto"/>
              <w:right w:val="single" w:sz="4" w:space="0" w:color="auto"/>
            </w:tcBorders>
          </w:tcPr>
          <w:p w14:paraId="4CFA700F" w14:textId="77777777" w:rsidR="00E840D3" w:rsidRPr="00C068F4" w:rsidRDefault="00E840D3">
            <w:pPr>
              <w:pStyle w:val="TableText0"/>
              <w:jc w:val="center"/>
            </w:pPr>
            <w:r w:rsidRPr="00C068F4">
              <w:t>38/193</w:t>
            </w:r>
          </w:p>
        </w:tc>
      </w:tr>
    </w:tbl>
    <w:p w14:paraId="11937975" w14:textId="35E77A89" w:rsidR="00E840D3" w:rsidRPr="00C068F4" w:rsidRDefault="00E840D3" w:rsidP="00E840D3">
      <w:pPr>
        <w:pStyle w:val="FooterTableFigure"/>
        <w:jc w:val="left"/>
      </w:pPr>
      <w:r w:rsidRPr="00C068F4">
        <w:t xml:space="preserve">Source: Table 1, FDA Center for Drug Evaluation and Research Review Memorandum re: Emergency Use Authorization for EVUSHELD (29 Jun 2022). Available at: </w:t>
      </w:r>
      <w:hyperlink r:id="rId17" w:history="1">
        <w:r w:rsidRPr="00C068F4">
          <w:rPr>
            <w:rStyle w:val="Hyperlink"/>
          </w:rPr>
          <w:t>https://www.fda.gov/media/159767/download</w:t>
        </w:r>
      </w:hyperlink>
      <w:r w:rsidRPr="00C068F4">
        <w:t xml:space="preserve"> [Accessed: 30 Jun 2022], Tuekprakhon 2022</w:t>
      </w:r>
      <w:bookmarkStart w:id="64" w:name="_Ref110531787"/>
      <w:r w:rsidRPr="00C068F4">
        <w:rPr>
          <w:rStyle w:val="FootnoteReference"/>
        </w:rPr>
        <w:footnoteReference w:id="18"/>
      </w:r>
      <w:bookmarkEnd w:id="64"/>
      <w:r w:rsidRPr="00C068F4">
        <w:t>, Yamasoba 2022</w:t>
      </w:r>
      <w:bookmarkStart w:id="65" w:name="_Ref110532038"/>
      <w:r w:rsidRPr="00C068F4">
        <w:rPr>
          <w:rStyle w:val="FootnoteReference"/>
        </w:rPr>
        <w:footnoteReference w:id="19"/>
      </w:r>
      <w:bookmarkEnd w:id="65"/>
      <w:r w:rsidRPr="00C068F4">
        <w:t>, Cao 2022</w:t>
      </w:r>
      <w:bookmarkStart w:id="66" w:name="_Ref110534796"/>
      <w:r w:rsidRPr="00C068F4">
        <w:rPr>
          <w:rStyle w:val="FootnoteReference"/>
        </w:rPr>
        <w:footnoteReference w:id="20"/>
      </w:r>
      <w:bookmarkEnd w:id="66"/>
      <w:r w:rsidRPr="00C068F4">
        <w:t xml:space="preserve"> and Takashita 2022</w:t>
      </w:r>
      <w:bookmarkStart w:id="67" w:name="_Ref110534811"/>
      <w:r w:rsidRPr="00C068F4">
        <w:rPr>
          <w:rStyle w:val="FootnoteReference"/>
        </w:rPr>
        <w:footnoteReference w:id="21"/>
      </w:r>
      <w:bookmarkEnd w:id="67"/>
    </w:p>
    <w:p w14:paraId="4E2163EE" w14:textId="591CBF46" w:rsidR="00287C72" w:rsidRDefault="00E840D3" w:rsidP="00E840D3">
      <w:pPr>
        <w:pStyle w:val="FooterTableFigure"/>
        <w:ind w:left="142" w:hanging="142"/>
        <w:jc w:val="left"/>
      </w:pPr>
      <w:r w:rsidRPr="00C068F4">
        <w:rPr>
          <w:vertAlign w:val="superscript"/>
        </w:rPr>
        <w:t>1</w:t>
      </w:r>
      <w:r w:rsidRPr="00C068F4">
        <w:t xml:space="preserve"> </w:t>
      </w:r>
      <w:r w:rsidRPr="00C068F4">
        <w:tab/>
        <w:t>Neutralisation assay conducted using authentic virus (Virus) or virus-like particles pseudotyped with the S protein of the indicated Omicron subvariant (VLP)</w:t>
      </w:r>
    </w:p>
    <w:p w14:paraId="65512764" w14:textId="77777777" w:rsidR="00E840D3" w:rsidRPr="00C068F4" w:rsidRDefault="00E840D3" w:rsidP="00E840D3">
      <w:pPr>
        <w:pStyle w:val="FooterTableFigure"/>
        <w:ind w:left="142" w:hanging="142"/>
        <w:jc w:val="left"/>
      </w:pPr>
      <w:r w:rsidRPr="00C068F4">
        <w:rPr>
          <w:vertAlign w:val="superscript"/>
        </w:rPr>
        <w:t>2</w:t>
      </w:r>
      <w:r w:rsidRPr="00C068F4">
        <w:t xml:space="preserve"> </w:t>
      </w:r>
      <w:r w:rsidRPr="00C068F4">
        <w:tab/>
        <w:t>Monoclonal antibodies (mAb) used in the assay. EVUSHELD (EVU; tixagevimab and cilgavimab) or its parental monoclonal antibodies (pmAbs), COV2-2196 and COV2-2130</w:t>
      </w:r>
    </w:p>
    <w:p w14:paraId="23B42B24" w14:textId="3EE2BB8B" w:rsidR="00600732" w:rsidRPr="00C068F4" w:rsidRDefault="00E840D3" w:rsidP="00E840D3">
      <w:pPr>
        <w:pStyle w:val="FooterTableFigure"/>
        <w:ind w:left="142" w:hanging="142"/>
        <w:jc w:val="left"/>
      </w:pPr>
      <w:r w:rsidRPr="00C068F4">
        <w:rPr>
          <w:vertAlign w:val="superscript"/>
        </w:rPr>
        <w:t>3</w:t>
      </w:r>
      <w:r w:rsidRPr="00C068F4">
        <w:t xml:space="preserve"> </w:t>
      </w:r>
      <w:r w:rsidRPr="00C068F4">
        <w:tab/>
        <w:t>Reference virus/VLP were pre-Omicron variants susceptible to both tixagevimab and cilgavimab</w:t>
      </w:r>
    </w:p>
    <w:p w14:paraId="72037C7F" w14:textId="5138BF7A" w:rsidR="00287C72" w:rsidRPr="00B51D7D" w:rsidRDefault="00E840D3" w:rsidP="00B51D7D">
      <w:pPr>
        <w:pStyle w:val="3-BodyText"/>
        <w:rPr>
          <w:iCs/>
          <w:color w:val="000000" w:themeColor="text1"/>
        </w:rPr>
      </w:pPr>
      <w:bookmarkStart w:id="68" w:name="_Ref110853417"/>
      <w:r w:rsidRPr="00C068F4">
        <w:rPr>
          <w:iCs/>
          <w:color w:val="000000" w:themeColor="text1"/>
        </w:rPr>
        <w:t xml:space="preserve">A secondary issue raised by some of the neutralisation studies is that, as shown in </w:t>
      </w:r>
      <w:r w:rsidR="00B51D7D">
        <w:rPr>
          <w:iCs/>
          <w:color w:val="000000" w:themeColor="text1"/>
        </w:rPr>
        <w:t>Table 7,</w:t>
      </w:r>
      <w:r w:rsidR="00B51D7D" w:rsidRPr="00C068F4">
        <w:rPr>
          <w:iCs/>
          <w:color w:val="000000" w:themeColor="text1"/>
        </w:rPr>
        <w:t xml:space="preserve"> </w:t>
      </w:r>
      <w:r w:rsidRPr="00B51D7D">
        <w:rPr>
          <w:iCs/>
          <w:color w:val="000000" w:themeColor="text1"/>
        </w:rPr>
        <w:t xml:space="preserve">it appears that only one of the two antibodies (cilgavimab) retains some </w:t>
      </w:r>
      <w:r w:rsidRPr="00B51D7D">
        <w:rPr>
          <w:iCs/>
          <w:color w:val="000000" w:themeColor="text1"/>
        </w:rPr>
        <w:lastRenderedPageBreak/>
        <w:t>neutralising activity against the BA.2, BA.4 and BA.5 Omicron subvariants. This potentially raises issues in regard the extent of the benefit of the combination product over a single agent in some circumstances.</w:t>
      </w:r>
      <w:bookmarkStart w:id="69" w:name="_Ref110185533"/>
      <w:bookmarkEnd w:id="68"/>
    </w:p>
    <w:p w14:paraId="0DF0C26A" w14:textId="16E3967D" w:rsidR="00E840D3" w:rsidRPr="00C068F4" w:rsidRDefault="00E840D3" w:rsidP="00E840D3">
      <w:pPr>
        <w:pStyle w:val="Caption"/>
        <w:rPr>
          <w:rStyle w:val="CommentReference"/>
          <w:rFonts w:eastAsiaTheme="majorEastAsia" w:cstheme="majorBidi"/>
          <w:b/>
          <w:szCs w:val="24"/>
        </w:rPr>
      </w:pPr>
      <w:r w:rsidRPr="00C068F4">
        <w:t xml:space="preserve">Table </w:t>
      </w:r>
      <w:fldSimple w:instr=" SEQ Table \* ARABIC " w:fldLock="1">
        <w:r w:rsidR="00DB55F2">
          <w:rPr>
            <w:noProof/>
          </w:rPr>
          <w:t>7</w:t>
        </w:r>
      </w:fldSimple>
      <w:bookmarkEnd w:id="69"/>
      <w:r w:rsidRPr="00C068F4">
        <w:rPr>
          <w:rStyle w:val="CommentReference"/>
          <w:rFonts w:eastAsiaTheme="majorEastAsia" w:cstheme="majorBidi"/>
          <w:b/>
          <w:szCs w:val="24"/>
        </w:rPr>
        <w:t>: Susceptibility of selected Omicron subvariants to tixagevimab and cilgavimab administered separately and in combination (concentration required to achieve 50% neutralisation, in ng/mL)</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7: Susceptibility of selected Omicron subvariants to tixagevimab and cilgavimab administered separately and in combination (concentration required to achieve 50% neutralisation, in ng/mL)"/>
      </w:tblPr>
      <w:tblGrid>
        <w:gridCol w:w="1696"/>
        <w:gridCol w:w="819"/>
        <w:gridCol w:w="819"/>
        <w:gridCol w:w="819"/>
        <w:gridCol w:w="819"/>
        <w:gridCol w:w="819"/>
        <w:gridCol w:w="819"/>
        <w:gridCol w:w="819"/>
        <w:gridCol w:w="819"/>
        <w:gridCol w:w="819"/>
      </w:tblGrid>
      <w:tr w:rsidR="00E840D3" w:rsidRPr="00C068F4" w14:paraId="2E0115AC" w14:textId="77777777" w:rsidTr="00DC4004">
        <w:tc>
          <w:tcPr>
            <w:tcW w:w="1696" w:type="dxa"/>
            <w:vMerge w:val="restart"/>
            <w:tcBorders>
              <w:right w:val="single" w:sz="12" w:space="0" w:color="auto"/>
            </w:tcBorders>
            <w:vAlign w:val="bottom"/>
          </w:tcPr>
          <w:p w14:paraId="685F214A" w14:textId="77777777" w:rsidR="00E840D3" w:rsidRPr="00C068F4" w:rsidRDefault="00E840D3">
            <w:pPr>
              <w:pStyle w:val="In-tableHeading"/>
              <w:rPr>
                <w:lang w:val="en-AU"/>
              </w:rPr>
            </w:pPr>
            <w:r w:rsidRPr="00C068F4">
              <w:rPr>
                <w:lang w:val="en-AU"/>
              </w:rPr>
              <w:t>Data Source</w:t>
            </w:r>
          </w:p>
        </w:tc>
        <w:tc>
          <w:tcPr>
            <w:tcW w:w="2457" w:type="dxa"/>
            <w:gridSpan w:val="3"/>
            <w:tcBorders>
              <w:left w:val="single" w:sz="12" w:space="0" w:color="auto"/>
              <w:right w:val="single" w:sz="12" w:space="0" w:color="auto"/>
            </w:tcBorders>
          </w:tcPr>
          <w:p w14:paraId="248D0A59" w14:textId="77777777" w:rsidR="00E840D3" w:rsidRPr="00C068F4" w:rsidRDefault="00E840D3">
            <w:pPr>
              <w:pStyle w:val="In-tableHeading"/>
              <w:jc w:val="center"/>
              <w:rPr>
                <w:lang w:val="en-AU"/>
              </w:rPr>
            </w:pPr>
            <w:r w:rsidRPr="00C068F4">
              <w:rPr>
                <w:lang w:val="en-AU"/>
              </w:rPr>
              <w:t>BA.2</w:t>
            </w:r>
          </w:p>
        </w:tc>
        <w:tc>
          <w:tcPr>
            <w:tcW w:w="2457" w:type="dxa"/>
            <w:gridSpan w:val="3"/>
            <w:tcBorders>
              <w:left w:val="single" w:sz="12" w:space="0" w:color="auto"/>
              <w:right w:val="single" w:sz="12" w:space="0" w:color="auto"/>
            </w:tcBorders>
          </w:tcPr>
          <w:p w14:paraId="51D2B27A" w14:textId="77777777" w:rsidR="00E840D3" w:rsidRPr="00C068F4" w:rsidRDefault="00E840D3">
            <w:pPr>
              <w:pStyle w:val="In-tableHeading"/>
              <w:jc w:val="center"/>
              <w:rPr>
                <w:lang w:val="en-AU"/>
              </w:rPr>
            </w:pPr>
            <w:r w:rsidRPr="00C068F4">
              <w:rPr>
                <w:lang w:val="en-AU"/>
              </w:rPr>
              <w:t>BA.4*</w:t>
            </w:r>
          </w:p>
        </w:tc>
        <w:tc>
          <w:tcPr>
            <w:tcW w:w="2457" w:type="dxa"/>
            <w:gridSpan w:val="3"/>
            <w:tcBorders>
              <w:left w:val="single" w:sz="12" w:space="0" w:color="auto"/>
              <w:right w:val="single" w:sz="12" w:space="0" w:color="auto"/>
            </w:tcBorders>
          </w:tcPr>
          <w:p w14:paraId="1B15CA5D" w14:textId="77777777" w:rsidR="00E840D3" w:rsidRPr="00C068F4" w:rsidRDefault="00E840D3">
            <w:pPr>
              <w:pStyle w:val="In-tableHeading"/>
              <w:jc w:val="center"/>
              <w:rPr>
                <w:lang w:val="en-AU"/>
              </w:rPr>
            </w:pPr>
            <w:r w:rsidRPr="00C068F4">
              <w:rPr>
                <w:lang w:val="en-AU"/>
              </w:rPr>
              <w:t>BA.5</w:t>
            </w:r>
          </w:p>
        </w:tc>
      </w:tr>
      <w:tr w:rsidR="00E840D3" w:rsidRPr="00C068F4" w14:paraId="74D1C682" w14:textId="77777777" w:rsidTr="00DC4004">
        <w:tc>
          <w:tcPr>
            <w:tcW w:w="1696" w:type="dxa"/>
            <w:vMerge/>
            <w:tcBorders>
              <w:right w:val="single" w:sz="12" w:space="0" w:color="auto"/>
            </w:tcBorders>
            <w:vAlign w:val="bottom"/>
          </w:tcPr>
          <w:p w14:paraId="7AA930B0" w14:textId="77777777" w:rsidR="00E840D3" w:rsidRPr="00C068F4" w:rsidRDefault="00E840D3">
            <w:pPr>
              <w:pStyle w:val="In-tableHeading"/>
              <w:rPr>
                <w:lang w:val="en-AU"/>
              </w:rPr>
            </w:pPr>
          </w:p>
        </w:tc>
        <w:tc>
          <w:tcPr>
            <w:tcW w:w="819" w:type="dxa"/>
            <w:tcBorders>
              <w:left w:val="single" w:sz="12" w:space="0" w:color="auto"/>
            </w:tcBorders>
            <w:vAlign w:val="center"/>
          </w:tcPr>
          <w:p w14:paraId="47BDBB89" w14:textId="44CF23AB" w:rsidR="00E840D3" w:rsidRPr="00C068F4" w:rsidRDefault="00E840D3">
            <w:pPr>
              <w:pStyle w:val="In-tableHeading"/>
              <w:jc w:val="center"/>
              <w:rPr>
                <w:lang w:val="en-AU"/>
              </w:rPr>
            </w:pPr>
            <w:r w:rsidRPr="00C068F4">
              <w:rPr>
                <w:lang w:val="en-AU"/>
              </w:rPr>
              <w:t>TIX</w:t>
            </w:r>
            <w:r w:rsidR="004B7639" w:rsidRPr="00C068F4">
              <w:rPr>
                <w:lang w:val="en-AU"/>
              </w:rPr>
              <w:t>A</w:t>
            </w:r>
          </w:p>
        </w:tc>
        <w:tc>
          <w:tcPr>
            <w:tcW w:w="819" w:type="dxa"/>
            <w:vAlign w:val="center"/>
          </w:tcPr>
          <w:p w14:paraId="54D04A50" w14:textId="77777777" w:rsidR="00E840D3" w:rsidRPr="00C068F4" w:rsidRDefault="00E840D3">
            <w:pPr>
              <w:pStyle w:val="In-tableHeading"/>
              <w:jc w:val="center"/>
              <w:rPr>
                <w:lang w:val="en-AU"/>
              </w:rPr>
            </w:pPr>
            <w:r w:rsidRPr="00C068F4">
              <w:rPr>
                <w:lang w:val="en-AU"/>
              </w:rPr>
              <w:t>CIL</w:t>
            </w:r>
          </w:p>
        </w:tc>
        <w:tc>
          <w:tcPr>
            <w:tcW w:w="819" w:type="dxa"/>
            <w:tcBorders>
              <w:right w:val="single" w:sz="12" w:space="0" w:color="auto"/>
            </w:tcBorders>
            <w:vAlign w:val="center"/>
          </w:tcPr>
          <w:p w14:paraId="55BFCD35" w14:textId="77777777" w:rsidR="00E840D3" w:rsidRPr="00C068F4" w:rsidRDefault="00E840D3">
            <w:pPr>
              <w:pStyle w:val="In-tableHeading"/>
              <w:jc w:val="center"/>
              <w:rPr>
                <w:lang w:val="en-AU"/>
              </w:rPr>
            </w:pPr>
            <w:r w:rsidRPr="00C068F4">
              <w:rPr>
                <w:lang w:val="en-AU"/>
              </w:rPr>
              <w:t>TIXA + CIL</w:t>
            </w:r>
          </w:p>
        </w:tc>
        <w:tc>
          <w:tcPr>
            <w:tcW w:w="819" w:type="dxa"/>
            <w:tcBorders>
              <w:left w:val="single" w:sz="12" w:space="0" w:color="auto"/>
            </w:tcBorders>
            <w:vAlign w:val="center"/>
          </w:tcPr>
          <w:p w14:paraId="3A30448B" w14:textId="59983574" w:rsidR="00E840D3" w:rsidRPr="00C068F4" w:rsidRDefault="00E840D3">
            <w:pPr>
              <w:pStyle w:val="In-tableHeading"/>
              <w:jc w:val="center"/>
              <w:rPr>
                <w:lang w:val="en-AU"/>
              </w:rPr>
            </w:pPr>
            <w:r w:rsidRPr="00C068F4">
              <w:rPr>
                <w:lang w:val="en-AU"/>
              </w:rPr>
              <w:t>TIX</w:t>
            </w:r>
            <w:r w:rsidR="004B7639" w:rsidRPr="00C068F4">
              <w:rPr>
                <w:lang w:val="en-AU"/>
              </w:rPr>
              <w:t>A</w:t>
            </w:r>
          </w:p>
        </w:tc>
        <w:tc>
          <w:tcPr>
            <w:tcW w:w="819" w:type="dxa"/>
            <w:vAlign w:val="center"/>
          </w:tcPr>
          <w:p w14:paraId="68C25D9D" w14:textId="77777777" w:rsidR="00E840D3" w:rsidRPr="00C068F4" w:rsidRDefault="00E840D3">
            <w:pPr>
              <w:pStyle w:val="In-tableHeading"/>
              <w:jc w:val="center"/>
              <w:rPr>
                <w:lang w:val="en-AU"/>
              </w:rPr>
            </w:pPr>
            <w:r w:rsidRPr="00C068F4">
              <w:rPr>
                <w:lang w:val="en-AU"/>
              </w:rPr>
              <w:t>CIL</w:t>
            </w:r>
          </w:p>
        </w:tc>
        <w:tc>
          <w:tcPr>
            <w:tcW w:w="819" w:type="dxa"/>
            <w:tcBorders>
              <w:right w:val="single" w:sz="12" w:space="0" w:color="auto"/>
            </w:tcBorders>
            <w:vAlign w:val="center"/>
          </w:tcPr>
          <w:p w14:paraId="038E3711" w14:textId="77777777" w:rsidR="00E840D3" w:rsidRPr="00C068F4" w:rsidRDefault="00E840D3">
            <w:pPr>
              <w:pStyle w:val="In-tableHeading"/>
              <w:jc w:val="center"/>
              <w:rPr>
                <w:lang w:val="en-AU"/>
              </w:rPr>
            </w:pPr>
            <w:r w:rsidRPr="00C068F4">
              <w:rPr>
                <w:lang w:val="en-AU"/>
              </w:rPr>
              <w:t>TIXA + CIL</w:t>
            </w:r>
          </w:p>
        </w:tc>
        <w:tc>
          <w:tcPr>
            <w:tcW w:w="819" w:type="dxa"/>
            <w:tcBorders>
              <w:left w:val="single" w:sz="12" w:space="0" w:color="auto"/>
            </w:tcBorders>
            <w:vAlign w:val="center"/>
          </w:tcPr>
          <w:p w14:paraId="01E3314A" w14:textId="77777777" w:rsidR="00E840D3" w:rsidRPr="00C068F4" w:rsidRDefault="00E840D3">
            <w:pPr>
              <w:pStyle w:val="In-tableHeading"/>
              <w:jc w:val="center"/>
              <w:rPr>
                <w:lang w:val="en-AU"/>
              </w:rPr>
            </w:pPr>
            <w:r w:rsidRPr="00C068F4">
              <w:rPr>
                <w:lang w:val="en-AU"/>
              </w:rPr>
              <w:t>TIX</w:t>
            </w:r>
          </w:p>
        </w:tc>
        <w:tc>
          <w:tcPr>
            <w:tcW w:w="819" w:type="dxa"/>
            <w:vAlign w:val="center"/>
          </w:tcPr>
          <w:p w14:paraId="03E69A82" w14:textId="77777777" w:rsidR="00E840D3" w:rsidRPr="00C068F4" w:rsidRDefault="00E840D3">
            <w:pPr>
              <w:pStyle w:val="In-tableHeading"/>
              <w:jc w:val="center"/>
              <w:rPr>
                <w:lang w:val="en-AU"/>
              </w:rPr>
            </w:pPr>
            <w:r w:rsidRPr="00C068F4">
              <w:rPr>
                <w:lang w:val="en-AU"/>
              </w:rPr>
              <w:t>CIL</w:t>
            </w:r>
          </w:p>
        </w:tc>
        <w:tc>
          <w:tcPr>
            <w:tcW w:w="819" w:type="dxa"/>
            <w:tcBorders>
              <w:right w:val="single" w:sz="12" w:space="0" w:color="auto"/>
            </w:tcBorders>
            <w:vAlign w:val="center"/>
          </w:tcPr>
          <w:p w14:paraId="40C230AA" w14:textId="77777777" w:rsidR="00E840D3" w:rsidRPr="00C068F4" w:rsidRDefault="00E840D3">
            <w:pPr>
              <w:pStyle w:val="In-tableHeading"/>
              <w:jc w:val="center"/>
              <w:rPr>
                <w:lang w:val="en-AU"/>
              </w:rPr>
            </w:pPr>
            <w:r w:rsidRPr="00C068F4">
              <w:rPr>
                <w:lang w:val="en-AU"/>
              </w:rPr>
              <w:t>TIXA + CIL</w:t>
            </w:r>
          </w:p>
        </w:tc>
      </w:tr>
      <w:tr w:rsidR="00E840D3" w:rsidRPr="00C068F4" w14:paraId="53EE321D" w14:textId="77777777" w:rsidTr="00DC4004">
        <w:tc>
          <w:tcPr>
            <w:tcW w:w="1696" w:type="dxa"/>
            <w:tcBorders>
              <w:top w:val="single" w:sz="4" w:space="0" w:color="auto"/>
              <w:left w:val="single" w:sz="4" w:space="0" w:color="auto"/>
              <w:bottom w:val="single" w:sz="4" w:space="0" w:color="auto"/>
              <w:right w:val="single" w:sz="12" w:space="0" w:color="auto"/>
            </w:tcBorders>
          </w:tcPr>
          <w:p w14:paraId="2EB95533" w14:textId="77777777" w:rsidR="00E840D3" w:rsidRPr="00C068F4" w:rsidRDefault="00E840D3">
            <w:pPr>
              <w:pStyle w:val="TableText0"/>
            </w:pPr>
            <w:r w:rsidRPr="00C068F4">
              <w:t>Tuekprakhon 2022</w:t>
            </w:r>
          </w:p>
        </w:tc>
        <w:tc>
          <w:tcPr>
            <w:tcW w:w="819" w:type="dxa"/>
            <w:tcBorders>
              <w:top w:val="single" w:sz="4" w:space="0" w:color="auto"/>
              <w:left w:val="single" w:sz="12" w:space="0" w:color="auto"/>
              <w:bottom w:val="single" w:sz="4" w:space="0" w:color="auto"/>
              <w:right w:val="single" w:sz="4" w:space="0" w:color="auto"/>
            </w:tcBorders>
          </w:tcPr>
          <w:p w14:paraId="170655A1" w14:textId="77777777" w:rsidR="00E840D3" w:rsidRPr="00C068F4" w:rsidRDefault="00E840D3">
            <w:pPr>
              <w:pStyle w:val="TableText0"/>
              <w:jc w:val="center"/>
            </w:pPr>
            <w:r w:rsidRPr="00C068F4">
              <w:t>1333</w:t>
            </w:r>
          </w:p>
        </w:tc>
        <w:tc>
          <w:tcPr>
            <w:tcW w:w="819" w:type="dxa"/>
            <w:tcBorders>
              <w:top w:val="single" w:sz="4" w:space="0" w:color="auto"/>
              <w:left w:val="single" w:sz="4" w:space="0" w:color="auto"/>
              <w:bottom w:val="single" w:sz="4" w:space="0" w:color="auto"/>
              <w:right w:val="single" w:sz="4" w:space="0" w:color="auto"/>
            </w:tcBorders>
          </w:tcPr>
          <w:p w14:paraId="690FBBA1" w14:textId="77777777" w:rsidR="00E840D3" w:rsidRPr="00C068F4" w:rsidRDefault="00E840D3">
            <w:pPr>
              <w:pStyle w:val="TableText0"/>
              <w:jc w:val="center"/>
            </w:pPr>
            <w:r w:rsidRPr="00C068F4">
              <w:t>8</w:t>
            </w:r>
          </w:p>
        </w:tc>
        <w:tc>
          <w:tcPr>
            <w:tcW w:w="819" w:type="dxa"/>
            <w:tcBorders>
              <w:top w:val="single" w:sz="4" w:space="0" w:color="auto"/>
              <w:left w:val="single" w:sz="4" w:space="0" w:color="auto"/>
              <w:bottom w:val="single" w:sz="4" w:space="0" w:color="auto"/>
              <w:right w:val="single" w:sz="12" w:space="0" w:color="auto"/>
            </w:tcBorders>
          </w:tcPr>
          <w:p w14:paraId="1B9E0DE5" w14:textId="77777777" w:rsidR="00E840D3" w:rsidRPr="00C068F4" w:rsidRDefault="00E840D3">
            <w:pPr>
              <w:pStyle w:val="TableText0"/>
              <w:jc w:val="center"/>
            </w:pPr>
            <w:r w:rsidRPr="00C068F4">
              <w:t>8</w:t>
            </w:r>
          </w:p>
        </w:tc>
        <w:tc>
          <w:tcPr>
            <w:tcW w:w="819" w:type="dxa"/>
            <w:tcBorders>
              <w:top w:val="single" w:sz="4" w:space="0" w:color="auto"/>
              <w:left w:val="single" w:sz="12" w:space="0" w:color="auto"/>
              <w:bottom w:val="single" w:sz="4" w:space="0" w:color="auto"/>
              <w:right w:val="single" w:sz="4" w:space="0" w:color="auto"/>
            </w:tcBorders>
          </w:tcPr>
          <w:p w14:paraId="1987CE14" w14:textId="77777777" w:rsidR="00E840D3" w:rsidRPr="00C068F4" w:rsidRDefault="00E840D3">
            <w:pPr>
              <w:pStyle w:val="TableText0"/>
              <w:jc w:val="center"/>
            </w:pPr>
            <w:r w:rsidRPr="00C068F4">
              <w:t>&gt;10,000</w:t>
            </w:r>
          </w:p>
        </w:tc>
        <w:tc>
          <w:tcPr>
            <w:tcW w:w="819" w:type="dxa"/>
            <w:tcBorders>
              <w:top w:val="single" w:sz="4" w:space="0" w:color="auto"/>
              <w:left w:val="single" w:sz="4" w:space="0" w:color="auto"/>
              <w:bottom w:val="single" w:sz="4" w:space="0" w:color="auto"/>
            </w:tcBorders>
          </w:tcPr>
          <w:p w14:paraId="09F99E79" w14:textId="77777777" w:rsidR="00E840D3" w:rsidRPr="00C068F4" w:rsidRDefault="00E840D3">
            <w:pPr>
              <w:pStyle w:val="TableText0"/>
              <w:jc w:val="center"/>
            </w:pPr>
            <w:r w:rsidRPr="00C068F4">
              <w:t>15</w:t>
            </w:r>
          </w:p>
        </w:tc>
        <w:tc>
          <w:tcPr>
            <w:tcW w:w="819" w:type="dxa"/>
            <w:tcBorders>
              <w:right w:val="single" w:sz="12" w:space="0" w:color="auto"/>
            </w:tcBorders>
          </w:tcPr>
          <w:p w14:paraId="48414D31" w14:textId="77777777" w:rsidR="00E840D3" w:rsidRPr="00C068F4" w:rsidRDefault="00E840D3">
            <w:pPr>
              <w:pStyle w:val="TableText0"/>
              <w:jc w:val="center"/>
            </w:pPr>
            <w:r w:rsidRPr="00C068F4">
              <w:t>65</w:t>
            </w:r>
          </w:p>
        </w:tc>
        <w:tc>
          <w:tcPr>
            <w:tcW w:w="2457" w:type="dxa"/>
            <w:gridSpan w:val="3"/>
            <w:tcBorders>
              <w:left w:val="single" w:sz="12" w:space="0" w:color="auto"/>
              <w:right w:val="single" w:sz="12" w:space="0" w:color="auto"/>
            </w:tcBorders>
          </w:tcPr>
          <w:p w14:paraId="0C3B2459" w14:textId="77777777" w:rsidR="00E840D3" w:rsidRPr="00C068F4" w:rsidRDefault="00E840D3">
            <w:pPr>
              <w:pStyle w:val="TableText0"/>
              <w:jc w:val="center"/>
            </w:pPr>
            <w:r w:rsidRPr="00C068F4">
              <w:t>Not reported</w:t>
            </w:r>
          </w:p>
        </w:tc>
      </w:tr>
      <w:tr w:rsidR="00E840D3" w:rsidRPr="00C068F4" w14:paraId="22FD88DC" w14:textId="77777777" w:rsidTr="00DC4004">
        <w:tc>
          <w:tcPr>
            <w:tcW w:w="1696" w:type="dxa"/>
            <w:tcBorders>
              <w:top w:val="single" w:sz="4" w:space="0" w:color="auto"/>
              <w:left w:val="single" w:sz="4" w:space="0" w:color="auto"/>
              <w:bottom w:val="single" w:sz="4" w:space="0" w:color="auto"/>
              <w:right w:val="single" w:sz="12" w:space="0" w:color="auto"/>
            </w:tcBorders>
          </w:tcPr>
          <w:p w14:paraId="74055CD2" w14:textId="77777777" w:rsidR="00E840D3" w:rsidRPr="00C068F4" w:rsidRDefault="00E840D3">
            <w:pPr>
              <w:pStyle w:val="TableText0"/>
            </w:pPr>
            <w:r w:rsidRPr="00C068F4">
              <w:t>Yamasoba 2022</w:t>
            </w:r>
          </w:p>
        </w:tc>
        <w:tc>
          <w:tcPr>
            <w:tcW w:w="819" w:type="dxa"/>
            <w:tcBorders>
              <w:top w:val="single" w:sz="4" w:space="0" w:color="auto"/>
              <w:left w:val="single" w:sz="12" w:space="0" w:color="auto"/>
              <w:bottom w:val="single" w:sz="4" w:space="0" w:color="auto"/>
              <w:right w:val="single" w:sz="4" w:space="0" w:color="auto"/>
            </w:tcBorders>
          </w:tcPr>
          <w:p w14:paraId="0CC6DFC6" w14:textId="77777777" w:rsidR="00E840D3" w:rsidRPr="00C068F4" w:rsidRDefault="00E840D3">
            <w:pPr>
              <w:pStyle w:val="TableText0"/>
              <w:jc w:val="center"/>
            </w:pPr>
            <w:r w:rsidRPr="00C068F4">
              <w:t>&gt;2750</w:t>
            </w:r>
          </w:p>
        </w:tc>
        <w:tc>
          <w:tcPr>
            <w:tcW w:w="819" w:type="dxa"/>
            <w:tcBorders>
              <w:top w:val="single" w:sz="4" w:space="0" w:color="auto"/>
              <w:left w:val="single" w:sz="4" w:space="0" w:color="auto"/>
              <w:bottom w:val="single" w:sz="4" w:space="0" w:color="auto"/>
              <w:right w:val="single" w:sz="4" w:space="0" w:color="auto"/>
            </w:tcBorders>
          </w:tcPr>
          <w:p w14:paraId="44836F98" w14:textId="77777777" w:rsidR="00E840D3" w:rsidRPr="00C068F4" w:rsidRDefault="00E840D3">
            <w:pPr>
              <w:pStyle w:val="TableText0"/>
              <w:jc w:val="center"/>
            </w:pPr>
            <w:r w:rsidRPr="00C068F4">
              <w:t>19</w:t>
            </w:r>
          </w:p>
        </w:tc>
        <w:tc>
          <w:tcPr>
            <w:tcW w:w="819" w:type="dxa"/>
            <w:tcBorders>
              <w:top w:val="single" w:sz="4" w:space="0" w:color="auto"/>
              <w:left w:val="single" w:sz="4" w:space="0" w:color="auto"/>
              <w:bottom w:val="single" w:sz="4" w:space="0" w:color="auto"/>
              <w:right w:val="single" w:sz="12" w:space="0" w:color="auto"/>
            </w:tcBorders>
          </w:tcPr>
          <w:p w14:paraId="015CEAB2" w14:textId="77777777" w:rsidR="00E840D3" w:rsidRPr="00C068F4" w:rsidRDefault="00E840D3">
            <w:pPr>
              <w:pStyle w:val="TableText0"/>
              <w:jc w:val="center"/>
            </w:pPr>
            <w:r w:rsidRPr="00C068F4">
              <w:t>33</w:t>
            </w:r>
          </w:p>
        </w:tc>
        <w:tc>
          <w:tcPr>
            <w:tcW w:w="819" w:type="dxa"/>
            <w:tcBorders>
              <w:top w:val="single" w:sz="4" w:space="0" w:color="auto"/>
              <w:left w:val="single" w:sz="12" w:space="0" w:color="auto"/>
              <w:bottom w:val="single" w:sz="4" w:space="0" w:color="auto"/>
              <w:right w:val="single" w:sz="4" w:space="0" w:color="auto"/>
            </w:tcBorders>
          </w:tcPr>
          <w:p w14:paraId="64A46549" w14:textId="77777777" w:rsidR="00E840D3" w:rsidRPr="00C068F4" w:rsidRDefault="00E840D3">
            <w:pPr>
              <w:pStyle w:val="TableText0"/>
              <w:jc w:val="center"/>
            </w:pPr>
            <w:r w:rsidRPr="00C068F4">
              <w:t>&gt;2750</w:t>
            </w:r>
          </w:p>
        </w:tc>
        <w:tc>
          <w:tcPr>
            <w:tcW w:w="819" w:type="dxa"/>
            <w:tcBorders>
              <w:top w:val="single" w:sz="4" w:space="0" w:color="auto"/>
              <w:left w:val="single" w:sz="4" w:space="0" w:color="auto"/>
              <w:bottom w:val="single" w:sz="4" w:space="0" w:color="auto"/>
            </w:tcBorders>
          </w:tcPr>
          <w:p w14:paraId="11CE8B53" w14:textId="77777777" w:rsidR="00E840D3" w:rsidRPr="00C068F4" w:rsidRDefault="00E840D3">
            <w:pPr>
              <w:pStyle w:val="TableText0"/>
              <w:jc w:val="center"/>
            </w:pPr>
            <w:r w:rsidRPr="00C068F4">
              <w:t>443</w:t>
            </w:r>
          </w:p>
        </w:tc>
        <w:tc>
          <w:tcPr>
            <w:tcW w:w="819" w:type="dxa"/>
            <w:tcBorders>
              <w:right w:val="single" w:sz="12" w:space="0" w:color="auto"/>
            </w:tcBorders>
          </w:tcPr>
          <w:p w14:paraId="3BC39A03" w14:textId="77777777" w:rsidR="00E840D3" w:rsidRPr="00C068F4" w:rsidRDefault="00E840D3">
            <w:pPr>
              <w:pStyle w:val="TableText0"/>
              <w:jc w:val="center"/>
            </w:pPr>
            <w:r w:rsidRPr="00C068F4">
              <w:t>609</w:t>
            </w:r>
          </w:p>
        </w:tc>
        <w:tc>
          <w:tcPr>
            <w:tcW w:w="2457" w:type="dxa"/>
            <w:gridSpan w:val="3"/>
            <w:vMerge w:val="restart"/>
            <w:tcBorders>
              <w:left w:val="single" w:sz="12" w:space="0" w:color="auto"/>
              <w:right w:val="single" w:sz="12" w:space="0" w:color="auto"/>
            </w:tcBorders>
          </w:tcPr>
          <w:p w14:paraId="59F83B08" w14:textId="77777777" w:rsidR="00E840D3" w:rsidRPr="00C068F4" w:rsidRDefault="00E840D3">
            <w:pPr>
              <w:pStyle w:val="TableText0"/>
              <w:jc w:val="center"/>
            </w:pPr>
            <w:r w:rsidRPr="00C068F4">
              <w:t>Column with BA.4 reports results for BA.4/5</w:t>
            </w:r>
          </w:p>
        </w:tc>
      </w:tr>
      <w:tr w:rsidR="00E840D3" w:rsidRPr="00C068F4" w14:paraId="75187C85" w14:textId="77777777" w:rsidTr="00DC4004">
        <w:tc>
          <w:tcPr>
            <w:tcW w:w="1696" w:type="dxa"/>
            <w:tcBorders>
              <w:top w:val="single" w:sz="4" w:space="0" w:color="auto"/>
              <w:left w:val="single" w:sz="4" w:space="0" w:color="auto"/>
              <w:bottom w:val="single" w:sz="4" w:space="0" w:color="auto"/>
              <w:right w:val="single" w:sz="12" w:space="0" w:color="auto"/>
            </w:tcBorders>
          </w:tcPr>
          <w:p w14:paraId="7378296C" w14:textId="77777777" w:rsidR="00E840D3" w:rsidRPr="00C068F4" w:rsidRDefault="00E840D3">
            <w:pPr>
              <w:pStyle w:val="TableText0"/>
            </w:pPr>
            <w:r w:rsidRPr="00C068F4">
              <w:t>Cao 2022</w:t>
            </w:r>
          </w:p>
        </w:tc>
        <w:tc>
          <w:tcPr>
            <w:tcW w:w="819" w:type="dxa"/>
            <w:tcBorders>
              <w:top w:val="single" w:sz="4" w:space="0" w:color="auto"/>
              <w:left w:val="single" w:sz="12" w:space="0" w:color="auto"/>
              <w:bottom w:val="single" w:sz="4" w:space="0" w:color="auto"/>
              <w:right w:val="single" w:sz="4" w:space="0" w:color="auto"/>
            </w:tcBorders>
          </w:tcPr>
          <w:p w14:paraId="63DA1BB4" w14:textId="77777777" w:rsidR="00E840D3" w:rsidRPr="00C068F4" w:rsidRDefault="00E840D3">
            <w:pPr>
              <w:pStyle w:val="TableText0"/>
              <w:jc w:val="center"/>
            </w:pPr>
            <w:r w:rsidRPr="00C068F4">
              <w:t>4312</w:t>
            </w:r>
          </w:p>
        </w:tc>
        <w:tc>
          <w:tcPr>
            <w:tcW w:w="819" w:type="dxa"/>
            <w:tcBorders>
              <w:top w:val="single" w:sz="4" w:space="0" w:color="auto"/>
              <w:left w:val="single" w:sz="4" w:space="0" w:color="auto"/>
              <w:bottom w:val="single" w:sz="4" w:space="0" w:color="auto"/>
              <w:right w:val="single" w:sz="4" w:space="0" w:color="auto"/>
            </w:tcBorders>
          </w:tcPr>
          <w:p w14:paraId="4165B1D1" w14:textId="77777777" w:rsidR="00E840D3" w:rsidRPr="00C068F4" w:rsidRDefault="00E840D3">
            <w:pPr>
              <w:pStyle w:val="TableText0"/>
              <w:jc w:val="center"/>
            </w:pPr>
            <w:r w:rsidRPr="00C068F4">
              <w:t>6.3</w:t>
            </w:r>
          </w:p>
        </w:tc>
        <w:tc>
          <w:tcPr>
            <w:tcW w:w="819" w:type="dxa"/>
            <w:tcBorders>
              <w:top w:val="single" w:sz="4" w:space="0" w:color="auto"/>
              <w:left w:val="single" w:sz="4" w:space="0" w:color="auto"/>
              <w:bottom w:val="single" w:sz="4" w:space="0" w:color="auto"/>
              <w:right w:val="single" w:sz="12" w:space="0" w:color="auto"/>
            </w:tcBorders>
          </w:tcPr>
          <w:p w14:paraId="75636834" w14:textId="77777777" w:rsidR="00E840D3" w:rsidRPr="00C068F4" w:rsidRDefault="00E840D3">
            <w:pPr>
              <w:pStyle w:val="TableText0"/>
              <w:jc w:val="center"/>
            </w:pPr>
            <w:r w:rsidRPr="00C068F4">
              <w:t>8.2</w:t>
            </w:r>
          </w:p>
        </w:tc>
        <w:tc>
          <w:tcPr>
            <w:tcW w:w="819" w:type="dxa"/>
            <w:tcBorders>
              <w:top w:val="single" w:sz="4" w:space="0" w:color="auto"/>
              <w:left w:val="single" w:sz="12" w:space="0" w:color="auto"/>
              <w:bottom w:val="single" w:sz="4" w:space="0" w:color="auto"/>
              <w:right w:val="single" w:sz="4" w:space="0" w:color="auto"/>
            </w:tcBorders>
          </w:tcPr>
          <w:p w14:paraId="01A18576" w14:textId="77777777" w:rsidR="00E840D3" w:rsidRPr="00C068F4" w:rsidRDefault="00E840D3">
            <w:pPr>
              <w:pStyle w:val="TableText0"/>
              <w:jc w:val="center"/>
            </w:pPr>
            <w:r w:rsidRPr="00C068F4">
              <w:t>&gt;10,000</w:t>
            </w:r>
          </w:p>
        </w:tc>
        <w:tc>
          <w:tcPr>
            <w:tcW w:w="819" w:type="dxa"/>
            <w:tcBorders>
              <w:top w:val="single" w:sz="4" w:space="0" w:color="auto"/>
              <w:left w:val="single" w:sz="4" w:space="0" w:color="auto"/>
              <w:bottom w:val="single" w:sz="4" w:space="0" w:color="auto"/>
            </w:tcBorders>
          </w:tcPr>
          <w:p w14:paraId="2C89A901" w14:textId="77777777" w:rsidR="00E840D3" w:rsidRPr="00C068F4" w:rsidRDefault="00E840D3">
            <w:pPr>
              <w:pStyle w:val="TableText0"/>
              <w:jc w:val="center"/>
            </w:pPr>
            <w:r w:rsidRPr="00C068F4">
              <w:t>23</w:t>
            </w:r>
          </w:p>
        </w:tc>
        <w:tc>
          <w:tcPr>
            <w:tcW w:w="819" w:type="dxa"/>
            <w:tcBorders>
              <w:right w:val="single" w:sz="12" w:space="0" w:color="auto"/>
            </w:tcBorders>
          </w:tcPr>
          <w:p w14:paraId="38255A7D" w14:textId="77777777" w:rsidR="00E840D3" w:rsidRPr="00C068F4" w:rsidRDefault="00E840D3">
            <w:pPr>
              <w:pStyle w:val="TableText0"/>
              <w:jc w:val="center"/>
            </w:pPr>
            <w:r w:rsidRPr="00C068F4">
              <w:t>40</w:t>
            </w:r>
          </w:p>
        </w:tc>
        <w:tc>
          <w:tcPr>
            <w:tcW w:w="2457" w:type="dxa"/>
            <w:gridSpan w:val="3"/>
            <w:vMerge/>
            <w:tcBorders>
              <w:left w:val="single" w:sz="12" w:space="0" w:color="auto"/>
              <w:right w:val="single" w:sz="12" w:space="0" w:color="auto"/>
            </w:tcBorders>
          </w:tcPr>
          <w:p w14:paraId="0C0D4B90" w14:textId="77777777" w:rsidR="00E840D3" w:rsidRPr="00C068F4" w:rsidRDefault="00E840D3">
            <w:pPr>
              <w:pStyle w:val="TableText0"/>
              <w:jc w:val="center"/>
            </w:pPr>
          </w:p>
        </w:tc>
      </w:tr>
      <w:tr w:rsidR="00E840D3" w:rsidRPr="00C068F4" w14:paraId="61F88BEC" w14:textId="77777777" w:rsidTr="00DC4004">
        <w:tc>
          <w:tcPr>
            <w:tcW w:w="1696" w:type="dxa"/>
            <w:tcBorders>
              <w:top w:val="single" w:sz="4" w:space="0" w:color="auto"/>
              <w:left w:val="single" w:sz="4" w:space="0" w:color="auto"/>
              <w:bottom w:val="single" w:sz="4" w:space="0" w:color="auto"/>
              <w:right w:val="single" w:sz="12" w:space="0" w:color="auto"/>
            </w:tcBorders>
          </w:tcPr>
          <w:p w14:paraId="476DF6C6" w14:textId="77777777" w:rsidR="00E840D3" w:rsidRPr="00C068F4" w:rsidRDefault="00E840D3">
            <w:pPr>
              <w:pStyle w:val="TableText0"/>
            </w:pPr>
            <w:r w:rsidRPr="00C068F4">
              <w:t>Takashita 2022</w:t>
            </w:r>
          </w:p>
        </w:tc>
        <w:tc>
          <w:tcPr>
            <w:tcW w:w="819" w:type="dxa"/>
            <w:tcBorders>
              <w:top w:val="single" w:sz="4" w:space="0" w:color="auto"/>
              <w:left w:val="single" w:sz="12" w:space="0" w:color="auto"/>
              <w:bottom w:val="single" w:sz="4" w:space="0" w:color="auto"/>
              <w:right w:val="single" w:sz="4" w:space="0" w:color="auto"/>
            </w:tcBorders>
          </w:tcPr>
          <w:p w14:paraId="60A0D887" w14:textId="77777777" w:rsidR="00E840D3" w:rsidRPr="00C068F4" w:rsidRDefault="00E840D3">
            <w:pPr>
              <w:pStyle w:val="TableText0"/>
              <w:jc w:val="center"/>
            </w:pPr>
            <w:r w:rsidRPr="00C068F4">
              <w:t>2757</w:t>
            </w:r>
          </w:p>
        </w:tc>
        <w:tc>
          <w:tcPr>
            <w:tcW w:w="819" w:type="dxa"/>
            <w:tcBorders>
              <w:top w:val="single" w:sz="4" w:space="0" w:color="auto"/>
              <w:left w:val="single" w:sz="4" w:space="0" w:color="auto"/>
              <w:bottom w:val="single" w:sz="4" w:space="0" w:color="auto"/>
              <w:right w:val="single" w:sz="4" w:space="0" w:color="auto"/>
            </w:tcBorders>
          </w:tcPr>
          <w:p w14:paraId="159FA1A4" w14:textId="77777777" w:rsidR="00E840D3" w:rsidRPr="00C068F4" w:rsidRDefault="00E840D3">
            <w:pPr>
              <w:pStyle w:val="TableText0"/>
              <w:jc w:val="center"/>
            </w:pPr>
            <w:r w:rsidRPr="00C068F4">
              <w:t>17</w:t>
            </w:r>
          </w:p>
        </w:tc>
        <w:tc>
          <w:tcPr>
            <w:tcW w:w="819" w:type="dxa"/>
            <w:tcBorders>
              <w:top w:val="single" w:sz="4" w:space="0" w:color="auto"/>
              <w:left w:val="single" w:sz="4" w:space="0" w:color="auto"/>
              <w:bottom w:val="single" w:sz="4" w:space="0" w:color="auto"/>
              <w:right w:val="single" w:sz="12" w:space="0" w:color="auto"/>
            </w:tcBorders>
          </w:tcPr>
          <w:p w14:paraId="2808C7F4" w14:textId="77777777" w:rsidR="00E840D3" w:rsidRPr="00C068F4" w:rsidRDefault="00E840D3">
            <w:pPr>
              <w:pStyle w:val="TableText0"/>
              <w:jc w:val="center"/>
            </w:pPr>
            <w:r w:rsidRPr="00C068F4">
              <w:t>35</w:t>
            </w:r>
          </w:p>
        </w:tc>
        <w:tc>
          <w:tcPr>
            <w:tcW w:w="819" w:type="dxa"/>
            <w:tcBorders>
              <w:top w:val="single" w:sz="4" w:space="0" w:color="auto"/>
              <w:left w:val="single" w:sz="12" w:space="0" w:color="auto"/>
              <w:bottom w:val="single" w:sz="4" w:space="0" w:color="auto"/>
              <w:right w:val="single" w:sz="4" w:space="0" w:color="auto"/>
            </w:tcBorders>
          </w:tcPr>
          <w:p w14:paraId="73EB9808" w14:textId="77777777" w:rsidR="00E840D3" w:rsidRPr="00C068F4" w:rsidRDefault="00E840D3">
            <w:pPr>
              <w:pStyle w:val="TableText0"/>
              <w:jc w:val="center"/>
            </w:pPr>
            <w:r w:rsidRPr="00C068F4">
              <w:t>&gt;50,000</w:t>
            </w:r>
          </w:p>
        </w:tc>
        <w:tc>
          <w:tcPr>
            <w:tcW w:w="819" w:type="dxa"/>
            <w:tcBorders>
              <w:top w:val="single" w:sz="4" w:space="0" w:color="auto"/>
              <w:left w:val="single" w:sz="4" w:space="0" w:color="auto"/>
              <w:bottom w:val="single" w:sz="4" w:space="0" w:color="auto"/>
            </w:tcBorders>
          </w:tcPr>
          <w:p w14:paraId="3034542F" w14:textId="77777777" w:rsidR="00E840D3" w:rsidRPr="00C068F4" w:rsidRDefault="00E840D3">
            <w:pPr>
              <w:pStyle w:val="TableText0"/>
              <w:jc w:val="center"/>
            </w:pPr>
            <w:r w:rsidRPr="00C068F4">
              <w:t>54</w:t>
            </w:r>
          </w:p>
        </w:tc>
        <w:tc>
          <w:tcPr>
            <w:tcW w:w="819" w:type="dxa"/>
            <w:tcBorders>
              <w:bottom w:val="single" w:sz="4" w:space="0" w:color="auto"/>
              <w:right w:val="single" w:sz="12" w:space="0" w:color="auto"/>
            </w:tcBorders>
          </w:tcPr>
          <w:p w14:paraId="628E4A7E" w14:textId="77777777" w:rsidR="00E840D3" w:rsidRPr="00C068F4" w:rsidRDefault="00E840D3">
            <w:pPr>
              <w:pStyle w:val="TableText0"/>
              <w:jc w:val="center"/>
            </w:pPr>
            <w:r w:rsidRPr="00C068F4">
              <w:t>38</w:t>
            </w:r>
          </w:p>
        </w:tc>
        <w:tc>
          <w:tcPr>
            <w:tcW w:w="819" w:type="dxa"/>
            <w:tcBorders>
              <w:left w:val="single" w:sz="12" w:space="0" w:color="auto"/>
              <w:bottom w:val="single" w:sz="4" w:space="0" w:color="auto"/>
            </w:tcBorders>
          </w:tcPr>
          <w:p w14:paraId="07CC9F31" w14:textId="77777777" w:rsidR="00E840D3" w:rsidRPr="00C068F4" w:rsidRDefault="00E840D3">
            <w:pPr>
              <w:pStyle w:val="TableText0"/>
              <w:jc w:val="center"/>
            </w:pPr>
            <w:r w:rsidRPr="00C068F4">
              <w:t>&gt;50,000</w:t>
            </w:r>
          </w:p>
        </w:tc>
        <w:tc>
          <w:tcPr>
            <w:tcW w:w="819" w:type="dxa"/>
            <w:tcBorders>
              <w:bottom w:val="single" w:sz="4" w:space="0" w:color="auto"/>
            </w:tcBorders>
          </w:tcPr>
          <w:p w14:paraId="5003BEFE" w14:textId="77777777" w:rsidR="00E840D3" w:rsidRPr="00C068F4" w:rsidRDefault="00E840D3">
            <w:pPr>
              <w:pStyle w:val="TableText0"/>
              <w:jc w:val="center"/>
            </w:pPr>
            <w:r w:rsidRPr="00C068F4">
              <w:t>57</w:t>
            </w:r>
          </w:p>
        </w:tc>
        <w:tc>
          <w:tcPr>
            <w:tcW w:w="819" w:type="dxa"/>
            <w:tcBorders>
              <w:top w:val="single" w:sz="4" w:space="0" w:color="auto"/>
              <w:bottom w:val="single" w:sz="4" w:space="0" w:color="auto"/>
              <w:right w:val="single" w:sz="12" w:space="0" w:color="auto"/>
            </w:tcBorders>
          </w:tcPr>
          <w:p w14:paraId="3AC2E5D9" w14:textId="77777777" w:rsidR="00E840D3" w:rsidRPr="00C068F4" w:rsidRDefault="00E840D3">
            <w:pPr>
              <w:pStyle w:val="TableText0"/>
              <w:jc w:val="center"/>
            </w:pPr>
            <w:r w:rsidRPr="00C068F4">
              <w:t>193</w:t>
            </w:r>
          </w:p>
        </w:tc>
      </w:tr>
    </w:tbl>
    <w:p w14:paraId="171CD1A0" w14:textId="476DE863" w:rsidR="00E840D3" w:rsidRPr="00C068F4" w:rsidRDefault="00E840D3" w:rsidP="001476B7">
      <w:pPr>
        <w:pStyle w:val="FooterTableFigure"/>
      </w:pPr>
      <w:r w:rsidRPr="00C068F4">
        <w:t>Source: Tuekprakhon 2022</w:t>
      </w:r>
      <w:r w:rsidRPr="00C068F4">
        <w:rPr>
          <w:vertAlign w:val="superscript"/>
        </w:rPr>
        <w:fldChar w:fldCharType="begin" w:fldLock="1"/>
      </w:r>
      <w:r w:rsidRPr="00C068F4">
        <w:rPr>
          <w:vertAlign w:val="superscript"/>
        </w:rPr>
        <w:instrText xml:space="preserve"> NOTEREF _Ref110531787 \f \h </w:instrText>
      </w:r>
      <w:r w:rsidR="001476B7" w:rsidRPr="00C068F4">
        <w:rPr>
          <w:vertAlign w:val="superscript"/>
        </w:rPr>
        <w:instrText xml:space="preserve"> \* MERGEFORMAT </w:instrText>
      </w:r>
      <w:r w:rsidRPr="00C068F4">
        <w:rPr>
          <w:vertAlign w:val="superscript"/>
        </w:rPr>
      </w:r>
      <w:r w:rsidRPr="00C068F4">
        <w:rPr>
          <w:vertAlign w:val="superscript"/>
        </w:rPr>
        <w:fldChar w:fldCharType="separate"/>
      </w:r>
      <w:r w:rsidR="00AB751C" w:rsidRPr="00AB751C">
        <w:rPr>
          <w:rStyle w:val="FootnoteReference"/>
        </w:rPr>
        <w:t>17</w:t>
      </w:r>
      <w:r w:rsidRPr="00C068F4">
        <w:rPr>
          <w:vertAlign w:val="superscript"/>
        </w:rPr>
        <w:fldChar w:fldCharType="end"/>
      </w:r>
      <w:r w:rsidRPr="00C068F4">
        <w:t>, Yamasoba 2022</w:t>
      </w:r>
      <w:r w:rsidRPr="00C068F4">
        <w:rPr>
          <w:vertAlign w:val="superscript"/>
        </w:rPr>
        <w:fldChar w:fldCharType="begin" w:fldLock="1"/>
      </w:r>
      <w:r w:rsidRPr="00C068F4">
        <w:rPr>
          <w:vertAlign w:val="superscript"/>
        </w:rPr>
        <w:instrText xml:space="preserve"> NOTEREF _Ref110532038 \f \h </w:instrText>
      </w:r>
      <w:r w:rsidR="001476B7" w:rsidRPr="00C068F4">
        <w:rPr>
          <w:vertAlign w:val="superscript"/>
        </w:rPr>
        <w:instrText xml:space="preserve"> \* MERGEFORMAT </w:instrText>
      </w:r>
      <w:r w:rsidRPr="00C068F4">
        <w:rPr>
          <w:vertAlign w:val="superscript"/>
        </w:rPr>
      </w:r>
      <w:r w:rsidRPr="00C068F4">
        <w:rPr>
          <w:vertAlign w:val="superscript"/>
        </w:rPr>
        <w:fldChar w:fldCharType="separate"/>
      </w:r>
      <w:r w:rsidR="00AB751C" w:rsidRPr="00AB751C">
        <w:rPr>
          <w:rStyle w:val="FootnoteReference"/>
        </w:rPr>
        <w:t>18</w:t>
      </w:r>
      <w:r w:rsidRPr="00C068F4">
        <w:rPr>
          <w:vertAlign w:val="superscript"/>
        </w:rPr>
        <w:fldChar w:fldCharType="end"/>
      </w:r>
      <w:r w:rsidRPr="00C068F4">
        <w:t>, Cao 2022</w:t>
      </w:r>
      <w:r w:rsidRPr="00C068F4">
        <w:rPr>
          <w:vertAlign w:val="superscript"/>
        </w:rPr>
        <w:fldChar w:fldCharType="begin" w:fldLock="1"/>
      </w:r>
      <w:r w:rsidRPr="00C068F4">
        <w:rPr>
          <w:vertAlign w:val="superscript"/>
        </w:rPr>
        <w:instrText xml:space="preserve"> NOTEREF _Ref110534796 \f \h </w:instrText>
      </w:r>
      <w:r w:rsidR="001476B7" w:rsidRPr="00C068F4">
        <w:rPr>
          <w:vertAlign w:val="superscript"/>
        </w:rPr>
        <w:instrText xml:space="preserve"> \* MERGEFORMAT </w:instrText>
      </w:r>
      <w:r w:rsidRPr="00C068F4">
        <w:rPr>
          <w:vertAlign w:val="superscript"/>
        </w:rPr>
      </w:r>
      <w:r w:rsidRPr="00C068F4">
        <w:rPr>
          <w:vertAlign w:val="superscript"/>
        </w:rPr>
        <w:fldChar w:fldCharType="separate"/>
      </w:r>
      <w:r w:rsidR="00AB751C" w:rsidRPr="00AB751C">
        <w:rPr>
          <w:rStyle w:val="FootnoteReference"/>
        </w:rPr>
        <w:t>19</w:t>
      </w:r>
      <w:r w:rsidRPr="00C068F4">
        <w:rPr>
          <w:vertAlign w:val="superscript"/>
        </w:rPr>
        <w:fldChar w:fldCharType="end"/>
      </w:r>
      <w:r w:rsidRPr="00C068F4">
        <w:t xml:space="preserve"> and Takashita 2022</w:t>
      </w:r>
      <w:r w:rsidRPr="00C068F4">
        <w:rPr>
          <w:vertAlign w:val="superscript"/>
        </w:rPr>
        <w:fldChar w:fldCharType="begin" w:fldLock="1"/>
      </w:r>
      <w:r w:rsidRPr="00C068F4">
        <w:rPr>
          <w:vertAlign w:val="superscript"/>
        </w:rPr>
        <w:instrText xml:space="preserve"> NOTEREF _Ref110534811 \f \h </w:instrText>
      </w:r>
      <w:r w:rsidR="001476B7" w:rsidRPr="00C068F4">
        <w:rPr>
          <w:vertAlign w:val="superscript"/>
        </w:rPr>
        <w:instrText xml:space="preserve"> \* MERGEFORMAT </w:instrText>
      </w:r>
      <w:r w:rsidRPr="00C068F4">
        <w:rPr>
          <w:vertAlign w:val="superscript"/>
        </w:rPr>
      </w:r>
      <w:r w:rsidRPr="00C068F4">
        <w:rPr>
          <w:vertAlign w:val="superscript"/>
        </w:rPr>
        <w:fldChar w:fldCharType="separate"/>
      </w:r>
      <w:r w:rsidR="00AB751C" w:rsidRPr="00AB751C">
        <w:rPr>
          <w:rStyle w:val="FootnoteReference"/>
        </w:rPr>
        <w:t>20</w:t>
      </w:r>
      <w:r w:rsidRPr="00C068F4">
        <w:rPr>
          <w:vertAlign w:val="superscript"/>
        </w:rPr>
        <w:fldChar w:fldCharType="end"/>
      </w:r>
    </w:p>
    <w:p w14:paraId="7EDEA205" w14:textId="06B0B9A8" w:rsidR="00BA4910" w:rsidRPr="00C068F4" w:rsidRDefault="00BA4910" w:rsidP="001476B7">
      <w:pPr>
        <w:pStyle w:val="FooterTableFigure"/>
      </w:pPr>
      <w:r w:rsidRPr="00C068F4">
        <w:t xml:space="preserve">CIL = </w:t>
      </w:r>
      <w:r w:rsidRPr="00C068F4">
        <w:rPr>
          <w:color w:val="000000" w:themeColor="text1"/>
        </w:rPr>
        <w:t>cilgavimab; TIXA</w:t>
      </w:r>
      <w:r w:rsidR="004B7639" w:rsidRPr="00C068F4">
        <w:rPr>
          <w:color w:val="000000" w:themeColor="text1"/>
        </w:rPr>
        <w:t xml:space="preserve"> = tixagevimab</w:t>
      </w:r>
    </w:p>
    <w:p w14:paraId="77C5907A" w14:textId="042E714F" w:rsidR="00287C72" w:rsidRDefault="00E840D3" w:rsidP="001476B7">
      <w:pPr>
        <w:pStyle w:val="FooterTableFigure"/>
      </w:pPr>
      <w:r w:rsidRPr="00C068F4">
        <w:t>* BA.4/5 reported by Yamasoba 2022 and Cao 2022;</w:t>
      </w:r>
    </w:p>
    <w:p w14:paraId="4622BFD2" w14:textId="77777777" w:rsidR="00E840D3" w:rsidRPr="00C068F4" w:rsidRDefault="00E840D3" w:rsidP="001476B7">
      <w:pPr>
        <w:pStyle w:val="FooterTableFigure"/>
      </w:pPr>
    </w:p>
    <w:p w14:paraId="603BA314" w14:textId="70F5B8CE" w:rsidR="008A489D" w:rsidRPr="00C068F4" w:rsidRDefault="008A489D" w:rsidP="008A489D">
      <w:pPr>
        <w:pStyle w:val="5-SubsectionSubheading"/>
      </w:pPr>
      <w:bookmarkStart w:id="70" w:name="_Toc111710315"/>
      <w:r w:rsidRPr="00C068F4">
        <w:t xml:space="preserve">Pharmacokinetic modelling to support </w:t>
      </w:r>
      <w:r w:rsidR="00673282" w:rsidRPr="00C068F4">
        <w:t xml:space="preserve">effectiveness of </w:t>
      </w:r>
      <w:r w:rsidR="00C23832" w:rsidRPr="00C068F4">
        <w:t>administration of</w:t>
      </w:r>
      <w:r w:rsidRPr="00C068F4">
        <w:t xml:space="preserve"> </w:t>
      </w:r>
      <w:r w:rsidR="00834EE4" w:rsidRPr="00C068F4">
        <w:t>tixagevimab 300</w:t>
      </w:r>
      <w:r w:rsidR="00C23832" w:rsidRPr="00C068F4">
        <w:t> </w:t>
      </w:r>
      <w:r w:rsidR="00834EE4" w:rsidRPr="00C068F4">
        <w:t xml:space="preserve">mg and cilgavimab 300 mg </w:t>
      </w:r>
      <w:r w:rsidR="00E3386D" w:rsidRPr="00C068F4">
        <w:t xml:space="preserve">and </w:t>
      </w:r>
      <w:r w:rsidR="00C23832" w:rsidRPr="00C068F4">
        <w:t>redosing</w:t>
      </w:r>
      <w:r w:rsidR="00E3386D" w:rsidRPr="00C068F4">
        <w:t xml:space="preserve"> </w:t>
      </w:r>
      <w:r w:rsidR="00834EE4" w:rsidRPr="00C068F4">
        <w:t>every 6 months</w:t>
      </w:r>
      <w:bookmarkEnd w:id="70"/>
    </w:p>
    <w:p w14:paraId="0940CB48" w14:textId="2A380F89" w:rsidR="00250817" w:rsidRPr="00C068F4" w:rsidRDefault="004023FC" w:rsidP="00250817">
      <w:pPr>
        <w:pStyle w:val="3-BodyText"/>
        <w:rPr>
          <w:color w:val="000000" w:themeColor="text1"/>
        </w:rPr>
      </w:pPr>
      <w:bookmarkStart w:id="71" w:name="_Ref110853573"/>
      <w:r w:rsidRPr="00C068F4">
        <w:rPr>
          <w:color w:val="000000" w:themeColor="text1"/>
        </w:rPr>
        <w:t>Given</w:t>
      </w:r>
      <w:r w:rsidR="00D53963" w:rsidRPr="00C068F4">
        <w:rPr>
          <w:color w:val="000000" w:themeColor="text1"/>
        </w:rPr>
        <w:t xml:space="preserve">: (i) </w:t>
      </w:r>
      <w:r w:rsidR="00A043B4" w:rsidRPr="00C068F4">
        <w:rPr>
          <w:color w:val="000000" w:themeColor="text1"/>
        </w:rPr>
        <w:t xml:space="preserve">the absence of clinical evidence supporting </w:t>
      </w:r>
      <w:r w:rsidR="003F3564" w:rsidRPr="00C068F4">
        <w:rPr>
          <w:color w:val="000000" w:themeColor="text1"/>
        </w:rPr>
        <w:t xml:space="preserve">a claim of effectiveness of </w:t>
      </w:r>
      <w:r w:rsidR="00040CF9" w:rsidRPr="00C068F4">
        <w:rPr>
          <w:color w:val="000000" w:themeColor="text1"/>
        </w:rPr>
        <w:t xml:space="preserve">tixagevimab 300 mg and cilgavimab 300 mg </w:t>
      </w:r>
      <w:r w:rsidR="00283D28" w:rsidRPr="00C068F4">
        <w:rPr>
          <w:color w:val="000000" w:themeColor="text1"/>
        </w:rPr>
        <w:t>as PrEP against COVID-19 in a scenario where Omicron BA.5 is circulating</w:t>
      </w:r>
      <w:r w:rsidR="00D53963" w:rsidRPr="00C068F4">
        <w:rPr>
          <w:color w:val="000000" w:themeColor="text1"/>
        </w:rPr>
        <w:t>;</w:t>
      </w:r>
      <w:r w:rsidR="002B467C" w:rsidRPr="00C068F4">
        <w:rPr>
          <w:color w:val="000000" w:themeColor="text1"/>
        </w:rPr>
        <w:t xml:space="preserve"> and </w:t>
      </w:r>
      <w:r w:rsidR="00D53963" w:rsidRPr="00C068F4">
        <w:rPr>
          <w:color w:val="000000" w:themeColor="text1"/>
        </w:rPr>
        <w:t xml:space="preserve">(ii) </w:t>
      </w:r>
      <w:r w:rsidR="002B467C" w:rsidRPr="00C068F4">
        <w:rPr>
          <w:color w:val="000000" w:themeColor="text1"/>
        </w:rPr>
        <w:t xml:space="preserve">the absence of </w:t>
      </w:r>
      <w:r w:rsidR="00AD6756" w:rsidRPr="00C068F4">
        <w:rPr>
          <w:color w:val="000000" w:themeColor="text1"/>
        </w:rPr>
        <w:t>clinical evidence to support repeat administration of tixagevimab and cilgavimab every 6 months</w:t>
      </w:r>
      <w:r w:rsidR="00283D28" w:rsidRPr="00C068F4">
        <w:rPr>
          <w:color w:val="000000" w:themeColor="text1"/>
        </w:rPr>
        <w:t>, t</w:t>
      </w:r>
      <w:r w:rsidR="00250817" w:rsidRPr="00C068F4">
        <w:rPr>
          <w:color w:val="000000" w:themeColor="text1"/>
        </w:rPr>
        <w:t xml:space="preserve">he revised submission </w:t>
      </w:r>
      <w:r w:rsidR="003E1CA6" w:rsidRPr="00C068F4">
        <w:rPr>
          <w:color w:val="000000" w:themeColor="text1"/>
        </w:rPr>
        <w:t xml:space="preserve">presents results </w:t>
      </w:r>
      <w:r w:rsidR="00277E68" w:rsidRPr="00C068F4">
        <w:rPr>
          <w:color w:val="000000" w:themeColor="text1"/>
        </w:rPr>
        <w:t>from</w:t>
      </w:r>
      <w:r w:rsidR="003E1CA6" w:rsidRPr="00C068F4">
        <w:rPr>
          <w:color w:val="000000" w:themeColor="text1"/>
        </w:rPr>
        <w:t xml:space="preserve"> pharmacokinetic modelling</w:t>
      </w:r>
      <w:r w:rsidR="002F7BDA" w:rsidRPr="00C068F4">
        <w:rPr>
          <w:color w:val="000000" w:themeColor="text1"/>
        </w:rPr>
        <w:t xml:space="preserve"> to support claims of effectiveness and safety of the</w:t>
      </w:r>
      <w:r w:rsidR="00C9539C" w:rsidRPr="00C068F4">
        <w:rPr>
          <w:color w:val="000000" w:themeColor="text1"/>
        </w:rPr>
        <w:t xml:space="preserve"> revised regimen</w:t>
      </w:r>
      <w:r w:rsidR="00250817" w:rsidRPr="00C068F4">
        <w:rPr>
          <w:color w:val="000000" w:themeColor="text1"/>
        </w:rPr>
        <w:t>.</w:t>
      </w:r>
      <w:bookmarkEnd w:id="71"/>
    </w:p>
    <w:p w14:paraId="0A3A3346" w14:textId="675557D0" w:rsidR="00C67DC3" w:rsidRPr="00C068F4" w:rsidRDefault="00DC123B" w:rsidP="00250817">
      <w:pPr>
        <w:pStyle w:val="3-BodyText"/>
        <w:rPr>
          <w:color w:val="000000" w:themeColor="text1"/>
        </w:rPr>
      </w:pPr>
      <w:r w:rsidRPr="00C068F4">
        <w:rPr>
          <w:color w:val="000000" w:themeColor="text1"/>
        </w:rPr>
        <w:t>The key inputs to pharmacokinetic modelling</w:t>
      </w:r>
      <w:r w:rsidR="00BB7EFA" w:rsidRPr="00C068F4">
        <w:rPr>
          <w:color w:val="000000" w:themeColor="text1"/>
        </w:rPr>
        <w:t xml:space="preserve"> are: (i) </w:t>
      </w:r>
      <w:r w:rsidR="00CC7007" w:rsidRPr="00C068F4">
        <w:rPr>
          <w:color w:val="000000" w:themeColor="text1"/>
        </w:rPr>
        <w:t xml:space="preserve">assumptions in regard to the </w:t>
      </w:r>
      <w:r w:rsidR="000C7CDA" w:rsidRPr="00C068F4">
        <w:rPr>
          <w:color w:val="000000" w:themeColor="text1"/>
        </w:rPr>
        <w:t xml:space="preserve">serum </w:t>
      </w:r>
      <w:r w:rsidR="00CC7007" w:rsidRPr="00C068F4">
        <w:rPr>
          <w:color w:val="000000" w:themeColor="text1"/>
        </w:rPr>
        <w:t>concentration</w:t>
      </w:r>
      <w:r w:rsidR="00BC4E72" w:rsidRPr="00C068F4">
        <w:rPr>
          <w:color w:val="000000" w:themeColor="text1"/>
        </w:rPr>
        <w:t xml:space="preserve"> of tixagevimab and cilgavimab</w:t>
      </w:r>
      <w:r w:rsidR="00B53CAD" w:rsidRPr="00C068F4">
        <w:rPr>
          <w:color w:val="000000" w:themeColor="text1"/>
        </w:rPr>
        <w:t xml:space="preserve"> required to achieve </w:t>
      </w:r>
      <w:r w:rsidR="00933D5D" w:rsidRPr="00C068F4">
        <w:rPr>
          <w:color w:val="000000" w:themeColor="text1"/>
        </w:rPr>
        <w:t>8</w:t>
      </w:r>
      <w:r w:rsidR="00B53CAD" w:rsidRPr="00C068F4">
        <w:rPr>
          <w:color w:val="000000" w:themeColor="text1"/>
        </w:rPr>
        <w:t>0% neutralisation</w:t>
      </w:r>
      <w:r w:rsidR="00933D5D" w:rsidRPr="00C068F4">
        <w:rPr>
          <w:color w:val="000000" w:themeColor="text1"/>
        </w:rPr>
        <w:t xml:space="preserve"> of the virus (which is</w:t>
      </w:r>
      <w:r w:rsidR="000340E5" w:rsidRPr="00C068F4">
        <w:rPr>
          <w:color w:val="000000" w:themeColor="text1"/>
        </w:rPr>
        <w:t xml:space="preserve"> derived from the EC</w:t>
      </w:r>
      <w:r w:rsidR="000340E5" w:rsidRPr="00C068F4">
        <w:rPr>
          <w:color w:val="000000" w:themeColor="text1"/>
          <w:vertAlign w:val="subscript"/>
        </w:rPr>
        <w:t>50</w:t>
      </w:r>
      <w:r w:rsidR="000340E5" w:rsidRPr="00C068F4">
        <w:rPr>
          <w:color w:val="000000" w:themeColor="text1"/>
        </w:rPr>
        <w:t xml:space="preserve"> shown in </w:t>
      </w:r>
      <w:r w:rsidR="001D517C" w:rsidRPr="00C068F4">
        <w:rPr>
          <w:color w:val="000000" w:themeColor="text1"/>
        </w:rPr>
        <w:fldChar w:fldCharType="begin" w:fldLock="1"/>
      </w:r>
      <w:r w:rsidR="001D517C" w:rsidRPr="00C068F4">
        <w:rPr>
          <w:color w:val="000000" w:themeColor="text1"/>
        </w:rPr>
        <w:instrText xml:space="preserve"> REF _Ref110105365 \h  \* MERGEFORMAT </w:instrText>
      </w:r>
      <w:r w:rsidR="001D517C" w:rsidRPr="00C068F4">
        <w:rPr>
          <w:color w:val="000000" w:themeColor="text1"/>
        </w:rPr>
      </w:r>
      <w:r w:rsidR="001D517C" w:rsidRPr="00C068F4">
        <w:rPr>
          <w:color w:val="000000" w:themeColor="text1"/>
        </w:rPr>
        <w:fldChar w:fldCharType="separate"/>
      </w:r>
      <w:r w:rsidR="00AB751C" w:rsidRPr="00AB751C">
        <w:rPr>
          <w:color w:val="000000" w:themeColor="text1"/>
        </w:rPr>
        <w:t>Table 6</w:t>
      </w:r>
      <w:r w:rsidR="001D517C" w:rsidRPr="00C068F4">
        <w:rPr>
          <w:color w:val="000000" w:themeColor="text1"/>
        </w:rPr>
        <w:fldChar w:fldCharType="end"/>
      </w:r>
      <w:r w:rsidR="001D517C" w:rsidRPr="00C068F4">
        <w:rPr>
          <w:color w:val="000000" w:themeColor="text1"/>
        </w:rPr>
        <w:t>)</w:t>
      </w:r>
      <w:r w:rsidR="00BC4E72" w:rsidRPr="00C068F4">
        <w:rPr>
          <w:color w:val="000000" w:themeColor="text1"/>
        </w:rPr>
        <w:t>; and (ii)</w:t>
      </w:r>
      <w:r w:rsidR="00C9539C" w:rsidRPr="00C068F4">
        <w:rPr>
          <w:color w:val="000000" w:themeColor="text1"/>
        </w:rPr>
        <w:t> </w:t>
      </w:r>
      <w:r w:rsidR="00731606" w:rsidRPr="00C068F4">
        <w:rPr>
          <w:color w:val="000000" w:themeColor="text1"/>
        </w:rPr>
        <w:t>the</w:t>
      </w:r>
      <w:r w:rsidR="005A209F" w:rsidRPr="00C068F4">
        <w:rPr>
          <w:color w:val="000000" w:themeColor="text1"/>
        </w:rPr>
        <w:t xml:space="preserve"> extent to which </w:t>
      </w:r>
      <w:r w:rsidR="00F01B75" w:rsidRPr="00C068F4">
        <w:rPr>
          <w:color w:val="000000" w:themeColor="text1"/>
        </w:rPr>
        <w:t xml:space="preserve">there is penetration of </w:t>
      </w:r>
      <w:r w:rsidR="00121747" w:rsidRPr="00C068F4">
        <w:rPr>
          <w:color w:val="000000" w:themeColor="text1"/>
        </w:rPr>
        <w:t xml:space="preserve">tixagevimab and cilgavimab from the serum into </w:t>
      </w:r>
      <w:r w:rsidR="00E067E8" w:rsidRPr="00C068F4">
        <w:rPr>
          <w:color w:val="000000" w:themeColor="text1"/>
        </w:rPr>
        <w:t>target</w:t>
      </w:r>
      <w:r w:rsidR="00C67DC3" w:rsidRPr="00C068F4">
        <w:rPr>
          <w:color w:val="000000" w:themeColor="text1"/>
        </w:rPr>
        <w:t xml:space="preserve"> tissue (</w:t>
      </w:r>
      <w:r w:rsidR="00A53392" w:rsidRPr="00C068F4">
        <w:rPr>
          <w:color w:val="000000" w:themeColor="text1"/>
        </w:rPr>
        <w:t>assumed to be</w:t>
      </w:r>
      <w:r w:rsidR="00C67DC3" w:rsidRPr="00C068F4">
        <w:rPr>
          <w:color w:val="000000" w:themeColor="text1"/>
        </w:rPr>
        <w:t xml:space="preserve"> the respiratory tract).</w:t>
      </w:r>
      <w:r w:rsidR="00850629" w:rsidRPr="00C068F4">
        <w:rPr>
          <w:color w:val="000000" w:themeColor="text1"/>
        </w:rPr>
        <w:t xml:space="preserve"> By combining these factors</w:t>
      </w:r>
      <w:r w:rsidR="00DE1A84" w:rsidRPr="00C068F4">
        <w:rPr>
          <w:color w:val="000000" w:themeColor="text1"/>
        </w:rPr>
        <w:t>, the pharmacokinetic modelling predicts the serum con</w:t>
      </w:r>
      <w:r w:rsidR="0045427E" w:rsidRPr="00C068F4">
        <w:rPr>
          <w:color w:val="000000" w:themeColor="text1"/>
        </w:rPr>
        <w:t xml:space="preserve">centrations of tixagevimab and cilgavimab to achieve </w:t>
      </w:r>
      <w:r w:rsidR="00E732B7" w:rsidRPr="00C068F4">
        <w:rPr>
          <w:color w:val="000000" w:themeColor="text1"/>
        </w:rPr>
        <w:t>distribution of the treatments in the target tissue.</w:t>
      </w:r>
    </w:p>
    <w:p w14:paraId="0E07C935" w14:textId="4143BA56" w:rsidR="006819C0" w:rsidRPr="00B51D7D" w:rsidRDefault="006819C0" w:rsidP="00B51D7D">
      <w:pPr>
        <w:pStyle w:val="3-BodyText"/>
        <w:rPr>
          <w:color w:val="000000" w:themeColor="text1"/>
        </w:rPr>
      </w:pPr>
      <w:r w:rsidRPr="00C068F4">
        <w:rPr>
          <w:color w:val="000000" w:themeColor="text1"/>
        </w:rPr>
        <w:t xml:space="preserve">The pharmacokinetic modelling </w:t>
      </w:r>
      <w:r w:rsidR="007D5B81" w:rsidRPr="00C068F4">
        <w:rPr>
          <w:color w:val="000000" w:themeColor="text1"/>
        </w:rPr>
        <w:t xml:space="preserve">conducted </w:t>
      </w:r>
      <w:r w:rsidRPr="00C068F4">
        <w:rPr>
          <w:color w:val="000000" w:themeColor="text1"/>
        </w:rPr>
        <w:t>recognises that the in vitro neutralisation activity of tixagevimab and cilgavimab</w:t>
      </w:r>
      <w:r w:rsidR="00D61468" w:rsidRPr="00C068F4">
        <w:rPr>
          <w:color w:val="000000" w:themeColor="text1"/>
        </w:rPr>
        <w:t xml:space="preserve"> against Omicron subvariants BA.4 and BA.5 </w:t>
      </w:r>
      <w:r w:rsidR="00E236F5" w:rsidRPr="00C068F4">
        <w:rPr>
          <w:color w:val="000000" w:themeColor="text1"/>
        </w:rPr>
        <w:t xml:space="preserve">is lower than </w:t>
      </w:r>
      <w:r w:rsidR="004E6C7F" w:rsidRPr="00C068F4">
        <w:rPr>
          <w:color w:val="000000" w:themeColor="text1"/>
        </w:rPr>
        <w:t>against the original SARS-CoV-2</w:t>
      </w:r>
      <w:r w:rsidR="004E48B9" w:rsidRPr="00C068F4">
        <w:rPr>
          <w:color w:val="000000" w:themeColor="text1"/>
        </w:rPr>
        <w:t xml:space="preserve"> variants as well as the BA.2 subvariants </w:t>
      </w:r>
      <w:r w:rsidR="00D61468" w:rsidRPr="00C068F4">
        <w:rPr>
          <w:color w:val="000000" w:themeColor="text1"/>
        </w:rPr>
        <w:t xml:space="preserve">(as shown in </w:t>
      </w:r>
      <w:r w:rsidR="00E236F5" w:rsidRPr="00C068F4">
        <w:rPr>
          <w:color w:val="000000" w:themeColor="text1"/>
        </w:rPr>
        <w:fldChar w:fldCharType="begin" w:fldLock="1"/>
      </w:r>
      <w:r w:rsidR="00E236F5" w:rsidRPr="00C068F4">
        <w:rPr>
          <w:color w:val="000000" w:themeColor="text1"/>
        </w:rPr>
        <w:instrText xml:space="preserve"> REF _Ref110105365 \h  \* MERGEFORMAT </w:instrText>
      </w:r>
      <w:r w:rsidR="00E236F5" w:rsidRPr="00C068F4">
        <w:rPr>
          <w:color w:val="000000" w:themeColor="text1"/>
        </w:rPr>
      </w:r>
      <w:r w:rsidR="00E236F5" w:rsidRPr="00C068F4">
        <w:rPr>
          <w:color w:val="000000" w:themeColor="text1"/>
        </w:rPr>
        <w:fldChar w:fldCharType="separate"/>
      </w:r>
      <w:r w:rsidR="00AB751C" w:rsidRPr="00AB751C">
        <w:rPr>
          <w:color w:val="000000" w:themeColor="text1"/>
        </w:rPr>
        <w:t>Table 6</w:t>
      </w:r>
      <w:r w:rsidR="00E236F5" w:rsidRPr="00C068F4">
        <w:rPr>
          <w:color w:val="000000" w:themeColor="text1"/>
        </w:rPr>
        <w:fldChar w:fldCharType="end"/>
      </w:r>
      <w:r w:rsidR="00E236F5" w:rsidRPr="00C068F4">
        <w:rPr>
          <w:color w:val="000000" w:themeColor="text1"/>
        </w:rPr>
        <w:t xml:space="preserve"> and </w:t>
      </w:r>
      <w:r w:rsidR="00B51D7D">
        <w:rPr>
          <w:color w:val="000000" w:themeColor="text1"/>
        </w:rPr>
        <w:t>Table 7).</w:t>
      </w:r>
      <w:r w:rsidR="00B51D7D" w:rsidRPr="00C068F4">
        <w:rPr>
          <w:color w:val="000000" w:themeColor="text1"/>
        </w:rPr>
        <w:t xml:space="preserve"> </w:t>
      </w:r>
      <w:r w:rsidR="004E48B9" w:rsidRPr="00B51D7D">
        <w:rPr>
          <w:color w:val="000000" w:themeColor="text1"/>
        </w:rPr>
        <w:t xml:space="preserve">The </w:t>
      </w:r>
      <w:r w:rsidR="00C73115" w:rsidRPr="00B51D7D">
        <w:rPr>
          <w:color w:val="000000" w:themeColor="text1"/>
        </w:rPr>
        <w:t>modelling assumes an EC</w:t>
      </w:r>
      <w:r w:rsidR="00C73115" w:rsidRPr="00B51D7D">
        <w:rPr>
          <w:color w:val="000000" w:themeColor="text1"/>
          <w:vertAlign w:val="subscript"/>
        </w:rPr>
        <w:t>50</w:t>
      </w:r>
      <w:r w:rsidR="00C73115" w:rsidRPr="00B51D7D">
        <w:rPr>
          <w:color w:val="000000" w:themeColor="text1"/>
        </w:rPr>
        <w:t xml:space="preserve"> of 65 ng/mL</w:t>
      </w:r>
      <w:r w:rsidR="002004E6" w:rsidRPr="00B51D7D">
        <w:rPr>
          <w:color w:val="000000" w:themeColor="text1"/>
        </w:rPr>
        <w:t xml:space="preserve"> </w:t>
      </w:r>
      <w:r w:rsidR="00357601" w:rsidRPr="00B51D7D">
        <w:rPr>
          <w:color w:val="000000" w:themeColor="text1"/>
        </w:rPr>
        <w:t>for tixagevimab and cilgavimab</w:t>
      </w:r>
      <w:r w:rsidR="007C7531" w:rsidRPr="00B51D7D">
        <w:rPr>
          <w:color w:val="000000" w:themeColor="text1"/>
        </w:rPr>
        <w:t xml:space="preserve"> is applicable</w:t>
      </w:r>
      <w:r w:rsidR="00357601" w:rsidRPr="00B51D7D">
        <w:rPr>
          <w:color w:val="000000" w:themeColor="text1"/>
        </w:rPr>
        <w:t xml:space="preserve">. </w:t>
      </w:r>
      <w:r w:rsidR="00357601" w:rsidRPr="00B51D7D">
        <w:rPr>
          <w:iCs/>
          <w:color w:val="000000" w:themeColor="text1"/>
        </w:rPr>
        <w:t xml:space="preserve">As can be seen from </w:t>
      </w:r>
      <w:r w:rsidR="00357601" w:rsidRPr="00B51D7D">
        <w:rPr>
          <w:iCs/>
          <w:color w:val="000000" w:themeColor="text1"/>
        </w:rPr>
        <w:fldChar w:fldCharType="begin" w:fldLock="1"/>
      </w:r>
      <w:r w:rsidR="00357601" w:rsidRPr="00B51D7D">
        <w:rPr>
          <w:iCs/>
          <w:color w:val="000000" w:themeColor="text1"/>
        </w:rPr>
        <w:instrText xml:space="preserve"> REF _Ref110105365 \h  \* MERGEFORMAT </w:instrText>
      </w:r>
      <w:r w:rsidR="00357601" w:rsidRPr="00B51D7D">
        <w:rPr>
          <w:iCs/>
          <w:color w:val="000000" w:themeColor="text1"/>
        </w:rPr>
      </w:r>
      <w:r w:rsidR="00357601" w:rsidRPr="00B51D7D">
        <w:rPr>
          <w:iCs/>
          <w:color w:val="000000" w:themeColor="text1"/>
        </w:rPr>
        <w:fldChar w:fldCharType="separate"/>
      </w:r>
      <w:r w:rsidR="00AB751C" w:rsidRPr="00B51D7D">
        <w:rPr>
          <w:iCs/>
          <w:color w:val="000000" w:themeColor="text1"/>
        </w:rPr>
        <w:t>Table 6</w:t>
      </w:r>
      <w:r w:rsidR="00357601" w:rsidRPr="00B51D7D">
        <w:rPr>
          <w:iCs/>
          <w:color w:val="000000" w:themeColor="text1"/>
        </w:rPr>
        <w:fldChar w:fldCharType="end"/>
      </w:r>
      <w:r w:rsidR="00357601" w:rsidRPr="00B51D7D">
        <w:rPr>
          <w:iCs/>
          <w:color w:val="000000" w:themeColor="text1"/>
        </w:rPr>
        <w:t>,</w:t>
      </w:r>
      <w:r w:rsidR="007475C6" w:rsidRPr="00B51D7D">
        <w:rPr>
          <w:iCs/>
          <w:color w:val="000000" w:themeColor="text1"/>
        </w:rPr>
        <w:t xml:space="preserve"> an EC</w:t>
      </w:r>
      <w:r w:rsidR="007475C6" w:rsidRPr="00B51D7D">
        <w:rPr>
          <w:iCs/>
          <w:color w:val="000000" w:themeColor="text1"/>
          <w:vertAlign w:val="subscript"/>
        </w:rPr>
        <w:t>50</w:t>
      </w:r>
      <w:r w:rsidR="007475C6" w:rsidRPr="00B51D7D">
        <w:rPr>
          <w:iCs/>
          <w:color w:val="000000" w:themeColor="text1"/>
        </w:rPr>
        <w:t xml:space="preserve"> of </w:t>
      </w:r>
      <w:r w:rsidR="008F7968" w:rsidRPr="00B51D7D">
        <w:rPr>
          <w:iCs/>
          <w:color w:val="000000" w:themeColor="text1"/>
        </w:rPr>
        <w:t>609</w:t>
      </w:r>
      <w:r w:rsidR="007C7531" w:rsidRPr="00B51D7D">
        <w:rPr>
          <w:iCs/>
          <w:color w:val="000000" w:themeColor="text1"/>
        </w:rPr>
        <w:t> </w:t>
      </w:r>
      <w:r w:rsidR="008F7968" w:rsidRPr="00B51D7D">
        <w:rPr>
          <w:iCs/>
          <w:color w:val="000000" w:themeColor="text1"/>
        </w:rPr>
        <w:t>ng/mL was estimated by one of the</w:t>
      </w:r>
      <w:r w:rsidR="00BF68E8" w:rsidRPr="00B51D7D">
        <w:rPr>
          <w:iCs/>
          <w:color w:val="000000" w:themeColor="text1"/>
        </w:rPr>
        <w:t xml:space="preserve"> four</w:t>
      </w:r>
      <w:r w:rsidR="008F7968" w:rsidRPr="00B51D7D">
        <w:rPr>
          <w:iCs/>
          <w:color w:val="000000" w:themeColor="text1"/>
        </w:rPr>
        <w:t xml:space="preserve"> in vitro studies</w:t>
      </w:r>
      <w:r w:rsidR="009E02D3" w:rsidRPr="00B51D7D">
        <w:rPr>
          <w:iCs/>
          <w:color w:val="000000" w:themeColor="text1"/>
        </w:rPr>
        <w:t xml:space="preserve"> </w:t>
      </w:r>
      <w:r w:rsidR="00B83A89" w:rsidRPr="00B51D7D">
        <w:rPr>
          <w:iCs/>
          <w:color w:val="000000" w:themeColor="text1"/>
        </w:rPr>
        <w:t xml:space="preserve">(Yamasoba 2022) </w:t>
      </w:r>
      <w:r w:rsidR="009E02D3" w:rsidRPr="00B51D7D">
        <w:rPr>
          <w:iCs/>
          <w:color w:val="000000" w:themeColor="text1"/>
        </w:rPr>
        <w:t xml:space="preserve">assessing susceptibility of the Omicron BA.4/5 variants to </w:t>
      </w:r>
      <w:r w:rsidR="0013678D" w:rsidRPr="00B51D7D">
        <w:rPr>
          <w:iCs/>
          <w:color w:val="000000" w:themeColor="text1"/>
        </w:rPr>
        <w:t>tixagevimab and cilgavimab</w:t>
      </w:r>
      <w:r w:rsidR="008F7968" w:rsidRPr="00B51D7D">
        <w:rPr>
          <w:iCs/>
          <w:color w:val="000000" w:themeColor="text1"/>
        </w:rPr>
        <w:t>.</w:t>
      </w:r>
      <w:r w:rsidR="000E7194" w:rsidRPr="00B51D7D">
        <w:rPr>
          <w:iCs/>
          <w:color w:val="000000" w:themeColor="text1"/>
        </w:rPr>
        <w:t xml:space="preserve"> </w:t>
      </w:r>
      <w:r w:rsidR="00DC23F7" w:rsidRPr="00B51D7D">
        <w:rPr>
          <w:iCs/>
          <w:color w:val="000000" w:themeColor="text1"/>
        </w:rPr>
        <w:t>Th</w:t>
      </w:r>
      <w:r w:rsidR="00C033CD" w:rsidRPr="00B51D7D">
        <w:rPr>
          <w:iCs/>
          <w:color w:val="000000" w:themeColor="text1"/>
        </w:rPr>
        <w:t xml:space="preserve">e </w:t>
      </w:r>
      <w:r w:rsidR="004D6257" w:rsidRPr="00B51D7D">
        <w:rPr>
          <w:iCs/>
          <w:color w:val="000000" w:themeColor="text1"/>
        </w:rPr>
        <w:t>EC</w:t>
      </w:r>
      <w:r w:rsidR="004D6257" w:rsidRPr="00B51D7D">
        <w:rPr>
          <w:iCs/>
          <w:color w:val="000000" w:themeColor="text1"/>
          <w:vertAlign w:val="subscript"/>
        </w:rPr>
        <w:t>50</w:t>
      </w:r>
      <w:r w:rsidR="00C033CD" w:rsidRPr="00B51D7D">
        <w:rPr>
          <w:iCs/>
          <w:color w:val="000000" w:themeColor="text1"/>
        </w:rPr>
        <w:t xml:space="preserve"> </w:t>
      </w:r>
      <w:r w:rsidR="004D6257" w:rsidRPr="00B51D7D">
        <w:rPr>
          <w:iCs/>
          <w:color w:val="000000" w:themeColor="text1"/>
        </w:rPr>
        <w:t xml:space="preserve">reported by </w:t>
      </w:r>
      <w:r w:rsidR="00C033CD" w:rsidRPr="00B51D7D">
        <w:rPr>
          <w:iCs/>
          <w:color w:val="000000" w:themeColor="text1"/>
        </w:rPr>
        <w:t>this study</w:t>
      </w:r>
      <w:r w:rsidR="00101A58" w:rsidRPr="00B51D7D">
        <w:rPr>
          <w:iCs/>
          <w:color w:val="000000" w:themeColor="text1"/>
        </w:rPr>
        <w:t xml:space="preserve"> </w:t>
      </w:r>
      <w:r w:rsidR="004D6257" w:rsidRPr="00B51D7D">
        <w:rPr>
          <w:iCs/>
          <w:color w:val="000000" w:themeColor="text1"/>
        </w:rPr>
        <w:t>was</w:t>
      </w:r>
      <w:r w:rsidR="00C44FA4" w:rsidRPr="00B51D7D">
        <w:rPr>
          <w:iCs/>
          <w:color w:val="000000" w:themeColor="text1"/>
        </w:rPr>
        <w:t xml:space="preserve"> </w:t>
      </w:r>
      <w:r w:rsidR="008166F8" w:rsidRPr="00B51D7D">
        <w:rPr>
          <w:iCs/>
          <w:color w:val="000000" w:themeColor="text1"/>
        </w:rPr>
        <w:t xml:space="preserve">dismissed as </w:t>
      </w:r>
      <w:r w:rsidR="004D6257" w:rsidRPr="00B51D7D">
        <w:rPr>
          <w:iCs/>
          <w:color w:val="000000" w:themeColor="text1"/>
        </w:rPr>
        <w:t>an ‘</w:t>
      </w:r>
      <w:r w:rsidR="008166F8" w:rsidRPr="00B51D7D">
        <w:rPr>
          <w:iCs/>
          <w:color w:val="000000" w:themeColor="text1"/>
        </w:rPr>
        <w:t>outlier</w:t>
      </w:r>
      <w:r w:rsidR="004D6257" w:rsidRPr="00B51D7D">
        <w:rPr>
          <w:iCs/>
          <w:color w:val="000000" w:themeColor="text1"/>
        </w:rPr>
        <w:t>’</w:t>
      </w:r>
      <w:r w:rsidR="006F6102" w:rsidRPr="00B51D7D">
        <w:rPr>
          <w:iCs/>
          <w:color w:val="000000" w:themeColor="text1"/>
        </w:rPr>
        <w:t xml:space="preserve"> by the </w:t>
      </w:r>
      <w:r w:rsidR="00035CD4" w:rsidRPr="00B51D7D">
        <w:rPr>
          <w:iCs/>
          <w:color w:val="000000" w:themeColor="text1"/>
        </w:rPr>
        <w:t xml:space="preserve">pharmacokinetic </w:t>
      </w:r>
      <w:r w:rsidR="006F6102" w:rsidRPr="00B51D7D">
        <w:rPr>
          <w:iCs/>
          <w:color w:val="000000" w:themeColor="text1"/>
        </w:rPr>
        <w:t xml:space="preserve">modellers. Given that there are only four studies assessing the </w:t>
      </w:r>
      <w:r w:rsidR="00112E2B" w:rsidRPr="00B51D7D">
        <w:rPr>
          <w:iCs/>
          <w:color w:val="000000" w:themeColor="text1"/>
        </w:rPr>
        <w:t xml:space="preserve">in vitro neutralisation activity of tixagevimab </w:t>
      </w:r>
      <w:r w:rsidR="00112E2B" w:rsidRPr="00B51D7D">
        <w:rPr>
          <w:iCs/>
          <w:color w:val="000000" w:themeColor="text1"/>
        </w:rPr>
        <w:lastRenderedPageBreak/>
        <w:t>and cilgavimab</w:t>
      </w:r>
      <w:r w:rsidR="00006FCE" w:rsidRPr="00B51D7D">
        <w:rPr>
          <w:iCs/>
          <w:color w:val="000000" w:themeColor="text1"/>
        </w:rPr>
        <w:t xml:space="preserve"> against Omicron BA.4/5</w:t>
      </w:r>
      <w:r w:rsidR="00112E2B" w:rsidRPr="00B51D7D">
        <w:rPr>
          <w:iCs/>
          <w:color w:val="000000" w:themeColor="text1"/>
        </w:rPr>
        <w:t xml:space="preserve">, </w:t>
      </w:r>
      <w:r w:rsidR="009E1BA1" w:rsidRPr="00B51D7D">
        <w:rPr>
          <w:iCs/>
          <w:color w:val="000000" w:themeColor="text1"/>
        </w:rPr>
        <w:t xml:space="preserve">it may not be reasonable to dismiss the results of </w:t>
      </w:r>
      <w:r w:rsidR="00006FCE" w:rsidRPr="00B51D7D">
        <w:rPr>
          <w:iCs/>
          <w:color w:val="000000" w:themeColor="text1"/>
        </w:rPr>
        <w:t>this study</w:t>
      </w:r>
      <w:r w:rsidR="008058D9" w:rsidRPr="00B51D7D">
        <w:rPr>
          <w:iCs/>
          <w:color w:val="000000" w:themeColor="text1"/>
        </w:rPr>
        <w:t>.</w:t>
      </w:r>
    </w:p>
    <w:p w14:paraId="7460F299" w14:textId="4313E2EA" w:rsidR="006D27D2" w:rsidRPr="00C068F4" w:rsidRDefault="006730A8" w:rsidP="00250817">
      <w:pPr>
        <w:pStyle w:val="3-BodyText"/>
        <w:rPr>
          <w:color w:val="000000" w:themeColor="text1"/>
        </w:rPr>
      </w:pPr>
      <w:r w:rsidRPr="00C068F4">
        <w:rPr>
          <w:color w:val="000000" w:themeColor="text1"/>
        </w:rPr>
        <w:t xml:space="preserve">The modelling assumes that, at worst, the rate of penetration of tixagevimab and cilgavimab into target tissues is </w:t>
      </w:r>
      <w:r w:rsidR="005113F4" w:rsidRPr="00C068F4">
        <w:rPr>
          <w:color w:val="000000" w:themeColor="text1"/>
        </w:rPr>
        <w:t>1.8%</w:t>
      </w:r>
      <w:r w:rsidR="005031A4" w:rsidRPr="00C068F4">
        <w:rPr>
          <w:color w:val="000000" w:themeColor="text1"/>
        </w:rPr>
        <w:t xml:space="preserve">. This estimate was based on the </w:t>
      </w:r>
      <w:r w:rsidR="006A1F8F" w:rsidRPr="00C068F4">
        <w:rPr>
          <w:color w:val="000000" w:themeColor="text1"/>
        </w:rPr>
        <w:t>human nasal lining fluid</w:t>
      </w:r>
      <w:r w:rsidR="004E5CD2" w:rsidRPr="00C068F4">
        <w:rPr>
          <w:color w:val="000000" w:themeColor="text1"/>
        </w:rPr>
        <w:t xml:space="preserve"> (in the upper respiratory tract)</w:t>
      </w:r>
      <w:r w:rsidR="006A1F8F" w:rsidRPr="00C068F4">
        <w:rPr>
          <w:color w:val="000000" w:themeColor="text1"/>
        </w:rPr>
        <w:t xml:space="preserve"> to serum ratio of </w:t>
      </w:r>
      <w:r w:rsidR="00CA1B2B" w:rsidRPr="00C068F4">
        <w:rPr>
          <w:color w:val="000000" w:themeColor="text1"/>
        </w:rPr>
        <w:t>tixagevimab and cilgavimab</w:t>
      </w:r>
      <w:r w:rsidR="006A1F8F" w:rsidRPr="00C068F4">
        <w:rPr>
          <w:color w:val="000000" w:themeColor="text1"/>
        </w:rPr>
        <w:t xml:space="preserve"> concentrations</w:t>
      </w:r>
      <w:r w:rsidR="00CA1B2B" w:rsidRPr="00C068F4">
        <w:rPr>
          <w:color w:val="000000" w:themeColor="text1"/>
        </w:rPr>
        <w:t xml:space="preserve"> observed in the</w:t>
      </w:r>
      <w:r w:rsidR="006A1F8F" w:rsidRPr="00C068F4">
        <w:rPr>
          <w:color w:val="000000" w:themeColor="text1"/>
        </w:rPr>
        <w:t xml:space="preserve"> </w:t>
      </w:r>
      <w:r w:rsidR="00520A9E" w:rsidRPr="00C068F4">
        <w:rPr>
          <w:color w:val="000000" w:themeColor="text1"/>
        </w:rPr>
        <w:t xml:space="preserve">Phase 1 </w:t>
      </w:r>
      <w:r w:rsidR="00AD748E" w:rsidRPr="00C068F4">
        <w:rPr>
          <w:color w:val="000000" w:themeColor="text1"/>
        </w:rPr>
        <w:t xml:space="preserve">first-time-in-human study conducted in healthy volunteers. </w:t>
      </w:r>
      <w:r w:rsidR="007424AD" w:rsidRPr="00C068F4">
        <w:rPr>
          <w:color w:val="000000" w:themeColor="text1"/>
        </w:rPr>
        <w:t xml:space="preserve">The modelling is also conducted </w:t>
      </w:r>
      <w:r w:rsidR="001A4AF9" w:rsidRPr="00C068F4">
        <w:rPr>
          <w:color w:val="000000" w:themeColor="text1"/>
        </w:rPr>
        <w:t xml:space="preserve">assuming higher (i.e., less conservative) rates </w:t>
      </w:r>
      <w:r w:rsidR="00F0083D" w:rsidRPr="00C068F4">
        <w:rPr>
          <w:color w:val="000000" w:themeColor="text1"/>
        </w:rPr>
        <w:t xml:space="preserve">of </w:t>
      </w:r>
      <w:r w:rsidR="001A4AF9" w:rsidRPr="00C068F4">
        <w:rPr>
          <w:color w:val="000000" w:themeColor="text1"/>
        </w:rPr>
        <w:t>penetration into target tissues</w:t>
      </w:r>
      <w:r w:rsidR="004E5CD2" w:rsidRPr="00C068F4">
        <w:rPr>
          <w:color w:val="000000" w:themeColor="text1"/>
        </w:rPr>
        <w:t xml:space="preserve"> in the lower respiratory tract</w:t>
      </w:r>
      <w:r w:rsidR="003B19AC" w:rsidRPr="00C068F4">
        <w:rPr>
          <w:color w:val="000000" w:themeColor="text1"/>
        </w:rPr>
        <w:t xml:space="preserve">. </w:t>
      </w:r>
      <w:r w:rsidR="007F48C9" w:rsidRPr="00C068F4">
        <w:rPr>
          <w:color w:val="000000" w:themeColor="text1"/>
        </w:rPr>
        <w:t>The less conservative</w:t>
      </w:r>
      <w:r w:rsidR="0039572E" w:rsidRPr="00C068F4">
        <w:rPr>
          <w:color w:val="000000" w:themeColor="text1"/>
        </w:rPr>
        <w:t xml:space="preserve"> estimate</w:t>
      </w:r>
      <w:r w:rsidR="00F0083D" w:rsidRPr="00C068F4">
        <w:rPr>
          <w:color w:val="000000" w:themeColor="text1"/>
        </w:rPr>
        <w:t xml:space="preserve"> (6.5%)</w:t>
      </w:r>
      <w:r w:rsidR="0039572E" w:rsidRPr="00C068F4">
        <w:rPr>
          <w:color w:val="000000" w:themeColor="text1"/>
        </w:rPr>
        <w:t xml:space="preserve"> </w:t>
      </w:r>
      <w:r w:rsidR="00F0083D" w:rsidRPr="00C068F4">
        <w:rPr>
          <w:color w:val="000000" w:themeColor="text1"/>
        </w:rPr>
        <w:t>is</w:t>
      </w:r>
      <w:r w:rsidR="0039572E" w:rsidRPr="00C068F4">
        <w:rPr>
          <w:color w:val="000000" w:themeColor="text1"/>
        </w:rPr>
        <w:t xml:space="preserve"> based on</w:t>
      </w:r>
      <w:r w:rsidR="00D162F1" w:rsidRPr="00C068F4">
        <w:rPr>
          <w:color w:val="000000" w:themeColor="text1"/>
        </w:rPr>
        <w:t xml:space="preserve"> published lung penetration ratios.</w:t>
      </w:r>
      <w:r w:rsidR="008B06F5" w:rsidRPr="00C068F4">
        <w:rPr>
          <w:color w:val="000000" w:themeColor="text1"/>
        </w:rPr>
        <w:t xml:space="preserve"> </w:t>
      </w:r>
      <w:r w:rsidR="00ED66B0" w:rsidRPr="00C068F4">
        <w:rPr>
          <w:iCs/>
          <w:color w:val="000000" w:themeColor="text1"/>
        </w:rPr>
        <w:t>It is unclear which target site is most relevant (e.g., lower or upper respiratory tract</w:t>
      </w:r>
      <w:r w:rsidR="00AD0DFF" w:rsidRPr="00C068F4">
        <w:rPr>
          <w:iCs/>
          <w:color w:val="000000" w:themeColor="text1"/>
        </w:rPr>
        <w:t xml:space="preserve"> or other tissue</w:t>
      </w:r>
      <w:r w:rsidR="00ED66B0" w:rsidRPr="00C068F4">
        <w:rPr>
          <w:iCs/>
          <w:color w:val="000000" w:themeColor="text1"/>
        </w:rPr>
        <w:t>)</w:t>
      </w:r>
      <w:r w:rsidR="00AD0DFF" w:rsidRPr="00C068F4">
        <w:rPr>
          <w:iCs/>
          <w:color w:val="000000" w:themeColor="text1"/>
        </w:rPr>
        <w:t xml:space="preserve"> for predicting</w:t>
      </w:r>
      <w:r w:rsidR="00A50795" w:rsidRPr="00C068F4">
        <w:rPr>
          <w:iCs/>
          <w:color w:val="000000" w:themeColor="text1"/>
        </w:rPr>
        <w:t xml:space="preserve"> outcomes of PrEP with tixagevimab and cilgavimab.</w:t>
      </w:r>
    </w:p>
    <w:p w14:paraId="49CECCD0" w14:textId="28F4D1A4" w:rsidR="00191343" w:rsidRPr="00C068F4" w:rsidRDefault="00183BE1" w:rsidP="00250817">
      <w:pPr>
        <w:pStyle w:val="3-BodyText"/>
        <w:rPr>
          <w:color w:val="000000" w:themeColor="text1"/>
        </w:rPr>
      </w:pPr>
      <w:r w:rsidRPr="00C068F4">
        <w:rPr>
          <w:color w:val="000000" w:themeColor="text1"/>
        </w:rPr>
        <w:t xml:space="preserve">The predicted </w:t>
      </w:r>
      <w:r w:rsidR="00F75672" w:rsidRPr="00C068F4">
        <w:rPr>
          <w:color w:val="000000" w:themeColor="text1"/>
        </w:rPr>
        <w:t xml:space="preserve">serum concentration of tixagevimab and cilgavimab over time and the predicted proportion of individuals that will have </w:t>
      </w:r>
      <w:r w:rsidR="004C2E54" w:rsidRPr="00C068F4">
        <w:rPr>
          <w:color w:val="000000" w:themeColor="text1"/>
        </w:rPr>
        <w:t>tixagevimab and cilgavimab concentrations greater than a target-site-adjusted minimum protective concentration</w:t>
      </w:r>
      <w:r w:rsidR="005B1162" w:rsidRPr="00C068F4">
        <w:rPr>
          <w:color w:val="000000" w:themeColor="text1"/>
        </w:rPr>
        <w:t xml:space="preserve"> against Omicron subvariants BA.4 and BA.5</w:t>
      </w:r>
      <w:r w:rsidR="008D6841" w:rsidRPr="00C068F4">
        <w:rPr>
          <w:color w:val="000000" w:themeColor="text1"/>
        </w:rPr>
        <w:t xml:space="preserve"> assuming an EC</w:t>
      </w:r>
      <w:r w:rsidR="008D6841" w:rsidRPr="00C068F4">
        <w:rPr>
          <w:color w:val="000000" w:themeColor="text1"/>
          <w:vertAlign w:val="subscript"/>
        </w:rPr>
        <w:t>50</w:t>
      </w:r>
      <w:r w:rsidR="008D6841" w:rsidRPr="00C068F4">
        <w:rPr>
          <w:color w:val="000000" w:themeColor="text1"/>
        </w:rPr>
        <w:t xml:space="preserve"> of 65 ng/mL and</w:t>
      </w:r>
      <w:r w:rsidR="009E030D" w:rsidRPr="00C068F4">
        <w:rPr>
          <w:color w:val="000000" w:themeColor="text1"/>
        </w:rPr>
        <w:t xml:space="preserve"> target site penetration ratios of 1.8% (upper respiratory tract</w:t>
      </w:r>
      <w:r w:rsidR="00554813" w:rsidRPr="00C068F4">
        <w:rPr>
          <w:color w:val="000000" w:themeColor="text1"/>
        </w:rPr>
        <w:t>) or 6.5% (lower respiratory tract) for tixagevimab mg and cilgavimab 300 mg</w:t>
      </w:r>
      <w:r w:rsidR="00247C53" w:rsidRPr="00C068F4">
        <w:rPr>
          <w:color w:val="000000" w:themeColor="text1"/>
        </w:rPr>
        <w:t xml:space="preserve"> </w:t>
      </w:r>
      <w:r w:rsidR="00554813" w:rsidRPr="00C068F4">
        <w:rPr>
          <w:color w:val="000000" w:themeColor="text1"/>
        </w:rPr>
        <w:t xml:space="preserve">administered every 6 months is shown in </w:t>
      </w:r>
      <w:r w:rsidR="00007B84" w:rsidRPr="00C068F4">
        <w:rPr>
          <w:color w:val="000000" w:themeColor="text1"/>
        </w:rPr>
        <w:fldChar w:fldCharType="begin" w:fldLock="1"/>
      </w:r>
      <w:r w:rsidR="00007B84" w:rsidRPr="00C068F4">
        <w:rPr>
          <w:color w:val="000000" w:themeColor="text1"/>
        </w:rPr>
        <w:instrText xml:space="preserve"> REF _Ref110705699 \h </w:instrText>
      </w:r>
      <w:r w:rsidR="00007B84" w:rsidRPr="00C068F4">
        <w:rPr>
          <w:color w:val="000000" w:themeColor="text1"/>
        </w:rPr>
      </w:r>
      <w:r w:rsidR="00007B84" w:rsidRPr="00C068F4">
        <w:rPr>
          <w:color w:val="000000" w:themeColor="text1"/>
        </w:rPr>
        <w:fldChar w:fldCharType="separate"/>
      </w:r>
      <w:r w:rsidR="00AB751C" w:rsidRPr="00C068F4">
        <w:t xml:space="preserve">Figure </w:t>
      </w:r>
      <w:r w:rsidR="00AB751C">
        <w:rPr>
          <w:noProof/>
        </w:rPr>
        <w:t>8</w:t>
      </w:r>
      <w:r w:rsidR="00007B84" w:rsidRPr="00C068F4">
        <w:rPr>
          <w:color w:val="000000" w:themeColor="text1"/>
        </w:rPr>
        <w:fldChar w:fldCharType="end"/>
      </w:r>
      <w:r w:rsidR="00007B84" w:rsidRPr="00C068F4">
        <w:rPr>
          <w:color w:val="000000" w:themeColor="text1"/>
        </w:rPr>
        <w:t xml:space="preserve">. </w:t>
      </w:r>
      <w:r w:rsidR="00093BDA" w:rsidRPr="00C068F4">
        <w:rPr>
          <w:color w:val="000000" w:themeColor="text1"/>
        </w:rPr>
        <w:t>Based on th</w:t>
      </w:r>
      <w:r w:rsidR="00941D39" w:rsidRPr="00C068F4">
        <w:rPr>
          <w:color w:val="000000" w:themeColor="text1"/>
        </w:rPr>
        <w:t>is</w:t>
      </w:r>
      <w:r w:rsidR="00093BDA" w:rsidRPr="00C068F4">
        <w:rPr>
          <w:color w:val="000000" w:themeColor="text1"/>
        </w:rPr>
        <w:t xml:space="preserve"> pharmacokinetic modelling, the submission suggests that the median serum concentrations of tixagevimab 300 mg and cilgavimab 300 mg exceed the modelled minimum protective concentration for the BA.2/3/4/5 subvariants for 6 months.</w:t>
      </w:r>
    </w:p>
    <w:p w14:paraId="725DEEA6" w14:textId="3C72B72C" w:rsidR="00093BDA" w:rsidRPr="00C068F4" w:rsidRDefault="00093BDA" w:rsidP="0070659A">
      <w:pPr>
        <w:pStyle w:val="TableFigureHeading"/>
      </w:pPr>
      <w:bookmarkStart w:id="72" w:name="_Ref110705699"/>
      <w:r w:rsidRPr="00C068F4">
        <w:t xml:space="preserve">Figure </w:t>
      </w:r>
      <w:fldSimple w:instr=" SEQ Figure \* ARABIC " w:fldLock="1">
        <w:r w:rsidR="00DB55F2">
          <w:rPr>
            <w:noProof/>
          </w:rPr>
          <w:t>8</w:t>
        </w:r>
      </w:fldSimple>
      <w:bookmarkEnd w:id="72"/>
      <w:r w:rsidRPr="00C068F4">
        <w:t xml:space="preserve">: </w:t>
      </w:r>
      <w:r w:rsidR="00480B50" w:rsidRPr="00C068F4">
        <w:t xml:space="preserve">Predicted serum concentration of </w:t>
      </w:r>
      <w:r w:rsidR="00480B50" w:rsidRPr="00C068F4">
        <w:rPr>
          <w:color w:val="000000" w:themeColor="text1"/>
        </w:rPr>
        <w:t xml:space="preserve">tixagevimab </w:t>
      </w:r>
      <w:r w:rsidR="00000350" w:rsidRPr="00C068F4">
        <w:rPr>
          <w:color w:val="000000" w:themeColor="text1"/>
        </w:rPr>
        <w:t xml:space="preserve">300 mg </w:t>
      </w:r>
      <w:r w:rsidR="00480B50" w:rsidRPr="00C068F4">
        <w:rPr>
          <w:color w:val="000000" w:themeColor="text1"/>
        </w:rPr>
        <w:t>and cilgavimab</w:t>
      </w:r>
      <w:r w:rsidR="00480B50" w:rsidRPr="00C068F4">
        <w:t xml:space="preserve"> </w:t>
      </w:r>
      <w:r w:rsidR="00000350" w:rsidRPr="00C068F4">
        <w:t>300 mg administered e</w:t>
      </w:r>
      <w:r w:rsidR="00480B50" w:rsidRPr="00C068F4">
        <w:t xml:space="preserve">very 6 months for </w:t>
      </w:r>
      <w:r w:rsidR="00007B84" w:rsidRPr="00C068F4">
        <w:t xml:space="preserve">Omicron </w:t>
      </w:r>
      <w:r w:rsidR="00480B50" w:rsidRPr="00C068F4">
        <w:t>BA.4</w:t>
      </w:r>
      <w:r w:rsidR="00000350" w:rsidRPr="00C068F4">
        <w:t xml:space="preserve"> </w:t>
      </w:r>
      <w:r w:rsidR="00480B50" w:rsidRPr="00C068F4">
        <w:t xml:space="preserve">and BA.5 </w:t>
      </w:r>
      <w:r w:rsidR="00000350" w:rsidRPr="00C068F4">
        <w:t>subv</w:t>
      </w:r>
      <w:r w:rsidR="00480B50" w:rsidRPr="00C068F4">
        <w:t>ariants</w:t>
      </w:r>
    </w:p>
    <w:p w14:paraId="5D44638F" w14:textId="31CA86C8" w:rsidR="00093BDA" w:rsidRPr="00C068F4" w:rsidRDefault="009D3B41" w:rsidP="0043625E">
      <w:pPr>
        <w:pStyle w:val="3-BodyText"/>
        <w:numPr>
          <w:ilvl w:val="0"/>
          <w:numId w:val="0"/>
        </w:numPr>
        <w:spacing w:after="0"/>
        <w:rPr>
          <w:color w:val="000000" w:themeColor="text1"/>
        </w:rPr>
      </w:pPr>
      <w:r w:rsidRPr="00C068F4">
        <w:rPr>
          <w:noProof/>
          <w:color w:val="000000" w:themeColor="text1"/>
        </w:rPr>
        <w:drawing>
          <wp:inline distT="0" distB="0" distL="0" distR="0" wp14:anchorId="41A16419" wp14:editId="17227689">
            <wp:extent cx="5732145" cy="2797175"/>
            <wp:effectExtent l="0" t="0" r="190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2145" cy="2797175"/>
                    </a:xfrm>
                    <a:prstGeom prst="rect">
                      <a:avLst/>
                    </a:prstGeom>
                  </pic:spPr>
                </pic:pic>
              </a:graphicData>
            </a:graphic>
          </wp:inline>
        </w:drawing>
      </w:r>
    </w:p>
    <w:p w14:paraId="0B424A1D" w14:textId="18E99E49" w:rsidR="009D3B41" w:rsidRPr="00C068F4" w:rsidRDefault="009D3B41" w:rsidP="001476B7">
      <w:pPr>
        <w:pStyle w:val="FooterTableFigure"/>
      </w:pPr>
      <w:r w:rsidRPr="00C068F4">
        <w:t xml:space="preserve">Source: Figure 4, </w:t>
      </w:r>
      <w:r w:rsidR="009B40BB" w:rsidRPr="00C068F4">
        <w:t xml:space="preserve">Addendum to the Clinical Overview of EVUSHELD </w:t>
      </w:r>
      <w:r w:rsidR="001476B7" w:rsidRPr="00C068F4">
        <w:t>for prophylaxis of COVID</w:t>
      </w:r>
      <w:r w:rsidR="001476B7" w:rsidRPr="00C068F4">
        <w:noBreakHyphen/>
        <w:t>19 (provided with the revised submission)</w:t>
      </w:r>
    </w:p>
    <w:p w14:paraId="4D766B98" w14:textId="43E07E35" w:rsidR="0043625E" w:rsidRPr="00C068F4" w:rsidRDefault="0043625E" w:rsidP="0043625E">
      <w:pPr>
        <w:pStyle w:val="FooterTableFigure"/>
      </w:pPr>
      <w:r w:rsidRPr="00C068F4">
        <w:t>% number next to blue dashed line represent % subjects predicted to be above serum target level 14.4 μg/mL (using 1.8% penetration ratio) for BA.4 and BA.5, assuming upper respiratory tract distribution.</w:t>
      </w:r>
    </w:p>
    <w:p w14:paraId="2EC10A18" w14:textId="74BE4DDA" w:rsidR="0043625E" w:rsidRPr="00C068F4" w:rsidRDefault="0043625E" w:rsidP="0043625E">
      <w:pPr>
        <w:pStyle w:val="FooterTableFigure"/>
      </w:pPr>
      <w:r w:rsidRPr="00C068F4">
        <w:t>% number next to purple dashed line represent % subjects predicted to be above serum target level 4 ug/ml</w:t>
      </w:r>
      <w:r w:rsidR="00480B50" w:rsidRPr="00C068F4">
        <w:t xml:space="preserve"> </w:t>
      </w:r>
      <w:r w:rsidRPr="00C068F4">
        <w:t>(using 6.5% penetration ratio) for BA.4 and BA.5, assuming lower respiratory tract distribution.</w:t>
      </w:r>
    </w:p>
    <w:p w14:paraId="63D02E95" w14:textId="0D27C13C" w:rsidR="003D53D6" w:rsidRPr="00C068F4" w:rsidRDefault="006D27D2" w:rsidP="00250817">
      <w:pPr>
        <w:pStyle w:val="3-BodyText"/>
        <w:rPr>
          <w:color w:val="000000" w:themeColor="text1"/>
        </w:rPr>
      </w:pPr>
      <w:r w:rsidRPr="00C068F4">
        <w:rPr>
          <w:iCs/>
          <w:color w:val="000000" w:themeColor="text1"/>
        </w:rPr>
        <w:lastRenderedPageBreak/>
        <w:t>As noted in the</w:t>
      </w:r>
      <w:r w:rsidR="00692807" w:rsidRPr="00C068F4">
        <w:rPr>
          <w:iCs/>
          <w:color w:val="000000" w:themeColor="text1"/>
        </w:rPr>
        <w:t xml:space="preserve"> </w:t>
      </w:r>
      <w:r w:rsidR="0024407D" w:rsidRPr="00C068F4">
        <w:rPr>
          <w:iCs/>
          <w:color w:val="000000" w:themeColor="text1"/>
        </w:rPr>
        <w:t>FDA’s Center for Drug Evaluation and Research Review Memorandum</w:t>
      </w:r>
      <w:r w:rsidR="00635047" w:rsidRPr="00C068F4">
        <w:rPr>
          <w:iCs/>
          <w:color w:val="000000" w:themeColor="text1"/>
        </w:rPr>
        <w:t xml:space="preserve"> </w:t>
      </w:r>
      <w:r w:rsidR="00907AA4" w:rsidRPr="00C068F4">
        <w:rPr>
          <w:iCs/>
          <w:color w:val="000000" w:themeColor="text1"/>
        </w:rPr>
        <w:t>dated 29 June 2022</w:t>
      </w:r>
      <w:r w:rsidR="00654F52" w:rsidRPr="00C068F4">
        <w:rPr>
          <w:iCs/>
          <w:color w:val="000000" w:themeColor="text1"/>
        </w:rPr>
        <w:t xml:space="preserve"> (</w:t>
      </w:r>
      <w:r w:rsidR="00907AA4" w:rsidRPr="00C068F4">
        <w:rPr>
          <w:iCs/>
          <w:color w:val="000000" w:themeColor="text1"/>
        </w:rPr>
        <w:t xml:space="preserve">which </w:t>
      </w:r>
      <w:r w:rsidR="00635047" w:rsidRPr="00C068F4">
        <w:rPr>
          <w:iCs/>
          <w:color w:val="000000" w:themeColor="text1"/>
        </w:rPr>
        <w:t>relat</w:t>
      </w:r>
      <w:r w:rsidR="00907AA4" w:rsidRPr="00C068F4">
        <w:rPr>
          <w:iCs/>
          <w:color w:val="000000" w:themeColor="text1"/>
        </w:rPr>
        <w:t>es</w:t>
      </w:r>
      <w:r w:rsidR="00635047" w:rsidRPr="00C068F4">
        <w:rPr>
          <w:iCs/>
          <w:color w:val="000000" w:themeColor="text1"/>
        </w:rPr>
        <w:t xml:space="preserve"> to the FDA’s decision to recommend</w:t>
      </w:r>
      <w:r w:rsidR="00E83584" w:rsidRPr="00C068F4">
        <w:rPr>
          <w:iCs/>
          <w:color w:val="000000" w:themeColor="text1"/>
        </w:rPr>
        <w:t xml:space="preserve"> a dose of tixagevimab 300 mg and cilgavimab 300 mg every six months</w:t>
      </w:r>
      <w:r w:rsidR="00654F52" w:rsidRPr="00C068F4">
        <w:rPr>
          <w:iCs/>
          <w:color w:val="000000" w:themeColor="text1"/>
        </w:rPr>
        <w:t>)</w:t>
      </w:r>
      <w:r w:rsidR="00BE27DE" w:rsidRPr="00C068F4">
        <w:rPr>
          <w:iCs/>
          <w:color w:val="000000" w:themeColor="text1"/>
        </w:rPr>
        <w:t>,</w:t>
      </w:r>
      <w:r w:rsidR="00191343" w:rsidRPr="00C068F4">
        <w:rPr>
          <w:iCs/>
          <w:color w:val="000000" w:themeColor="text1"/>
        </w:rPr>
        <w:t xml:space="preserve"> </w:t>
      </w:r>
      <w:r w:rsidR="00654F52" w:rsidRPr="00C068F4">
        <w:rPr>
          <w:iCs/>
          <w:color w:val="000000" w:themeColor="text1"/>
        </w:rPr>
        <w:t>in reference to</w:t>
      </w:r>
      <w:r w:rsidR="00AF1F28" w:rsidRPr="00C068F4">
        <w:rPr>
          <w:iCs/>
          <w:color w:val="000000" w:themeColor="text1"/>
        </w:rPr>
        <w:t xml:space="preserve"> assumptions underpinning the </w:t>
      </w:r>
      <w:r w:rsidR="006D648A" w:rsidRPr="00C068F4">
        <w:rPr>
          <w:iCs/>
          <w:color w:val="000000" w:themeColor="text1"/>
        </w:rPr>
        <w:t>pharmacokinetic modelling</w:t>
      </w:r>
      <w:r w:rsidR="00907AA4" w:rsidRPr="00C068F4">
        <w:rPr>
          <w:iCs/>
          <w:color w:val="000000" w:themeColor="text1"/>
        </w:rPr>
        <w:t>,</w:t>
      </w:r>
      <w:r w:rsidR="00BE27DE" w:rsidRPr="00C068F4">
        <w:rPr>
          <w:iCs/>
          <w:color w:val="000000" w:themeColor="text1"/>
        </w:rPr>
        <w:t xml:space="preserve"> states</w:t>
      </w:r>
      <w:r w:rsidR="00907AA4" w:rsidRPr="00C068F4">
        <w:rPr>
          <w:iCs/>
          <w:color w:val="000000" w:themeColor="text1"/>
        </w:rPr>
        <w:t xml:space="preserve"> “</w:t>
      </w:r>
      <w:r w:rsidR="00BA5E29" w:rsidRPr="00C068F4">
        <w:rPr>
          <w:iCs/>
          <w:color w:val="000000" w:themeColor="text1"/>
        </w:rPr>
        <w:t>it should be acknowledged that there are still uncertainties as to whether 1.8% [target-site penetration ratio] in combination with EC</w:t>
      </w:r>
      <w:r w:rsidR="00BA5E29" w:rsidRPr="00C068F4">
        <w:rPr>
          <w:iCs/>
          <w:color w:val="000000" w:themeColor="text1"/>
          <w:vertAlign w:val="subscript"/>
        </w:rPr>
        <w:t>80</w:t>
      </w:r>
      <w:r w:rsidR="00BA5E29" w:rsidRPr="00C068F4">
        <w:rPr>
          <w:iCs/>
          <w:color w:val="000000" w:themeColor="text1"/>
        </w:rPr>
        <w:t xml:space="preserve"> is the best predictor for efficacy</w:t>
      </w:r>
      <w:r w:rsidR="00907AA4" w:rsidRPr="00C068F4">
        <w:rPr>
          <w:iCs/>
          <w:color w:val="000000" w:themeColor="text1"/>
        </w:rPr>
        <w:t>”</w:t>
      </w:r>
      <w:r w:rsidR="00941D39" w:rsidRPr="00C068F4">
        <w:rPr>
          <w:iCs/>
          <w:color w:val="000000" w:themeColor="text1"/>
        </w:rPr>
        <w:t>.</w:t>
      </w:r>
    </w:p>
    <w:p w14:paraId="69D97DA3" w14:textId="5924AF7F" w:rsidR="00941D39" w:rsidRPr="00C068F4" w:rsidRDefault="00941D39" w:rsidP="00250817">
      <w:pPr>
        <w:pStyle w:val="3-BodyText"/>
        <w:rPr>
          <w:color w:val="000000" w:themeColor="text1"/>
        </w:rPr>
      </w:pPr>
      <w:r w:rsidRPr="00C068F4">
        <w:rPr>
          <w:iCs/>
          <w:color w:val="000000" w:themeColor="text1"/>
        </w:rPr>
        <w:t>Although the target site for tixagevimab and cilgavimab is assumed to</w:t>
      </w:r>
      <w:r w:rsidR="003611F0" w:rsidRPr="00C068F4">
        <w:rPr>
          <w:iCs/>
          <w:color w:val="000000" w:themeColor="text1"/>
        </w:rPr>
        <w:t xml:space="preserve"> be the respiratory tract, </w:t>
      </w:r>
      <w:r w:rsidR="00C768B0" w:rsidRPr="00C068F4">
        <w:rPr>
          <w:iCs/>
          <w:color w:val="000000" w:themeColor="text1"/>
        </w:rPr>
        <w:t xml:space="preserve">the possibility </w:t>
      </w:r>
      <w:r w:rsidR="003611F0" w:rsidRPr="00C068F4">
        <w:rPr>
          <w:iCs/>
          <w:color w:val="000000" w:themeColor="text1"/>
        </w:rPr>
        <w:t xml:space="preserve">that adverse events arise due to </w:t>
      </w:r>
      <w:r w:rsidR="00C768B0" w:rsidRPr="00C068F4">
        <w:rPr>
          <w:iCs/>
          <w:color w:val="000000" w:themeColor="text1"/>
        </w:rPr>
        <w:t>exposure of off-target sites</w:t>
      </w:r>
      <w:r w:rsidR="00495D36" w:rsidRPr="00C068F4">
        <w:rPr>
          <w:iCs/>
          <w:color w:val="000000" w:themeColor="text1"/>
        </w:rPr>
        <w:t xml:space="preserve"> to tixagevimab and cilgavimab</w:t>
      </w:r>
      <w:r w:rsidR="00C768B0" w:rsidRPr="00C068F4">
        <w:rPr>
          <w:iCs/>
          <w:color w:val="000000" w:themeColor="text1"/>
        </w:rPr>
        <w:t xml:space="preserve"> cannot be excluded.</w:t>
      </w:r>
    </w:p>
    <w:p w14:paraId="0A2F6B4F" w14:textId="41FD4A38" w:rsidR="00540605" w:rsidRDefault="00766F7A" w:rsidP="00250817">
      <w:pPr>
        <w:pStyle w:val="3-BodyText"/>
        <w:rPr>
          <w:iCs/>
          <w:color w:val="000000" w:themeColor="text1"/>
        </w:rPr>
      </w:pPr>
      <w:bookmarkStart w:id="73" w:name="_Ref110853579"/>
      <w:r w:rsidRPr="00C068F4">
        <w:rPr>
          <w:iCs/>
          <w:color w:val="000000" w:themeColor="text1"/>
        </w:rPr>
        <w:t xml:space="preserve">As with any </w:t>
      </w:r>
      <w:r w:rsidR="00822DC4" w:rsidRPr="00C068F4">
        <w:rPr>
          <w:iCs/>
          <w:color w:val="000000" w:themeColor="text1"/>
        </w:rPr>
        <w:t>monoc</w:t>
      </w:r>
      <w:r w:rsidR="00AE03E3" w:rsidRPr="00C068F4">
        <w:rPr>
          <w:iCs/>
          <w:color w:val="000000" w:themeColor="text1"/>
        </w:rPr>
        <w:t>lonal antibod</w:t>
      </w:r>
      <w:r w:rsidR="00C155B8" w:rsidRPr="00C068F4">
        <w:rPr>
          <w:iCs/>
          <w:color w:val="000000" w:themeColor="text1"/>
        </w:rPr>
        <w:t>y</w:t>
      </w:r>
      <w:r w:rsidRPr="00C068F4">
        <w:rPr>
          <w:iCs/>
          <w:color w:val="000000" w:themeColor="text1"/>
        </w:rPr>
        <w:t xml:space="preserve">, there is a potential for development of anti-drug antibodies </w:t>
      </w:r>
      <w:r w:rsidR="00C155B8" w:rsidRPr="00C068F4">
        <w:rPr>
          <w:iCs/>
          <w:color w:val="000000" w:themeColor="text1"/>
        </w:rPr>
        <w:t xml:space="preserve">that confer </w:t>
      </w:r>
      <w:r w:rsidRPr="00C068F4">
        <w:rPr>
          <w:iCs/>
          <w:color w:val="000000" w:themeColor="text1"/>
        </w:rPr>
        <w:t xml:space="preserve">resistance to </w:t>
      </w:r>
      <w:r w:rsidR="00C155B8" w:rsidRPr="00C068F4">
        <w:rPr>
          <w:iCs/>
          <w:color w:val="000000" w:themeColor="text1"/>
        </w:rPr>
        <w:t>treatment</w:t>
      </w:r>
      <w:r w:rsidRPr="00C068F4">
        <w:rPr>
          <w:iCs/>
          <w:color w:val="000000" w:themeColor="text1"/>
        </w:rPr>
        <w:t xml:space="preserve"> and, potentially, for new SARS-CoV-2 variants to emerge as a consequence of development of viral mutations in response to </w:t>
      </w:r>
      <w:r w:rsidR="00C155B8" w:rsidRPr="00C068F4">
        <w:rPr>
          <w:iCs/>
          <w:color w:val="000000" w:themeColor="text1"/>
        </w:rPr>
        <w:t xml:space="preserve">exposure to </w:t>
      </w:r>
      <w:r w:rsidR="00804469" w:rsidRPr="00C068F4">
        <w:rPr>
          <w:iCs/>
          <w:color w:val="000000" w:themeColor="text1"/>
        </w:rPr>
        <w:t>tixagevimab and cilgavimab</w:t>
      </w:r>
      <w:r w:rsidRPr="00C068F4">
        <w:rPr>
          <w:iCs/>
          <w:color w:val="000000" w:themeColor="text1"/>
        </w:rPr>
        <w:t>.</w:t>
      </w:r>
      <w:bookmarkEnd w:id="73"/>
    </w:p>
    <w:p w14:paraId="5C4305ED" w14:textId="35024DA2" w:rsidR="00B83515" w:rsidRDefault="00B83515" w:rsidP="00B83515">
      <w:pPr>
        <w:pStyle w:val="4-SubsectionHeading"/>
        <w:rPr>
          <w:color w:val="000000" w:themeColor="text1"/>
        </w:rPr>
      </w:pPr>
      <w:r>
        <w:rPr>
          <w:color w:val="000000" w:themeColor="text1"/>
        </w:rPr>
        <w:t>Comparative harms</w:t>
      </w:r>
    </w:p>
    <w:p w14:paraId="71CC9886" w14:textId="03D0E8AE" w:rsidR="008C5F23" w:rsidRPr="00C068F4" w:rsidRDefault="00734AB4" w:rsidP="008C5F23">
      <w:pPr>
        <w:pStyle w:val="3-BodyText"/>
        <w:rPr>
          <w:color w:val="000000" w:themeColor="text1"/>
        </w:rPr>
      </w:pPr>
      <w:r w:rsidRPr="00C068F4">
        <w:rPr>
          <w:color w:val="000000" w:themeColor="text1"/>
        </w:rPr>
        <w:t xml:space="preserve">The key </w:t>
      </w:r>
      <w:r w:rsidR="00B52F7D" w:rsidRPr="00C068F4">
        <w:rPr>
          <w:color w:val="000000" w:themeColor="text1"/>
        </w:rPr>
        <w:t>safety outcomes from the PROVENT trial</w:t>
      </w:r>
      <w:r w:rsidR="000F0F46" w:rsidRPr="00C068F4">
        <w:rPr>
          <w:color w:val="000000" w:themeColor="text1"/>
        </w:rPr>
        <w:t xml:space="preserve"> </w:t>
      </w:r>
      <w:r w:rsidR="00B52F7D" w:rsidRPr="00C068F4">
        <w:rPr>
          <w:color w:val="000000" w:themeColor="text1"/>
        </w:rPr>
        <w:t xml:space="preserve">in which patients were </w:t>
      </w:r>
      <w:r w:rsidR="00171305" w:rsidRPr="00C068F4">
        <w:rPr>
          <w:color w:val="000000" w:themeColor="text1"/>
        </w:rPr>
        <w:t>given a single administration of</w:t>
      </w:r>
      <w:r w:rsidR="00B52F7D" w:rsidRPr="00C068F4">
        <w:rPr>
          <w:color w:val="000000" w:themeColor="text1"/>
        </w:rPr>
        <w:t xml:space="preserve"> tixagevimab </w:t>
      </w:r>
      <w:r w:rsidR="00171305" w:rsidRPr="00C068F4">
        <w:rPr>
          <w:color w:val="000000" w:themeColor="text1"/>
        </w:rPr>
        <w:t xml:space="preserve">150 mg </w:t>
      </w:r>
      <w:r w:rsidR="00B52F7D" w:rsidRPr="00C068F4">
        <w:rPr>
          <w:color w:val="000000" w:themeColor="text1"/>
        </w:rPr>
        <w:t>and cilgavimab 150 mg</w:t>
      </w:r>
      <w:r w:rsidR="00171305" w:rsidRPr="00C068F4">
        <w:rPr>
          <w:color w:val="000000" w:themeColor="text1"/>
        </w:rPr>
        <w:t xml:space="preserve"> and then follow</w:t>
      </w:r>
      <w:r w:rsidR="00730302" w:rsidRPr="00C068F4">
        <w:rPr>
          <w:color w:val="000000" w:themeColor="text1"/>
        </w:rPr>
        <w:t>ed up for 12 month</w:t>
      </w:r>
      <w:r w:rsidR="003062B0" w:rsidRPr="00C068F4">
        <w:rPr>
          <w:color w:val="000000" w:themeColor="text1"/>
        </w:rPr>
        <w:t>s</w:t>
      </w:r>
      <w:r w:rsidR="00730302" w:rsidRPr="00C068F4">
        <w:rPr>
          <w:color w:val="000000" w:themeColor="text1"/>
        </w:rPr>
        <w:t xml:space="preserve"> are summarised in</w:t>
      </w:r>
      <w:r w:rsidR="00524970" w:rsidRPr="00C068F4">
        <w:rPr>
          <w:color w:val="000000" w:themeColor="text1"/>
        </w:rPr>
        <w:t xml:space="preserve"> </w:t>
      </w:r>
      <w:r w:rsidR="00CC6D64" w:rsidRPr="00C068F4">
        <w:rPr>
          <w:color w:val="000000" w:themeColor="text1"/>
        </w:rPr>
        <w:fldChar w:fldCharType="begin" w:fldLock="1"/>
      </w:r>
      <w:r w:rsidR="00CC6D64" w:rsidRPr="00C068F4">
        <w:rPr>
          <w:color w:val="000000" w:themeColor="text1"/>
        </w:rPr>
        <w:instrText xml:space="preserve"> REF _Ref110709254 \h </w:instrText>
      </w:r>
      <w:r w:rsidR="00CC6D64" w:rsidRPr="00C068F4">
        <w:rPr>
          <w:color w:val="000000" w:themeColor="text1"/>
        </w:rPr>
      </w:r>
      <w:r w:rsidR="00CC6D64" w:rsidRPr="00C068F4">
        <w:rPr>
          <w:color w:val="000000" w:themeColor="text1"/>
        </w:rPr>
        <w:fldChar w:fldCharType="separate"/>
      </w:r>
      <w:r w:rsidR="00AB751C" w:rsidRPr="00C068F4">
        <w:t xml:space="preserve">Table </w:t>
      </w:r>
      <w:r w:rsidR="00AB751C">
        <w:rPr>
          <w:noProof/>
        </w:rPr>
        <w:t>8</w:t>
      </w:r>
      <w:r w:rsidR="00CC6D64" w:rsidRPr="00C068F4">
        <w:rPr>
          <w:color w:val="000000" w:themeColor="text1"/>
        </w:rPr>
        <w:fldChar w:fldCharType="end"/>
      </w:r>
      <w:r w:rsidR="0010546C" w:rsidRPr="00C068F4">
        <w:rPr>
          <w:color w:val="000000" w:themeColor="text1"/>
        </w:rPr>
        <w:t>.</w:t>
      </w:r>
      <w:r w:rsidR="007B3D0D" w:rsidRPr="00C068F4">
        <w:rPr>
          <w:color w:val="000000" w:themeColor="text1"/>
        </w:rPr>
        <w:t xml:space="preserve"> Results are presented at the time of the </w:t>
      </w:r>
      <w:r w:rsidR="00420110" w:rsidRPr="00C068F4">
        <w:rPr>
          <w:color w:val="000000" w:themeColor="text1"/>
        </w:rPr>
        <w:t>April 2022 DCO</w:t>
      </w:r>
      <w:r w:rsidR="00FB70BC" w:rsidRPr="00C068F4">
        <w:rPr>
          <w:color w:val="000000" w:themeColor="text1"/>
        </w:rPr>
        <w:t>.</w:t>
      </w:r>
    </w:p>
    <w:p w14:paraId="310B2246" w14:textId="26B93E99" w:rsidR="00B60939" w:rsidRPr="00C068F4" w:rsidRDefault="00D6076E" w:rsidP="0070659A">
      <w:pPr>
        <w:pStyle w:val="TableFigureHeading"/>
        <w:rPr>
          <w:rStyle w:val="CommentReference"/>
          <w:b/>
          <w:szCs w:val="24"/>
        </w:rPr>
      </w:pPr>
      <w:bookmarkStart w:id="74" w:name="_Ref110709254"/>
      <w:r w:rsidRPr="00C068F4">
        <w:t xml:space="preserve">Table </w:t>
      </w:r>
      <w:fldSimple w:instr=" SEQ Table \* ARABIC " w:fldLock="1">
        <w:r w:rsidR="00DB55F2">
          <w:rPr>
            <w:noProof/>
          </w:rPr>
          <w:t>8</w:t>
        </w:r>
      </w:fldSimple>
      <w:bookmarkEnd w:id="74"/>
      <w:r w:rsidRPr="00C068F4">
        <w:t xml:space="preserve">: </w:t>
      </w:r>
      <w:r w:rsidR="005D26B4" w:rsidRPr="00C068F4">
        <w:rPr>
          <w:rStyle w:val="CommentReference"/>
          <w:b/>
          <w:szCs w:val="24"/>
        </w:rPr>
        <w:t xml:space="preserve">Summary of key adverse events in the </w:t>
      </w:r>
      <w:r w:rsidR="0010546C" w:rsidRPr="00C068F4">
        <w:rPr>
          <w:rStyle w:val="CommentReference"/>
          <w:b/>
          <w:szCs w:val="24"/>
        </w:rPr>
        <w:t>PROVENT trial</w:t>
      </w:r>
      <w:r w:rsidR="00122A47" w:rsidRPr="00C068F4">
        <w:rPr>
          <w:rStyle w:val="CommentReference"/>
          <w:b/>
          <w:szCs w:val="24"/>
        </w:rPr>
        <w:t xml:space="preserve"> at April 2022 DCO</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8: Summary of key adverse events in the PROVENT trial at April 2022 DCO"/>
      </w:tblPr>
      <w:tblGrid>
        <w:gridCol w:w="2121"/>
        <w:gridCol w:w="2907"/>
        <w:gridCol w:w="2907"/>
        <w:gridCol w:w="1132"/>
      </w:tblGrid>
      <w:tr w:rsidR="005D26B4" w:rsidRPr="00C068F4" w14:paraId="3ADA51C0" w14:textId="77777777" w:rsidTr="00FE6945">
        <w:trPr>
          <w:cantSplit/>
          <w:tblHeader/>
        </w:trPr>
        <w:tc>
          <w:tcPr>
            <w:tcW w:w="1170" w:type="pct"/>
            <w:vAlign w:val="center"/>
          </w:tcPr>
          <w:p w14:paraId="21B479AB" w14:textId="0C5BB5F8" w:rsidR="005D26B4" w:rsidRPr="00C068F4" w:rsidRDefault="0010546C" w:rsidP="00D86231">
            <w:pPr>
              <w:pStyle w:val="In-tableHeading"/>
              <w:rPr>
                <w:lang w:val="en-AU"/>
              </w:rPr>
            </w:pPr>
            <w:r w:rsidRPr="00C068F4">
              <w:rPr>
                <w:lang w:val="en-AU"/>
              </w:rPr>
              <w:t>PROVENT trial</w:t>
            </w:r>
          </w:p>
        </w:tc>
        <w:tc>
          <w:tcPr>
            <w:tcW w:w="1603" w:type="pct"/>
            <w:vAlign w:val="center"/>
          </w:tcPr>
          <w:p w14:paraId="23AC57BC" w14:textId="54FE44DB" w:rsidR="005D26B4" w:rsidRPr="00C068F4" w:rsidRDefault="0056364F" w:rsidP="00D86231">
            <w:pPr>
              <w:pStyle w:val="In-tableHeading"/>
              <w:jc w:val="center"/>
              <w:rPr>
                <w:lang w:val="en-AU"/>
              </w:rPr>
            </w:pPr>
            <w:r w:rsidRPr="00C068F4">
              <w:rPr>
                <w:color w:val="000000" w:themeColor="text1"/>
                <w:lang w:val="en-AU"/>
              </w:rPr>
              <w:t>Tixagevimab 150 mg and cilgavimab 150 mg</w:t>
            </w:r>
            <w:r w:rsidR="00122A47" w:rsidRPr="00C068F4">
              <w:rPr>
                <w:color w:val="000000" w:themeColor="text1"/>
                <w:lang w:val="en-AU"/>
              </w:rPr>
              <w:t xml:space="preserve"> arm</w:t>
            </w:r>
          </w:p>
          <w:p w14:paraId="531E99E7" w14:textId="77777777" w:rsidR="005D26B4" w:rsidRPr="00C068F4" w:rsidRDefault="00A008C2" w:rsidP="00D86231">
            <w:pPr>
              <w:pStyle w:val="In-tableHeading"/>
              <w:jc w:val="center"/>
              <w:rPr>
                <w:lang w:val="en-AU"/>
              </w:rPr>
            </w:pPr>
            <w:r w:rsidRPr="00C068F4">
              <w:rPr>
                <w:lang w:val="en-AU"/>
              </w:rPr>
              <w:t>N = 3461</w:t>
            </w:r>
          </w:p>
          <w:p w14:paraId="72069CC5" w14:textId="77777777" w:rsidR="00A008C2" w:rsidRPr="00C068F4" w:rsidRDefault="00310DCA" w:rsidP="00D86231">
            <w:pPr>
              <w:pStyle w:val="In-tableHeading"/>
              <w:jc w:val="center"/>
              <w:rPr>
                <w:lang w:val="en-AU"/>
              </w:rPr>
            </w:pPr>
            <w:r w:rsidRPr="00C068F4">
              <w:rPr>
                <w:lang w:val="en-AU"/>
              </w:rPr>
              <w:t>E</w:t>
            </w:r>
            <w:r w:rsidR="00A008C2" w:rsidRPr="00C068F4">
              <w:rPr>
                <w:lang w:val="en-AU"/>
              </w:rPr>
              <w:t xml:space="preserve">xposure = </w:t>
            </w:r>
            <w:r w:rsidRPr="00C068F4">
              <w:rPr>
                <w:lang w:val="en-AU"/>
              </w:rPr>
              <w:t>3781.5 person-years</w:t>
            </w:r>
          </w:p>
          <w:p w14:paraId="25AE8D22" w14:textId="50F52774" w:rsidR="000753B5" w:rsidRPr="00C068F4" w:rsidRDefault="000753B5" w:rsidP="00D86231">
            <w:pPr>
              <w:pStyle w:val="In-tableHeading"/>
              <w:jc w:val="center"/>
              <w:rPr>
                <w:lang w:val="en-AU"/>
              </w:rPr>
            </w:pPr>
            <w:r w:rsidRPr="00C068F4">
              <w:rPr>
                <w:lang w:val="en-AU"/>
              </w:rPr>
              <w:t>n (incidence rate per person-year)</w:t>
            </w:r>
          </w:p>
        </w:tc>
        <w:tc>
          <w:tcPr>
            <w:tcW w:w="1603" w:type="pct"/>
            <w:vAlign w:val="center"/>
          </w:tcPr>
          <w:p w14:paraId="34690FEB" w14:textId="0F2648C5" w:rsidR="005D26B4" w:rsidRPr="00C068F4" w:rsidRDefault="002F73C9" w:rsidP="00D86231">
            <w:pPr>
              <w:pStyle w:val="In-tableHeading"/>
              <w:jc w:val="center"/>
              <w:rPr>
                <w:lang w:val="en-AU"/>
              </w:rPr>
            </w:pPr>
            <w:r w:rsidRPr="00C068F4">
              <w:rPr>
                <w:lang w:val="en-AU"/>
              </w:rPr>
              <w:t>Placebo</w:t>
            </w:r>
            <w:r w:rsidR="00122A47" w:rsidRPr="00C068F4">
              <w:rPr>
                <w:lang w:val="en-AU"/>
              </w:rPr>
              <w:t xml:space="preserve"> arm</w:t>
            </w:r>
          </w:p>
          <w:p w14:paraId="0E0520DC" w14:textId="61731DC6" w:rsidR="00310DCA" w:rsidRPr="00C068F4" w:rsidRDefault="00310DCA" w:rsidP="00D86231">
            <w:pPr>
              <w:pStyle w:val="In-tableHeading"/>
              <w:jc w:val="center"/>
              <w:rPr>
                <w:lang w:val="en-AU"/>
              </w:rPr>
            </w:pPr>
            <w:r w:rsidRPr="00C068F4">
              <w:rPr>
                <w:lang w:val="en-AU"/>
              </w:rPr>
              <w:t>N = 1736</w:t>
            </w:r>
          </w:p>
          <w:p w14:paraId="693A2D13" w14:textId="77777777" w:rsidR="005D26B4" w:rsidRPr="00C068F4" w:rsidRDefault="00310DCA" w:rsidP="00D86231">
            <w:pPr>
              <w:pStyle w:val="In-tableHeading"/>
              <w:jc w:val="center"/>
              <w:rPr>
                <w:lang w:val="en-AU"/>
              </w:rPr>
            </w:pPr>
            <w:r w:rsidRPr="00C068F4">
              <w:rPr>
                <w:lang w:val="en-AU"/>
              </w:rPr>
              <w:t>Exposure =</w:t>
            </w:r>
            <w:r w:rsidR="003905B3" w:rsidRPr="00C068F4">
              <w:rPr>
                <w:lang w:val="en-AU"/>
              </w:rPr>
              <w:t>.1878.6 person-years</w:t>
            </w:r>
          </w:p>
          <w:p w14:paraId="3D94778C" w14:textId="77E02537" w:rsidR="00521BA8" w:rsidRPr="00C068F4" w:rsidRDefault="00521BA8" w:rsidP="00D86231">
            <w:pPr>
              <w:pStyle w:val="In-tableHeading"/>
              <w:jc w:val="center"/>
              <w:rPr>
                <w:lang w:val="en-AU"/>
              </w:rPr>
            </w:pPr>
            <w:r w:rsidRPr="00C068F4">
              <w:rPr>
                <w:lang w:val="en-AU"/>
              </w:rPr>
              <w:t>n (incidence rate per person-year)</w:t>
            </w:r>
          </w:p>
        </w:tc>
        <w:tc>
          <w:tcPr>
            <w:tcW w:w="624" w:type="pct"/>
            <w:vAlign w:val="center"/>
          </w:tcPr>
          <w:p w14:paraId="03BB1326" w14:textId="35AA772D" w:rsidR="005D26B4" w:rsidRPr="00C068F4" w:rsidRDefault="004C4FD1" w:rsidP="00D86231">
            <w:pPr>
              <w:pStyle w:val="In-tableHeading"/>
              <w:jc w:val="center"/>
              <w:rPr>
                <w:lang w:val="en-AU"/>
              </w:rPr>
            </w:pPr>
            <w:r w:rsidRPr="00C068F4">
              <w:rPr>
                <w:lang w:val="en-AU"/>
              </w:rPr>
              <w:t>Rate</w:t>
            </w:r>
            <w:r w:rsidR="0056364F" w:rsidRPr="00C068F4">
              <w:rPr>
                <w:lang w:val="en-AU"/>
              </w:rPr>
              <w:t xml:space="preserve"> ratio</w:t>
            </w:r>
            <w:r w:rsidR="005D26B4" w:rsidRPr="00C068F4">
              <w:rPr>
                <w:lang w:val="en-AU"/>
              </w:rPr>
              <w:t xml:space="preserve"> (95% CI)</w:t>
            </w:r>
          </w:p>
        </w:tc>
      </w:tr>
      <w:tr w:rsidR="005D26B4" w:rsidRPr="00C068F4" w14:paraId="222746FA" w14:textId="77777777" w:rsidTr="00FE6945">
        <w:trPr>
          <w:cantSplit/>
        </w:trPr>
        <w:tc>
          <w:tcPr>
            <w:tcW w:w="1170" w:type="pct"/>
            <w:vAlign w:val="center"/>
          </w:tcPr>
          <w:p w14:paraId="3823D7CF" w14:textId="766CB2A7" w:rsidR="005D26B4" w:rsidRPr="00C068F4" w:rsidRDefault="00881810" w:rsidP="00241D45">
            <w:pPr>
              <w:pStyle w:val="TableText0"/>
            </w:pPr>
            <w:r w:rsidRPr="00C068F4">
              <w:t xml:space="preserve">Participants with </w:t>
            </w:r>
            <w:r w:rsidR="00241D45" w:rsidRPr="00C068F4">
              <w:t xml:space="preserve">≥ </w:t>
            </w:r>
            <w:r w:rsidRPr="00C068F4">
              <w:t>1</w:t>
            </w:r>
            <w:r w:rsidR="00F136A1" w:rsidRPr="00C068F4">
              <w:t xml:space="preserve"> AE</w:t>
            </w:r>
            <w:r w:rsidR="00A06507" w:rsidRPr="00C068F4">
              <w:t xml:space="preserve"> </w:t>
            </w:r>
          </w:p>
        </w:tc>
        <w:tc>
          <w:tcPr>
            <w:tcW w:w="1603" w:type="pct"/>
            <w:vAlign w:val="center"/>
          </w:tcPr>
          <w:p w14:paraId="521AF77D" w14:textId="1B2B83A0" w:rsidR="005D26B4" w:rsidRPr="00C068F4" w:rsidRDefault="00B36DCF" w:rsidP="00D86231">
            <w:pPr>
              <w:pStyle w:val="TableText0"/>
              <w:jc w:val="center"/>
            </w:pPr>
            <w:r w:rsidRPr="00C068F4">
              <w:t>1969</w:t>
            </w:r>
            <w:r w:rsidR="00DA01D7" w:rsidRPr="00C068F4">
              <w:t xml:space="preserve"> </w:t>
            </w:r>
            <w:r w:rsidR="00713111" w:rsidRPr="00C068F4">
              <w:t>(</w:t>
            </w:r>
            <w:r w:rsidR="00956426" w:rsidRPr="00C068F4">
              <w:t>0.521</w:t>
            </w:r>
            <w:r w:rsidR="00713111" w:rsidRPr="00C068F4">
              <w:t>)</w:t>
            </w:r>
          </w:p>
        </w:tc>
        <w:tc>
          <w:tcPr>
            <w:tcW w:w="1603" w:type="pct"/>
            <w:vAlign w:val="center"/>
          </w:tcPr>
          <w:p w14:paraId="6F9567B3" w14:textId="3648A195" w:rsidR="005D26B4" w:rsidRPr="00C068F4" w:rsidRDefault="00713111" w:rsidP="00D86231">
            <w:pPr>
              <w:pStyle w:val="TableText0"/>
              <w:jc w:val="center"/>
            </w:pPr>
            <w:r w:rsidRPr="00C068F4">
              <w:t>979 (</w:t>
            </w:r>
            <w:r w:rsidR="00417EAF" w:rsidRPr="00C068F4">
              <w:t>0.521</w:t>
            </w:r>
            <w:r w:rsidRPr="00C068F4">
              <w:t>)</w:t>
            </w:r>
          </w:p>
        </w:tc>
        <w:tc>
          <w:tcPr>
            <w:tcW w:w="624" w:type="pct"/>
            <w:vAlign w:val="center"/>
          </w:tcPr>
          <w:p w14:paraId="23FFA182" w14:textId="77777777" w:rsidR="00416FA9" w:rsidRPr="00C068F4" w:rsidRDefault="00417EAF" w:rsidP="00D86231">
            <w:pPr>
              <w:pStyle w:val="TableText0"/>
              <w:jc w:val="center"/>
              <w:rPr>
                <w:iCs/>
              </w:rPr>
            </w:pPr>
            <w:r w:rsidRPr="00C068F4">
              <w:rPr>
                <w:iCs/>
              </w:rPr>
              <w:t>1.00</w:t>
            </w:r>
          </w:p>
          <w:p w14:paraId="51B83071" w14:textId="6F68D6A6" w:rsidR="005D26B4" w:rsidRPr="00C068F4" w:rsidRDefault="008914F2" w:rsidP="00D86231">
            <w:pPr>
              <w:pStyle w:val="TableText0"/>
              <w:jc w:val="center"/>
              <w:rPr>
                <w:i/>
                <w:iCs/>
              </w:rPr>
            </w:pPr>
            <w:r w:rsidRPr="00C068F4">
              <w:rPr>
                <w:iCs/>
              </w:rPr>
              <w:t>(</w:t>
            </w:r>
            <w:r w:rsidR="004D169E" w:rsidRPr="00C068F4">
              <w:rPr>
                <w:iCs/>
              </w:rPr>
              <w:t>0.92, 1.08</w:t>
            </w:r>
            <w:r w:rsidRPr="00C068F4">
              <w:rPr>
                <w:iCs/>
              </w:rPr>
              <w:t>)</w:t>
            </w:r>
          </w:p>
        </w:tc>
      </w:tr>
      <w:tr w:rsidR="00D01E64" w:rsidRPr="00C068F4" w14:paraId="273E20FD" w14:textId="77777777" w:rsidTr="00FE6945">
        <w:trPr>
          <w:cantSplit/>
        </w:trPr>
        <w:tc>
          <w:tcPr>
            <w:tcW w:w="1170" w:type="pct"/>
            <w:vAlign w:val="center"/>
          </w:tcPr>
          <w:p w14:paraId="3489C4FE" w14:textId="314A3D07" w:rsidR="00AF261A" w:rsidRPr="00C068F4" w:rsidRDefault="00AF261A" w:rsidP="00AF261A">
            <w:pPr>
              <w:pStyle w:val="TableText0"/>
            </w:pPr>
            <w:r w:rsidRPr="00C068F4">
              <w:t xml:space="preserve">Participants with </w:t>
            </w:r>
            <w:r w:rsidR="00241D45" w:rsidRPr="00C068F4">
              <w:t>≥</w:t>
            </w:r>
            <w:r w:rsidRPr="00C068F4">
              <w:t>1 medically attended AE</w:t>
            </w:r>
          </w:p>
        </w:tc>
        <w:tc>
          <w:tcPr>
            <w:tcW w:w="1603" w:type="pct"/>
            <w:vAlign w:val="center"/>
          </w:tcPr>
          <w:p w14:paraId="245708FC" w14:textId="6F6562F2" w:rsidR="00AF261A" w:rsidRPr="00C068F4" w:rsidRDefault="00AF261A" w:rsidP="00AF261A">
            <w:pPr>
              <w:pStyle w:val="TableText0"/>
              <w:jc w:val="center"/>
            </w:pPr>
            <w:r w:rsidRPr="00C068F4">
              <w:t>957</w:t>
            </w:r>
            <w:r w:rsidR="004D169E" w:rsidRPr="00C068F4">
              <w:t xml:space="preserve"> (0.</w:t>
            </w:r>
            <w:r w:rsidR="001937E3" w:rsidRPr="00C068F4">
              <w:t>253</w:t>
            </w:r>
            <w:r w:rsidR="004D169E" w:rsidRPr="00C068F4">
              <w:t>)</w:t>
            </w:r>
          </w:p>
        </w:tc>
        <w:tc>
          <w:tcPr>
            <w:tcW w:w="1603" w:type="pct"/>
            <w:vAlign w:val="center"/>
          </w:tcPr>
          <w:p w14:paraId="3A0074AD" w14:textId="1B6BA49A" w:rsidR="00AF261A" w:rsidRPr="00C068F4" w:rsidRDefault="00AF261A" w:rsidP="00AF261A">
            <w:pPr>
              <w:pStyle w:val="TableText0"/>
              <w:jc w:val="center"/>
            </w:pPr>
            <w:r w:rsidRPr="00C068F4">
              <w:t>416</w:t>
            </w:r>
            <w:r w:rsidR="004D169E" w:rsidRPr="00C068F4">
              <w:t xml:space="preserve"> (0.</w:t>
            </w:r>
            <w:r w:rsidR="001937E3" w:rsidRPr="00C068F4">
              <w:t>221</w:t>
            </w:r>
            <w:r w:rsidR="004D169E" w:rsidRPr="00C068F4">
              <w:t>)</w:t>
            </w:r>
          </w:p>
        </w:tc>
        <w:tc>
          <w:tcPr>
            <w:tcW w:w="624" w:type="pct"/>
            <w:vAlign w:val="center"/>
          </w:tcPr>
          <w:p w14:paraId="6D59D623" w14:textId="77777777" w:rsidR="00416FA9" w:rsidRPr="00C068F4" w:rsidRDefault="00AF261A" w:rsidP="00AF261A">
            <w:pPr>
              <w:pStyle w:val="TableText0"/>
              <w:jc w:val="center"/>
              <w:rPr>
                <w:iCs/>
              </w:rPr>
            </w:pPr>
            <w:r w:rsidRPr="00C068F4">
              <w:rPr>
                <w:iCs/>
              </w:rPr>
              <w:t>1.</w:t>
            </w:r>
            <w:r w:rsidR="004858E8" w:rsidRPr="00C068F4">
              <w:rPr>
                <w:iCs/>
              </w:rPr>
              <w:t>1</w:t>
            </w:r>
            <w:r w:rsidR="001937E3" w:rsidRPr="00C068F4">
              <w:rPr>
                <w:iCs/>
              </w:rPr>
              <w:t>4</w:t>
            </w:r>
          </w:p>
          <w:p w14:paraId="3E88F57A" w14:textId="598F6671" w:rsidR="00AF261A" w:rsidRPr="00C068F4" w:rsidRDefault="00AF261A" w:rsidP="00AF261A">
            <w:pPr>
              <w:pStyle w:val="TableText0"/>
              <w:jc w:val="center"/>
              <w:rPr>
                <w:i/>
                <w:iCs/>
              </w:rPr>
            </w:pPr>
            <w:r w:rsidRPr="00C068F4">
              <w:rPr>
                <w:iCs/>
              </w:rPr>
              <w:t>(</w:t>
            </w:r>
            <w:r w:rsidR="001937E3" w:rsidRPr="00C068F4">
              <w:rPr>
                <w:iCs/>
              </w:rPr>
              <w:t>1.02</w:t>
            </w:r>
            <w:r w:rsidR="004858E8" w:rsidRPr="00C068F4">
              <w:rPr>
                <w:iCs/>
              </w:rPr>
              <w:t>, 1.2</w:t>
            </w:r>
            <w:r w:rsidR="001937E3" w:rsidRPr="00C068F4">
              <w:rPr>
                <w:iCs/>
              </w:rPr>
              <w:t>9</w:t>
            </w:r>
            <w:r w:rsidRPr="00C068F4">
              <w:rPr>
                <w:iCs/>
              </w:rPr>
              <w:t>)</w:t>
            </w:r>
          </w:p>
        </w:tc>
      </w:tr>
      <w:tr w:rsidR="0094454D" w:rsidRPr="00C068F4" w14:paraId="0384327F" w14:textId="77777777" w:rsidTr="00FE6945">
        <w:trPr>
          <w:cantSplit/>
        </w:trPr>
        <w:tc>
          <w:tcPr>
            <w:tcW w:w="1170" w:type="pct"/>
            <w:vAlign w:val="center"/>
          </w:tcPr>
          <w:p w14:paraId="57DABC30" w14:textId="477A9A3E" w:rsidR="0094454D" w:rsidRPr="00C068F4" w:rsidRDefault="0094454D" w:rsidP="0094454D">
            <w:pPr>
              <w:pStyle w:val="TableText0"/>
            </w:pPr>
            <w:r w:rsidRPr="00C068F4">
              <w:t>Participants with</w:t>
            </w:r>
            <w:r w:rsidR="00241D45" w:rsidRPr="00C068F4">
              <w:t xml:space="preserve"> ≥</w:t>
            </w:r>
            <w:r w:rsidRPr="00C068F4">
              <w:t xml:space="preserve"> 1 SAE</w:t>
            </w:r>
          </w:p>
        </w:tc>
        <w:tc>
          <w:tcPr>
            <w:tcW w:w="1603" w:type="pct"/>
            <w:vAlign w:val="center"/>
          </w:tcPr>
          <w:p w14:paraId="7D724F55" w14:textId="1F91C53E" w:rsidR="0094454D" w:rsidRPr="00C068F4" w:rsidRDefault="0094454D" w:rsidP="0094454D">
            <w:pPr>
              <w:pStyle w:val="TableText0"/>
              <w:jc w:val="center"/>
            </w:pPr>
            <w:r w:rsidRPr="00C068F4">
              <w:t>209</w:t>
            </w:r>
            <w:r w:rsidR="004D169E" w:rsidRPr="00C068F4">
              <w:t xml:space="preserve"> (0.</w:t>
            </w:r>
            <w:r w:rsidR="00DA1564" w:rsidRPr="00C068F4">
              <w:t>055</w:t>
            </w:r>
            <w:r w:rsidR="004D169E" w:rsidRPr="00C068F4">
              <w:t>)</w:t>
            </w:r>
          </w:p>
        </w:tc>
        <w:tc>
          <w:tcPr>
            <w:tcW w:w="1603" w:type="pct"/>
            <w:vAlign w:val="center"/>
          </w:tcPr>
          <w:p w14:paraId="255A5E2D" w14:textId="243DB8E3" w:rsidR="0094454D" w:rsidRPr="00C068F4" w:rsidRDefault="0094454D" w:rsidP="0094454D">
            <w:pPr>
              <w:pStyle w:val="TableText0"/>
              <w:jc w:val="center"/>
            </w:pPr>
            <w:r w:rsidRPr="00C068F4">
              <w:t>96</w:t>
            </w:r>
            <w:r w:rsidR="004D169E" w:rsidRPr="00C068F4">
              <w:t xml:space="preserve"> (0.</w:t>
            </w:r>
            <w:r w:rsidR="00DA1564" w:rsidRPr="00C068F4">
              <w:t>051</w:t>
            </w:r>
            <w:r w:rsidR="004D169E" w:rsidRPr="00C068F4">
              <w:t>)</w:t>
            </w:r>
          </w:p>
        </w:tc>
        <w:tc>
          <w:tcPr>
            <w:tcW w:w="624" w:type="pct"/>
            <w:vAlign w:val="center"/>
          </w:tcPr>
          <w:p w14:paraId="55C16C06" w14:textId="77777777" w:rsidR="00416FA9" w:rsidRPr="00C068F4" w:rsidRDefault="0094454D" w:rsidP="0094454D">
            <w:pPr>
              <w:pStyle w:val="TableText0"/>
              <w:jc w:val="center"/>
              <w:rPr>
                <w:iCs/>
              </w:rPr>
            </w:pPr>
            <w:r w:rsidRPr="00C068F4">
              <w:rPr>
                <w:iCs/>
              </w:rPr>
              <w:t>1.0</w:t>
            </w:r>
            <w:r w:rsidR="00386BE3" w:rsidRPr="00C068F4">
              <w:rPr>
                <w:iCs/>
              </w:rPr>
              <w:t>8</w:t>
            </w:r>
          </w:p>
          <w:p w14:paraId="16DBA636" w14:textId="7E6076FB" w:rsidR="0094454D" w:rsidRPr="00C068F4" w:rsidRDefault="0094454D" w:rsidP="0094454D">
            <w:pPr>
              <w:pStyle w:val="TableText0"/>
              <w:jc w:val="center"/>
              <w:rPr>
                <w:i/>
                <w:iCs/>
              </w:rPr>
            </w:pPr>
            <w:r w:rsidRPr="00C068F4">
              <w:rPr>
                <w:iCs/>
              </w:rPr>
              <w:t>(0.8</w:t>
            </w:r>
            <w:r w:rsidR="00386BE3" w:rsidRPr="00C068F4">
              <w:rPr>
                <w:iCs/>
              </w:rPr>
              <w:t>5</w:t>
            </w:r>
            <w:r w:rsidRPr="00C068F4">
              <w:rPr>
                <w:iCs/>
              </w:rPr>
              <w:t>, 1.3</w:t>
            </w:r>
            <w:r w:rsidR="00386BE3" w:rsidRPr="00C068F4">
              <w:rPr>
                <w:iCs/>
              </w:rPr>
              <w:t>9</w:t>
            </w:r>
            <w:r w:rsidRPr="00C068F4">
              <w:rPr>
                <w:iCs/>
              </w:rPr>
              <w:t>)</w:t>
            </w:r>
          </w:p>
        </w:tc>
      </w:tr>
      <w:tr w:rsidR="009F3E8E" w:rsidRPr="00C068F4" w14:paraId="44DB290B" w14:textId="77777777" w:rsidTr="00FE6945">
        <w:trPr>
          <w:cantSplit/>
        </w:trPr>
        <w:tc>
          <w:tcPr>
            <w:tcW w:w="1170" w:type="pct"/>
            <w:vAlign w:val="center"/>
          </w:tcPr>
          <w:p w14:paraId="3BABA79C" w14:textId="00D4AAD0" w:rsidR="009F3E8E" w:rsidRPr="00C068F4" w:rsidRDefault="00CA7F70" w:rsidP="0094454D">
            <w:pPr>
              <w:pStyle w:val="TableText0"/>
            </w:pPr>
            <w:r w:rsidRPr="00C068F4">
              <w:t>Participants with AEs with outcome of death</w:t>
            </w:r>
          </w:p>
        </w:tc>
        <w:tc>
          <w:tcPr>
            <w:tcW w:w="1603" w:type="pct"/>
            <w:vAlign w:val="center"/>
          </w:tcPr>
          <w:p w14:paraId="4349D76D" w14:textId="5A5B4856" w:rsidR="009F3E8E" w:rsidRPr="00C068F4" w:rsidRDefault="00CA7F70" w:rsidP="0094454D">
            <w:pPr>
              <w:pStyle w:val="TableText0"/>
              <w:jc w:val="center"/>
            </w:pPr>
            <w:r w:rsidRPr="00C068F4">
              <w:t>21</w:t>
            </w:r>
            <w:r w:rsidR="00EC0CDB" w:rsidRPr="00C068F4">
              <w:t xml:space="preserve"> (</w:t>
            </w:r>
            <w:r w:rsidR="003E1B2F" w:rsidRPr="00C068F4">
              <w:t>0.0056)</w:t>
            </w:r>
          </w:p>
        </w:tc>
        <w:tc>
          <w:tcPr>
            <w:tcW w:w="1603" w:type="pct"/>
            <w:vAlign w:val="center"/>
          </w:tcPr>
          <w:p w14:paraId="02DA3C94" w14:textId="4692005A" w:rsidR="009F3E8E" w:rsidRPr="00C068F4" w:rsidRDefault="00CA7F70" w:rsidP="0094454D">
            <w:pPr>
              <w:pStyle w:val="TableText0"/>
              <w:jc w:val="center"/>
            </w:pPr>
            <w:r w:rsidRPr="00C068F4">
              <w:t>10</w:t>
            </w:r>
            <w:r w:rsidR="003E1B2F" w:rsidRPr="00C068F4">
              <w:t xml:space="preserve"> (0.0053)</w:t>
            </w:r>
          </w:p>
        </w:tc>
        <w:tc>
          <w:tcPr>
            <w:tcW w:w="624" w:type="pct"/>
            <w:vAlign w:val="center"/>
          </w:tcPr>
          <w:p w14:paraId="6B92B8EA" w14:textId="77777777" w:rsidR="009F3E8E" w:rsidRPr="00C068F4" w:rsidRDefault="00580264" w:rsidP="0094454D">
            <w:pPr>
              <w:pStyle w:val="TableText0"/>
              <w:jc w:val="center"/>
              <w:rPr>
                <w:iCs/>
              </w:rPr>
            </w:pPr>
            <w:r w:rsidRPr="00C068F4">
              <w:rPr>
                <w:iCs/>
              </w:rPr>
              <w:t>1.04</w:t>
            </w:r>
          </w:p>
          <w:p w14:paraId="0952B44A" w14:textId="6BC9C524" w:rsidR="00580264" w:rsidRPr="00C068F4" w:rsidRDefault="00580264" w:rsidP="0094454D">
            <w:pPr>
              <w:pStyle w:val="TableText0"/>
              <w:jc w:val="center"/>
              <w:rPr>
                <w:i/>
                <w:iCs/>
              </w:rPr>
            </w:pPr>
            <w:r w:rsidRPr="00C068F4">
              <w:rPr>
                <w:iCs/>
              </w:rPr>
              <w:t>(0.47, 2.48)</w:t>
            </w:r>
          </w:p>
        </w:tc>
      </w:tr>
    </w:tbl>
    <w:p w14:paraId="17A1F700" w14:textId="75890B9B" w:rsidR="00136F0E" w:rsidRPr="00C068F4" w:rsidRDefault="005D26B4" w:rsidP="00D86231">
      <w:pPr>
        <w:pStyle w:val="FooterTableFigure"/>
        <w:rPr>
          <w:rFonts w:eastAsia="Calibri"/>
          <w:iCs/>
        </w:rPr>
      </w:pPr>
      <w:r w:rsidRPr="00C068F4">
        <w:t>Source: Table</w:t>
      </w:r>
      <w:r w:rsidR="00447C70" w:rsidRPr="00C068F4">
        <w:t xml:space="preserve"> 10 </w:t>
      </w:r>
      <w:r w:rsidR="00447C70" w:rsidRPr="00C068F4">
        <w:rPr>
          <w:color w:val="000000" w:themeColor="text1"/>
        </w:rPr>
        <w:t>of the PROVENT high-level data summary</w:t>
      </w:r>
      <w:r w:rsidR="00C6003A" w:rsidRPr="00C068F4">
        <w:rPr>
          <w:color w:val="000000" w:themeColor="text1"/>
        </w:rPr>
        <w:t>. R</w:t>
      </w:r>
      <w:r w:rsidR="00136F0E" w:rsidRPr="00C068F4">
        <w:rPr>
          <w:rFonts w:eastAsia="Calibri"/>
          <w:iCs/>
        </w:rPr>
        <w:t>ate ratios calculated during the evaluation</w:t>
      </w:r>
      <w:r w:rsidR="00C6003A" w:rsidRPr="00C068F4">
        <w:rPr>
          <w:rFonts w:eastAsia="Calibri"/>
          <w:iCs/>
        </w:rPr>
        <w:t>.</w:t>
      </w:r>
    </w:p>
    <w:p w14:paraId="7E43A741" w14:textId="70BCD771" w:rsidR="005D26B4" w:rsidRPr="00C068F4" w:rsidRDefault="00357DF5" w:rsidP="00D86231">
      <w:pPr>
        <w:pStyle w:val="FooterTableFigure"/>
        <w:rPr>
          <w:rFonts w:eastAsia="Calibri"/>
        </w:rPr>
      </w:pPr>
      <w:r w:rsidRPr="00C068F4">
        <w:rPr>
          <w:rFonts w:eastAsia="Calibri"/>
        </w:rPr>
        <w:t xml:space="preserve">AE = adverse event; </w:t>
      </w:r>
      <w:r w:rsidR="005D26B4" w:rsidRPr="00C068F4">
        <w:rPr>
          <w:rFonts w:eastAsia="Calibri"/>
        </w:rPr>
        <w:t xml:space="preserve">CI = confidence interval; </w:t>
      </w:r>
      <w:r w:rsidR="00122A47" w:rsidRPr="00C068F4">
        <w:rPr>
          <w:rFonts w:eastAsia="Calibri"/>
        </w:rPr>
        <w:t xml:space="preserve">DCO = data cut-off; </w:t>
      </w:r>
      <w:r w:rsidR="00416FA9" w:rsidRPr="00C068F4">
        <w:rPr>
          <w:rFonts w:eastAsia="Calibri"/>
        </w:rPr>
        <w:t xml:space="preserve">mg = milligrams; </w:t>
      </w:r>
      <w:r w:rsidR="005D26B4" w:rsidRPr="00C068F4">
        <w:rPr>
          <w:rFonts w:eastAsia="Calibri"/>
        </w:rPr>
        <w:t>n = number of participants reporting data; N = total participants in group</w:t>
      </w:r>
      <w:r w:rsidRPr="00C068F4">
        <w:rPr>
          <w:rFonts w:eastAsia="Calibri"/>
        </w:rPr>
        <w:t>; SAE = serious adverse event</w:t>
      </w:r>
    </w:p>
    <w:p w14:paraId="43B1F724" w14:textId="1E64E200" w:rsidR="00840662" w:rsidRPr="00C068F4" w:rsidRDefault="00840662" w:rsidP="00840662">
      <w:pPr>
        <w:pStyle w:val="3-BodyText"/>
        <w:rPr>
          <w:color w:val="000000" w:themeColor="text1"/>
        </w:rPr>
      </w:pPr>
      <w:r w:rsidRPr="00C068F4">
        <w:rPr>
          <w:color w:val="000000" w:themeColor="text1"/>
        </w:rPr>
        <w:t xml:space="preserve">Overall, the rates of adverse events were similar across the two arms of the trial. </w:t>
      </w:r>
      <w:r w:rsidRPr="00C068F4">
        <w:rPr>
          <w:iCs/>
          <w:color w:val="000000" w:themeColor="text1"/>
        </w:rPr>
        <w:t xml:space="preserve">However, given that COVID-19 is recorded as an adverse event in the </w:t>
      </w:r>
      <w:r w:rsidR="007D6832" w:rsidRPr="00C068F4">
        <w:rPr>
          <w:iCs/>
          <w:color w:val="000000" w:themeColor="text1"/>
        </w:rPr>
        <w:t xml:space="preserve">PROVENT </w:t>
      </w:r>
      <w:r w:rsidRPr="00C068F4">
        <w:rPr>
          <w:iCs/>
          <w:color w:val="000000" w:themeColor="text1"/>
        </w:rPr>
        <w:t xml:space="preserve">trial and given that there was a </w:t>
      </w:r>
      <w:r w:rsidR="007220EE" w:rsidRPr="00C068F4">
        <w:rPr>
          <w:iCs/>
          <w:color w:val="000000" w:themeColor="text1"/>
        </w:rPr>
        <w:t>higher</w:t>
      </w:r>
      <w:r w:rsidRPr="00C068F4">
        <w:rPr>
          <w:iCs/>
          <w:color w:val="000000" w:themeColor="text1"/>
        </w:rPr>
        <w:t xml:space="preserve"> rate of symptomatic COVID-19 in the placebo arm of the trial, it is important to compare rates of serious adverse events in each arm of the trial</w:t>
      </w:r>
      <w:r w:rsidR="003062B0" w:rsidRPr="00C068F4">
        <w:rPr>
          <w:iCs/>
          <w:color w:val="000000" w:themeColor="text1"/>
        </w:rPr>
        <w:t xml:space="preserve">. </w:t>
      </w:r>
      <w:r w:rsidR="004D0CDE" w:rsidRPr="00C068F4">
        <w:rPr>
          <w:color w:val="000000" w:themeColor="text1"/>
        </w:rPr>
        <w:t xml:space="preserve">The incidence </w:t>
      </w:r>
      <w:r w:rsidR="008B6C41" w:rsidRPr="00C068F4">
        <w:rPr>
          <w:color w:val="000000" w:themeColor="text1"/>
        </w:rPr>
        <w:t xml:space="preserve">rates </w:t>
      </w:r>
      <w:r w:rsidR="004D0CDE" w:rsidRPr="00C068F4">
        <w:rPr>
          <w:color w:val="000000" w:themeColor="text1"/>
        </w:rPr>
        <w:t xml:space="preserve">of serious adverse events where </w:t>
      </w:r>
      <w:r w:rsidR="004D0CDE" w:rsidRPr="00C068F4">
        <w:rPr>
          <w:rFonts w:cstheme="minorHAnsi"/>
          <w:color w:val="000000" w:themeColor="text1"/>
        </w:rPr>
        <w:t>≥</w:t>
      </w:r>
      <w:r w:rsidR="004D0CDE" w:rsidRPr="00C068F4">
        <w:rPr>
          <w:color w:val="000000" w:themeColor="text1"/>
        </w:rPr>
        <w:t xml:space="preserve"> </w:t>
      </w:r>
      <w:r w:rsidR="00301C5F" w:rsidRPr="00C068F4">
        <w:rPr>
          <w:color w:val="000000" w:themeColor="text1"/>
        </w:rPr>
        <w:t>10</w:t>
      </w:r>
      <w:r w:rsidR="00824067" w:rsidRPr="00C068F4">
        <w:rPr>
          <w:color w:val="000000" w:themeColor="text1"/>
        </w:rPr>
        <w:t xml:space="preserve"> participants in either arm of the </w:t>
      </w:r>
      <w:r w:rsidR="00B00790" w:rsidRPr="00C068F4">
        <w:rPr>
          <w:color w:val="000000" w:themeColor="text1"/>
        </w:rPr>
        <w:t xml:space="preserve">PROVENT </w:t>
      </w:r>
      <w:r w:rsidR="00824067" w:rsidRPr="00C068F4">
        <w:rPr>
          <w:color w:val="000000" w:themeColor="text1"/>
        </w:rPr>
        <w:t>trial experienced the event</w:t>
      </w:r>
      <w:r w:rsidR="00950E84" w:rsidRPr="00C068F4">
        <w:rPr>
          <w:color w:val="000000" w:themeColor="text1"/>
        </w:rPr>
        <w:t xml:space="preserve"> and where a </w:t>
      </w:r>
      <w:r w:rsidR="00830E1F" w:rsidRPr="00C068F4">
        <w:rPr>
          <w:color w:val="000000" w:themeColor="text1"/>
        </w:rPr>
        <w:t xml:space="preserve">substantial </w:t>
      </w:r>
      <w:r w:rsidR="00950E84" w:rsidRPr="00C068F4">
        <w:rPr>
          <w:color w:val="000000" w:themeColor="text1"/>
        </w:rPr>
        <w:t>difference in rates across the arms was detected</w:t>
      </w:r>
      <w:r w:rsidR="00824067" w:rsidRPr="00C068F4">
        <w:rPr>
          <w:color w:val="000000" w:themeColor="text1"/>
        </w:rPr>
        <w:t xml:space="preserve"> </w:t>
      </w:r>
      <w:r w:rsidR="008B6C41" w:rsidRPr="00C068F4">
        <w:rPr>
          <w:color w:val="000000" w:themeColor="text1"/>
        </w:rPr>
        <w:t>are</w:t>
      </w:r>
      <w:r w:rsidR="00824067" w:rsidRPr="00C068F4">
        <w:rPr>
          <w:color w:val="000000" w:themeColor="text1"/>
        </w:rPr>
        <w:t xml:space="preserve"> </w:t>
      </w:r>
      <w:r w:rsidR="008B0D90" w:rsidRPr="00C068F4">
        <w:rPr>
          <w:color w:val="000000" w:themeColor="text1"/>
        </w:rPr>
        <w:t xml:space="preserve">presented in </w:t>
      </w:r>
      <w:r w:rsidR="001D1E34" w:rsidRPr="00C068F4">
        <w:rPr>
          <w:color w:val="000000" w:themeColor="text1"/>
        </w:rPr>
        <w:fldChar w:fldCharType="begin" w:fldLock="1"/>
      </w:r>
      <w:r w:rsidR="001D1E34" w:rsidRPr="00C068F4">
        <w:rPr>
          <w:color w:val="000000" w:themeColor="text1"/>
        </w:rPr>
        <w:instrText xml:space="preserve"> REF _Ref110966909 \h </w:instrText>
      </w:r>
      <w:r w:rsidR="001D1E34" w:rsidRPr="00C068F4">
        <w:rPr>
          <w:color w:val="000000" w:themeColor="text1"/>
        </w:rPr>
      </w:r>
      <w:r w:rsidR="001D1E34" w:rsidRPr="00C068F4">
        <w:rPr>
          <w:color w:val="000000" w:themeColor="text1"/>
        </w:rPr>
        <w:fldChar w:fldCharType="separate"/>
      </w:r>
      <w:r w:rsidR="00AB751C" w:rsidRPr="00C068F4">
        <w:t xml:space="preserve">Table </w:t>
      </w:r>
      <w:r w:rsidR="00AB751C">
        <w:rPr>
          <w:noProof/>
        </w:rPr>
        <w:t>9</w:t>
      </w:r>
      <w:r w:rsidR="001D1E34" w:rsidRPr="00C068F4">
        <w:rPr>
          <w:color w:val="000000" w:themeColor="text1"/>
        </w:rPr>
        <w:fldChar w:fldCharType="end"/>
      </w:r>
      <w:r w:rsidR="001D1E34" w:rsidRPr="00C068F4">
        <w:rPr>
          <w:color w:val="000000" w:themeColor="text1"/>
        </w:rPr>
        <w:t xml:space="preserve">. </w:t>
      </w:r>
      <w:r w:rsidR="00E9019B" w:rsidRPr="00C068F4">
        <w:rPr>
          <w:iCs/>
          <w:color w:val="000000" w:themeColor="text1"/>
        </w:rPr>
        <w:t>As can be seen,</w:t>
      </w:r>
      <w:r w:rsidR="008C66EC" w:rsidRPr="00C068F4">
        <w:rPr>
          <w:iCs/>
          <w:color w:val="000000" w:themeColor="text1"/>
        </w:rPr>
        <w:t xml:space="preserve"> the lack of difference in overall rates of serious </w:t>
      </w:r>
      <w:r w:rsidR="008C66EC" w:rsidRPr="00C068F4">
        <w:rPr>
          <w:iCs/>
          <w:color w:val="000000" w:themeColor="text1"/>
        </w:rPr>
        <w:lastRenderedPageBreak/>
        <w:t xml:space="preserve">adverse events </w:t>
      </w:r>
      <w:r w:rsidR="00284159" w:rsidRPr="00C068F4">
        <w:rPr>
          <w:iCs/>
          <w:color w:val="000000" w:themeColor="text1"/>
        </w:rPr>
        <w:t xml:space="preserve">between the group receiving tixagevimab and cilgavimab and the group receiving placebo for PrEP in the </w:t>
      </w:r>
      <w:r w:rsidR="006104C3" w:rsidRPr="00C068F4">
        <w:rPr>
          <w:iCs/>
          <w:color w:val="000000" w:themeColor="text1"/>
        </w:rPr>
        <w:t xml:space="preserve">PROVENT trial </w:t>
      </w:r>
      <w:r w:rsidR="008C66EC" w:rsidRPr="00C068F4">
        <w:rPr>
          <w:iCs/>
          <w:color w:val="000000" w:themeColor="text1"/>
        </w:rPr>
        <w:t xml:space="preserve">shown in </w:t>
      </w:r>
      <w:r w:rsidR="003138E6" w:rsidRPr="00C068F4">
        <w:rPr>
          <w:iCs/>
          <w:color w:val="000000" w:themeColor="text1"/>
        </w:rPr>
        <w:fldChar w:fldCharType="begin" w:fldLock="1"/>
      </w:r>
      <w:r w:rsidR="003138E6" w:rsidRPr="00C068F4">
        <w:rPr>
          <w:iCs/>
          <w:color w:val="000000" w:themeColor="text1"/>
        </w:rPr>
        <w:instrText xml:space="preserve"> REF _Ref110709254 \h </w:instrText>
      </w:r>
      <w:r w:rsidR="00633562" w:rsidRPr="00C068F4">
        <w:rPr>
          <w:iCs/>
          <w:color w:val="000000" w:themeColor="text1"/>
        </w:rPr>
        <w:instrText xml:space="preserve"> \* MERGEFORMAT </w:instrText>
      </w:r>
      <w:r w:rsidR="003138E6" w:rsidRPr="00C068F4">
        <w:rPr>
          <w:iCs/>
          <w:color w:val="000000" w:themeColor="text1"/>
        </w:rPr>
      </w:r>
      <w:r w:rsidR="003138E6" w:rsidRPr="00C068F4">
        <w:rPr>
          <w:iCs/>
          <w:color w:val="000000" w:themeColor="text1"/>
        </w:rPr>
        <w:fldChar w:fldCharType="separate"/>
      </w:r>
      <w:r w:rsidR="00AB751C" w:rsidRPr="00AB751C">
        <w:rPr>
          <w:iCs/>
        </w:rPr>
        <w:t>Table 8</w:t>
      </w:r>
      <w:r w:rsidR="003138E6" w:rsidRPr="00C068F4">
        <w:rPr>
          <w:iCs/>
          <w:color w:val="000000" w:themeColor="text1"/>
        </w:rPr>
        <w:fldChar w:fldCharType="end"/>
      </w:r>
      <w:r w:rsidR="003138E6" w:rsidRPr="00C068F4">
        <w:rPr>
          <w:iCs/>
          <w:color w:val="000000" w:themeColor="text1"/>
        </w:rPr>
        <w:t xml:space="preserve"> </w:t>
      </w:r>
      <w:r w:rsidR="0053404A" w:rsidRPr="00C068F4">
        <w:rPr>
          <w:iCs/>
          <w:color w:val="000000" w:themeColor="text1"/>
        </w:rPr>
        <w:t>appears to</w:t>
      </w:r>
      <w:r w:rsidR="003138E6" w:rsidRPr="00C068F4">
        <w:rPr>
          <w:iCs/>
          <w:color w:val="000000" w:themeColor="text1"/>
        </w:rPr>
        <w:t xml:space="preserve"> be due to </w:t>
      </w:r>
      <w:r w:rsidR="0053404A" w:rsidRPr="00C068F4">
        <w:rPr>
          <w:iCs/>
          <w:color w:val="000000" w:themeColor="text1"/>
        </w:rPr>
        <w:t xml:space="preserve">the </w:t>
      </w:r>
      <w:r w:rsidR="003138E6" w:rsidRPr="00C068F4">
        <w:rPr>
          <w:iCs/>
          <w:color w:val="000000" w:themeColor="text1"/>
        </w:rPr>
        <w:t xml:space="preserve">higher rates of serious cardiac disorders </w:t>
      </w:r>
      <w:r w:rsidR="00971AB4" w:rsidRPr="00C068F4">
        <w:rPr>
          <w:iCs/>
          <w:color w:val="000000" w:themeColor="text1"/>
        </w:rPr>
        <w:t xml:space="preserve">in the tixagevimab and cilgavimab arm being offset by lower rates of </w:t>
      </w:r>
      <w:r w:rsidR="0028045F" w:rsidRPr="00C068F4">
        <w:rPr>
          <w:iCs/>
          <w:color w:val="000000" w:themeColor="text1"/>
        </w:rPr>
        <w:t xml:space="preserve">serious </w:t>
      </w:r>
      <w:r w:rsidR="00971AB4" w:rsidRPr="00C068F4">
        <w:rPr>
          <w:iCs/>
          <w:color w:val="000000" w:themeColor="text1"/>
        </w:rPr>
        <w:t xml:space="preserve">COVID-19-related events </w:t>
      </w:r>
      <w:r w:rsidR="0027528C" w:rsidRPr="00C068F4">
        <w:rPr>
          <w:iCs/>
          <w:color w:val="000000" w:themeColor="text1"/>
        </w:rPr>
        <w:t xml:space="preserve">(as can be seen in </w:t>
      </w:r>
      <w:r w:rsidR="0027528C" w:rsidRPr="00C068F4">
        <w:rPr>
          <w:iCs/>
          <w:color w:val="000000" w:themeColor="text1"/>
        </w:rPr>
        <w:fldChar w:fldCharType="begin" w:fldLock="1"/>
      </w:r>
      <w:r w:rsidR="0027528C" w:rsidRPr="00C068F4">
        <w:rPr>
          <w:iCs/>
          <w:color w:val="000000" w:themeColor="text1"/>
        </w:rPr>
        <w:instrText xml:space="preserve"> REF _Ref110966909 \h  \* MERGEFORMAT </w:instrText>
      </w:r>
      <w:r w:rsidR="0027528C" w:rsidRPr="00C068F4">
        <w:rPr>
          <w:iCs/>
          <w:color w:val="000000" w:themeColor="text1"/>
        </w:rPr>
      </w:r>
      <w:r w:rsidR="0027528C" w:rsidRPr="00C068F4">
        <w:rPr>
          <w:iCs/>
          <w:color w:val="000000" w:themeColor="text1"/>
        </w:rPr>
        <w:fldChar w:fldCharType="separate"/>
      </w:r>
      <w:r w:rsidR="00AB751C" w:rsidRPr="00AB751C">
        <w:rPr>
          <w:iCs/>
        </w:rPr>
        <w:t>Table 9</w:t>
      </w:r>
      <w:r w:rsidR="0027528C" w:rsidRPr="00C068F4">
        <w:rPr>
          <w:iCs/>
          <w:color w:val="000000" w:themeColor="text1"/>
        </w:rPr>
        <w:fldChar w:fldCharType="end"/>
      </w:r>
      <w:r w:rsidR="0027528C" w:rsidRPr="00C068F4">
        <w:rPr>
          <w:iCs/>
          <w:color w:val="000000" w:themeColor="text1"/>
        </w:rPr>
        <w:t>)</w:t>
      </w:r>
      <w:r w:rsidR="00971AB4" w:rsidRPr="00C068F4">
        <w:rPr>
          <w:iCs/>
          <w:color w:val="000000" w:themeColor="text1"/>
        </w:rPr>
        <w:t>.</w:t>
      </w:r>
    </w:p>
    <w:p w14:paraId="65B64616" w14:textId="0DF325F5" w:rsidR="008B0D90" w:rsidRPr="00C068F4" w:rsidRDefault="008B0D90" w:rsidP="0070659A">
      <w:pPr>
        <w:pStyle w:val="TableFigureHeading"/>
        <w:rPr>
          <w:rStyle w:val="CommentReference"/>
          <w:b/>
          <w:szCs w:val="24"/>
        </w:rPr>
      </w:pPr>
      <w:bookmarkStart w:id="75" w:name="_Ref110966909"/>
      <w:r w:rsidRPr="00C068F4">
        <w:t xml:space="preserve">Table </w:t>
      </w:r>
      <w:fldSimple w:instr=" SEQ Table \* ARABIC " w:fldLock="1">
        <w:r w:rsidR="00DB55F2">
          <w:rPr>
            <w:noProof/>
          </w:rPr>
          <w:t>9</w:t>
        </w:r>
      </w:fldSimple>
      <w:bookmarkEnd w:id="75"/>
      <w:r w:rsidRPr="00C068F4">
        <w:t xml:space="preserve">: </w:t>
      </w:r>
      <w:r w:rsidRPr="00C068F4">
        <w:rPr>
          <w:rStyle w:val="CommentReference"/>
          <w:b/>
          <w:szCs w:val="24"/>
        </w:rPr>
        <w:t>Summary of</w:t>
      </w:r>
      <w:r w:rsidR="00D41CF5" w:rsidRPr="00C068F4">
        <w:t xml:space="preserve"> </w:t>
      </w:r>
      <w:r w:rsidR="00D41CF5" w:rsidRPr="00C068F4">
        <w:rPr>
          <w:rStyle w:val="CommentReference"/>
          <w:b/>
          <w:szCs w:val="24"/>
        </w:rPr>
        <w:t>incidence of serious adverse events where ≥ 10 participants in either arm of the PROVENT trial experienced the event and where a difference in rates across the arms was detected</w:t>
      </w:r>
      <w:r w:rsidRPr="00C068F4">
        <w:rPr>
          <w:rStyle w:val="CommentReference"/>
          <w:b/>
          <w:szCs w:val="24"/>
        </w:rPr>
        <w:t xml:space="preserve"> </w:t>
      </w:r>
      <w:r w:rsidR="00D41CF5" w:rsidRPr="00C068F4">
        <w:rPr>
          <w:rStyle w:val="CommentReference"/>
          <w:b/>
          <w:szCs w:val="24"/>
        </w:rPr>
        <w:t>(</w:t>
      </w:r>
      <w:r w:rsidRPr="00C068F4">
        <w:rPr>
          <w:rStyle w:val="CommentReference"/>
          <w:b/>
          <w:szCs w:val="24"/>
        </w:rPr>
        <w:t>April 2022 DCO</w:t>
      </w:r>
      <w:r w:rsidR="00D41CF5" w:rsidRPr="00C068F4">
        <w:rPr>
          <w:rStyle w:val="CommentReference"/>
          <w:b/>
          <w:szCs w:val="24"/>
        </w:rPr>
        <w:t>)</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9: Summary of incidence of serious adverse events where ≥ 10 participants in either arm of the PROVENT trial experienced the event and where a difference in rates across the arms was detected (April 2022 DCO)"/>
      </w:tblPr>
      <w:tblGrid>
        <w:gridCol w:w="2121"/>
        <w:gridCol w:w="2907"/>
        <w:gridCol w:w="2907"/>
        <w:gridCol w:w="1132"/>
      </w:tblGrid>
      <w:tr w:rsidR="008B0D90" w:rsidRPr="00C068F4" w14:paraId="6DE582CA" w14:textId="77777777">
        <w:trPr>
          <w:cantSplit/>
          <w:tblHeader/>
        </w:trPr>
        <w:tc>
          <w:tcPr>
            <w:tcW w:w="1170" w:type="pct"/>
            <w:vAlign w:val="center"/>
          </w:tcPr>
          <w:p w14:paraId="1CABA5E4" w14:textId="77777777" w:rsidR="008B0D90" w:rsidRPr="00C068F4" w:rsidRDefault="008B0D90">
            <w:pPr>
              <w:pStyle w:val="In-tableHeading"/>
              <w:rPr>
                <w:lang w:val="en-AU"/>
              </w:rPr>
            </w:pPr>
            <w:r w:rsidRPr="00C068F4">
              <w:rPr>
                <w:lang w:val="en-AU"/>
              </w:rPr>
              <w:t>PROVENT trial</w:t>
            </w:r>
          </w:p>
        </w:tc>
        <w:tc>
          <w:tcPr>
            <w:tcW w:w="1603" w:type="pct"/>
            <w:vAlign w:val="center"/>
          </w:tcPr>
          <w:p w14:paraId="0007E4E3" w14:textId="77777777" w:rsidR="008B0D90" w:rsidRPr="00C068F4" w:rsidRDefault="008B0D90">
            <w:pPr>
              <w:pStyle w:val="In-tableHeading"/>
              <w:jc w:val="center"/>
              <w:rPr>
                <w:lang w:val="en-AU"/>
              </w:rPr>
            </w:pPr>
            <w:r w:rsidRPr="00C068F4">
              <w:rPr>
                <w:color w:val="000000" w:themeColor="text1"/>
                <w:lang w:val="en-AU"/>
              </w:rPr>
              <w:t>Tixagevimab 150 mg and cilgavimab 150 mg arm</w:t>
            </w:r>
          </w:p>
          <w:p w14:paraId="49E48FC3" w14:textId="77777777" w:rsidR="008B0D90" w:rsidRPr="00C068F4" w:rsidRDefault="008B0D90">
            <w:pPr>
              <w:pStyle w:val="In-tableHeading"/>
              <w:jc w:val="center"/>
              <w:rPr>
                <w:lang w:val="en-AU"/>
              </w:rPr>
            </w:pPr>
            <w:r w:rsidRPr="00C068F4">
              <w:rPr>
                <w:lang w:val="en-AU"/>
              </w:rPr>
              <w:t>N = 3461</w:t>
            </w:r>
          </w:p>
          <w:p w14:paraId="606C07A0" w14:textId="77777777" w:rsidR="008B0D90" w:rsidRPr="00C068F4" w:rsidRDefault="008B0D90">
            <w:pPr>
              <w:pStyle w:val="In-tableHeading"/>
              <w:jc w:val="center"/>
              <w:rPr>
                <w:lang w:val="en-AU"/>
              </w:rPr>
            </w:pPr>
            <w:r w:rsidRPr="00C068F4">
              <w:rPr>
                <w:lang w:val="en-AU"/>
              </w:rPr>
              <w:t>Exposure = 3781.5 person-years</w:t>
            </w:r>
          </w:p>
          <w:p w14:paraId="2B6D8029" w14:textId="77777777" w:rsidR="008B0D90" w:rsidRPr="00C068F4" w:rsidRDefault="008B0D90">
            <w:pPr>
              <w:pStyle w:val="In-tableHeading"/>
              <w:jc w:val="center"/>
              <w:rPr>
                <w:lang w:val="en-AU"/>
              </w:rPr>
            </w:pPr>
            <w:r w:rsidRPr="00C068F4">
              <w:rPr>
                <w:lang w:val="en-AU"/>
              </w:rPr>
              <w:t>n (incidence rate per person-year)</w:t>
            </w:r>
          </w:p>
        </w:tc>
        <w:tc>
          <w:tcPr>
            <w:tcW w:w="1603" w:type="pct"/>
            <w:vAlign w:val="center"/>
          </w:tcPr>
          <w:p w14:paraId="22DA621D" w14:textId="77777777" w:rsidR="008B0D90" w:rsidRPr="00C068F4" w:rsidRDefault="008B0D90">
            <w:pPr>
              <w:pStyle w:val="In-tableHeading"/>
              <w:jc w:val="center"/>
              <w:rPr>
                <w:lang w:val="en-AU"/>
              </w:rPr>
            </w:pPr>
            <w:r w:rsidRPr="00C068F4">
              <w:rPr>
                <w:lang w:val="en-AU"/>
              </w:rPr>
              <w:t>Placebo arm</w:t>
            </w:r>
          </w:p>
          <w:p w14:paraId="2EF2B55F" w14:textId="77777777" w:rsidR="008B0D90" w:rsidRPr="00C068F4" w:rsidRDefault="008B0D90">
            <w:pPr>
              <w:pStyle w:val="In-tableHeading"/>
              <w:jc w:val="center"/>
              <w:rPr>
                <w:lang w:val="en-AU"/>
              </w:rPr>
            </w:pPr>
            <w:r w:rsidRPr="00C068F4">
              <w:rPr>
                <w:lang w:val="en-AU"/>
              </w:rPr>
              <w:t>N = 1736</w:t>
            </w:r>
          </w:p>
          <w:p w14:paraId="3024D840" w14:textId="77777777" w:rsidR="008B0D90" w:rsidRPr="00C068F4" w:rsidRDefault="008B0D90">
            <w:pPr>
              <w:pStyle w:val="In-tableHeading"/>
              <w:jc w:val="center"/>
              <w:rPr>
                <w:lang w:val="en-AU"/>
              </w:rPr>
            </w:pPr>
            <w:r w:rsidRPr="00C068F4">
              <w:rPr>
                <w:lang w:val="en-AU"/>
              </w:rPr>
              <w:t>Exposure =.1878.6 person-years</w:t>
            </w:r>
          </w:p>
          <w:p w14:paraId="1088E7D2" w14:textId="77777777" w:rsidR="008B0D90" w:rsidRPr="00C068F4" w:rsidRDefault="008B0D90">
            <w:pPr>
              <w:pStyle w:val="In-tableHeading"/>
              <w:jc w:val="center"/>
              <w:rPr>
                <w:lang w:val="en-AU"/>
              </w:rPr>
            </w:pPr>
            <w:r w:rsidRPr="00C068F4">
              <w:rPr>
                <w:lang w:val="en-AU"/>
              </w:rPr>
              <w:t>n (incidence rate per person-year)</w:t>
            </w:r>
          </w:p>
        </w:tc>
        <w:tc>
          <w:tcPr>
            <w:tcW w:w="624" w:type="pct"/>
            <w:vAlign w:val="center"/>
          </w:tcPr>
          <w:p w14:paraId="6F320B39" w14:textId="77777777" w:rsidR="008B0D90" w:rsidRPr="00C068F4" w:rsidRDefault="008B0D90">
            <w:pPr>
              <w:pStyle w:val="In-tableHeading"/>
              <w:jc w:val="center"/>
              <w:rPr>
                <w:lang w:val="en-AU"/>
              </w:rPr>
            </w:pPr>
            <w:r w:rsidRPr="00C068F4">
              <w:rPr>
                <w:lang w:val="en-AU"/>
              </w:rPr>
              <w:t>Rate ratio (95% CI)</w:t>
            </w:r>
          </w:p>
        </w:tc>
      </w:tr>
      <w:tr w:rsidR="008B0D90" w:rsidRPr="00C068F4" w14:paraId="134558B3" w14:textId="77777777">
        <w:trPr>
          <w:cantSplit/>
        </w:trPr>
        <w:tc>
          <w:tcPr>
            <w:tcW w:w="1170" w:type="pct"/>
            <w:vAlign w:val="center"/>
          </w:tcPr>
          <w:p w14:paraId="18D76D9B" w14:textId="491E3033" w:rsidR="008B0D90" w:rsidRPr="00C068F4" w:rsidRDefault="00321986">
            <w:pPr>
              <w:pStyle w:val="TableText0"/>
            </w:pPr>
            <w:r w:rsidRPr="00C068F4">
              <w:t>Cardiac disorders</w:t>
            </w:r>
          </w:p>
        </w:tc>
        <w:tc>
          <w:tcPr>
            <w:tcW w:w="1603" w:type="pct"/>
            <w:vAlign w:val="center"/>
          </w:tcPr>
          <w:p w14:paraId="1B948E48" w14:textId="0AE57CEC" w:rsidR="008B0D90" w:rsidRPr="00C068F4" w:rsidRDefault="004B1511">
            <w:pPr>
              <w:pStyle w:val="TableText0"/>
              <w:jc w:val="center"/>
            </w:pPr>
            <w:r w:rsidRPr="00C068F4">
              <w:t>38</w:t>
            </w:r>
            <w:r w:rsidR="008B0D90" w:rsidRPr="00C068F4">
              <w:t xml:space="preserve"> (0.</w:t>
            </w:r>
            <w:r w:rsidR="00EE7EE7" w:rsidRPr="00C068F4">
              <w:t>0100</w:t>
            </w:r>
            <w:r w:rsidR="008B0D90" w:rsidRPr="00C068F4">
              <w:t>)</w:t>
            </w:r>
          </w:p>
        </w:tc>
        <w:tc>
          <w:tcPr>
            <w:tcW w:w="1603" w:type="pct"/>
            <w:vAlign w:val="center"/>
          </w:tcPr>
          <w:p w14:paraId="2D2311C3" w14:textId="7199F9C3" w:rsidR="008B0D90" w:rsidRPr="00C068F4" w:rsidRDefault="00301C5F">
            <w:pPr>
              <w:pStyle w:val="TableText0"/>
              <w:jc w:val="center"/>
            </w:pPr>
            <w:r w:rsidRPr="00C068F4">
              <w:t>8</w:t>
            </w:r>
            <w:r w:rsidR="008B0D90" w:rsidRPr="00C068F4">
              <w:t xml:space="preserve"> (</w:t>
            </w:r>
            <w:r w:rsidR="00EE7EE7" w:rsidRPr="00C068F4">
              <w:t>0.004</w:t>
            </w:r>
            <w:r w:rsidR="00E66808" w:rsidRPr="00C068F4">
              <w:t>3</w:t>
            </w:r>
            <w:r w:rsidR="008B0D90" w:rsidRPr="00C068F4">
              <w:t>)</w:t>
            </w:r>
          </w:p>
        </w:tc>
        <w:tc>
          <w:tcPr>
            <w:tcW w:w="624" w:type="pct"/>
            <w:vAlign w:val="center"/>
          </w:tcPr>
          <w:p w14:paraId="356D22C2" w14:textId="33D15987" w:rsidR="008B0D90" w:rsidRPr="00C068F4" w:rsidRDefault="00E66808">
            <w:pPr>
              <w:pStyle w:val="TableText0"/>
              <w:jc w:val="center"/>
              <w:rPr>
                <w:iCs/>
              </w:rPr>
            </w:pPr>
            <w:r w:rsidRPr="00C068F4">
              <w:rPr>
                <w:iCs/>
              </w:rPr>
              <w:t>2.36</w:t>
            </w:r>
          </w:p>
          <w:p w14:paraId="36DB39CE" w14:textId="5C32B2CB" w:rsidR="008B0D90" w:rsidRPr="00C068F4" w:rsidRDefault="008B0D90">
            <w:pPr>
              <w:pStyle w:val="TableText0"/>
              <w:jc w:val="center"/>
              <w:rPr>
                <w:i/>
                <w:iCs/>
              </w:rPr>
            </w:pPr>
            <w:r w:rsidRPr="00C068F4">
              <w:rPr>
                <w:iCs/>
              </w:rPr>
              <w:t>(</w:t>
            </w:r>
            <w:r w:rsidR="00E66808" w:rsidRPr="00C068F4">
              <w:rPr>
                <w:iCs/>
              </w:rPr>
              <w:t>1.08</w:t>
            </w:r>
            <w:r w:rsidRPr="00C068F4">
              <w:rPr>
                <w:iCs/>
              </w:rPr>
              <w:t xml:space="preserve">, </w:t>
            </w:r>
            <w:r w:rsidR="00E66808" w:rsidRPr="00C068F4">
              <w:rPr>
                <w:iCs/>
              </w:rPr>
              <w:t>5.86</w:t>
            </w:r>
            <w:r w:rsidRPr="00C068F4">
              <w:rPr>
                <w:iCs/>
              </w:rPr>
              <w:t>)</w:t>
            </w:r>
          </w:p>
        </w:tc>
      </w:tr>
      <w:tr w:rsidR="00950E84" w:rsidRPr="00C068F4" w14:paraId="654AE006" w14:textId="77777777">
        <w:trPr>
          <w:cantSplit/>
        </w:trPr>
        <w:tc>
          <w:tcPr>
            <w:tcW w:w="1170" w:type="pct"/>
            <w:vAlign w:val="center"/>
          </w:tcPr>
          <w:p w14:paraId="3001E3B6" w14:textId="7A51AE60" w:rsidR="00950E84" w:rsidRPr="00C068F4" w:rsidRDefault="00950E84">
            <w:pPr>
              <w:pStyle w:val="TableText0"/>
            </w:pPr>
            <w:r w:rsidRPr="00C068F4">
              <w:t>COVID-19 pneumonia</w:t>
            </w:r>
          </w:p>
        </w:tc>
        <w:tc>
          <w:tcPr>
            <w:tcW w:w="1603" w:type="pct"/>
            <w:vAlign w:val="center"/>
          </w:tcPr>
          <w:p w14:paraId="53897CF5" w14:textId="5B1F4EA9" w:rsidR="00950E84" w:rsidRPr="00C068F4" w:rsidRDefault="00C27FBF">
            <w:pPr>
              <w:pStyle w:val="TableText0"/>
              <w:jc w:val="center"/>
            </w:pPr>
            <w:r w:rsidRPr="00C068F4">
              <w:t>3 (0.0008)</w:t>
            </w:r>
          </w:p>
        </w:tc>
        <w:tc>
          <w:tcPr>
            <w:tcW w:w="1603" w:type="pct"/>
            <w:vAlign w:val="center"/>
          </w:tcPr>
          <w:p w14:paraId="5C8B938D" w14:textId="5D4D52A1" w:rsidR="00950E84" w:rsidRPr="00C068F4" w:rsidRDefault="00C27FBF">
            <w:pPr>
              <w:pStyle w:val="TableText0"/>
              <w:jc w:val="center"/>
            </w:pPr>
            <w:r w:rsidRPr="00C068F4">
              <w:t>18 (0.0</w:t>
            </w:r>
            <w:r w:rsidR="00C8435D" w:rsidRPr="00C068F4">
              <w:t>096)</w:t>
            </w:r>
          </w:p>
        </w:tc>
        <w:tc>
          <w:tcPr>
            <w:tcW w:w="624" w:type="pct"/>
            <w:vAlign w:val="center"/>
          </w:tcPr>
          <w:p w14:paraId="3C69A728" w14:textId="77B298F2" w:rsidR="00950E84" w:rsidRPr="00C068F4" w:rsidRDefault="00C8435D">
            <w:pPr>
              <w:pStyle w:val="TableText0"/>
              <w:jc w:val="center"/>
              <w:rPr>
                <w:iCs/>
              </w:rPr>
            </w:pPr>
            <w:r w:rsidRPr="00C068F4">
              <w:rPr>
                <w:iCs/>
              </w:rPr>
              <w:t>0.08</w:t>
            </w:r>
          </w:p>
          <w:p w14:paraId="71A86C2D" w14:textId="4007118A" w:rsidR="00C8435D" w:rsidRPr="00C068F4" w:rsidRDefault="00C8435D">
            <w:pPr>
              <w:pStyle w:val="TableText0"/>
              <w:jc w:val="center"/>
              <w:rPr>
                <w:i/>
                <w:iCs/>
              </w:rPr>
            </w:pPr>
            <w:r w:rsidRPr="00C068F4">
              <w:rPr>
                <w:iCs/>
              </w:rPr>
              <w:t>(0.</w:t>
            </w:r>
            <w:r w:rsidR="000B77A7" w:rsidRPr="00C068F4">
              <w:rPr>
                <w:iCs/>
              </w:rPr>
              <w:t>02, 0.28)</w:t>
            </w:r>
          </w:p>
        </w:tc>
      </w:tr>
    </w:tbl>
    <w:p w14:paraId="7D7F3F56" w14:textId="6D58F3E9" w:rsidR="00136F0E" w:rsidRPr="00C068F4" w:rsidRDefault="008B0D90" w:rsidP="00136F0E">
      <w:pPr>
        <w:pStyle w:val="FooterTableFigure"/>
        <w:rPr>
          <w:rFonts w:eastAsia="Calibri"/>
        </w:rPr>
      </w:pPr>
      <w:r w:rsidRPr="00C068F4">
        <w:t>Source: Table 14 of the PROVENT high-level data summary</w:t>
      </w:r>
      <w:r w:rsidR="00C6003A" w:rsidRPr="00C068F4">
        <w:t>. Rate ratios c</w:t>
      </w:r>
      <w:r w:rsidR="00136F0E" w:rsidRPr="00C068F4">
        <w:rPr>
          <w:rFonts w:eastAsia="Calibri"/>
        </w:rPr>
        <w:t>alculated during the evaluation</w:t>
      </w:r>
      <w:r w:rsidR="00C6003A" w:rsidRPr="00C068F4">
        <w:rPr>
          <w:rFonts w:eastAsia="Calibri"/>
        </w:rPr>
        <w:t>.</w:t>
      </w:r>
    </w:p>
    <w:p w14:paraId="480C1F0D" w14:textId="56A6451D" w:rsidR="008B0D90" w:rsidRPr="00C068F4" w:rsidRDefault="008B0D90" w:rsidP="008B0D90">
      <w:pPr>
        <w:pStyle w:val="FooterTableFigure"/>
        <w:rPr>
          <w:rFonts w:eastAsia="Calibri"/>
        </w:rPr>
      </w:pPr>
      <w:r w:rsidRPr="00C068F4">
        <w:rPr>
          <w:rFonts w:eastAsia="Calibri"/>
        </w:rPr>
        <w:t>CI = confidence interval; DCO = data cut-off; mg = milligrams; n = number of participants reporting data; N = total participants in group</w:t>
      </w:r>
    </w:p>
    <w:p w14:paraId="67A73E0E" w14:textId="70341493" w:rsidR="00CE52B3" w:rsidRPr="00C068F4" w:rsidRDefault="00C40AFE" w:rsidP="00CE52B3">
      <w:pPr>
        <w:pStyle w:val="3-BodyText"/>
      </w:pPr>
      <w:r w:rsidRPr="00C068F4">
        <w:t>The relative risk of cardiac events at 6 months was similar</w:t>
      </w:r>
      <w:r w:rsidR="00DB16B8" w:rsidRPr="00C068F4">
        <w:t xml:space="preserve"> to the relative risk observed at 12 months: 23/3461 (0.7%) in the </w:t>
      </w:r>
      <w:r w:rsidR="00DB16B8" w:rsidRPr="00C068F4">
        <w:rPr>
          <w:color w:val="000000" w:themeColor="text1"/>
        </w:rPr>
        <w:t xml:space="preserve">tixagevimab and cilgavimab arm and </w:t>
      </w:r>
      <w:r w:rsidR="00DB16B8" w:rsidRPr="00C068F4">
        <w:t>5/1736 (0.3%) in the placebo arm (</w:t>
      </w:r>
      <w:r w:rsidR="00132DB4">
        <w:t xml:space="preserve">at 6 months, </w:t>
      </w:r>
      <w:r w:rsidR="00A81941" w:rsidRPr="00C068F4">
        <w:t xml:space="preserve">risk ratio = </w:t>
      </w:r>
      <w:r w:rsidR="00DB16B8" w:rsidRPr="00C068F4">
        <w:t>2.31</w:t>
      </w:r>
      <w:r w:rsidR="00A81941" w:rsidRPr="00C068F4">
        <w:t>; 95% CI:</w:t>
      </w:r>
      <w:r w:rsidR="007C1B2B" w:rsidRPr="00C068F4">
        <w:t xml:space="preserve"> </w:t>
      </w:r>
      <w:r w:rsidR="00DB16B8" w:rsidRPr="00C068F4">
        <w:t>0.88, 6.06)</w:t>
      </w:r>
      <w:r w:rsidR="00A81941" w:rsidRPr="00C068F4">
        <w:t>.</w:t>
      </w:r>
    </w:p>
    <w:p w14:paraId="2D4697B4" w14:textId="721CF779" w:rsidR="005C6B87" w:rsidRPr="00C068F4" w:rsidRDefault="005663E0" w:rsidP="002C7E07">
      <w:pPr>
        <w:pStyle w:val="3-BodyText"/>
      </w:pPr>
      <w:r w:rsidRPr="00C068F4">
        <w:fldChar w:fldCharType="begin" w:fldLock="1"/>
      </w:r>
      <w:r w:rsidRPr="00C068F4">
        <w:instrText xml:space="preserve"> REF _Ref110714837 \h </w:instrText>
      </w:r>
      <w:r w:rsidRPr="00C068F4">
        <w:fldChar w:fldCharType="separate"/>
      </w:r>
      <w:r w:rsidR="00AB751C" w:rsidRPr="00C068F4">
        <w:t xml:space="preserve">Table </w:t>
      </w:r>
      <w:r w:rsidR="00AB751C">
        <w:rPr>
          <w:noProof/>
        </w:rPr>
        <w:t>10</w:t>
      </w:r>
      <w:r w:rsidRPr="00C068F4">
        <w:fldChar w:fldCharType="end"/>
      </w:r>
      <w:r w:rsidRPr="00C068F4">
        <w:t xml:space="preserve"> lists the serious cardiac disorders observed in the PROVENT trial. The PROVENT high level data summary provided with the revised submission notes that </w:t>
      </w:r>
      <w:r w:rsidRPr="00C068F4">
        <w:rPr>
          <w:color w:val="000000" w:themeColor="text1"/>
        </w:rPr>
        <w:t>all participants who experienced cardiac disorder serious adverse events had at least one cardiac risk factor.</w:t>
      </w:r>
    </w:p>
    <w:p w14:paraId="1FBED32F" w14:textId="693765EC" w:rsidR="006104C3" w:rsidRPr="00C068F4" w:rsidRDefault="006104C3" w:rsidP="0070659A">
      <w:pPr>
        <w:pStyle w:val="TableFigureHeading"/>
        <w:rPr>
          <w:rStyle w:val="CommentReference"/>
          <w:b/>
          <w:szCs w:val="24"/>
        </w:rPr>
      </w:pPr>
      <w:bookmarkStart w:id="76" w:name="_Ref110714837"/>
      <w:r w:rsidRPr="00C068F4">
        <w:lastRenderedPageBreak/>
        <w:t xml:space="preserve">Table </w:t>
      </w:r>
      <w:fldSimple w:instr=" SEQ Table \* ARABIC " w:fldLock="1">
        <w:r w:rsidR="00DB55F2">
          <w:rPr>
            <w:noProof/>
          </w:rPr>
          <w:t>10</w:t>
        </w:r>
      </w:fldSimple>
      <w:bookmarkEnd w:id="76"/>
      <w:r w:rsidRPr="00C068F4">
        <w:t xml:space="preserve">: </w:t>
      </w:r>
      <w:r w:rsidR="00CE7304" w:rsidRPr="00C068F4">
        <w:t>Incidence of c</w:t>
      </w:r>
      <w:r w:rsidR="00CE7304" w:rsidRPr="00C068F4">
        <w:rPr>
          <w:rStyle w:val="CommentReference"/>
          <w:b/>
          <w:szCs w:val="24"/>
        </w:rPr>
        <w:t>ardiac</w:t>
      </w:r>
      <w:r w:rsidRPr="00C068F4">
        <w:rPr>
          <w:rStyle w:val="CommentReference"/>
          <w:b/>
          <w:szCs w:val="24"/>
        </w:rPr>
        <w:t xml:space="preserve"> serious adverse events in the PROVENT trial at April 2022 DCO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0: Incidence of cardiac serious adverse events in the PROVENT trial at April 2022 DCO"/>
      </w:tblPr>
      <w:tblGrid>
        <w:gridCol w:w="2973"/>
        <w:gridCol w:w="3022"/>
        <w:gridCol w:w="3022"/>
      </w:tblGrid>
      <w:tr w:rsidR="00F61E48" w:rsidRPr="00C068F4" w14:paraId="5BAC658B" w14:textId="77777777" w:rsidTr="000427ED">
        <w:trPr>
          <w:cantSplit/>
          <w:tblHeader/>
        </w:trPr>
        <w:tc>
          <w:tcPr>
            <w:tcW w:w="1648" w:type="pct"/>
            <w:vAlign w:val="center"/>
          </w:tcPr>
          <w:p w14:paraId="76B87582" w14:textId="77777777" w:rsidR="00F61E48" w:rsidRPr="00C068F4" w:rsidRDefault="00F61E48">
            <w:pPr>
              <w:pStyle w:val="In-tableHeading"/>
              <w:rPr>
                <w:lang w:val="en-AU"/>
              </w:rPr>
            </w:pPr>
            <w:r w:rsidRPr="00C068F4">
              <w:rPr>
                <w:lang w:val="en-AU"/>
              </w:rPr>
              <w:t>PROVENT trial</w:t>
            </w:r>
          </w:p>
        </w:tc>
        <w:tc>
          <w:tcPr>
            <w:tcW w:w="1676" w:type="pct"/>
            <w:vAlign w:val="center"/>
          </w:tcPr>
          <w:p w14:paraId="1D80E85A" w14:textId="77777777" w:rsidR="00F61E48" w:rsidRPr="00C068F4" w:rsidRDefault="00F61E48">
            <w:pPr>
              <w:pStyle w:val="In-tableHeading"/>
              <w:jc w:val="center"/>
              <w:rPr>
                <w:lang w:val="en-AU"/>
              </w:rPr>
            </w:pPr>
            <w:r w:rsidRPr="00C068F4">
              <w:rPr>
                <w:color w:val="000000" w:themeColor="text1"/>
                <w:lang w:val="en-AU"/>
              </w:rPr>
              <w:t>Tixagevimab 150 mg and cilgavimab 150 mg arm</w:t>
            </w:r>
          </w:p>
          <w:p w14:paraId="755E7C5D" w14:textId="77777777" w:rsidR="00F61E48" w:rsidRPr="00C068F4" w:rsidRDefault="00F61E48">
            <w:pPr>
              <w:pStyle w:val="In-tableHeading"/>
              <w:jc w:val="center"/>
              <w:rPr>
                <w:lang w:val="en-AU"/>
              </w:rPr>
            </w:pPr>
            <w:r w:rsidRPr="00C068F4">
              <w:rPr>
                <w:lang w:val="en-AU"/>
              </w:rPr>
              <w:t>N = 3461</w:t>
            </w:r>
          </w:p>
          <w:p w14:paraId="44D5FA6A" w14:textId="77777777" w:rsidR="00F61E48" w:rsidRPr="00C068F4" w:rsidRDefault="00F61E48">
            <w:pPr>
              <w:pStyle w:val="In-tableHeading"/>
              <w:jc w:val="center"/>
              <w:rPr>
                <w:lang w:val="en-AU"/>
              </w:rPr>
            </w:pPr>
            <w:r w:rsidRPr="00C068F4">
              <w:rPr>
                <w:lang w:val="en-AU"/>
              </w:rPr>
              <w:t>Exposure = 3781.5 person-years</w:t>
            </w:r>
          </w:p>
          <w:p w14:paraId="5FF48D72" w14:textId="77777777" w:rsidR="00F61E48" w:rsidRPr="00C068F4" w:rsidRDefault="00F61E48">
            <w:pPr>
              <w:pStyle w:val="In-tableHeading"/>
              <w:jc w:val="center"/>
              <w:rPr>
                <w:lang w:val="en-AU"/>
              </w:rPr>
            </w:pPr>
            <w:r w:rsidRPr="00C068F4">
              <w:rPr>
                <w:lang w:val="en-AU"/>
              </w:rPr>
              <w:t>n (incidence rate per person-year)</w:t>
            </w:r>
          </w:p>
        </w:tc>
        <w:tc>
          <w:tcPr>
            <w:tcW w:w="1676" w:type="pct"/>
            <w:vAlign w:val="center"/>
          </w:tcPr>
          <w:p w14:paraId="43E33F8E" w14:textId="77777777" w:rsidR="00F61E48" w:rsidRPr="00C068F4" w:rsidRDefault="00F61E48">
            <w:pPr>
              <w:pStyle w:val="In-tableHeading"/>
              <w:jc w:val="center"/>
              <w:rPr>
                <w:lang w:val="en-AU"/>
              </w:rPr>
            </w:pPr>
            <w:r w:rsidRPr="00C068F4">
              <w:rPr>
                <w:lang w:val="en-AU"/>
              </w:rPr>
              <w:t>Placebo arm</w:t>
            </w:r>
          </w:p>
          <w:p w14:paraId="000A0F12" w14:textId="77777777" w:rsidR="00F61E48" w:rsidRPr="00C068F4" w:rsidRDefault="00F61E48">
            <w:pPr>
              <w:pStyle w:val="In-tableHeading"/>
              <w:jc w:val="center"/>
              <w:rPr>
                <w:lang w:val="en-AU"/>
              </w:rPr>
            </w:pPr>
            <w:r w:rsidRPr="00C068F4">
              <w:rPr>
                <w:lang w:val="en-AU"/>
              </w:rPr>
              <w:t>N = 1736</w:t>
            </w:r>
          </w:p>
          <w:p w14:paraId="1CF0C8E8" w14:textId="77777777" w:rsidR="00F61E48" w:rsidRPr="00C068F4" w:rsidRDefault="00F61E48">
            <w:pPr>
              <w:pStyle w:val="In-tableHeading"/>
              <w:jc w:val="center"/>
              <w:rPr>
                <w:lang w:val="en-AU"/>
              </w:rPr>
            </w:pPr>
            <w:r w:rsidRPr="00C068F4">
              <w:rPr>
                <w:lang w:val="en-AU"/>
              </w:rPr>
              <w:t>Exposure =.1878.6 person-years</w:t>
            </w:r>
          </w:p>
          <w:p w14:paraId="5C583BEE" w14:textId="77777777" w:rsidR="00F61E48" w:rsidRPr="00C068F4" w:rsidRDefault="00F61E48">
            <w:pPr>
              <w:pStyle w:val="In-tableHeading"/>
              <w:jc w:val="center"/>
              <w:rPr>
                <w:lang w:val="en-AU"/>
              </w:rPr>
            </w:pPr>
            <w:r w:rsidRPr="00C068F4">
              <w:rPr>
                <w:lang w:val="en-AU"/>
              </w:rPr>
              <w:t>n (incidence rate per person-year)</w:t>
            </w:r>
          </w:p>
        </w:tc>
      </w:tr>
      <w:tr w:rsidR="00F61E48" w:rsidRPr="00C068F4" w14:paraId="0D9731A0" w14:textId="77777777" w:rsidTr="000427ED">
        <w:trPr>
          <w:cantSplit/>
        </w:trPr>
        <w:tc>
          <w:tcPr>
            <w:tcW w:w="1648" w:type="pct"/>
            <w:vAlign w:val="center"/>
          </w:tcPr>
          <w:p w14:paraId="7FC07EBA" w14:textId="77777777" w:rsidR="00F61E48" w:rsidRPr="00C068F4" w:rsidRDefault="00F61E48">
            <w:pPr>
              <w:pStyle w:val="TableText0"/>
            </w:pPr>
            <w:r w:rsidRPr="00C068F4">
              <w:t>Cardiac disorders</w:t>
            </w:r>
          </w:p>
        </w:tc>
        <w:tc>
          <w:tcPr>
            <w:tcW w:w="1676" w:type="pct"/>
            <w:vAlign w:val="center"/>
          </w:tcPr>
          <w:p w14:paraId="16CAA1BB" w14:textId="77777777" w:rsidR="00F61E48" w:rsidRPr="00C068F4" w:rsidRDefault="00F61E48">
            <w:pPr>
              <w:pStyle w:val="TableText0"/>
              <w:jc w:val="center"/>
            </w:pPr>
            <w:r w:rsidRPr="00C068F4">
              <w:t>38 (0.0100)</w:t>
            </w:r>
          </w:p>
        </w:tc>
        <w:tc>
          <w:tcPr>
            <w:tcW w:w="1676" w:type="pct"/>
            <w:vAlign w:val="center"/>
          </w:tcPr>
          <w:p w14:paraId="76AB35A8" w14:textId="77777777" w:rsidR="00F61E48" w:rsidRPr="00C068F4" w:rsidRDefault="00F61E48">
            <w:pPr>
              <w:pStyle w:val="TableText0"/>
              <w:jc w:val="center"/>
            </w:pPr>
            <w:r w:rsidRPr="00C068F4">
              <w:t>8 (0.0043)</w:t>
            </w:r>
          </w:p>
        </w:tc>
      </w:tr>
      <w:tr w:rsidR="00F61E48" w:rsidRPr="00C068F4" w14:paraId="67B34CB0" w14:textId="77777777" w:rsidTr="000427ED">
        <w:trPr>
          <w:cantSplit/>
        </w:trPr>
        <w:tc>
          <w:tcPr>
            <w:tcW w:w="1648" w:type="pct"/>
            <w:vAlign w:val="center"/>
          </w:tcPr>
          <w:p w14:paraId="7C578FBA" w14:textId="265F675D" w:rsidR="00F61E48" w:rsidRPr="00C068F4" w:rsidRDefault="007B7C54" w:rsidP="007B7C54">
            <w:pPr>
              <w:pStyle w:val="TableText0"/>
              <w:ind w:left="311"/>
            </w:pPr>
            <w:r w:rsidRPr="00C068F4">
              <w:t>Acute myocardial infarction</w:t>
            </w:r>
          </w:p>
        </w:tc>
        <w:tc>
          <w:tcPr>
            <w:tcW w:w="1676" w:type="pct"/>
            <w:vAlign w:val="center"/>
          </w:tcPr>
          <w:p w14:paraId="4631D326" w14:textId="76551D7B" w:rsidR="00F61E48" w:rsidRPr="00C068F4" w:rsidRDefault="00A6156E">
            <w:pPr>
              <w:pStyle w:val="TableText0"/>
              <w:jc w:val="center"/>
            </w:pPr>
            <w:r w:rsidRPr="00C068F4">
              <w:t>6</w:t>
            </w:r>
            <w:r w:rsidR="007C3FDA" w:rsidRPr="00C068F4">
              <w:t xml:space="preserve"> (0.001</w:t>
            </w:r>
            <w:r w:rsidR="00DB4A4E" w:rsidRPr="00C068F4">
              <w:t>6)</w:t>
            </w:r>
          </w:p>
        </w:tc>
        <w:tc>
          <w:tcPr>
            <w:tcW w:w="1676" w:type="pct"/>
            <w:vAlign w:val="center"/>
          </w:tcPr>
          <w:p w14:paraId="007E26F6" w14:textId="4F7FFB25" w:rsidR="00F61E48" w:rsidRPr="00C068F4" w:rsidRDefault="005059C1">
            <w:pPr>
              <w:pStyle w:val="TableText0"/>
              <w:jc w:val="center"/>
            </w:pPr>
            <w:r w:rsidRPr="00C068F4">
              <w:t>3</w:t>
            </w:r>
            <w:r w:rsidR="00DB4A4E" w:rsidRPr="00C068F4">
              <w:t xml:space="preserve"> (0.0016)</w:t>
            </w:r>
          </w:p>
        </w:tc>
      </w:tr>
      <w:tr w:rsidR="00F61E48" w:rsidRPr="00C068F4" w14:paraId="041EFCD0" w14:textId="77777777" w:rsidTr="000427ED">
        <w:trPr>
          <w:cantSplit/>
        </w:trPr>
        <w:tc>
          <w:tcPr>
            <w:tcW w:w="1648" w:type="pct"/>
            <w:vAlign w:val="center"/>
          </w:tcPr>
          <w:p w14:paraId="340DCE4B" w14:textId="3BD5D55F" w:rsidR="00F61E48" w:rsidRPr="00C068F4" w:rsidRDefault="007B7C54" w:rsidP="007B7C54">
            <w:pPr>
              <w:pStyle w:val="TableText0"/>
              <w:ind w:left="311"/>
            </w:pPr>
            <w:r w:rsidRPr="00C068F4">
              <w:t>Myocardial infarction</w:t>
            </w:r>
          </w:p>
        </w:tc>
        <w:tc>
          <w:tcPr>
            <w:tcW w:w="1676" w:type="pct"/>
            <w:vAlign w:val="center"/>
          </w:tcPr>
          <w:p w14:paraId="10AFE718" w14:textId="420DA2A4" w:rsidR="00F61E48" w:rsidRPr="00C068F4" w:rsidRDefault="00A6156E">
            <w:pPr>
              <w:pStyle w:val="TableText0"/>
              <w:jc w:val="center"/>
            </w:pPr>
            <w:r w:rsidRPr="00C068F4">
              <w:t>8</w:t>
            </w:r>
            <w:r w:rsidR="00DB4A4E" w:rsidRPr="00C068F4">
              <w:t xml:space="preserve"> (</w:t>
            </w:r>
            <w:r w:rsidR="006C2A98" w:rsidRPr="00C068F4">
              <w:t>0.0021)</w:t>
            </w:r>
          </w:p>
        </w:tc>
        <w:tc>
          <w:tcPr>
            <w:tcW w:w="1676" w:type="pct"/>
            <w:vAlign w:val="center"/>
          </w:tcPr>
          <w:p w14:paraId="47414103" w14:textId="7153DB0C" w:rsidR="00F61E48" w:rsidRPr="00C068F4" w:rsidRDefault="005059C1">
            <w:pPr>
              <w:pStyle w:val="TableText0"/>
              <w:jc w:val="center"/>
            </w:pPr>
            <w:r w:rsidRPr="00C068F4">
              <w:t>1</w:t>
            </w:r>
            <w:r w:rsidR="006C2A98" w:rsidRPr="00C068F4">
              <w:t xml:space="preserve"> (0.0005)</w:t>
            </w:r>
          </w:p>
        </w:tc>
      </w:tr>
      <w:tr w:rsidR="00F61E48" w:rsidRPr="00C068F4" w14:paraId="61B5A015" w14:textId="77777777" w:rsidTr="000427ED">
        <w:trPr>
          <w:cantSplit/>
        </w:trPr>
        <w:tc>
          <w:tcPr>
            <w:tcW w:w="1648" w:type="pct"/>
            <w:vAlign w:val="center"/>
          </w:tcPr>
          <w:p w14:paraId="56579F6F" w14:textId="3B5F5BAA" w:rsidR="00F61E48" w:rsidRPr="00C068F4" w:rsidRDefault="007B7C54" w:rsidP="007B7C54">
            <w:pPr>
              <w:pStyle w:val="TableText0"/>
              <w:ind w:left="311"/>
            </w:pPr>
            <w:r w:rsidRPr="00C068F4">
              <w:t>Congestive cardiac failure</w:t>
            </w:r>
          </w:p>
        </w:tc>
        <w:tc>
          <w:tcPr>
            <w:tcW w:w="1676" w:type="pct"/>
            <w:vAlign w:val="center"/>
          </w:tcPr>
          <w:p w14:paraId="7A8C4262" w14:textId="2B454929" w:rsidR="00F61E48" w:rsidRPr="00C068F4" w:rsidRDefault="00A6156E">
            <w:pPr>
              <w:pStyle w:val="TableText0"/>
              <w:jc w:val="center"/>
            </w:pPr>
            <w:r w:rsidRPr="00C068F4">
              <w:t>6</w:t>
            </w:r>
            <w:r w:rsidR="006C2A98" w:rsidRPr="00C068F4">
              <w:t xml:space="preserve"> (0.0016)</w:t>
            </w:r>
          </w:p>
        </w:tc>
        <w:tc>
          <w:tcPr>
            <w:tcW w:w="1676" w:type="pct"/>
            <w:vAlign w:val="center"/>
          </w:tcPr>
          <w:p w14:paraId="71DB9A5E" w14:textId="125A6747" w:rsidR="00F61E48" w:rsidRPr="00C068F4" w:rsidRDefault="005059C1">
            <w:pPr>
              <w:pStyle w:val="TableText0"/>
              <w:jc w:val="center"/>
            </w:pPr>
            <w:r w:rsidRPr="00C068F4">
              <w:t>0</w:t>
            </w:r>
          </w:p>
        </w:tc>
      </w:tr>
      <w:tr w:rsidR="00F61E48" w:rsidRPr="00C068F4" w14:paraId="301A4488" w14:textId="77777777" w:rsidTr="000427ED">
        <w:trPr>
          <w:cantSplit/>
        </w:trPr>
        <w:tc>
          <w:tcPr>
            <w:tcW w:w="1648" w:type="pct"/>
            <w:vAlign w:val="center"/>
          </w:tcPr>
          <w:p w14:paraId="3C39A136" w14:textId="6AC1C369" w:rsidR="00F61E48" w:rsidRPr="00C068F4" w:rsidRDefault="007B7C54" w:rsidP="007B7C54">
            <w:pPr>
              <w:pStyle w:val="TableText0"/>
              <w:ind w:left="311"/>
            </w:pPr>
            <w:r w:rsidRPr="00C068F4">
              <w:t>Atrial fibrillation</w:t>
            </w:r>
          </w:p>
        </w:tc>
        <w:tc>
          <w:tcPr>
            <w:tcW w:w="1676" w:type="pct"/>
            <w:vAlign w:val="center"/>
          </w:tcPr>
          <w:p w14:paraId="09EA5A01" w14:textId="544CEDB1" w:rsidR="00F61E48" w:rsidRPr="00C068F4" w:rsidRDefault="00A6156E">
            <w:pPr>
              <w:pStyle w:val="TableText0"/>
              <w:jc w:val="center"/>
            </w:pPr>
            <w:r w:rsidRPr="00C068F4">
              <w:t>3</w:t>
            </w:r>
            <w:r w:rsidR="00ED20BA" w:rsidRPr="00C068F4">
              <w:t xml:space="preserve"> (0.0008)</w:t>
            </w:r>
          </w:p>
        </w:tc>
        <w:tc>
          <w:tcPr>
            <w:tcW w:w="1676" w:type="pct"/>
            <w:vAlign w:val="center"/>
          </w:tcPr>
          <w:p w14:paraId="7E8B937A" w14:textId="50A98749" w:rsidR="00F61E48" w:rsidRPr="00C068F4" w:rsidRDefault="005059C1">
            <w:pPr>
              <w:pStyle w:val="TableText0"/>
              <w:jc w:val="center"/>
            </w:pPr>
            <w:r w:rsidRPr="00C068F4">
              <w:t>2</w:t>
            </w:r>
            <w:r w:rsidR="00ED20BA" w:rsidRPr="00C068F4">
              <w:t xml:space="preserve"> (0.</w:t>
            </w:r>
            <w:r w:rsidR="00E97D76" w:rsidRPr="00C068F4">
              <w:t>0011)</w:t>
            </w:r>
          </w:p>
        </w:tc>
      </w:tr>
      <w:tr w:rsidR="00F61E48" w:rsidRPr="00C068F4" w14:paraId="3EB6EF09" w14:textId="77777777" w:rsidTr="000427ED">
        <w:trPr>
          <w:cantSplit/>
        </w:trPr>
        <w:tc>
          <w:tcPr>
            <w:tcW w:w="1648" w:type="pct"/>
            <w:vAlign w:val="center"/>
          </w:tcPr>
          <w:p w14:paraId="7C8F4F16" w14:textId="21AA7BD1" w:rsidR="00F61E48" w:rsidRPr="00C068F4" w:rsidRDefault="007B7C54" w:rsidP="007B7C54">
            <w:pPr>
              <w:pStyle w:val="TableText0"/>
              <w:ind w:left="311"/>
            </w:pPr>
            <w:r w:rsidRPr="00C068F4">
              <w:t>Coronary arter</w:t>
            </w:r>
            <w:r w:rsidR="00A6156E" w:rsidRPr="00C068F4">
              <w:t>y disease</w:t>
            </w:r>
          </w:p>
        </w:tc>
        <w:tc>
          <w:tcPr>
            <w:tcW w:w="1676" w:type="pct"/>
            <w:vAlign w:val="center"/>
          </w:tcPr>
          <w:p w14:paraId="20D9FE4C" w14:textId="5676E823" w:rsidR="00F61E48" w:rsidRPr="00C068F4" w:rsidRDefault="005059C1">
            <w:pPr>
              <w:pStyle w:val="TableText0"/>
              <w:jc w:val="center"/>
            </w:pPr>
            <w:r w:rsidRPr="00C068F4">
              <w:t>2</w:t>
            </w:r>
            <w:r w:rsidR="00560078" w:rsidRPr="00C068F4">
              <w:t xml:space="preserve"> (0.0005)</w:t>
            </w:r>
          </w:p>
        </w:tc>
        <w:tc>
          <w:tcPr>
            <w:tcW w:w="1676" w:type="pct"/>
            <w:vAlign w:val="center"/>
          </w:tcPr>
          <w:p w14:paraId="65FD7476" w14:textId="43BE9B3F" w:rsidR="00F61E48" w:rsidRPr="00C068F4" w:rsidRDefault="005059C1">
            <w:pPr>
              <w:pStyle w:val="TableText0"/>
              <w:jc w:val="center"/>
            </w:pPr>
            <w:r w:rsidRPr="00C068F4">
              <w:t>1</w:t>
            </w:r>
            <w:r w:rsidR="00560078" w:rsidRPr="00C068F4">
              <w:t xml:space="preserve"> (0.0005)</w:t>
            </w:r>
          </w:p>
        </w:tc>
      </w:tr>
      <w:tr w:rsidR="00B408C4" w:rsidRPr="00C068F4" w14:paraId="60FC57AA" w14:textId="77777777" w:rsidTr="000427ED">
        <w:trPr>
          <w:cantSplit/>
        </w:trPr>
        <w:tc>
          <w:tcPr>
            <w:tcW w:w="1648" w:type="pct"/>
            <w:vAlign w:val="center"/>
          </w:tcPr>
          <w:p w14:paraId="10E3DB4A" w14:textId="4DD0A26D" w:rsidR="00B408C4" w:rsidRPr="00C068F4" w:rsidRDefault="00B408C4" w:rsidP="007B7C54">
            <w:pPr>
              <w:pStyle w:val="TableText0"/>
              <w:ind w:left="311"/>
            </w:pPr>
            <w:r w:rsidRPr="00C068F4">
              <w:t>Acute left ventricular failure</w:t>
            </w:r>
          </w:p>
        </w:tc>
        <w:tc>
          <w:tcPr>
            <w:tcW w:w="1676" w:type="pct"/>
            <w:vAlign w:val="center"/>
          </w:tcPr>
          <w:p w14:paraId="10605012" w14:textId="6CB8E79C" w:rsidR="00B408C4" w:rsidRPr="00C068F4" w:rsidRDefault="004844FE">
            <w:pPr>
              <w:pStyle w:val="TableText0"/>
              <w:jc w:val="center"/>
            </w:pPr>
            <w:r w:rsidRPr="00C068F4">
              <w:t>1</w:t>
            </w:r>
            <w:r w:rsidR="00FC5C97" w:rsidRPr="00C068F4">
              <w:t xml:space="preserve"> (0.000</w:t>
            </w:r>
            <w:r w:rsidR="00C07BC7" w:rsidRPr="00C068F4">
              <w:t>3)</w:t>
            </w:r>
          </w:p>
        </w:tc>
        <w:tc>
          <w:tcPr>
            <w:tcW w:w="1676" w:type="pct"/>
            <w:vAlign w:val="center"/>
          </w:tcPr>
          <w:p w14:paraId="59EC8021" w14:textId="5387D883" w:rsidR="00B408C4" w:rsidRPr="00C068F4" w:rsidRDefault="004844FE">
            <w:pPr>
              <w:pStyle w:val="TableText0"/>
              <w:jc w:val="center"/>
            </w:pPr>
            <w:r w:rsidRPr="00C068F4">
              <w:t>1 (0.0005)</w:t>
            </w:r>
          </w:p>
        </w:tc>
      </w:tr>
      <w:tr w:rsidR="00F61E48" w:rsidRPr="00C068F4" w14:paraId="67267BE3" w14:textId="77777777" w:rsidTr="000427ED">
        <w:trPr>
          <w:cantSplit/>
        </w:trPr>
        <w:tc>
          <w:tcPr>
            <w:tcW w:w="1648" w:type="pct"/>
            <w:vAlign w:val="center"/>
          </w:tcPr>
          <w:p w14:paraId="738D5A4A" w14:textId="7962F7A1" w:rsidR="00F61E48" w:rsidRPr="00C068F4" w:rsidRDefault="00A6156E" w:rsidP="007B7C54">
            <w:pPr>
              <w:pStyle w:val="TableText0"/>
              <w:ind w:left="311"/>
            </w:pPr>
            <w:r w:rsidRPr="00C068F4">
              <w:t>Unstable angina</w:t>
            </w:r>
          </w:p>
        </w:tc>
        <w:tc>
          <w:tcPr>
            <w:tcW w:w="1676" w:type="pct"/>
            <w:vAlign w:val="center"/>
          </w:tcPr>
          <w:p w14:paraId="10CDD00F" w14:textId="192BF6F2" w:rsidR="00F61E48" w:rsidRPr="00C068F4" w:rsidRDefault="005059C1">
            <w:pPr>
              <w:pStyle w:val="TableText0"/>
              <w:jc w:val="center"/>
            </w:pPr>
            <w:r w:rsidRPr="00C068F4">
              <w:t>2</w:t>
            </w:r>
            <w:r w:rsidR="00560078" w:rsidRPr="00C068F4">
              <w:t xml:space="preserve"> (0.0005)</w:t>
            </w:r>
          </w:p>
        </w:tc>
        <w:tc>
          <w:tcPr>
            <w:tcW w:w="1676" w:type="pct"/>
            <w:vAlign w:val="center"/>
          </w:tcPr>
          <w:p w14:paraId="42B376A3" w14:textId="6777B41A" w:rsidR="00F61E48" w:rsidRPr="00C068F4" w:rsidRDefault="005059C1">
            <w:pPr>
              <w:pStyle w:val="TableText0"/>
              <w:jc w:val="center"/>
            </w:pPr>
            <w:r w:rsidRPr="00C068F4">
              <w:t>0</w:t>
            </w:r>
          </w:p>
        </w:tc>
      </w:tr>
      <w:tr w:rsidR="00C07BC7" w:rsidRPr="00C068F4" w14:paraId="47987FEC" w14:textId="77777777" w:rsidTr="000427ED">
        <w:trPr>
          <w:cantSplit/>
        </w:trPr>
        <w:tc>
          <w:tcPr>
            <w:tcW w:w="1648" w:type="pct"/>
            <w:vAlign w:val="center"/>
          </w:tcPr>
          <w:p w14:paraId="7626F9BD" w14:textId="5DA5AF07" w:rsidR="00C07BC7" w:rsidRPr="00C068F4" w:rsidRDefault="00C07BC7" w:rsidP="00C07BC7">
            <w:pPr>
              <w:pStyle w:val="TableText0"/>
              <w:ind w:left="311"/>
            </w:pPr>
            <w:r w:rsidRPr="00C068F4">
              <w:t>Atherosclerosis coronary artery</w:t>
            </w:r>
          </w:p>
        </w:tc>
        <w:tc>
          <w:tcPr>
            <w:tcW w:w="1676" w:type="pct"/>
            <w:vAlign w:val="center"/>
          </w:tcPr>
          <w:p w14:paraId="5047CC35" w14:textId="4BB239C2" w:rsidR="00C07BC7" w:rsidRPr="00C068F4" w:rsidRDefault="00C07BC7" w:rsidP="00C07BC7">
            <w:pPr>
              <w:pStyle w:val="TableText0"/>
              <w:jc w:val="center"/>
            </w:pPr>
            <w:r w:rsidRPr="00C068F4">
              <w:t>1 (0.0003)</w:t>
            </w:r>
          </w:p>
        </w:tc>
        <w:tc>
          <w:tcPr>
            <w:tcW w:w="1676" w:type="pct"/>
            <w:vAlign w:val="center"/>
          </w:tcPr>
          <w:p w14:paraId="6D71F387" w14:textId="0F5EB45A" w:rsidR="00C07BC7" w:rsidRPr="00C068F4" w:rsidRDefault="00C07BC7" w:rsidP="00C07BC7">
            <w:pPr>
              <w:pStyle w:val="TableText0"/>
              <w:jc w:val="center"/>
            </w:pPr>
            <w:r w:rsidRPr="00C068F4">
              <w:t>1 (0.0005)</w:t>
            </w:r>
          </w:p>
        </w:tc>
      </w:tr>
      <w:tr w:rsidR="00C07BC7" w:rsidRPr="00C068F4" w14:paraId="07AB1B50" w14:textId="77777777" w:rsidTr="000427ED">
        <w:trPr>
          <w:cantSplit/>
        </w:trPr>
        <w:tc>
          <w:tcPr>
            <w:tcW w:w="1648" w:type="pct"/>
            <w:vAlign w:val="center"/>
          </w:tcPr>
          <w:p w14:paraId="1E017197" w14:textId="0C5ABB32" w:rsidR="00C07BC7" w:rsidRPr="00C068F4" w:rsidRDefault="00F70C2B" w:rsidP="00C07BC7">
            <w:pPr>
              <w:pStyle w:val="TableText0"/>
              <w:ind w:left="311"/>
            </w:pPr>
            <w:r w:rsidRPr="00C068F4">
              <w:t>Angina pectoris</w:t>
            </w:r>
          </w:p>
        </w:tc>
        <w:tc>
          <w:tcPr>
            <w:tcW w:w="1676" w:type="pct"/>
            <w:vAlign w:val="center"/>
          </w:tcPr>
          <w:p w14:paraId="386F709E" w14:textId="26D610B0" w:rsidR="00C07BC7" w:rsidRPr="00C068F4" w:rsidRDefault="00F70C2B" w:rsidP="00C07BC7">
            <w:pPr>
              <w:pStyle w:val="TableText0"/>
              <w:jc w:val="center"/>
            </w:pPr>
            <w:r w:rsidRPr="00C068F4">
              <w:t>1 (0.0003)</w:t>
            </w:r>
          </w:p>
        </w:tc>
        <w:tc>
          <w:tcPr>
            <w:tcW w:w="1676" w:type="pct"/>
            <w:vAlign w:val="center"/>
          </w:tcPr>
          <w:p w14:paraId="2640312C" w14:textId="0B82B456" w:rsidR="00C07BC7" w:rsidRPr="00C068F4" w:rsidRDefault="00F70C2B" w:rsidP="00C07BC7">
            <w:pPr>
              <w:pStyle w:val="TableText0"/>
              <w:jc w:val="center"/>
            </w:pPr>
            <w:r w:rsidRPr="00C068F4">
              <w:t>0</w:t>
            </w:r>
          </w:p>
        </w:tc>
      </w:tr>
      <w:tr w:rsidR="00F70C2B" w:rsidRPr="00C068F4" w14:paraId="2F18252A" w14:textId="77777777" w:rsidTr="000427ED">
        <w:trPr>
          <w:cantSplit/>
        </w:trPr>
        <w:tc>
          <w:tcPr>
            <w:tcW w:w="1648" w:type="pct"/>
            <w:vAlign w:val="center"/>
          </w:tcPr>
          <w:p w14:paraId="764D3CC9" w14:textId="06483C8C" w:rsidR="00F70C2B" w:rsidRPr="00C068F4" w:rsidRDefault="00F70C2B" w:rsidP="00F70C2B">
            <w:pPr>
              <w:pStyle w:val="TableText0"/>
              <w:ind w:left="311"/>
            </w:pPr>
            <w:r w:rsidRPr="00C068F4">
              <w:t>Arrhythmia</w:t>
            </w:r>
          </w:p>
        </w:tc>
        <w:tc>
          <w:tcPr>
            <w:tcW w:w="1676" w:type="pct"/>
            <w:vAlign w:val="center"/>
          </w:tcPr>
          <w:p w14:paraId="0C21E741" w14:textId="26114056" w:rsidR="00F70C2B" w:rsidRPr="00C068F4" w:rsidRDefault="00F70C2B" w:rsidP="00F70C2B">
            <w:pPr>
              <w:pStyle w:val="TableText0"/>
              <w:jc w:val="center"/>
            </w:pPr>
            <w:r w:rsidRPr="00C068F4">
              <w:t>1 (0.0003)</w:t>
            </w:r>
          </w:p>
        </w:tc>
        <w:tc>
          <w:tcPr>
            <w:tcW w:w="1676" w:type="pct"/>
            <w:vAlign w:val="center"/>
          </w:tcPr>
          <w:p w14:paraId="0BB16263" w14:textId="7EDDF823" w:rsidR="00F70C2B" w:rsidRPr="00C068F4" w:rsidRDefault="00F70C2B" w:rsidP="00F70C2B">
            <w:pPr>
              <w:pStyle w:val="TableText0"/>
              <w:jc w:val="center"/>
            </w:pPr>
            <w:r w:rsidRPr="00C068F4">
              <w:t>0</w:t>
            </w:r>
          </w:p>
        </w:tc>
      </w:tr>
      <w:tr w:rsidR="00CD6114" w:rsidRPr="00C068F4" w14:paraId="5AC9B780" w14:textId="77777777" w:rsidTr="000427ED">
        <w:trPr>
          <w:cantSplit/>
        </w:trPr>
        <w:tc>
          <w:tcPr>
            <w:tcW w:w="1648" w:type="pct"/>
            <w:vAlign w:val="center"/>
          </w:tcPr>
          <w:p w14:paraId="42449507" w14:textId="57768168" w:rsidR="00CD6114" w:rsidRPr="00C068F4" w:rsidRDefault="00CD6114" w:rsidP="00CD6114">
            <w:pPr>
              <w:pStyle w:val="TableText0"/>
              <w:ind w:left="311"/>
            </w:pPr>
            <w:r w:rsidRPr="00C068F4">
              <w:t>Atrioventricular block complete</w:t>
            </w:r>
          </w:p>
        </w:tc>
        <w:tc>
          <w:tcPr>
            <w:tcW w:w="1676" w:type="pct"/>
            <w:vAlign w:val="center"/>
          </w:tcPr>
          <w:p w14:paraId="5C15FEB0" w14:textId="1F706073" w:rsidR="00CD6114" w:rsidRPr="00C068F4" w:rsidRDefault="00CD6114" w:rsidP="00CD6114">
            <w:pPr>
              <w:pStyle w:val="TableText0"/>
              <w:jc w:val="center"/>
            </w:pPr>
            <w:r w:rsidRPr="00C068F4">
              <w:t>1 (0.0003)</w:t>
            </w:r>
          </w:p>
        </w:tc>
        <w:tc>
          <w:tcPr>
            <w:tcW w:w="1676" w:type="pct"/>
            <w:vAlign w:val="center"/>
          </w:tcPr>
          <w:p w14:paraId="52D89B46" w14:textId="3530D553" w:rsidR="00CD6114" w:rsidRPr="00C068F4" w:rsidRDefault="00CD6114" w:rsidP="00CD6114">
            <w:pPr>
              <w:pStyle w:val="TableText0"/>
              <w:jc w:val="center"/>
            </w:pPr>
            <w:r w:rsidRPr="00C068F4">
              <w:t>0</w:t>
            </w:r>
          </w:p>
        </w:tc>
      </w:tr>
      <w:tr w:rsidR="004645AF" w:rsidRPr="00C068F4" w14:paraId="2C80C111" w14:textId="77777777" w:rsidTr="000427ED">
        <w:trPr>
          <w:cantSplit/>
        </w:trPr>
        <w:tc>
          <w:tcPr>
            <w:tcW w:w="1648" w:type="pct"/>
            <w:vAlign w:val="center"/>
          </w:tcPr>
          <w:p w14:paraId="4C40C1FF" w14:textId="1D204548" w:rsidR="004645AF" w:rsidRPr="00C068F4" w:rsidRDefault="004645AF" w:rsidP="004645AF">
            <w:pPr>
              <w:pStyle w:val="TableText0"/>
              <w:ind w:left="311"/>
            </w:pPr>
            <w:r w:rsidRPr="00C068F4">
              <w:t>Bradycardia</w:t>
            </w:r>
          </w:p>
        </w:tc>
        <w:tc>
          <w:tcPr>
            <w:tcW w:w="1676" w:type="pct"/>
            <w:vAlign w:val="center"/>
          </w:tcPr>
          <w:p w14:paraId="6B5F2708" w14:textId="744BCDFB" w:rsidR="004645AF" w:rsidRPr="00C068F4" w:rsidRDefault="004645AF" w:rsidP="004645AF">
            <w:pPr>
              <w:pStyle w:val="TableText0"/>
              <w:jc w:val="center"/>
            </w:pPr>
            <w:r w:rsidRPr="00C068F4">
              <w:t>1 (0.0003)</w:t>
            </w:r>
          </w:p>
        </w:tc>
        <w:tc>
          <w:tcPr>
            <w:tcW w:w="1676" w:type="pct"/>
            <w:vAlign w:val="center"/>
          </w:tcPr>
          <w:p w14:paraId="3C693E1D" w14:textId="1B29F917" w:rsidR="004645AF" w:rsidRPr="00C068F4" w:rsidRDefault="004645AF" w:rsidP="004645AF">
            <w:pPr>
              <w:pStyle w:val="TableText0"/>
              <w:jc w:val="center"/>
            </w:pPr>
            <w:r w:rsidRPr="00C068F4">
              <w:t>0</w:t>
            </w:r>
          </w:p>
        </w:tc>
      </w:tr>
      <w:tr w:rsidR="004645AF" w:rsidRPr="00C068F4" w14:paraId="0193628C" w14:textId="77777777" w:rsidTr="000427ED">
        <w:trPr>
          <w:cantSplit/>
        </w:trPr>
        <w:tc>
          <w:tcPr>
            <w:tcW w:w="1648" w:type="pct"/>
            <w:vAlign w:val="center"/>
          </w:tcPr>
          <w:p w14:paraId="40A61C52" w14:textId="6D18753B" w:rsidR="004645AF" w:rsidRPr="00C068F4" w:rsidRDefault="004645AF" w:rsidP="004645AF">
            <w:pPr>
              <w:pStyle w:val="TableText0"/>
              <w:ind w:left="311"/>
            </w:pPr>
            <w:r w:rsidRPr="00C068F4">
              <w:t>Cardiac failure</w:t>
            </w:r>
          </w:p>
        </w:tc>
        <w:tc>
          <w:tcPr>
            <w:tcW w:w="1676" w:type="pct"/>
            <w:vAlign w:val="center"/>
          </w:tcPr>
          <w:p w14:paraId="3F993E52" w14:textId="5B4D4EDB" w:rsidR="004645AF" w:rsidRPr="00C068F4" w:rsidRDefault="004645AF" w:rsidP="004645AF">
            <w:pPr>
              <w:pStyle w:val="TableText0"/>
              <w:jc w:val="center"/>
            </w:pPr>
            <w:r w:rsidRPr="00C068F4">
              <w:t>1 (0.0003)</w:t>
            </w:r>
          </w:p>
        </w:tc>
        <w:tc>
          <w:tcPr>
            <w:tcW w:w="1676" w:type="pct"/>
            <w:vAlign w:val="center"/>
          </w:tcPr>
          <w:p w14:paraId="74F8A308" w14:textId="3FD70C7D" w:rsidR="004645AF" w:rsidRPr="00C068F4" w:rsidRDefault="004645AF" w:rsidP="004645AF">
            <w:pPr>
              <w:pStyle w:val="TableText0"/>
              <w:jc w:val="center"/>
            </w:pPr>
            <w:r w:rsidRPr="00C068F4">
              <w:t>0</w:t>
            </w:r>
          </w:p>
        </w:tc>
      </w:tr>
      <w:tr w:rsidR="007050B1" w:rsidRPr="00C068F4" w14:paraId="7749591A" w14:textId="77777777" w:rsidTr="000427ED">
        <w:trPr>
          <w:cantSplit/>
        </w:trPr>
        <w:tc>
          <w:tcPr>
            <w:tcW w:w="1648" w:type="pct"/>
            <w:vAlign w:val="center"/>
          </w:tcPr>
          <w:p w14:paraId="4A5CDC93" w14:textId="42FAF11F" w:rsidR="007050B1" w:rsidRPr="00C068F4" w:rsidRDefault="007050B1" w:rsidP="007050B1">
            <w:pPr>
              <w:pStyle w:val="TableText0"/>
              <w:ind w:left="311"/>
            </w:pPr>
            <w:r w:rsidRPr="00C068F4">
              <w:t>Cardiac failure acute</w:t>
            </w:r>
          </w:p>
        </w:tc>
        <w:tc>
          <w:tcPr>
            <w:tcW w:w="1676" w:type="pct"/>
            <w:vAlign w:val="center"/>
          </w:tcPr>
          <w:p w14:paraId="6786D675" w14:textId="18563FA3" w:rsidR="007050B1" w:rsidRPr="00C068F4" w:rsidRDefault="007050B1" w:rsidP="007050B1">
            <w:pPr>
              <w:pStyle w:val="TableText0"/>
              <w:jc w:val="center"/>
            </w:pPr>
            <w:r w:rsidRPr="00C068F4">
              <w:t>1 (0.0003)</w:t>
            </w:r>
          </w:p>
        </w:tc>
        <w:tc>
          <w:tcPr>
            <w:tcW w:w="1676" w:type="pct"/>
            <w:vAlign w:val="center"/>
          </w:tcPr>
          <w:p w14:paraId="3ADE254A" w14:textId="3FD4074A" w:rsidR="007050B1" w:rsidRPr="00C068F4" w:rsidRDefault="007050B1" w:rsidP="007050B1">
            <w:pPr>
              <w:pStyle w:val="TableText0"/>
              <w:jc w:val="center"/>
            </w:pPr>
            <w:r w:rsidRPr="00C068F4">
              <w:t>0</w:t>
            </w:r>
          </w:p>
        </w:tc>
      </w:tr>
      <w:tr w:rsidR="007D0EB3" w:rsidRPr="00C068F4" w14:paraId="64950964" w14:textId="77777777" w:rsidTr="000427ED">
        <w:trPr>
          <w:cantSplit/>
        </w:trPr>
        <w:tc>
          <w:tcPr>
            <w:tcW w:w="1648" w:type="pct"/>
            <w:vAlign w:val="center"/>
          </w:tcPr>
          <w:p w14:paraId="487142D2" w14:textId="31142F38" w:rsidR="007D0EB3" w:rsidRPr="00C068F4" w:rsidRDefault="007D0EB3" w:rsidP="007D0EB3">
            <w:pPr>
              <w:pStyle w:val="TableText0"/>
              <w:ind w:left="311"/>
            </w:pPr>
            <w:r w:rsidRPr="00C068F4">
              <w:t>Cardio-respiratory arrest</w:t>
            </w:r>
          </w:p>
        </w:tc>
        <w:tc>
          <w:tcPr>
            <w:tcW w:w="1676" w:type="pct"/>
            <w:vAlign w:val="center"/>
          </w:tcPr>
          <w:p w14:paraId="3C1D49A8" w14:textId="5B0470FC" w:rsidR="007D0EB3" w:rsidRPr="00C068F4" w:rsidRDefault="007D0EB3" w:rsidP="007D0EB3">
            <w:pPr>
              <w:pStyle w:val="TableText0"/>
              <w:jc w:val="center"/>
            </w:pPr>
            <w:r w:rsidRPr="00C068F4">
              <w:t>1 (0.0003)</w:t>
            </w:r>
          </w:p>
        </w:tc>
        <w:tc>
          <w:tcPr>
            <w:tcW w:w="1676" w:type="pct"/>
            <w:vAlign w:val="center"/>
          </w:tcPr>
          <w:p w14:paraId="4A9F83ED" w14:textId="546F4BD0" w:rsidR="007D0EB3" w:rsidRPr="00C068F4" w:rsidRDefault="007D0EB3" w:rsidP="007D0EB3">
            <w:pPr>
              <w:pStyle w:val="TableText0"/>
              <w:jc w:val="center"/>
            </w:pPr>
            <w:r w:rsidRPr="00C068F4">
              <w:t>0</w:t>
            </w:r>
          </w:p>
        </w:tc>
      </w:tr>
      <w:tr w:rsidR="007D0EB3" w:rsidRPr="00C068F4" w14:paraId="74CF0B0B" w14:textId="77777777" w:rsidTr="000427ED">
        <w:trPr>
          <w:cantSplit/>
        </w:trPr>
        <w:tc>
          <w:tcPr>
            <w:tcW w:w="1648" w:type="pct"/>
            <w:vAlign w:val="center"/>
          </w:tcPr>
          <w:p w14:paraId="33EE1F8A" w14:textId="183A32BA" w:rsidR="007D0EB3" w:rsidRPr="00C068F4" w:rsidRDefault="007D0EB3" w:rsidP="007D0EB3">
            <w:pPr>
              <w:pStyle w:val="TableText0"/>
              <w:ind w:left="311"/>
            </w:pPr>
            <w:r w:rsidRPr="00C068F4">
              <w:t>Cardiogenic shock</w:t>
            </w:r>
          </w:p>
        </w:tc>
        <w:tc>
          <w:tcPr>
            <w:tcW w:w="1676" w:type="pct"/>
            <w:vAlign w:val="center"/>
          </w:tcPr>
          <w:p w14:paraId="513CC19B" w14:textId="4FC67D7C" w:rsidR="007D0EB3" w:rsidRPr="00C068F4" w:rsidRDefault="007D0EB3" w:rsidP="007D0EB3">
            <w:pPr>
              <w:pStyle w:val="TableText0"/>
              <w:jc w:val="center"/>
            </w:pPr>
            <w:r w:rsidRPr="00C068F4">
              <w:t>1 (0.0003)</w:t>
            </w:r>
          </w:p>
        </w:tc>
        <w:tc>
          <w:tcPr>
            <w:tcW w:w="1676" w:type="pct"/>
            <w:vAlign w:val="center"/>
          </w:tcPr>
          <w:p w14:paraId="22DC344C" w14:textId="0CC8D1E5" w:rsidR="007D0EB3" w:rsidRPr="00C068F4" w:rsidRDefault="007D0EB3" w:rsidP="007D0EB3">
            <w:pPr>
              <w:pStyle w:val="TableText0"/>
              <w:jc w:val="center"/>
            </w:pPr>
            <w:r w:rsidRPr="00C068F4">
              <w:t>0</w:t>
            </w:r>
          </w:p>
        </w:tc>
      </w:tr>
      <w:tr w:rsidR="007D0EB3" w:rsidRPr="00C068F4" w14:paraId="6372AE5D" w14:textId="77777777" w:rsidTr="000427ED">
        <w:trPr>
          <w:cantSplit/>
        </w:trPr>
        <w:tc>
          <w:tcPr>
            <w:tcW w:w="1648" w:type="pct"/>
            <w:vAlign w:val="center"/>
          </w:tcPr>
          <w:p w14:paraId="2E245AE8" w14:textId="68E54125" w:rsidR="007D0EB3" w:rsidRPr="00C068F4" w:rsidRDefault="007D0EB3" w:rsidP="007D0EB3">
            <w:pPr>
              <w:pStyle w:val="TableText0"/>
              <w:ind w:left="311"/>
            </w:pPr>
            <w:r w:rsidRPr="00C068F4">
              <w:t>Cardiomegaly</w:t>
            </w:r>
          </w:p>
        </w:tc>
        <w:tc>
          <w:tcPr>
            <w:tcW w:w="1676" w:type="pct"/>
            <w:vAlign w:val="center"/>
          </w:tcPr>
          <w:p w14:paraId="43C043AF" w14:textId="297F717E" w:rsidR="007D0EB3" w:rsidRPr="00C068F4" w:rsidRDefault="007D0EB3" w:rsidP="007D0EB3">
            <w:pPr>
              <w:pStyle w:val="TableText0"/>
              <w:jc w:val="center"/>
            </w:pPr>
            <w:r w:rsidRPr="00C068F4">
              <w:t>1 (0.0003)</w:t>
            </w:r>
          </w:p>
        </w:tc>
        <w:tc>
          <w:tcPr>
            <w:tcW w:w="1676" w:type="pct"/>
            <w:vAlign w:val="center"/>
          </w:tcPr>
          <w:p w14:paraId="41F15C67" w14:textId="1931C864" w:rsidR="007D0EB3" w:rsidRPr="00C068F4" w:rsidRDefault="007D0EB3" w:rsidP="007D0EB3">
            <w:pPr>
              <w:pStyle w:val="TableText0"/>
              <w:jc w:val="center"/>
            </w:pPr>
            <w:r w:rsidRPr="00C068F4">
              <w:t>0</w:t>
            </w:r>
          </w:p>
        </w:tc>
      </w:tr>
      <w:tr w:rsidR="007D0EB3" w:rsidRPr="00C068F4" w14:paraId="41EB5622" w14:textId="77777777" w:rsidTr="000427ED">
        <w:trPr>
          <w:cantSplit/>
        </w:trPr>
        <w:tc>
          <w:tcPr>
            <w:tcW w:w="1648" w:type="pct"/>
            <w:vAlign w:val="center"/>
          </w:tcPr>
          <w:p w14:paraId="404328D6" w14:textId="6A68A861" w:rsidR="007D0EB3" w:rsidRPr="00C068F4" w:rsidRDefault="007D0EB3" w:rsidP="007D0EB3">
            <w:pPr>
              <w:pStyle w:val="TableText0"/>
              <w:ind w:left="311"/>
            </w:pPr>
            <w:r w:rsidRPr="00C068F4">
              <w:t>Cardiomyopathy</w:t>
            </w:r>
          </w:p>
        </w:tc>
        <w:tc>
          <w:tcPr>
            <w:tcW w:w="1676" w:type="pct"/>
            <w:vAlign w:val="center"/>
          </w:tcPr>
          <w:p w14:paraId="6B82645E" w14:textId="0AC48F2B" w:rsidR="007D0EB3" w:rsidRPr="00C068F4" w:rsidRDefault="007D0EB3" w:rsidP="007D0EB3">
            <w:pPr>
              <w:pStyle w:val="TableText0"/>
              <w:jc w:val="center"/>
            </w:pPr>
            <w:r w:rsidRPr="00C068F4">
              <w:t>1 (0.0003)</w:t>
            </w:r>
          </w:p>
        </w:tc>
        <w:tc>
          <w:tcPr>
            <w:tcW w:w="1676" w:type="pct"/>
            <w:vAlign w:val="center"/>
          </w:tcPr>
          <w:p w14:paraId="0451670F" w14:textId="31B5280F" w:rsidR="007D0EB3" w:rsidRPr="00C068F4" w:rsidRDefault="007D0EB3" w:rsidP="007D0EB3">
            <w:pPr>
              <w:pStyle w:val="TableText0"/>
              <w:jc w:val="center"/>
            </w:pPr>
            <w:r w:rsidRPr="00C068F4">
              <w:t>0</w:t>
            </w:r>
          </w:p>
        </w:tc>
      </w:tr>
      <w:tr w:rsidR="00280A96" w:rsidRPr="00C068F4" w14:paraId="224724E9" w14:textId="77777777" w:rsidTr="000427ED">
        <w:trPr>
          <w:cantSplit/>
        </w:trPr>
        <w:tc>
          <w:tcPr>
            <w:tcW w:w="1648" w:type="pct"/>
            <w:vAlign w:val="center"/>
          </w:tcPr>
          <w:p w14:paraId="689AAF19" w14:textId="1F6C013D" w:rsidR="00280A96" w:rsidRPr="00C068F4" w:rsidRDefault="00280A96" w:rsidP="00280A96">
            <w:pPr>
              <w:pStyle w:val="TableText0"/>
              <w:ind w:left="311"/>
            </w:pPr>
            <w:r w:rsidRPr="00C068F4">
              <w:t>Left ventricular failure</w:t>
            </w:r>
          </w:p>
        </w:tc>
        <w:tc>
          <w:tcPr>
            <w:tcW w:w="1676" w:type="pct"/>
            <w:vAlign w:val="center"/>
          </w:tcPr>
          <w:p w14:paraId="113C5151" w14:textId="73DEE93B" w:rsidR="00280A96" w:rsidRPr="00C068F4" w:rsidRDefault="00280A96" w:rsidP="00280A96">
            <w:pPr>
              <w:pStyle w:val="TableText0"/>
              <w:jc w:val="center"/>
            </w:pPr>
            <w:r w:rsidRPr="00C068F4">
              <w:t>1 (0.0003)</w:t>
            </w:r>
          </w:p>
        </w:tc>
        <w:tc>
          <w:tcPr>
            <w:tcW w:w="1676" w:type="pct"/>
            <w:vAlign w:val="center"/>
          </w:tcPr>
          <w:p w14:paraId="520844E0" w14:textId="49A66C73" w:rsidR="00280A96" w:rsidRPr="00C068F4" w:rsidRDefault="00280A96" w:rsidP="00280A96">
            <w:pPr>
              <w:pStyle w:val="TableText0"/>
              <w:jc w:val="center"/>
            </w:pPr>
            <w:r w:rsidRPr="00C068F4">
              <w:t>0</w:t>
            </w:r>
          </w:p>
        </w:tc>
      </w:tr>
      <w:tr w:rsidR="00280A96" w:rsidRPr="00C068F4" w14:paraId="6E73E739" w14:textId="77777777" w:rsidTr="000427ED">
        <w:trPr>
          <w:cantSplit/>
        </w:trPr>
        <w:tc>
          <w:tcPr>
            <w:tcW w:w="1648" w:type="pct"/>
            <w:vAlign w:val="center"/>
          </w:tcPr>
          <w:p w14:paraId="71916F08" w14:textId="1EA67540" w:rsidR="00280A96" w:rsidRPr="00C068F4" w:rsidRDefault="00280A96" w:rsidP="00280A96">
            <w:pPr>
              <w:pStyle w:val="TableText0"/>
              <w:ind w:left="311"/>
            </w:pPr>
            <w:r w:rsidRPr="00C068F4">
              <w:t>Mitral valve disease</w:t>
            </w:r>
          </w:p>
        </w:tc>
        <w:tc>
          <w:tcPr>
            <w:tcW w:w="1676" w:type="pct"/>
            <w:vAlign w:val="center"/>
          </w:tcPr>
          <w:p w14:paraId="735D6909" w14:textId="54CFFFC9" w:rsidR="00280A96" w:rsidRPr="00C068F4" w:rsidRDefault="00280A96" w:rsidP="00280A96">
            <w:pPr>
              <w:pStyle w:val="TableText0"/>
              <w:jc w:val="center"/>
            </w:pPr>
            <w:r w:rsidRPr="00C068F4">
              <w:t>1 (0.0003)</w:t>
            </w:r>
          </w:p>
        </w:tc>
        <w:tc>
          <w:tcPr>
            <w:tcW w:w="1676" w:type="pct"/>
            <w:vAlign w:val="center"/>
          </w:tcPr>
          <w:p w14:paraId="61936418" w14:textId="4A9498F0" w:rsidR="00280A96" w:rsidRPr="00C068F4" w:rsidRDefault="00280A96" w:rsidP="00280A96">
            <w:pPr>
              <w:pStyle w:val="TableText0"/>
              <w:jc w:val="center"/>
            </w:pPr>
            <w:r w:rsidRPr="00C068F4">
              <w:t>0</w:t>
            </w:r>
          </w:p>
        </w:tc>
      </w:tr>
      <w:tr w:rsidR="002D6762" w:rsidRPr="00C068F4" w14:paraId="2994FA6C" w14:textId="77777777" w:rsidTr="000427ED">
        <w:trPr>
          <w:cantSplit/>
        </w:trPr>
        <w:tc>
          <w:tcPr>
            <w:tcW w:w="1648" w:type="pct"/>
            <w:vAlign w:val="center"/>
          </w:tcPr>
          <w:p w14:paraId="2118ADE2" w14:textId="323DD443" w:rsidR="002D6762" w:rsidRPr="00C068F4" w:rsidRDefault="002D6762" w:rsidP="002D6762">
            <w:pPr>
              <w:pStyle w:val="TableText0"/>
              <w:ind w:left="311"/>
            </w:pPr>
            <w:r w:rsidRPr="00C068F4">
              <w:t>Paroxysmal atrioventricular block</w:t>
            </w:r>
          </w:p>
        </w:tc>
        <w:tc>
          <w:tcPr>
            <w:tcW w:w="1676" w:type="pct"/>
            <w:vAlign w:val="center"/>
          </w:tcPr>
          <w:p w14:paraId="4AD36B07" w14:textId="4B749F1A" w:rsidR="002D6762" w:rsidRPr="00C068F4" w:rsidRDefault="002D6762" w:rsidP="002D6762">
            <w:pPr>
              <w:pStyle w:val="TableText0"/>
              <w:jc w:val="center"/>
            </w:pPr>
            <w:r w:rsidRPr="00C068F4">
              <w:t>1 (0.0003)</w:t>
            </w:r>
          </w:p>
        </w:tc>
        <w:tc>
          <w:tcPr>
            <w:tcW w:w="1676" w:type="pct"/>
            <w:vAlign w:val="center"/>
          </w:tcPr>
          <w:p w14:paraId="2BBDC0AA" w14:textId="54089504" w:rsidR="002D6762" w:rsidRPr="00C068F4" w:rsidRDefault="002D6762" w:rsidP="002D6762">
            <w:pPr>
              <w:pStyle w:val="TableText0"/>
              <w:jc w:val="center"/>
            </w:pPr>
            <w:r w:rsidRPr="00C068F4">
              <w:t>0</w:t>
            </w:r>
          </w:p>
        </w:tc>
      </w:tr>
      <w:tr w:rsidR="001D33C7" w:rsidRPr="00C068F4" w14:paraId="61E92573" w14:textId="77777777" w:rsidTr="000427ED">
        <w:trPr>
          <w:cantSplit/>
        </w:trPr>
        <w:tc>
          <w:tcPr>
            <w:tcW w:w="1648" w:type="pct"/>
            <w:vAlign w:val="center"/>
          </w:tcPr>
          <w:p w14:paraId="44FCA373" w14:textId="6A2C82A0" w:rsidR="001D33C7" w:rsidRPr="00C068F4" w:rsidRDefault="001D33C7" w:rsidP="00280A96">
            <w:pPr>
              <w:pStyle w:val="TableText0"/>
              <w:ind w:left="311"/>
            </w:pPr>
            <w:r w:rsidRPr="00C068F4">
              <w:t>Stress cardiomyopathy</w:t>
            </w:r>
          </w:p>
        </w:tc>
        <w:tc>
          <w:tcPr>
            <w:tcW w:w="1676" w:type="pct"/>
            <w:vAlign w:val="center"/>
          </w:tcPr>
          <w:p w14:paraId="2B173D2F" w14:textId="073F73DB" w:rsidR="001D33C7" w:rsidRPr="00C068F4" w:rsidRDefault="002D6762" w:rsidP="00280A96">
            <w:pPr>
              <w:pStyle w:val="TableText0"/>
              <w:jc w:val="center"/>
            </w:pPr>
            <w:r w:rsidRPr="00C068F4">
              <w:t>0</w:t>
            </w:r>
          </w:p>
        </w:tc>
        <w:tc>
          <w:tcPr>
            <w:tcW w:w="1676" w:type="pct"/>
            <w:vAlign w:val="center"/>
          </w:tcPr>
          <w:p w14:paraId="3592F5B6" w14:textId="108C9846" w:rsidR="001D33C7" w:rsidRPr="00C068F4" w:rsidRDefault="002D6762" w:rsidP="00280A96">
            <w:pPr>
              <w:pStyle w:val="TableText0"/>
              <w:jc w:val="center"/>
            </w:pPr>
            <w:r w:rsidRPr="00C068F4">
              <w:t>1 (0.0005)</w:t>
            </w:r>
          </w:p>
        </w:tc>
      </w:tr>
      <w:tr w:rsidR="002D6762" w:rsidRPr="00C068F4" w14:paraId="7DFED2D6" w14:textId="77777777" w:rsidTr="000427ED">
        <w:trPr>
          <w:cantSplit/>
        </w:trPr>
        <w:tc>
          <w:tcPr>
            <w:tcW w:w="1648" w:type="pct"/>
            <w:vAlign w:val="center"/>
          </w:tcPr>
          <w:p w14:paraId="635C2A20" w14:textId="2954F7DC" w:rsidR="002D6762" w:rsidRPr="00C068F4" w:rsidRDefault="002D6762" w:rsidP="002D6762">
            <w:pPr>
              <w:pStyle w:val="TableText0"/>
              <w:ind w:left="311"/>
            </w:pPr>
            <w:r w:rsidRPr="00C068F4">
              <w:t>Ventricular arrhythmia</w:t>
            </w:r>
          </w:p>
        </w:tc>
        <w:tc>
          <w:tcPr>
            <w:tcW w:w="1676" w:type="pct"/>
            <w:vAlign w:val="center"/>
          </w:tcPr>
          <w:p w14:paraId="61C8EB35" w14:textId="2DE3AB77" w:rsidR="002D6762" w:rsidRPr="00C068F4" w:rsidRDefault="002D6762" w:rsidP="002D6762">
            <w:pPr>
              <w:pStyle w:val="TableText0"/>
              <w:jc w:val="center"/>
            </w:pPr>
            <w:r w:rsidRPr="00C068F4">
              <w:t>1 (0.0003)</w:t>
            </w:r>
          </w:p>
        </w:tc>
        <w:tc>
          <w:tcPr>
            <w:tcW w:w="1676" w:type="pct"/>
            <w:vAlign w:val="center"/>
          </w:tcPr>
          <w:p w14:paraId="73F44B6F" w14:textId="1235CE5F" w:rsidR="002D6762" w:rsidRPr="00C068F4" w:rsidRDefault="002D6762" w:rsidP="002D6762">
            <w:pPr>
              <w:pStyle w:val="TableText0"/>
              <w:jc w:val="center"/>
            </w:pPr>
            <w:r w:rsidRPr="00C068F4">
              <w:t>0</w:t>
            </w:r>
          </w:p>
        </w:tc>
      </w:tr>
    </w:tbl>
    <w:p w14:paraId="6491F1FC" w14:textId="258F3BC3" w:rsidR="006104C3" w:rsidRPr="00C068F4" w:rsidRDefault="006104C3" w:rsidP="006104C3">
      <w:pPr>
        <w:pStyle w:val="FooterTableFigure"/>
      </w:pPr>
      <w:r w:rsidRPr="00C068F4">
        <w:t xml:space="preserve">Source: Table </w:t>
      </w:r>
      <w:r w:rsidR="007050B1" w:rsidRPr="00C068F4">
        <w:t>14.3.2.1.1</w:t>
      </w:r>
      <w:r w:rsidR="007D0EB3" w:rsidRPr="00C068F4">
        <w:t>C</w:t>
      </w:r>
      <w:r w:rsidRPr="00C068F4">
        <w:t xml:space="preserve"> of the PROVENT high-level data summary</w:t>
      </w:r>
    </w:p>
    <w:p w14:paraId="1E8AF6F8" w14:textId="516844C1" w:rsidR="00452ACC" w:rsidRPr="00C068F4" w:rsidRDefault="00452ACC" w:rsidP="000427ED">
      <w:pPr>
        <w:pStyle w:val="FooterTableFigure"/>
        <w:rPr>
          <w:sz w:val="20"/>
        </w:rPr>
      </w:pPr>
      <w:r w:rsidRPr="00C068F4">
        <w:t xml:space="preserve">Note: </w:t>
      </w:r>
      <w:r w:rsidR="00EC5157" w:rsidRPr="00C068F4">
        <w:t>Some participants</w:t>
      </w:r>
      <w:r w:rsidR="00EA6688" w:rsidRPr="00C068F4">
        <w:t xml:space="preserve"> had more than one serious cardiac adverse event. 38 </w:t>
      </w:r>
      <w:r w:rsidR="00680439" w:rsidRPr="00C068F4">
        <w:t xml:space="preserve">patients </w:t>
      </w:r>
      <w:r w:rsidR="00C525BB" w:rsidRPr="00C068F4">
        <w:t xml:space="preserve">in the </w:t>
      </w:r>
      <w:r w:rsidR="00C525BB" w:rsidRPr="00C068F4">
        <w:rPr>
          <w:color w:val="000000" w:themeColor="text1"/>
        </w:rPr>
        <w:t xml:space="preserve">tixagevimab and cilgavimab arm </w:t>
      </w:r>
      <w:r w:rsidR="00C525BB" w:rsidRPr="00C068F4">
        <w:t>experienced</w:t>
      </w:r>
      <w:r w:rsidR="00FA4DBB" w:rsidRPr="00C068F4">
        <w:t xml:space="preserve"> 43 serious cardiac disorders.</w:t>
      </w:r>
      <w:r w:rsidR="006D59CE" w:rsidRPr="00C068F4">
        <w:t xml:space="preserve"> 8 patients in the </w:t>
      </w:r>
      <w:r w:rsidR="00680439" w:rsidRPr="00C068F4">
        <w:t>placebo arm experienced 10 serious cardiac disorders.</w:t>
      </w:r>
      <w:r w:rsidR="00C525BB" w:rsidRPr="00C068F4">
        <w:t xml:space="preserve"> </w:t>
      </w:r>
      <w:r w:rsidR="000427ED" w:rsidRPr="00C068F4">
        <w:t>Participants with events in more than one preferred term are counted once in each of those preferred terms</w:t>
      </w:r>
    </w:p>
    <w:p w14:paraId="62C6699E" w14:textId="77777777" w:rsidR="00462893" w:rsidRPr="00C068F4" w:rsidRDefault="00462893" w:rsidP="00462893">
      <w:pPr>
        <w:pStyle w:val="FooterTableFigure"/>
        <w:rPr>
          <w:rFonts w:eastAsia="Calibri"/>
        </w:rPr>
      </w:pPr>
      <w:r w:rsidRPr="00C068F4">
        <w:rPr>
          <w:rFonts w:eastAsia="Calibri"/>
        </w:rPr>
        <w:t>CI = confidence interval; DCO = data cut-off; mg = milligrams; n = number of participants reporting data; N = total participants in group</w:t>
      </w:r>
    </w:p>
    <w:p w14:paraId="344CB824" w14:textId="3FF70A58" w:rsidR="00BC4892" w:rsidRPr="00C068F4" w:rsidRDefault="00671A9E" w:rsidP="009174C1">
      <w:pPr>
        <w:pStyle w:val="3-BodyText"/>
      </w:pPr>
      <w:bookmarkStart w:id="77" w:name="_Ref110966602"/>
      <w:r w:rsidRPr="00C068F4">
        <w:t xml:space="preserve">Only interim </w:t>
      </w:r>
      <w:r w:rsidR="005C4E06" w:rsidRPr="00C068F4">
        <w:t xml:space="preserve">safety </w:t>
      </w:r>
      <w:r w:rsidRPr="00C068F4">
        <w:t xml:space="preserve">results are available from the PROVENT substudy in which 305 people originally </w:t>
      </w:r>
      <w:r w:rsidR="008B2F9D" w:rsidRPr="00C068F4">
        <w:t xml:space="preserve">randomised to receive tixagevimab 150 mg and cilgavimab 150 mg in the parent study received a second </w:t>
      </w:r>
      <w:r w:rsidR="00CD2F97" w:rsidRPr="00C068F4">
        <w:t>dose of tixagevimab 150 mg and cilgavimab 150</w:t>
      </w:r>
      <w:r w:rsidR="00E833E9">
        <w:t> </w:t>
      </w:r>
      <w:r w:rsidR="00CD2F97" w:rsidRPr="00C068F4">
        <w:t>mg.</w:t>
      </w:r>
      <w:r w:rsidR="00AB03E1" w:rsidRPr="00C068F4">
        <w:t xml:space="preserve"> Median follow up of this group at the time of reporting of results was only 17.0 days</w:t>
      </w:r>
      <w:r w:rsidR="0080339A" w:rsidRPr="00C068F4">
        <w:t xml:space="preserve"> (range: 1 to 36 days</w:t>
      </w:r>
      <w:r w:rsidR="00CC0641" w:rsidRPr="00C068F4">
        <w:t>)</w:t>
      </w:r>
      <w:r w:rsidR="00AB03E1" w:rsidRPr="00C068F4">
        <w:t>.</w:t>
      </w:r>
      <w:r w:rsidR="00554692" w:rsidRPr="00C068F4">
        <w:rPr>
          <w:iCs/>
        </w:rPr>
        <w:t xml:space="preserve"> </w:t>
      </w:r>
      <w:r w:rsidR="00BE417E" w:rsidRPr="00C068F4">
        <w:t xml:space="preserve">44 </w:t>
      </w:r>
      <w:r w:rsidR="003E4DAB" w:rsidRPr="00C068F4">
        <w:t xml:space="preserve">(14.4%) </w:t>
      </w:r>
      <w:r w:rsidR="00BE417E" w:rsidRPr="00C068F4">
        <w:t>of the</w:t>
      </w:r>
      <w:r w:rsidR="003E4DAB" w:rsidRPr="00C068F4">
        <w:t xml:space="preserve"> subject</w:t>
      </w:r>
      <w:r w:rsidR="00693CDD" w:rsidRPr="00C068F4">
        <w:t>s</w:t>
      </w:r>
      <w:r w:rsidR="003E4DAB" w:rsidRPr="00C068F4">
        <w:t xml:space="preserve"> experienced at least one adverse event.</w:t>
      </w:r>
    </w:p>
    <w:p w14:paraId="68416132" w14:textId="28228425" w:rsidR="00BC4892" w:rsidRPr="00C068F4" w:rsidRDefault="00554692" w:rsidP="00BC4892">
      <w:pPr>
        <w:pStyle w:val="ListParagraph"/>
      </w:pPr>
      <w:r w:rsidRPr="00C068F4">
        <w:t>Of these, 2</w:t>
      </w:r>
      <w:r w:rsidR="005447D8" w:rsidRPr="00C068F4">
        <w:t xml:space="preserve"> (0.7%)</w:t>
      </w:r>
      <w:r w:rsidRPr="00C068F4">
        <w:t xml:space="preserve"> subjects experienced cardiac disorders.</w:t>
      </w:r>
    </w:p>
    <w:p w14:paraId="79FF44A8" w14:textId="4F3445B9" w:rsidR="00BC4892" w:rsidRPr="00C068F4" w:rsidRDefault="00543126" w:rsidP="00BC4892">
      <w:pPr>
        <w:pStyle w:val="ListParagraph"/>
      </w:pPr>
      <w:r w:rsidRPr="00C068F4">
        <w:t xml:space="preserve">12 of </w:t>
      </w:r>
      <w:r w:rsidR="003639D6" w:rsidRPr="00C068F4">
        <w:t xml:space="preserve">49 </w:t>
      </w:r>
      <w:r w:rsidR="00BD6EF1" w:rsidRPr="00C068F4">
        <w:t xml:space="preserve">(24.5%) </w:t>
      </w:r>
      <w:r w:rsidR="003639D6" w:rsidRPr="00C068F4">
        <w:t>patients in the substudy that were considered evaluable</w:t>
      </w:r>
      <w:r w:rsidR="006E074D" w:rsidRPr="00C068F4">
        <w:t xml:space="preserve"> for</w:t>
      </w:r>
      <w:r w:rsidR="00BD6EF1" w:rsidRPr="00C068F4">
        <w:t xml:space="preserve"> anti-drug antibodies </w:t>
      </w:r>
      <w:r w:rsidR="008907B4" w:rsidRPr="00C068F4">
        <w:t>were positive for antidrug antibodies.</w:t>
      </w:r>
      <w:r w:rsidR="00EF3650" w:rsidRPr="00C068F4">
        <w:t xml:space="preserve"> </w:t>
      </w:r>
      <w:r w:rsidR="00EF3650" w:rsidRPr="00C068F4">
        <w:rPr>
          <w:color w:val="000000" w:themeColor="text1"/>
        </w:rPr>
        <w:t>The report of the substudy suggests that</w:t>
      </w:r>
      <w:r w:rsidR="00AF400E" w:rsidRPr="00C068F4">
        <w:rPr>
          <w:color w:val="000000" w:themeColor="text1"/>
        </w:rPr>
        <w:t xml:space="preserve"> </w:t>
      </w:r>
      <w:r w:rsidR="00EF3650" w:rsidRPr="00C068F4">
        <w:rPr>
          <w:color w:val="000000" w:themeColor="text1"/>
        </w:rPr>
        <w:t>there was no evidence the administration of a second dose of</w:t>
      </w:r>
      <w:r w:rsidR="00AF400E" w:rsidRPr="00C068F4">
        <w:rPr>
          <w:color w:val="000000" w:themeColor="text1"/>
        </w:rPr>
        <w:t xml:space="preserve"> tixagevimab and cilgavimab</w:t>
      </w:r>
      <w:r w:rsidR="00EF3650" w:rsidRPr="00C068F4">
        <w:rPr>
          <w:color w:val="000000" w:themeColor="text1"/>
        </w:rPr>
        <w:t xml:space="preserve"> resulted in a</w:t>
      </w:r>
      <w:r w:rsidR="00AF400E" w:rsidRPr="00C068F4">
        <w:rPr>
          <w:color w:val="000000" w:themeColor="text1"/>
        </w:rPr>
        <w:t xml:space="preserve"> </w:t>
      </w:r>
      <w:r w:rsidR="00EF3650" w:rsidRPr="00C068F4">
        <w:rPr>
          <w:color w:val="000000" w:themeColor="text1"/>
        </w:rPr>
        <w:t xml:space="preserve">meaningfully stronger </w:t>
      </w:r>
      <w:r w:rsidR="00AF400E" w:rsidRPr="00C068F4">
        <w:rPr>
          <w:color w:val="000000" w:themeColor="text1"/>
        </w:rPr>
        <w:t>anti</w:t>
      </w:r>
      <w:r w:rsidR="00072086" w:rsidRPr="00C068F4">
        <w:rPr>
          <w:color w:val="000000" w:themeColor="text1"/>
        </w:rPr>
        <w:t>-</w:t>
      </w:r>
      <w:r w:rsidR="00AF400E" w:rsidRPr="00C068F4">
        <w:rPr>
          <w:color w:val="000000" w:themeColor="text1"/>
        </w:rPr>
        <w:t>drug antibody</w:t>
      </w:r>
      <w:r w:rsidR="00EF3650" w:rsidRPr="00C068F4">
        <w:rPr>
          <w:color w:val="000000" w:themeColor="text1"/>
        </w:rPr>
        <w:t xml:space="preserve"> response a</w:t>
      </w:r>
      <w:r w:rsidR="00C616ED" w:rsidRPr="00C068F4">
        <w:rPr>
          <w:color w:val="000000" w:themeColor="text1"/>
        </w:rPr>
        <w:t>s compared to after the first dose</w:t>
      </w:r>
      <w:r w:rsidR="00CC0641" w:rsidRPr="00C068F4">
        <w:rPr>
          <w:color w:val="000000" w:themeColor="text1"/>
        </w:rPr>
        <w:t>.</w:t>
      </w:r>
    </w:p>
    <w:p w14:paraId="293F3F9F" w14:textId="7558FD22" w:rsidR="006769B2" w:rsidRPr="00C068F4" w:rsidRDefault="00864184" w:rsidP="00CB7CEF">
      <w:pPr>
        <w:spacing w:after="120"/>
        <w:ind w:left="720"/>
        <w:rPr>
          <w:iCs/>
        </w:rPr>
      </w:pPr>
      <w:r w:rsidRPr="00C068F4">
        <w:rPr>
          <w:iCs/>
        </w:rPr>
        <w:lastRenderedPageBreak/>
        <w:t>The PBAC noted that g</w:t>
      </w:r>
      <w:r w:rsidR="00CC0641" w:rsidRPr="00C068F4">
        <w:rPr>
          <w:iCs/>
        </w:rPr>
        <w:t xml:space="preserve">iven the short duration of follow-up </w:t>
      </w:r>
      <w:r w:rsidR="00456FE2" w:rsidRPr="00C068F4">
        <w:rPr>
          <w:iCs/>
        </w:rPr>
        <w:t>(</w:t>
      </w:r>
      <w:r w:rsidR="00BC4892" w:rsidRPr="00C068F4">
        <w:rPr>
          <w:iCs/>
        </w:rPr>
        <w:t xml:space="preserve">17 days) </w:t>
      </w:r>
      <w:r w:rsidR="00CC0641" w:rsidRPr="00C068F4">
        <w:rPr>
          <w:iCs/>
        </w:rPr>
        <w:t xml:space="preserve">at the time of reporting of results from the substudy, the results </w:t>
      </w:r>
      <w:r w:rsidR="000C217E" w:rsidRPr="00C068F4">
        <w:rPr>
          <w:iCs/>
        </w:rPr>
        <w:t xml:space="preserve">from the substudy </w:t>
      </w:r>
      <w:r w:rsidR="00CC0641" w:rsidRPr="00C068F4">
        <w:rPr>
          <w:iCs/>
        </w:rPr>
        <w:t>should be interpreted with caution</w:t>
      </w:r>
      <w:r w:rsidR="001D60C1" w:rsidRPr="00C068F4">
        <w:rPr>
          <w:iCs/>
        </w:rPr>
        <w:t>.</w:t>
      </w:r>
      <w:bookmarkEnd w:id="77"/>
    </w:p>
    <w:p w14:paraId="75B1869E" w14:textId="6A8748DB" w:rsidR="008B0D90" w:rsidRPr="00C068F4" w:rsidRDefault="008B6919" w:rsidP="008B0D90">
      <w:pPr>
        <w:pStyle w:val="3-BodyText"/>
        <w:rPr>
          <w:iCs/>
          <w:color w:val="000000" w:themeColor="text1"/>
        </w:rPr>
      </w:pPr>
      <w:r w:rsidRPr="00C068F4">
        <w:rPr>
          <w:iCs/>
          <w:color w:val="000000" w:themeColor="text1"/>
        </w:rPr>
        <w:t xml:space="preserve">Although a causal relationship between tixagevimab and cilgavimab and these events has not been established, </w:t>
      </w:r>
      <w:r w:rsidR="00495D36" w:rsidRPr="00C068F4">
        <w:rPr>
          <w:iCs/>
          <w:color w:val="000000" w:themeColor="text1"/>
        </w:rPr>
        <w:t xml:space="preserve">the possibility of a </w:t>
      </w:r>
      <w:r w:rsidRPr="00C068F4">
        <w:rPr>
          <w:iCs/>
          <w:color w:val="000000" w:themeColor="text1"/>
        </w:rPr>
        <w:t xml:space="preserve">relationship </w:t>
      </w:r>
      <w:r w:rsidR="003725CE" w:rsidRPr="00C068F4">
        <w:rPr>
          <w:iCs/>
          <w:color w:val="000000" w:themeColor="text1"/>
        </w:rPr>
        <w:t>between</w:t>
      </w:r>
      <w:r w:rsidRPr="00C068F4">
        <w:rPr>
          <w:iCs/>
          <w:color w:val="000000" w:themeColor="text1"/>
        </w:rPr>
        <w:t xml:space="preserve"> tixagevimab and cilgavimab </w:t>
      </w:r>
      <w:r w:rsidR="003725CE" w:rsidRPr="00C068F4">
        <w:rPr>
          <w:iCs/>
          <w:color w:val="000000" w:themeColor="text1"/>
        </w:rPr>
        <w:t xml:space="preserve">and these events </w:t>
      </w:r>
      <w:r w:rsidRPr="00C068F4">
        <w:rPr>
          <w:iCs/>
          <w:color w:val="000000" w:themeColor="text1"/>
        </w:rPr>
        <w:t xml:space="preserve">cannot be </w:t>
      </w:r>
      <w:r w:rsidR="00495D36" w:rsidRPr="00C068F4">
        <w:rPr>
          <w:iCs/>
          <w:color w:val="000000" w:themeColor="text1"/>
        </w:rPr>
        <w:t>excluded</w:t>
      </w:r>
      <w:r w:rsidRPr="00C068F4">
        <w:rPr>
          <w:iCs/>
          <w:color w:val="000000" w:themeColor="text1"/>
        </w:rPr>
        <w:t>.</w:t>
      </w:r>
    </w:p>
    <w:p w14:paraId="12167A02" w14:textId="3F8FBE24" w:rsidR="00CC6D64" w:rsidRPr="00C068F4" w:rsidRDefault="00CC6D64" w:rsidP="00CC6D64">
      <w:pPr>
        <w:pStyle w:val="3-BodyText"/>
        <w:rPr>
          <w:color w:val="000000" w:themeColor="text1"/>
        </w:rPr>
      </w:pPr>
      <w:r w:rsidRPr="00C068F4">
        <w:rPr>
          <w:color w:val="000000" w:themeColor="text1"/>
        </w:rPr>
        <w:t xml:space="preserve">The submission suggests that support of the safety of tixagevimab 300 mg and cilgavimab 300 mg can be drawn from the Phase I first-time-in-human (FTIH) study in which doses up to tixagevimab 1500 mg and cilgavimab 1500 mg (administered by intravenous infusion) were studied in </w:t>
      </w:r>
      <w:r w:rsidR="00B07CCC" w:rsidRPr="00C068F4">
        <w:rPr>
          <w:color w:val="000000" w:themeColor="text1"/>
        </w:rPr>
        <w:t xml:space="preserve">60 </w:t>
      </w:r>
      <w:r w:rsidRPr="00C068F4">
        <w:rPr>
          <w:color w:val="000000" w:themeColor="text1"/>
        </w:rPr>
        <w:t xml:space="preserve">healthy adult volunteers aged 18 to 55 years. </w:t>
      </w:r>
      <w:r w:rsidR="00D51475" w:rsidRPr="00C068F4">
        <w:rPr>
          <w:color w:val="000000" w:themeColor="text1"/>
        </w:rPr>
        <w:t>One placebo cohort of 10 subjects and f</w:t>
      </w:r>
      <w:r w:rsidRPr="00C068F4">
        <w:rPr>
          <w:color w:val="000000" w:themeColor="text1"/>
        </w:rPr>
        <w:t xml:space="preserve">ive </w:t>
      </w:r>
      <w:r w:rsidR="00A47E1A" w:rsidRPr="00C068F4">
        <w:rPr>
          <w:color w:val="000000" w:themeColor="text1"/>
        </w:rPr>
        <w:t xml:space="preserve">tixagevimab and cilgavimab </w:t>
      </w:r>
      <w:r w:rsidRPr="00C068F4">
        <w:rPr>
          <w:color w:val="000000" w:themeColor="text1"/>
        </w:rPr>
        <w:t>cohorts (150-150 mg IM, 150-150 mg IV, 250-250 mg IV, 1,500-1,500 mg by sequential IV infusion, 1,500-1,500 mg as a single combination IV infusion)</w:t>
      </w:r>
      <w:r w:rsidR="00A47E1A" w:rsidRPr="00C068F4">
        <w:rPr>
          <w:color w:val="000000" w:themeColor="text1"/>
        </w:rPr>
        <w:t xml:space="preserve">, </w:t>
      </w:r>
      <w:r w:rsidRPr="00C068F4">
        <w:rPr>
          <w:color w:val="000000" w:themeColor="text1"/>
        </w:rPr>
        <w:t xml:space="preserve">with 10 </w:t>
      </w:r>
      <w:r w:rsidR="0027091E" w:rsidRPr="00C068F4">
        <w:rPr>
          <w:color w:val="000000" w:themeColor="text1"/>
        </w:rPr>
        <w:t>subjects</w:t>
      </w:r>
      <w:r w:rsidRPr="00C068F4">
        <w:rPr>
          <w:color w:val="000000" w:themeColor="text1"/>
        </w:rPr>
        <w:t xml:space="preserve"> in each cohort</w:t>
      </w:r>
      <w:r w:rsidR="00C579C3" w:rsidRPr="00C068F4">
        <w:rPr>
          <w:color w:val="000000" w:themeColor="text1"/>
        </w:rPr>
        <w:t>,</w:t>
      </w:r>
      <w:r w:rsidRPr="00C068F4">
        <w:rPr>
          <w:color w:val="000000" w:themeColor="text1"/>
        </w:rPr>
        <w:t xml:space="preserve"> </w:t>
      </w:r>
      <w:r w:rsidR="0027091E" w:rsidRPr="00C068F4">
        <w:rPr>
          <w:color w:val="000000" w:themeColor="text1"/>
        </w:rPr>
        <w:t xml:space="preserve">were recruited to the study. Subjects in the tixagevimab and cilgavimab cohorts </w:t>
      </w:r>
      <w:r w:rsidRPr="00C068F4">
        <w:rPr>
          <w:color w:val="000000" w:themeColor="text1"/>
        </w:rPr>
        <w:t>had pharmacokinetic measurements conducted periodically over 1 year (blood samples for serum pharmacokinetic analysis were collected at baseline (pre-dose), mid-infusion (IV), end of dosing (IV), 8 hours post-dose, Day 2 (discharge), and post-dose follow-up Days 4, 6, 8, 15, 31 61, 91, 151, 211, 271, and 361. The submission states that no dose limiting toxicity was observed in this study.</w:t>
      </w:r>
      <w:r w:rsidR="00462893" w:rsidRPr="00C068F4">
        <w:rPr>
          <w:iCs/>
          <w:color w:val="000000" w:themeColor="text1"/>
        </w:rPr>
        <w:t xml:space="preserve"> </w:t>
      </w:r>
      <w:r w:rsidR="00C579C3" w:rsidRPr="00C068F4">
        <w:rPr>
          <w:iCs/>
          <w:color w:val="000000" w:themeColor="text1"/>
        </w:rPr>
        <w:t>T</w:t>
      </w:r>
      <w:r w:rsidR="00462893" w:rsidRPr="00C068F4">
        <w:rPr>
          <w:iCs/>
          <w:color w:val="000000" w:themeColor="text1"/>
        </w:rPr>
        <w:t>he</w:t>
      </w:r>
      <w:r w:rsidRPr="00C068F4">
        <w:rPr>
          <w:iCs/>
          <w:color w:val="000000" w:themeColor="text1"/>
        </w:rPr>
        <w:t xml:space="preserve"> </w:t>
      </w:r>
      <w:r w:rsidR="00C04AD2" w:rsidRPr="00C068F4">
        <w:rPr>
          <w:iCs/>
          <w:color w:val="000000" w:themeColor="text1"/>
        </w:rPr>
        <w:t>Sponsor</w:t>
      </w:r>
      <w:r w:rsidRPr="00C068F4">
        <w:rPr>
          <w:iCs/>
          <w:color w:val="000000" w:themeColor="text1"/>
        </w:rPr>
        <w:t xml:space="preserve"> did not provide a report of this study to permit review of the data from this study. Thus, the </w:t>
      </w:r>
      <w:r w:rsidR="00C04AD2" w:rsidRPr="00C068F4">
        <w:rPr>
          <w:iCs/>
          <w:color w:val="000000" w:themeColor="text1"/>
        </w:rPr>
        <w:t>Sponsor</w:t>
      </w:r>
      <w:r w:rsidRPr="00C068F4">
        <w:rPr>
          <w:iCs/>
          <w:color w:val="000000" w:themeColor="text1"/>
        </w:rPr>
        <w:t>’s claim no dose limiting toxicity was observed in this study could not be confirmed.</w:t>
      </w:r>
      <w:r w:rsidR="00062AEF" w:rsidRPr="00C068F4">
        <w:rPr>
          <w:iCs/>
          <w:color w:val="000000" w:themeColor="text1"/>
        </w:rPr>
        <w:t xml:space="preserve"> </w:t>
      </w:r>
      <w:r w:rsidR="00C579C3" w:rsidRPr="00C068F4">
        <w:rPr>
          <w:iCs/>
          <w:color w:val="000000" w:themeColor="text1"/>
        </w:rPr>
        <w:t>Regardless</w:t>
      </w:r>
      <w:r w:rsidR="00062AEF" w:rsidRPr="00C068F4">
        <w:rPr>
          <w:iCs/>
          <w:color w:val="000000" w:themeColor="text1"/>
        </w:rPr>
        <w:t>, given the incidence rate of cardiac disorders was 0.01 per person-year in the PROVENT trial, it would be unlik</w:t>
      </w:r>
      <w:r w:rsidR="00B07CCC" w:rsidRPr="00C068F4">
        <w:rPr>
          <w:iCs/>
          <w:color w:val="000000" w:themeColor="text1"/>
        </w:rPr>
        <w:t xml:space="preserve">ely that a study with only 60 subjects would </w:t>
      </w:r>
      <w:r w:rsidR="00F7348C" w:rsidRPr="00C068F4">
        <w:rPr>
          <w:iCs/>
          <w:color w:val="000000" w:themeColor="text1"/>
        </w:rPr>
        <w:t>show a difference in</w:t>
      </w:r>
      <w:r w:rsidR="003E05FC" w:rsidRPr="00C068F4">
        <w:rPr>
          <w:iCs/>
          <w:color w:val="000000" w:themeColor="text1"/>
        </w:rPr>
        <w:t xml:space="preserve"> the incidence of</w:t>
      </w:r>
      <w:r w:rsidR="00F7348C" w:rsidRPr="00C068F4">
        <w:rPr>
          <w:iCs/>
          <w:color w:val="000000" w:themeColor="text1"/>
        </w:rPr>
        <w:t xml:space="preserve"> cardiac disorders.</w:t>
      </w:r>
    </w:p>
    <w:p w14:paraId="01AE7BD2" w14:textId="64EB985A" w:rsidR="00CC6D64" w:rsidRPr="00C068F4" w:rsidRDefault="00231594" w:rsidP="00D86231">
      <w:pPr>
        <w:pStyle w:val="3-BodyText"/>
      </w:pPr>
      <w:bookmarkStart w:id="78" w:name="_Ref113289763"/>
      <w:r w:rsidRPr="00C068F4">
        <w:t>The revised submission also suggests that</w:t>
      </w:r>
      <w:r w:rsidR="00E648B3" w:rsidRPr="00C068F4">
        <w:t xml:space="preserve"> the clinical safety of tixagevimab 300</w:t>
      </w:r>
      <w:r w:rsidR="00797717" w:rsidRPr="00C068F4">
        <w:t> </w:t>
      </w:r>
      <w:r w:rsidR="00E648B3" w:rsidRPr="00C068F4">
        <w:t xml:space="preserve">mg and cilgavimab 300 mg is supported by safety data from the TACKLE trial. TACKLE is a Phase III treatment study in which a total of 452 non-hospitalised adult patients with mild to moderate COVID-19 </w:t>
      </w:r>
      <w:r w:rsidR="007552AD" w:rsidRPr="00C068F4">
        <w:t xml:space="preserve">were treated with </w:t>
      </w:r>
      <w:r w:rsidR="00E648B3" w:rsidRPr="00C068F4">
        <w:t xml:space="preserve">tixagevimab </w:t>
      </w:r>
      <w:r w:rsidR="007552AD" w:rsidRPr="00C068F4">
        <w:t xml:space="preserve">300 mg </w:t>
      </w:r>
      <w:r w:rsidR="00E648B3" w:rsidRPr="00C068F4">
        <w:t>and cilgavimab</w:t>
      </w:r>
      <w:r w:rsidR="007552AD" w:rsidRPr="00C068F4">
        <w:t xml:space="preserve"> 300 mg</w:t>
      </w:r>
      <w:r w:rsidR="00E648B3" w:rsidRPr="00C068F4">
        <w:t xml:space="preserve"> via intramuscular injection. The </w:t>
      </w:r>
      <w:r w:rsidR="00422D5D" w:rsidRPr="00C068F4">
        <w:t xml:space="preserve">revised submission suggests that the </w:t>
      </w:r>
      <w:r w:rsidR="00E648B3" w:rsidRPr="00C068F4">
        <w:t xml:space="preserve">overall safety profile in patients who received tixagevimab 300 mg </w:t>
      </w:r>
      <w:r w:rsidR="00422D5D" w:rsidRPr="00C068F4">
        <w:t xml:space="preserve">and </w:t>
      </w:r>
      <w:r w:rsidR="00E648B3" w:rsidRPr="00C068F4">
        <w:t xml:space="preserve">cilgavimab </w:t>
      </w:r>
      <w:r w:rsidR="00422D5D" w:rsidRPr="00C068F4">
        <w:t xml:space="preserve">300 mg </w:t>
      </w:r>
      <w:r w:rsidR="00E648B3" w:rsidRPr="00C068F4">
        <w:t xml:space="preserve">for the treatment of mild to moderate COVID-19 was similar to that reported in participants who received tixagevimab 150 mg </w:t>
      </w:r>
      <w:r w:rsidR="00422D5D" w:rsidRPr="00C068F4">
        <w:t xml:space="preserve">and </w:t>
      </w:r>
      <w:r w:rsidR="00E648B3" w:rsidRPr="00C068F4">
        <w:t xml:space="preserve">cilgavimab </w:t>
      </w:r>
      <w:r w:rsidR="00422D5D" w:rsidRPr="00C068F4">
        <w:t xml:space="preserve">150 mg </w:t>
      </w:r>
      <w:r w:rsidR="00E648B3" w:rsidRPr="00C068F4">
        <w:t>in the prophylaxis studies.</w:t>
      </w:r>
      <w:r w:rsidR="00B215DF" w:rsidRPr="00C068F4">
        <w:t xml:space="preserve"> </w:t>
      </w:r>
      <w:r w:rsidR="00132DB4">
        <w:rPr>
          <w:iCs/>
        </w:rPr>
        <w:t>T</w:t>
      </w:r>
      <w:r w:rsidR="00181ECB" w:rsidRPr="00C068F4">
        <w:rPr>
          <w:iCs/>
        </w:rPr>
        <w:t>he</w:t>
      </w:r>
      <w:r w:rsidR="009371D6" w:rsidRPr="00C068F4">
        <w:rPr>
          <w:iCs/>
        </w:rPr>
        <w:t xml:space="preserve"> </w:t>
      </w:r>
      <w:r w:rsidR="00C04AD2" w:rsidRPr="00C068F4">
        <w:rPr>
          <w:iCs/>
        </w:rPr>
        <w:t>Sponsor</w:t>
      </w:r>
      <w:r w:rsidR="009371D6" w:rsidRPr="00C068F4">
        <w:rPr>
          <w:iCs/>
        </w:rPr>
        <w:t xml:space="preserve"> did not provide a report to permit review of the data from this study</w:t>
      </w:r>
      <w:r w:rsidR="00132DB4">
        <w:rPr>
          <w:iCs/>
        </w:rPr>
        <w:t>,</w:t>
      </w:r>
      <w:r w:rsidR="009651B7" w:rsidRPr="00C068F4">
        <w:rPr>
          <w:iCs/>
        </w:rPr>
        <w:t xml:space="preserve"> however a published report</w:t>
      </w:r>
      <w:bookmarkStart w:id="79" w:name="_Ref110718191"/>
      <w:r w:rsidR="009651B7" w:rsidRPr="00C068F4">
        <w:rPr>
          <w:rStyle w:val="FootnoteReference"/>
        </w:rPr>
        <w:footnoteReference w:id="22"/>
      </w:r>
      <w:bookmarkEnd w:id="79"/>
      <w:r w:rsidR="009371D6" w:rsidRPr="00C068F4">
        <w:rPr>
          <w:iCs/>
        </w:rPr>
        <w:t xml:space="preserve"> </w:t>
      </w:r>
      <w:r w:rsidR="006D61C0" w:rsidRPr="00C068F4">
        <w:rPr>
          <w:iCs/>
        </w:rPr>
        <w:t>is available</w:t>
      </w:r>
      <w:r w:rsidR="005D1950" w:rsidRPr="00C068F4">
        <w:rPr>
          <w:iCs/>
        </w:rPr>
        <w:t xml:space="preserve">. 452 patients were recruited to the tixagevimab and cilgavimab arm of the trial and 451 patients were recruited to </w:t>
      </w:r>
      <w:r w:rsidR="005D1950" w:rsidRPr="00C068F4">
        <w:rPr>
          <w:iCs/>
        </w:rPr>
        <w:lastRenderedPageBreak/>
        <w:t>the</w:t>
      </w:r>
      <w:r w:rsidR="003E2D4E" w:rsidRPr="00C068F4">
        <w:rPr>
          <w:iCs/>
        </w:rPr>
        <w:t xml:space="preserve"> placebo arm of the trial. </w:t>
      </w:r>
      <w:r w:rsidR="00CA0FD5" w:rsidRPr="00C068F4">
        <w:rPr>
          <w:iCs/>
        </w:rPr>
        <w:t>According to Supplementary Table 4</w:t>
      </w:r>
      <w:r w:rsidR="00FC2E80" w:rsidRPr="00C068F4">
        <w:rPr>
          <w:iCs/>
        </w:rPr>
        <w:t xml:space="preserve"> of the published report, the</w:t>
      </w:r>
      <w:r w:rsidR="00BD4231" w:rsidRPr="00C068F4">
        <w:rPr>
          <w:iCs/>
        </w:rPr>
        <w:t xml:space="preserve"> number of patients reporting </w:t>
      </w:r>
      <w:r w:rsidR="00095B96" w:rsidRPr="00C068F4">
        <w:rPr>
          <w:iCs/>
        </w:rPr>
        <w:t xml:space="preserve">serious cardiac disorders was 2 (0.4%) in the tixagevimab and cilgavimab arm of the trial and </w:t>
      </w:r>
      <w:r w:rsidR="00B84C67" w:rsidRPr="00C068F4">
        <w:rPr>
          <w:iCs/>
        </w:rPr>
        <w:t>1 (0.2%) in the placebo arm at a median follow-up of 84 days.</w:t>
      </w:r>
      <w:r w:rsidR="00642A0D" w:rsidRPr="00C068F4">
        <w:rPr>
          <w:iCs/>
        </w:rPr>
        <w:t xml:space="preserve"> </w:t>
      </w:r>
      <w:r w:rsidR="005735C9" w:rsidRPr="00C068F4">
        <w:rPr>
          <w:iCs/>
        </w:rPr>
        <w:t>T</w:t>
      </w:r>
      <w:r w:rsidR="00187580" w:rsidRPr="00C068F4">
        <w:rPr>
          <w:iCs/>
        </w:rPr>
        <w:t xml:space="preserve">he incidence of serious cardiac disorders was numerically approximately double </w:t>
      </w:r>
      <w:r w:rsidR="00B5368D" w:rsidRPr="00C068F4">
        <w:rPr>
          <w:iCs/>
        </w:rPr>
        <w:t xml:space="preserve">in the </w:t>
      </w:r>
      <w:r w:rsidR="00B5368D" w:rsidRPr="00C068F4">
        <w:rPr>
          <w:iCs/>
          <w:color w:val="000000" w:themeColor="text1"/>
        </w:rPr>
        <w:t>tixagevimab and cilgavimab arm compared to</w:t>
      </w:r>
      <w:r w:rsidR="00DB07FB" w:rsidRPr="00C068F4">
        <w:rPr>
          <w:iCs/>
          <w:color w:val="000000" w:themeColor="text1"/>
        </w:rPr>
        <w:t xml:space="preserve"> the</w:t>
      </w:r>
      <w:r w:rsidR="00B5368D" w:rsidRPr="00C068F4">
        <w:rPr>
          <w:iCs/>
          <w:color w:val="000000" w:themeColor="text1"/>
        </w:rPr>
        <w:t xml:space="preserve"> </w:t>
      </w:r>
      <w:r w:rsidR="003C60D6" w:rsidRPr="00C068F4">
        <w:rPr>
          <w:iCs/>
          <w:color w:val="000000" w:themeColor="text1"/>
        </w:rPr>
        <w:t xml:space="preserve">placebo </w:t>
      </w:r>
      <w:r w:rsidR="005735C9" w:rsidRPr="00C068F4">
        <w:rPr>
          <w:iCs/>
        </w:rPr>
        <w:t>arm of the PROVENT trial so results</w:t>
      </w:r>
      <w:r w:rsidR="006F0077" w:rsidRPr="00C068F4">
        <w:rPr>
          <w:iCs/>
        </w:rPr>
        <w:t xml:space="preserve"> for serious cardiac disorder adverse events</w:t>
      </w:r>
      <w:r w:rsidR="005735C9" w:rsidRPr="00C068F4">
        <w:rPr>
          <w:iCs/>
        </w:rPr>
        <w:t xml:space="preserve"> </w:t>
      </w:r>
      <w:r w:rsidR="006F0077" w:rsidRPr="00C068F4">
        <w:rPr>
          <w:iCs/>
        </w:rPr>
        <w:t xml:space="preserve">observed in the TACKLE trial could be considered </w:t>
      </w:r>
      <w:r w:rsidR="003C60D6" w:rsidRPr="00C068F4">
        <w:rPr>
          <w:iCs/>
        </w:rPr>
        <w:t xml:space="preserve">approximately </w:t>
      </w:r>
      <w:r w:rsidR="006F0077" w:rsidRPr="00C068F4">
        <w:rPr>
          <w:iCs/>
        </w:rPr>
        <w:t>consistent with those observed in the PROVENT trial</w:t>
      </w:r>
      <w:r w:rsidR="005735C9" w:rsidRPr="00C068F4">
        <w:rPr>
          <w:iCs/>
        </w:rPr>
        <w:t xml:space="preserve"> however, a</w:t>
      </w:r>
      <w:r w:rsidR="00642A0D" w:rsidRPr="00C068F4">
        <w:rPr>
          <w:iCs/>
        </w:rPr>
        <w:t>s acknowledged by the authors of the published report</w:t>
      </w:r>
      <w:r w:rsidR="000B572A" w:rsidRPr="00C068F4">
        <w:rPr>
          <w:iCs/>
        </w:rPr>
        <w:t xml:space="preserve"> of the TACKLE trial</w:t>
      </w:r>
      <w:r w:rsidR="00642A0D" w:rsidRPr="00C068F4">
        <w:rPr>
          <w:iCs/>
        </w:rPr>
        <w:t>, the</w:t>
      </w:r>
      <w:r w:rsidR="00642A0D" w:rsidRPr="00C068F4">
        <w:rPr>
          <w:iCs/>
          <w:color w:val="000000" w:themeColor="text1"/>
        </w:rPr>
        <w:t xml:space="preserve"> duration of available data limited</w:t>
      </w:r>
      <w:r w:rsidR="00C875A1" w:rsidRPr="00C068F4">
        <w:rPr>
          <w:iCs/>
          <w:color w:val="000000" w:themeColor="text1"/>
        </w:rPr>
        <w:t xml:space="preserve"> </w:t>
      </w:r>
      <w:r w:rsidR="00642A0D" w:rsidRPr="00C068F4">
        <w:rPr>
          <w:iCs/>
          <w:color w:val="000000" w:themeColor="text1"/>
        </w:rPr>
        <w:t xml:space="preserve">interpretation of </w:t>
      </w:r>
      <w:r w:rsidR="009E7347" w:rsidRPr="00C068F4">
        <w:rPr>
          <w:iCs/>
          <w:color w:val="000000" w:themeColor="text1"/>
        </w:rPr>
        <w:t xml:space="preserve">the </w:t>
      </w:r>
      <w:r w:rsidR="00642A0D" w:rsidRPr="00C068F4">
        <w:rPr>
          <w:iCs/>
          <w:color w:val="000000" w:themeColor="text1"/>
        </w:rPr>
        <w:t>safety</w:t>
      </w:r>
      <w:r w:rsidR="00C875A1" w:rsidRPr="00C068F4">
        <w:rPr>
          <w:iCs/>
          <w:color w:val="000000" w:themeColor="text1"/>
        </w:rPr>
        <w:t xml:space="preserve"> of tixagevimab </w:t>
      </w:r>
      <w:r w:rsidR="000B572A" w:rsidRPr="00C068F4">
        <w:rPr>
          <w:iCs/>
          <w:color w:val="000000" w:themeColor="text1"/>
        </w:rPr>
        <w:t xml:space="preserve">300 mg </w:t>
      </w:r>
      <w:r w:rsidR="00C875A1" w:rsidRPr="00C068F4">
        <w:rPr>
          <w:iCs/>
          <w:color w:val="000000" w:themeColor="text1"/>
        </w:rPr>
        <w:t>and cilgavimab</w:t>
      </w:r>
      <w:r w:rsidR="000B572A" w:rsidRPr="00C068F4">
        <w:rPr>
          <w:iCs/>
          <w:color w:val="000000" w:themeColor="text1"/>
        </w:rPr>
        <w:t xml:space="preserve"> 300 mg</w:t>
      </w:r>
      <w:r w:rsidR="00C875A1" w:rsidRPr="00C068F4">
        <w:rPr>
          <w:iCs/>
          <w:color w:val="000000" w:themeColor="text1"/>
        </w:rPr>
        <w:t>.</w:t>
      </w:r>
      <w:bookmarkEnd w:id="78"/>
    </w:p>
    <w:p w14:paraId="6D8D98BB" w14:textId="11CA31C5" w:rsidR="00CA7B4D" w:rsidRPr="00C068F4" w:rsidRDefault="00B306F7" w:rsidP="00CA7B4D">
      <w:pPr>
        <w:pStyle w:val="3-BodyText"/>
      </w:pPr>
      <w:r w:rsidRPr="00C068F4">
        <w:t>The Pre-PBAC response provided a</w:t>
      </w:r>
      <w:r w:rsidR="00BC1E9F" w:rsidRPr="00C068F4">
        <w:t xml:space="preserve"> summary of cardiac SAEs </w:t>
      </w:r>
      <w:r w:rsidRPr="00C068F4">
        <w:t xml:space="preserve">reported </w:t>
      </w:r>
      <w:r w:rsidR="00BC1E9F" w:rsidRPr="00C068F4">
        <w:t xml:space="preserve">for </w:t>
      </w:r>
      <w:r w:rsidRPr="00C068F4">
        <w:t>PROVENT</w:t>
      </w:r>
      <w:r w:rsidR="00BC1E9F" w:rsidRPr="00C068F4">
        <w:t xml:space="preserve"> </w:t>
      </w:r>
      <w:r w:rsidRPr="00C068F4">
        <w:t xml:space="preserve">and three other Phase III clinical </w:t>
      </w:r>
      <w:r w:rsidR="00BC1E9F" w:rsidRPr="00C068F4">
        <w:t xml:space="preserve">studies </w:t>
      </w:r>
      <w:r w:rsidRPr="00C068F4">
        <w:t>(</w:t>
      </w:r>
      <w:r w:rsidRPr="00C068F4">
        <w:fldChar w:fldCharType="begin" w:fldLock="1"/>
      </w:r>
      <w:r w:rsidRPr="00C068F4">
        <w:instrText xml:space="preserve"> REF _Ref110714837 \h </w:instrText>
      </w:r>
      <w:r w:rsidR="00D44261" w:rsidRPr="00C068F4">
        <w:instrText xml:space="preserve"> \* MERGEFORMAT </w:instrText>
      </w:r>
      <w:r w:rsidRPr="00C068F4">
        <w:fldChar w:fldCharType="separate"/>
      </w:r>
      <w:r w:rsidR="00AB751C" w:rsidRPr="00C068F4">
        <w:t xml:space="preserve">Table </w:t>
      </w:r>
      <w:r w:rsidR="00AB751C">
        <w:t>10</w:t>
      </w:r>
      <w:r w:rsidRPr="00C068F4">
        <w:fldChar w:fldCharType="end"/>
      </w:r>
      <w:r w:rsidRPr="00C068F4">
        <w:t>).</w:t>
      </w:r>
      <w:r w:rsidR="00BC1E9F" w:rsidRPr="00C068F4">
        <w:t xml:space="preserve"> </w:t>
      </w:r>
      <w:r w:rsidR="00CA7B4D" w:rsidRPr="00C068F4">
        <w:t xml:space="preserve">The Pre-PBAC response stated that all PROVENT participants who experienced a cardiac SAE had ≥1 baseline cardiovascular risk factor or prior history of cardiac events, however did not indicate whether the risk factors and prior history were identified in advance, or if they were determined </w:t>
      </w:r>
      <w:r w:rsidR="008A50DD">
        <w:t>retrospect</w:t>
      </w:r>
      <w:r w:rsidR="00F23651">
        <w:t>ively</w:t>
      </w:r>
      <w:r w:rsidR="008A50DD">
        <w:t xml:space="preserve"> </w:t>
      </w:r>
      <w:r w:rsidR="00CA7B4D" w:rsidRPr="00C068F4">
        <w:t>upon investigation after the SAEs were reported.</w:t>
      </w:r>
      <w:r w:rsidR="001D73B0" w:rsidRPr="00C068F4">
        <w:t xml:space="preserve"> The PBAC also noted that an imbalance of risk factors between groups was not demonstrated in PROVENT. While COVID infection may increase the risk of cardiac events, this did not appear to </w:t>
      </w:r>
      <w:r w:rsidR="005F260A">
        <w:t>be consistent with</w:t>
      </w:r>
      <w:r w:rsidR="005F260A" w:rsidRPr="00C068F4">
        <w:t xml:space="preserve"> </w:t>
      </w:r>
      <w:r w:rsidR="001D73B0" w:rsidRPr="00C068F4">
        <w:t>the higher incidence of cardiac SAEs in the intervention group in PROVENT.</w:t>
      </w:r>
    </w:p>
    <w:p w14:paraId="7C82E4D1" w14:textId="127D5438" w:rsidR="00BC1E9F" w:rsidRPr="00C068F4" w:rsidRDefault="00CA7B4D" w:rsidP="00F90272">
      <w:pPr>
        <w:pStyle w:val="3-BodyText"/>
      </w:pPr>
      <w:r w:rsidRPr="00C068F4">
        <w:t>In regard to the data presented in</w:t>
      </w:r>
      <w:r w:rsidR="00500F84">
        <w:t xml:space="preserve"> Table 11</w:t>
      </w:r>
      <w:r w:rsidRPr="00C068F4">
        <w:t>, t</w:t>
      </w:r>
      <w:r w:rsidR="00D44261" w:rsidRPr="00C068F4">
        <w:t xml:space="preserve">he PBAC noted the incidence of cardiac SAEs in the </w:t>
      </w:r>
      <w:r w:rsidR="00C074AC" w:rsidRPr="00C068F4">
        <w:t xml:space="preserve">placebo </w:t>
      </w:r>
      <w:r w:rsidR="00D44261" w:rsidRPr="00C068F4">
        <w:t xml:space="preserve">group of PROVENT was similar to the control arms of other trials (STORMCHASER, TACKLE, and ACTIV-3). </w:t>
      </w:r>
      <w:r w:rsidR="00C074AC" w:rsidRPr="00C068F4">
        <w:t xml:space="preserve">However, </w:t>
      </w:r>
      <w:r w:rsidR="00D44261" w:rsidRPr="00C068F4">
        <w:t>the</w:t>
      </w:r>
      <w:r w:rsidR="00C074AC" w:rsidRPr="00C068F4">
        <w:t>se</w:t>
      </w:r>
      <w:r w:rsidR="00D44261" w:rsidRPr="00C068F4">
        <w:t xml:space="preserve"> other trials recruited smaller numbers of patients and follow-up was shorter than in PROVENT.</w:t>
      </w:r>
    </w:p>
    <w:p w14:paraId="449124C8" w14:textId="762DDC1C" w:rsidR="00BC1E9F" w:rsidRPr="00C068F4" w:rsidRDefault="008212E7" w:rsidP="0070659A">
      <w:pPr>
        <w:pStyle w:val="TableFigureHeading"/>
      </w:pPr>
      <w:r w:rsidRPr="00C068F4">
        <w:t xml:space="preserve">Table </w:t>
      </w:r>
      <w:fldSimple w:instr=" SEQ Table \* ARABIC " w:fldLock="1">
        <w:r w:rsidR="00DB55F2">
          <w:rPr>
            <w:noProof/>
          </w:rPr>
          <w:t>11</w:t>
        </w:r>
      </w:fldSimple>
      <w:r w:rsidRPr="00C068F4">
        <w:t xml:space="preserve">: </w:t>
      </w:r>
      <w:r w:rsidR="00BC1E9F" w:rsidRPr="00C068F4">
        <w:t>Cardiac SAEs occurring in Phase 3 trials of tixagevimab/cilgavimab</w:t>
      </w:r>
    </w:p>
    <w:tbl>
      <w:tblPr>
        <w:tblStyle w:val="TableGrid"/>
        <w:tblW w:w="0" w:type="auto"/>
        <w:tblLayout w:type="fixed"/>
        <w:tblLook w:val="04A0" w:firstRow="1" w:lastRow="0" w:firstColumn="1" w:lastColumn="0" w:noHBand="0" w:noVBand="1"/>
      </w:tblPr>
      <w:tblGrid>
        <w:gridCol w:w="1492"/>
        <w:gridCol w:w="766"/>
        <w:gridCol w:w="766"/>
        <w:gridCol w:w="766"/>
        <w:gridCol w:w="875"/>
        <w:gridCol w:w="876"/>
        <w:gridCol w:w="1109"/>
        <w:gridCol w:w="1183"/>
        <w:gridCol w:w="1184"/>
      </w:tblGrid>
      <w:tr w:rsidR="008212E7" w:rsidRPr="00C068F4" w14:paraId="48C685A1" w14:textId="77777777" w:rsidTr="008212E7">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3CD411" w14:textId="77777777" w:rsidR="00BC1E9F" w:rsidRPr="00C068F4" w:rsidRDefault="00BC1E9F" w:rsidP="008212E7">
            <w:pPr>
              <w:pStyle w:val="TableText0"/>
            </w:pPr>
          </w:p>
        </w:tc>
        <w:tc>
          <w:tcPr>
            <w:tcW w:w="229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047A0" w14:textId="77777777" w:rsidR="00BC1E9F" w:rsidRPr="00C068F4" w:rsidRDefault="00BC1E9F" w:rsidP="008212E7">
            <w:pPr>
              <w:pStyle w:val="In-tableHeading"/>
              <w:rPr>
                <w:lang w:val="en-AU"/>
              </w:rPr>
            </w:pPr>
            <w:r w:rsidRPr="00C068F4">
              <w:rPr>
                <w:lang w:val="en-AU"/>
              </w:rPr>
              <w:t>Number of participants</w:t>
            </w:r>
          </w:p>
        </w:tc>
        <w:tc>
          <w:tcPr>
            <w:tcW w:w="17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E8887C" w14:textId="77777777" w:rsidR="00BC1E9F" w:rsidRPr="00C068F4" w:rsidRDefault="00BC1E9F" w:rsidP="008212E7">
            <w:pPr>
              <w:pStyle w:val="In-tableHeading"/>
              <w:rPr>
                <w:lang w:val="en-AU"/>
              </w:rPr>
            </w:pPr>
            <w:r w:rsidRPr="00C068F4">
              <w:rPr>
                <w:lang w:val="en-AU"/>
              </w:rPr>
              <w:t>Case Numbers, (%)</w:t>
            </w:r>
          </w:p>
        </w:tc>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B6C22" w14:textId="31498E24" w:rsidR="00287C72" w:rsidRDefault="00BC1E9F" w:rsidP="008212E7">
            <w:pPr>
              <w:pStyle w:val="In-tableHeading"/>
              <w:rPr>
                <w:lang w:val="en-AU"/>
              </w:rPr>
            </w:pPr>
            <w:r w:rsidRPr="00C068F4">
              <w:rPr>
                <w:lang w:val="en-AU"/>
              </w:rPr>
              <w:t>EVUSHELD</w:t>
            </w:r>
          </w:p>
          <w:p w14:paraId="2A9AA09C" w14:textId="77777777" w:rsidR="00BC1E9F" w:rsidRPr="00C068F4" w:rsidRDefault="00BC1E9F" w:rsidP="008212E7">
            <w:pPr>
              <w:pStyle w:val="In-tableHeading"/>
              <w:rPr>
                <w:lang w:val="en-AU"/>
              </w:rPr>
            </w:pPr>
            <w:r w:rsidRPr="00C068F4">
              <w:rPr>
                <w:lang w:val="en-AU"/>
              </w:rPr>
              <w:t xml:space="preserve">Dose </w:t>
            </w:r>
          </w:p>
        </w:tc>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051AC" w14:textId="77777777" w:rsidR="00BC1E9F" w:rsidRPr="00C068F4" w:rsidRDefault="00BC1E9F" w:rsidP="008212E7">
            <w:pPr>
              <w:pStyle w:val="In-tableHeading"/>
              <w:rPr>
                <w:lang w:val="en-AU"/>
              </w:rPr>
            </w:pPr>
            <w:r w:rsidRPr="00C068F4">
              <w:rPr>
                <w:lang w:val="en-AU"/>
              </w:rPr>
              <w:t>Follow up, median days</w:t>
            </w:r>
          </w:p>
        </w:tc>
        <w:tc>
          <w:tcPr>
            <w:tcW w:w="11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19F485" w14:textId="77777777" w:rsidR="00BC1E9F" w:rsidRPr="00C068F4" w:rsidRDefault="00BC1E9F" w:rsidP="008212E7">
            <w:pPr>
              <w:pStyle w:val="In-tableHeading"/>
              <w:rPr>
                <w:lang w:val="en-AU"/>
              </w:rPr>
            </w:pPr>
            <w:r w:rsidRPr="00C068F4">
              <w:rPr>
                <w:lang w:val="en-AU"/>
              </w:rPr>
              <w:t>DCO</w:t>
            </w:r>
          </w:p>
        </w:tc>
      </w:tr>
      <w:tr w:rsidR="008212E7" w:rsidRPr="00C068F4" w14:paraId="088444C1" w14:textId="77777777" w:rsidTr="008212E7">
        <w:trPr>
          <w:trHeight w:val="450"/>
        </w:trPr>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01603D" w14:textId="77777777" w:rsidR="00BC1E9F" w:rsidRPr="00C068F4" w:rsidRDefault="00BC1E9F" w:rsidP="008212E7">
            <w:pPr>
              <w:pStyle w:val="TableText0"/>
            </w:pP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D5A31A" w14:textId="77777777" w:rsidR="00BC1E9F" w:rsidRPr="00C068F4" w:rsidRDefault="00BC1E9F" w:rsidP="008212E7">
            <w:pPr>
              <w:pStyle w:val="In-tableHeading"/>
              <w:rPr>
                <w:lang w:val="en-AU"/>
              </w:rPr>
            </w:pPr>
            <w:r w:rsidRPr="00C068F4">
              <w:rPr>
                <w:lang w:val="en-AU"/>
              </w:rPr>
              <w:t>EVUSHELD</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DF1D53" w14:textId="77777777" w:rsidR="00BC1E9F" w:rsidRPr="00C068F4" w:rsidRDefault="00BC1E9F" w:rsidP="008212E7">
            <w:pPr>
              <w:pStyle w:val="In-tableHeading"/>
              <w:rPr>
                <w:lang w:val="en-AU"/>
              </w:rPr>
            </w:pPr>
            <w:r w:rsidRPr="00C068F4">
              <w:rPr>
                <w:lang w:val="en-AU"/>
              </w:rPr>
              <w:t>PBO</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4D3D2" w14:textId="77777777" w:rsidR="00BC1E9F" w:rsidRPr="00C068F4" w:rsidRDefault="00BC1E9F" w:rsidP="008212E7">
            <w:pPr>
              <w:pStyle w:val="In-tableHeading"/>
              <w:rPr>
                <w:lang w:val="en-AU"/>
              </w:rPr>
            </w:pPr>
            <w:r w:rsidRPr="00C068F4">
              <w:rPr>
                <w:lang w:val="en-AU"/>
              </w:rPr>
              <w:t>Total</w:t>
            </w:r>
          </w:p>
        </w:tc>
        <w:tc>
          <w:tcPr>
            <w:tcW w:w="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EECA86" w14:textId="77777777" w:rsidR="00BC1E9F" w:rsidRPr="00C068F4" w:rsidRDefault="00BC1E9F" w:rsidP="008212E7">
            <w:pPr>
              <w:pStyle w:val="In-tableHeading"/>
              <w:rPr>
                <w:lang w:val="en-AU"/>
              </w:rPr>
            </w:pPr>
            <w:r w:rsidRPr="00C068F4">
              <w:rPr>
                <w:lang w:val="en-AU"/>
              </w:rPr>
              <w:t xml:space="preserve">EVUSHELD </w:t>
            </w:r>
          </w:p>
        </w:tc>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DC491A" w14:textId="77777777" w:rsidR="00BC1E9F" w:rsidRPr="00C068F4" w:rsidRDefault="00BC1E9F" w:rsidP="008212E7">
            <w:pPr>
              <w:pStyle w:val="In-tableHeading"/>
              <w:rPr>
                <w:lang w:val="en-AU"/>
              </w:rPr>
            </w:pPr>
            <w:r w:rsidRPr="00C068F4">
              <w:rPr>
                <w:lang w:val="en-AU"/>
              </w:rPr>
              <w:t>PBO</w:t>
            </w:r>
          </w:p>
        </w:tc>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ED3CCB" w14:textId="77777777" w:rsidR="00BC1E9F" w:rsidRPr="00C068F4" w:rsidRDefault="00BC1E9F" w:rsidP="008212E7">
            <w:pPr>
              <w:pStyle w:val="In-tableHeading"/>
              <w:rPr>
                <w:lang w:val="en-AU"/>
              </w:rPr>
            </w:pPr>
          </w:p>
        </w:tc>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42031F" w14:textId="77777777" w:rsidR="00BC1E9F" w:rsidRPr="00C068F4" w:rsidRDefault="00BC1E9F" w:rsidP="008212E7">
            <w:pPr>
              <w:pStyle w:val="In-tableHeading"/>
              <w:rPr>
                <w:lang w:val="en-AU"/>
              </w:rPr>
            </w:pPr>
          </w:p>
        </w:tc>
        <w:tc>
          <w:tcPr>
            <w:tcW w:w="11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7EB220" w14:textId="77777777" w:rsidR="00BC1E9F" w:rsidRPr="00C068F4" w:rsidRDefault="00BC1E9F" w:rsidP="008212E7">
            <w:pPr>
              <w:pStyle w:val="In-tableHeading"/>
              <w:rPr>
                <w:lang w:val="en-AU"/>
              </w:rPr>
            </w:pPr>
          </w:p>
        </w:tc>
      </w:tr>
      <w:tr w:rsidR="008212E7" w:rsidRPr="00C068F4" w14:paraId="52EFF723" w14:textId="77777777" w:rsidTr="008212E7">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4E4C65" w14:textId="77777777" w:rsidR="00BC1E9F" w:rsidRPr="00C068F4" w:rsidRDefault="00BC1E9F" w:rsidP="008212E7">
            <w:pPr>
              <w:pStyle w:val="TableText0"/>
            </w:pPr>
            <w:r w:rsidRPr="00C068F4">
              <w:t>PROVENT</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5A5F2" w14:textId="61E7E2D4" w:rsidR="00BC1E9F" w:rsidRPr="00C068F4" w:rsidRDefault="00BC1E9F" w:rsidP="008212E7">
            <w:pPr>
              <w:pStyle w:val="TableText0"/>
            </w:pPr>
            <w:r w:rsidRPr="00C068F4">
              <w:t>3</w:t>
            </w:r>
            <w:r w:rsidR="003D1D4B" w:rsidRPr="00C068F4">
              <w:t>,</w:t>
            </w:r>
            <w:r w:rsidRPr="00C068F4">
              <w:t>461</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4BF3EE" w14:textId="17F5D22F" w:rsidR="00BC1E9F" w:rsidRPr="00C068F4" w:rsidRDefault="00BC1E9F" w:rsidP="008212E7">
            <w:pPr>
              <w:pStyle w:val="TableText0"/>
            </w:pPr>
            <w:r w:rsidRPr="00C068F4">
              <w:t>1</w:t>
            </w:r>
            <w:r w:rsidR="003D1D4B" w:rsidRPr="00C068F4">
              <w:t>,</w:t>
            </w:r>
            <w:r w:rsidRPr="00C068F4">
              <w:t>736</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9C215" w14:textId="4C8D0F85" w:rsidR="00BC1E9F" w:rsidRPr="00C068F4" w:rsidRDefault="00BC1E9F" w:rsidP="008212E7">
            <w:pPr>
              <w:pStyle w:val="TableText0"/>
            </w:pPr>
            <w:r w:rsidRPr="00C068F4">
              <w:t>5</w:t>
            </w:r>
            <w:r w:rsidR="003D1D4B" w:rsidRPr="00C068F4">
              <w:t>,</w:t>
            </w:r>
            <w:r w:rsidRPr="00C068F4">
              <w:t>197</w:t>
            </w:r>
          </w:p>
        </w:tc>
        <w:tc>
          <w:tcPr>
            <w:tcW w:w="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78A8D" w14:textId="77777777" w:rsidR="00BC1E9F" w:rsidRPr="00C068F4" w:rsidRDefault="00BC1E9F" w:rsidP="008212E7">
            <w:pPr>
              <w:pStyle w:val="TableText0"/>
            </w:pPr>
            <w:r w:rsidRPr="00C068F4">
              <w:t>38 (1.1)</w:t>
            </w:r>
          </w:p>
        </w:tc>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8B24DA" w14:textId="77777777" w:rsidR="00BC1E9F" w:rsidRPr="00C068F4" w:rsidRDefault="00BC1E9F" w:rsidP="008212E7">
            <w:pPr>
              <w:pStyle w:val="TableText0"/>
            </w:pPr>
            <w:r w:rsidRPr="00C068F4">
              <w:t>8 (0.5)</w:t>
            </w:r>
          </w:p>
        </w:tc>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11B309" w14:textId="71C90CE1" w:rsidR="00BC1E9F" w:rsidRPr="00C068F4" w:rsidRDefault="00C00BD7" w:rsidP="008212E7">
            <w:pPr>
              <w:pStyle w:val="TableText0"/>
            </w:pPr>
            <w:r>
              <w:t>150-150</w:t>
            </w:r>
            <w:r w:rsidR="00BC1E9F" w:rsidRPr="00C068F4">
              <w:t>mg</w:t>
            </w:r>
          </w:p>
        </w:tc>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0E3311" w14:textId="77777777" w:rsidR="00BC1E9F" w:rsidRPr="00C068F4" w:rsidRDefault="00BC1E9F" w:rsidP="008212E7">
            <w:pPr>
              <w:pStyle w:val="TableText0"/>
            </w:pPr>
            <w:r w:rsidRPr="00C068F4">
              <w:t>414</w:t>
            </w:r>
          </w:p>
        </w:tc>
        <w:tc>
          <w:tcPr>
            <w:tcW w:w="11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C9E200" w14:textId="77777777" w:rsidR="00BC1E9F" w:rsidRPr="00C068F4" w:rsidRDefault="00BC1E9F" w:rsidP="008212E7">
            <w:pPr>
              <w:pStyle w:val="TableText0"/>
            </w:pPr>
            <w:r w:rsidRPr="00C068F4">
              <w:t>13 April 22</w:t>
            </w:r>
          </w:p>
        </w:tc>
      </w:tr>
      <w:tr w:rsidR="008212E7" w:rsidRPr="00C068F4" w14:paraId="5B018F29" w14:textId="77777777" w:rsidTr="008212E7">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8CB16" w14:textId="77777777" w:rsidR="00BC1E9F" w:rsidRPr="00C068F4" w:rsidRDefault="00BC1E9F" w:rsidP="008212E7">
            <w:pPr>
              <w:pStyle w:val="TableText0"/>
            </w:pPr>
            <w:r w:rsidRPr="00C068F4">
              <w:t>STORMCHASER</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3EEDF" w14:textId="77777777" w:rsidR="00BC1E9F" w:rsidRPr="00C068F4" w:rsidRDefault="00BC1E9F" w:rsidP="008212E7">
            <w:pPr>
              <w:pStyle w:val="TableText0"/>
            </w:pPr>
            <w:r w:rsidRPr="00C068F4">
              <w:t>749</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AFBFBA" w14:textId="77777777" w:rsidR="00BC1E9F" w:rsidRPr="00C068F4" w:rsidRDefault="00BC1E9F" w:rsidP="008212E7">
            <w:pPr>
              <w:pStyle w:val="TableText0"/>
            </w:pPr>
            <w:r w:rsidRPr="00C068F4">
              <w:t>372</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5AE677" w14:textId="5A992EDE" w:rsidR="00BC1E9F" w:rsidRPr="00C068F4" w:rsidRDefault="00BC1E9F" w:rsidP="008212E7">
            <w:pPr>
              <w:pStyle w:val="TableText0"/>
            </w:pPr>
            <w:r w:rsidRPr="00C068F4">
              <w:t>1</w:t>
            </w:r>
            <w:r w:rsidR="003D1D4B" w:rsidRPr="00C068F4">
              <w:t>,</w:t>
            </w:r>
            <w:r w:rsidRPr="00C068F4">
              <w:t>121</w:t>
            </w:r>
          </w:p>
        </w:tc>
        <w:tc>
          <w:tcPr>
            <w:tcW w:w="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816EF" w14:textId="77777777" w:rsidR="00BC1E9F" w:rsidRPr="00C068F4" w:rsidRDefault="00BC1E9F" w:rsidP="008212E7">
            <w:pPr>
              <w:pStyle w:val="TableText0"/>
            </w:pPr>
            <w:r w:rsidRPr="00C068F4">
              <w:t>0</w:t>
            </w:r>
          </w:p>
        </w:tc>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48F09" w14:textId="77777777" w:rsidR="00BC1E9F" w:rsidRPr="00C068F4" w:rsidRDefault="00BC1E9F" w:rsidP="008212E7">
            <w:pPr>
              <w:pStyle w:val="TableText0"/>
            </w:pPr>
            <w:r w:rsidRPr="00C068F4">
              <w:t>0</w:t>
            </w:r>
          </w:p>
        </w:tc>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103FA8" w14:textId="21F022F9" w:rsidR="00BC1E9F" w:rsidRPr="00C068F4" w:rsidRDefault="00C00BD7" w:rsidP="008212E7">
            <w:pPr>
              <w:pStyle w:val="TableText0"/>
            </w:pPr>
            <w:r>
              <w:t>150-150</w:t>
            </w:r>
            <w:r w:rsidR="00BC1E9F" w:rsidRPr="00C068F4">
              <w:t>mg</w:t>
            </w:r>
          </w:p>
        </w:tc>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6705BF" w14:textId="77777777" w:rsidR="00BC1E9F" w:rsidRPr="00C068F4" w:rsidRDefault="00BC1E9F" w:rsidP="008212E7">
            <w:pPr>
              <w:pStyle w:val="TableText0"/>
            </w:pPr>
            <w:r w:rsidRPr="00C068F4">
              <w:t>182</w:t>
            </w:r>
          </w:p>
        </w:tc>
        <w:tc>
          <w:tcPr>
            <w:tcW w:w="11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5431A7" w14:textId="2562672D" w:rsidR="00BC1E9F" w:rsidRPr="00C068F4" w:rsidRDefault="00BC1E9F" w:rsidP="008212E7">
            <w:pPr>
              <w:pStyle w:val="TableText0"/>
            </w:pPr>
            <w:r w:rsidRPr="00C068F4">
              <w:t>19 Aug 21</w:t>
            </w:r>
          </w:p>
        </w:tc>
      </w:tr>
      <w:tr w:rsidR="008212E7" w:rsidRPr="00C068F4" w14:paraId="25407590" w14:textId="77777777" w:rsidTr="008212E7">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DDFA46" w14:textId="15F3D62B" w:rsidR="00BC1E9F" w:rsidRPr="00C068F4" w:rsidRDefault="00BC1E9F" w:rsidP="008212E7">
            <w:pPr>
              <w:pStyle w:val="TableText0"/>
            </w:pPr>
            <w:r w:rsidRPr="00C068F4">
              <w:t>TACKLE</w:t>
            </w:r>
            <w:r w:rsidR="00B306F7" w:rsidRPr="00C068F4">
              <w:rPr>
                <w:vertAlign w:val="superscript"/>
              </w:rPr>
              <w:t>1</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D73C3B" w14:textId="77777777" w:rsidR="00BC1E9F" w:rsidRPr="00C068F4" w:rsidRDefault="00BC1E9F" w:rsidP="008212E7">
            <w:pPr>
              <w:pStyle w:val="TableText0"/>
            </w:pPr>
            <w:r w:rsidRPr="00C068F4">
              <w:t>452</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2E4D05" w14:textId="77777777" w:rsidR="00BC1E9F" w:rsidRPr="00C068F4" w:rsidRDefault="00BC1E9F" w:rsidP="008212E7">
            <w:pPr>
              <w:pStyle w:val="TableText0"/>
            </w:pPr>
            <w:r w:rsidRPr="00C068F4">
              <w:t>451</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4D8B63" w14:textId="77777777" w:rsidR="00BC1E9F" w:rsidRPr="00C068F4" w:rsidRDefault="00BC1E9F" w:rsidP="008212E7">
            <w:pPr>
              <w:pStyle w:val="TableText0"/>
            </w:pPr>
            <w:r w:rsidRPr="00C068F4">
              <w:t>903</w:t>
            </w:r>
          </w:p>
        </w:tc>
        <w:tc>
          <w:tcPr>
            <w:tcW w:w="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E9353F" w14:textId="77777777" w:rsidR="00BC1E9F" w:rsidRPr="00C068F4" w:rsidRDefault="00BC1E9F" w:rsidP="008212E7">
            <w:pPr>
              <w:pStyle w:val="TableText0"/>
            </w:pPr>
            <w:r w:rsidRPr="00C068F4">
              <w:t>2 (0.4)</w:t>
            </w:r>
          </w:p>
        </w:tc>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C9B62" w14:textId="77777777" w:rsidR="00BC1E9F" w:rsidRPr="00C068F4" w:rsidRDefault="00BC1E9F" w:rsidP="008212E7">
            <w:pPr>
              <w:pStyle w:val="TableText0"/>
            </w:pPr>
            <w:r w:rsidRPr="00C068F4">
              <w:t>3 (0.7)</w:t>
            </w:r>
          </w:p>
        </w:tc>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D1F537" w14:textId="2331F78C" w:rsidR="00BC1E9F" w:rsidRPr="00C068F4" w:rsidRDefault="00C00BD7" w:rsidP="008212E7">
            <w:pPr>
              <w:pStyle w:val="TableText0"/>
            </w:pPr>
            <w:r>
              <w:t>300-300mg</w:t>
            </w:r>
          </w:p>
        </w:tc>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B90724" w14:textId="77777777" w:rsidR="00BC1E9F" w:rsidRPr="00C068F4" w:rsidRDefault="00BC1E9F" w:rsidP="008212E7">
            <w:pPr>
              <w:pStyle w:val="TableText0"/>
            </w:pPr>
            <w:r w:rsidRPr="00C068F4">
              <w:t>170</w:t>
            </w:r>
          </w:p>
        </w:tc>
        <w:tc>
          <w:tcPr>
            <w:tcW w:w="11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53A07B" w14:textId="77777777" w:rsidR="00BC1E9F" w:rsidRPr="00C068F4" w:rsidRDefault="00BC1E9F" w:rsidP="008212E7">
            <w:pPr>
              <w:pStyle w:val="TableText0"/>
            </w:pPr>
            <w:r w:rsidRPr="00C068F4">
              <w:t>14 Jan 22</w:t>
            </w:r>
          </w:p>
        </w:tc>
      </w:tr>
      <w:tr w:rsidR="008212E7" w:rsidRPr="00C068F4" w14:paraId="49082B12" w14:textId="77777777" w:rsidTr="008212E7">
        <w:tc>
          <w:tcPr>
            <w:tcW w:w="1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AD7DA" w14:textId="3383ECCC" w:rsidR="00BC1E9F" w:rsidRPr="00C068F4" w:rsidRDefault="00BC1E9F" w:rsidP="008212E7">
            <w:pPr>
              <w:pStyle w:val="TableText0"/>
            </w:pPr>
            <w:r w:rsidRPr="00C068F4">
              <w:t>ACTIV-3</w:t>
            </w:r>
            <w:r w:rsidR="00B306F7" w:rsidRPr="00C068F4">
              <w:rPr>
                <w:vertAlign w:val="superscript"/>
              </w:rPr>
              <w:t>2</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678510" w14:textId="77777777" w:rsidR="00BC1E9F" w:rsidRPr="00C068F4" w:rsidRDefault="00BC1E9F" w:rsidP="008212E7">
            <w:pPr>
              <w:pStyle w:val="TableText0"/>
            </w:pPr>
            <w:r w:rsidRPr="00C068F4">
              <w:t>710</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87981" w14:textId="77777777" w:rsidR="00BC1E9F" w:rsidRPr="00C068F4" w:rsidRDefault="00BC1E9F" w:rsidP="008212E7">
            <w:pPr>
              <w:pStyle w:val="TableText0"/>
            </w:pPr>
            <w:r w:rsidRPr="00C068F4">
              <w:t>707</w:t>
            </w:r>
          </w:p>
        </w:tc>
        <w:tc>
          <w:tcPr>
            <w:tcW w:w="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9F04D" w14:textId="77777777" w:rsidR="00BC1E9F" w:rsidRPr="00C068F4" w:rsidRDefault="00BC1E9F" w:rsidP="008212E7">
            <w:pPr>
              <w:pStyle w:val="TableText0"/>
            </w:pPr>
            <w:r w:rsidRPr="00C068F4">
              <w:t>1417</w:t>
            </w:r>
          </w:p>
        </w:tc>
        <w:tc>
          <w:tcPr>
            <w:tcW w:w="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49AC7" w14:textId="77777777" w:rsidR="00BC1E9F" w:rsidRPr="00C068F4" w:rsidRDefault="00BC1E9F" w:rsidP="008212E7">
            <w:pPr>
              <w:pStyle w:val="TableText0"/>
            </w:pPr>
            <w:r w:rsidRPr="00C068F4">
              <w:t>5 (0.7)</w:t>
            </w:r>
          </w:p>
        </w:tc>
        <w:tc>
          <w:tcPr>
            <w:tcW w:w="8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C2B835" w14:textId="77777777" w:rsidR="00BC1E9F" w:rsidRPr="00C068F4" w:rsidRDefault="00BC1E9F" w:rsidP="008212E7">
            <w:pPr>
              <w:pStyle w:val="TableText0"/>
            </w:pPr>
            <w:r w:rsidRPr="00C068F4">
              <w:t>4 (0.6)</w:t>
            </w:r>
          </w:p>
        </w:tc>
        <w:tc>
          <w:tcPr>
            <w:tcW w:w="1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21A319" w14:textId="6FB27E8C" w:rsidR="00BC1E9F" w:rsidRPr="00C068F4" w:rsidRDefault="00C00BD7" w:rsidP="008212E7">
            <w:pPr>
              <w:pStyle w:val="TableText0"/>
            </w:pPr>
            <w:r>
              <w:t>300-300 mg</w:t>
            </w:r>
          </w:p>
        </w:tc>
        <w:tc>
          <w:tcPr>
            <w:tcW w:w="11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AA164" w14:textId="77777777" w:rsidR="00BC1E9F" w:rsidRPr="00C068F4" w:rsidRDefault="00BC1E9F" w:rsidP="008212E7">
            <w:pPr>
              <w:pStyle w:val="TableText0"/>
            </w:pPr>
            <w:r w:rsidRPr="00C068F4">
              <w:t>90</w:t>
            </w:r>
          </w:p>
        </w:tc>
        <w:tc>
          <w:tcPr>
            <w:tcW w:w="11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8E52B8" w14:textId="77777777" w:rsidR="00BC1E9F" w:rsidRPr="00C068F4" w:rsidRDefault="00BC1E9F" w:rsidP="008212E7">
            <w:pPr>
              <w:pStyle w:val="TableText0"/>
            </w:pPr>
            <w:r w:rsidRPr="00C068F4">
              <w:t>N/A</w:t>
            </w:r>
          </w:p>
        </w:tc>
      </w:tr>
    </w:tbl>
    <w:p w14:paraId="2D4FB7CF" w14:textId="2AF9F58E" w:rsidR="00B306F7" w:rsidRPr="00C068F4" w:rsidRDefault="00B306F7" w:rsidP="00C074AC">
      <w:pPr>
        <w:pStyle w:val="FooterTableFigure"/>
        <w:spacing w:after="0"/>
      </w:pPr>
      <w:r w:rsidRPr="00C068F4">
        <w:t>Source: Pre-PBAC response Table 1.</w:t>
      </w:r>
    </w:p>
    <w:p w14:paraId="706E192F" w14:textId="6636DD5D" w:rsidR="00B306F7" w:rsidRPr="00C068F4" w:rsidRDefault="003D1D4B" w:rsidP="00C074AC">
      <w:pPr>
        <w:rPr>
          <w:rFonts w:ascii="Arial Narrow" w:hAnsi="Arial Narrow"/>
          <w:snapToGrid w:val="0"/>
          <w:sz w:val="18"/>
          <w:szCs w:val="22"/>
        </w:rPr>
      </w:pPr>
      <w:r w:rsidRPr="00C068F4">
        <w:rPr>
          <w:rFonts w:ascii="Arial Narrow" w:hAnsi="Arial Narrow"/>
          <w:snapToGrid w:val="0"/>
          <w:sz w:val="18"/>
          <w:szCs w:val="22"/>
          <w:vertAlign w:val="superscript"/>
        </w:rPr>
        <w:t>1</w:t>
      </w:r>
      <w:r w:rsidRPr="00C068F4">
        <w:rPr>
          <w:rFonts w:ascii="Arial Narrow" w:hAnsi="Arial Narrow"/>
          <w:snapToGrid w:val="0"/>
          <w:sz w:val="18"/>
          <w:szCs w:val="22"/>
        </w:rPr>
        <w:t xml:space="preserve"> </w:t>
      </w:r>
      <w:r w:rsidR="00B77FB6" w:rsidRPr="00C068F4">
        <w:rPr>
          <w:rFonts w:ascii="Arial Narrow" w:hAnsi="Arial Narrow"/>
          <w:snapToGrid w:val="0"/>
          <w:sz w:val="18"/>
          <w:szCs w:val="22"/>
        </w:rPr>
        <w:t xml:space="preserve">The Pre-PBAC response stated that data for TACKLE had been updated since the publication described in paragraph </w:t>
      </w:r>
      <w:r w:rsidR="00B77FB6" w:rsidRPr="00C068F4">
        <w:rPr>
          <w:rFonts w:ascii="Arial Narrow" w:hAnsi="Arial Narrow"/>
          <w:snapToGrid w:val="0"/>
          <w:sz w:val="18"/>
          <w:szCs w:val="22"/>
        </w:rPr>
        <w:fldChar w:fldCharType="begin" w:fldLock="1"/>
      </w:r>
      <w:r w:rsidR="00B77FB6" w:rsidRPr="00C068F4">
        <w:rPr>
          <w:rFonts w:ascii="Arial Narrow" w:hAnsi="Arial Narrow"/>
          <w:snapToGrid w:val="0"/>
          <w:sz w:val="18"/>
          <w:szCs w:val="22"/>
        </w:rPr>
        <w:instrText xml:space="preserve"> REF _Ref113289763 \r \h </w:instrText>
      </w:r>
      <w:r w:rsidR="00B77FB6" w:rsidRPr="00C068F4">
        <w:rPr>
          <w:rFonts w:ascii="Arial Narrow" w:hAnsi="Arial Narrow"/>
          <w:snapToGrid w:val="0"/>
          <w:sz w:val="18"/>
          <w:szCs w:val="22"/>
        </w:rPr>
      </w:r>
      <w:r w:rsidR="00B77FB6" w:rsidRPr="00C068F4">
        <w:rPr>
          <w:rFonts w:ascii="Arial Narrow" w:hAnsi="Arial Narrow"/>
          <w:snapToGrid w:val="0"/>
          <w:sz w:val="18"/>
          <w:szCs w:val="22"/>
        </w:rPr>
        <w:fldChar w:fldCharType="separate"/>
      </w:r>
      <w:r w:rsidR="00AB751C">
        <w:rPr>
          <w:rFonts w:ascii="Arial Narrow" w:hAnsi="Arial Narrow"/>
          <w:snapToGrid w:val="0"/>
          <w:sz w:val="18"/>
          <w:szCs w:val="22"/>
        </w:rPr>
        <w:t>6.51</w:t>
      </w:r>
      <w:r w:rsidR="00B77FB6" w:rsidRPr="00C068F4">
        <w:rPr>
          <w:rFonts w:ascii="Arial Narrow" w:hAnsi="Arial Narrow"/>
          <w:snapToGrid w:val="0"/>
          <w:sz w:val="18"/>
          <w:szCs w:val="22"/>
        </w:rPr>
        <w:fldChar w:fldCharType="end"/>
      </w:r>
      <w:r w:rsidR="00B77FB6" w:rsidRPr="00C068F4">
        <w:rPr>
          <w:rFonts w:ascii="Arial Narrow" w:hAnsi="Arial Narrow"/>
          <w:snapToGrid w:val="0"/>
          <w:sz w:val="18"/>
          <w:szCs w:val="22"/>
        </w:rPr>
        <w:t>.</w:t>
      </w:r>
    </w:p>
    <w:p w14:paraId="4F75EF77" w14:textId="5CB48ABD" w:rsidR="00B306F7" w:rsidRPr="00C068F4" w:rsidRDefault="003D1D4B" w:rsidP="00C074AC">
      <w:pPr>
        <w:rPr>
          <w:rFonts w:ascii="Arial Narrow" w:hAnsi="Arial Narrow"/>
          <w:snapToGrid w:val="0"/>
          <w:sz w:val="18"/>
          <w:szCs w:val="22"/>
        </w:rPr>
      </w:pPr>
      <w:r w:rsidRPr="00C068F4">
        <w:rPr>
          <w:rFonts w:ascii="Arial Narrow" w:hAnsi="Arial Narrow"/>
          <w:snapToGrid w:val="0"/>
          <w:sz w:val="18"/>
          <w:szCs w:val="22"/>
          <w:vertAlign w:val="superscript"/>
        </w:rPr>
        <w:t>2</w:t>
      </w:r>
      <w:r w:rsidRPr="00C068F4">
        <w:rPr>
          <w:rFonts w:ascii="Arial Narrow" w:hAnsi="Arial Narrow"/>
          <w:snapToGrid w:val="0"/>
          <w:sz w:val="18"/>
          <w:szCs w:val="22"/>
        </w:rPr>
        <w:t xml:space="preserve"> S</w:t>
      </w:r>
      <w:r w:rsidR="00B306F7" w:rsidRPr="00C068F4">
        <w:rPr>
          <w:rFonts w:ascii="Arial Narrow" w:hAnsi="Arial Narrow"/>
          <w:snapToGrid w:val="0"/>
          <w:sz w:val="18"/>
          <w:szCs w:val="22"/>
        </w:rPr>
        <w:t xml:space="preserve">tudy was not </w:t>
      </w:r>
      <w:r w:rsidRPr="00C068F4">
        <w:rPr>
          <w:rFonts w:ascii="Arial Narrow" w:hAnsi="Arial Narrow"/>
          <w:snapToGrid w:val="0"/>
          <w:sz w:val="18"/>
          <w:szCs w:val="22"/>
        </w:rPr>
        <w:t>identified</w:t>
      </w:r>
      <w:r w:rsidR="00B306F7" w:rsidRPr="00C068F4">
        <w:rPr>
          <w:rFonts w:ascii="Arial Narrow" w:hAnsi="Arial Narrow"/>
          <w:snapToGrid w:val="0"/>
          <w:sz w:val="18"/>
          <w:szCs w:val="22"/>
        </w:rPr>
        <w:t xml:space="preserve"> in the submission.</w:t>
      </w:r>
    </w:p>
    <w:p w14:paraId="04908C7F" w14:textId="415B9B7D" w:rsidR="007F1017" w:rsidRPr="00C068F4" w:rsidRDefault="007F1017" w:rsidP="00D86231">
      <w:pPr>
        <w:pStyle w:val="4-SubsectionHeading"/>
      </w:pPr>
      <w:bookmarkStart w:id="80" w:name="_Toc22897643"/>
      <w:bookmarkStart w:id="81" w:name="_Toc111710317"/>
      <w:r w:rsidRPr="00C068F4">
        <w:t>Benefits/harms</w:t>
      </w:r>
      <w:bookmarkEnd w:id="80"/>
      <w:bookmarkEnd w:id="81"/>
    </w:p>
    <w:p w14:paraId="6956A70C" w14:textId="338888CF" w:rsidR="005F0704" w:rsidRPr="00C068F4" w:rsidRDefault="008B1DAD" w:rsidP="00D2155B">
      <w:pPr>
        <w:pStyle w:val="3-BodyText"/>
      </w:pPr>
      <w:bookmarkStart w:id="82" w:name="_Ref110975414"/>
      <w:r w:rsidRPr="00C068F4">
        <w:t xml:space="preserve">A summary of the comparative benefits and harms for </w:t>
      </w:r>
      <w:r w:rsidRPr="00C068F4">
        <w:rPr>
          <w:color w:val="000000" w:themeColor="text1"/>
        </w:rPr>
        <w:t xml:space="preserve">tixagevimab </w:t>
      </w:r>
      <w:r w:rsidR="00433850" w:rsidRPr="00C068F4">
        <w:rPr>
          <w:color w:val="000000" w:themeColor="text1"/>
        </w:rPr>
        <w:t xml:space="preserve">150 mg </w:t>
      </w:r>
      <w:r w:rsidRPr="00C068F4">
        <w:rPr>
          <w:color w:val="000000" w:themeColor="text1"/>
        </w:rPr>
        <w:t>and cilgavimab</w:t>
      </w:r>
      <w:r w:rsidRPr="00C068F4">
        <w:t xml:space="preserve"> </w:t>
      </w:r>
      <w:r w:rsidR="00433850" w:rsidRPr="00C068F4">
        <w:t xml:space="preserve">150 mg for PrEP against </w:t>
      </w:r>
      <w:r w:rsidR="003F7926" w:rsidRPr="00C068F4">
        <w:t xml:space="preserve">severe or critical COVID-19 </w:t>
      </w:r>
      <w:r w:rsidRPr="00C068F4">
        <w:t xml:space="preserve">versus </w:t>
      </w:r>
      <w:r w:rsidR="00433850" w:rsidRPr="00C068F4">
        <w:t>placebo</w:t>
      </w:r>
      <w:r w:rsidR="00E0353D" w:rsidRPr="00C068F4">
        <w:t xml:space="preserve"> over </w:t>
      </w:r>
      <w:r w:rsidR="00077D13" w:rsidRPr="00C068F4">
        <w:t>12 months</w:t>
      </w:r>
      <w:r w:rsidRPr="00C068F4">
        <w:t xml:space="preserve"> is presented in </w:t>
      </w:r>
      <w:r w:rsidRPr="00C068F4">
        <w:fldChar w:fldCharType="begin" w:fldLock="1"/>
      </w:r>
      <w:r w:rsidRPr="00C068F4">
        <w:instrText xml:space="preserve"> REF _Ref104805037 \h </w:instrText>
      </w:r>
      <w:r w:rsidRPr="00C068F4">
        <w:fldChar w:fldCharType="separate"/>
      </w:r>
      <w:r w:rsidR="00AB751C" w:rsidRPr="00C068F4">
        <w:t xml:space="preserve">Table </w:t>
      </w:r>
      <w:r w:rsidR="00AB751C">
        <w:rPr>
          <w:noProof/>
        </w:rPr>
        <w:t>12</w:t>
      </w:r>
      <w:r w:rsidRPr="00C068F4">
        <w:fldChar w:fldCharType="end"/>
      </w:r>
      <w:r w:rsidR="003F7926" w:rsidRPr="00C068F4">
        <w:t>.</w:t>
      </w:r>
      <w:r w:rsidR="00260948" w:rsidRPr="00C068F4">
        <w:t xml:space="preserve"> </w:t>
      </w:r>
      <w:r w:rsidR="008E1216" w:rsidRPr="00C068F4">
        <w:rPr>
          <w:iCs/>
        </w:rPr>
        <w:t>The tab</w:t>
      </w:r>
      <w:r w:rsidR="00F811E7" w:rsidRPr="00C068F4">
        <w:rPr>
          <w:iCs/>
        </w:rPr>
        <w:t xml:space="preserve">le indicates that although </w:t>
      </w:r>
      <w:r w:rsidR="00F811E7" w:rsidRPr="00C068F4">
        <w:rPr>
          <w:iCs/>
        </w:rPr>
        <w:lastRenderedPageBreak/>
        <w:t xml:space="preserve">the benefits of treatment with </w:t>
      </w:r>
      <w:r w:rsidR="00F811E7" w:rsidRPr="00C068F4">
        <w:rPr>
          <w:iCs/>
          <w:color w:val="000000" w:themeColor="text1"/>
        </w:rPr>
        <w:t>tixagevimab and cilgavimab are substantial on a relative scale,</w:t>
      </w:r>
      <w:r w:rsidR="00B42AC9" w:rsidRPr="00C068F4">
        <w:rPr>
          <w:iCs/>
          <w:color w:val="000000" w:themeColor="text1"/>
        </w:rPr>
        <w:t xml:space="preserve"> the benefits are relatively small in absolute terms. </w:t>
      </w:r>
      <w:r w:rsidR="001472C0" w:rsidRPr="00C068F4">
        <w:rPr>
          <w:iCs/>
          <w:color w:val="000000" w:themeColor="text1"/>
        </w:rPr>
        <w:t>Depending on the objective of PrEP (</w:t>
      </w:r>
      <w:r w:rsidR="00770B7F" w:rsidRPr="00C068F4">
        <w:rPr>
          <w:iCs/>
          <w:color w:val="000000" w:themeColor="text1"/>
        </w:rPr>
        <w:t>e.g.</w:t>
      </w:r>
      <w:r w:rsidR="001472C0" w:rsidRPr="00C068F4">
        <w:rPr>
          <w:iCs/>
          <w:color w:val="000000" w:themeColor="text1"/>
        </w:rPr>
        <w:t xml:space="preserve">, </w:t>
      </w:r>
      <w:r w:rsidR="00BF2F10" w:rsidRPr="00C068F4">
        <w:rPr>
          <w:iCs/>
          <w:color w:val="000000" w:themeColor="text1"/>
        </w:rPr>
        <w:t>whether</w:t>
      </w:r>
      <w:r w:rsidR="001472C0" w:rsidRPr="00C068F4">
        <w:rPr>
          <w:iCs/>
          <w:color w:val="000000" w:themeColor="text1"/>
        </w:rPr>
        <w:t xml:space="preserve"> </w:t>
      </w:r>
      <w:r w:rsidR="00770B7F" w:rsidRPr="00C068F4">
        <w:rPr>
          <w:iCs/>
          <w:color w:val="000000" w:themeColor="text1"/>
        </w:rPr>
        <w:t>the objective</w:t>
      </w:r>
      <w:r w:rsidR="001472C0" w:rsidRPr="00C068F4">
        <w:rPr>
          <w:iCs/>
          <w:color w:val="000000" w:themeColor="text1"/>
        </w:rPr>
        <w:t xml:space="preserve"> to prevent symptomatic COVID</w:t>
      </w:r>
      <w:r w:rsidR="00770B7F" w:rsidRPr="00C068F4">
        <w:rPr>
          <w:iCs/>
          <w:color w:val="000000" w:themeColor="text1"/>
        </w:rPr>
        <w:t>-19</w:t>
      </w:r>
      <w:r w:rsidR="00BF2F10" w:rsidRPr="00C068F4">
        <w:rPr>
          <w:iCs/>
          <w:color w:val="000000" w:themeColor="text1"/>
        </w:rPr>
        <w:t xml:space="preserve"> [including</w:t>
      </w:r>
      <w:r w:rsidR="00366F09" w:rsidRPr="00C068F4">
        <w:rPr>
          <w:iCs/>
          <w:color w:val="000000" w:themeColor="text1"/>
        </w:rPr>
        <w:t xml:space="preserve"> mild illness]</w:t>
      </w:r>
      <w:r w:rsidR="00770B7F" w:rsidRPr="00C068F4">
        <w:rPr>
          <w:iCs/>
          <w:color w:val="000000" w:themeColor="text1"/>
        </w:rPr>
        <w:t xml:space="preserve"> or is it to prevent serious or critical COVID-19</w:t>
      </w:r>
      <w:r w:rsidR="00BE6F11" w:rsidRPr="00C068F4">
        <w:rPr>
          <w:iCs/>
          <w:color w:val="000000" w:themeColor="text1"/>
        </w:rPr>
        <w:t>)</w:t>
      </w:r>
      <w:r w:rsidR="00A9761B" w:rsidRPr="00C068F4">
        <w:rPr>
          <w:iCs/>
          <w:color w:val="000000" w:themeColor="text1"/>
        </w:rPr>
        <w:t>, the benefit</w:t>
      </w:r>
      <w:r w:rsidR="00077D13" w:rsidRPr="00C068F4">
        <w:rPr>
          <w:iCs/>
          <w:color w:val="000000" w:themeColor="text1"/>
        </w:rPr>
        <w:t xml:space="preserve">s associated with administration of tixagevimab and cilgavimab </w:t>
      </w:r>
      <w:r w:rsidR="00A9761B" w:rsidRPr="00C068F4">
        <w:rPr>
          <w:iCs/>
          <w:color w:val="000000" w:themeColor="text1"/>
        </w:rPr>
        <w:t>may be largely outweighed by harms</w:t>
      </w:r>
      <w:r w:rsidR="00D14D01" w:rsidRPr="00C068F4">
        <w:rPr>
          <w:iCs/>
          <w:color w:val="000000" w:themeColor="text1"/>
        </w:rPr>
        <w:t>,</w:t>
      </w:r>
      <w:r w:rsidR="00A9761B" w:rsidRPr="00C068F4">
        <w:rPr>
          <w:iCs/>
          <w:color w:val="000000" w:themeColor="text1"/>
        </w:rPr>
        <w:t xml:space="preserve"> particularly in people with risk factors for cardiac disorders.</w:t>
      </w:r>
      <w:bookmarkEnd w:id="82"/>
    </w:p>
    <w:p w14:paraId="04AC1B54" w14:textId="617D60FA" w:rsidR="00B62715" w:rsidRPr="00C068F4" w:rsidRDefault="00D6076E" w:rsidP="00D6076E">
      <w:pPr>
        <w:pStyle w:val="Caption"/>
        <w:rPr>
          <w:rStyle w:val="CommentReference"/>
          <w:b/>
          <w:szCs w:val="24"/>
        </w:rPr>
      </w:pPr>
      <w:bookmarkStart w:id="83" w:name="_Ref104805037"/>
      <w:r w:rsidRPr="00C068F4">
        <w:t xml:space="preserve">Table </w:t>
      </w:r>
      <w:fldSimple w:instr=" SEQ Table \* ARABIC " w:fldLock="1">
        <w:r w:rsidR="00DB55F2">
          <w:rPr>
            <w:noProof/>
          </w:rPr>
          <w:t>12</w:t>
        </w:r>
      </w:fldSimple>
      <w:bookmarkEnd w:id="83"/>
      <w:r w:rsidRPr="00C068F4">
        <w:t xml:space="preserve">: </w:t>
      </w:r>
      <w:r w:rsidR="00B62715" w:rsidRPr="00C068F4">
        <w:rPr>
          <w:rStyle w:val="CommentReference"/>
          <w:b/>
          <w:szCs w:val="24"/>
        </w:rPr>
        <w:t xml:space="preserve">Summary of comparative benefits and harms for </w:t>
      </w:r>
      <w:r w:rsidR="002A0082" w:rsidRPr="00C068F4">
        <w:rPr>
          <w:rStyle w:val="CommentReference"/>
          <w:b/>
          <w:color w:val="000000" w:themeColor="text1"/>
          <w:szCs w:val="24"/>
        </w:rPr>
        <w:t>tixagevimab and cilgavimab</w:t>
      </w:r>
      <w:r w:rsidR="00B62715" w:rsidRPr="00C068F4">
        <w:rPr>
          <w:rStyle w:val="CommentReference"/>
          <w:b/>
          <w:szCs w:val="24"/>
        </w:rPr>
        <w:t xml:space="preserve"> and </w:t>
      </w:r>
      <w:r w:rsidR="00260948" w:rsidRPr="00C068F4">
        <w:rPr>
          <w:rStyle w:val="CommentReference"/>
          <w:b/>
          <w:szCs w:val="24"/>
        </w:rPr>
        <w:t>placebo in the PROVENT trial</w:t>
      </w:r>
    </w:p>
    <w:tbl>
      <w:tblPr>
        <w:tblW w:w="5028" w:type="pct"/>
        <w:tblLayout w:type="fixed"/>
        <w:tblCellMar>
          <w:left w:w="28" w:type="dxa"/>
          <w:right w:w="28" w:type="dxa"/>
        </w:tblCellMar>
        <w:tblLook w:val="04A0" w:firstRow="1" w:lastRow="0" w:firstColumn="1" w:lastColumn="0" w:noHBand="0" w:noVBand="1"/>
        <w:tblCaption w:val="Table 12: Summary of comparative benefits and harms for tixagevimab and cilgavimab and placebo in the PROVENT trial"/>
      </w:tblPr>
      <w:tblGrid>
        <w:gridCol w:w="1140"/>
        <w:gridCol w:w="7"/>
        <w:gridCol w:w="29"/>
        <w:gridCol w:w="11"/>
        <w:gridCol w:w="33"/>
        <w:gridCol w:w="1034"/>
        <w:gridCol w:w="9"/>
        <w:gridCol w:w="36"/>
        <w:gridCol w:w="1242"/>
        <w:gridCol w:w="45"/>
        <w:gridCol w:w="1520"/>
        <w:gridCol w:w="33"/>
        <w:gridCol w:w="1222"/>
        <w:gridCol w:w="31"/>
        <w:gridCol w:w="1095"/>
        <w:gridCol w:w="40"/>
        <w:gridCol w:w="1540"/>
      </w:tblGrid>
      <w:tr w:rsidR="00DF2845" w:rsidRPr="00C068F4" w14:paraId="0AEC7DE3" w14:textId="77777777" w:rsidTr="00DC4004">
        <w:trPr>
          <w:trHeight w:val="150"/>
          <w:tblHeader/>
        </w:trPr>
        <w:tc>
          <w:tcPr>
            <w:tcW w:w="62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9A122BB" w14:textId="293220E9" w:rsidR="00864763" w:rsidRPr="00C068F4" w:rsidRDefault="00864763" w:rsidP="00864763">
            <w:pPr>
              <w:pStyle w:val="In-tableHeading"/>
              <w:rPr>
                <w:lang w:val="en-AU"/>
              </w:rPr>
            </w:pPr>
          </w:p>
        </w:tc>
        <w:tc>
          <w:tcPr>
            <w:tcW w:w="639" w:type="pct"/>
            <w:gridSpan w:val="7"/>
            <w:vMerge w:val="restart"/>
            <w:tcBorders>
              <w:top w:val="single" w:sz="4" w:space="0" w:color="auto"/>
              <w:left w:val="single" w:sz="4" w:space="0" w:color="auto"/>
              <w:bottom w:val="single" w:sz="4" w:space="0" w:color="auto"/>
              <w:right w:val="single" w:sz="4" w:space="0" w:color="auto"/>
            </w:tcBorders>
            <w:vAlign w:val="center"/>
          </w:tcPr>
          <w:p w14:paraId="15BE4923" w14:textId="6701F06F" w:rsidR="00864763" w:rsidRPr="00C068F4" w:rsidRDefault="00864763" w:rsidP="00EB4111">
            <w:pPr>
              <w:pStyle w:val="In-tableHeading"/>
              <w:jc w:val="center"/>
              <w:rPr>
                <w:lang w:val="en-AU"/>
              </w:rPr>
            </w:pPr>
            <w:r w:rsidRPr="00C068F4">
              <w:rPr>
                <w:color w:val="000000" w:themeColor="text1"/>
                <w:lang w:val="en-AU"/>
              </w:rPr>
              <w:t>Tixagevimab 150 mg and cilgavimab 150 mg arm</w:t>
            </w:r>
          </w:p>
        </w:tc>
        <w:tc>
          <w:tcPr>
            <w:tcW w:w="710" w:type="pct"/>
            <w:gridSpan w:val="2"/>
            <w:vMerge w:val="restart"/>
            <w:tcBorders>
              <w:top w:val="single" w:sz="4" w:space="0" w:color="auto"/>
              <w:left w:val="single" w:sz="4" w:space="0" w:color="auto"/>
              <w:bottom w:val="single" w:sz="4" w:space="0" w:color="auto"/>
              <w:right w:val="single" w:sz="4" w:space="0" w:color="auto"/>
            </w:tcBorders>
            <w:vAlign w:val="center"/>
          </w:tcPr>
          <w:p w14:paraId="40087817" w14:textId="51570B50" w:rsidR="00864763" w:rsidRPr="00C068F4" w:rsidRDefault="00864763" w:rsidP="00EB4111">
            <w:pPr>
              <w:pStyle w:val="In-tableHeading"/>
              <w:jc w:val="center"/>
              <w:rPr>
                <w:lang w:val="en-AU"/>
              </w:rPr>
            </w:pPr>
            <w:r w:rsidRPr="00C068F4">
              <w:rPr>
                <w:lang w:val="en-AU"/>
              </w:rPr>
              <w:t>Placebo arm</w:t>
            </w:r>
          </w:p>
        </w:tc>
        <w:tc>
          <w:tcPr>
            <w:tcW w:w="856" w:type="pct"/>
            <w:gridSpan w:val="2"/>
            <w:vMerge w:val="restart"/>
            <w:tcBorders>
              <w:top w:val="single" w:sz="4" w:space="0" w:color="auto"/>
              <w:left w:val="single" w:sz="4" w:space="0" w:color="auto"/>
              <w:bottom w:val="single" w:sz="4" w:space="0" w:color="auto"/>
              <w:right w:val="single" w:sz="4" w:space="0" w:color="auto"/>
            </w:tcBorders>
            <w:vAlign w:val="center"/>
          </w:tcPr>
          <w:p w14:paraId="1FF3E2EC" w14:textId="74885C0D" w:rsidR="00864763" w:rsidRPr="00C068F4" w:rsidRDefault="007553A3" w:rsidP="00864763">
            <w:pPr>
              <w:pStyle w:val="In-tableHeading"/>
              <w:jc w:val="center"/>
              <w:rPr>
                <w:lang w:val="en-AU"/>
              </w:rPr>
            </w:pPr>
            <w:r w:rsidRPr="00C068F4">
              <w:rPr>
                <w:lang w:val="en-AU"/>
              </w:rPr>
              <w:t>Risk</w:t>
            </w:r>
            <w:r w:rsidR="00864763" w:rsidRPr="00C068F4">
              <w:rPr>
                <w:lang w:val="en-AU"/>
              </w:rPr>
              <w:t xml:space="preserve"> ratio</w:t>
            </w:r>
          </w:p>
          <w:p w14:paraId="6A554608" w14:textId="77777777" w:rsidR="00864763" w:rsidRPr="00C068F4" w:rsidRDefault="00864763" w:rsidP="00864763">
            <w:pPr>
              <w:pStyle w:val="In-tableHeading"/>
              <w:jc w:val="center"/>
              <w:rPr>
                <w:lang w:val="en-AU"/>
              </w:rPr>
            </w:pPr>
            <w:r w:rsidRPr="00C068F4">
              <w:rPr>
                <w:lang w:val="en-AU"/>
              </w:rPr>
              <w:t>(95% CI)</w:t>
            </w:r>
          </w:p>
        </w:tc>
        <w:tc>
          <w:tcPr>
            <w:tcW w:w="1295" w:type="pct"/>
            <w:gridSpan w:val="3"/>
            <w:tcBorders>
              <w:top w:val="single" w:sz="4" w:space="0" w:color="auto"/>
              <w:left w:val="single" w:sz="4" w:space="0" w:color="auto"/>
              <w:bottom w:val="single" w:sz="4" w:space="0" w:color="auto"/>
              <w:right w:val="single" w:sz="4" w:space="0" w:color="auto"/>
            </w:tcBorders>
            <w:vAlign w:val="center"/>
          </w:tcPr>
          <w:p w14:paraId="646C99FD" w14:textId="5DA1879F" w:rsidR="00864763" w:rsidRPr="00C068F4" w:rsidRDefault="00864763" w:rsidP="00864763">
            <w:pPr>
              <w:pStyle w:val="In-tableHeading"/>
              <w:jc w:val="center"/>
              <w:rPr>
                <w:lang w:val="en-AU"/>
              </w:rPr>
            </w:pPr>
            <w:r w:rsidRPr="00C068F4">
              <w:rPr>
                <w:lang w:val="en-AU"/>
              </w:rPr>
              <w:t xml:space="preserve">Event rate per </w:t>
            </w:r>
            <w:r w:rsidR="001408F1" w:rsidRPr="00C068F4">
              <w:rPr>
                <w:lang w:val="en-AU"/>
              </w:rPr>
              <w:t>1</w:t>
            </w:r>
            <w:r w:rsidR="00C9062D" w:rsidRPr="00C068F4">
              <w:rPr>
                <w:lang w:val="en-AU"/>
              </w:rPr>
              <w:t>0</w:t>
            </w:r>
            <w:r w:rsidR="003751A0" w:rsidRPr="00C068F4">
              <w:rPr>
                <w:lang w:val="en-AU"/>
              </w:rPr>
              <w:t>,</w:t>
            </w:r>
            <w:r w:rsidR="001408F1" w:rsidRPr="00C068F4">
              <w:rPr>
                <w:lang w:val="en-AU"/>
              </w:rPr>
              <w:t>0</w:t>
            </w:r>
            <w:r w:rsidR="007C76DF" w:rsidRPr="00C068F4">
              <w:rPr>
                <w:lang w:val="en-AU"/>
              </w:rPr>
              <w:t>0</w:t>
            </w:r>
            <w:r w:rsidR="003751A0" w:rsidRPr="00C068F4">
              <w:rPr>
                <w:lang w:val="en-AU"/>
              </w:rPr>
              <w:t>0</w:t>
            </w:r>
            <w:r w:rsidR="001408F1" w:rsidRPr="00C068F4">
              <w:rPr>
                <w:lang w:val="en-AU"/>
              </w:rPr>
              <w:t xml:space="preserve"> </w:t>
            </w:r>
            <w:r w:rsidRPr="00C068F4">
              <w:rPr>
                <w:lang w:val="en-AU"/>
              </w:rPr>
              <w:t>patient-year</w:t>
            </w:r>
            <w:r w:rsidR="001408F1" w:rsidRPr="00C068F4">
              <w:rPr>
                <w:lang w:val="en-AU"/>
              </w:rPr>
              <w:t>s</w:t>
            </w:r>
            <w:r w:rsidR="00D11E23" w:rsidRPr="00C068F4">
              <w:rPr>
                <w:lang w:val="en-AU"/>
              </w:rPr>
              <w:t>*</w:t>
            </w:r>
          </w:p>
        </w:tc>
        <w:tc>
          <w:tcPr>
            <w:tcW w:w="871" w:type="pct"/>
            <w:gridSpan w:val="2"/>
            <w:vMerge w:val="restart"/>
            <w:tcBorders>
              <w:top w:val="single" w:sz="4" w:space="0" w:color="auto"/>
              <w:left w:val="single" w:sz="4" w:space="0" w:color="auto"/>
              <w:bottom w:val="single" w:sz="4" w:space="0" w:color="auto"/>
              <w:right w:val="single" w:sz="4" w:space="0" w:color="auto"/>
            </w:tcBorders>
            <w:vAlign w:val="center"/>
          </w:tcPr>
          <w:p w14:paraId="355C6D21" w14:textId="7DA19CB1" w:rsidR="00864763" w:rsidRPr="00C068F4" w:rsidRDefault="001408F1" w:rsidP="00864763">
            <w:pPr>
              <w:pStyle w:val="In-tableHeading"/>
              <w:jc w:val="center"/>
              <w:rPr>
                <w:lang w:val="en-AU"/>
              </w:rPr>
            </w:pPr>
            <w:r w:rsidRPr="00C068F4">
              <w:rPr>
                <w:lang w:val="en-AU"/>
              </w:rPr>
              <w:t>Rate difference</w:t>
            </w:r>
            <w:r w:rsidR="006A1CDE" w:rsidRPr="00C068F4">
              <w:rPr>
                <w:lang w:val="en-AU"/>
              </w:rPr>
              <w:t xml:space="preserve"> per </w:t>
            </w:r>
            <w:r w:rsidR="004005F5" w:rsidRPr="00C068F4">
              <w:rPr>
                <w:lang w:val="en-AU"/>
              </w:rPr>
              <w:t>10,000 patient-years</w:t>
            </w:r>
          </w:p>
          <w:p w14:paraId="35D36C3F" w14:textId="77777777" w:rsidR="00864763" w:rsidRPr="00C068F4" w:rsidRDefault="00864763" w:rsidP="00864763">
            <w:pPr>
              <w:pStyle w:val="In-tableHeading"/>
              <w:jc w:val="center"/>
              <w:rPr>
                <w:lang w:val="en-AU"/>
              </w:rPr>
            </w:pPr>
            <w:r w:rsidRPr="00C068F4">
              <w:rPr>
                <w:lang w:val="en-AU"/>
              </w:rPr>
              <w:t>(95% CI)</w:t>
            </w:r>
          </w:p>
        </w:tc>
      </w:tr>
      <w:tr w:rsidR="00DF2845" w:rsidRPr="00C068F4" w14:paraId="2BC84D66" w14:textId="77777777" w:rsidTr="00DC4004">
        <w:trPr>
          <w:trHeight w:val="315"/>
        </w:trPr>
        <w:tc>
          <w:tcPr>
            <w:tcW w:w="629" w:type="pct"/>
            <w:vMerge/>
            <w:tcBorders>
              <w:top w:val="single" w:sz="4" w:space="0" w:color="auto"/>
              <w:left w:val="single" w:sz="4" w:space="0" w:color="auto"/>
              <w:bottom w:val="single" w:sz="4" w:space="0" w:color="auto"/>
              <w:right w:val="single" w:sz="4" w:space="0" w:color="auto"/>
            </w:tcBorders>
            <w:shd w:val="clear" w:color="auto" w:fill="auto"/>
            <w:vAlign w:val="center"/>
          </w:tcPr>
          <w:p w14:paraId="2DA62E81" w14:textId="77777777" w:rsidR="001408F1" w:rsidRPr="00C068F4" w:rsidRDefault="001408F1" w:rsidP="001408F1">
            <w:pPr>
              <w:pStyle w:val="In-tableHeading"/>
              <w:jc w:val="center"/>
              <w:rPr>
                <w:lang w:val="en-AU"/>
              </w:rPr>
            </w:pPr>
          </w:p>
        </w:tc>
        <w:tc>
          <w:tcPr>
            <w:tcW w:w="639" w:type="pct"/>
            <w:gridSpan w:val="7"/>
            <w:vMerge/>
            <w:tcBorders>
              <w:top w:val="single" w:sz="4" w:space="0" w:color="auto"/>
              <w:left w:val="single" w:sz="4" w:space="0" w:color="auto"/>
              <w:bottom w:val="single" w:sz="4" w:space="0" w:color="auto"/>
              <w:right w:val="single" w:sz="4" w:space="0" w:color="auto"/>
            </w:tcBorders>
            <w:vAlign w:val="center"/>
          </w:tcPr>
          <w:p w14:paraId="5B52D7D0" w14:textId="77777777" w:rsidR="001408F1" w:rsidRPr="00C068F4" w:rsidRDefault="001408F1" w:rsidP="001408F1">
            <w:pPr>
              <w:pStyle w:val="In-tableHeading"/>
              <w:jc w:val="center"/>
              <w:rPr>
                <w:lang w:val="en-AU"/>
              </w:rPr>
            </w:pPr>
          </w:p>
        </w:tc>
        <w:tc>
          <w:tcPr>
            <w:tcW w:w="710" w:type="pct"/>
            <w:gridSpan w:val="2"/>
            <w:vMerge/>
            <w:tcBorders>
              <w:top w:val="single" w:sz="4" w:space="0" w:color="auto"/>
              <w:left w:val="single" w:sz="4" w:space="0" w:color="auto"/>
              <w:bottom w:val="single" w:sz="4" w:space="0" w:color="auto"/>
              <w:right w:val="single" w:sz="4" w:space="0" w:color="auto"/>
            </w:tcBorders>
            <w:vAlign w:val="center"/>
          </w:tcPr>
          <w:p w14:paraId="142E354F" w14:textId="77777777" w:rsidR="001408F1" w:rsidRPr="00C068F4" w:rsidRDefault="001408F1" w:rsidP="001408F1">
            <w:pPr>
              <w:pStyle w:val="In-tableHeading"/>
              <w:jc w:val="center"/>
              <w:rPr>
                <w:lang w:val="en-AU"/>
              </w:rPr>
            </w:pPr>
          </w:p>
        </w:tc>
        <w:tc>
          <w:tcPr>
            <w:tcW w:w="856" w:type="pct"/>
            <w:gridSpan w:val="2"/>
            <w:vMerge/>
            <w:tcBorders>
              <w:top w:val="single" w:sz="4" w:space="0" w:color="auto"/>
              <w:left w:val="single" w:sz="4" w:space="0" w:color="auto"/>
              <w:bottom w:val="single" w:sz="4" w:space="0" w:color="auto"/>
              <w:right w:val="single" w:sz="4" w:space="0" w:color="auto"/>
            </w:tcBorders>
            <w:vAlign w:val="center"/>
          </w:tcPr>
          <w:p w14:paraId="4BBFDD02" w14:textId="77777777" w:rsidR="001408F1" w:rsidRPr="00C068F4" w:rsidRDefault="001408F1" w:rsidP="001408F1">
            <w:pPr>
              <w:pStyle w:val="In-tableHeading"/>
              <w:jc w:val="center"/>
              <w:rPr>
                <w:lang w:val="en-AU"/>
              </w:rPr>
            </w:pPr>
          </w:p>
        </w:tc>
        <w:tc>
          <w:tcPr>
            <w:tcW w:w="674" w:type="pct"/>
            <w:tcBorders>
              <w:top w:val="single" w:sz="4" w:space="0" w:color="auto"/>
              <w:left w:val="single" w:sz="4" w:space="0" w:color="auto"/>
              <w:bottom w:val="single" w:sz="4" w:space="0" w:color="auto"/>
              <w:right w:val="single" w:sz="4" w:space="0" w:color="auto"/>
            </w:tcBorders>
            <w:vAlign w:val="center"/>
          </w:tcPr>
          <w:p w14:paraId="1A8E703E" w14:textId="2D43DC65" w:rsidR="001408F1" w:rsidRPr="00C068F4" w:rsidRDefault="001408F1" w:rsidP="001408F1">
            <w:pPr>
              <w:pStyle w:val="In-tableHeading"/>
              <w:jc w:val="center"/>
              <w:rPr>
                <w:lang w:val="en-AU"/>
              </w:rPr>
            </w:pPr>
            <w:r w:rsidRPr="00C068F4">
              <w:rPr>
                <w:color w:val="000000" w:themeColor="text1"/>
                <w:lang w:val="en-AU"/>
              </w:rPr>
              <w:t>Tixagevimab 150 mg and cilgavimab 150 mg arm</w:t>
            </w:r>
          </w:p>
        </w:tc>
        <w:tc>
          <w:tcPr>
            <w:tcW w:w="621" w:type="pct"/>
            <w:gridSpan w:val="2"/>
            <w:tcBorders>
              <w:top w:val="single" w:sz="4" w:space="0" w:color="auto"/>
              <w:left w:val="single" w:sz="4" w:space="0" w:color="auto"/>
              <w:bottom w:val="single" w:sz="4" w:space="0" w:color="auto"/>
              <w:right w:val="single" w:sz="4" w:space="0" w:color="auto"/>
            </w:tcBorders>
            <w:vAlign w:val="center"/>
          </w:tcPr>
          <w:p w14:paraId="4AB0EBBD" w14:textId="49DFB42E" w:rsidR="001408F1" w:rsidRPr="00C068F4" w:rsidRDefault="001408F1" w:rsidP="001408F1">
            <w:pPr>
              <w:pStyle w:val="In-tableHeading"/>
              <w:jc w:val="center"/>
              <w:rPr>
                <w:lang w:val="en-AU"/>
              </w:rPr>
            </w:pPr>
            <w:r w:rsidRPr="00C068F4">
              <w:rPr>
                <w:lang w:val="en-AU"/>
              </w:rPr>
              <w:t>Placebo arm</w:t>
            </w:r>
          </w:p>
        </w:tc>
        <w:tc>
          <w:tcPr>
            <w:tcW w:w="871" w:type="pct"/>
            <w:gridSpan w:val="2"/>
            <w:vMerge/>
            <w:tcBorders>
              <w:top w:val="single" w:sz="4" w:space="0" w:color="auto"/>
              <w:left w:val="single" w:sz="4" w:space="0" w:color="auto"/>
              <w:bottom w:val="single" w:sz="4" w:space="0" w:color="auto"/>
              <w:right w:val="single" w:sz="4" w:space="0" w:color="auto"/>
            </w:tcBorders>
            <w:vAlign w:val="center"/>
          </w:tcPr>
          <w:p w14:paraId="00508343" w14:textId="77777777" w:rsidR="001408F1" w:rsidRPr="00C068F4" w:rsidRDefault="001408F1" w:rsidP="001408F1">
            <w:pPr>
              <w:pStyle w:val="In-tableHeading"/>
              <w:jc w:val="center"/>
              <w:rPr>
                <w:lang w:val="en-AU"/>
              </w:rPr>
            </w:pPr>
          </w:p>
        </w:tc>
      </w:tr>
      <w:tr w:rsidR="005C14C7" w:rsidRPr="00C068F4" w14:paraId="0FEB7B66" w14:textId="77777777" w:rsidTr="00DC4004">
        <w:tc>
          <w:tcPr>
            <w:tcW w:w="5000" w:type="pct"/>
            <w:gridSpan w:val="17"/>
            <w:tcBorders>
              <w:top w:val="single" w:sz="4" w:space="0" w:color="auto"/>
              <w:left w:val="single" w:sz="4" w:space="0" w:color="auto"/>
              <w:bottom w:val="double" w:sz="4" w:space="0" w:color="auto"/>
              <w:right w:val="single" w:sz="4" w:space="0" w:color="auto"/>
            </w:tcBorders>
            <w:shd w:val="clear" w:color="auto" w:fill="auto"/>
            <w:vAlign w:val="center"/>
          </w:tcPr>
          <w:p w14:paraId="7FE50486" w14:textId="2B1DC490" w:rsidR="005C14C7" w:rsidRPr="00C068F4" w:rsidRDefault="005C14C7" w:rsidP="00527929">
            <w:pPr>
              <w:pStyle w:val="In-tableHeading"/>
              <w:rPr>
                <w:lang w:val="en-AU"/>
              </w:rPr>
            </w:pPr>
            <w:r w:rsidRPr="00C068F4">
              <w:rPr>
                <w:lang w:val="en-AU"/>
              </w:rPr>
              <w:t xml:space="preserve">Benefits in the PROVENT trial at </w:t>
            </w:r>
            <w:r w:rsidR="00DE3AA6" w:rsidRPr="00C068F4">
              <w:rPr>
                <w:lang w:val="en-AU"/>
              </w:rPr>
              <w:t>6</w:t>
            </w:r>
            <w:r w:rsidRPr="00C068F4">
              <w:rPr>
                <w:lang w:val="en-AU"/>
              </w:rPr>
              <w:t xml:space="preserve"> months</w:t>
            </w:r>
            <w:r w:rsidR="00433546" w:rsidRPr="00C068F4">
              <w:rPr>
                <w:lang w:val="en-AU"/>
              </w:rPr>
              <w:t xml:space="preserve"> (as per the August 2021 DCO)</w:t>
            </w:r>
          </w:p>
        </w:tc>
      </w:tr>
      <w:tr w:rsidR="005C14C7" w:rsidRPr="00C068F4" w14:paraId="3AF04BDF" w14:textId="77777777" w:rsidTr="00DC4004">
        <w:tc>
          <w:tcPr>
            <w:tcW w:w="5000" w:type="pct"/>
            <w:gridSpan w:val="17"/>
            <w:tcBorders>
              <w:top w:val="double" w:sz="4" w:space="0" w:color="auto"/>
              <w:left w:val="single" w:sz="4" w:space="0" w:color="auto"/>
              <w:bottom w:val="single" w:sz="4" w:space="0" w:color="auto"/>
              <w:right w:val="single" w:sz="4" w:space="0" w:color="auto"/>
            </w:tcBorders>
            <w:shd w:val="clear" w:color="auto" w:fill="auto"/>
            <w:vAlign w:val="center"/>
          </w:tcPr>
          <w:p w14:paraId="57E9AF20" w14:textId="17EAE040" w:rsidR="005C14C7" w:rsidRPr="00C068F4" w:rsidRDefault="005C14C7" w:rsidP="00527929">
            <w:pPr>
              <w:pStyle w:val="In-tableHeading"/>
              <w:rPr>
                <w:lang w:val="en-AU"/>
              </w:rPr>
            </w:pPr>
            <w:r w:rsidRPr="00C068F4">
              <w:rPr>
                <w:lang w:val="en-AU"/>
              </w:rPr>
              <w:t xml:space="preserve">Symptomatic COVID-19 by </w:t>
            </w:r>
            <w:r w:rsidR="004167DF" w:rsidRPr="00C068F4">
              <w:rPr>
                <w:lang w:val="en-AU"/>
              </w:rPr>
              <w:t>6</w:t>
            </w:r>
            <w:r w:rsidRPr="00C068F4">
              <w:rPr>
                <w:lang w:val="en-AU"/>
              </w:rPr>
              <w:t xml:space="preserve"> months (regardless of unblinding or receipt of COVID-19 vaccine)</w:t>
            </w:r>
          </w:p>
        </w:tc>
      </w:tr>
      <w:tr w:rsidR="00DE3AA6" w:rsidRPr="00C068F4" w14:paraId="2305643E" w14:textId="77777777" w:rsidTr="00DC4004">
        <w:tc>
          <w:tcPr>
            <w:tcW w:w="673"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2F9B7D69" w14:textId="77777777" w:rsidR="005C14C7" w:rsidRPr="00C068F4" w:rsidRDefault="005C14C7" w:rsidP="00527929">
            <w:pPr>
              <w:pStyle w:val="TableText0"/>
            </w:pPr>
            <w:r w:rsidRPr="00C068F4">
              <w:t>PROVENT</w:t>
            </w:r>
          </w:p>
        </w:tc>
        <w:tc>
          <w:tcPr>
            <w:tcW w:w="575" w:type="pct"/>
            <w:gridSpan w:val="2"/>
            <w:tcBorders>
              <w:top w:val="single" w:sz="4" w:space="0" w:color="auto"/>
              <w:left w:val="single" w:sz="4" w:space="0" w:color="auto"/>
              <w:bottom w:val="single" w:sz="4" w:space="0" w:color="auto"/>
              <w:right w:val="single" w:sz="4" w:space="0" w:color="auto"/>
            </w:tcBorders>
            <w:vAlign w:val="center"/>
          </w:tcPr>
          <w:p w14:paraId="7B26DEFC" w14:textId="66EA826A" w:rsidR="005C14C7" w:rsidRPr="00C068F4" w:rsidRDefault="00312D22" w:rsidP="00527929">
            <w:pPr>
              <w:pStyle w:val="TableText0"/>
              <w:jc w:val="center"/>
            </w:pPr>
            <w:r w:rsidRPr="00C068F4">
              <w:t>2</w:t>
            </w:r>
            <w:r w:rsidR="00DC2E69" w:rsidRPr="00C068F4">
              <w:t>0</w:t>
            </w:r>
            <w:r w:rsidR="005C14C7" w:rsidRPr="00C068F4">
              <w:t>/3441</w:t>
            </w:r>
          </w:p>
          <w:p w14:paraId="1D457271" w14:textId="5BBC5364" w:rsidR="005C14C7" w:rsidRPr="00C068F4" w:rsidRDefault="005C14C7" w:rsidP="00527929">
            <w:pPr>
              <w:pStyle w:val="TableText0"/>
              <w:jc w:val="center"/>
            </w:pPr>
            <w:r w:rsidRPr="00C068F4">
              <w:t>(</w:t>
            </w:r>
            <w:r w:rsidR="00C060B1" w:rsidRPr="00C068F4">
              <w:t>0.6</w:t>
            </w:r>
            <w:r w:rsidRPr="00C068F4">
              <w:t>%)</w:t>
            </w:r>
          </w:p>
        </w:tc>
        <w:tc>
          <w:tcPr>
            <w:tcW w:w="705" w:type="pct"/>
            <w:gridSpan w:val="2"/>
            <w:tcBorders>
              <w:top w:val="single" w:sz="4" w:space="0" w:color="auto"/>
              <w:left w:val="single" w:sz="4" w:space="0" w:color="auto"/>
              <w:bottom w:val="single" w:sz="4" w:space="0" w:color="auto"/>
              <w:right w:val="single" w:sz="4" w:space="0" w:color="auto"/>
            </w:tcBorders>
            <w:vAlign w:val="center"/>
          </w:tcPr>
          <w:p w14:paraId="0C442D80" w14:textId="27C5D7E9" w:rsidR="005C14C7" w:rsidRPr="00C068F4" w:rsidRDefault="00312D22" w:rsidP="00527929">
            <w:pPr>
              <w:pStyle w:val="TableText0"/>
              <w:jc w:val="center"/>
            </w:pPr>
            <w:r w:rsidRPr="00C068F4">
              <w:t>4</w:t>
            </w:r>
            <w:r w:rsidR="00DC2E69" w:rsidRPr="00C068F4">
              <w:t>4</w:t>
            </w:r>
            <w:r w:rsidR="005C14C7" w:rsidRPr="00C068F4">
              <w:t>/1731</w:t>
            </w:r>
          </w:p>
          <w:p w14:paraId="2E922FD0" w14:textId="417DB971" w:rsidR="005C14C7" w:rsidRPr="00C068F4" w:rsidRDefault="005C14C7" w:rsidP="00527929">
            <w:pPr>
              <w:pStyle w:val="TableText0"/>
              <w:jc w:val="center"/>
            </w:pPr>
            <w:r w:rsidRPr="00C068F4">
              <w:t>(</w:t>
            </w:r>
            <w:r w:rsidR="008B06AC" w:rsidRPr="00C068F4">
              <w:t>2.</w:t>
            </w:r>
            <w:r w:rsidR="00DC2E69" w:rsidRPr="00C068F4">
              <w:t>5</w:t>
            </w:r>
            <w:r w:rsidRPr="00C068F4">
              <w:t>%)</w:t>
            </w:r>
          </w:p>
        </w:tc>
        <w:tc>
          <w:tcPr>
            <w:tcW w:w="863" w:type="pct"/>
            <w:gridSpan w:val="2"/>
            <w:tcBorders>
              <w:top w:val="single" w:sz="4" w:space="0" w:color="auto"/>
              <w:left w:val="single" w:sz="4" w:space="0" w:color="auto"/>
              <w:bottom w:val="single" w:sz="4" w:space="0" w:color="auto"/>
              <w:right w:val="single" w:sz="4" w:space="0" w:color="auto"/>
            </w:tcBorders>
            <w:vAlign w:val="center"/>
          </w:tcPr>
          <w:p w14:paraId="1565ABB1" w14:textId="33745E1C" w:rsidR="00E94C7C" w:rsidRPr="00C068F4" w:rsidRDefault="00A86118" w:rsidP="00527929">
            <w:pPr>
              <w:pStyle w:val="TableText0"/>
              <w:jc w:val="center"/>
            </w:pPr>
            <w:r w:rsidRPr="00C068F4">
              <w:t>0.2</w:t>
            </w:r>
            <w:r w:rsidR="001106D4" w:rsidRPr="00C068F4">
              <w:t>29</w:t>
            </w:r>
          </w:p>
          <w:p w14:paraId="0FB9CB75" w14:textId="6C285168" w:rsidR="005C14C7" w:rsidRPr="00C068F4" w:rsidRDefault="00E94C7C" w:rsidP="00527929">
            <w:pPr>
              <w:pStyle w:val="TableText0"/>
              <w:jc w:val="center"/>
            </w:pPr>
            <w:r w:rsidRPr="00C068F4">
              <w:t>(0</w:t>
            </w:r>
            <w:r w:rsidR="00A86118" w:rsidRPr="00C068F4">
              <w:t>.13</w:t>
            </w:r>
            <w:r w:rsidR="001106D4" w:rsidRPr="00C068F4">
              <w:t>5</w:t>
            </w:r>
            <w:r w:rsidRPr="00C068F4">
              <w:t>, 0</w:t>
            </w:r>
            <w:r w:rsidR="00A86118" w:rsidRPr="00C068F4">
              <w:t>.38</w:t>
            </w:r>
            <w:r w:rsidR="001106D4" w:rsidRPr="00C068F4">
              <w:t>7)</w:t>
            </w:r>
          </w:p>
        </w:tc>
        <w:tc>
          <w:tcPr>
            <w:tcW w:w="709" w:type="pct"/>
            <w:gridSpan w:val="3"/>
            <w:tcBorders>
              <w:top w:val="single" w:sz="4" w:space="0" w:color="auto"/>
              <w:left w:val="single" w:sz="4" w:space="0" w:color="auto"/>
              <w:bottom w:val="single" w:sz="4" w:space="0" w:color="auto"/>
              <w:right w:val="single" w:sz="4" w:space="0" w:color="auto"/>
            </w:tcBorders>
            <w:vAlign w:val="center"/>
          </w:tcPr>
          <w:p w14:paraId="65BF0445" w14:textId="681FA610" w:rsidR="005C14C7" w:rsidRPr="00C068F4" w:rsidRDefault="00BC7ACF" w:rsidP="00527929">
            <w:pPr>
              <w:pStyle w:val="TableText0"/>
              <w:jc w:val="center"/>
            </w:pPr>
            <w:r w:rsidRPr="00C068F4">
              <w:t>10</w:t>
            </w:r>
            <w:r w:rsidR="00393C42" w:rsidRPr="00C068F4">
              <w:t>7.1</w:t>
            </w:r>
          </w:p>
        </w:tc>
        <w:tc>
          <w:tcPr>
            <w:tcW w:w="626" w:type="pct"/>
            <w:gridSpan w:val="2"/>
            <w:tcBorders>
              <w:top w:val="single" w:sz="4" w:space="0" w:color="auto"/>
              <w:left w:val="single" w:sz="4" w:space="0" w:color="auto"/>
              <w:bottom w:val="single" w:sz="4" w:space="0" w:color="auto"/>
              <w:right w:val="single" w:sz="4" w:space="0" w:color="auto"/>
            </w:tcBorders>
            <w:vAlign w:val="center"/>
          </w:tcPr>
          <w:p w14:paraId="6C13B0D1" w14:textId="6B41C527" w:rsidR="005C14C7" w:rsidRPr="00C068F4" w:rsidRDefault="00393C42" w:rsidP="00527929">
            <w:pPr>
              <w:pStyle w:val="TableText0"/>
              <w:jc w:val="center"/>
            </w:pPr>
            <w:r w:rsidRPr="00C068F4">
              <w:t>472.0</w:t>
            </w:r>
          </w:p>
        </w:tc>
        <w:tc>
          <w:tcPr>
            <w:tcW w:w="850" w:type="pct"/>
            <w:tcBorders>
              <w:top w:val="single" w:sz="4" w:space="0" w:color="auto"/>
              <w:left w:val="single" w:sz="4" w:space="0" w:color="auto"/>
              <w:bottom w:val="single" w:sz="4" w:space="0" w:color="auto"/>
              <w:right w:val="single" w:sz="4" w:space="0" w:color="auto"/>
            </w:tcBorders>
            <w:vAlign w:val="center"/>
          </w:tcPr>
          <w:p w14:paraId="4A733564" w14:textId="652BF08E" w:rsidR="005C14C7" w:rsidRPr="00C068F4" w:rsidRDefault="005C14C7" w:rsidP="00527929">
            <w:pPr>
              <w:pStyle w:val="TableText0"/>
              <w:jc w:val="center"/>
            </w:pPr>
            <w:r w:rsidRPr="00C068F4">
              <w:t>-</w:t>
            </w:r>
            <w:r w:rsidR="00B53C78" w:rsidRPr="00C068F4">
              <w:t>364.</w:t>
            </w:r>
            <w:r w:rsidR="00B310A9" w:rsidRPr="00C068F4">
              <w:t>8</w:t>
            </w:r>
          </w:p>
          <w:p w14:paraId="40D413B9" w14:textId="3253EECE" w:rsidR="005C14C7" w:rsidRPr="00C068F4" w:rsidRDefault="005C14C7" w:rsidP="00527929">
            <w:pPr>
              <w:pStyle w:val="TableText0"/>
              <w:jc w:val="center"/>
            </w:pPr>
            <w:r w:rsidRPr="00C068F4">
              <w:t>(-</w:t>
            </w:r>
            <w:r w:rsidR="00B310A9" w:rsidRPr="00C068F4">
              <w:t>512.0</w:t>
            </w:r>
            <w:r w:rsidRPr="00C068F4">
              <w:t>, -</w:t>
            </w:r>
            <w:r w:rsidR="00B310A9" w:rsidRPr="00C068F4">
              <w:t>217.8</w:t>
            </w:r>
          </w:p>
        </w:tc>
      </w:tr>
      <w:tr w:rsidR="005C14C7" w:rsidRPr="00C068F4" w14:paraId="5125DE1D" w14:textId="77777777" w:rsidTr="00DC4004">
        <w:tc>
          <w:tcPr>
            <w:tcW w:w="5000" w:type="pct"/>
            <w:gridSpan w:val="17"/>
            <w:tcBorders>
              <w:top w:val="double" w:sz="4" w:space="0" w:color="auto"/>
              <w:left w:val="single" w:sz="4" w:space="0" w:color="auto"/>
              <w:bottom w:val="single" w:sz="4" w:space="0" w:color="auto"/>
              <w:right w:val="single" w:sz="4" w:space="0" w:color="auto"/>
            </w:tcBorders>
            <w:shd w:val="clear" w:color="auto" w:fill="auto"/>
            <w:vAlign w:val="center"/>
          </w:tcPr>
          <w:p w14:paraId="20E375AB" w14:textId="4A198984" w:rsidR="005C14C7" w:rsidRPr="00C068F4" w:rsidRDefault="005C14C7" w:rsidP="00527929">
            <w:pPr>
              <w:pStyle w:val="In-tableHeading"/>
              <w:rPr>
                <w:lang w:val="en-AU"/>
              </w:rPr>
            </w:pPr>
            <w:r w:rsidRPr="00C068F4">
              <w:rPr>
                <w:lang w:val="en-AU"/>
              </w:rPr>
              <w:t xml:space="preserve">Serious or critical COVID-19 by </w:t>
            </w:r>
            <w:r w:rsidR="00DE3AA6" w:rsidRPr="00C068F4">
              <w:rPr>
                <w:lang w:val="en-AU"/>
              </w:rPr>
              <w:t>6</w:t>
            </w:r>
            <w:r w:rsidRPr="00C068F4">
              <w:rPr>
                <w:lang w:val="en-AU"/>
              </w:rPr>
              <w:t xml:space="preserve"> months (regardless of unblinding or receipt of COVID-19 vaccine)</w:t>
            </w:r>
          </w:p>
        </w:tc>
      </w:tr>
      <w:tr w:rsidR="00DE3AA6" w:rsidRPr="00C068F4" w14:paraId="6957A72A" w14:textId="77777777" w:rsidTr="00DC4004">
        <w:tc>
          <w:tcPr>
            <w:tcW w:w="64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4C6D2D5" w14:textId="77777777" w:rsidR="005C14C7" w:rsidRPr="00C068F4" w:rsidRDefault="005C14C7" w:rsidP="00527929">
            <w:pPr>
              <w:pStyle w:val="TableText0"/>
            </w:pPr>
            <w:r w:rsidRPr="00C068F4">
              <w:t>PROVENT</w:t>
            </w:r>
          </w:p>
        </w:tc>
        <w:tc>
          <w:tcPr>
            <w:tcW w:w="599" w:type="pct"/>
            <w:gridSpan w:val="4"/>
            <w:tcBorders>
              <w:top w:val="single" w:sz="4" w:space="0" w:color="auto"/>
              <w:left w:val="single" w:sz="4" w:space="0" w:color="auto"/>
              <w:bottom w:val="single" w:sz="4" w:space="0" w:color="auto"/>
              <w:right w:val="single" w:sz="4" w:space="0" w:color="auto"/>
            </w:tcBorders>
            <w:vAlign w:val="center"/>
          </w:tcPr>
          <w:p w14:paraId="4A92F61E" w14:textId="4647FE79" w:rsidR="005C14C7" w:rsidRPr="00C068F4" w:rsidRDefault="001F5BB0" w:rsidP="00527929">
            <w:pPr>
              <w:pStyle w:val="TableText0"/>
              <w:jc w:val="center"/>
            </w:pPr>
            <w:r w:rsidRPr="00C068F4">
              <w:t>0</w:t>
            </w:r>
            <w:r w:rsidR="005C14C7" w:rsidRPr="00C068F4">
              <w:t>/3441</w:t>
            </w:r>
          </w:p>
          <w:p w14:paraId="02F8B458" w14:textId="677657A0" w:rsidR="005C14C7" w:rsidRPr="00C068F4" w:rsidRDefault="005C14C7" w:rsidP="00527929">
            <w:pPr>
              <w:pStyle w:val="TableText0"/>
              <w:jc w:val="center"/>
            </w:pPr>
            <w:r w:rsidRPr="00C068F4">
              <w:t>(0)</w:t>
            </w:r>
          </w:p>
        </w:tc>
        <w:tc>
          <w:tcPr>
            <w:tcW w:w="705" w:type="pct"/>
            <w:gridSpan w:val="2"/>
            <w:tcBorders>
              <w:top w:val="single" w:sz="4" w:space="0" w:color="auto"/>
              <w:left w:val="single" w:sz="4" w:space="0" w:color="auto"/>
              <w:bottom w:val="single" w:sz="4" w:space="0" w:color="auto"/>
              <w:right w:val="single" w:sz="4" w:space="0" w:color="auto"/>
            </w:tcBorders>
            <w:vAlign w:val="center"/>
          </w:tcPr>
          <w:p w14:paraId="1A2B4679" w14:textId="2F0BD179" w:rsidR="005C14C7" w:rsidRPr="00C068F4" w:rsidRDefault="00D60511" w:rsidP="00527929">
            <w:pPr>
              <w:pStyle w:val="TableText0"/>
              <w:jc w:val="center"/>
            </w:pPr>
            <w:r w:rsidRPr="00C068F4">
              <w:t>6</w:t>
            </w:r>
            <w:r w:rsidR="005C14C7" w:rsidRPr="00C068F4">
              <w:t>/1731</w:t>
            </w:r>
          </w:p>
          <w:p w14:paraId="093B53C6" w14:textId="76793851" w:rsidR="005C14C7" w:rsidRPr="00C068F4" w:rsidRDefault="005C14C7" w:rsidP="00527929">
            <w:pPr>
              <w:pStyle w:val="TableText0"/>
              <w:jc w:val="center"/>
            </w:pPr>
            <w:r w:rsidRPr="00C068F4">
              <w:t>(0.</w:t>
            </w:r>
            <w:r w:rsidR="00D60511" w:rsidRPr="00C068F4">
              <w:t>3</w:t>
            </w:r>
            <w:r w:rsidRPr="00C068F4">
              <w:t>%)</w:t>
            </w:r>
          </w:p>
        </w:tc>
        <w:tc>
          <w:tcPr>
            <w:tcW w:w="863" w:type="pct"/>
            <w:gridSpan w:val="2"/>
            <w:tcBorders>
              <w:top w:val="single" w:sz="4" w:space="0" w:color="auto"/>
              <w:left w:val="single" w:sz="4" w:space="0" w:color="auto"/>
              <w:bottom w:val="single" w:sz="4" w:space="0" w:color="auto"/>
              <w:right w:val="single" w:sz="4" w:space="0" w:color="auto"/>
            </w:tcBorders>
            <w:vAlign w:val="center"/>
          </w:tcPr>
          <w:p w14:paraId="3C5F167D" w14:textId="0BD2D44A" w:rsidR="005C14C7" w:rsidRPr="00C068F4" w:rsidRDefault="00D60511" w:rsidP="00527929">
            <w:pPr>
              <w:pStyle w:val="TableText0"/>
              <w:jc w:val="center"/>
            </w:pPr>
            <w:r w:rsidRPr="00C068F4">
              <w:t>Not calculable</w:t>
            </w:r>
          </w:p>
        </w:tc>
        <w:tc>
          <w:tcPr>
            <w:tcW w:w="709" w:type="pct"/>
            <w:gridSpan w:val="3"/>
            <w:tcBorders>
              <w:top w:val="single" w:sz="4" w:space="0" w:color="auto"/>
              <w:left w:val="single" w:sz="4" w:space="0" w:color="auto"/>
              <w:bottom w:val="single" w:sz="4" w:space="0" w:color="auto"/>
              <w:right w:val="single" w:sz="4" w:space="0" w:color="auto"/>
            </w:tcBorders>
            <w:vAlign w:val="center"/>
          </w:tcPr>
          <w:p w14:paraId="26EE8D68" w14:textId="325EDA5A" w:rsidR="005C14C7" w:rsidRPr="00C068F4" w:rsidRDefault="001A69CB" w:rsidP="00527929">
            <w:pPr>
              <w:pStyle w:val="TableText0"/>
              <w:jc w:val="center"/>
            </w:pPr>
            <w:r w:rsidRPr="00C068F4">
              <w:t>0</w:t>
            </w:r>
          </w:p>
        </w:tc>
        <w:tc>
          <w:tcPr>
            <w:tcW w:w="626" w:type="pct"/>
            <w:gridSpan w:val="2"/>
            <w:tcBorders>
              <w:top w:val="single" w:sz="4" w:space="0" w:color="auto"/>
              <w:left w:val="single" w:sz="4" w:space="0" w:color="auto"/>
              <w:bottom w:val="single" w:sz="4" w:space="0" w:color="auto"/>
              <w:right w:val="single" w:sz="4" w:space="0" w:color="auto"/>
            </w:tcBorders>
            <w:vAlign w:val="center"/>
          </w:tcPr>
          <w:p w14:paraId="28B39A03" w14:textId="375EF732" w:rsidR="005C14C7" w:rsidRPr="00C068F4" w:rsidRDefault="00B3587A" w:rsidP="00527929">
            <w:pPr>
              <w:pStyle w:val="TableText0"/>
              <w:jc w:val="center"/>
            </w:pPr>
            <w:r w:rsidRPr="00C068F4">
              <w:t>64.4</w:t>
            </w:r>
          </w:p>
        </w:tc>
        <w:tc>
          <w:tcPr>
            <w:tcW w:w="850" w:type="pct"/>
            <w:tcBorders>
              <w:top w:val="single" w:sz="4" w:space="0" w:color="auto"/>
              <w:left w:val="single" w:sz="4" w:space="0" w:color="auto"/>
              <w:bottom w:val="single" w:sz="4" w:space="0" w:color="auto"/>
              <w:right w:val="single" w:sz="4" w:space="0" w:color="auto"/>
            </w:tcBorders>
            <w:vAlign w:val="center"/>
          </w:tcPr>
          <w:p w14:paraId="0D2826A8" w14:textId="72A75172" w:rsidR="005C14C7" w:rsidRPr="00C068F4" w:rsidRDefault="005C14C7" w:rsidP="00527929">
            <w:pPr>
              <w:pStyle w:val="TableText0"/>
              <w:jc w:val="center"/>
            </w:pPr>
            <w:r w:rsidRPr="00C068F4">
              <w:t>-</w:t>
            </w:r>
            <w:r w:rsidR="00B3587A" w:rsidRPr="00C068F4">
              <w:t>64.4</w:t>
            </w:r>
          </w:p>
          <w:p w14:paraId="585FAC08" w14:textId="2FE96C6A" w:rsidR="005C14C7" w:rsidRPr="00C068F4" w:rsidRDefault="005C14C7" w:rsidP="00527929">
            <w:pPr>
              <w:pStyle w:val="TableText0"/>
              <w:jc w:val="center"/>
            </w:pPr>
            <w:r w:rsidRPr="00C068F4">
              <w:t>(-</w:t>
            </w:r>
            <w:r w:rsidR="008E57D1" w:rsidRPr="00C068F4">
              <w:t>115.9</w:t>
            </w:r>
            <w:r w:rsidRPr="00C068F4">
              <w:t>, -1</w:t>
            </w:r>
            <w:r w:rsidR="00F8159F" w:rsidRPr="00C068F4">
              <w:t>2</w:t>
            </w:r>
            <w:r w:rsidRPr="00C068F4">
              <w:t>.9)</w:t>
            </w:r>
          </w:p>
        </w:tc>
      </w:tr>
      <w:tr w:rsidR="005C14C7" w:rsidRPr="00C068F4" w14:paraId="50B0DD72" w14:textId="77777777" w:rsidTr="00DC4004">
        <w:tc>
          <w:tcPr>
            <w:tcW w:w="5000" w:type="pct"/>
            <w:gridSpan w:val="17"/>
            <w:tcBorders>
              <w:top w:val="double" w:sz="4" w:space="0" w:color="auto"/>
              <w:left w:val="single" w:sz="4" w:space="0" w:color="auto"/>
              <w:bottom w:val="single" w:sz="4" w:space="0" w:color="auto"/>
              <w:right w:val="single" w:sz="4" w:space="0" w:color="auto"/>
            </w:tcBorders>
            <w:shd w:val="clear" w:color="auto" w:fill="auto"/>
            <w:vAlign w:val="center"/>
          </w:tcPr>
          <w:p w14:paraId="62B4E48D" w14:textId="0CFACCF9" w:rsidR="005C14C7" w:rsidRPr="00C068F4" w:rsidRDefault="005C14C7" w:rsidP="00527929">
            <w:pPr>
              <w:pStyle w:val="In-tableHeading"/>
              <w:rPr>
                <w:lang w:val="en-AU"/>
              </w:rPr>
            </w:pPr>
            <w:r w:rsidRPr="00C068F4">
              <w:rPr>
                <w:lang w:val="en-AU"/>
              </w:rPr>
              <w:t xml:space="preserve">Harms in the PROVENT trial at </w:t>
            </w:r>
            <w:r w:rsidR="00DE3AA6" w:rsidRPr="00C068F4">
              <w:rPr>
                <w:lang w:val="en-AU"/>
              </w:rPr>
              <w:t>6</w:t>
            </w:r>
            <w:r w:rsidRPr="00C068F4">
              <w:rPr>
                <w:lang w:val="en-AU"/>
              </w:rPr>
              <w:t xml:space="preserve"> months</w:t>
            </w:r>
          </w:p>
        </w:tc>
      </w:tr>
      <w:tr w:rsidR="005C14C7" w:rsidRPr="00C068F4" w14:paraId="3B455B72" w14:textId="77777777" w:rsidTr="00DC4004">
        <w:tc>
          <w:tcPr>
            <w:tcW w:w="5000" w:type="pct"/>
            <w:gridSpan w:val="17"/>
            <w:tcBorders>
              <w:top w:val="single" w:sz="4" w:space="0" w:color="auto"/>
              <w:left w:val="single" w:sz="4" w:space="0" w:color="auto"/>
              <w:bottom w:val="single" w:sz="4" w:space="0" w:color="auto"/>
              <w:right w:val="single" w:sz="4" w:space="0" w:color="auto"/>
            </w:tcBorders>
            <w:shd w:val="clear" w:color="auto" w:fill="auto"/>
            <w:vAlign w:val="center"/>
          </w:tcPr>
          <w:p w14:paraId="2C2C51A8" w14:textId="77777777" w:rsidR="005C14C7" w:rsidRPr="00C068F4" w:rsidRDefault="005C14C7" w:rsidP="00527929">
            <w:pPr>
              <w:pStyle w:val="In-tableHeading"/>
              <w:jc w:val="both"/>
              <w:rPr>
                <w:lang w:val="en-AU"/>
              </w:rPr>
            </w:pPr>
            <w:r w:rsidRPr="00C068F4">
              <w:rPr>
                <w:lang w:val="en-AU"/>
              </w:rPr>
              <w:t>Serious cardiac disorder adverse events</w:t>
            </w:r>
          </w:p>
        </w:tc>
      </w:tr>
      <w:tr w:rsidR="00DE3AA6" w:rsidRPr="00C068F4" w14:paraId="75344127" w14:textId="77777777" w:rsidTr="00DC4004">
        <w:tc>
          <w:tcPr>
            <w:tcW w:w="65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ED1EDD7" w14:textId="77777777" w:rsidR="005C14C7" w:rsidRPr="00C068F4" w:rsidRDefault="005C14C7" w:rsidP="00527929">
            <w:pPr>
              <w:pStyle w:val="TableText0"/>
            </w:pPr>
            <w:r w:rsidRPr="00C068F4">
              <w:t>PROVENT</w:t>
            </w:r>
          </w:p>
        </w:tc>
        <w:tc>
          <w:tcPr>
            <w:tcW w:w="593" w:type="pct"/>
            <w:gridSpan w:val="3"/>
            <w:tcBorders>
              <w:top w:val="single" w:sz="4" w:space="0" w:color="auto"/>
              <w:left w:val="single" w:sz="4" w:space="0" w:color="auto"/>
              <w:bottom w:val="single" w:sz="4" w:space="0" w:color="auto"/>
              <w:right w:val="single" w:sz="4" w:space="0" w:color="auto"/>
            </w:tcBorders>
            <w:vAlign w:val="center"/>
          </w:tcPr>
          <w:p w14:paraId="069E519C" w14:textId="4777E0F6" w:rsidR="005C14C7" w:rsidRPr="00C068F4" w:rsidRDefault="006E0BC3" w:rsidP="00527929">
            <w:pPr>
              <w:pStyle w:val="TableText0"/>
              <w:jc w:val="center"/>
            </w:pPr>
            <w:r w:rsidRPr="00C068F4">
              <w:t>23</w:t>
            </w:r>
            <w:r w:rsidR="005C14C7" w:rsidRPr="00C068F4">
              <w:t>/3461</w:t>
            </w:r>
          </w:p>
          <w:p w14:paraId="02AD94EF" w14:textId="64EF831B" w:rsidR="005C14C7" w:rsidRPr="00C068F4" w:rsidRDefault="005C14C7" w:rsidP="00527929">
            <w:pPr>
              <w:pStyle w:val="TableText0"/>
              <w:jc w:val="center"/>
            </w:pPr>
            <w:r w:rsidRPr="00C068F4">
              <w:t>(</w:t>
            </w:r>
            <w:r w:rsidR="00902E38" w:rsidRPr="00C068F4">
              <w:t>0.7</w:t>
            </w:r>
            <w:r w:rsidRPr="00C068F4">
              <w:t>%)</w:t>
            </w:r>
          </w:p>
        </w:tc>
        <w:tc>
          <w:tcPr>
            <w:tcW w:w="705" w:type="pct"/>
            <w:gridSpan w:val="2"/>
            <w:tcBorders>
              <w:top w:val="single" w:sz="4" w:space="0" w:color="auto"/>
              <w:left w:val="single" w:sz="4" w:space="0" w:color="auto"/>
              <w:bottom w:val="single" w:sz="4" w:space="0" w:color="auto"/>
              <w:right w:val="single" w:sz="4" w:space="0" w:color="auto"/>
            </w:tcBorders>
            <w:vAlign w:val="center"/>
          </w:tcPr>
          <w:p w14:paraId="58373E55" w14:textId="1B8DB543" w:rsidR="005C14C7" w:rsidRPr="00C068F4" w:rsidRDefault="006E0BC3" w:rsidP="00527929">
            <w:pPr>
              <w:pStyle w:val="TableText0"/>
              <w:jc w:val="center"/>
            </w:pPr>
            <w:r w:rsidRPr="00C068F4">
              <w:t>5</w:t>
            </w:r>
            <w:r w:rsidR="005C14C7" w:rsidRPr="00C068F4">
              <w:t>/1736</w:t>
            </w:r>
          </w:p>
          <w:p w14:paraId="5A5F34D9" w14:textId="2CD01CA0" w:rsidR="005C14C7" w:rsidRPr="00C068F4" w:rsidRDefault="005C14C7" w:rsidP="00527929">
            <w:pPr>
              <w:pStyle w:val="TableText0"/>
              <w:jc w:val="center"/>
            </w:pPr>
            <w:r w:rsidRPr="00C068F4">
              <w:t>(0.</w:t>
            </w:r>
            <w:r w:rsidR="00F853F9" w:rsidRPr="00C068F4">
              <w:t>3</w:t>
            </w:r>
            <w:r w:rsidRPr="00C068F4">
              <w:t>%)</w:t>
            </w:r>
          </w:p>
        </w:tc>
        <w:tc>
          <w:tcPr>
            <w:tcW w:w="863" w:type="pct"/>
            <w:gridSpan w:val="2"/>
            <w:tcBorders>
              <w:top w:val="single" w:sz="4" w:space="0" w:color="auto"/>
              <w:left w:val="single" w:sz="4" w:space="0" w:color="auto"/>
              <w:bottom w:val="single" w:sz="4" w:space="0" w:color="auto"/>
              <w:right w:val="single" w:sz="4" w:space="0" w:color="auto"/>
            </w:tcBorders>
            <w:vAlign w:val="center"/>
          </w:tcPr>
          <w:p w14:paraId="117B3DE1" w14:textId="26FC3825" w:rsidR="005C14C7" w:rsidRPr="00C068F4" w:rsidRDefault="005C14C7" w:rsidP="00527929">
            <w:pPr>
              <w:pStyle w:val="TableText0"/>
              <w:jc w:val="center"/>
            </w:pPr>
            <w:r w:rsidRPr="00C068F4">
              <w:t>2.3</w:t>
            </w:r>
            <w:r w:rsidR="00F853F9" w:rsidRPr="00C068F4">
              <w:t>1</w:t>
            </w:r>
          </w:p>
          <w:p w14:paraId="40019A6F" w14:textId="78517B75" w:rsidR="005C14C7" w:rsidRPr="00C068F4" w:rsidRDefault="005C14C7" w:rsidP="00527929">
            <w:pPr>
              <w:pStyle w:val="TableText0"/>
              <w:jc w:val="center"/>
            </w:pPr>
            <w:r w:rsidRPr="00C068F4">
              <w:t>(</w:t>
            </w:r>
            <w:r w:rsidR="00F853F9" w:rsidRPr="00C068F4">
              <w:t>0.88</w:t>
            </w:r>
            <w:r w:rsidRPr="00C068F4">
              <w:t xml:space="preserve">, </w:t>
            </w:r>
            <w:r w:rsidR="00F853F9" w:rsidRPr="00C068F4">
              <w:t>6.0</w:t>
            </w:r>
            <w:r w:rsidR="00D843B4" w:rsidRPr="00C068F4">
              <w:t>6</w:t>
            </w:r>
            <w:r w:rsidRPr="00C068F4">
              <w:t>)</w:t>
            </w:r>
          </w:p>
        </w:tc>
        <w:tc>
          <w:tcPr>
            <w:tcW w:w="709" w:type="pct"/>
            <w:gridSpan w:val="3"/>
            <w:tcBorders>
              <w:top w:val="single" w:sz="4" w:space="0" w:color="auto"/>
              <w:left w:val="single" w:sz="4" w:space="0" w:color="auto"/>
              <w:bottom w:val="single" w:sz="4" w:space="0" w:color="auto"/>
              <w:right w:val="single" w:sz="4" w:space="0" w:color="auto"/>
            </w:tcBorders>
            <w:vAlign w:val="center"/>
          </w:tcPr>
          <w:p w14:paraId="188E68EC" w14:textId="3FED71BE" w:rsidR="005C14C7" w:rsidRPr="00C068F4" w:rsidRDefault="00C37D72" w:rsidP="00527929">
            <w:pPr>
              <w:pStyle w:val="TableText0"/>
              <w:jc w:val="center"/>
            </w:pPr>
            <w:r w:rsidRPr="00C068F4">
              <w:t>123.1</w:t>
            </w:r>
          </w:p>
        </w:tc>
        <w:tc>
          <w:tcPr>
            <w:tcW w:w="626" w:type="pct"/>
            <w:gridSpan w:val="2"/>
            <w:tcBorders>
              <w:top w:val="single" w:sz="4" w:space="0" w:color="auto"/>
              <w:left w:val="single" w:sz="4" w:space="0" w:color="auto"/>
              <w:bottom w:val="single" w:sz="4" w:space="0" w:color="auto"/>
              <w:right w:val="single" w:sz="4" w:space="0" w:color="auto"/>
            </w:tcBorders>
            <w:vAlign w:val="center"/>
          </w:tcPr>
          <w:p w14:paraId="2A5BDBFC" w14:textId="27B7DC98" w:rsidR="005C14C7" w:rsidRPr="00C068F4" w:rsidRDefault="00245B54" w:rsidP="00527929">
            <w:pPr>
              <w:pStyle w:val="TableText0"/>
              <w:jc w:val="center"/>
            </w:pPr>
            <w:r w:rsidRPr="00C068F4">
              <w:t>53.6</w:t>
            </w:r>
          </w:p>
        </w:tc>
        <w:tc>
          <w:tcPr>
            <w:tcW w:w="850" w:type="pct"/>
            <w:tcBorders>
              <w:top w:val="single" w:sz="4" w:space="0" w:color="auto"/>
              <w:left w:val="single" w:sz="4" w:space="0" w:color="auto"/>
              <w:bottom w:val="single" w:sz="4" w:space="0" w:color="auto"/>
              <w:right w:val="single" w:sz="4" w:space="0" w:color="auto"/>
            </w:tcBorders>
            <w:vAlign w:val="center"/>
          </w:tcPr>
          <w:p w14:paraId="21131982" w14:textId="61392971" w:rsidR="005C14C7" w:rsidRPr="00C068F4" w:rsidRDefault="00245B54" w:rsidP="00527929">
            <w:pPr>
              <w:pStyle w:val="TableText0"/>
              <w:jc w:val="center"/>
            </w:pPr>
            <w:r w:rsidRPr="00C068F4">
              <w:t>69.5</w:t>
            </w:r>
          </w:p>
          <w:p w14:paraId="74C64439" w14:textId="64CC412F" w:rsidR="005C14C7" w:rsidRPr="00C068F4" w:rsidRDefault="005C14C7" w:rsidP="00527929">
            <w:pPr>
              <w:pStyle w:val="TableText0"/>
              <w:jc w:val="center"/>
            </w:pPr>
            <w:r w:rsidRPr="00C068F4">
              <w:t>(</w:t>
            </w:r>
            <w:r w:rsidR="002602DE" w:rsidRPr="00C068F4">
              <w:t>0.6</w:t>
            </w:r>
            <w:r w:rsidRPr="00C068F4">
              <w:t xml:space="preserve">, </w:t>
            </w:r>
            <w:r w:rsidR="009E0A2A" w:rsidRPr="00C068F4">
              <w:t>138.3</w:t>
            </w:r>
            <w:r w:rsidRPr="00C068F4">
              <w:t>)</w:t>
            </w:r>
          </w:p>
        </w:tc>
      </w:tr>
      <w:tr w:rsidR="001408F1" w:rsidRPr="00C068F4" w14:paraId="54718D2E" w14:textId="77777777" w:rsidTr="00DC4004">
        <w:tc>
          <w:tcPr>
            <w:tcW w:w="5000" w:type="pct"/>
            <w:gridSpan w:val="17"/>
            <w:tcBorders>
              <w:top w:val="single" w:sz="4" w:space="0" w:color="auto"/>
              <w:left w:val="single" w:sz="4" w:space="0" w:color="auto"/>
              <w:bottom w:val="double" w:sz="4" w:space="0" w:color="auto"/>
              <w:right w:val="single" w:sz="4" w:space="0" w:color="auto"/>
            </w:tcBorders>
            <w:shd w:val="clear" w:color="auto" w:fill="auto"/>
            <w:vAlign w:val="center"/>
          </w:tcPr>
          <w:p w14:paraId="3E4E1467" w14:textId="6CA2BC56" w:rsidR="001408F1" w:rsidRPr="00C068F4" w:rsidRDefault="001408F1" w:rsidP="001408F1">
            <w:pPr>
              <w:pStyle w:val="In-tableHeading"/>
              <w:rPr>
                <w:lang w:val="en-AU"/>
              </w:rPr>
            </w:pPr>
            <w:r w:rsidRPr="00C068F4">
              <w:rPr>
                <w:lang w:val="en-AU"/>
              </w:rPr>
              <w:t>Benefits in the PROVENT trial</w:t>
            </w:r>
            <w:r w:rsidR="005C14C7" w:rsidRPr="00C068F4">
              <w:rPr>
                <w:lang w:val="en-AU"/>
              </w:rPr>
              <w:t xml:space="preserve"> at 12 months</w:t>
            </w:r>
          </w:p>
        </w:tc>
      </w:tr>
      <w:tr w:rsidR="00DF2845" w:rsidRPr="00C068F4" w14:paraId="6462027B" w14:textId="77777777" w:rsidTr="00DC4004">
        <w:tc>
          <w:tcPr>
            <w:tcW w:w="5000" w:type="pct"/>
            <w:gridSpan w:val="17"/>
            <w:tcBorders>
              <w:top w:val="double" w:sz="4" w:space="0" w:color="auto"/>
              <w:left w:val="single" w:sz="4" w:space="0" w:color="auto"/>
              <w:bottom w:val="single" w:sz="4" w:space="0" w:color="auto"/>
              <w:right w:val="single" w:sz="4" w:space="0" w:color="auto"/>
            </w:tcBorders>
            <w:shd w:val="clear" w:color="auto" w:fill="auto"/>
            <w:vAlign w:val="center"/>
          </w:tcPr>
          <w:p w14:paraId="55BA3A78" w14:textId="3905B70C" w:rsidR="00DF2845" w:rsidRPr="00C068F4" w:rsidRDefault="00DF2845">
            <w:pPr>
              <w:pStyle w:val="In-tableHeading"/>
              <w:rPr>
                <w:lang w:val="en-AU"/>
              </w:rPr>
            </w:pPr>
            <w:r w:rsidRPr="00C068F4">
              <w:rPr>
                <w:lang w:val="en-AU"/>
              </w:rPr>
              <w:t>Symptomatic COVID-19 by 12 months (regardless of unblinding or receipt of COVID-19 vaccine)</w:t>
            </w:r>
          </w:p>
        </w:tc>
      </w:tr>
      <w:tr w:rsidR="00DF2845" w:rsidRPr="00C068F4" w14:paraId="5199ACFD" w14:textId="77777777" w:rsidTr="00DC4004">
        <w:tc>
          <w:tcPr>
            <w:tcW w:w="64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052A96" w14:textId="77777777" w:rsidR="000A351F" w:rsidRPr="00C068F4" w:rsidRDefault="000A351F">
            <w:pPr>
              <w:pStyle w:val="TableText0"/>
            </w:pPr>
            <w:r w:rsidRPr="00C068F4">
              <w:t>PROVENT</w:t>
            </w:r>
          </w:p>
        </w:tc>
        <w:tc>
          <w:tcPr>
            <w:tcW w:w="594" w:type="pct"/>
            <w:gridSpan w:val="3"/>
            <w:tcBorders>
              <w:top w:val="single" w:sz="4" w:space="0" w:color="auto"/>
              <w:left w:val="single" w:sz="4" w:space="0" w:color="auto"/>
              <w:bottom w:val="single" w:sz="4" w:space="0" w:color="auto"/>
              <w:right w:val="single" w:sz="4" w:space="0" w:color="auto"/>
            </w:tcBorders>
            <w:vAlign w:val="center"/>
          </w:tcPr>
          <w:p w14:paraId="7F3F901C" w14:textId="1FF14FE3" w:rsidR="000A351F" w:rsidRPr="00C068F4" w:rsidRDefault="00412DBE">
            <w:pPr>
              <w:pStyle w:val="TableText0"/>
              <w:jc w:val="center"/>
            </w:pPr>
            <w:r w:rsidRPr="00C068F4">
              <w:t>281</w:t>
            </w:r>
            <w:r w:rsidR="000A351F" w:rsidRPr="00C068F4">
              <w:t>/3441</w:t>
            </w:r>
          </w:p>
          <w:p w14:paraId="44887749" w14:textId="729CED9A" w:rsidR="000A351F" w:rsidRPr="00C068F4" w:rsidRDefault="000A351F">
            <w:pPr>
              <w:pStyle w:val="TableText0"/>
              <w:jc w:val="center"/>
            </w:pPr>
            <w:r w:rsidRPr="00C068F4">
              <w:t>(</w:t>
            </w:r>
            <w:r w:rsidR="00762F98" w:rsidRPr="00C068F4">
              <w:t>8.2</w:t>
            </w:r>
            <w:r w:rsidRPr="00C068F4">
              <w:t>%)</w:t>
            </w:r>
          </w:p>
        </w:tc>
        <w:tc>
          <w:tcPr>
            <w:tcW w:w="709" w:type="pct"/>
            <w:gridSpan w:val="3"/>
            <w:tcBorders>
              <w:top w:val="single" w:sz="4" w:space="0" w:color="auto"/>
              <w:left w:val="single" w:sz="4" w:space="0" w:color="auto"/>
              <w:bottom w:val="single" w:sz="4" w:space="0" w:color="auto"/>
              <w:right w:val="single" w:sz="4" w:space="0" w:color="auto"/>
            </w:tcBorders>
            <w:vAlign w:val="center"/>
          </w:tcPr>
          <w:p w14:paraId="425501C3" w14:textId="67F44CE6" w:rsidR="000A351F" w:rsidRPr="00C068F4" w:rsidRDefault="0020532E">
            <w:pPr>
              <w:pStyle w:val="TableText0"/>
              <w:jc w:val="center"/>
            </w:pPr>
            <w:r w:rsidRPr="00C068F4">
              <w:t>164</w:t>
            </w:r>
            <w:r w:rsidR="000A351F" w:rsidRPr="00C068F4">
              <w:t>/</w:t>
            </w:r>
            <w:r w:rsidR="001A06DD" w:rsidRPr="00C068F4">
              <w:t>1731</w:t>
            </w:r>
          </w:p>
          <w:p w14:paraId="5231724D" w14:textId="1B75D7A2" w:rsidR="000A351F" w:rsidRPr="00C068F4" w:rsidRDefault="000A351F">
            <w:pPr>
              <w:pStyle w:val="TableText0"/>
              <w:jc w:val="center"/>
            </w:pPr>
            <w:r w:rsidRPr="00C068F4">
              <w:t>(</w:t>
            </w:r>
            <w:r w:rsidR="00762F98" w:rsidRPr="00C068F4">
              <w:t>9.5</w:t>
            </w:r>
            <w:r w:rsidRPr="00C068F4">
              <w:t>%)</w:t>
            </w:r>
          </w:p>
        </w:tc>
        <w:tc>
          <w:tcPr>
            <w:tcW w:w="863" w:type="pct"/>
            <w:gridSpan w:val="2"/>
            <w:tcBorders>
              <w:top w:val="single" w:sz="4" w:space="0" w:color="auto"/>
              <w:left w:val="single" w:sz="4" w:space="0" w:color="auto"/>
              <w:bottom w:val="single" w:sz="4" w:space="0" w:color="auto"/>
              <w:right w:val="single" w:sz="4" w:space="0" w:color="auto"/>
            </w:tcBorders>
            <w:vAlign w:val="center"/>
          </w:tcPr>
          <w:p w14:paraId="4DFAD35B" w14:textId="4464F711" w:rsidR="000A351F" w:rsidRPr="00C068F4" w:rsidRDefault="006D389C">
            <w:pPr>
              <w:pStyle w:val="TableText0"/>
              <w:jc w:val="center"/>
            </w:pPr>
            <w:r w:rsidRPr="00C068F4">
              <w:t>0.</w:t>
            </w:r>
            <w:r w:rsidR="00902E4C" w:rsidRPr="00C068F4">
              <w:t>862</w:t>
            </w:r>
          </w:p>
          <w:p w14:paraId="2A8B2CAA" w14:textId="38A82B91" w:rsidR="000A351F" w:rsidRPr="00C068F4" w:rsidRDefault="000A351F">
            <w:pPr>
              <w:pStyle w:val="TableText0"/>
              <w:jc w:val="center"/>
            </w:pPr>
            <w:r w:rsidRPr="00C068F4">
              <w:t>(0.</w:t>
            </w:r>
            <w:r w:rsidR="00BC7002" w:rsidRPr="00C068F4">
              <w:t>717</w:t>
            </w:r>
            <w:r w:rsidRPr="00C068F4">
              <w:t xml:space="preserve">, </w:t>
            </w:r>
            <w:r w:rsidR="00BC7002" w:rsidRPr="00C068F4">
              <w:t>1.04</w:t>
            </w:r>
            <w:r w:rsidRPr="00C068F4">
              <w:t>)</w:t>
            </w:r>
          </w:p>
        </w:tc>
        <w:tc>
          <w:tcPr>
            <w:tcW w:w="709" w:type="pct"/>
            <w:gridSpan w:val="3"/>
            <w:tcBorders>
              <w:top w:val="single" w:sz="4" w:space="0" w:color="auto"/>
              <w:left w:val="single" w:sz="4" w:space="0" w:color="auto"/>
              <w:bottom w:val="single" w:sz="4" w:space="0" w:color="auto"/>
              <w:right w:val="single" w:sz="4" w:space="0" w:color="auto"/>
            </w:tcBorders>
            <w:vAlign w:val="center"/>
          </w:tcPr>
          <w:p w14:paraId="383D5119" w14:textId="37278FF0" w:rsidR="000A351F" w:rsidRPr="00C068F4" w:rsidRDefault="006F47ED">
            <w:pPr>
              <w:pStyle w:val="TableText0"/>
              <w:jc w:val="center"/>
            </w:pPr>
            <w:r w:rsidRPr="00C068F4">
              <w:t>743.1</w:t>
            </w:r>
          </w:p>
        </w:tc>
        <w:tc>
          <w:tcPr>
            <w:tcW w:w="626" w:type="pct"/>
            <w:gridSpan w:val="2"/>
            <w:tcBorders>
              <w:top w:val="single" w:sz="4" w:space="0" w:color="auto"/>
              <w:left w:val="single" w:sz="4" w:space="0" w:color="auto"/>
              <w:bottom w:val="single" w:sz="4" w:space="0" w:color="auto"/>
              <w:right w:val="single" w:sz="4" w:space="0" w:color="auto"/>
            </w:tcBorders>
            <w:vAlign w:val="center"/>
          </w:tcPr>
          <w:p w14:paraId="235CEFAB" w14:textId="0782861E" w:rsidR="000A351F" w:rsidRPr="00C068F4" w:rsidRDefault="003253F0">
            <w:pPr>
              <w:pStyle w:val="TableText0"/>
              <w:jc w:val="center"/>
            </w:pPr>
            <w:r w:rsidRPr="00C068F4">
              <w:t>873</w:t>
            </w:r>
          </w:p>
        </w:tc>
        <w:tc>
          <w:tcPr>
            <w:tcW w:w="850" w:type="pct"/>
            <w:tcBorders>
              <w:top w:val="single" w:sz="4" w:space="0" w:color="auto"/>
              <w:left w:val="single" w:sz="4" w:space="0" w:color="auto"/>
              <w:bottom w:val="single" w:sz="4" w:space="0" w:color="auto"/>
              <w:right w:val="single" w:sz="4" w:space="0" w:color="auto"/>
            </w:tcBorders>
            <w:vAlign w:val="center"/>
          </w:tcPr>
          <w:p w14:paraId="3F6346D1" w14:textId="481EDF79" w:rsidR="000A351F" w:rsidRPr="00C068F4" w:rsidRDefault="000A351F">
            <w:pPr>
              <w:pStyle w:val="TableText0"/>
              <w:jc w:val="center"/>
            </w:pPr>
            <w:r w:rsidRPr="00C068F4">
              <w:t>-</w:t>
            </w:r>
            <w:r w:rsidR="008D6256" w:rsidRPr="00C068F4">
              <w:t>129.</w:t>
            </w:r>
            <w:r w:rsidR="00F951A1" w:rsidRPr="00C068F4">
              <w:t>9</w:t>
            </w:r>
          </w:p>
          <w:p w14:paraId="5EA095A4" w14:textId="38916DFC" w:rsidR="000A351F" w:rsidRPr="00C068F4" w:rsidRDefault="000A351F">
            <w:pPr>
              <w:pStyle w:val="TableText0"/>
              <w:jc w:val="center"/>
            </w:pPr>
            <w:r w:rsidRPr="00C068F4">
              <w:t>(-</w:t>
            </w:r>
            <w:r w:rsidR="00240D90" w:rsidRPr="00C068F4">
              <w:t>2</w:t>
            </w:r>
            <w:r w:rsidR="00F951A1" w:rsidRPr="00C068F4">
              <w:t>89.3</w:t>
            </w:r>
            <w:r w:rsidRPr="00C068F4">
              <w:t xml:space="preserve">, </w:t>
            </w:r>
            <w:r w:rsidR="003531A0" w:rsidRPr="00C068F4">
              <w:t>29.5</w:t>
            </w:r>
            <w:r w:rsidRPr="00C068F4">
              <w:t>)</w:t>
            </w:r>
          </w:p>
        </w:tc>
      </w:tr>
      <w:tr w:rsidR="001B4578" w:rsidRPr="00C068F4" w14:paraId="383DC5CE" w14:textId="77777777" w:rsidTr="00DC4004">
        <w:tc>
          <w:tcPr>
            <w:tcW w:w="5000" w:type="pct"/>
            <w:gridSpan w:val="17"/>
            <w:tcBorders>
              <w:top w:val="double" w:sz="4" w:space="0" w:color="auto"/>
              <w:left w:val="single" w:sz="4" w:space="0" w:color="auto"/>
              <w:bottom w:val="single" w:sz="4" w:space="0" w:color="auto"/>
              <w:right w:val="single" w:sz="4" w:space="0" w:color="auto"/>
            </w:tcBorders>
            <w:shd w:val="clear" w:color="auto" w:fill="auto"/>
            <w:vAlign w:val="center"/>
          </w:tcPr>
          <w:p w14:paraId="23420EC8" w14:textId="6FD971F2" w:rsidR="001B4578" w:rsidRPr="00C068F4" w:rsidRDefault="001B4578" w:rsidP="001B4578">
            <w:pPr>
              <w:pStyle w:val="In-tableHeading"/>
              <w:rPr>
                <w:lang w:val="en-AU"/>
              </w:rPr>
            </w:pPr>
            <w:r w:rsidRPr="00C068F4">
              <w:rPr>
                <w:lang w:val="en-AU"/>
              </w:rPr>
              <w:t>Serious or critical COVID-19 by 12 months (regardless of unblinding or receipt of COVID-19 vaccine)</w:t>
            </w:r>
          </w:p>
        </w:tc>
      </w:tr>
      <w:tr w:rsidR="00DF2845" w:rsidRPr="00C068F4" w14:paraId="20423A16" w14:textId="77777777" w:rsidTr="00DC4004">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34DA3DB0" w14:textId="7158EA21" w:rsidR="001B4578" w:rsidRPr="00C068F4" w:rsidRDefault="001B4578" w:rsidP="001B4578">
            <w:pPr>
              <w:pStyle w:val="TableText0"/>
            </w:pPr>
            <w:r w:rsidRPr="00C068F4">
              <w:t>PROVENT</w:t>
            </w:r>
          </w:p>
        </w:tc>
        <w:tc>
          <w:tcPr>
            <w:tcW w:w="639" w:type="pct"/>
            <w:gridSpan w:val="7"/>
            <w:tcBorders>
              <w:top w:val="single" w:sz="4" w:space="0" w:color="auto"/>
              <w:left w:val="single" w:sz="4" w:space="0" w:color="auto"/>
              <w:bottom w:val="single" w:sz="4" w:space="0" w:color="auto"/>
              <w:right w:val="single" w:sz="4" w:space="0" w:color="auto"/>
            </w:tcBorders>
            <w:vAlign w:val="center"/>
          </w:tcPr>
          <w:p w14:paraId="54CBE579" w14:textId="77777777" w:rsidR="001B4578" w:rsidRPr="00C068F4" w:rsidRDefault="001B4578" w:rsidP="001B4578">
            <w:pPr>
              <w:pStyle w:val="TableText0"/>
              <w:jc w:val="center"/>
            </w:pPr>
            <w:r w:rsidRPr="00C068F4">
              <w:t>2/3441</w:t>
            </w:r>
          </w:p>
          <w:p w14:paraId="337D5836" w14:textId="2D2F4347" w:rsidR="001B4578" w:rsidRPr="00C068F4" w:rsidRDefault="001B4578" w:rsidP="001B4578">
            <w:pPr>
              <w:pStyle w:val="TableText0"/>
              <w:jc w:val="center"/>
            </w:pPr>
            <w:r w:rsidRPr="00C068F4">
              <w:t>(0.1%)</w:t>
            </w:r>
          </w:p>
        </w:tc>
        <w:tc>
          <w:tcPr>
            <w:tcW w:w="710" w:type="pct"/>
            <w:gridSpan w:val="2"/>
            <w:tcBorders>
              <w:top w:val="single" w:sz="4" w:space="0" w:color="auto"/>
              <w:left w:val="single" w:sz="4" w:space="0" w:color="auto"/>
              <w:bottom w:val="single" w:sz="4" w:space="0" w:color="auto"/>
              <w:right w:val="single" w:sz="4" w:space="0" w:color="auto"/>
            </w:tcBorders>
            <w:vAlign w:val="center"/>
          </w:tcPr>
          <w:p w14:paraId="46A96C3F" w14:textId="21B4D829" w:rsidR="001B4578" w:rsidRPr="00C068F4" w:rsidRDefault="001B4578" w:rsidP="001B4578">
            <w:pPr>
              <w:pStyle w:val="TableText0"/>
              <w:jc w:val="center"/>
            </w:pPr>
            <w:r w:rsidRPr="00C068F4">
              <w:t>11/</w:t>
            </w:r>
            <w:r w:rsidR="001A06DD" w:rsidRPr="00C068F4">
              <w:t>1731</w:t>
            </w:r>
          </w:p>
          <w:p w14:paraId="6AADF033" w14:textId="6CAA7869" w:rsidR="001B4578" w:rsidRPr="00C068F4" w:rsidRDefault="001B4578" w:rsidP="001B4578">
            <w:pPr>
              <w:pStyle w:val="TableText0"/>
              <w:jc w:val="center"/>
            </w:pPr>
            <w:r w:rsidRPr="00C068F4">
              <w:t>(0.6%)</w:t>
            </w:r>
          </w:p>
        </w:tc>
        <w:tc>
          <w:tcPr>
            <w:tcW w:w="856" w:type="pct"/>
            <w:gridSpan w:val="2"/>
            <w:tcBorders>
              <w:top w:val="single" w:sz="4" w:space="0" w:color="auto"/>
              <w:left w:val="single" w:sz="4" w:space="0" w:color="auto"/>
              <w:bottom w:val="single" w:sz="4" w:space="0" w:color="auto"/>
              <w:right w:val="single" w:sz="4" w:space="0" w:color="auto"/>
            </w:tcBorders>
            <w:vAlign w:val="center"/>
          </w:tcPr>
          <w:p w14:paraId="6D6CA5DE" w14:textId="04E701AC" w:rsidR="001B4578" w:rsidRPr="00C068F4" w:rsidRDefault="001B4578" w:rsidP="001B4578">
            <w:pPr>
              <w:pStyle w:val="TableText0"/>
              <w:jc w:val="center"/>
            </w:pPr>
            <w:r w:rsidRPr="00C068F4">
              <w:t>0.0</w:t>
            </w:r>
            <w:r w:rsidR="00237701" w:rsidRPr="00C068F4">
              <w:t>91</w:t>
            </w:r>
          </w:p>
          <w:p w14:paraId="39C874E6" w14:textId="60393074" w:rsidR="001B4578" w:rsidRPr="00C068F4" w:rsidRDefault="001B4578" w:rsidP="001B4578">
            <w:pPr>
              <w:pStyle w:val="TableText0"/>
              <w:jc w:val="center"/>
            </w:pPr>
            <w:r w:rsidRPr="00C068F4">
              <w:t>(0.0</w:t>
            </w:r>
            <w:r w:rsidR="00A9345A" w:rsidRPr="00C068F4">
              <w:t>20</w:t>
            </w:r>
            <w:r w:rsidRPr="00C068F4">
              <w:t>, 0.</w:t>
            </w:r>
            <w:r w:rsidR="00A9345A" w:rsidRPr="00C068F4">
              <w:t>412</w:t>
            </w:r>
            <w:r w:rsidRPr="00C068F4">
              <w:t>)</w:t>
            </w:r>
          </w:p>
        </w:tc>
        <w:tc>
          <w:tcPr>
            <w:tcW w:w="674" w:type="pct"/>
            <w:tcBorders>
              <w:top w:val="single" w:sz="4" w:space="0" w:color="auto"/>
              <w:left w:val="single" w:sz="4" w:space="0" w:color="auto"/>
              <w:bottom w:val="single" w:sz="4" w:space="0" w:color="auto"/>
              <w:right w:val="single" w:sz="4" w:space="0" w:color="auto"/>
            </w:tcBorders>
            <w:vAlign w:val="center"/>
          </w:tcPr>
          <w:p w14:paraId="5A396522" w14:textId="7D9D6C16" w:rsidR="001B4578" w:rsidRPr="00C068F4" w:rsidRDefault="001B4578" w:rsidP="001B4578">
            <w:pPr>
              <w:pStyle w:val="TableText0"/>
              <w:jc w:val="center"/>
            </w:pPr>
            <w:r w:rsidRPr="00C068F4">
              <w:t>5.3</w:t>
            </w:r>
          </w:p>
        </w:tc>
        <w:tc>
          <w:tcPr>
            <w:tcW w:w="621" w:type="pct"/>
            <w:gridSpan w:val="2"/>
            <w:tcBorders>
              <w:top w:val="single" w:sz="4" w:space="0" w:color="auto"/>
              <w:left w:val="single" w:sz="4" w:space="0" w:color="auto"/>
              <w:bottom w:val="single" w:sz="4" w:space="0" w:color="auto"/>
              <w:right w:val="single" w:sz="4" w:space="0" w:color="auto"/>
            </w:tcBorders>
            <w:vAlign w:val="center"/>
          </w:tcPr>
          <w:p w14:paraId="66E9B16D" w14:textId="4713E9B4" w:rsidR="001B4578" w:rsidRPr="00C068F4" w:rsidRDefault="001B4578" w:rsidP="001B4578">
            <w:pPr>
              <w:pStyle w:val="TableText0"/>
              <w:jc w:val="center"/>
            </w:pPr>
            <w:r w:rsidRPr="00C068F4">
              <w:t>58.6</w:t>
            </w:r>
          </w:p>
        </w:tc>
        <w:tc>
          <w:tcPr>
            <w:tcW w:w="871" w:type="pct"/>
            <w:gridSpan w:val="2"/>
            <w:tcBorders>
              <w:top w:val="single" w:sz="4" w:space="0" w:color="auto"/>
              <w:left w:val="single" w:sz="4" w:space="0" w:color="auto"/>
              <w:bottom w:val="single" w:sz="4" w:space="0" w:color="auto"/>
              <w:right w:val="single" w:sz="4" w:space="0" w:color="auto"/>
            </w:tcBorders>
            <w:vAlign w:val="center"/>
          </w:tcPr>
          <w:p w14:paraId="3AEADC94" w14:textId="77777777" w:rsidR="001B4578" w:rsidRPr="00C068F4" w:rsidRDefault="001B4578" w:rsidP="001B4578">
            <w:pPr>
              <w:pStyle w:val="TableText0"/>
              <w:jc w:val="center"/>
            </w:pPr>
            <w:r w:rsidRPr="00C068F4">
              <w:t>-53.3</w:t>
            </w:r>
          </w:p>
          <w:p w14:paraId="2F927293" w14:textId="5F1CFC5F" w:rsidR="001B4578" w:rsidRPr="00C068F4" w:rsidRDefault="001B4578" w:rsidP="001B4578">
            <w:pPr>
              <w:pStyle w:val="TableText0"/>
              <w:jc w:val="center"/>
            </w:pPr>
            <w:r w:rsidRPr="00C068F4">
              <w:t>(-88.6, -17.9)</w:t>
            </w:r>
          </w:p>
        </w:tc>
      </w:tr>
      <w:tr w:rsidR="001B4578" w:rsidRPr="00C068F4" w14:paraId="4CB55A42" w14:textId="77777777" w:rsidTr="00DC4004">
        <w:tc>
          <w:tcPr>
            <w:tcW w:w="5000" w:type="pct"/>
            <w:gridSpan w:val="17"/>
            <w:tcBorders>
              <w:top w:val="double" w:sz="4" w:space="0" w:color="auto"/>
              <w:left w:val="single" w:sz="4" w:space="0" w:color="auto"/>
              <w:bottom w:val="single" w:sz="4" w:space="0" w:color="auto"/>
              <w:right w:val="single" w:sz="4" w:space="0" w:color="auto"/>
            </w:tcBorders>
            <w:shd w:val="clear" w:color="auto" w:fill="auto"/>
            <w:vAlign w:val="center"/>
          </w:tcPr>
          <w:p w14:paraId="5D6D7F31" w14:textId="51C9358D" w:rsidR="001B4578" w:rsidRPr="00C068F4" w:rsidRDefault="001B4578" w:rsidP="001B4578">
            <w:pPr>
              <w:pStyle w:val="In-tableHeading"/>
              <w:rPr>
                <w:lang w:val="en-AU"/>
              </w:rPr>
            </w:pPr>
            <w:r w:rsidRPr="00C068F4">
              <w:rPr>
                <w:lang w:val="en-AU"/>
              </w:rPr>
              <w:t>Harms in the PROVENT trial</w:t>
            </w:r>
            <w:r w:rsidR="005C14C7" w:rsidRPr="00C068F4">
              <w:rPr>
                <w:lang w:val="en-AU"/>
              </w:rPr>
              <w:t xml:space="preserve"> at 12 months</w:t>
            </w:r>
          </w:p>
        </w:tc>
      </w:tr>
      <w:tr w:rsidR="001B4578" w:rsidRPr="00C068F4" w14:paraId="1290D3E1" w14:textId="77777777" w:rsidTr="00DC4004">
        <w:tc>
          <w:tcPr>
            <w:tcW w:w="5000" w:type="pct"/>
            <w:gridSpan w:val="17"/>
            <w:tcBorders>
              <w:top w:val="single" w:sz="4" w:space="0" w:color="auto"/>
              <w:left w:val="single" w:sz="4" w:space="0" w:color="auto"/>
              <w:bottom w:val="single" w:sz="4" w:space="0" w:color="auto"/>
              <w:right w:val="single" w:sz="4" w:space="0" w:color="auto"/>
            </w:tcBorders>
            <w:shd w:val="clear" w:color="auto" w:fill="auto"/>
            <w:vAlign w:val="center"/>
          </w:tcPr>
          <w:p w14:paraId="324EC2B8" w14:textId="6A14FFAC" w:rsidR="001B4578" w:rsidRPr="00C068F4" w:rsidRDefault="001B4578" w:rsidP="001B4578">
            <w:pPr>
              <w:pStyle w:val="In-tableHeading"/>
              <w:jc w:val="both"/>
              <w:rPr>
                <w:lang w:val="en-AU"/>
              </w:rPr>
            </w:pPr>
            <w:r w:rsidRPr="00C068F4">
              <w:rPr>
                <w:lang w:val="en-AU"/>
              </w:rPr>
              <w:t>Serious cardiac disorder adverse events</w:t>
            </w:r>
          </w:p>
        </w:tc>
      </w:tr>
      <w:tr w:rsidR="00DF2845" w:rsidRPr="00C068F4" w14:paraId="572E193B" w14:textId="77777777" w:rsidTr="00DC4004">
        <w:tc>
          <w:tcPr>
            <w:tcW w:w="63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1D19B5" w14:textId="5D1F5194" w:rsidR="001B4578" w:rsidRPr="00C068F4" w:rsidRDefault="001B4578" w:rsidP="001B4578">
            <w:pPr>
              <w:pStyle w:val="TableText0"/>
            </w:pPr>
            <w:r w:rsidRPr="00C068F4">
              <w:t>PROVENT</w:t>
            </w:r>
          </w:p>
        </w:tc>
        <w:tc>
          <w:tcPr>
            <w:tcW w:w="635" w:type="pct"/>
            <w:gridSpan w:val="6"/>
            <w:tcBorders>
              <w:top w:val="single" w:sz="4" w:space="0" w:color="auto"/>
              <w:left w:val="single" w:sz="4" w:space="0" w:color="auto"/>
              <w:bottom w:val="single" w:sz="4" w:space="0" w:color="auto"/>
              <w:right w:val="single" w:sz="4" w:space="0" w:color="auto"/>
            </w:tcBorders>
            <w:vAlign w:val="center"/>
          </w:tcPr>
          <w:p w14:paraId="1D7899A4" w14:textId="77777777" w:rsidR="001B4578" w:rsidRPr="00C068F4" w:rsidRDefault="001B4578" w:rsidP="001B4578">
            <w:pPr>
              <w:pStyle w:val="TableText0"/>
              <w:jc w:val="center"/>
            </w:pPr>
            <w:r w:rsidRPr="00C068F4">
              <w:t>38/3461</w:t>
            </w:r>
          </w:p>
          <w:p w14:paraId="4C700CB8" w14:textId="0AB58585" w:rsidR="001B4578" w:rsidRPr="00C068F4" w:rsidRDefault="001B4578" w:rsidP="001B4578">
            <w:pPr>
              <w:pStyle w:val="TableText0"/>
              <w:jc w:val="center"/>
            </w:pPr>
            <w:r w:rsidRPr="00C068F4">
              <w:t>(1.1%)</w:t>
            </w:r>
          </w:p>
        </w:tc>
        <w:tc>
          <w:tcPr>
            <w:tcW w:w="710" w:type="pct"/>
            <w:gridSpan w:val="2"/>
            <w:tcBorders>
              <w:top w:val="single" w:sz="4" w:space="0" w:color="auto"/>
              <w:left w:val="single" w:sz="4" w:space="0" w:color="auto"/>
              <w:bottom w:val="single" w:sz="4" w:space="0" w:color="auto"/>
              <w:right w:val="single" w:sz="4" w:space="0" w:color="auto"/>
            </w:tcBorders>
            <w:vAlign w:val="center"/>
          </w:tcPr>
          <w:p w14:paraId="6D0AC188" w14:textId="77777777" w:rsidR="001B4578" w:rsidRPr="00C068F4" w:rsidRDefault="001B4578" w:rsidP="001B4578">
            <w:pPr>
              <w:pStyle w:val="TableText0"/>
              <w:jc w:val="center"/>
            </w:pPr>
            <w:r w:rsidRPr="00C068F4">
              <w:t>8/1736</w:t>
            </w:r>
          </w:p>
          <w:p w14:paraId="01A4D221" w14:textId="574204B3" w:rsidR="001B4578" w:rsidRPr="00C068F4" w:rsidRDefault="001B4578" w:rsidP="001B4578">
            <w:pPr>
              <w:pStyle w:val="TableText0"/>
              <w:jc w:val="center"/>
            </w:pPr>
            <w:r w:rsidRPr="00C068F4">
              <w:t>(0.5%)</w:t>
            </w:r>
          </w:p>
        </w:tc>
        <w:tc>
          <w:tcPr>
            <w:tcW w:w="856" w:type="pct"/>
            <w:gridSpan w:val="2"/>
            <w:tcBorders>
              <w:top w:val="single" w:sz="4" w:space="0" w:color="auto"/>
              <w:left w:val="single" w:sz="4" w:space="0" w:color="auto"/>
              <w:bottom w:val="single" w:sz="4" w:space="0" w:color="auto"/>
              <w:right w:val="single" w:sz="4" w:space="0" w:color="auto"/>
            </w:tcBorders>
            <w:vAlign w:val="center"/>
          </w:tcPr>
          <w:p w14:paraId="2B1DE2F4" w14:textId="0DC361FF" w:rsidR="001B4578" w:rsidRPr="00C068F4" w:rsidRDefault="001B4578" w:rsidP="001B4578">
            <w:pPr>
              <w:pStyle w:val="TableText0"/>
              <w:jc w:val="center"/>
            </w:pPr>
            <w:r w:rsidRPr="00C068F4">
              <w:t>2.38</w:t>
            </w:r>
          </w:p>
          <w:p w14:paraId="34986F80" w14:textId="1C842E3F" w:rsidR="001B4578" w:rsidRPr="00C068F4" w:rsidRDefault="001B4578" w:rsidP="001B4578">
            <w:pPr>
              <w:pStyle w:val="TableText0"/>
              <w:jc w:val="center"/>
            </w:pPr>
            <w:r w:rsidRPr="00C068F4">
              <w:t>(1.11, 5.10)</w:t>
            </w:r>
          </w:p>
        </w:tc>
        <w:tc>
          <w:tcPr>
            <w:tcW w:w="690" w:type="pct"/>
            <w:gridSpan w:val="2"/>
            <w:tcBorders>
              <w:top w:val="single" w:sz="4" w:space="0" w:color="auto"/>
              <w:left w:val="single" w:sz="4" w:space="0" w:color="auto"/>
              <w:bottom w:val="single" w:sz="4" w:space="0" w:color="auto"/>
              <w:right w:val="single" w:sz="4" w:space="0" w:color="auto"/>
            </w:tcBorders>
            <w:vAlign w:val="center"/>
          </w:tcPr>
          <w:p w14:paraId="56FA6411" w14:textId="77BC67E5" w:rsidR="001B4578" w:rsidRPr="00C068F4" w:rsidRDefault="001B4578" w:rsidP="001B4578">
            <w:pPr>
              <w:pStyle w:val="TableText0"/>
              <w:jc w:val="center"/>
            </w:pPr>
            <w:r w:rsidRPr="00C068F4">
              <w:t>100.5</w:t>
            </w:r>
          </w:p>
        </w:tc>
        <w:tc>
          <w:tcPr>
            <w:tcW w:w="626" w:type="pct"/>
            <w:gridSpan w:val="2"/>
            <w:tcBorders>
              <w:top w:val="single" w:sz="4" w:space="0" w:color="auto"/>
              <w:left w:val="single" w:sz="4" w:space="0" w:color="auto"/>
              <w:bottom w:val="single" w:sz="4" w:space="0" w:color="auto"/>
              <w:right w:val="single" w:sz="4" w:space="0" w:color="auto"/>
            </w:tcBorders>
            <w:vAlign w:val="center"/>
          </w:tcPr>
          <w:p w14:paraId="5EDDCB36" w14:textId="7AA3F1E4" w:rsidR="001B4578" w:rsidRPr="00C068F4" w:rsidRDefault="001B4578" w:rsidP="001B4578">
            <w:pPr>
              <w:pStyle w:val="TableText0"/>
              <w:jc w:val="center"/>
            </w:pPr>
            <w:r w:rsidRPr="00C068F4">
              <w:t>42.6</w:t>
            </w:r>
          </w:p>
        </w:tc>
        <w:tc>
          <w:tcPr>
            <w:tcW w:w="850" w:type="pct"/>
            <w:tcBorders>
              <w:top w:val="single" w:sz="4" w:space="0" w:color="auto"/>
              <w:left w:val="single" w:sz="4" w:space="0" w:color="auto"/>
              <w:bottom w:val="single" w:sz="4" w:space="0" w:color="auto"/>
              <w:right w:val="single" w:sz="4" w:space="0" w:color="auto"/>
            </w:tcBorders>
            <w:vAlign w:val="center"/>
          </w:tcPr>
          <w:p w14:paraId="7DC9AF7B" w14:textId="6A63EA70" w:rsidR="001B4578" w:rsidRPr="00C068F4" w:rsidRDefault="001B4578" w:rsidP="001B4578">
            <w:pPr>
              <w:pStyle w:val="TableText0"/>
              <w:jc w:val="center"/>
            </w:pPr>
            <w:r w:rsidRPr="00C068F4">
              <w:t>57.9</w:t>
            </w:r>
          </w:p>
          <w:p w14:paraId="3D5DEBDC" w14:textId="2B497B80" w:rsidR="001B4578" w:rsidRPr="00C068F4" w:rsidRDefault="001B4578" w:rsidP="001B4578">
            <w:pPr>
              <w:pStyle w:val="TableText0"/>
              <w:jc w:val="center"/>
            </w:pPr>
            <w:r w:rsidRPr="00C068F4">
              <w:t>(14.4, 101.4)</w:t>
            </w:r>
          </w:p>
        </w:tc>
      </w:tr>
    </w:tbl>
    <w:p w14:paraId="6E2286D0" w14:textId="0902E18E" w:rsidR="00620C25" w:rsidRPr="00C068F4" w:rsidRDefault="00620C25" w:rsidP="00620C25">
      <w:pPr>
        <w:pStyle w:val="FooterTableFigure"/>
        <w:rPr>
          <w:sz w:val="20"/>
        </w:rPr>
      </w:pPr>
      <w:r w:rsidRPr="00C068F4">
        <w:t xml:space="preserve">Source: </w:t>
      </w:r>
      <w:r w:rsidR="00B0092B" w:rsidRPr="00C068F4">
        <w:fldChar w:fldCharType="begin" w:fldLock="1"/>
      </w:r>
      <w:r w:rsidR="00B0092B" w:rsidRPr="00C068F4">
        <w:instrText xml:space="preserve"> REF _Ref109860884 \h </w:instrText>
      </w:r>
      <w:r w:rsidR="00B0092B" w:rsidRPr="00C068F4">
        <w:fldChar w:fldCharType="separate"/>
      </w:r>
      <w:r w:rsidR="00AB751C" w:rsidRPr="00C068F4">
        <w:t xml:space="preserve">Table </w:t>
      </w:r>
      <w:r w:rsidR="00AB751C">
        <w:rPr>
          <w:noProof/>
        </w:rPr>
        <w:t>5</w:t>
      </w:r>
      <w:r w:rsidR="00B0092B" w:rsidRPr="00C068F4">
        <w:fldChar w:fldCharType="end"/>
      </w:r>
      <w:r w:rsidR="00B0092B" w:rsidRPr="00C068F4">
        <w:t xml:space="preserve"> and </w:t>
      </w:r>
      <w:r w:rsidR="00B0092B" w:rsidRPr="00C068F4">
        <w:fldChar w:fldCharType="begin" w:fldLock="1"/>
      </w:r>
      <w:r w:rsidR="00B0092B" w:rsidRPr="00C068F4">
        <w:instrText xml:space="preserve"> REF _Ref110966909 \h </w:instrText>
      </w:r>
      <w:r w:rsidR="00B0092B" w:rsidRPr="00C068F4">
        <w:fldChar w:fldCharType="separate"/>
      </w:r>
      <w:r w:rsidR="00AB751C" w:rsidRPr="00C068F4">
        <w:t xml:space="preserve">Table </w:t>
      </w:r>
      <w:r w:rsidR="00AB751C">
        <w:rPr>
          <w:noProof/>
        </w:rPr>
        <w:t>9</w:t>
      </w:r>
      <w:r w:rsidR="00B0092B" w:rsidRPr="00C068F4">
        <w:fldChar w:fldCharType="end"/>
      </w:r>
      <w:r w:rsidR="006E0BC3" w:rsidRPr="00C068F4">
        <w:t>, Table 49 of the PROVENT primary CSR</w:t>
      </w:r>
    </w:p>
    <w:p w14:paraId="1EB63D1C" w14:textId="1BD6220A" w:rsidR="00B62715" w:rsidRPr="00C068F4" w:rsidRDefault="00B62715" w:rsidP="00D2155B">
      <w:pPr>
        <w:pStyle w:val="FooterTableFigure"/>
      </w:pPr>
      <w:r w:rsidRPr="00C068F4">
        <w:t xml:space="preserve">* </w:t>
      </w:r>
      <w:r w:rsidR="008135A2" w:rsidRPr="00C068F4">
        <w:t>Exposure at the August 2021 DCO = 186</w:t>
      </w:r>
      <w:r w:rsidR="00367296" w:rsidRPr="00C068F4">
        <w:t xml:space="preserve">8.1 </w:t>
      </w:r>
      <w:r w:rsidR="009B1853" w:rsidRPr="00C068F4">
        <w:t xml:space="preserve">person-years in the </w:t>
      </w:r>
      <w:r w:rsidR="009B1853" w:rsidRPr="00C068F4">
        <w:rPr>
          <w:color w:val="000000" w:themeColor="text1"/>
        </w:rPr>
        <w:t>tixagevimab and cilgavimab arm and</w:t>
      </w:r>
      <w:r w:rsidR="00433546" w:rsidRPr="00C068F4">
        <w:t xml:space="preserve"> 932.3 person-years in </w:t>
      </w:r>
      <w:r w:rsidR="009B1853" w:rsidRPr="00C068F4">
        <w:rPr>
          <w:color w:val="000000" w:themeColor="text1"/>
        </w:rPr>
        <w:t xml:space="preserve">the placebo arms of the PROVENT trial, respectively. </w:t>
      </w:r>
      <w:r w:rsidR="008373E6" w:rsidRPr="00C068F4">
        <w:t>Exposure</w:t>
      </w:r>
      <w:r w:rsidR="0004662B" w:rsidRPr="00C068F4">
        <w:t xml:space="preserve"> at the April 2022 DCO</w:t>
      </w:r>
      <w:r w:rsidR="008373E6" w:rsidRPr="00C068F4">
        <w:t xml:space="preserve"> = 3781.5 person-years in the </w:t>
      </w:r>
      <w:r w:rsidR="008373E6" w:rsidRPr="00C068F4">
        <w:rPr>
          <w:color w:val="000000" w:themeColor="text1"/>
        </w:rPr>
        <w:t>tixagevimab and cilgavimab arm and = 1878.6 person-years in the placebo arm of the PROVENT trial</w:t>
      </w:r>
    </w:p>
    <w:p w14:paraId="73AE1F97" w14:textId="7154D5F6" w:rsidR="009E0A2A" w:rsidRPr="00C068F4" w:rsidRDefault="009E0A2A" w:rsidP="009E0A2A">
      <w:pPr>
        <w:pStyle w:val="3-BodyText"/>
      </w:pPr>
      <w:bookmarkStart w:id="84" w:name="_Ref110974321"/>
      <w:r w:rsidRPr="00C068F4">
        <w:t xml:space="preserve">On the basis of the results from the PROVENT trial, the primary source of evidence presented by the submission, for every 10,000 patients receiving </w:t>
      </w:r>
      <w:r w:rsidRPr="00C068F4">
        <w:rPr>
          <w:color w:val="000000" w:themeColor="text1"/>
        </w:rPr>
        <w:t>tixagevimab 150 mg and cilgavimab</w:t>
      </w:r>
      <w:r w:rsidRPr="00C068F4">
        <w:t xml:space="preserve"> 150 mg as PrEP against COVID-19 in comparison with placebo and followed for 6 months:</w:t>
      </w:r>
      <w:bookmarkEnd w:id="84"/>
    </w:p>
    <w:p w14:paraId="79FEE328" w14:textId="03C13F13" w:rsidR="009E0A2A" w:rsidRPr="00C068F4" w:rsidRDefault="009E0A2A" w:rsidP="009E0A2A">
      <w:pPr>
        <w:pStyle w:val="ListParagraph"/>
        <w:ind w:left="1134"/>
      </w:pPr>
      <w:r w:rsidRPr="00C068F4">
        <w:t xml:space="preserve">Approximately </w:t>
      </w:r>
      <w:r w:rsidR="00D769C9" w:rsidRPr="00C068F4">
        <w:t>365</w:t>
      </w:r>
      <w:r w:rsidRPr="00C068F4">
        <w:t xml:space="preserve"> fewer patients would develop symptomatic COVID-19.</w:t>
      </w:r>
    </w:p>
    <w:p w14:paraId="425D66C0" w14:textId="2BD384B3" w:rsidR="009E0A2A" w:rsidRPr="00C068F4" w:rsidRDefault="009E0A2A" w:rsidP="009E0A2A">
      <w:pPr>
        <w:pStyle w:val="ListParagraph"/>
        <w:ind w:left="1134"/>
      </w:pPr>
      <w:r w:rsidRPr="00C068F4">
        <w:t xml:space="preserve">Approximately </w:t>
      </w:r>
      <w:r w:rsidR="00D769C9" w:rsidRPr="00C068F4">
        <w:t>64</w:t>
      </w:r>
      <w:r w:rsidRPr="00C068F4">
        <w:t xml:space="preserve"> fewer patients would develop serious or critical COVID-19.</w:t>
      </w:r>
    </w:p>
    <w:p w14:paraId="143B98E9" w14:textId="138517B8" w:rsidR="009E0A2A" w:rsidRPr="00C068F4" w:rsidRDefault="009E0A2A" w:rsidP="009E0A2A">
      <w:pPr>
        <w:pStyle w:val="ListParagraph"/>
        <w:ind w:left="1134"/>
      </w:pPr>
      <w:r w:rsidRPr="00C068F4">
        <w:lastRenderedPageBreak/>
        <w:t xml:space="preserve">Approximately </w:t>
      </w:r>
      <w:r w:rsidR="00D769C9" w:rsidRPr="00C068F4">
        <w:t>70</w:t>
      </w:r>
      <w:r w:rsidRPr="00C068F4">
        <w:t xml:space="preserve"> additional patients would experience a serious cardiac disorder adverse event.</w:t>
      </w:r>
    </w:p>
    <w:p w14:paraId="56A22B9E" w14:textId="3D63FE04" w:rsidR="002441D2" w:rsidRPr="00C068F4" w:rsidRDefault="002441D2" w:rsidP="006D32B3">
      <w:pPr>
        <w:pStyle w:val="3-BodyText"/>
        <w:keepNext/>
      </w:pPr>
      <w:bookmarkStart w:id="85" w:name="_Ref110974327"/>
      <w:r w:rsidRPr="00C068F4">
        <w:t xml:space="preserve">On the basis of </w:t>
      </w:r>
      <w:r w:rsidR="00BE500B" w:rsidRPr="00C068F4">
        <w:t xml:space="preserve">the results from the PROVENT trial, </w:t>
      </w:r>
      <w:r w:rsidR="00B45DFE" w:rsidRPr="00C068F4">
        <w:t>the primary source of</w:t>
      </w:r>
      <w:r w:rsidRPr="00C068F4">
        <w:t xml:space="preserve"> evidence presented by the submission, for every 10</w:t>
      </w:r>
      <w:r w:rsidR="007E43A2" w:rsidRPr="00C068F4">
        <w:t>,0</w:t>
      </w:r>
      <w:r w:rsidRPr="00C068F4">
        <w:t>0</w:t>
      </w:r>
      <w:r w:rsidR="002975FF" w:rsidRPr="00C068F4">
        <w:t xml:space="preserve">0 </w:t>
      </w:r>
      <w:r w:rsidRPr="00C068F4">
        <w:t xml:space="preserve">patients </w:t>
      </w:r>
      <w:r w:rsidR="00AF31B5" w:rsidRPr="00C068F4">
        <w:t>receiving</w:t>
      </w:r>
      <w:r w:rsidRPr="00C068F4">
        <w:t xml:space="preserve"> </w:t>
      </w:r>
      <w:r w:rsidR="00B45DFE" w:rsidRPr="00C068F4">
        <w:rPr>
          <w:color w:val="000000" w:themeColor="text1"/>
        </w:rPr>
        <w:t>tixagevimab</w:t>
      </w:r>
      <w:r w:rsidR="00AF31B5" w:rsidRPr="00C068F4">
        <w:rPr>
          <w:color w:val="000000" w:themeColor="text1"/>
        </w:rPr>
        <w:t xml:space="preserve"> 150 mg</w:t>
      </w:r>
      <w:r w:rsidR="00B45DFE" w:rsidRPr="00C068F4">
        <w:rPr>
          <w:color w:val="000000" w:themeColor="text1"/>
        </w:rPr>
        <w:t xml:space="preserve"> and cilgavimab</w:t>
      </w:r>
      <w:r w:rsidRPr="00C068F4">
        <w:t xml:space="preserve"> </w:t>
      </w:r>
      <w:r w:rsidR="00AF31B5" w:rsidRPr="00C068F4">
        <w:t xml:space="preserve">150 mg </w:t>
      </w:r>
      <w:r w:rsidR="00FF1FD2" w:rsidRPr="00C068F4">
        <w:t>as</w:t>
      </w:r>
      <w:r w:rsidR="00AF31B5" w:rsidRPr="00C068F4">
        <w:t xml:space="preserve"> PrEP against COVID-19 </w:t>
      </w:r>
      <w:r w:rsidRPr="00C068F4">
        <w:t xml:space="preserve">in comparison </w:t>
      </w:r>
      <w:r w:rsidR="006D68FB" w:rsidRPr="00C068F4">
        <w:t>with</w:t>
      </w:r>
      <w:r w:rsidRPr="00C068F4">
        <w:t xml:space="preserve"> </w:t>
      </w:r>
      <w:r w:rsidR="00B45DFE" w:rsidRPr="00C068F4">
        <w:t>placebo</w:t>
      </w:r>
      <w:r w:rsidR="00CF5409" w:rsidRPr="00C068F4">
        <w:t xml:space="preserve"> and followed for 1 year</w:t>
      </w:r>
      <w:r w:rsidRPr="00C068F4">
        <w:t>:</w:t>
      </w:r>
      <w:bookmarkEnd w:id="85"/>
    </w:p>
    <w:p w14:paraId="3D1A972C" w14:textId="1E6C5C7A" w:rsidR="007B62B6" w:rsidRPr="00C068F4" w:rsidRDefault="007B62B6" w:rsidP="00181C10">
      <w:pPr>
        <w:pStyle w:val="ListParagraph"/>
        <w:ind w:left="1134"/>
      </w:pPr>
      <w:r w:rsidRPr="00C068F4">
        <w:t>Approximately 13</w:t>
      </w:r>
      <w:r w:rsidR="00C971D5" w:rsidRPr="00C068F4">
        <w:t>0</w:t>
      </w:r>
      <w:r w:rsidRPr="00C068F4">
        <w:t xml:space="preserve"> fewer patients would develop symptomatic COVID-19</w:t>
      </w:r>
      <w:r w:rsidR="00A463BE" w:rsidRPr="00C068F4">
        <w:t>.</w:t>
      </w:r>
    </w:p>
    <w:p w14:paraId="1D93E2C6" w14:textId="7E026646" w:rsidR="00FC1884" w:rsidRPr="00C068F4" w:rsidRDefault="00FC1884" w:rsidP="00181C10">
      <w:pPr>
        <w:pStyle w:val="ListParagraph"/>
        <w:ind w:left="1134"/>
      </w:pPr>
      <w:r w:rsidRPr="00C068F4">
        <w:t xml:space="preserve">Approximately </w:t>
      </w:r>
      <w:r w:rsidR="006B4C4C" w:rsidRPr="00C068F4">
        <w:t>53 fewer patients would develop serious or critical COVID-19</w:t>
      </w:r>
      <w:r w:rsidR="001C2A9B" w:rsidRPr="00C068F4">
        <w:t>.</w:t>
      </w:r>
    </w:p>
    <w:p w14:paraId="3B653B96" w14:textId="0D4182C5" w:rsidR="00FC1884" w:rsidRPr="00C068F4" w:rsidRDefault="00FC1884">
      <w:pPr>
        <w:pStyle w:val="ListParagraph"/>
        <w:ind w:left="1134"/>
      </w:pPr>
      <w:r w:rsidRPr="00C068F4">
        <w:t xml:space="preserve">Approximately </w:t>
      </w:r>
      <w:r w:rsidR="000E0656" w:rsidRPr="00C068F4">
        <w:t>58</w:t>
      </w:r>
      <w:r w:rsidR="00D631D4" w:rsidRPr="00C068F4">
        <w:t xml:space="preserve"> </w:t>
      </w:r>
      <w:r w:rsidRPr="00C068F4">
        <w:t xml:space="preserve">additional </w:t>
      </w:r>
      <w:r w:rsidR="00C41768" w:rsidRPr="00C068F4">
        <w:t xml:space="preserve">patients would experience </w:t>
      </w:r>
      <w:r w:rsidR="00CF5409" w:rsidRPr="00C068F4">
        <w:t xml:space="preserve">a </w:t>
      </w:r>
      <w:r w:rsidR="001953E9" w:rsidRPr="00C068F4">
        <w:t>serious cardiac disorder adverse event</w:t>
      </w:r>
      <w:r w:rsidR="001C2A9B" w:rsidRPr="00C068F4">
        <w:t>.</w:t>
      </w:r>
    </w:p>
    <w:p w14:paraId="19DEFE8C" w14:textId="3F2D6B74" w:rsidR="00C971D5" w:rsidRPr="00C068F4" w:rsidRDefault="00DC7B50" w:rsidP="00DC7B50">
      <w:pPr>
        <w:pStyle w:val="3-BodyText"/>
        <w:rPr>
          <w:rStyle w:val="normaltextrun"/>
        </w:rPr>
      </w:pPr>
      <w:r w:rsidRPr="00C068F4">
        <w:rPr>
          <w:iCs/>
        </w:rPr>
        <w:t xml:space="preserve">As </w:t>
      </w:r>
      <w:r w:rsidR="00C971D5" w:rsidRPr="00C068F4">
        <w:rPr>
          <w:iCs/>
        </w:rPr>
        <w:t xml:space="preserve">can be seen from the statistics in paragraphs </w:t>
      </w:r>
      <w:r w:rsidR="00C971D5" w:rsidRPr="00C068F4">
        <w:rPr>
          <w:iCs/>
        </w:rPr>
        <w:fldChar w:fldCharType="begin" w:fldLock="1"/>
      </w:r>
      <w:r w:rsidR="00C971D5" w:rsidRPr="00C068F4">
        <w:rPr>
          <w:iCs/>
        </w:rPr>
        <w:instrText xml:space="preserve"> REF _Ref110974321 \r \h </w:instrText>
      </w:r>
      <w:r w:rsidR="00C971D5" w:rsidRPr="00C068F4">
        <w:rPr>
          <w:iCs/>
        </w:rPr>
      </w:r>
      <w:r w:rsidR="00C971D5" w:rsidRPr="00C068F4">
        <w:rPr>
          <w:iCs/>
        </w:rPr>
        <w:fldChar w:fldCharType="separate"/>
      </w:r>
      <w:r w:rsidR="00AB751C">
        <w:rPr>
          <w:iCs/>
        </w:rPr>
        <w:t>6.55</w:t>
      </w:r>
      <w:r w:rsidR="00C971D5" w:rsidRPr="00C068F4">
        <w:rPr>
          <w:iCs/>
        </w:rPr>
        <w:fldChar w:fldCharType="end"/>
      </w:r>
      <w:r w:rsidR="00C971D5" w:rsidRPr="00C068F4">
        <w:rPr>
          <w:iCs/>
        </w:rPr>
        <w:t xml:space="preserve"> and</w:t>
      </w:r>
      <w:r w:rsidR="003D7FA0" w:rsidRPr="00C068F4">
        <w:rPr>
          <w:iCs/>
        </w:rPr>
        <w:t xml:space="preserve"> </w:t>
      </w:r>
      <w:r w:rsidR="003D7FA0" w:rsidRPr="00C068F4">
        <w:rPr>
          <w:iCs/>
        </w:rPr>
        <w:fldChar w:fldCharType="begin" w:fldLock="1"/>
      </w:r>
      <w:r w:rsidR="003D7FA0" w:rsidRPr="00C068F4">
        <w:rPr>
          <w:iCs/>
        </w:rPr>
        <w:instrText xml:space="preserve"> REF _Ref110974327 \r \h </w:instrText>
      </w:r>
      <w:r w:rsidR="003D7FA0" w:rsidRPr="00C068F4">
        <w:rPr>
          <w:iCs/>
        </w:rPr>
      </w:r>
      <w:r w:rsidR="003D7FA0" w:rsidRPr="00C068F4">
        <w:rPr>
          <w:iCs/>
        </w:rPr>
        <w:fldChar w:fldCharType="separate"/>
      </w:r>
      <w:r w:rsidR="00AB751C">
        <w:rPr>
          <w:iCs/>
        </w:rPr>
        <w:t>6.56</w:t>
      </w:r>
      <w:r w:rsidR="003D7FA0" w:rsidRPr="00C068F4">
        <w:rPr>
          <w:iCs/>
        </w:rPr>
        <w:fldChar w:fldCharType="end"/>
      </w:r>
      <w:r w:rsidR="00C971D5" w:rsidRPr="00C068F4">
        <w:rPr>
          <w:iCs/>
        </w:rPr>
        <w:t xml:space="preserve">, the benefit </w:t>
      </w:r>
      <w:r w:rsidR="00D270D3" w:rsidRPr="00C068F4">
        <w:rPr>
          <w:iCs/>
        </w:rPr>
        <w:t xml:space="preserve">of </w:t>
      </w:r>
      <w:r w:rsidR="00D270D3" w:rsidRPr="00C068F4">
        <w:rPr>
          <w:iCs/>
          <w:color w:val="000000" w:themeColor="text1"/>
        </w:rPr>
        <w:t>tixagevimab and cilgavimab</w:t>
      </w:r>
      <w:r w:rsidR="00986AA7" w:rsidRPr="00C068F4">
        <w:rPr>
          <w:iCs/>
          <w:color w:val="000000" w:themeColor="text1"/>
        </w:rPr>
        <w:t xml:space="preserve">, </w:t>
      </w:r>
      <w:r w:rsidR="00C971D5" w:rsidRPr="00C068F4">
        <w:rPr>
          <w:iCs/>
        </w:rPr>
        <w:t>in terms</w:t>
      </w:r>
      <w:r w:rsidR="004E7C7B" w:rsidRPr="00C068F4">
        <w:rPr>
          <w:iCs/>
        </w:rPr>
        <w:t xml:space="preserve"> of </w:t>
      </w:r>
      <w:r w:rsidR="00D270D3" w:rsidRPr="00C068F4">
        <w:rPr>
          <w:iCs/>
        </w:rPr>
        <w:t xml:space="preserve">the rate of cases of </w:t>
      </w:r>
      <w:r w:rsidR="004E7C7B" w:rsidRPr="00C068F4">
        <w:rPr>
          <w:iCs/>
        </w:rPr>
        <w:t xml:space="preserve">symptomatic </w:t>
      </w:r>
      <w:r w:rsidR="004E7C7B" w:rsidRPr="00C068F4">
        <w:rPr>
          <w:rStyle w:val="normaltextrun"/>
          <w:iCs/>
        </w:rPr>
        <w:t>COVID</w:t>
      </w:r>
      <w:r w:rsidR="004E7C7B" w:rsidRPr="00C068F4">
        <w:rPr>
          <w:rStyle w:val="normaltextrun"/>
          <w:iCs/>
        </w:rPr>
        <w:noBreakHyphen/>
        <w:t>19 cases avoided</w:t>
      </w:r>
      <w:r w:rsidR="00986AA7" w:rsidRPr="00C068F4">
        <w:rPr>
          <w:rStyle w:val="normaltextrun"/>
          <w:iCs/>
        </w:rPr>
        <w:t>,</w:t>
      </w:r>
      <w:r w:rsidR="004E7C7B" w:rsidRPr="00C068F4">
        <w:rPr>
          <w:rStyle w:val="normaltextrun"/>
          <w:iCs/>
        </w:rPr>
        <w:t xml:space="preserve"> </w:t>
      </w:r>
      <w:r w:rsidR="00D270D3" w:rsidRPr="00C068F4">
        <w:rPr>
          <w:rStyle w:val="normaltextrun"/>
          <w:iCs/>
        </w:rPr>
        <w:t xml:space="preserve">at 6 months is large but </w:t>
      </w:r>
      <w:r w:rsidR="004E7C7B" w:rsidRPr="00C068F4">
        <w:rPr>
          <w:rStyle w:val="normaltextrun"/>
          <w:iCs/>
        </w:rPr>
        <w:t>is not maintained at 12 months</w:t>
      </w:r>
      <w:r w:rsidR="00986AA7" w:rsidRPr="00C068F4">
        <w:rPr>
          <w:rStyle w:val="normaltextrun"/>
          <w:iCs/>
        </w:rPr>
        <w:t xml:space="preserve">. In contrast, there is a smaller </w:t>
      </w:r>
      <w:r w:rsidR="00594F77" w:rsidRPr="00C068F4">
        <w:rPr>
          <w:rStyle w:val="normaltextrun"/>
          <w:iCs/>
        </w:rPr>
        <w:t xml:space="preserve">incremental </w:t>
      </w:r>
      <w:r w:rsidR="00986AA7" w:rsidRPr="00C068F4">
        <w:rPr>
          <w:rStyle w:val="normaltextrun"/>
          <w:iCs/>
        </w:rPr>
        <w:t xml:space="preserve">benefit in </w:t>
      </w:r>
      <w:r w:rsidR="00236F42" w:rsidRPr="00C068F4">
        <w:rPr>
          <w:rStyle w:val="normaltextrun"/>
          <w:iCs/>
        </w:rPr>
        <w:t>terms of the rate of cases of severe or critical COVID</w:t>
      </w:r>
      <w:r w:rsidR="00236F42" w:rsidRPr="00C068F4">
        <w:rPr>
          <w:rStyle w:val="normaltextrun"/>
          <w:iCs/>
        </w:rPr>
        <w:noBreakHyphen/>
        <w:t xml:space="preserve">19 </w:t>
      </w:r>
      <w:r w:rsidR="00594F77" w:rsidRPr="00C068F4">
        <w:rPr>
          <w:rStyle w:val="normaltextrun"/>
          <w:iCs/>
        </w:rPr>
        <w:t xml:space="preserve">(as opposed to symptomatic </w:t>
      </w:r>
      <w:r w:rsidR="00AB7BC1" w:rsidRPr="00C068F4">
        <w:rPr>
          <w:rStyle w:val="normaltextrun"/>
          <w:iCs/>
        </w:rPr>
        <w:t>COVID</w:t>
      </w:r>
      <w:r w:rsidR="00AB7BC1" w:rsidRPr="00C068F4">
        <w:rPr>
          <w:rStyle w:val="normaltextrun"/>
          <w:iCs/>
        </w:rPr>
        <w:noBreakHyphen/>
        <w:t xml:space="preserve">19) </w:t>
      </w:r>
      <w:r w:rsidR="00236F42" w:rsidRPr="00C068F4">
        <w:rPr>
          <w:rStyle w:val="normaltextrun"/>
          <w:iCs/>
        </w:rPr>
        <w:t>at 6 months but the benefit</w:t>
      </w:r>
      <w:r w:rsidR="00396E4E" w:rsidRPr="00C068F4">
        <w:rPr>
          <w:rStyle w:val="normaltextrun"/>
          <w:iCs/>
        </w:rPr>
        <w:t xml:space="preserve"> observed </w:t>
      </w:r>
      <w:r w:rsidR="00AB7BC1" w:rsidRPr="00C068F4">
        <w:rPr>
          <w:rStyle w:val="normaltextrun"/>
          <w:iCs/>
        </w:rPr>
        <w:t xml:space="preserve">at 6 months </w:t>
      </w:r>
      <w:r w:rsidR="00396E4E" w:rsidRPr="00C068F4">
        <w:rPr>
          <w:rStyle w:val="normaltextrun"/>
          <w:iCs/>
        </w:rPr>
        <w:t>in PROVENT trial was</w:t>
      </w:r>
      <w:r w:rsidR="00236F42" w:rsidRPr="00C068F4">
        <w:rPr>
          <w:rStyle w:val="normaltextrun"/>
          <w:iCs/>
        </w:rPr>
        <w:t xml:space="preserve"> maintained through to 12 months.</w:t>
      </w:r>
    </w:p>
    <w:p w14:paraId="22F66323" w14:textId="16A85511" w:rsidR="007929B4" w:rsidRPr="00C068F4" w:rsidRDefault="007929B4" w:rsidP="00DC7B50">
      <w:pPr>
        <w:pStyle w:val="3-BodyText"/>
      </w:pPr>
      <w:r w:rsidRPr="00C068F4">
        <w:t xml:space="preserve">The PBAC noted </w:t>
      </w:r>
      <w:r w:rsidR="002B1736" w:rsidRPr="00C068F4">
        <w:t xml:space="preserve">that the </w:t>
      </w:r>
      <w:r w:rsidRPr="00C068F4">
        <w:t>incidence of symptomatic COVID-19 in the control arm of PROVENT was 9.5% (</w:t>
      </w:r>
      <w:r w:rsidR="002B1736" w:rsidRPr="00C068F4">
        <w:fldChar w:fldCharType="begin" w:fldLock="1"/>
      </w:r>
      <w:r w:rsidR="002B1736" w:rsidRPr="00C068F4">
        <w:instrText xml:space="preserve"> REF _Ref104805037 \h </w:instrText>
      </w:r>
      <w:r w:rsidR="002B1736" w:rsidRPr="00C068F4">
        <w:fldChar w:fldCharType="separate"/>
      </w:r>
      <w:r w:rsidR="00AB751C" w:rsidRPr="00C068F4">
        <w:t xml:space="preserve">Table </w:t>
      </w:r>
      <w:r w:rsidR="00AB751C">
        <w:rPr>
          <w:noProof/>
        </w:rPr>
        <w:t>12</w:t>
      </w:r>
      <w:r w:rsidR="002B1736" w:rsidRPr="00C068F4">
        <w:fldChar w:fldCharType="end"/>
      </w:r>
      <w:r w:rsidRPr="00C068F4">
        <w:t xml:space="preserve">). The PBAC acknowledged that the </w:t>
      </w:r>
      <w:r w:rsidR="002B1736" w:rsidRPr="00C068F4">
        <w:t>balance of b</w:t>
      </w:r>
      <w:r w:rsidRPr="00C068F4">
        <w:t>enefi</w:t>
      </w:r>
      <w:r w:rsidR="002B1736" w:rsidRPr="00C068F4">
        <w:t xml:space="preserve">ts and </w:t>
      </w:r>
      <w:r w:rsidRPr="00C068F4">
        <w:t>harm</w:t>
      </w:r>
      <w:r w:rsidR="002B1736" w:rsidRPr="00C068F4">
        <w:t>s</w:t>
      </w:r>
      <w:r w:rsidRPr="00C068F4">
        <w:t xml:space="preserve"> </w:t>
      </w:r>
      <w:r w:rsidR="00ED16C0">
        <w:t>may</w:t>
      </w:r>
      <w:r w:rsidR="00ED16C0" w:rsidRPr="00C068F4">
        <w:t xml:space="preserve"> </w:t>
      </w:r>
      <w:r w:rsidRPr="00C068F4">
        <w:t>be improved when high levels of the virus are circulating and when the virus circulating is highly pathogenic (if efficacy is assumed to be as observed in PROVENT).</w:t>
      </w:r>
    </w:p>
    <w:p w14:paraId="7A1772B6" w14:textId="23BB3145" w:rsidR="00B60939" w:rsidRPr="00C068F4" w:rsidRDefault="00B60939" w:rsidP="00E9094A">
      <w:pPr>
        <w:pStyle w:val="4-SubsectionHeading"/>
      </w:pPr>
      <w:bookmarkStart w:id="86" w:name="_Toc22897644"/>
      <w:bookmarkStart w:id="87" w:name="_Toc111710318"/>
      <w:r w:rsidRPr="00C068F4">
        <w:t>Clinical claim</w:t>
      </w:r>
      <w:bookmarkEnd w:id="86"/>
      <w:bookmarkEnd w:id="87"/>
    </w:p>
    <w:p w14:paraId="2A20439F" w14:textId="5D800CAE" w:rsidR="00287C72" w:rsidRDefault="005F7588" w:rsidP="00E9094A">
      <w:pPr>
        <w:pStyle w:val="3-BodyText"/>
        <w:rPr>
          <w:rFonts w:eastAsia="Calibri"/>
        </w:rPr>
      </w:pPr>
      <w:r w:rsidRPr="00C068F4">
        <w:rPr>
          <w:rFonts w:eastAsia="Calibri"/>
        </w:rPr>
        <w:t xml:space="preserve">The submission </w:t>
      </w:r>
      <w:r w:rsidR="00161738" w:rsidRPr="00C068F4">
        <w:rPr>
          <w:rFonts w:eastAsia="Calibri"/>
        </w:rPr>
        <w:t xml:space="preserve">implicitly </w:t>
      </w:r>
      <w:r w:rsidR="00A54B74" w:rsidRPr="00C068F4">
        <w:rPr>
          <w:rFonts w:eastAsia="Calibri"/>
        </w:rPr>
        <w:t>suggests</w:t>
      </w:r>
      <w:r w:rsidRPr="00C068F4">
        <w:rPr>
          <w:rFonts w:eastAsia="Calibri"/>
        </w:rPr>
        <w:t xml:space="preserve"> </w:t>
      </w:r>
      <w:r w:rsidR="00A463BE" w:rsidRPr="00C068F4">
        <w:rPr>
          <w:rFonts w:eastAsia="Calibri"/>
        </w:rPr>
        <w:t xml:space="preserve">that </w:t>
      </w:r>
      <w:r w:rsidR="004E3FE2" w:rsidRPr="00C068F4">
        <w:rPr>
          <w:rFonts w:eastAsia="Calibri"/>
          <w:color w:val="000000" w:themeColor="text1"/>
        </w:rPr>
        <w:t xml:space="preserve">tixagevimab </w:t>
      </w:r>
      <w:r w:rsidR="006A1E93" w:rsidRPr="00C068F4">
        <w:rPr>
          <w:rFonts w:eastAsia="Calibri"/>
          <w:color w:val="000000" w:themeColor="text1"/>
        </w:rPr>
        <w:t xml:space="preserve">300 mg </w:t>
      </w:r>
      <w:r w:rsidR="004E3FE2" w:rsidRPr="00C068F4">
        <w:rPr>
          <w:rFonts w:eastAsia="Calibri"/>
          <w:color w:val="000000" w:themeColor="text1"/>
        </w:rPr>
        <w:t>and cilgavimab</w:t>
      </w:r>
      <w:r w:rsidRPr="00C068F4">
        <w:rPr>
          <w:rFonts w:eastAsia="Calibri"/>
        </w:rPr>
        <w:t xml:space="preserve"> </w:t>
      </w:r>
      <w:r w:rsidR="006A1E93" w:rsidRPr="00C068F4">
        <w:rPr>
          <w:rFonts w:eastAsia="Calibri"/>
        </w:rPr>
        <w:t xml:space="preserve">300 mg administered every 6 months </w:t>
      </w:r>
      <w:r w:rsidR="00A463BE" w:rsidRPr="00C068F4">
        <w:rPr>
          <w:rFonts w:eastAsia="Calibri"/>
        </w:rPr>
        <w:t>is</w:t>
      </w:r>
      <w:r w:rsidRPr="00C068F4">
        <w:rPr>
          <w:rFonts w:eastAsia="Calibri"/>
        </w:rPr>
        <w:t xml:space="preserve"> superior in terms of effectiveness compared to </w:t>
      </w:r>
      <w:r w:rsidR="00396F49" w:rsidRPr="00C068F4">
        <w:rPr>
          <w:rFonts w:eastAsia="Calibri"/>
        </w:rPr>
        <w:t>placebo for PrEP against symptomatic COVID-19</w:t>
      </w:r>
      <w:r w:rsidR="00161738" w:rsidRPr="00C068F4">
        <w:rPr>
          <w:rFonts w:eastAsia="Calibri"/>
        </w:rPr>
        <w:t xml:space="preserve"> caused by any SARS-CoV-2 variant</w:t>
      </w:r>
      <w:r w:rsidRPr="00C068F4">
        <w:rPr>
          <w:rFonts w:eastAsia="Calibri"/>
        </w:rPr>
        <w:t>.</w:t>
      </w:r>
    </w:p>
    <w:p w14:paraId="32CEFA90" w14:textId="28A90829" w:rsidR="00287C72" w:rsidRDefault="005F7588" w:rsidP="00331394">
      <w:pPr>
        <w:pStyle w:val="3-BodyText"/>
        <w:rPr>
          <w:rFonts w:eastAsia="Calibri"/>
        </w:rPr>
      </w:pPr>
      <w:r w:rsidRPr="00C068F4">
        <w:rPr>
          <w:rFonts w:eastAsia="Calibri"/>
        </w:rPr>
        <w:t xml:space="preserve">The submission </w:t>
      </w:r>
      <w:r w:rsidR="008A5F45" w:rsidRPr="00C068F4">
        <w:rPr>
          <w:rFonts w:eastAsia="Calibri"/>
        </w:rPr>
        <w:t xml:space="preserve">does not make any explicit claim in regard to the safety of </w:t>
      </w:r>
      <w:r w:rsidR="008A5F45" w:rsidRPr="00C068F4">
        <w:rPr>
          <w:rFonts w:eastAsia="Calibri"/>
          <w:color w:val="000000" w:themeColor="text1"/>
        </w:rPr>
        <w:t>tixagevimab 300 mg and cilgavimab</w:t>
      </w:r>
      <w:r w:rsidR="008A5F45" w:rsidRPr="00C068F4">
        <w:rPr>
          <w:rFonts w:eastAsia="Calibri"/>
        </w:rPr>
        <w:t xml:space="preserve"> 300 mg administered every 6 months</w:t>
      </w:r>
      <w:r w:rsidR="00E01150" w:rsidRPr="00C068F4">
        <w:rPr>
          <w:rFonts w:eastAsia="Calibri"/>
        </w:rPr>
        <w:t>.</w:t>
      </w:r>
    </w:p>
    <w:p w14:paraId="77D425AD" w14:textId="7DD94414" w:rsidR="00722AA3" w:rsidRPr="00C068F4" w:rsidRDefault="00722AA3" w:rsidP="001B035F">
      <w:pPr>
        <w:widowControl w:val="0"/>
        <w:numPr>
          <w:ilvl w:val="1"/>
          <w:numId w:val="1"/>
        </w:numPr>
        <w:spacing w:after="120"/>
        <w:rPr>
          <w:rFonts w:asciiTheme="minorHAnsi" w:hAnsiTheme="minorHAnsi"/>
          <w:snapToGrid w:val="0"/>
          <w:szCs w:val="20"/>
        </w:rPr>
      </w:pPr>
      <w:r w:rsidRPr="00C068F4">
        <w:t xml:space="preserve">The PBAC considered that safety and effectiveness of </w:t>
      </w:r>
      <w:r w:rsidR="00FE0FF7" w:rsidRPr="00C068F4">
        <w:t>the proposed dosing regimen</w:t>
      </w:r>
      <w:r w:rsidRPr="00C068F4">
        <w:t xml:space="preserve"> tixagevimab 300 mg and cilgavimab 300 mg every 6 months had not been </w:t>
      </w:r>
      <w:r w:rsidR="00FE0FF7" w:rsidRPr="00C068F4">
        <w:t>established</w:t>
      </w:r>
      <w:r w:rsidRPr="00C068F4">
        <w:t>.</w:t>
      </w:r>
    </w:p>
    <w:p w14:paraId="204BF0E1" w14:textId="6BD0D328" w:rsidR="00331394" w:rsidRDefault="00FE0FF7" w:rsidP="003461AA">
      <w:pPr>
        <w:widowControl w:val="0"/>
        <w:spacing w:after="120"/>
        <w:ind w:firstLine="720"/>
        <w:rPr>
          <w:i/>
          <w:iCs/>
        </w:rPr>
      </w:pPr>
      <w:r w:rsidRPr="00C068F4">
        <w:rPr>
          <w:i/>
          <w:iCs/>
        </w:rPr>
        <w:t>For more detail on PBAC’s view, see section 7 PBAC outcome</w:t>
      </w:r>
      <w:r w:rsidR="007F51B8" w:rsidRPr="00C068F4">
        <w:rPr>
          <w:i/>
          <w:iCs/>
        </w:rPr>
        <w:t>.</w:t>
      </w:r>
    </w:p>
    <w:p w14:paraId="45419D91" w14:textId="68FBC476" w:rsidR="00B83515" w:rsidRPr="00C068F4" w:rsidRDefault="00B83515" w:rsidP="00B83515">
      <w:pPr>
        <w:pStyle w:val="4-SubsectionHeading"/>
        <w:rPr>
          <w:snapToGrid w:val="0"/>
        </w:rPr>
      </w:pPr>
      <w:r>
        <w:rPr>
          <w:snapToGrid w:val="0"/>
        </w:rPr>
        <w:t>Economic analysis</w:t>
      </w:r>
    </w:p>
    <w:p w14:paraId="15D03EB7" w14:textId="7C54B500" w:rsidR="008578D2" w:rsidRPr="00C068F4" w:rsidRDefault="00073665" w:rsidP="00641FB3">
      <w:pPr>
        <w:pStyle w:val="3-BodyText"/>
        <w:rPr>
          <w:b/>
          <w:bCs/>
          <w:color w:val="000000" w:themeColor="text1"/>
        </w:rPr>
      </w:pPr>
      <w:bookmarkStart w:id="88" w:name="_Ref110859848"/>
      <w:r w:rsidRPr="00C068F4">
        <w:rPr>
          <w:color w:val="000000" w:themeColor="text1"/>
        </w:rPr>
        <w:t xml:space="preserve">A </w:t>
      </w:r>
      <w:r w:rsidR="006568C7" w:rsidRPr="00C068F4">
        <w:rPr>
          <w:color w:val="000000" w:themeColor="text1"/>
        </w:rPr>
        <w:t xml:space="preserve">modelled </w:t>
      </w:r>
      <w:r w:rsidRPr="00C068F4">
        <w:rPr>
          <w:color w:val="000000" w:themeColor="text1"/>
        </w:rPr>
        <w:t xml:space="preserve">cost-utility analysis </w:t>
      </w:r>
      <w:r w:rsidR="0061081D" w:rsidRPr="00C068F4">
        <w:rPr>
          <w:color w:val="000000" w:themeColor="text1"/>
        </w:rPr>
        <w:t>was</w:t>
      </w:r>
      <w:r w:rsidRPr="00C068F4">
        <w:rPr>
          <w:color w:val="000000" w:themeColor="text1"/>
        </w:rPr>
        <w:t xml:space="preserve"> conducted to inform </w:t>
      </w:r>
      <w:r w:rsidR="00CC1F61" w:rsidRPr="00C068F4">
        <w:rPr>
          <w:color w:val="000000" w:themeColor="text1"/>
        </w:rPr>
        <w:t xml:space="preserve">consideration of </w:t>
      </w:r>
      <w:r w:rsidR="0061081D" w:rsidRPr="00C068F4">
        <w:rPr>
          <w:color w:val="000000" w:themeColor="text1"/>
        </w:rPr>
        <w:t xml:space="preserve">the </w:t>
      </w:r>
      <w:r w:rsidR="009B19EF" w:rsidRPr="00C068F4">
        <w:rPr>
          <w:color w:val="000000" w:themeColor="text1"/>
        </w:rPr>
        <w:t xml:space="preserve">performance of tixagevimab and cilgavimab </w:t>
      </w:r>
      <w:r w:rsidR="00FB5923" w:rsidRPr="00C068F4">
        <w:rPr>
          <w:color w:val="000000" w:themeColor="text1"/>
        </w:rPr>
        <w:t>for PrEP</w:t>
      </w:r>
      <w:r w:rsidR="00CC1F61" w:rsidRPr="00C068F4">
        <w:rPr>
          <w:color w:val="000000" w:themeColor="text1"/>
        </w:rPr>
        <w:t xml:space="preserve"> against COVID-19</w:t>
      </w:r>
      <w:r w:rsidR="00FB5923" w:rsidRPr="00C068F4">
        <w:rPr>
          <w:color w:val="000000" w:themeColor="text1"/>
        </w:rPr>
        <w:t>, relative to placebo (as a proxy for n</w:t>
      </w:r>
      <w:r w:rsidR="00CC1F61" w:rsidRPr="00C068F4">
        <w:rPr>
          <w:color w:val="000000" w:themeColor="text1"/>
        </w:rPr>
        <w:t>o PrEP)</w:t>
      </w:r>
      <w:r w:rsidR="00FB5923" w:rsidRPr="00C068F4">
        <w:rPr>
          <w:color w:val="000000" w:themeColor="text1"/>
        </w:rPr>
        <w:t xml:space="preserve"> </w:t>
      </w:r>
      <w:r w:rsidR="009B19EF" w:rsidRPr="00C068F4">
        <w:rPr>
          <w:color w:val="000000" w:themeColor="text1"/>
        </w:rPr>
        <w:t xml:space="preserve">from an economic perspective. The submission </w:t>
      </w:r>
      <w:r w:rsidR="0061081D" w:rsidRPr="00C068F4">
        <w:rPr>
          <w:color w:val="000000" w:themeColor="text1"/>
        </w:rPr>
        <w:t>did</w:t>
      </w:r>
      <w:r w:rsidR="009B19EF" w:rsidRPr="00C068F4">
        <w:rPr>
          <w:color w:val="000000" w:themeColor="text1"/>
        </w:rPr>
        <w:t xml:space="preserve"> not present it</w:t>
      </w:r>
      <w:r w:rsidR="003E7DED" w:rsidRPr="00C068F4">
        <w:rPr>
          <w:color w:val="000000" w:themeColor="text1"/>
        </w:rPr>
        <w:t xml:space="preserve">s own model but </w:t>
      </w:r>
      <w:r w:rsidR="0061081D" w:rsidRPr="00C068F4">
        <w:rPr>
          <w:color w:val="000000" w:themeColor="text1"/>
        </w:rPr>
        <w:t>did</w:t>
      </w:r>
      <w:r w:rsidR="003E7DED" w:rsidRPr="00C068F4">
        <w:rPr>
          <w:color w:val="000000" w:themeColor="text1"/>
        </w:rPr>
        <w:t xml:space="preserve"> provide comment on the model included in</w:t>
      </w:r>
      <w:r w:rsidR="00622B44" w:rsidRPr="00C068F4">
        <w:rPr>
          <w:color w:val="000000" w:themeColor="text1"/>
        </w:rPr>
        <w:t xml:space="preserve"> the</w:t>
      </w:r>
      <w:r w:rsidR="003E7DED" w:rsidRPr="00C068F4">
        <w:rPr>
          <w:color w:val="000000" w:themeColor="text1"/>
        </w:rPr>
        <w:t xml:space="preserve"> </w:t>
      </w:r>
      <w:r w:rsidR="003E7DED" w:rsidRPr="00C068F4">
        <w:rPr>
          <w:color w:val="000000" w:themeColor="text1"/>
        </w:rPr>
        <w:lastRenderedPageBreak/>
        <w:t xml:space="preserve">rapid HTA </w:t>
      </w:r>
      <w:r w:rsidR="00CD5AA7" w:rsidRPr="00C068F4">
        <w:rPr>
          <w:color w:val="000000" w:themeColor="text1"/>
        </w:rPr>
        <w:t>commissioned by the Department in</w:t>
      </w:r>
      <w:r w:rsidR="008578D2" w:rsidRPr="00C068F4">
        <w:rPr>
          <w:color w:val="000000" w:themeColor="text1"/>
        </w:rPr>
        <w:t xml:space="preserve"> late November 2021.</w:t>
      </w:r>
      <w:bookmarkEnd w:id="88"/>
      <w:r w:rsidR="00161738" w:rsidRPr="00C068F4">
        <w:rPr>
          <w:color w:val="000000" w:themeColor="text1"/>
        </w:rPr>
        <w:t xml:space="preserve"> The same model, with some updated inputs, was presented for this PBAC consideration.</w:t>
      </w:r>
    </w:p>
    <w:p w14:paraId="2705C03D" w14:textId="4D4C13D1" w:rsidR="00E54A64" w:rsidRPr="00C068F4" w:rsidRDefault="00E54A64" w:rsidP="00E54A64">
      <w:pPr>
        <w:pStyle w:val="3-BodyText"/>
        <w:rPr>
          <w:color w:val="000000" w:themeColor="text1"/>
        </w:rPr>
      </w:pPr>
      <w:r w:rsidRPr="00C068F4">
        <w:rPr>
          <w:color w:val="000000" w:themeColor="text1"/>
        </w:rPr>
        <w:t xml:space="preserve">The analysis captures the following benefits of treatment with </w:t>
      </w:r>
      <w:r w:rsidR="00013286" w:rsidRPr="00C068F4">
        <w:rPr>
          <w:color w:val="000000" w:themeColor="text1"/>
        </w:rPr>
        <w:t>tixagevimab and cilgavimab</w:t>
      </w:r>
      <w:r w:rsidRPr="00C068F4">
        <w:rPr>
          <w:color w:val="000000" w:themeColor="text1"/>
        </w:rPr>
        <w:t>:</w:t>
      </w:r>
    </w:p>
    <w:p w14:paraId="5E45A2DA" w14:textId="67264C8C" w:rsidR="00013286" w:rsidRPr="00C068F4" w:rsidRDefault="00E54A64" w:rsidP="00D94F7C">
      <w:pPr>
        <w:pStyle w:val="3-BodyText"/>
        <w:numPr>
          <w:ilvl w:val="0"/>
          <w:numId w:val="8"/>
        </w:numPr>
        <w:rPr>
          <w:color w:val="000000" w:themeColor="text1"/>
        </w:rPr>
      </w:pPr>
      <w:r w:rsidRPr="00C068F4">
        <w:rPr>
          <w:color w:val="000000" w:themeColor="text1"/>
        </w:rPr>
        <w:t>Reduced risk of developing symptomatic COVID</w:t>
      </w:r>
      <w:r w:rsidR="00E74EC5" w:rsidRPr="00C068F4">
        <w:rPr>
          <w:color w:val="000000" w:themeColor="text1"/>
        </w:rPr>
        <w:t>-</w:t>
      </w:r>
      <w:r w:rsidRPr="00C068F4">
        <w:rPr>
          <w:color w:val="000000" w:themeColor="text1"/>
        </w:rPr>
        <w:t>19</w:t>
      </w:r>
    </w:p>
    <w:p w14:paraId="7601FF70" w14:textId="1510540A" w:rsidR="00E54A64" w:rsidRPr="00C068F4" w:rsidRDefault="00E54A64" w:rsidP="00D94F7C">
      <w:pPr>
        <w:pStyle w:val="3-BodyText"/>
        <w:numPr>
          <w:ilvl w:val="0"/>
          <w:numId w:val="8"/>
        </w:numPr>
        <w:rPr>
          <w:color w:val="000000" w:themeColor="text1"/>
        </w:rPr>
      </w:pPr>
      <w:r w:rsidRPr="00C068F4">
        <w:rPr>
          <w:color w:val="000000" w:themeColor="text1"/>
        </w:rPr>
        <w:t>Reduced probability of hospitalisation through Day 28, which is assumed to correspond to a reduced probability of death through Day 28</w:t>
      </w:r>
    </w:p>
    <w:p w14:paraId="2B601FE7" w14:textId="58AB1306" w:rsidR="00536B69" w:rsidRPr="00C068F4" w:rsidRDefault="00E74EC5" w:rsidP="008C5739">
      <w:pPr>
        <w:pStyle w:val="3-BodyText"/>
        <w:rPr>
          <w:color w:val="000000" w:themeColor="text1"/>
        </w:rPr>
      </w:pPr>
      <w:r w:rsidRPr="00C068F4">
        <w:rPr>
          <w:color w:val="000000" w:themeColor="text1"/>
        </w:rPr>
        <w:t xml:space="preserve">Patients who develop symptomatic COVID-19 are distributed across a number of health states according to time to </w:t>
      </w:r>
      <w:r w:rsidR="006E1C65" w:rsidRPr="00C068F4">
        <w:rPr>
          <w:color w:val="000000" w:themeColor="text1"/>
        </w:rPr>
        <w:t>sustained symptom alleviation by Day 7, Day 14 and Day 21 after initiation of treatment</w:t>
      </w:r>
      <w:r w:rsidR="00075E8F" w:rsidRPr="00C068F4">
        <w:rPr>
          <w:color w:val="000000" w:themeColor="text1"/>
        </w:rPr>
        <w:t xml:space="preserve">. As no evidence of reduced time to symptom alleviation is presented for tixagevimab and cilgavimab, the distribution of patients across these health states is the same in both arms of the model (though the proportion of </w:t>
      </w:r>
      <w:r w:rsidR="00536B69" w:rsidRPr="00C068F4">
        <w:rPr>
          <w:color w:val="000000" w:themeColor="text1"/>
        </w:rPr>
        <w:t>patients developing symptomatic COVID-19 is lower in the tixagevimab and cilgavimab arm in the model)</w:t>
      </w:r>
      <w:r w:rsidR="00953340" w:rsidRPr="00C068F4">
        <w:rPr>
          <w:color w:val="000000" w:themeColor="text1"/>
        </w:rPr>
        <w:t>.</w:t>
      </w:r>
    </w:p>
    <w:p w14:paraId="0300E774" w14:textId="648E83B6" w:rsidR="00BC43B7" w:rsidRPr="00C068F4" w:rsidRDefault="00536B69" w:rsidP="008C5739">
      <w:pPr>
        <w:pStyle w:val="3-BodyText"/>
        <w:rPr>
          <w:color w:val="000000" w:themeColor="text1"/>
        </w:rPr>
      </w:pPr>
      <w:r w:rsidRPr="00C068F4">
        <w:rPr>
          <w:color w:val="000000" w:themeColor="text1"/>
        </w:rPr>
        <w:t xml:space="preserve">Patients who require hospitalisation </w:t>
      </w:r>
      <w:r w:rsidR="006C36D2" w:rsidRPr="00C068F4">
        <w:rPr>
          <w:color w:val="000000" w:themeColor="text1"/>
        </w:rPr>
        <w:t>for severe or critical COVID-19 are distributed across health states that reflect</w:t>
      </w:r>
      <w:r w:rsidR="006E1C65" w:rsidRPr="00C068F4">
        <w:rPr>
          <w:color w:val="000000" w:themeColor="text1"/>
        </w:rPr>
        <w:t xml:space="preserve"> length of stay </w:t>
      </w:r>
      <w:r w:rsidR="009438F9" w:rsidRPr="00C068F4">
        <w:rPr>
          <w:color w:val="000000" w:themeColor="text1"/>
        </w:rPr>
        <w:t xml:space="preserve">in hospital </w:t>
      </w:r>
      <w:r w:rsidR="006E1C65" w:rsidRPr="00C068F4">
        <w:rPr>
          <w:color w:val="000000" w:themeColor="text1"/>
        </w:rPr>
        <w:t>(1-</w:t>
      </w:r>
      <w:r w:rsidR="0032673A" w:rsidRPr="00C068F4">
        <w:rPr>
          <w:color w:val="000000" w:themeColor="text1"/>
        </w:rPr>
        <w:t>8</w:t>
      </w:r>
      <w:r w:rsidR="006E1C65" w:rsidRPr="00C068F4">
        <w:rPr>
          <w:color w:val="000000" w:themeColor="text1"/>
        </w:rPr>
        <w:t xml:space="preserve"> days, 9-15 days, 1</w:t>
      </w:r>
      <w:r w:rsidR="00913981" w:rsidRPr="00C068F4">
        <w:rPr>
          <w:color w:val="000000" w:themeColor="text1"/>
        </w:rPr>
        <w:t>6</w:t>
      </w:r>
      <w:r w:rsidR="006E1C65" w:rsidRPr="00C068F4">
        <w:rPr>
          <w:color w:val="000000" w:themeColor="text1"/>
        </w:rPr>
        <w:t xml:space="preserve"> to 22 days, ≥ 2</w:t>
      </w:r>
      <w:r w:rsidR="00C61D42" w:rsidRPr="00C068F4">
        <w:rPr>
          <w:color w:val="000000" w:themeColor="text1"/>
        </w:rPr>
        <w:t>3</w:t>
      </w:r>
      <w:r w:rsidR="006E1C65" w:rsidRPr="00C068F4">
        <w:rPr>
          <w:color w:val="000000" w:themeColor="text1"/>
        </w:rPr>
        <w:t xml:space="preserve"> days)</w:t>
      </w:r>
      <w:r w:rsidR="009438F9" w:rsidRPr="00C068F4">
        <w:rPr>
          <w:color w:val="000000" w:themeColor="text1"/>
        </w:rPr>
        <w:t xml:space="preserve"> and </w:t>
      </w:r>
      <w:r w:rsidR="006E1C65" w:rsidRPr="00C068F4">
        <w:rPr>
          <w:color w:val="000000" w:themeColor="text1"/>
        </w:rPr>
        <w:t>length of stay in an intensive care unit (ICU) (</w:t>
      </w:r>
      <w:r w:rsidR="0094597E" w:rsidRPr="00C068F4">
        <w:rPr>
          <w:color w:val="000000" w:themeColor="text1"/>
        </w:rPr>
        <w:t>1-8 days, 9-15 days, 16 to 22 days, ≥ 23 days</w:t>
      </w:r>
      <w:r w:rsidR="006E1C65" w:rsidRPr="00C068F4">
        <w:rPr>
          <w:color w:val="000000" w:themeColor="text1"/>
        </w:rPr>
        <w:t xml:space="preserve">). </w:t>
      </w:r>
      <w:r w:rsidR="002E5FE1" w:rsidRPr="00C068F4">
        <w:rPr>
          <w:color w:val="000000" w:themeColor="text1"/>
        </w:rPr>
        <w:t xml:space="preserve">Again, as </w:t>
      </w:r>
      <w:r w:rsidR="006E1C65" w:rsidRPr="00C068F4">
        <w:rPr>
          <w:color w:val="000000" w:themeColor="text1"/>
        </w:rPr>
        <w:t xml:space="preserve">no evidence of </w:t>
      </w:r>
      <w:r w:rsidR="002E5FE1" w:rsidRPr="00C068F4">
        <w:rPr>
          <w:color w:val="000000" w:themeColor="text1"/>
        </w:rPr>
        <w:t xml:space="preserve">differential length of stay in hospital or ICU is </w:t>
      </w:r>
      <w:r w:rsidR="006E1C65" w:rsidRPr="00C068F4">
        <w:rPr>
          <w:color w:val="000000" w:themeColor="text1"/>
        </w:rPr>
        <w:t xml:space="preserve">presented in the materials provided by the </w:t>
      </w:r>
      <w:r w:rsidR="00C04AD2" w:rsidRPr="00C068F4">
        <w:rPr>
          <w:color w:val="000000" w:themeColor="text1"/>
        </w:rPr>
        <w:t>Sponsor</w:t>
      </w:r>
      <w:r w:rsidR="00E97115" w:rsidRPr="00C068F4">
        <w:rPr>
          <w:color w:val="000000" w:themeColor="text1"/>
        </w:rPr>
        <w:t xml:space="preserve">, the distribution of patients across these health states is identical in both arms of the model (though the proportion of patients </w:t>
      </w:r>
      <w:r w:rsidR="00BD5E4F" w:rsidRPr="00C068F4">
        <w:rPr>
          <w:color w:val="000000" w:themeColor="text1"/>
        </w:rPr>
        <w:t>requiring hospitalisation is assumed to be reduced).</w:t>
      </w:r>
    </w:p>
    <w:p w14:paraId="12C313F2" w14:textId="30DE0D10" w:rsidR="005E312B" w:rsidRPr="00C068F4" w:rsidRDefault="00CC2087" w:rsidP="008C5739">
      <w:pPr>
        <w:pStyle w:val="3-BodyText"/>
        <w:rPr>
          <w:color w:val="000000" w:themeColor="text1"/>
        </w:rPr>
      </w:pPr>
      <w:r w:rsidRPr="00C068F4">
        <w:rPr>
          <w:color w:val="000000" w:themeColor="text1"/>
        </w:rPr>
        <w:t>T</w:t>
      </w:r>
      <w:r w:rsidR="00D8491E" w:rsidRPr="00C068F4">
        <w:rPr>
          <w:color w:val="000000" w:themeColor="text1"/>
        </w:rPr>
        <w:t>he key drivers of outcomes generated by the model are: (i) the difference between tixagevimab and cilgavimab and placebo in risk of developing symptomatic COVID-19; and (ii) for patients who develop COVID</w:t>
      </w:r>
      <w:r w:rsidR="006F0614" w:rsidRPr="00C068F4">
        <w:rPr>
          <w:color w:val="000000" w:themeColor="text1"/>
        </w:rPr>
        <w:t>-</w:t>
      </w:r>
      <w:r w:rsidR="00D8491E" w:rsidRPr="00C068F4">
        <w:rPr>
          <w:color w:val="000000" w:themeColor="text1"/>
        </w:rPr>
        <w:t>19, the differential relative risk of hospitalisation (or death)</w:t>
      </w:r>
      <w:r w:rsidR="003073E0" w:rsidRPr="00C068F4">
        <w:rPr>
          <w:color w:val="000000" w:themeColor="text1"/>
        </w:rPr>
        <w:t xml:space="preserve">, which is estimated </w:t>
      </w:r>
      <w:r w:rsidR="00723C78" w:rsidRPr="00C068F4">
        <w:rPr>
          <w:color w:val="000000" w:themeColor="text1"/>
        </w:rPr>
        <w:t>based on incidence of severe or critical COVID-19</w:t>
      </w:r>
      <w:r w:rsidR="00D8491E" w:rsidRPr="00C068F4">
        <w:rPr>
          <w:color w:val="000000" w:themeColor="text1"/>
        </w:rPr>
        <w:t>.</w:t>
      </w:r>
    </w:p>
    <w:p w14:paraId="078C64DB" w14:textId="77777777" w:rsidR="00B118BD" w:rsidRPr="00C068F4" w:rsidRDefault="00012EE1" w:rsidP="008C5739">
      <w:pPr>
        <w:pStyle w:val="3-BodyText"/>
        <w:rPr>
          <w:color w:val="000000" w:themeColor="text1"/>
        </w:rPr>
      </w:pPr>
      <w:r w:rsidRPr="00C068F4">
        <w:t>The model is used to run t</w:t>
      </w:r>
      <w:r w:rsidR="003B29DA" w:rsidRPr="00C068F4">
        <w:t>wo base-case</w:t>
      </w:r>
      <w:r w:rsidRPr="00C068F4">
        <w:t xml:space="preserve"> economic analyses.</w:t>
      </w:r>
    </w:p>
    <w:p w14:paraId="4F37E545" w14:textId="23CDCCA5" w:rsidR="00B118BD" w:rsidRPr="00C068F4" w:rsidRDefault="00310FD8" w:rsidP="008C5739">
      <w:pPr>
        <w:pStyle w:val="3-BodyText"/>
        <w:rPr>
          <w:color w:val="000000" w:themeColor="text1"/>
        </w:rPr>
      </w:pPr>
      <w:r w:rsidRPr="00C068F4">
        <w:t>One</w:t>
      </w:r>
      <w:r w:rsidR="00AE1A8B" w:rsidRPr="00C068F4">
        <w:t xml:space="preserve"> model assesses costs and outcomes</w:t>
      </w:r>
      <w:r w:rsidR="00760F37" w:rsidRPr="00C068F4">
        <w:t xml:space="preserve"> </w:t>
      </w:r>
      <w:r w:rsidR="00003047" w:rsidRPr="00C068F4">
        <w:t xml:space="preserve">assuming the treatment effect for </w:t>
      </w:r>
      <w:r w:rsidR="00003047" w:rsidRPr="00C068F4">
        <w:rPr>
          <w:color w:val="000000" w:themeColor="text1"/>
        </w:rPr>
        <w:t>tixagevimab 300 mg and cilgavimab</w:t>
      </w:r>
      <w:r w:rsidR="00003047" w:rsidRPr="00C068F4">
        <w:t xml:space="preserve"> 300 mg lasts for only 6 months when used in an environment where the majority of SARS-CoV-2 infections are due to Omicron subvariants BA.4 and BA.5</w:t>
      </w:r>
      <w:r w:rsidR="001C09C9" w:rsidRPr="00C068F4">
        <w:t xml:space="preserve">. This analysis applies outcomes as observed at 6 months with </w:t>
      </w:r>
      <w:r w:rsidR="00003047" w:rsidRPr="00C068F4">
        <w:rPr>
          <w:color w:val="000000" w:themeColor="text1"/>
        </w:rPr>
        <w:t>tixagevimab 150 mg and cilgavimab 150 mg</w:t>
      </w:r>
      <w:r w:rsidR="00003047" w:rsidRPr="00C068F4">
        <w:t xml:space="preserve"> in the PROVENT trial</w:t>
      </w:r>
      <w:r w:rsidR="001C09C9" w:rsidRPr="00C068F4">
        <w:t>.</w:t>
      </w:r>
      <w:r w:rsidR="00EE147B" w:rsidRPr="00C068F4">
        <w:t xml:space="preserve"> This model is hereafter referred to as the “6-month model”.</w:t>
      </w:r>
    </w:p>
    <w:p w14:paraId="40FCA281" w14:textId="77AACEFA" w:rsidR="003B12D8" w:rsidRPr="00C068F4" w:rsidRDefault="00B118BD" w:rsidP="008C5739">
      <w:pPr>
        <w:pStyle w:val="3-BodyText"/>
        <w:rPr>
          <w:color w:val="000000" w:themeColor="text1"/>
        </w:rPr>
      </w:pPr>
      <w:r w:rsidRPr="00C068F4">
        <w:t xml:space="preserve">The other model assesses costs and outcomes assuming the treatment effect for </w:t>
      </w:r>
      <w:r w:rsidRPr="00C068F4">
        <w:rPr>
          <w:color w:val="000000" w:themeColor="text1"/>
        </w:rPr>
        <w:t>tixagevimab 300 mg and cilgavimab</w:t>
      </w:r>
      <w:r w:rsidRPr="00C068F4">
        <w:t xml:space="preserve"> 300 mg, when used in an environment where the majority of SARS-CoV-2 infections are due to Omicron subvariants BA.4 and BA.5, is the same as the treatment effect observed at 12 months with </w:t>
      </w:r>
      <w:r w:rsidRPr="00C068F4">
        <w:rPr>
          <w:color w:val="000000" w:themeColor="text1"/>
        </w:rPr>
        <w:t>tixagevimab 150 mg and cilgavimab 150 mg</w:t>
      </w:r>
      <w:r w:rsidRPr="00C068F4">
        <w:t xml:space="preserve"> in the PROVENT trial. </w:t>
      </w:r>
      <w:r w:rsidR="002D75C2" w:rsidRPr="00C068F4">
        <w:t>Essentially, t</w:t>
      </w:r>
      <w:r w:rsidRPr="00C068F4">
        <w:t xml:space="preserve">his model assumes that redosing </w:t>
      </w:r>
      <w:r w:rsidRPr="00C068F4">
        <w:lastRenderedPageBreak/>
        <w:t xml:space="preserve">with </w:t>
      </w:r>
      <w:r w:rsidRPr="00C068F4">
        <w:rPr>
          <w:color w:val="000000" w:themeColor="text1"/>
        </w:rPr>
        <w:t>tixagevimab 300 mg and cilgavimab 300 mg would not occur at an interval less than annually</w:t>
      </w:r>
      <w:r w:rsidR="007501A3" w:rsidRPr="00C068F4">
        <w:rPr>
          <w:color w:val="000000" w:themeColor="text1"/>
        </w:rPr>
        <w:t xml:space="preserve">. </w:t>
      </w:r>
      <w:r w:rsidR="00C43847" w:rsidRPr="00C068F4">
        <w:rPr>
          <w:color w:val="000000" w:themeColor="text1"/>
        </w:rPr>
        <w:t>This model is</w:t>
      </w:r>
      <w:r w:rsidR="00DA29E1" w:rsidRPr="00C068F4">
        <w:rPr>
          <w:color w:val="000000" w:themeColor="text1"/>
        </w:rPr>
        <w:t xml:space="preserve"> hereafter</w:t>
      </w:r>
      <w:r w:rsidR="00C43847" w:rsidRPr="00C068F4">
        <w:rPr>
          <w:color w:val="000000" w:themeColor="text1"/>
        </w:rPr>
        <w:t xml:space="preserve"> referred to as the “12-month model”.</w:t>
      </w:r>
    </w:p>
    <w:p w14:paraId="58E31723" w14:textId="510799B0" w:rsidR="0053580A" w:rsidRPr="00C068F4" w:rsidRDefault="0053580A" w:rsidP="008C5739">
      <w:pPr>
        <w:pStyle w:val="3-BodyText"/>
        <w:rPr>
          <w:color w:val="000000" w:themeColor="text1"/>
        </w:rPr>
      </w:pPr>
      <w:r w:rsidRPr="00C068F4">
        <w:t>Neither of the models incorporate costs of managing adverse events.</w:t>
      </w:r>
      <w:r w:rsidR="00D26FEF" w:rsidRPr="00C068F4">
        <w:t xml:space="preserve"> Th</w:t>
      </w:r>
      <w:r w:rsidR="00D45943" w:rsidRPr="00C068F4">
        <w:t>e exclusion of these costs means</w:t>
      </w:r>
      <w:r w:rsidR="00BC6562" w:rsidRPr="00C068F4">
        <w:t xml:space="preserve"> </w:t>
      </w:r>
      <w:r w:rsidR="00D45943" w:rsidRPr="00C068F4">
        <w:t xml:space="preserve">that </w:t>
      </w:r>
      <w:r w:rsidR="00BC6562" w:rsidRPr="00C068F4">
        <w:t>the results of the economic analys</w:t>
      </w:r>
      <w:r w:rsidR="00CC2087" w:rsidRPr="00C068F4">
        <w:t>e</w:t>
      </w:r>
      <w:r w:rsidR="00BC6562" w:rsidRPr="00C068F4">
        <w:t>s</w:t>
      </w:r>
      <w:r w:rsidR="00D45943" w:rsidRPr="00C068F4">
        <w:t xml:space="preserve"> are biased</w:t>
      </w:r>
      <w:r w:rsidR="00BC6562" w:rsidRPr="00C068F4">
        <w:t xml:space="preserve"> in favour of </w:t>
      </w:r>
      <w:r w:rsidR="00BC6562" w:rsidRPr="00C068F4">
        <w:rPr>
          <w:color w:val="000000" w:themeColor="text1"/>
        </w:rPr>
        <w:t>tixagevimab and cilgavimab.</w:t>
      </w:r>
    </w:p>
    <w:p w14:paraId="525CDA6E" w14:textId="2B9FD8BE" w:rsidR="00012EE1" w:rsidRPr="00C068F4" w:rsidRDefault="001C09C9" w:rsidP="008C5739">
      <w:pPr>
        <w:pStyle w:val="3-BodyText"/>
        <w:rPr>
          <w:color w:val="000000" w:themeColor="text1"/>
        </w:rPr>
      </w:pPr>
      <w:bookmarkStart w:id="89" w:name="_Ref113362670"/>
      <w:r w:rsidRPr="00C068F4">
        <w:t xml:space="preserve">Both of these analyses could be considered favourable to </w:t>
      </w:r>
      <w:r w:rsidRPr="00C068F4">
        <w:rPr>
          <w:color w:val="000000" w:themeColor="text1"/>
        </w:rPr>
        <w:t xml:space="preserve">tixagevimab and cilgavimab given the lack of evidence to support </w:t>
      </w:r>
      <w:r w:rsidR="0013492B" w:rsidRPr="00C068F4">
        <w:rPr>
          <w:color w:val="000000" w:themeColor="text1"/>
        </w:rPr>
        <w:t>the assumption that tixagevimab 300 mg and cilgavimab 300 mg will be as effective</w:t>
      </w:r>
      <w:r w:rsidR="0053580A" w:rsidRPr="00C068F4">
        <w:rPr>
          <w:color w:val="000000" w:themeColor="text1"/>
        </w:rPr>
        <w:t xml:space="preserve"> and safe</w:t>
      </w:r>
      <w:r w:rsidR="0013492B" w:rsidRPr="00C068F4">
        <w:rPr>
          <w:color w:val="000000" w:themeColor="text1"/>
        </w:rPr>
        <w:t xml:space="preserve"> in an environment where</w:t>
      </w:r>
      <w:r w:rsidR="00E2044C" w:rsidRPr="00C068F4">
        <w:rPr>
          <w:color w:val="000000" w:themeColor="text1"/>
        </w:rPr>
        <w:t xml:space="preserve"> the</w:t>
      </w:r>
      <w:r w:rsidR="0013492B" w:rsidRPr="00C068F4">
        <w:rPr>
          <w:color w:val="000000" w:themeColor="text1"/>
        </w:rPr>
        <w:t xml:space="preserve"> </w:t>
      </w:r>
      <w:r w:rsidR="00E2044C" w:rsidRPr="00C068F4">
        <w:t>majority of SARS-CoV-2 infections are due to Omicron subvariants BA.4 and BA</w:t>
      </w:r>
      <w:r w:rsidR="00F169D3" w:rsidRPr="00C068F4">
        <w:t>.5</w:t>
      </w:r>
      <w:r w:rsidR="008B317F" w:rsidRPr="00C068F4">
        <w:t xml:space="preserve"> compared to </w:t>
      </w:r>
      <w:r w:rsidR="008B317F" w:rsidRPr="00C068F4">
        <w:rPr>
          <w:color w:val="000000" w:themeColor="text1"/>
        </w:rPr>
        <w:t xml:space="preserve">tixagevimab </w:t>
      </w:r>
      <w:r w:rsidR="000F39AE" w:rsidRPr="00C068F4">
        <w:rPr>
          <w:color w:val="000000" w:themeColor="text1"/>
        </w:rPr>
        <w:t xml:space="preserve">150 mg </w:t>
      </w:r>
      <w:r w:rsidR="008B317F" w:rsidRPr="00C068F4">
        <w:rPr>
          <w:color w:val="000000" w:themeColor="text1"/>
        </w:rPr>
        <w:t xml:space="preserve">and cilgavimab </w:t>
      </w:r>
      <w:r w:rsidR="000F39AE" w:rsidRPr="00C068F4">
        <w:rPr>
          <w:color w:val="000000" w:themeColor="text1"/>
        </w:rPr>
        <w:t xml:space="preserve">150 mg </w:t>
      </w:r>
      <w:r w:rsidR="00161738" w:rsidRPr="00C068F4">
        <w:rPr>
          <w:color w:val="000000" w:themeColor="text1"/>
        </w:rPr>
        <w:t xml:space="preserve">in </w:t>
      </w:r>
      <w:r w:rsidR="000F39AE" w:rsidRPr="00C068F4">
        <w:rPr>
          <w:color w:val="000000" w:themeColor="text1"/>
        </w:rPr>
        <w:t xml:space="preserve">the PROVENT trial, </w:t>
      </w:r>
      <w:r w:rsidR="008F1690" w:rsidRPr="00C068F4">
        <w:rPr>
          <w:color w:val="000000" w:themeColor="text1"/>
        </w:rPr>
        <w:t xml:space="preserve">which was conducted at a time when </w:t>
      </w:r>
      <w:r w:rsidR="000F39AE" w:rsidRPr="00C068F4">
        <w:rPr>
          <w:color w:val="000000" w:themeColor="text1"/>
        </w:rPr>
        <w:t>the Omicron variant</w:t>
      </w:r>
      <w:r w:rsidR="008F1690" w:rsidRPr="00C068F4">
        <w:rPr>
          <w:color w:val="000000" w:themeColor="text1"/>
        </w:rPr>
        <w:t xml:space="preserve"> was not yet circulating.</w:t>
      </w:r>
      <w:bookmarkEnd w:id="89"/>
    </w:p>
    <w:p w14:paraId="10B7C1F1" w14:textId="0D67D874" w:rsidR="00287C72" w:rsidRDefault="00731E61" w:rsidP="00FE0FF7">
      <w:pPr>
        <w:pStyle w:val="3-BodyText"/>
        <w:spacing w:after="0"/>
        <w:rPr>
          <w:color w:val="000000" w:themeColor="text1"/>
        </w:rPr>
      </w:pPr>
      <w:r w:rsidRPr="00C068F4">
        <w:rPr>
          <w:color w:val="000000" w:themeColor="text1"/>
        </w:rPr>
        <w:t>The decision tree shown in</w:t>
      </w:r>
      <w:r w:rsidR="00EB2679" w:rsidRPr="00C068F4">
        <w:rPr>
          <w:color w:val="000000" w:themeColor="text1"/>
        </w:rPr>
        <w:t xml:space="preserve"> </w:t>
      </w:r>
      <w:r w:rsidR="00EB2679" w:rsidRPr="00C068F4">
        <w:rPr>
          <w:color w:val="000000" w:themeColor="text1"/>
        </w:rPr>
        <w:fldChar w:fldCharType="begin" w:fldLock="1"/>
      </w:r>
      <w:r w:rsidR="00EB2679" w:rsidRPr="00C068F4">
        <w:rPr>
          <w:color w:val="000000" w:themeColor="text1"/>
        </w:rPr>
        <w:instrText xml:space="preserve"> REF _Ref110788484 \h </w:instrText>
      </w:r>
      <w:r w:rsidR="00EB2679" w:rsidRPr="00C068F4">
        <w:rPr>
          <w:color w:val="000000" w:themeColor="text1"/>
        </w:rPr>
      </w:r>
      <w:r w:rsidR="00EB2679" w:rsidRPr="00C068F4">
        <w:rPr>
          <w:color w:val="000000" w:themeColor="text1"/>
        </w:rPr>
        <w:fldChar w:fldCharType="separate"/>
      </w:r>
      <w:r w:rsidR="00AB751C" w:rsidRPr="00C068F4">
        <w:t xml:space="preserve">Figure </w:t>
      </w:r>
      <w:r w:rsidR="00AB751C">
        <w:rPr>
          <w:noProof/>
        </w:rPr>
        <w:t>9</w:t>
      </w:r>
      <w:r w:rsidR="00EB2679" w:rsidRPr="00C068F4">
        <w:rPr>
          <w:color w:val="000000" w:themeColor="text1"/>
        </w:rPr>
        <w:fldChar w:fldCharType="end"/>
      </w:r>
      <w:r w:rsidRPr="00C068F4">
        <w:rPr>
          <w:color w:val="000000" w:themeColor="text1"/>
        </w:rPr>
        <w:t xml:space="preserve"> is used to conduct the analys</w:t>
      </w:r>
      <w:r w:rsidR="00BC2AEF" w:rsidRPr="00C068F4">
        <w:rPr>
          <w:color w:val="000000" w:themeColor="text1"/>
        </w:rPr>
        <w:t>e</w:t>
      </w:r>
      <w:r w:rsidRPr="00C068F4">
        <w:rPr>
          <w:color w:val="000000" w:themeColor="text1"/>
        </w:rPr>
        <w:t>s. Cohort expected value analysis is used to generate the results of the analysis.</w:t>
      </w:r>
    </w:p>
    <w:p w14:paraId="2750B603" w14:textId="2BB61480" w:rsidR="00E71670" w:rsidRPr="00C068F4" w:rsidRDefault="00E71670" w:rsidP="003F526F">
      <w:pPr>
        <w:pStyle w:val="3-BodyText"/>
        <w:numPr>
          <w:ilvl w:val="0"/>
          <w:numId w:val="0"/>
        </w:numPr>
        <w:sectPr w:rsidR="00E71670" w:rsidRPr="00C068F4" w:rsidSect="00BA07D1">
          <w:headerReference w:type="default" r:id="rId19"/>
          <w:footerReference w:type="default" r:id="rId20"/>
          <w:pgSz w:w="11907" w:h="16840" w:code="9"/>
          <w:pgMar w:top="1440" w:right="1440" w:bottom="1440" w:left="1440" w:header="1440" w:footer="1440" w:gutter="0"/>
          <w:pgNumType w:start="1"/>
          <w:cols w:space="708"/>
          <w:docGrid w:linePitch="360"/>
        </w:sectPr>
      </w:pPr>
    </w:p>
    <w:p w14:paraId="0C6EAC67" w14:textId="17E9F91D" w:rsidR="00E30BD9" w:rsidRPr="00C068F4" w:rsidRDefault="00E30BD9" w:rsidP="0070659A">
      <w:pPr>
        <w:pStyle w:val="TableFigureHeading"/>
      </w:pPr>
      <w:bookmarkStart w:id="92" w:name="_Ref110788484"/>
      <w:r w:rsidRPr="00C068F4">
        <w:lastRenderedPageBreak/>
        <w:t xml:space="preserve">Figure </w:t>
      </w:r>
      <w:fldSimple w:instr=" SEQ Figure \* ARABIC " w:fldLock="1">
        <w:r w:rsidR="00DB55F2">
          <w:rPr>
            <w:noProof/>
          </w:rPr>
          <w:t>9</w:t>
        </w:r>
      </w:fldSimple>
      <w:bookmarkEnd w:id="92"/>
      <w:r w:rsidRPr="00C068F4">
        <w:t xml:space="preserve">: </w:t>
      </w:r>
      <w:r w:rsidR="003D2A12" w:rsidRPr="00C068F4">
        <w:t xml:space="preserve">Structure of the decision tree used to conduct the economic evaluation comparing costs and outcomes associated with </w:t>
      </w:r>
      <w:r w:rsidR="003D2A12" w:rsidRPr="00C068F4">
        <w:rPr>
          <w:color w:val="000000" w:themeColor="text1"/>
        </w:rPr>
        <w:t xml:space="preserve">tixagevimab </w:t>
      </w:r>
      <w:r w:rsidR="00E76DCC" w:rsidRPr="00C068F4">
        <w:rPr>
          <w:color w:val="000000" w:themeColor="text1"/>
        </w:rPr>
        <w:t xml:space="preserve">300 mg </w:t>
      </w:r>
      <w:r w:rsidR="003D2A12" w:rsidRPr="00C068F4">
        <w:rPr>
          <w:color w:val="000000" w:themeColor="text1"/>
        </w:rPr>
        <w:t>and cilgavimab</w:t>
      </w:r>
      <w:r w:rsidR="003D2A12" w:rsidRPr="00C068F4">
        <w:t xml:space="preserve"> </w:t>
      </w:r>
      <w:r w:rsidR="00E76DCC" w:rsidRPr="00C068F4">
        <w:t>300 mg</w:t>
      </w:r>
      <w:r w:rsidR="008A4D27" w:rsidRPr="00C068F4">
        <w:t xml:space="preserve"> (EVUSHELD)</w:t>
      </w:r>
      <w:r w:rsidR="00E76DCC" w:rsidRPr="00C068F4">
        <w:t xml:space="preserve"> </w:t>
      </w:r>
      <w:r w:rsidR="003D2A12" w:rsidRPr="00C068F4">
        <w:t>to those for no treatment added to supportive care for PrEP of symptomatic COVID</w:t>
      </w:r>
      <w:r w:rsidR="006F0614" w:rsidRPr="00C068F4">
        <w:t>-</w:t>
      </w:r>
      <w:r w:rsidR="003D2A12" w:rsidRPr="00C068F4">
        <w:t>19</w:t>
      </w:r>
    </w:p>
    <w:p w14:paraId="2E19E7FA" w14:textId="3BE23F25" w:rsidR="00731E61" w:rsidRPr="00C068F4" w:rsidRDefault="008A4D27" w:rsidP="00FF3951">
      <w:r w:rsidRPr="00C068F4">
        <w:rPr>
          <w:noProof/>
        </w:rPr>
        <w:drawing>
          <wp:inline distT="0" distB="0" distL="0" distR="0" wp14:anchorId="563DF23E" wp14:editId="64416590">
            <wp:extent cx="9742170" cy="3938270"/>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742170" cy="3938270"/>
                    </a:xfrm>
                    <a:prstGeom prst="rect">
                      <a:avLst/>
                    </a:prstGeom>
                    <a:noFill/>
                  </pic:spPr>
                </pic:pic>
              </a:graphicData>
            </a:graphic>
          </wp:inline>
        </w:drawing>
      </w:r>
    </w:p>
    <w:p w14:paraId="41846E56" w14:textId="77777777" w:rsidR="00E30BD9" w:rsidRPr="00C068F4" w:rsidRDefault="00E30BD9" w:rsidP="00FF3951"/>
    <w:p w14:paraId="2A93C25B" w14:textId="77777777" w:rsidR="00FF3951" w:rsidRPr="00C068F4" w:rsidRDefault="00FF3951" w:rsidP="006E31F8">
      <w:pPr>
        <w:sectPr w:rsidR="00FF3951" w:rsidRPr="00C068F4" w:rsidSect="00294CAB">
          <w:pgSz w:w="16840" w:h="11907" w:orient="landscape" w:code="9"/>
          <w:pgMar w:top="1440" w:right="1440" w:bottom="1440" w:left="1440" w:header="1440" w:footer="1440" w:gutter="0"/>
          <w:cols w:space="708"/>
          <w:docGrid w:linePitch="360"/>
        </w:sectPr>
      </w:pPr>
    </w:p>
    <w:p w14:paraId="1C025B72" w14:textId="1BD84B51" w:rsidR="00A14E91" w:rsidRPr="00C068F4" w:rsidRDefault="00A14E91" w:rsidP="00A14E91">
      <w:pPr>
        <w:pStyle w:val="3-BodyText"/>
        <w:rPr>
          <w:color w:val="000000" w:themeColor="text1"/>
        </w:rPr>
      </w:pPr>
      <w:r w:rsidRPr="00C068F4">
        <w:rPr>
          <w:color w:val="000000" w:themeColor="text1"/>
        </w:rPr>
        <w:lastRenderedPageBreak/>
        <w:t>The baseline risk of developing symptomatic COVID</w:t>
      </w:r>
      <w:r w:rsidR="006F0614" w:rsidRPr="00C068F4">
        <w:rPr>
          <w:color w:val="000000" w:themeColor="text1"/>
        </w:rPr>
        <w:t>-</w:t>
      </w:r>
      <w:r w:rsidRPr="00C068F4">
        <w:rPr>
          <w:color w:val="000000" w:themeColor="text1"/>
        </w:rPr>
        <w:t>19 in the PROVENT trial was 2.</w:t>
      </w:r>
      <w:r w:rsidR="00F42538" w:rsidRPr="00C068F4">
        <w:rPr>
          <w:color w:val="000000" w:themeColor="text1"/>
        </w:rPr>
        <w:t>7</w:t>
      </w:r>
      <w:r w:rsidRPr="00C068F4">
        <w:rPr>
          <w:color w:val="000000" w:themeColor="text1"/>
        </w:rPr>
        <w:t>% over a median follow up of 6 months</w:t>
      </w:r>
      <w:r w:rsidR="00F42538" w:rsidRPr="00C068F4">
        <w:rPr>
          <w:color w:val="000000" w:themeColor="text1"/>
        </w:rPr>
        <w:t xml:space="preserve"> and 9.5% over a median follow up of 12 months (considering outcomes regardless of unblinding a</w:t>
      </w:r>
      <w:r w:rsidR="0094140D" w:rsidRPr="00C068F4">
        <w:rPr>
          <w:color w:val="000000" w:themeColor="text1"/>
        </w:rPr>
        <w:t xml:space="preserve">nd receipt of COVID-19 vaccine). </w:t>
      </w:r>
      <w:r w:rsidR="0094140D" w:rsidRPr="00C068F4">
        <w:rPr>
          <w:iCs/>
          <w:color w:val="000000" w:themeColor="text1"/>
        </w:rPr>
        <w:t>Given that the clinical positioning proposed for tixagevimab and cilgavimab is as an adjunct to vaccination, these rates are more appropriate to consider than rates that censor patients who were unblinded and received a vaccine through the follow-up period of the PROVENT trial.</w:t>
      </w:r>
    </w:p>
    <w:p w14:paraId="5A0BEEEE" w14:textId="402674F3" w:rsidR="0051191A" w:rsidRPr="00C068F4" w:rsidRDefault="00A14E91" w:rsidP="00D43DBB">
      <w:pPr>
        <w:pStyle w:val="3-BodyText"/>
        <w:rPr>
          <w:color w:val="000000" w:themeColor="text1"/>
        </w:rPr>
      </w:pPr>
      <w:r w:rsidRPr="00C068F4">
        <w:rPr>
          <w:color w:val="000000" w:themeColor="text1"/>
        </w:rPr>
        <w:t>The risk of developing symptomatic COVID</w:t>
      </w:r>
      <w:r w:rsidR="006F0614" w:rsidRPr="00C068F4">
        <w:rPr>
          <w:color w:val="000000" w:themeColor="text1"/>
        </w:rPr>
        <w:t>-</w:t>
      </w:r>
      <w:r w:rsidRPr="00C068F4">
        <w:rPr>
          <w:color w:val="000000" w:themeColor="text1"/>
        </w:rPr>
        <w:t>19 over 6 months in Australia will vary depending on the SARS</w:t>
      </w:r>
      <w:r w:rsidR="00715137" w:rsidRPr="00C068F4">
        <w:rPr>
          <w:color w:val="000000" w:themeColor="text1"/>
        </w:rPr>
        <w:t>-</w:t>
      </w:r>
      <w:r w:rsidRPr="00C068F4">
        <w:rPr>
          <w:color w:val="000000" w:themeColor="text1"/>
        </w:rPr>
        <w:t>CoV-2 variant circulating and depending on which section of a wave of an outbreak is being considered (e.g., risk at the peak of a wave will be higher than the risk at the tail of a wave). An estimate that 8.3% of people who are either not candidates for vaccination or are immunosuppressed (such that immunisation is unlikely to be effective) will be diagnosed with COVID</w:t>
      </w:r>
      <w:r w:rsidR="006F0614" w:rsidRPr="00C068F4">
        <w:rPr>
          <w:color w:val="000000" w:themeColor="text1"/>
        </w:rPr>
        <w:t>-</w:t>
      </w:r>
      <w:r w:rsidRPr="00C068F4">
        <w:rPr>
          <w:color w:val="000000" w:themeColor="text1"/>
        </w:rPr>
        <w:t>19 over 6 months</w:t>
      </w:r>
      <w:r w:rsidR="00F541E6" w:rsidRPr="00C068F4">
        <w:rPr>
          <w:color w:val="000000" w:themeColor="text1"/>
        </w:rPr>
        <w:t xml:space="preserve"> was applied in the rapid HTA</w:t>
      </w:r>
      <w:r w:rsidR="007501A3" w:rsidRPr="00C068F4">
        <w:rPr>
          <w:color w:val="000000" w:themeColor="text1"/>
        </w:rPr>
        <w:t xml:space="preserve"> conducted in late 2021</w:t>
      </w:r>
      <w:r w:rsidR="00DE372E" w:rsidRPr="00C068F4">
        <w:rPr>
          <w:color w:val="000000" w:themeColor="text1"/>
        </w:rPr>
        <w:t xml:space="preserve">. </w:t>
      </w:r>
      <w:r w:rsidR="007501A3" w:rsidRPr="00C068F4">
        <w:rPr>
          <w:color w:val="000000" w:themeColor="text1"/>
        </w:rPr>
        <w:t>T</w:t>
      </w:r>
      <w:r w:rsidR="008332C3" w:rsidRPr="00C068F4">
        <w:rPr>
          <w:color w:val="000000" w:themeColor="text1"/>
        </w:rPr>
        <w:t>he</w:t>
      </w:r>
      <w:r w:rsidR="00DE372E" w:rsidRPr="00C068F4">
        <w:rPr>
          <w:color w:val="000000" w:themeColor="text1"/>
        </w:rPr>
        <w:t xml:space="preserve"> </w:t>
      </w:r>
      <w:r w:rsidR="004B6D54" w:rsidRPr="00C068F4">
        <w:rPr>
          <w:color w:val="000000" w:themeColor="text1"/>
        </w:rPr>
        <w:t xml:space="preserve">revised </w:t>
      </w:r>
      <w:r w:rsidR="00711067" w:rsidRPr="00C068F4">
        <w:rPr>
          <w:color w:val="000000" w:themeColor="text1"/>
        </w:rPr>
        <w:t>submission</w:t>
      </w:r>
      <w:r w:rsidR="004B6D54" w:rsidRPr="00C068F4">
        <w:rPr>
          <w:color w:val="000000" w:themeColor="text1"/>
        </w:rPr>
        <w:t xml:space="preserve"> </w:t>
      </w:r>
      <w:r w:rsidR="003F0D75" w:rsidRPr="00C068F4">
        <w:rPr>
          <w:color w:val="000000" w:themeColor="text1"/>
        </w:rPr>
        <w:t xml:space="preserve">notes there has been a substantial increase in the total number of Australians infected with SARS-CoV-2 </w:t>
      </w:r>
      <w:r w:rsidR="008332C3" w:rsidRPr="00C068F4">
        <w:rPr>
          <w:color w:val="000000" w:themeColor="text1"/>
        </w:rPr>
        <w:t>with</w:t>
      </w:r>
      <w:r w:rsidR="007E001B" w:rsidRPr="00C068F4">
        <w:rPr>
          <w:color w:val="000000" w:themeColor="text1"/>
        </w:rPr>
        <w:t xml:space="preserve"> the emergence of the Omicron variants. </w:t>
      </w:r>
      <w:r w:rsidR="00E5093E" w:rsidRPr="00C068F4">
        <w:rPr>
          <w:color w:val="000000" w:themeColor="text1"/>
        </w:rPr>
        <w:t xml:space="preserve">The </w:t>
      </w:r>
      <w:r w:rsidR="00C04AD2" w:rsidRPr="00C068F4">
        <w:rPr>
          <w:color w:val="000000" w:themeColor="text1"/>
        </w:rPr>
        <w:t>Sponsor</w:t>
      </w:r>
      <w:r w:rsidR="00E5093E" w:rsidRPr="00C068F4">
        <w:rPr>
          <w:color w:val="000000" w:themeColor="text1"/>
        </w:rPr>
        <w:t xml:space="preserve"> suggests that, e</w:t>
      </w:r>
      <w:r w:rsidR="003F0D75" w:rsidRPr="00C068F4">
        <w:rPr>
          <w:color w:val="000000" w:themeColor="text1"/>
        </w:rPr>
        <w:t xml:space="preserve">ven with restrictive social life and vaccination, the </w:t>
      </w:r>
      <w:r w:rsidR="00670AB5" w:rsidRPr="00C068F4">
        <w:rPr>
          <w:color w:val="000000" w:themeColor="text1"/>
        </w:rPr>
        <w:t xml:space="preserve">rate of </w:t>
      </w:r>
      <w:r w:rsidR="003F0D75" w:rsidRPr="00C068F4">
        <w:rPr>
          <w:color w:val="000000" w:themeColor="text1"/>
        </w:rPr>
        <w:t xml:space="preserve">infection was </w:t>
      </w:r>
      <w:r w:rsidR="00670AB5" w:rsidRPr="00C068F4">
        <w:rPr>
          <w:color w:val="000000" w:themeColor="text1"/>
        </w:rPr>
        <w:t xml:space="preserve">approximately </w:t>
      </w:r>
      <w:r w:rsidR="003F0D75" w:rsidRPr="00C068F4">
        <w:rPr>
          <w:color w:val="000000" w:themeColor="text1"/>
        </w:rPr>
        <w:t>25%</w:t>
      </w:r>
      <w:r w:rsidR="00834475" w:rsidRPr="00C068F4">
        <w:rPr>
          <w:color w:val="000000" w:themeColor="text1"/>
        </w:rPr>
        <w:t xml:space="preserve"> </w:t>
      </w:r>
      <w:r w:rsidR="003F0D75" w:rsidRPr="00C068F4">
        <w:rPr>
          <w:color w:val="000000" w:themeColor="text1"/>
        </w:rPr>
        <w:t>among lung transplant recipients in Adelaide</w:t>
      </w:r>
      <w:r w:rsidR="00D45931" w:rsidRPr="00C068F4">
        <w:rPr>
          <w:color w:val="000000" w:themeColor="text1"/>
        </w:rPr>
        <w:t xml:space="preserve">. </w:t>
      </w:r>
      <w:r w:rsidR="005B1728" w:rsidRPr="00C068F4">
        <w:rPr>
          <w:iCs/>
          <w:color w:val="000000" w:themeColor="text1"/>
        </w:rPr>
        <w:t xml:space="preserve">The time </w:t>
      </w:r>
      <w:r w:rsidR="00711067" w:rsidRPr="00C068F4">
        <w:rPr>
          <w:iCs/>
          <w:color w:val="000000" w:themeColor="text1"/>
        </w:rPr>
        <w:t>horizon</w:t>
      </w:r>
      <w:r w:rsidR="005B1728" w:rsidRPr="00C068F4">
        <w:rPr>
          <w:iCs/>
          <w:color w:val="000000" w:themeColor="text1"/>
        </w:rPr>
        <w:t xml:space="preserve"> over which </w:t>
      </w:r>
      <w:r w:rsidR="00CC0EFB" w:rsidRPr="00C068F4">
        <w:rPr>
          <w:iCs/>
          <w:color w:val="000000" w:themeColor="text1"/>
        </w:rPr>
        <w:t>32 of South Australia’s 130-odd</w:t>
      </w:r>
      <w:r w:rsidR="00030602" w:rsidRPr="00C068F4">
        <w:rPr>
          <w:iCs/>
          <w:color w:val="000000" w:themeColor="text1"/>
        </w:rPr>
        <w:t xml:space="preserve"> (~25%)</w:t>
      </w:r>
      <w:r w:rsidR="00CC0EFB" w:rsidRPr="00C068F4">
        <w:rPr>
          <w:iCs/>
          <w:color w:val="000000" w:themeColor="text1"/>
        </w:rPr>
        <w:t xml:space="preserve"> lung transplant recipients</w:t>
      </w:r>
      <w:r w:rsidR="00CC291E" w:rsidRPr="00C068F4">
        <w:rPr>
          <w:iCs/>
          <w:color w:val="000000" w:themeColor="text1"/>
        </w:rPr>
        <w:t xml:space="preserve"> contracted COVID-19 is not reported in the article cited by the </w:t>
      </w:r>
      <w:r w:rsidR="00C04AD2" w:rsidRPr="00C068F4">
        <w:rPr>
          <w:iCs/>
          <w:color w:val="000000" w:themeColor="text1"/>
        </w:rPr>
        <w:t>Sponsor</w:t>
      </w:r>
      <w:r w:rsidR="008F27A2" w:rsidRPr="00C068F4">
        <w:rPr>
          <w:rStyle w:val="FootnoteReference"/>
        </w:rPr>
        <w:footnoteReference w:id="23"/>
      </w:r>
      <w:r w:rsidR="003F0D75" w:rsidRPr="00C068F4">
        <w:rPr>
          <w:color w:val="000000" w:themeColor="text1"/>
        </w:rPr>
        <w:t>.</w:t>
      </w:r>
      <w:r w:rsidR="00711067" w:rsidRPr="00C068F4">
        <w:rPr>
          <w:color w:val="000000" w:themeColor="text1"/>
        </w:rPr>
        <w:t xml:space="preserve"> </w:t>
      </w:r>
      <w:r w:rsidR="00711067" w:rsidRPr="00C068F4">
        <w:rPr>
          <w:iCs/>
          <w:color w:val="000000" w:themeColor="text1"/>
        </w:rPr>
        <w:t xml:space="preserve">Furthermore, it is not reported whether </w:t>
      </w:r>
      <w:r w:rsidR="006B4A78" w:rsidRPr="00C068F4">
        <w:rPr>
          <w:iCs/>
          <w:color w:val="000000" w:themeColor="text1"/>
        </w:rPr>
        <w:t>these patients were all symptomatic. The model, consistent with the primary endpoint of the PROVENT trial, is based only on sym</w:t>
      </w:r>
      <w:r w:rsidR="00D0467B" w:rsidRPr="00C068F4">
        <w:rPr>
          <w:iCs/>
          <w:color w:val="000000" w:themeColor="text1"/>
        </w:rPr>
        <w:t>ptomatic COVID-19.</w:t>
      </w:r>
    </w:p>
    <w:p w14:paraId="63E7CDC4" w14:textId="104BC3F4" w:rsidR="000E49D2" w:rsidRPr="00C068F4" w:rsidRDefault="00E42ABD" w:rsidP="00D43DBB">
      <w:pPr>
        <w:pStyle w:val="3-BodyText"/>
        <w:rPr>
          <w:color w:val="000000" w:themeColor="text1"/>
        </w:rPr>
      </w:pPr>
      <w:r w:rsidRPr="00C068F4">
        <w:rPr>
          <w:color w:val="000000" w:themeColor="text1"/>
        </w:rPr>
        <w:t>The revised submission also refers to</w:t>
      </w:r>
      <w:r w:rsidR="003F0D75" w:rsidRPr="00C068F4">
        <w:rPr>
          <w:color w:val="000000" w:themeColor="text1"/>
        </w:rPr>
        <w:t xml:space="preserve"> </w:t>
      </w:r>
      <w:r w:rsidR="0047262E" w:rsidRPr="00C068F4">
        <w:rPr>
          <w:color w:val="000000" w:themeColor="text1"/>
        </w:rPr>
        <w:t>the latest serosurvey, conducted by the Kirby Institute, which assessed presence of antibodies in a sample of 5,139 blood donors</w:t>
      </w:r>
      <w:r w:rsidR="00632F59" w:rsidRPr="00C068F4">
        <w:rPr>
          <w:color w:val="000000" w:themeColor="text1"/>
        </w:rPr>
        <w:t xml:space="preserve"> and which</w:t>
      </w:r>
      <w:r w:rsidR="0047262E" w:rsidRPr="00C068F4">
        <w:rPr>
          <w:color w:val="000000" w:themeColor="text1"/>
        </w:rPr>
        <w:t xml:space="preserve"> estimated that 46.2% of adults in Australia had been infected with SARS-CoV-2 by June 2022</w:t>
      </w:r>
      <w:r w:rsidR="007501A3" w:rsidRPr="00C068F4">
        <w:rPr>
          <w:color w:val="000000" w:themeColor="text1"/>
        </w:rPr>
        <w:t xml:space="preserve">. </w:t>
      </w:r>
      <w:r w:rsidR="00632F59" w:rsidRPr="00C068F4">
        <w:rPr>
          <w:iCs/>
          <w:color w:val="000000" w:themeColor="text1"/>
        </w:rPr>
        <w:t xml:space="preserve">Again, the time horizon over which blood donors </w:t>
      </w:r>
      <w:r w:rsidR="007740B1" w:rsidRPr="00C068F4">
        <w:rPr>
          <w:iCs/>
          <w:color w:val="000000" w:themeColor="text1"/>
        </w:rPr>
        <w:t>would have been diagnosed with SARS-CoV-2 infection is not clear but</w:t>
      </w:r>
      <w:r w:rsidR="007B025A" w:rsidRPr="00C068F4">
        <w:rPr>
          <w:iCs/>
          <w:color w:val="000000" w:themeColor="text1"/>
        </w:rPr>
        <w:t>,</w:t>
      </w:r>
      <w:r w:rsidR="007740B1" w:rsidRPr="00C068F4">
        <w:rPr>
          <w:iCs/>
          <w:color w:val="000000" w:themeColor="text1"/>
        </w:rPr>
        <w:t xml:space="preserve"> more importantly, </w:t>
      </w:r>
      <w:r w:rsidR="007B025A" w:rsidRPr="00C068F4">
        <w:rPr>
          <w:iCs/>
          <w:color w:val="000000" w:themeColor="text1"/>
        </w:rPr>
        <w:t xml:space="preserve">it should be recognised that </w:t>
      </w:r>
      <w:r w:rsidR="00AB4AF7" w:rsidRPr="00C068F4">
        <w:rPr>
          <w:iCs/>
          <w:color w:val="000000" w:themeColor="text1"/>
        </w:rPr>
        <w:t>the estimate includes people who would have had asymptomatic COVID-</w:t>
      </w:r>
      <w:r w:rsidR="00E05F7F" w:rsidRPr="00C068F4">
        <w:rPr>
          <w:iCs/>
          <w:color w:val="000000" w:themeColor="text1"/>
        </w:rPr>
        <w:t>19</w:t>
      </w:r>
      <w:r w:rsidR="00AB4AF7" w:rsidRPr="00C068F4">
        <w:rPr>
          <w:iCs/>
          <w:color w:val="000000" w:themeColor="text1"/>
        </w:rPr>
        <w:t xml:space="preserve">. In addition, </w:t>
      </w:r>
      <w:r w:rsidR="00454E6D" w:rsidRPr="00C068F4">
        <w:rPr>
          <w:iCs/>
          <w:color w:val="000000" w:themeColor="text1"/>
        </w:rPr>
        <w:t>the Kirby note that the rate of</w:t>
      </w:r>
      <w:r w:rsidR="007B025A" w:rsidRPr="00C068F4">
        <w:rPr>
          <w:iCs/>
          <w:color w:val="000000" w:themeColor="text1"/>
        </w:rPr>
        <w:t xml:space="preserve"> past infection was not uniform among donors and that</w:t>
      </w:r>
      <w:r w:rsidR="00454E6D" w:rsidRPr="00C068F4">
        <w:rPr>
          <w:iCs/>
          <w:color w:val="000000" w:themeColor="text1"/>
        </w:rPr>
        <w:t xml:space="preserve"> </w:t>
      </w:r>
      <w:r w:rsidR="0047262E" w:rsidRPr="00C068F4">
        <w:rPr>
          <w:iCs/>
          <w:color w:val="000000" w:themeColor="text1"/>
        </w:rPr>
        <w:t>past infection was highest among donors in the 18-29 year age group, at 61.7%, declining with increasing age to 25.7% in donors aged 70–89 years.</w:t>
      </w:r>
      <w:r w:rsidR="007B025A" w:rsidRPr="00C068F4">
        <w:rPr>
          <w:iCs/>
          <w:color w:val="000000" w:themeColor="text1"/>
        </w:rPr>
        <w:t xml:space="preserve"> The majority of patients who are immunocompromised are likely to </w:t>
      </w:r>
      <w:r w:rsidR="002E7C16" w:rsidRPr="00C068F4">
        <w:rPr>
          <w:iCs/>
          <w:color w:val="000000" w:themeColor="text1"/>
        </w:rPr>
        <w:t xml:space="preserve">be in the older age categories than the younger </w:t>
      </w:r>
      <w:r w:rsidR="000D2C1D" w:rsidRPr="00C068F4">
        <w:rPr>
          <w:iCs/>
          <w:color w:val="000000" w:themeColor="text1"/>
        </w:rPr>
        <w:t xml:space="preserve">age </w:t>
      </w:r>
      <w:r w:rsidR="00635DA0" w:rsidRPr="00C068F4">
        <w:rPr>
          <w:iCs/>
          <w:color w:val="000000" w:themeColor="text1"/>
        </w:rPr>
        <w:t>categories.</w:t>
      </w:r>
    </w:p>
    <w:p w14:paraId="7152B049" w14:textId="05DC7634" w:rsidR="00D43DBB" w:rsidRPr="00C068F4" w:rsidRDefault="00635DA0" w:rsidP="005427E7">
      <w:pPr>
        <w:pStyle w:val="3-BodyText"/>
        <w:rPr>
          <w:color w:val="000000" w:themeColor="text1"/>
        </w:rPr>
      </w:pPr>
      <w:r w:rsidRPr="00C068F4">
        <w:rPr>
          <w:color w:val="000000" w:themeColor="text1"/>
        </w:rPr>
        <w:t xml:space="preserve">Regardless, it is acknowledged that the model is </w:t>
      </w:r>
      <w:r w:rsidR="00326B36" w:rsidRPr="00C068F4">
        <w:rPr>
          <w:color w:val="000000" w:themeColor="text1"/>
        </w:rPr>
        <w:t xml:space="preserve">highly </w:t>
      </w:r>
      <w:r w:rsidRPr="00C068F4">
        <w:rPr>
          <w:color w:val="000000" w:themeColor="text1"/>
        </w:rPr>
        <w:t xml:space="preserve">sensitive to the baseline risk of </w:t>
      </w:r>
      <w:r w:rsidR="00110D3D" w:rsidRPr="00C068F4">
        <w:rPr>
          <w:color w:val="000000" w:themeColor="text1"/>
        </w:rPr>
        <w:t>an immunocompromised patient developing symptomatic COVID-19</w:t>
      </w:r>
      <w:r w:rsidR="00AC5B38" w:rsidRPr="00C068F4">
        <w:rPr>
          <w:color w:val="000000" w:themeColor="text1"/>
        </w:rPr>
        <w:t>.</w:t>
      </w:r>
      <w:r w:rsidR="003B62B3" w:rsidRPr="00C068F4">
        <w:rPr>
          <w:color w:val="000000" w:themeColor="text1"/>
        </w:rPr>
        <w:t xml:space="preserve"> </w:t>
      </w:r>
      <w:r w:rsidR="00A851C6" w:rsidRPr="00C068F4">
        <w:rPr>
          <w:color w:val="000000" w:themeColor="text1"/>
        </w:rPr>
        <w:t xml:space="preserve">With the BA.5 variant that is currently the predominant variant circulating in Australia, it </w:t>
      </w:r>
      <w:r w:rsidR="001A6A64" w:rsidRPr="00C068F4">
        <w:rPr>
          <w:color w:val="000000" w:themeColor="text1"/>
        </w:rPr>
        <w:t xml:space="preserve">is </w:t>
      </w:r>
      <w:r w:rsidR="001A6A64" w:rsidRPr="00C068F4">
        <w:rPr>
          <w:color w:val="000000" w:themeColor="text1"/>
        </w:rPr>
        <w:lastRenderedPageBreak/>
        <w:t xml:space="preserve">acknowledged that </w:t>
      </w:r>
      <w:r w:rsidR="00A258D9" w:rsidRPr="00C068F4">
        <w:rPr>
          <w:color w:val="000000" w:themeColor="text1"/>
        </w:rPr>
        <w:t>the subvariant has been associated with increased transmissibility</w:t>
      </w:r>
      <w:r w:rsidR="005F2506" w:rsidRPr="00C068F4">
        <w:rPr>
          <w:color w:val="000000" w:themeColor="text1"/>
        </w:rPr>
        <w:t xml:space="preserve"> h</w:t>
      </w:r>
      <w:r w:rsidR="00A258D9" w:rsidRPr="00C068F4">
        <w:rPr>
          <w:color w:val="000000" w:themeColor="text1"/>
        </w:rPr>
        <w:t>owever</w:t>
      </w:r>
      <w:r w:rsidR="005F2506" w:rsidRPr="00C068F4">
        <w:rPr>
          <w:color w:val="000000" w:themeColor="text1"/>
        </w:rPr>
        <w:t xml:space="preserve"> the Omicron variant</w:t>
      </w:r>
      <w:r w:rsidR="00A258D9" w:rsidRPr="00C068F4">
        <w:rPr>
          <w:color w:val="000000" w:themeColor="text1"/>
        </w:rPr>
        <w:t xml:space="preserve"> has also been associated with reduced pathogenicity</w:t>
      </w:r>
      <w:bookmarkStart w:id="93" w:name="_Ref110800525"/>
      <w:r w:rsidR="00195F18" w:rsidRPr="00C068F4">
        <w:rPr>
          <w:rStyle w:val="FootnoteReference"/>
        </w:rPr>
        <w:footnoteReference w:id="24"/>
      </w:r>
      <w:bookmarkEnd w:id="93"/>
      <w:r w:rsidR="00A258D9" w:rsidRPr="00C068F4">
        <w:rPr>
          <w:color w:val="000000" w:themeColor="text1"/>
        </w:rPr>
        <w:t>. I</w:t>
      </w:r>
      <w:r w:rsidR="001A6A64" w:rsidRPr="00C068F4">
        <w:rPr>
          <w:color w:val="000000" w:themeColor="text1"/>
        </w:rPr>
        <w:t xml:space="preserve">t </w:t>
      </w:r>
      <w:r w:rsidR="00A258D9" w:rsidRPr="00C068F4">
        <w:rPr>
          <w:color w:val="000000" w:themeColor="text1"/>
        </w:rPr>
        <w:t xml:space="preserve">is therefore </w:t>
      </w:r>
      <w:r w:rsidR="00E4295B" w:rsidRPr="00C068F4">
        <w:rPr>
          <w:color w:val="000000" w:themeColor="text1"/>
        </w:rPr>
        <w:t>appropriate to assume higher rates of contracting symptomatic COVID-19</w:t>
      </w:r>
      <w:r w:rsidR="001A6A64" w:rsidRPr="00C068F4">
        <w:rPr>
          <w:color w:val="000000" w:themeColor="text1"/>
        </w:rPr>
        <w:t xml:space="preserve"> in the model</w:t>
      </w:r>
      <w:r w:rsidR="00A258D9" w:rsidRPr="00C068F4">
        <w:rPr>
          <w:color w:val="000000" w:themeColor="text1"/>
        </w:rPr>
        <w:t xml:space="preserve"> but </w:t>
      </w:r>
      <w:r w:rsidR="00A03EA6" w:rsidRPr="00C068F4">
        <w:rPr>
          <w:color w:val="000000" w:themeColor="text1"/>
        </w:rPr>
        <w:t xml:space="preserve">also </w:t>
      </w:r>
      <w:r w:rsidR="00EE147B" w:rsidRPr="00C068F4">
        <w:rPr>
          <w:color w:val="000000" w:themeColor="text1"/>
        </w:rPr>
        <w:t xml:space="preserve">to </w:t>
      </w:r>
      <w:r w:rsidR="00A03EA6" w:rsidRPr="00C068F4">
        <w:rPr>
          <w:color w:val="000000" w:themeColor="text1"/>
        </w:rPr>
        <w:t>assume a reduction in the likelihood of developing severe or critical COVID-19</w:t>
      </w:r>
      <w:r w:rsidR="00570174" w:rsidRPr="00C068F4">
        <w:rPr>
          <w:color w:val="000000" w:themeColor="text1"/>
        </w:rPr>
        <w:t xml:space="preserve"> in the model </w:t>
      </w:r>
      <w:r w:rsidR="00CE076D" w:rsidRPr="00C068F4">
        <w:rPr>
          <w:color w:val="000000" w:themeColor="text1"/>
        </w:rPr>
        <w:t xml:space="preserve">and to update the average age of patients dying </w:t>
      </w:r>
      <w:r w:rsidR="00914EEE" w:rsidRPr="00C068F4">
        <w:rPr>
          <w:color w:val="000000" w:themeColor="text1"/>
        </w:rPr>
        <w:t>from COVID-19</w:t>
      </w:r>
      <w:r w:rsidR="007501A3" w:rsidRPr="00C068F4">
        <w:rPr>
          <w:color w:val="000000" w:themeColor="text1"/>
        </w:rPr>
        <w:t>.</w:t>
      </w:r>
      <w:r w:rsidR="00810BA4" w:rsidRPr="00C068F4">
        <w:rPr>
          <w:color w:val="000000" w:themeColor="text1"/>
        </w:rPr>
        <w:t xml:space="preserve"> The risk of </w:t>
      </w:r>
      <w:r w:rsidR="00F20550" w:rsidRPr="00C068F4">
        <w:rPr>
          <w:color w:val="000000" w:themeColor="text1"/>
        </w:rPr>
        <w:t xml:space="preserve">patients contracting symptomatic </w:t>
      </w:r>
      <w:r w:rsidR="00F20550" w:rsidRPr="00C068F4">
        <w:rPr>
          <w:rStyle w:val="normaltextrun"/>
          <w:color w:val="000000" w:themeColor="text1"/>
        </w:rPr>
        <w:t>COVID</w:t>
      </w:r>
      <w:r w:rsidR="00F20550" w:rsidRPr="00C068F4">
        <w:rPr>
          <w:rStyle w:val="normaltextrun"/>
          <w:color w:val="000000" w:themeColor="text1"/>
        </w:rPr>
        <w:noBreakHyphen/>
        <w:t>19 in the control arm</w:t>
      </w:r>
      <w:r w:rsidR="00F235D6" w:rsidRPr="00C068F4">
        <w:rPr>
          <w:rStyle w:val="normaltextrun"/>
          <w:color w:val="000000" w:themeColor="text1"/>
        </w:rPr>
        <w:t xml:space="preserve"> of PROVENT</w:t>
      </w:r>
      <w:r w:rsidR="00F20550" w:rsidRPr="00C068F4">
        <w:rPr>
          <w:rStyle w:val="normaltextrun"/>
          <w:color w:val="000000" w:themeColor="text1"/>
        </w:rPr>
        <w:t xml:space="preserve"> was </w:t>
      </w:r>
      <w:r w:rsidR="00673040" w:rsidRPr="00C068F4">
        <w:rPr>
          <w:rStyle w:val="normaltextrun"/>
          <w:color w:val="000000" w:themeColor="text1"/>
        </w:rPr>
        <w:t xml:space="preserve">2.7% at 6 months and </w:t>
      </w:r>
      <w:r w:rsidR="00905EEA" w:rsidRPr="00C068F4">
        <w:rPr>
          <w:rStyle w:val="normaltextrun"/>
          <w:color w:val="000000" w:themeColor="text1"/>
        </w:rPr>
        <w:t xml:space="preserve">9.5% at 12 months. </w:t>
      </w:r>
      <w:r w:rsidR="004461CA" w:rsidRPr="00C068F4">
        <w:rPr>
          <w:rStyle w:val="normaltextrun"/>
          <w:color w:val="000000" w:themeColor="text1"/>
        </w:rPr>
        <w:t>Fan 2022</w:t>
      </w:r>
      <w:r w:rsidR="006067F3" w:rsidRPr="00C068F4">
        <w:rPr>
          <w:rStyle w:val="normaltextrun"/>
          <w:color w:val="000000" w:themeColor="text1"/>
        </w:rPr>
        <w:fldChar w:fldCharType="begin" w:fldLock="1"/>
      </w:r>
      <w:r w:rsidR="006067F3" w:rsidRPr="00C068F4">
        <w:rPr>
          <w:rStyle w:val="normaltextrun"/>
          <w:color w:val="000000" w:themeColor="text1"/>
        </w:rPr>
        <w:instrText xml:space="preserve"> NOTEREF _Ref110800525 \f \h </w:instrText>
      </w:r>
      <w:r w:rsidR="006067F3" w:rsidRPr="00C068F4">
        <w:rPr>
          <w:rStyle w:val="normaltextrun"/>
          <w:color w:val="000000" w:themeColor="text1"/>
        </w:rPr>
      </w:r>
      <w:r w:rsidR="006067F3" w:rsidRPr="00C068F4">
        <w:rPr>
          <w:rStyle w:val="normaltextrun"/>
          <w:color w:val="000000" w:themeColor="text1"/>
        </w:rPr>
        <w:fldChar w:fldCharType="separate"/>
      </w:r>
      <w:r w:rsidR="00AB751C" w:rsidRPr="00AB751C">
        <w:rPr>
          <w:rStyle w:val="FootnoteReference"/>
        </w:rPr>
        <w:t>23</w:t>
      </w:r>
      <w:r w:rsidR="006067F3" w:rsidRPr="00C068F4">
        <w:rPr>
          <w:rStyle w:val="normaltextrun"/>
          <w:color w:val="000000" w:themeColor="text1"/>
        </w:rPr>
        <w:fldChar w:fldCharType="end"/>
      </w:r>
      <w:r w:rsidR="004461CA" w:rsidRPr="00C068F4">
        <w:rPr>
          <w:rStyle w:val="normaltextrun"/>
          <w:color w:val="000000" w:themeColor="text1"/>
        </w:rPr>
        <w:t xml:space="preserve"> estimate th</w:t>
      </w:r>
      <w:r w:rsidR="006067F3" w:rsidRPr="00C068F4">
        <w:rPr>
          <w:rStyle w:val="normaltextrun"/>
          <w:color w:val="000000" w:themeColor="text1"/>
        </w:rPr>
        <w:t xml:space="preserve">at transmissibility of the Omicron variant is approximately </w:t>
      </w:r>
      <w:proofErr w:type="gramStart"/>
      <w:r w:rsidR="006067F3" w:rsidRPr="00C068F4">
        <w:rPr>
          <w:rStyle w:val="normaltextrun"/>
          <w:color w:val="000000" w:themeColor="text1"/>
        </w:rPr>
        <w:t>3.2 fold</w:t>
      </w:r>
      <w:proofErr w:type="gramEnd"/>
      <w:r w:rsidR="006067F3" w:rsidRPr="00C068F4">
        <w:rPr>
          <w:rStyle w:val="normaltextrun"/>
          <w:color w:val="000000" w:themeColor="text1"/>
        </w:rPr>
        <w:t xml:space="preserve"> the transmissibility of the Delta variant. </w:t>
      </w:r>
      <w:r w:rsidR="00FF6503" w:rsidRPr="00C068F4">
        <w:rPr>
          <w:rStyle w:val="normaltextrun"/>
          <w:color w:val="000000" w:themeColor="text1"/>
        </w:rPr>
        <w:t xml:space="preserve">Increased transmissibility does not necessarily equate to </w:t>
      </w:r>
      <w:r w:rsidR="002A6C47" w:rsidRPr="00C068F4">
        <w:rPr>
          <w:rStyle w:val="normaltextrun"/>
          <w:color w:val="000000" w:themeColor="text1"/>
        </w:rPr>
        <w:t>increased rates of symptomatic infection. Regardless,</w:t>
      </w:r>
      <w:r w:rsidR="009A407E" w:rsidRPr="00C068F4">
        <w:rPr>
          <w:rStyle w:val="normaltextrun"/>
          <w:color w:val="000000" w:themeColor="text1"/>
        </w:rPr>
        <w:t xml:space="preserve"> the rates observed in the</w:t>
      </w:r>
      <w:r w:rsidR="00CB3451" w:rsidRPr="00C068F4">
        <w:rPr>
          <w:rStyle w:val="normaltextrun"/>
          <w:color w:val="000000" w:themeColor="text1"/>
        </w:rPr>
        <w:t xml:space="preserve"> control arm of the PROVENT</w:t>
      </w:r>
      <w:r w:rsidR="009A407E" w:rsidRPr="00C068F4">
        <w:rPr>
          <w:rStyle w:val="normaltextrun"/>
          <w:color w:val="000000" w:themeColor="text1"/>
        </w:rPr>
        <w:t xml:space="preserve"> trial at 12 months</w:t>
      </w:r>
      <w:r w:rsidR="00CB3451" w:rsidRPr="00C068F4">
        <w:rPr>
          <w:rStyle w:val="normaltextrun"/>
          <w:color w:val="000000" w:themeColor="text1"/>
        </w:rPr>
        <w:t xml:space="preserve"> were increased by this factor</w:t>
      </w:r>
      <w:r w:rsidR="00AE304A" w:rsidRPr="00C068F4">
        <w:rPr>
          <w:rStyle w:val="normaltextrun"/>
          <w:color w:val="000000" w:themeColor="text1"/>
        </w:rPr>
        <w:t xml:space="preserve"> from ~9.5% to 30% (</w:t>
      </w:r>
      <w:r w:rsidR="005427E7" w:rsidRPr="00C068F4">
        <w:rPr>
          <w:rStyle w:val="normaltextrun"/>
          <w:color w:val="000000" w:themeColor="text1"/>
        </w:rPr>
        <w:t xml:space="preserve">9.5% x 3.2), </w:t>
      </w:r>
      <w:r w:rsidR="00CB3451" w:rsidRPr="00C068F4">
        <w:rPr>
          <w:rStyle w:val="normaltextrun"/>
          <w:color w:val="000000" w:themeColor="text1"/>
        </w:rPr>
        <w:t xml:space="preserve">such that the </w:t>
      </w:r>
      <w:r w:rsidR="00C42576" w:rsidRPr="00C068F4">
        <w:rPr>
          <w:rStyle w:val="normaltextrun"/>
          <w:color w:val="000000" w:themeColor="text1"/>
        </w:rPr>
        <w:t>risk</w:t>
      </w:r>
      <w:r w:rsidR="00CB3451" w:rsidRPr="00C068F4">
        <w:rPr>
          <w:rStyle w:val="normaltextrun"/>
          <w:color w:val="000000" w:themeColor="text1"/>
        </w:rPr>
        <w:t xml:space="preserve"> of </w:t>
      </w:r>
      <w:r w:rsidR="00D43DBB" w:rsidRPr="00C068F4">
        <w:rPr>
          <w:rStyle w:val="normaltextrun"/>
          <w:color w:val="000000" w:themeColor="text1"/>
        </w:rPr>
        <w:t>contracting symptomatic COVID</w:t>
      </w:r>
      <w:r w:rsidR="00D43DBB" w:rsidRPr="00C068F4">
        <w:rPr>
          <w:rStyle w:val="normaltextrun"/>
          <w:color w:val="000000" w:themeColor="text1"/>
        </w:rPr>
        <w:noBreakHyphen/>
        <w:t xml:space="preserve">19 applied in the control arm of the model </w:t>
      </w:r>
      <w:r w:rsidR="005427E7" w:rsidRPr="00C068F4">
        <w:rPr>
          <w:rStyle w:val="normaltextrun"/>
          <w:color w:val="000000" w:themeColor="text1"/>
        </w:rPr>
        <w:t>is</w:t>
      </w:r>
      <w:r w:rsidR="00D43DBB" w:rsidRPr="00C068F4">
        <w:rPr>
          <w:rStyle w:val="normaltextrun"/>
          <w:color w:val="000000" w:themeColor="text1"/>
        </w:rPr>
        <w:t xml:space="preserve"> </w:t>
      </w:r>
      <w:r w:rsidR="000135AF" w:rsidRPr="00C068F4">
        <w:rPr>
          <w:rStyle w:val="normaltextrun"/>
          <w:color w:val="000000" w:themeColor="text1"/>
        </w:rPr>
        <w:t>15</w:t>
      </w:r>
      <w:r w:rsidR="00DB10B3" w:rsidRPr="00C068F4">
        <w:rPr>
          <w:rStyle w:val="normaltextrun"/>
          <w:color w:val="000000" w:themeColor="text1"/>
        </w:rPr>
        <w:t xml:space="preserve">% and </w:t>
      </w:r>
      <w:r w:rsidR="00C52463" w:rsidRPr="00C068F4">
        <w:rPr>
          <w:rStyle w:val="normaltextrun"/>
          <w:color w:val="000000" w:themeColor="text1"/>
        </w:rPr>
        <w:t>30%</w:t>
      </w:r>
      <w:r w:rsidR="005427E7" w:rsidRPr="00C068F4">
        <w:rPr>
          <w:rStyle w:val="normaltextrun"/>
          <w:color w:val="000000" w:themeColor="text1"/>
        </w:rPr>
        <w:t xml:space="preserve"> at 6 months and 12 months</w:t>
      </w:r>
      <w:r w:rsidR="00C52463" w:rsidRPr="00C068F4">
        <w:rPr>
          <w:rStyle w:val="normaltextrun"/>
          <w:color w:val="000000" w:themeColor="text1"/>
        </w:rPr>
        <w:t>, respectively.</w:t>
      </w:r>
    </w:p>
    <w:p w14:paraId="12402552" w14:textId="6208B154" w:rsidR="00641A39" w:rsidRPr="00C068F4" w:rsidRDefault="00A14E91" w:rsidP="00A14E91">
      <w:pPr>
        <w:pStyle w:val="3-BodyText"/>
        <w:rPr>
          <w:color w:val="000000" w:themeColor="text1"/>
        </w:rPr>
      </w:pPr>
      <w:r w:rsidRPr="00C068F4">
        <w:rPr>
          <w:color w:val="000000" w:themeColor="text1"/>
        </w:rPr>
        <w:t>The relative risk of developing symptomatic COVID</w:t>
      </w:r>
      <w:r w:rsidR="006F0614" w:rsidRPr="00C068F4">
        <w:rPr>
          <w:color w:val="000000" w:themeColor="text1"/>
        </w:rPr>
        <w:t>-</w:t>
      </w:r>
      <w:r w:rsidRPr="00C068F4">
        <w:rPr>
          <w:color w:val="000000" w:themeColor="text1"/>
        </w:rPr>
        <w:t xml:space="preserve">19 </w:t>
      </w:r>
      <w:r w:rsidR="00477AD2" w:rsidRPr="00C068F4">
        <w:rPr>
          <w:color w:val="000000" w:themeColor="text1"/>
        </w:rPr>
        <w:t>after</w:t>
      </w:r>
      <w:r w:rsidR="007E50F6" w:rsidRPr="00C068F4">
        <w:rPr>
          <w:color w:val="000000" w:themeColor="text1"/>
        </w:rPr>
        <w:t xml:space="preserve"> use of</w:t>
      </w:r>
      <w:r w:rsidRPr="00C068F4">
        <w:rPr>
          <w:color w:val="000000" w:themeColor="text1"/>
        </w:rPr>
        <w:t xml:space="preserve"> </w:t>
      </w:r>
      <w:r w:rsidR="00C43847" w:rsidRPr="00C068F4">
        <w:rPr>
          <w:color w:val="000000" w:themeColor="text1"/>
        </w:rPr>
        <w:t>tixagevimab 300 mg and cilgavimab 300 mg</w:t>
      </w:r>
      <w:r w:rsidRPr="00C068F4">
        <w:rPr>
          <w:color w:val="000000" w:themeColor="text1"/>
        </w:rPr>
        <w:t xml:space="preserve"> </w:t>
      </w:r>
      <w:r w:rsidR="00477AD2" w:rsidRPr="00C068F4">
        <w:rPr>
          <w:color w:val="000000" w:themeColor="text1"/>
        </w:rPr>
        <w:t xml:space="preserve">as PrEP </w:t>
      </w:r>
      <w:r w:rsidRPr="00C068F4">
        <w:rPr>
          <w:color w:val="000000" w:themeColor="text1"/>
        </w:rPr>
        <w:t>versus placebo-treated patients applied in</w:t>
      </w:r>
      <w:r w:rsidR="00EE147B" w:rsidRPr="00C068F4">
        <w:rPr>
          <w:color w:val="000000" w:themeColor="text1"/>
        </w:rPr>
        <w:t xml:space="preserve"> the</w:t>
      </w:r>
      <w:r w:rsidR="007E50F6" w:rsidRPr="00C068F4">
        <w:rPr>
          <w:color w:val="000000" w:themeColor="text1"/>
        </w:rPr>
        <w:t xml:space="preserve"> 6-month</w:t>
      </w:r>
      <w:r w:rsidR="00EE147B" w:rsidRPr="00C068F4">
        <w:rPr>
          <w:color w:val="000000" w:themeColor="text1"/>
        </w:rPr>
        <w:t xml:space="preserve"> model </w:t>
      </w:r>
      <w:r w:rsidRPr="00C068F4">
        <w:rPr>
          <w:color w:val="000000" w:themeColor="text1"/>
        </w:rPr>
        <w:t xml:space="preserve">is as observed </w:t>
      </w:r>
      <w:r w:rsidR="007E50F6" w:rsidRPr="00C068F4">
        <w:rPr>
          <w:color w:val="000000" w:themeColor="text1"/>
        </w:rPr>
        <w:t xml:space="preserve">at 6 months </w:t>
      </w:r>
      <w:r w:rsidRPr="00C068F4">
        <w:rPr>
          <w:color w:val="000000" w:themeColor="text1"/>
        </w:rPr>
        <w:t xml:space="preserve">in the PROVENT trial </w:t>
      </w:r>
      <w:r w:rsidR="007E50F6" w:rsidRPr="00C068F4">
        <w:rPr>
          <w:color w:val="000000" w:themeColor="text1"/>
        </w:rPr>
        <w:t xml:space="preserve">regardless of </w:t>
      </w:r>
      <w:r w:rsidR="00343D6C" w:rsidRPr="00C068F4">
        <w:rPr>
          <w:color w:val="000000" w:themeColor="text1"/>
        </w:rPr>
        <w:t xml:space="preserve">unblinding and administration of a COVID-19 vaccine </w:t>
      </w:r>
      <w:r w:rsidRPr="00C068F4">
        <w:rPr>
          <w:color w:val="000000" w:themeColor="text1"/>
        </w:rPr>
        <w:t>(see</w:t>
      </w:r>
      <w:r w:rsidR="00C939D9" w:rsidRPr="00C068F4">
        <w:rPr>
          <w:color w:val="000000" w:themeColor="text1"/>
        </w:rPr>
        <w:t xml:space="preserve"> </w:t>
      </w:r>
      <w:r w:rsidR="00C939D9" w:rsidRPr="00C068F4">
        <w:rPr>
          <w:color w:val="000000" w:themeColor="text1"/>
        </w:rPr>
        <w:fldChar w:fldCharType="begin" w:fldLock="1"/>
      </w:r>
      <w:r w:rsidR="00C939D9" w:rsidRPr="00C068F4">
        <w:rPr>
          <w:color w:val="000000" w:themeColor="text1"/>
        </w:rPr>
        <w:instrText xml:space="preserve"> REF _Ref109860884 \h  \* MERGEFORMAT </w:instrText>
      </w:r>
      <w:r w:rsidR="00C939D9" w:rsidRPr="00C068F4">
        <w:rPr>
          <w:color w:val="000000" w:themeColor="text1"/>
        </w:rPr>
      </w:r>
      <w:r w:rsidR="00C939D9" w:rsidRPr="00C068F4">
        <w:rPr>
          <w:color w:val="000000" w:themeColor="text1"/>
        </w:rPr>
        <w:fldChar w:fldCharType="separate"/>
      </w:r>
      <w:r w:rsidR="00AB751C" w:rsidRPr="00AB751C">
        <w:rPr>
          <w:color w:val="000000" w:themeColor="text1"/>
        </w:rPr>
        <w:t>Table 5</w:t>
      </w:r>
      <w:r w:rsidR="00C939D9" w:rsidRPr="00C068F4">
        <w:rPr>
          <w:color w:val="000000" w:themeColor="text1"/>
        </w:rPr>
        <w:fldChar w:fldCharType="end"/>
      </w:r>
      <w:r w:rsidRPr="00C068F4">
        <w:rPr>
          <w:color w:val="000000" w:themeColor="text1"/>
        </w:rPr>
        <w:t>: 0.2</w:t>
      </w:r>
      <w:r w:rsidR="00BA2D78" w:rsidRPr="00C068F4">
        <w:rPr>
          <w:color w:val="000000" w:themeColor="text1"/>
        </w:rPr>
        <w:t>26</w:t>
      </w:r>
      <w:r w:rsidRPr="00C068F4">
        <w:rPr>
          <w:color w:val="000000" w:themeColor="text1"/>
        </w:rPr>
        <w:t>).</w:t>
      </w:r>
      <w:r w:rsidR="00740109" w:rsidRPr="00C068F4">
        <w:rPr>
          <w:color w:val="000000" w:themeColor="text1"/>
        </w:rPr>
        <w:t xml:space="preserve"> </w:t>
      </w:r>
      <w:r w:rsidR="00740109" w:rsidRPr="00C068F4">
        <w:rPr>
          <w:iCs/>
          <w:color w:val="000000" w:themeColor="text1"/>
        </w:rPr>
        <w:t xml:space="preserve">Given that the clinical positioning proposed for tixagevimab and cilgavimab is as an adjunct to vaccination, these </w:t>
      </w:r>
      <w:r w:rsidR="00122CFF" w:rsidRPr="00C068F4">
        <w:rPr>
          <w:iCs/>
          <w:color w:val="000000" w:themeColor="text1"/>
        </w:rPr>
        <w:t>relative risks</w:t>
      </w:r>
      <w:r w:rsidR="00740109" w:rsidRPr="00C068F4">
        <w:rPr>
          <w:iCs/>
          <w:color w:val="000000" w:themeColor="text1"/>
        </w:rPr>
        <w:t xml:space="preserve"> are more appropriate to consider than </w:t>
      </w:r>
      <w:r w:rsidR="00122CFF" w:rsidRPr="00C068F4">
        <w:rPr>
          <w:iCs/>
          <w:color w:val="000000" w:themeColor="text1"/>
        </w:rPr>
        <w:t>relative risks</w:t>
      </w:r>
      <w:r w:rsidR="00740109" w:rsidRPr="00C068F4">
        <w:rPr>
          <w:iCs/>
          <w:color w:val="000000" w:themeColor="text1"/>
        </w:rPr>
        <w:t xml:space="preserve"> </w:t>
      </w:r>
      <w:r w:rsidR="00122CFF" w:rsidRPr="00C068F4">
        <w:rPr>
          <w:iCs/>
          <w:color w:val="000000" w:themeColor="text1"/>
        </w:rPr>
        <w:t xml:space="preserve">based on </w:t>
      </w:r>
      <w:r w:rsidR="00740109" w:rsidRPr="00C068F4">
        <w:rPr>
          <w:iCs/>
          <w:color w:val="000000" w:themeColor="text1"/>
        </w:rPr>
        <w:t>censor</w:t>
      </w:r>
      <w:r w:rsidR="00122CFF" w:rsidRPr="00C068F4">
        <w:rPr>
          <w:iCs/>
          <w:color w:val="000000" w:themeColor="text1"/>
        </w:rPr>
        <w:t>ing of</w:t>
      </w:r>
      <w:r w:rsidR="00740109" w:rsidRPr="00C068F4">
        <w:rPr>
          <w:iCs/>
          <w:color w:val="000000" w:themeColor="text1"/>
        </w:rPr>
        <w:t xml:space="preserve"> patients who were unblinded and received a vaccine through the follow-up period of the PROVENT trial</w:t>
      </w:r>
      <w:r w:rsidR="00A3734F" w:rsidRPr="00C068F4">
        <w:rPr>
          <w:iCs/>
          <w:color w:val="000000" w:themeColor="text1"/>
        </w:rPr>
        <w:t>.</w:t>
      </w:r>
    </w:p>
    <w:p w14:paraId="55E59CA4" w14:textId="466254A8" w:rsidR="00122CFF" w:rsidRPr="00C068F4" w:rsidRDefault="00122CFF" w:rsidP="00122CFF">
      <w:pPr>
        <w:pStyle w:val="3-BodyText"/>
        <w:rPr>
          <w:color w:val="000000" w:themeColor="text1"/>
        </w:rPr>
      </w:pPr>
      <w:r w:rsidRPr="00C068F4">
        <w:rPr>
          <w:color w:val="000000" w:themeColor="text1"/>
        </w:rPr>
        <w:t>The relative risk of developing symptomatic COVID</w:t>
      </w:r>
      <w:r w:rsidR="006F0614" w:rsidRPr="00C068F4">
        <w:rPr>
          <w:color w:val="000000" w:themeColor="text1"/>
        </w:rPr>
        <w:t>-</w:t>
      </w:r>
      <w:r w:rsidRPr="00C068F4">
        <w:rPr>
          <w:color w:val="000000" w:themeColor="text1"/>
        </w:rPr>
        <w:t xml:space="preserve">19 after use of tixagevimab 300 mg and cilgavimab 300 mg as PrEP versus placebo-treated patients applied in the 12-month model is as observed at 12 months in the PROVENT trial regardless of unblinding and administration of a COVID-19 vaccine (see </w:t>
      </w:r>
      <w:r w:rsidRPr="00C068F4">
        <w:rPr>
          <w:color w:val="000000" w:themeColor="text1"/>
        </w:rPr>
        <w:fldChar w:fldCharType="begin" w:fldLock="1"/>
      </w:r>
      <w:r w:rsidRPr="00C068F4">
        <w:rPr>
          <w:color w:val="000000" w:themeColor="text1"/>
        </w:rPr>
        <w:instrText xml:space="preserve"> REF _Ref109860884 \h  \* MERGEFORMAT </w:instrText>
      </w:r>
      <w:r w:rsidRPr="00C068F4">
        <w:rPr>
          <w:color w:val="000000" w:themeColor="text1"/>
        </w:rPr>
      </w:r>
      <w:r w:rsidRPr="00C068F4">
        <w:rPr>
          <w:color w:val="000000" w:themeColor="text1"/>
        </w:rPr>
        <w:fldChar w:fldCharType="separate"/>
      </w:r>
      <w:r w:rsidR="00AB751C" w:rsidRPr="00AB751C">
        <w:rPr>
          <w:color w:val="000000" w:themeColor="text1"/>
        </w:rPr>
        <w:t>Table 5</w:t>
      </w:r>
      <w:r w:rsidRPr="00C068F4">
        <w:rPr>
          <w:color w:val="000000" w:themeColor="text1"/>
        </w:rPr>
        <w:fldChar w:fldCharType="end"/>
      </w:r>
      <w:r w:rsidRPr="00C068F4">
        <w:rPr>
          <w:color w:val="000000" w:themeColor="text1"/>
        </w:rPr>
        <w:t xml:space="preserve">: </w:t>
      </w:r>
      <w:r w:rsidR="00756F91" w:rsidRPr="00C068F4">
        <w:rPr>
          <w:color w:val="000000" w:themeColor="text1"/>
        </w:rPr>
        <w:t>0.843</w:t>
      </w:r>
      <w:r w:rsidRPr="00C068F4">
        <w:rPr>
          <w:color w:val="000000" w:themeColor="text1"/>
        </w:rPr>
        <w:t>).</w:t>
      </w:r>
      <w:r w:rsidRPr="00C068F4">
        <w:rPr>
          <w:iCs/>
          <w:color w:val="000000" w:themeColor="text1"/>
        </w:rPr>
        <w:t xml:space="preserve"> Given that the clinical positioning proposed for tixagevimab and cilgavimab is as an adjunct to vaccination, these relative risks are more appropriate to consider than relative risks based on censoring of patients who were unblinded and received a vaccine through the follow-up period of the PROVENT trial.</w:t>
      </w:r>
    </w:p>
    <w:p w14:paraId="7497F3CB" w14:textId="244EEBF9" w:rsidR="00287C72" w:rsidRDefault="00562C57">
      <w:pPr>
        <w:pStyle w:val="3-BodyText"/>
      </w:pPr>
      <w:r w:rsidRPr="00C068F4">
        <w:t>The model that was included in</w:t>
      </w:r>
      <w:r w:rsidR="0081718F" w:rsidRPr="00C068F4">
        <w:t xml:space="preserve"> the</w:t>
      </w:r>
      <w:r w:rsidRPr="00C068F4">
        <w:t xml:space="preserve"> rapid HTA that was commissioned by the Department in late November 2021 estimated </w:t>
      </w:r>
      <w:r w:rsidR="00771ED5" w:rsidRPr="00C068F4">
        <w:t>the background risk of hospitalisation in patients diagnosed with COVID-19 in Australia</w:t>
      </w:r>
      <w:r w:rsidR="00400859" w:rsidRPr="00C068F4">
        <w:t xml:space="preserve"> based on</w:t>
      </w:r>
      <w:r w:rsidR="00771ED5" w:rsidRPr="00C068F4">
        <w:t xml:space="preserve"> </w:t>
      </w:r>
      <w:r w:rsidR="0007649C" w:rsidRPr="00C068F4">
        <w:t xml:space="preserve">a series of assumptions and </w:t>
      </w:r>
      <w:r w:rsidR="00771ED5" w:rsidRPr="00C068F4">
        <w:t>data from the series of COVID-19 Australia: Epidemiology Reports</w:t>
      </w:r>
      <w:r w:rsidR="00400859" w:rsidRPr="00C068F4">
        <w:t xml:space="preserve">. </w:t>
      </w:r>
      <w:r w:rsidR="00AB419B" w:rsidRPr="00C068F4">
        <w:t xml:space="preserve">The </w:t>
      </w:r>
      <w:r w:rsidR="00777285" w:rsidRPr="00C068F4">
        <w:t>risk</w:t>
      </w:r>
      <w:r w:rsidR="00AB419B" w:rsidRPr="00C068F4">
        <w:t xml:space="preserve"> of hospitalisation assumed in immunocompromised patients </w:t>
      </w:r>
      <w:r w:rsidR="00777285" w:rsidRPr="00C068F4">
        <w:t xml:space="preserve">in whom infection with </w:t>
      </w:r>
      <w:r w:rsidR="001B0784" w:rsidRPr="00C068F4">
        <w:t xml:space="preserve">SARS-CoV-2 was detected was estimated to be </w:t>
      </w:r>
      <w:r w:rsidR="00E77DF5" w:rsidRPr="00C068F4">
        <w:t xml:space="preserve">19.1%. </w:t>
      </w:r>
      <w:r w:rsidR="00400859" w:rsidRPr="00C068F4">
        <w:t xml:space="preserve">Due to the </w:t>
      </w:r>
      <w:r w:rsidR="00684015" w:rsidRPr="00C068F4">
        <w:t xml:space="preserve">current </w:t>
      </w:r>
      <w:r w:rsidR="00400859" w:rsidRPr="00C068F4">
        <w:t xml:space="preserve">lack of </w:t>
      </w:r>
      <w:r w:rsidR="00400859" w:rsidRPr="00C068F4">
        <w:lastRenderedPageBreak/>
        <w:t>accuracy in counting cases of COVID-19</w:t>
      </w:r>
      <w:r w:rsidR="00771ED5" w:rsidRPr="00C068F4">
        <w:t xml:space="preserve"> </w:t>
      </w:r>
      <w:r w:rsidR="00684015" w:rsidRPr="00C068F4">
        <w:t xml:space="preserve">and due to the Epidemiology Reports no longer reporting </w:t>
      </w:r>
      <w:r w:rsidR="00151CB2" w:rsidRPr="00C068F4">
        <w:t xml:space="preserve">rates of hospitalisation by cases of COVID-19 detected, </w:t>
      </w:r>
      <w:r w:rsidR="00290DD7" w:rsidRPr="00C068F4">
        <w:t xml:space="preserve">an alternative approach to estimating proportion of </w:t>
      </w:r>
      <w:r w:rsidR="00516E8E" w:rsidRPr="00C068F4">
        <w:t xml:space="preserve">immunocompromised patients who develop </w:t>
      </w:r>
      <w:r w:rsidR="00EC71F2" w:rsidRPr="00C068F4">
        <w:t>symptomatic COVID-19 that would require hospitalisation</w:t>
      </w:r>
      <w:r w:rsidR="004C34C2" w:rsidRPr="00C068F4">
        <w:t xml:space="preserve"> was required</w:t>
      </w:r>
      <w:r w:rsidR="00EC71F2" w:rsidRPr="00C068F4">
        <w:t>.</w:t>
      </w:r>
    </w:p>
    <w:p w14:paraId="70000C0B" w14:textId="320A308B" w:rsidR="00771ED5" w:rsidRPr="00C068F4" w:rsidRDefault="00D42714">
      <w:pPr>
        <w:pStyle w:val="3-BodyText"/>
      </w:pPr>
      <w:r w:rsidRPr="00C068F4">
        <w:t xml:space="preserve">The </w:t>
      </w:r>
      <w:r w:rsidR="002959FF" w:rsidRPr="00C068F4">
        <w:t xml:space="preserve">proportion of patients in the control arm of PROVENT that </w:t>
      </w:r>
      <w:r w:rsidR="00026A11" w:rsidRPr="00C068F4">
        <w:t xml:space="preserve">were assessed as having severe or critical COVID-19 </w:t>
      </w:r>
      <w:r w:rsidR="002959FF" w:rsidRPr="00C068F4">
        <w:t>(full pre-exposure analysis set</w:t>
      </w:r>
      <w:r w:rsidR="004867B4" w:rsidRPr="00C068F4">
        <w:t>)</w:t>
      </w:r>
      <w:r w:rsidR="002959FF" w:rsidRPr="00C068F4">
        <w:t xml:space="preserve"> was </w:t>
      </w:r>
      <w:r w:rsidR="00026A11" w:rsidRPr="00C068F4">
        <w:t xml:space="preserve">20% (11/55 cases – see </w:t>
      </w:r>
      <w:r w:rsidR="004867B4" w:rsidRPr="00C068F4">
        <w:fldChar w:fldCharType="begin" w:fldLock="1"/>
      </w:r>
      <w:r w:rsidR="004867B4" w:rsidRPr="00C068F4">
        <w:instrText xml:space="preserve"> REF _Ref109860884 \h  \* MERGEFORMAT </w:instrText>
      </w:r>
      <w:r w:rsidR="004867B4" w:rsidRPr="00C068F4">
        <w:fldChar w:fldCharType="separate"/>
      </w:r>
      <w:r w:rsidR="00AB751C" w:rsidRPr="00C068F4">
        <w:t xml:space="preserve">Table </w:t>
      </w:r>
      <w:r w:rsidR="00AB751C">
        <w:t>5</w:t>
      </w:r>
      <w:r w:rsidR="004867B4" w:rsidRPr="00C068F4">
        <w:fldChar w:fldCharType="end"/>
      </w:r>
      <w:r w:rsidR="004867B4" w:rsidRPr="00C068F4">
        <w:t>)</w:t>
      </w:r>
      <w:r w:rsidR="00303714" w:rsidRPr="00C068F4">
        <w:t>.</w:t>
      </w:r>
      <w:r w:rsidR="005C01A5" w:rsidRPr="00C068F4">
        <w:t xml:space="preserve"> </w:t>
      </w:r>
      <w:r w:rsidR="005C01A5" w:rsidRPr="00C068F4">
        <w:rPr>
          <w:color w:val="000000" w:themeColor="text1"/>
        </w:rPr>
        <w:t>Severe or critical COVID-19 was defined in PROVENT by a minimum of either pneumonia (fever,</w:t>
      </w:r>
      <w:r w:rsidR="00513D39" w:rsidRPr="00C068F4">
        <w:rPr>
          <w:color w:val="000000" w:themeColor="text1"/>
        </w:rPr>
        <w:t xml:space="preserve"> </w:t>
      </w:r>
      <w:r w:rsidR="005C01A5" w:rsidRPr="00C068F4">
        <w:rPr>
          <w:color w:val="000000" w:themeColor="text1"/>
        </w:rPr>
        <w:t>cough, tachypnea or dyspnea, and lung infiltrates) or hypoxemia (SpO</w:t>
      </w:r>
      <w:r w:rsidR="005C01A5" w:rsidRPr="00C068F4">
        <w:rPr>
          <w:color w:val="000000" w:themeColor="text1"/>
          <w:vertAlign w:val="subscript"/>
        </w:rPr>
        <w:t>2</w:t>
      </w:r>
      <w:r w:rsidR="005C01A5" w:rsidRPr="00C068F4">
        <w:rPr>
          <w:color w:val="000000" w:themeColor="text1"/>
        </w:rPr>
        <w:t xml:space="preserve"> &lt; 90% in room air</w:t>
      </w:r>
      <w:r w:rsidR="00513D39" w:rsidRPr="00C068F4">
        <w:rPr>
          <w:color w:val="000000" w:themeColor="text1"/>
        </w:rPr>
        <w:t xml:space="preserve"> </w:t>
      </w:r>
      <w:r w:rsidR="005C01A5" w:rsidRPr="00C068F4">
        <w:rPr>
          <w:color w:val="000000" w:themeColor="text1"/>
        </w:rPr>
        <w:t>and/or severe respiratory distress) and a WHO progression scale score of 5 or higher.</w:t>
      </w:r>
      <w:r w:rsidR="00513D39" w:rsidRPr="00C068F4">
        <w:rPr>
          <w:color w:val="000000" w:themeColor="text1"/>
        </w:rPr>
        <w:t xml:space="preserve"> Patients </w:t>
      </w:r>
      <w:r w:rsidR="00BE7CB1" w:rsidRPr="00C068F4">
        <w:rPr>
          <w:color w:val="000000" w:themeColor="text1"/>
        </w:rPr>
        <w:t xml:space="preserve">with severe or critical COVID-19 </w:t>
      </w:r>
      <w:r w:rsidR="00513D39" w:rsidRPr="00C068F4">
        <w:rPr>
          <w:color w:val="000000" w:themeColor="text1"/>
        </w:rPr>
        <w:t>were not necessarily hospitalised</w:t>
      </w:r>
      <w:r w:rsidR="00BE7CB1" w:rsidRPr="00C068F4">
        <w:rPr>
          <w:color w:val="000000" w:themeColor="text1"/>
        </w:rPr>
        <w:t xml:space="preserve">. </w:t>
      </w:r>
      <w:r w:rsidR="006D0DCB" w:rsidRPr="00C068F4">
        <w:rPr>
          <w:color w:val="000000" w:themeColor="text1"/>
        </w:rPr>
        <w:t xml:space="preserve">The proportion hospitalised is not reported by the PROVENT high-level data summary. </w:t>
      </w:r>
      <w:r w:rsidR="00600B75" w:rsidRPr="00C068F4">
        <w:rPr>
          <w:color w:val="000000" w:themeColor="text1"/>
        </w:rPr>
        <w:t xml:space="preserve">For the purposes of the model, it was assumed that </w:t>
      </w:r>
      <w:r w:rsidR="00242E6C" w:rsidRPr="00C068F4">
        <w:rPr>
          <w:color w:val="000000" w:themeColor="text1"/>
        </w:rPr>
        <w:t>patients with severe or critical COVID-19</w:t>
      </w:r>
      <w:r w:rsidR="00600B75" w:rsidRPr="00C068F4">
        <w:rPr>
          <w:color w:val="000000" w:themeColor="text1"/>
        </w:rPr>
        <w:t xml:space="preserve"> patients would require hospitalisation. However, given the trial was conducted prior to the emergence of the Omicron subvariant</w:t>
      </w:r>
      <w:r w:rsidR="00C82A10" w:rsidRPr="00C068F4">
        <w:rPr>
          <w:color w:val="000000" w:themeColor="text1"/>
        </w:rPr>
        <w:t xml:space="preserve"> and given that the Omicron variant has been associated with</w:t>
      </w:r>
      <w:r w:rsidR="008A069F" w:rsidRPr="00C068F4">
        <w:rPr>
          <w:color w:val="000000" w:themeColor="text1"/>
        </w:rPr>
        <w:t xml:space="preserve"> reduced pathogenicity</w:t>
      </w:r>
      <w:r w:rsidR="00AE2C10" w:rsidRPr="00C068F4">
        <w:rPr>
          <w:color w:val="000000" w:themeColor="text1"/>
        </w:rPr>
        <w:fldChar w:fldCharType="begin" w:fldLock="1"/>
      </w:r>
      <w:r w:rsidR="00AE2C10" w:rsidRPr="00C068F4">
        <w:rPr>
          <w:color w:val="000000" w:themeColor="text1"/>
        </w:rPr>
        <w:instrText xml:space="preserve"> NOTEREF _Ref110800525 \f \h </w:instrText>
      </w:r>
      <w:r w:rsidR="00AE2C10" w:rsidRPr="00C068F4">
        <w:rPr>
          <w:color w:val="000000" w:themeColor="text1"/>
        </w:rPr>
      </w:r>
      <w:r w:rsidR="00AE2C10" w:rsidRPr="00C068F4">
        <w:rPr>
          <w:color w:val="000000" w:themeColor="text1"/>
        </w:rPr>
        <w:fldChar w:fldCharType="separate"/>
      </w:r>
      <w:r w:rsidR="00AB751C" w:rsidRPr="00AB751C">
        <w:rPr>
          <w:rStyle w:val="FootnoteReference"/>
        </w:rPr>
        <w:t>23</w:t>
      </w:r>
      <w:r w:rsidR="00AE2C10" w:rsidRPr="00C068F4">
        <w:rPr>
          <w:color w:val="000000" w:themeColor="text1"/>
        </w:rPr>
        <w:fldChar w:fldCharType="end"/>
      </w:r>
      <w:r w:rsidR="008A069F" w:rsidRPr="00C068F4">
        <w:rPr>
          <w:color w:val="000000" w:themeColor="text1"/>
        </w:rPr>
        <w:t xml:space="preserve"> compared to the variants that were in circulation at the time of the conduct of the PROVENT tria</w:t>
      </w:r>
      <w:r w:rsidR="00AE2C10" w:rsidRPr="00C068F4">
        <w:rPr>
          <w:color w:val="000000" w:themeColor="text1"/>
        </w:rPr>
        <w:t>l</w:t>
      </w:r>
      <w:r w:rsidR="00285DF2" w:rsidRPr="00C068F4">
        <w:rPr>
          <w:color w:val="000000" w:themeColor="text1"/>
        </w:rPr>
        <w:t>, the proportion observed in the PROVENT trial was deemed to require adjustment</w:t>
      </w:r>
      <w:r w:rsidR="003147F8" w:rsidRPr="00C068F4">
        <w:rPr>
          <w:color w:val="000000" w:themeColor="text1"/>
        </w:rPr>
        <w:t xml:space="preserve">. </w:t>
      </w:r>
      <w:r w:rsidR="003E26B1" w:rsidRPr="00C068F4">
        <w:rPr>
          <w:color w:val="000000" w:themeColor="text1"/>
        </w:rPr>
        <w:t>Fan 2022</w:t>
      </w:r>
      <w:r w:rsidR="004B72F1" w:rsidRPr="00C068F4">
        <w:rPr>
          <w:color w:val="000000" w:themeColor="text1"/>
        </w:rPr>
        <w:fldChar w:fldCharType="begin" w:fldLock="1"/>
      </w:r>
      <w:r w:rsidR="004B72F1" w:rsidRPr="00C068F4">
        <w:rPr>
          <w:color w:val="000000" w:themeColor="text1"/>
        </w:rPr>
        <w:instrText xml:space="preserve"> NOTEREF _Ref110800525 \f \h </w:instrText>
      </w:r>
      <w:r w:rsidR="004B72F1" w:rsidRPr="00C068F4">
        <w:rPr>
          <w:color w:val="000000" w:themeColor="text1"/>
        </w:rPr>
      </w:r>
      <w:r w:rsidR="004B72F1" w:rsidRPr="00C068F4">
        <w:rPr>
          <w:color w:val="000000" w:themeColor="text1"/>
        </w:rPr>
        <w:fldChar w:fldCharType="separate"/>
      </w:r>
      <w:r w:rsidR="00AB751C" w:rsidRPr="00AB751C">
        <w:rPr>
          <w:rStyle w:val="FootnoteReference"/>
        </w:rPr>
        <w:t>23</w:t>
      </w:r>
      <w:r w:rsidR="004B72F1" w:rsidRPr="00C068F4">
        <w:rPr>
          <w:color w:val="000000" w:themeColor="text1"/>
        </w:rPr>
        <w:fldChar w:fldCharType="end"/>
      </w:r>
      <w:r w:rsidR="003E26B1" w:rsidRPr="00C068F4">
        <w:rPr>
          <w:color w:val="000000" w:themeColor="text1"/>
        </w:rPr>
        <w:t xml:space="preserve"> estimate that the probability of severe illness </w:t>
      </w:r>
      <w:r w:rsidR="00D43457" w:rsidRPr="00C068F4">
        <w:rPr>
          <w:color w:val="000000" w:themeColor="text1"/>
        </w:rPr>
        <w:t xml:space="preserve">with the Omicron variant </w:t>
      </w:r>
      <w:r w:rsidR="000B56C1" w:rsidRPr="00C068F4">
        <w:rPr>
          <w:color w:val="000000" w:themeColor="text1"/>
        </w:rPr>
        <w:t>is</w:t>
      </w:r>
      <w:r w:rsidR="003E26B1" w:rsidRPr="00C068F4">
        <w:rPr>
          <w:color w:val="000000" w:themeColor="text1"/>
        </w:rPr>
        <w:t xml:space="preserve"> reduced by between 25% and 73%</w:t>
      </w:r>
      <w:r w:rsidR="00D43457" w:rsidRPr="00C068F4">
        <w:rPr>
          <w:color w:val="000000" w:themeColor="text1"/>
        </w:rPr>
        <w:t xml:space="preserve"> compared to </w:t>
      </w:r>
      <w:r w:rsidR="00B60CDB" w:rsidRPr="00C068F4">
        <w:rPr>
          <w:color w:val="000000" w:themeColor="text1"/>
        </w:rPr>
        <w:t xml:space="preserve">the earlier variants. On this basis, </w:t>
      </w:r>
      <w:r w:rsidR="00BE4E72" w:rsidRPr="00C068F4">
        <w:rPr>
          <w:color w:val="000000" w:themeColor="text1"/>
        </w:rPr>
        <w:t xml:space="preserve">to account for the emergence of less pathogenic Omicron variant compared to the variants circulating at the time of the PROVENT trial, </w:t>
      </w:r>
      <w:r w:rsidR="00CA59A6" w:rsidRPr="00C068F4">
        <w:rPr>
          <w:color w:val="000000" w:themeColor="text1"/>
        </w:rPr>
        <w:t xml:space="preserve">the risk of </w:t>
      </w:r>
      <w:r w:rsidR="00AF2099" w:rsidRPr="00C068F4">
        <w:rPr>
          <w:color w:val="000000" w:themeColor="text1"/>
        </w:rPr>
        <w:t>severe or critical COVID-19 observed in the control arm of PROVENT as a proxy for hospitalisation</w:t>
      </w:r>
      <w:r w:rsidR="00EC29D9" w:rsidRPr="00C068F4">
        <w:rPr>
          <w:color w:val="000000" w:themeColor="text1"/>
        </w:rPr>
        <w:t xml:space="preserve"> (which favours tixagevimab and cilgavimab in the analysis)</w:t>
      </w:r>
      <w:r w:rsidR="00AC03D2" w:rsidRPr="00C068F4">
        <w:rPr>
          <w:color w:val="000000" w:themeColor="text1"/>
        </w:rPr>
        <w:t xml:space="preserve"> was adjusted by application of a </w:t>
      </w:r>
      <w:r w:rsidR="00AF2099" w:rsidRPr="00C068F4">
        <w:rPr>
          <w:color w:val="000000" w:themeColor="text1"/>
        </w:rPr>
        <w:t xml:space="preserve">risk reduction of 30% </w:t>
      </w:r>
      <w:r w:rsidR="004B72F1" w:rsidRPr="00C068F4">
        <w:rPr>
          <w:color w:val="000000" w:themeColor="text1"/>
        </w:rPr>
        <w:t>(which is at the lower end of the range reported by Fan 2022</w:t>
      </w:r>
      <w:r w:rsidR="002108D2" w:rsidRPr="00C068F4">
        <w:rPr>
          <w:color w:val="000000" w:themeColor="text1"/>
        </w:rPr>
        <w:t xml:space="preserve"> and is more favourable to tixagevimab and cilgavimab than values at the higher end</w:t>
      </w:r>
      <w:r w:rsidR="004B72F1" w:rsidRPr="00C068F4">
        <w:rPr>
          <w:color w:val="000000" w:themeColor="text1"/>
        </w:rPr>
        <w:t>)</w:t>
      </w:r>
      <w:r w:rsidR="000B56C1" w:rsidRPr="00C068F4">
        <w:rPr>
          <w:color w:val="000000" w:themeColor="text1"/>
        </w:rPr>
        <w:t>. Thus,</w:t>
      </w:r>
      <w:r w:rsidR="00D32C34" w:rsidRPr="00C068F4">
        <w:rPr>
          <w:color w:val="000000" w:themeColor="text1"/>
        </w:rPr>
        <w:t xml:space="preserve"> the proportion of </w:t>
      </w:r>
      <w:r w:rsidR="00E50654" w:rsidRPr="00C068F4">
        <w:rPr>
          <w:color w:val="000000" w:themeColor="text1"/>
        </w:rPr>
        <w:t xml:space="preserve">immunocompromised </w:t>
      </w:r>
      <w:r w:rsidR="00D32C34" w:rsidRPr="00C068F4">
        <w:rPr>
          <w:color w:val="000000" w:themeColor="text1"/>
        </w:rPr>
        <w:t xml:space="preserve">patients </w:t>
      </w:r>
      <w:r w:rsidR="00E50654" w:rsidRPr="00C068F4">
        <w:rPr>
          <w:color w:val="000000" w:themeColor="text1"/>
        </w:rPr>
        <w:t xml:space="preserve">who develop </w:t>
      </w:r>
      <w:r w:rsidR="007353EB" w:rsidRPr="00C068F4">
        <w:rPr>
          <w:color w:val="000000" w:themeColor="text1"/>
        </w:rPr>
        <w:t xml:space="preserve">symptomatic COVID-19 and </w:t>
      </w:r>
      <w:r w:rsidR="00E50654" w:rsidRPr="00C068F4">
        <w:rPr>
          <w:color w:val="000000" w:themeColor="text1"/>
        </w:rPr>
        <w:t>require hospitalisation</w:t>
      </w:r>
      <w:r w:rsidR="007353EB" w:rsidRPr="00C068F4">
        <w:rPr>
          <w:color w:val="000000" w:themeColor="text1"/>
        </w:rPr>
        <w:t xml:space="preserve"> </w:t>
      </w:r>
      <w:r w:rsidR="00725395" w:rsidRPr="00C068F4">
        <w:rPr>
          <w:color w:val="000000" w:themeColor="text1"/>
        </w:rPr>
        <w:t xml:space="preserve">in the absence of availability of tixagevimab and cilgavimab </w:t>
      </w:r>
      <w:r w:rsidR="0051020D" w:rsidRPr="00C068F4">
        <w:rPr>
          <w:color w:val="000000" w:themeColor="text1"/>
        </w:rPr>
        <w:t xml:space="preserve">applied in the model is </w:t>
      </w:r>
      <w:r w:rsidR="005F1211" w:rsidRPr="00C068F4">
        <w:rPr>
          <w:color w:val="000000" w:themeColor="text1"/>
        </w:rPr>
        <w:t>14% (20% x (1-30%))</w:t>
      </w:r>
      <w:r w:rsidR="00725395" w:rsidRPr="00C068F4">
        <w:rPr>
          <w:color w:val="000000" w:themeColor="text1"/>
        </w:rPr>
        <w:t>.</w:t>
      </w:r>
    </w:p>
    <w:p w14:paraId="581490AB" w14:textId="7BD91079" w:rsidR="007926C9" w:rsidRPr="00C068F4" w:rsidRDefault="00332080">
      <w:pPr>
        <w:pStyle w:val="3-BodyText"/>
      </w:pPr>
      <w:bookmarkStart w:id="94" w:name="_Ref110964337"/>
      <w:r w:rsidRPr="00C068F4">
        <w:t>The relative risk of hospitalisation in patients developing symptomatic COVID</w:t>
      </w:r>
      <w:r w:rsidR="006F0614" w:rsidRPr="00C068F4">
        <w:t>-</w:t>
      </w:r>
      <w:r w:rsidRPr="00C068F4">
        <w:t xml:space="preserve">19 for </w:t>
      </w:r>
      <w:r w:rsidRPr="00C068F4">
        <w:rPr>
          <w:color w:val="000000" w:themeColor="text1"/>
        </w:rPr>
        <w:t>tixagevimab and cilgavimab</w:t>
      </w:r>
      <w:r w:rsidRPr="00C068F4">
        <w:t xml:space="preserve"> versus placebo-treated patients applied in both models is as observed in the PROVENT trial </w:t>
      </w:r>
      <w:r w:rsidR="00281BAD" w:rsidRPr="00C068F4">
        <w:t>at 12 months (</w:t>
      </w:r>
      <w:r w:rsidR="00474924" w:rsidRPr="00C068F4">
        <w:t xml:space="preserve">See </w:t>
      </w:r>
      <w:r w:rsidR="00474924" w:rsidRPr="00C068F4">
        <w:rPr>
          <w:color w:val="000000" w:themeColor="text1"/>
        </w:rPr>
        <w:fldChar w:fldCharType="begin" w:fldLock="1"/>
      </w:r>
      <w:r w:rsidR="00474924" w:rsidRPr="00C068F4">
        <w:rPr>
          <w:color w:val="000000" w:themeColor="text1"/>
        </w:rPr>
        <w:instrText xml:space="preserve"> REF _Ref109860884 \h  \* MERGEFORMAT </w:instrText>
      </w:r>
      <w:r w:rsidR="00474924" w:rsidRPr="00C068F4">
        <w:rPr>
          <w:color w:val="000000" w:themeColor="text1"/>
        </w:rPr>
      </w:r>
      <w:r w:rsidR="00474924" w:rsidRPr="00C068F4">
        <w:rPr>
          <w:color w:val="000000" w:themeColor="text1"/>
        </w:rPr>
        <w:fldChar w:fldCharType="separate"/>
      </w:r>
      <w:r w:rsidR="00AB751C" w:rsidRPr="00AB751C">
        <w:rPr>
          <w:color w:val="000000" w:themeColor="text1"/>
        </w:rPr>
        <w:t>Table 5</w:t>
      </w:r>
      <w:r w:rsidR="00474924" w:rsidRPr="00C068F4">
        <w:rPr>
          <w:color w:val="000000" w:themeColor="text1"/>
        </w:rPr>
        <w:fldChar w:fldCharType="end"/>
      </w:r>
      <w:r w:rsidR="00474924" w:rsidRPr="00C068F4">
        <w:rPr>
          <w:color w:val="000000" w:themeColor="text1"/>
        </w:rPr>
        <w:t xml:space="preserve">: </w:t>
      </w:r>
      <w:r w:rsidR="00474924" w:rsidRPr="00C068F4">
        <w:t>0.087</w:t>
      </w:r>
      <w:r w:rsidRPr="00C068F4">
        <w:t>).</w:t>
      </w:r>
      <w:bookmarkEnd w:id="94"/>
    </w:p>
    <w:p w14:paraId="11AE2DBD" w14:textId="4B0EF521" w:rsidR="00160AF0" w:rsidRPr="00C068F4" w:rsidRDefault="00393A74" w:rsidP="00FE0FF7">
      <w:pPr>
        <w:pStyle w:val="3-BodyText"/>
      </w:pPr>
      <w:bookmarkStart w:id="95" w:name="_Ref110970810"/>
      <w:r w:rsidRPr="00C068F4">
        <w:t xml:space="preserve">Patient-level data for patients admitted to hospital with confirmed COVID-19 were provided on an in-confidence basis by the National Health Reform Branch of the Department. These data permitted the derivation </w:t>
      </w:r>
      <w:r w:rsidR="00F235D6" w:rsidRPr="00C068F4">
        <w:t xml:space="preserve">of </w:t>
      </w:r>
      <w:r w:rsidR="007501A3" w:rsidRPr="00C068F4">
        <w:t>transition probabilities for use in the model</w:t>
      </w:r>
      <w:r w:rsidR="00F235D6" w:rsidRPr="00C068F4">
        <w:t>.</w:t>
      </w:r>
      <w:bookmarkEnd w:id="95"/>
      <w:r w:rsidR="00287C72">
        <w:t xml:space="preserve"> </w:t>
      </w:r>
      <w:r w:rsidR="00EC712B" w:rsidRPr="00C068F4">
        <w:t xml:space="preserve">Consistent with death rates reported in Australia during the Omicron wave </w:t>
      </w:r>
      <w:r w:rsidR="00EC712B" w:rsidRPr="00C068F4">
        <w:lastRenderedPageBreak/>
        <w:t>(the period between 15 Dec 2021 and 3 Jul 2022)</w:t>
      </w:r>
      <w:r w:rsidR="006148ED" w:rsidRPr="00C068F4">
        <w:footnoteReference w:id="25"/>
      </w:r>
      <w:r w:rsidR="006148ED" w:rsidRPr="00C068F4">
        <w:t>,</w:t>
      </w:r>
      <w:r w:rsidR="00EC712B" w:rsidRPr="00C068F4">
        <w:t xml:space="preserve"> patients who die due to COVID-19 through the course of the economic model are assumed to have an average age of 81.3 years. It is assumed these patients would have had an average life expectancy of 9 years had they not contracted COVID-19. These future life years are assumed to have been lived with an average utility weight of 0.83 and are discounted at 5% per annum such that a total of 6.1 QALYs are lost per patient dying with COVID-19 in the model.</w:t>
      </w:r>
    </w:p>
    <w:p w14:paraId="0470AA43" w14:textId="5B3C1D7A" w:rsidR="00287C72" w:rsidRDefault="00BA4779" w:rsidP="00BA4779">
      <w:pPr>
        <w:pStyle w:val="3-BodyText"/>
      </w:pPr>
      <w:r w:rsidRPr="00C068F4">
        <w:t xml:space="preserve">Costs of treatment are applied only to the </w:t>
      </w:r>
      <w:r w:rsidR="00305BD2" w:rsidRPr="00C068F4">
        <w:rPr>
          <w:color w:val="000000" w:themeColor="text1"/>
        </w:rPr>
        <w:t>tixagevimab and cilgavimab</w:t>
      </w:r>
      <w:r w:rsidRPr="00C068F4">
        <w:t xml:space="preserve"> arm.</w:t>
      </w:r>
    </w:p>
    <w:p w14:paraId="26214299" w14:textId="3021A569" w:rsidR="00BA4779" w:rsidRPr="00C068F4" w:rsidRDefault="00BA4779" w:rsidP="00BA4779">
      <w:pPr>
        <w:pStyle w:val="3-BodyText"/>
      </w:pPr>
      <w:r w:rsidRPr="00C068F4">
        <w:t xml:space="preserve">As </w:t>
      </w:r>
      <w:r w:rsidR="008B3545" w:rsidRPr="00C068F4">
        <w:rPr>
          <w:color w:val="000000" w:themeColor="text1"/>
        </w:rPr>
        <w:t>tixagevimab and cilgavimab</w:t>
      </w:r>
      <w:r w:rsidRPr="00C068F4">
        <w:t xml:space="preserve"> is administered by two intramuscular injections, it is assumed that a nurse or a general practitioner would be needed to administer the injection. An administration cost of </w:t>
      </w:r>
      <w:r w:rsidR="0090667A" w:rsidRPr="0090667A">
        <w:t>$</w:t>
      </w:r>
      <w:r w:rsidR="008B3545" w:rsidRPr="00C068F4">
        <w:t xml:space="preserve">39.10, as proposed </w:t>
      </w:r>
      <w:r w:rsidR="00CE6F0B" w:rsidRPr="00C068F4">
        <w:t>in</w:t>
      </w:r>
      <w:r w:rsidR="008B3545" w:rsidRPr="00C068F4">
        <w:t xml:space="preserve"> the </w:t>
      </w:r>
      <w:r w:rsidR="00C04AD2" w:rsidRPr="00C068F4">
        <w:t>Sponsor</w:t>
      </w:r>
      <w:r w:rsidR="00CE6F0B" w:rsidRPr="00C068F4">
        <w:t>’s submission</w:t>
      </w:r>
      <w:r w:rsidR="008B3545" w:rsidRPr="00C068F4">
        <w:t>,</w:t>
      </w:r>
      <w:r w:rsidRPr="00C068F4">
        <w:t xml:space="preserve"> is applied in the economic analysis</w:t>
      </w:r>
      <w:r w:rsidR="00E05F7F" w:rsidRPr="00C068F4">
        <w:t xml:space="preserve"> (MBS Item 23)</w:t>
      </w:r>
      <w:r w:rsidRPr="00C068F4">
        <w:t>.</w:t>
      </w:r>
    </w:p>
    <w:p w14:paraId="71407506" w14:textId="04772E31" w:rsidR="00287C72" w:rsidRDefault="00BA4779" w:rsidP="00BA4779">
      <w:pPr>
        <w:pStyle w:val="3-BodyText"/>
      </w:pPr>
      <w:r w:rsidRPr="00C068F4">
        <w:t>Regarding the costs of management by health state, the same costs are applied for time spent in equivalent health states regardless of the arm of the analysis.</w:t>
      </w:r>
    </w:p>
    <w:p w14:paraId="3C1DC813" w14:textId="0DAD8A53" w:rsidR="00BA4779" w:rsidRPr="00C068F4" w:rsidRDefault="00BA4779" w:rsidP="00BA4779">
      <w:pPr>
        <w:pStyle w:val="3-BodyText"/>
      </w:pPr>
      <w:r w:rsidRPr="00C068F4">
        <w:t xml:space="preserve">Discounting is not applied to costs as these are primarily incurred within a </w:t>
      </w:r>
      <w:r w:rsidR="002574E2" w:rsidRPr="00C068F4">
        <w:t>12</w:t>
      </w:r>
      <w:r w:rsidRPr="00C068F4">
        <w:t>-month time horizon.</w:t>
      </w:r>
    </w:p>
    <w:p w14:paraId="1E283236" w14:textId="6D7EB1DE" w:rsidR="00787F5D" w:rsidRPr="00C068F4" w:rsidRDefault="00787F5D" w:rsidP="00A14E91">
      <w:pPr>
        <w:pStyle w:val="3-BodyText"/>
        <w:rPr>
          <w:color w:val="000000" w:themeColor="text1"/>
        </w:rPr>
      </w:pPr>
      <w:r w:rsidRPr="00C068F4">
        <w:rPr>
          <w:color w:val="000000" w:themeColor="text1"/>
        </w:rPr>
        <w:t xml:space="preserve">The submission notes that the emergence of COVID-19 has heightened the need for immunocompromised patients to retract from social contact and interaction, </w:t>
      </w:r>
      <w:r w:rsidR="00875C0C" w:rsidRPr="00C068F4">
        <w:rPr>
          <w:color w:val="000000" w:themeColor="text1"/>
        </w:rPr>
        <w:t xml:space="preserve">with impacts on </w:t>
      </w:r>
      <w:r w:rsidRPr="00C068F4">
        <w:rPr>
          <w:color w:val="000000" w:themeColor="text1"/>
        </w:rPr>
        <w:t>employment, mental health and health-related quality of life (HRQoL). The</w:t>
      </w:r>
      <w:r w:rsidR="00875C0C" w:rsidRPr="00C068F4">
        <w:rPr>
          <w:color w:val="000000" w:themeColor="text1"/>
        </w:rPr>
        <w:t xml:space="preserve"> submission notes that these </w:t>
      </w:r>
      <w:r w:rsidRPr="00C068F4">
        <w:rPr>
          <w:color w:val="000000" w:themeColor="text1"/>
        </w:rPr>
        <w:t xml:space="preserve">impacts have not been captured in the cost-effectiveness evaluation of </w:t>
      </w:r>
      <w:r w:rsidR="00875C0C" w:rsidRPr="00C068F4">
        <w:rPr>
          <w:color w:val="000000" w:themeColor="text1"/>
        </w:rPr>
        <w:t>tixagevimab and cilgavimab</w:t>
      </w:r>
      <w:r w:rsidRPr="00C068F4">
        <w:rPr>
          <w:color w:val="000000" w:themeColor="text1"/>
        </w:rPr>
        <w:t>.</w:t>
      </w:r>
      <w:r w:rsidR="00875C0C" w:rsidRPr="00C068F4">
        <w:rPr>
          <w:color w:val="000000" w:themeColor="text1"/>
        </w:rPr>
        <w:t xml:space="preserve"> </w:t>
      </w:r>
      <w:r w:rsidR="00EA20DF" w:rsidRPr="00C068F4">
        <w:rPr>
          <w:iCs/>
          <w:color w:val="000000" w:themeColor="text1"/>
        </w:rPr>
        <w:t>T</w:t>
      </w:r>
      <w:r w:rsidR="00B312BE" w:rsidRPr="00C068F4">
        <w:rPr>
          <w:iCs/>
          <w:color w:val="000000" w:themeColor="text1"/>
        </w:rPr>
        <w:t xml:space="preserve">he submission does not provide evidence that </w:t>
      </w:r>
      <w:r w:rsidR="005500F0" w:rsidRPr="00C068F4">
        <w:rPr>
          <w:iCs/>
          <w:color w:val="000000" w:themeColor="text1"/>
        </w:rPr>
        <w:t>quantifies whether, and if so</w:t>
      </w:r>
      <w:r w:rsidR="00F42444" w:rsidRPr="00C068F4">
        <w:rPr>
          <w:iCs/>
          <w:color w:val="000000" w:themeColor="text1"/>
        </w:rPr>
        <w:t xml:space="preserve">, </w:t>
      </w:r>
      <w:r w:rsidR="00CD0AD7" w:rsidRPr="00C068F4">
        <w:rPr>
          <w:iCs/>
          <w:color w:val="000000" w:themeColor="text1"/>
        </w:rPr>
        <w:t xml:space="preserve">to what </w:t>
      </w:r>
      <w:r w:rsidR="00F42444" w:rsidRPr="00C068F4">
        <w:t>extent</w:t>
      </w:r>
      <w:r w:rsidR="00F42444" w:rsidRPr="00C068F4">
        <w:rPr>
          <w:iCs/>
          <w:color w:val="000000" w:themeColor="text1"/>
        </w:rPr>
        <w:t>,</w:t>
      </w:r>
      <w:r w:rsidR="0074177A" w:rsidRPr="00C068F4">
        <w:rPr>
          <w:iCs/>
          <w:color w:val="000000" w:themeColor="text1"/>
        </w:rPr>
        <w:t xml:space="preserve"> </w:t>
      </w:r>
      <w:r w:rsidR="00EA20DF" w:rsidRPr="00C068F4">
        <w:rPr>
          <w:iCs/>
          <w:color w:val="000000" w:themeColor="text1"/>
        </w:rPr>
        <w:t xml:space="preserve">immunocompromised </w:t>
      </w:r>
      <w:r w:rsidR="0074177A" w:rsidRPr="00C068F4">
        <w:rPr>
          <w:iCs/>
          <w:color w:val="000000" w:themeColor="text1"/>
        </w:rPr>
        <w:t>patients using tixagevimab and cilgavimab for PrEP are less likely to retract from social contact and interaction.</w:t>
      </w:r>
      <w:r w:rsidR="005500F0" w:rsidRPr="00C068F4">
        <w:rPr>
          <w:iCs/>
          <w:color w:val="000000" w:themeColor="text1"/>
        </w:rPr>
        <w:t xml:space="preserve"> </w:t>
      </w:r>
      <w:r w:rsidR="00E44C00" w:rsidRPr="00C068F4">
        <w:rPr>
          <w:iCs/>
          <w:color w:val="000000" w:themeColor="text1"/>
        </w:rPr>
        <w:t>No</w:t>
      </w:r>
      <w:r w:rsidR="00F42444" w:rsidRPr="00C068F4">
        <w:rPr>
          <w:iCs/>
          <w:color w:val="000000" w:themeColor="text1"/>
        </w:rPr>
        <w:t xml:space="preserve"> adjustments have been made to the model to capture such potential benefits.</w:t>
      </w:r>
    </w:p>
    <w:p w14:paraId="1377EFA0" w14:textId="02A0B466" w:rsidR="007506C3" w:rsidRPr="00C068F4" w:rsidRDefault="007506C3" w:rsidP="007506C3">
      <w:pPr>
        <w:pStyle w:val="3-BodyText"/>
        <w:rPr>
          <w:rStyle w:val="normaltextrun"/>
          <w:color w:val="000000" w:themeColor="text1"/>
        </w:rPr>
      </w:pPr>
      <w:r w:rsidRPr="00C068F4">
        <w:t>The submission also suggests that the model</w:t>
      </w:r>
      <w:r w:rsidR="0045352F" w:rsidRPr="00C068F4">
        <w:t xml:space="preserve"> does not capture </w:t>
      </w:r>
      <w:r w:rsidRPr="00C068F4">
        <w:rPr>
          <w:color w:val="000000" w:themeColor="text1"/>
        </w:rPr>
        <w:t xml:space="preserve">longer-term health impacts, cost savings or productivity gains associated with the avoidance of COVID-19 infection </w:t>
      </w:r>
      <w:r w:rsidR="00880994" w:rsidRPr="00C068F4">
        <w:rPr>
          <w:color w:val="000000" w:themeColor="text1"/>
        </w:rPr>
        <w:t>(such as post-acute COVID-19 sequelae</w:t>
      </w:r>
      <w:r w:rsidR="00AA6611" w:rsidRPr="00C068F4">
        <w:rPr>
          <w:color w:val="000000" w:themeColor="text1"/>
        </w:rPr>
        <w:t xml:space="preserve"> [</w:t>
      </w:r>
      <w:r w:rsidR="00880994" w:rsidRPr="00C068F4">
        <w:rPr>
          <w:color w:val="000000" w:themeColor="text1"/>
        </w:rPr>
        <w:t xml:space="preserve">‘long </w:t>
      </w:r>
      <w:r w:rsidR="00880994" w:rsidRPr="00C068F4">
        <w:rPr>
          <w:rStyle w:val="normaltextrun"/>
          <w:color w:val="000000" w:themeColor="text1"/>
        </w:rPr>
        <w:t>COVID’</w:t>
      </w:r>
      <w:r w:rsidR="00AA6611" w:rsidRPr="00C068F4">
        <w:rPr>
          <w:rStyle w:val="normaltextrun"/>
          <w:color w:val="000000" w:themeColor="text1"/>
        </w:rPr>
        <w:t>]</w:t>
      </w:r>
      <w:r w:rsidR="005B26C5" w:rsidRPr="00C068F4">
        <w:rPr>
          <w:rStyle w:val="normaltextrun"/>
          <w:color w:val="000000" w:themeColor="text1"/>
        </w:rPr>
        <w:t>)</w:t>
      </w:r>
      <w:r w:rsidR="00880994" w:rsidRPr="00C068F4">
        <w:rPr>
          <w:rStyle w:val="normaltextrun"/>
          <w:color w:val="000000" w:themeColor="text1"/>
        </w:rPr>
        <w:t xml:space="preserve">. </w:t>
      </w:r>
      <w:r w:rsidR="000017EC" w:rsidRPr="00C068F4">
        <w:rPr>
          <w:rStyle w:val="normaltextrun"/>
          <w:color w:val="000000" w:themeColor="text1"/>
        </w:rPr>
        <w:t>It appears</w:t>
      </w:r>
      <w:r w:rsidR="0038223B" w:rsidRPr="00C068F4">
        <w:rPr>
          <w:rStyle w:val="normaltextrun"/>
          <w:color w:val="000000" w:themeColor="text1"/>
        </w:rPr>
        <w:t xml:space="preserve"> </w:t>
      </w:r>
      <w:r w:rsidR="000017EC" w:rsidRPr="00C068F4">
        <w:rPr>
          <w:rStyle w:val="normaltextrun"/>
          <w:color w:val="000000" w:themeColor="text1"/>
        </w:rPr>
        <w:t xml:space="preserve">the majority of people who develop COVID-19 fully recover but current evidence suggests approximately 10%-20% of people experience a variety of mid- and long-term effects after they recover from their initial illness. </w:t>
      </w:r>
      <w:r w:rsidR="00AC5B38" w:rsidRPr="00C068F4">
        <w:rPr>
          <w:rStyle w:val="normaltextrun"/>
          <w:color w:val="000000" w:themeColor="text1"/>
        </w:rPr>
        <w:t>I</w:t>
      </w:r>
      <w:r w:rsidR="00B80CED" w:rsidRPr="00C068F4">
        <w:rPr>
          <w:rStyle w:val="normaltextrun"/>
          <w:color w:val="000000" w:themeColor="text1"/>
        </w:rPr>
        <w:t xml:space="preserve">t is currently impractical to </w:t>
      </w:r>
      <w:r w:rsidR="00DB5553" w:rsidRPr="00C068F4">
        <w:rPr>
          <w:rStyle w:val="normaltextrun"/>
          <w:color w:val="000000" w:themeColor="text1"/>
        </w:rPr>
        <w:t>attempt to quantify any</w:t>
      </w:r>
      <w:r w:rsidR="00B80CED" w:rsidRPr="00C068F4">
        <w:rPr>
          <w:rStyle w:val="normaltextrun"/>
          <w:color w:val="000000" w:themeColor="text1"/>
        </w:rPr>
        <w:t xml:space="preserve"> such benefits in the economic analysis given the lack of </w:t>
      </w:r>
      <w:r w:rsidR="003B1A6E" w:rsidRPr="00C068F4">
        <w:rPr>
          <w:rStyle w:val="normaltextrun"/>
          <w:color w:val="000000" w:themeColor="text1"/>
        </w:rPr>
        <w:t>evidence that permits a</w:t>
      </w:r>
      <w:r w:rsidR="00DB5553" w:rsidRPr="00C068F4">
        <w:rPr>
          <w:rStyle w:val="normaltextrun"/>
          <w:color w:val="000000" w:themeColor="text1"/>
        </w:rPr>
        <w:t xml:space="preserve"> clear</w:t>
      </w:r>
      <w:r w:rsidR="003B1A6E" w:rsidRPr="00C068F4">
        <w:rPr>
          <w:rStyle w:val="normaltextrun"/>
          <w:color w:val="000000" w:themeColor="text1"/>
        </w:rPr>
        <w:t xml:space="preserve"> understanding of which patients develop sequelae (e.g., </w:t>
      </w:r>
      <w:r w:rsidR="00B77FAC" w:rsidRPr="00C068F4">
        <w:rPr>
          <w:rStyle w:val="normaltextrun"/>
          <w:color w:val="000000" w:themeColor="text1"/>
        </w:rPr>
        <w:t>to what extent</w:t>
      </w:r>
      <w:r w:rsidR="005F4745" w:rsidRPr="00C068F4">
        <w:rPr>
          <w:rStyle w:val="normaltextrun"/>
          <w:color w:val="000000" w:themeColor="text1"/>
        </w:rPr>
        <w:t xml:space="preserve"> people with asymptomatic COVID</w:t>
      </w:r>
      <w:r w:rsidR="005F4745" w:rsidRPr="00C068F4">
        <w:rPr>
          <w:rStyle w:val="normaltextrun"/>
          <w:color w:val="000000" w:themeColor="text1"/>
        </w:rPr>
        <w:noBreakHyphen/>
        <w:t>19</w:t>
      </w:r>
      <w:r w:rsidR="00B77FAC" w:rsidRPr="00C068F4">
        <w:rPr>
          <w:rStyle w:val="normaltextrun"/>
          <w:color w:val="000000" w:themeColor="text1"/>
        </w:rPr>
        <w:t xml:space="preserve"> can be subject to post-COVID-19 sequelae), the </w:t>
      </w:r>
      <w:r w:rsidR="00B77FAC" w:rsidRPr="00C068F4">
        <w:rPr>
          <w:rStyle w:val="normaltextrun"/>
          <w:color w:val="000000" w:themeColor="text1"/>
        </w:rPr>
        <w:lastRenderedPageBreak/>
        <w:t>duration of sequelae</w:t>
      </w:r>
      <w:r w:rsidR="00702155" w:rsidRPr="00C068F4">
        <w:rPr>
          <w:rStyle w:val="normaltextrun"/>
          <w:color w:val="000000" w:themeColor="text1"/>
        </w:rPr>
        <w:t xml:space="preserve">, etc. Attempts to try to quantify such benefits would </w:t>
      </w:r>
      <w:r w:rsidR="002F0DB3" w:rsidRPr="00C068F4">
        <w:rPr>
          <w:rStyle w:val="normaltextrun"/>
          <w:color w:val="000000" w:themeColor="text1"/>
        </w:rPr>
        <w:t>introduce further uncertainty around the estimates of cost-effectiveness.</w:t>
      </w:r>
    </w:p>
    <w:p w14:paraId="78B3CB56" w14:textId="43EAA211" w:rsidR="003854CB" w:rsidRPr="00C068F4" w:rsidRDefault="003854CB" w:rsidP="007506C3">
      <w:pPr>
        <w:pStyle w:val="3-BodyText"/>
        <w:rPr>
          <w:color w:val="000000" w:themeColor="text1"/>
        </w:rPr>
      </w:pPr>
      <w:r w:rsidRPr="00C068F4">
        <w:t xml:space="preserve">Similarly, reducing the risk of </w:t>
      </w:r>
      <w:r w:rsidR="00675EBB" w:rsidRPr="00C068F4">
        <w:t xml:space="preserve">symptomatic </w:t>
      </w:r>
      <w:r w:rsidR="00675EBB" w:rsidRPr="00C068F4">
        <w:rPr>
          <w:rStyle w:val="normaltextrun"/>
        </w:rPr>
        <w:t>COVID</w:t>
      </w:r>
      <w:r w:rsidR="00675EBB" w:rsidRPr="00C068F4">
        <w:rPr>
          <w:rStyle w:val="normaltextrun"/>
        </w:rPr>
        <w:noBreakHyphen/>
        <w:t xml:space="preserve">19 in an immunocompromised </w:t>
      </w:r>
      <w:r w:rsidR="00675EBB" w:rsidRPr="00C068F4">
        <w:t>person</w:t>
      </w:r>
      <w:r w:rsidR="00675EBB" w:rsidRPr="00C068F4">
        <w:rPr>
          <w:rStyle w:val="normaltextrun"/>
        </w:rPr>
        <w:t xml:space="preserve"> may</w:t>
      </w:r>
      <w:r w:rsidR="00771D94" w:rsidRPr="00C068F4">
        <w:rPr>
          <w:rStyle w:val="normaltextrun"/>
        </w:rPr>
        <w:t xml:space="preserve"> reduce the likelihood that their contacts develop COVID</w:t>
      </w:r>
      <w:r w:rsidR="00771D94" w:rsidRPr="00C068F4">
        <w:rPr>
          <w:rStyle w:val="normaltextrun"/>
        </w:rPr>
        <w:noBreakHyphen/>
        <w:t xml:space="preserve">19. Again, attempts to try to quantify such benefits would introduce </w:t>
      </w:r>
      <w:r w:rsidR="00BC2984" w:rsidRPr="00C068F4">
        <w:rPr>
          <w:rStyle w:val="normaltextrun"/>
        </w:rPr>
        <w:t xml:space="preserve">further </w:t>
      </w:r>
      <w:r w:rsidR="00771D94" w:rsidRPr="00C068F4">
        <w:rPr>
          <w:rStyle w:val="normaltextrun"/>
        </w:rPr>
        <w:t xml:space="preserve">uncertainty around </w:t>
      </w:r>
      <w:r w:rsidR="00AC5B38" w:rsidRPr="00C068F4">
        <w:rPr>
          <w:rStyle w:val="normaltextrun"/>
        </w:rPr>
        <w:t>the</w:t>
      </w:r>
      <w:r w:rsidR="00771D94" w:rsidRPr="00C068F4">
        <w:rPr>
          <w:rStyle w:val="normaltextrun"/>
        </w:rPr>
        <w:t xml:space="preserve"> of estimates of cost-effectiveness</w:t>
      </w:r>
      <w:r w:rsidR="00BC2984" w:rsidRPr="00C068F4">
        <w:rPr>
          <w:rStyle w:val="normaltextrun"/>
        </w:rPr>
        <w:t>.</w:t>
      </w:r>
    </w:p>
    <w:p w14:paraId="4092F805" w14:textId="7D728735" w:rsidR="005A3D61" w:rsidRPr="00C068F4" w:rsidRDefault="005A3D61" w:rsidP="005A3D61">
      <w:pPr>
        <w:pStyle w:val="3-BodyText"/>
        <w:rPr>
          <w:color w:val="000000" w:themeColor="text1"/>
        </w:rPr>
      </w:pPr>
      <w:r w:rsidRPr="00C068F4">
        <w:rPr>
          <w:color w:val="000000" w:themeColor="text1"/>
        </w:rPr>
        <w:fldChar w:fldCharType="begin" w:fldLock="1"/>
      </w:r>
      <w:r w:rsidRPr="00C068F4">
        <w:rPr>
          <w:color w:val="000000" w:themeColor="text1"/>
        </w:rPr>
        <w:instrText xml:space="preserve"> REF _Ref110807735 \h </w:instrText>
      </w:r>
      <w:r w:rsidRPr="00C068F4">
        <w:rPr>
          <w:color w:val="000000" w:themeColor="text1"/>
        </w:rPr>
      </w:r>
      <w:r w:rsidRPr="00C068F4">
        <w:rPr>
          <w:color w:val="000000" w:themeColor="text1"/>
        </w:rPr>
        <w:fldChar w:fldCharType="separate"/>
      </w:r>
      <w:r w:rsidR="00AB751C" w:rsidRPr="00C068F4">
        <w:t xml:space="preserve">Table </w:t>
      </w:r>
      <w:r w:rsidR="00AB751C">
        <w:rPr>
          <w:noProof/>
        </w:rPr>
        <w:t>13</w:t>
      </w:r>
      <w:r w:rsidRPr="00C068F4">
        <w:rPr>
          <w:color w:val="000000" w:themeColor="text1"/>
        </w:rPr>
        <w:fldChar w:fldCharType="end"/>
      </w:r>
      <w:r w:rsidRPr="00C068F4">
        <w:rPr>
          <w:color w:val="000000" w:themeColor="text1"/>
        </w:rPr>
        <w:t xml:space="preserve"> summarises the key features of the model</w:t>
      </w:r>
      <w:r w:rsidR="00FA1FDD" w:rsidRPr="00C068F4">
        <w:rPr>
          <w:color w:val="000000" w:themeColor="text1"/>
        </w:rPr>
        <w:t xml:space="preserve"> used to conduct the economic evaluation of tixagevimab and cilgavimab versus placebo for PrEP against COVID-19.</w:t>
      </w:r>
    </w:p>
    <w:p w14:paraId="15A9AFA4" w14:textId="5FDE7A33" w:rsidR="00275C5A" w:rsidRPr="00C068F4" w:rsidRDefault="00E16AD8" w:rsidP="00E16AD8">
      <w:pPr>
        <w:pStyle w:val="Caption"/>
        <w:jc w:val="left"/>
        <w:rPr>
          <w:rStyle w:val="CommentReference"/>
          <w:b/>
          <w:szCs w:val="24"/>
        </w:rPr>
      </w:pPr>
      <w:bookmarkStart w:id="96" w:name="_Ref110807735"/>
      <w:r w:rsidRPr="00C068F4">
        <w:lastRenderedPageBreak/>
        <w:t xml:space="preserve">Table </w:t>
      </w:r>
      <w:fldSimple w:instr=" SEQ Table \* ARABIC " w:fldLock="1">
        <w:r w:rsidR="00DB55F2">
          <w:rPr>
            <w:noProof/>
          </w:rPr>
          <w:t>13</w:t>
        </w:r>
      </w:fldSimple>
      <w:bookmarkEnd w:id="96"/>
      <w:r w:rsidRPr="00C068F4">
        <w:t>:</w:t>
      </w:r>
      <w:r w:rsidR="00275C5A" w:rsidRPr="00C068F4">
        <w:rPr>
          <w:rStyle w:val="CommentReference"/>
          <w:b/>
          <w:szCs w:val="24"/>
        </w:rPr>
        <w:t xml:space="preserve"> Summary of model structure</w:t>
      </w:r>
      <w:r w:rsidR="00184B0E" w:rsidRPr="00C068F4">
        <w:rPr>
          <w:rStyle w:val="CommentReference"/>
          <w:b/>
          <w:szCs w:val="24"/>
        </w:rPr>
        <w:t>, key inputs</w:t>
      </w:r>
      <w:r w:rsidR="00275C5A" w:rsidRPr="00C068F4">
        <w:rPr>
          <w:rStyle w:val="CommentReference"/>
          <w:b/>
          <w:szCs w:val="24"/>
        </w:rPr>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3: Summary of model structure, key inputs and rationale"/>
      </w:tblPr>
      <w:tblGrid>
        <w:gridCol w:w="2518"/>
        <w:gridCol w:w="6499"/>
      </w:tblGrid>
      <w:tr w:rsidR="00275C5A" w:rsidRPr="00C068F4" w14:paraId="48BB958D" w14:textId="77777777" w:rsidTr="006B35E6">
        <w:trPr>
          <w:tblHeader/>
        </w:trPr>
        <w:tc>
          <w:tcPr>
            <w:tcW w:w="1396" w:type="pct"/>
            <w:shd w:val="clear" w:color="auto" w:fill="auto"/>
            <w:vAlign w:val="center"/>
          </w:tcPr>
          <w:p w14:paraId="29C3D629" w14:textId="77777777" w:rsidR="00275C5A" w:rsidRPr="00C068F4" w:rsidRDefault="00275C5A" w:rsidP="00641FB3">
            <w:pPr>
              <w:pStyle w:val="In-tableHeading"/>
              <w:rPr>
                <w:lang w:val="en-AU"/>
              </w:rPr>
            </w:pPr>
            <w:r w:rsidRPr="00C068F4">
              <w:rPr>
                <w:lang w:val="en-AU"/>
              </w:rPr>
              <w:t>Component</w:t>
            </w:r>
          </w:p>
        </w:tc>
        <w:tc>
          <w:tcPr>
            <w:tcW w:w="3604" w:type="pct"/>
            <w:shd w:val="clear" w:color="auto" w:fill="auto"/>
            <w:vAlign w:val="center"/>
          </w:tcPr>
          <w:p w14:paraId="58FBA37B" w14:textId="77777777" w:rsidR="00275C5A" w:rsidRPr="00C068F4" w:rsidRDefault="00275C5A" w:rsidP="00641FB3">
            <w:pPr>
              <w:pStyle w:val="In-tableHeading"/>
              <w:rPr>
                <w:lang w:val="en-AU"/>
              </w:rPr>
            </w:pPr>
            <w:r w:rsidRPr="00C068F4">
              <w:rPr>
                <w:lang w:val="en-AU"/>
              </w:rPr>
              <w:t>Summary</w:t>
            </w:r>
          </w:p>
        </w:tc>
      </w:tr>
      <w:tr w:rsidR="000A6039" w:rsidRPr="00C068F4" w14:paraId="7476B2FD" w14:textId="77777777" w:rsidTr="006B35E6">
        <w:tc>
          <w:tcPr>
            <w:tcW w:w="1396" w:type="pct"/>
            <w:shd w:val="clear" w:color="auto" w:fill="auto"/>
            <w:vAlign w:val="center"/>
          </w:tcPr>
          <w:p w14:paraId="5FA8442E" w14:textId="27CD0EEA" w:rsidR="000A6039" w:rsidRPr="00C068F4" w:rsidRDefault="000A6039" w:rsidP="00BB00B3">
            <w:pPr>
              <w:pStyle w:val="TableText0"/>
            </w:pPr>
            <w:r w:rsidRPr="00C068F4">
              <w:t>Treatments</w:t>
            </w:r>
          </w:p>
        </w:tc>
        <w:tc>
          <w:tcPr>
            <w:tcW w:w="3604" w:type="pct"/>
            <w:shd w:val="clear" w:color="auto" w:fill="auto"/>
            <w:vAlign w:val="center"/>
          </w:tcPr>
          <w:p w14:paraId="554C8AD3" w14:textId="433BAB18" w:rsidR="000A6039" w:rsidRPr="00C068F4" w:rsidRDefault="0021513B" w:rsidP="00BB00B3">
            <w:pPr>
              <w:pStyle w:val="TableText0"/>
            </w:pPr>
            <w:r w:rsidRPr="00C068F4">
              <w:rPr>
                <w:color w:val="000000" w:themeColor="text1"/>
              </w:rPr>
              <w:t>Tixagevimab and cilgavimab for PrEP of COVID-19 versus placebo (for no PrEP)</w:t>
            </w:r>
          </w:p>
        </w:tc>
      </w:tr>
      <w:tr w:rsidR="00275C5A" w:rsidRPr="00C068F4" w14:paraId="6A8D84D4" w14:textId="77777777" w:rsidTr="006B35E6">
        <w:tc>
          <w:tcPr>
            <w:tcW w:w="1396" w:type="pct"/>
            <w:shd w:val="clear" w:color="auto" w:fill="auto"/>
            <w:vAlign w:val="center"/>
          </w:tcPr>
          <w:p w14:paraId="5F652354" w14:textId="77777777" w:rsidR="00275C5A" w:rsidRPr="00C068F4" w:rsidRDefault="00275C5A" w:rsidP="00BB00B3">
            <w:pPr>
              <w:pStyle w:val="TableText0"/>
            </w:pPr>
            <w:r w:rsidRPr="00C068F4">
              <w:t>Time horizon</w:t>
            </w:r>
          </w:p>
        </w:tc>
        <w:tc>
          <w:tcPr>
            <w:tcW w:w="3604" w:type="pct"/>
            <w:shd w:val="clear" w:color="auto" w:fill="auto"/>
            <w:vAlign w:val="center"/>
          </w:tcPr>
          <w:p w14:paraId="460936F1" w14:textId="0EC049EE" w:rsidR="00275C5A" w:rsidRPr="00C068F4" w:rsidRDefault="000A3FCA" w:rsidP="00BB00B3">
            <w:pPr>
              <w:pStyle w:val="TableText0"/>
            </w:pPr>
            <w:r w:rsidRPr="00C068F4">
              <w:t>T</w:t>
            </w:r>
            <w:r w:rsidR="00AE7743" w:rsidRPr="00C068F4">
              <w:t xml:space="preserve">reatment effect observed in the trial </w:t>
            </w:r>
            <w:r w:rsidRPr="00C068F4">
              <w:t>either at 6 or 12 months</w:t>
            </w:r>
            <w:r w:rsidR="003C2380" w:rsidRPr="00C068F4">
              <w:t xml:space="preserve"> with deaths averted valued over a lifetime</w:t>
            </w:r>
          </w:p>
        </w:tc>
      </w:tr>
      <w:tr w:rsidR="00275C5A" w:rsidRPr="00C068F4" w14:paraId="003209BF" w14:textId="77777777" w:rsidTr="006B35E6">
        <w:tc>
          <w:tcPr>
            <w:tcW w:w="1396" w:type="pct"/>
            <w:shd w:val="clear" w:color="auto" w:fill="auto"/>
            <w:vAlign w:val="center"/>
          </w:tcPr>
          <w:p w14:paraId="522DAB95" w14:textId="77777777" w:rsidR="00275C5A" w:rsidRPr="00C068F4" w:rsidRDefault="00275C5A" w:rsidP="00BB00B3">
            <w:pPr>
              <w:pStyle w:val="TableText0"/>
            </w:pPr>
            <w:r w:rsidRPr="00C068F4">
              <w:t>Outcomes</w:t>
            </w:r>
          </w:p>
        </w:tc>
        <w:tc>
          <w:tcPr>
            <w:tcW w:w="3604" w:type="pct"/>
            <w:shd w:val="clear" w:color="auto" w:fill="auto"/>
            <w:vAlign w:val="center"/>
          </w:tcPr>
          <w:p w14:paraId="3D1C428E" w14:textId="0871127B" w:rsidR="00275C5A" w:rsidRPr="00C068F4" w:rsidRDefault="003C2380" w:rsidP="00BB00B3">
            <w:pPr>
              <w:pStyle w:val="TableText0"/>
            </w:pPr>
            <w:r w:rsidRPr="00C068F4">
              <w:t>QALYs</w:t>
            </w:r>
          </w:p>
        </w:tc>
      </w:tr>
      <w:tr w:rsidR="00275C5A" w:rsidRPr="00C068F4" w14:paraId="29120B3F" w14:textId="77777777" w:rsidTr="006B35E6">
        <w:tc>
          <w:tcPr>
            <w:tcW w:w="1396" w:type="pct"/>
            <w:shd w:val="clear" w:color="auto" w:fill="auto"/>
            <w:vAlign w:val="center"/>
          </w:tcPr>
          <w:p w14:paraId="1AAC94CB" w14:textId="77777777" w:rsidR="00275C5A" w:rsidRPr="00C068F4" w:rsidRDefault="00275C5A" w:rsidP="00BB00B3">
            <w:pPr>
              <w:pStyle w:val="TableText0"/>
            </w:pPr>
            <w:r w:rsidRPr="00C068F4">
              <w:t>Methods used to generate results</w:t>
            </w:r>
          </w:p>
        </w:tc>
        <w:tc>
          <w:tcPr>
            <w:tcW w:w="3604" w:type="pct"/>
            <w:shd w:val="clear" w:color="auto" w:fill="auto"/>
            <w:vAlign w:val="center"/>
          </w:tcPr>
          <w:p w14:paraId="69D4F042" w14:textId="7E6EF546" w:rsidR="00275C5A" w:rsidRPr="00C068F4" w:rsidRDefault="003C2380" w:rsidP="00BB00B3">
            <w:pPr>
              <w:pStyle w:val="TableText0"/>
            </w:pPr>
            <w:r w:rsidRPr="00C068F4">
              <w:t>Decision analysis</w:t>
            </w:r>
          </w:p>
        </w:tc>
      </w:tr>
      <w:tr w:rsidR="00275C5A" w:rsidRPr="00C068F4" w14:paraId="7F7ACECA" w14:textId="77777777" w:rsidTr="006B35E6">
        <w:tc>
          <w:tcPr>
            <w:tcW w:w="1396" w:type="pct"/>
            <w:shd w:val="clear" w:color="auto" w:fill="auto"/>
            <w:vAlign w:val="center"/>
          </w:tcPr>
          <w:p w14:paraId="344631D3" w14:textId="77777777" w:rsidR="00275C5A" w:rsidRPr="00C068F4" w:rsidRDefault="00275C5A" w:rsidP="00BB00B3">
            <w:pPr>
              <w:pStyle w:val="TableText0"/>
            </w:pPr>
            <w:r w:rsidRPr="00C068F4">
              <w:t>Health states</w:t>
            </w:r>
          </w:p>
        </w:tc>
        <w:tc>
          <w:tcPr>
            <w:tcW w:w="3604" w:type="pct"/>
            <w:shd w:val="clear" w:color="auto" w:fill="auto"/>
            <w:vAlign w:val="center"/>
          </w:tcPr>
          <w:p w14:paraId="307607EB" w14:textId="67E60E1F" w:rsidR="000D2739" w:rsidRPr="00C068F4" w:rsidRDefault="000D2739" w:rsidP="00D94F7C">
            <w:pPr>
              <w:pStyle w:val="TableText0"/>
              <w:numPr>
                <w:ilvl w:val="1"/>
                <w:numId w:val="9"/>
              </w:numPr>
              <w:ind w:left="278" w:hanging="278"/>
            </w:pPr>
            <w:r w:rsidRPr="00C068F4">
              <w:t>Alive and not developing COVID</w:t>
            </w:r>
            <w:r w:rsidR="006F0614" w:rsidRPr="00C068F4">
              <w:t>-</w:t>
            </w:r>
            <w:r w:rsidRPr="00C068F4">
              <w:t>19</w:t>
            </w:r>
          </w:p>
          <w:p w14:paraId="2DFEDBA1" w14:textId="683CAC9B" w:rsidR="003A2F69" w:rsidRPr="00C068F4" w:rsidRDefault="000D2739" w:rsidP="00D94F7C">
            <w:pPr>
              <w:pStyle w:val="TableText0"/>
              <w:numPr>
                <w:ilvl w:val="1"/>
                <w:numId w:val="9"/>
              </w:numPr>
              <w:ind w:left="278" w:hanging="278"/>
            </w:pPr>
            <w:r w:rsidRPr="00C068F4">
              <w:t>For those developing COVID</w:t>
            </w:r>
            <w:r w:rsidR="006F0614" w:rsidRPr="00C068F4">
              <w:t>-</w:t>
            </w:r>
            <w:r w:rsidRPr="00C068F4">
              <w:t>19:</w:t>
            </w:r>
          </w:p>
          <w:p w14:paraId="40DC46EE" w14:textId="05D21086" w:rsidR="000D2739" w:rsidRPr="00C068F4" w:rsidRDefault="000D2739" w:rsidP="00D94F7C">
            <w:pPr>
              <w:pStyle w:val="TableText0"/>
              <w:numPr>
                <w:ilvl w:val="2"/>
                <w:numId w:val="10"/>
              </w:numPr>
              <w:ind w:left="562" w:hanging="284"/>
            </w:pPr>
            <w:r w:rsidRPr="00C068F4">
              <w:t>Alive and not hospitalised throughout the period to a median follow-up of 6 months; this state is broken down</w:t>
            </w:r>
            <w:r w:rsidR="00A70505" w:rsidRPr="00C068F4">
              <w:t xml:space="preserve"> by time to alleviation of symptoms</w:t>
            </w:r>
          </w:p>
          <w:p w14:paraId="230234F2" w14:textId="6DEF9278" w:rsidR="000D2739" w:rsidRPr="00C068F4" w:rsidRDefault="000D2739" w:rsidP="00D94F7C">
            <w:pPr>
              <w:pStyle w:val="TableText0"/>
              <w:numPr>
                <w:ilvl w:val="2"/>
                <w:numId w:val="10"/>
              </w:numPr>
              <w:ind w:left="562" w:hanging="284"/>
            </w:pPr>
            <w:r w:rsidRPr="00C068F4">
              <w:t>Alive and required hospitalisation; this state is broken into those who did and those who did not require care in an ICU</w:t>
            </w:r>
            <w:r w:rsidR="00A70505" w:rsidRPr="00C068F4">
              <w:t xml:space="preserve"> and by length of stay</w:t>
            </w:r>
          </w:p>
          <w:p w14:paraId="03F23F80" w14:textId="1541DF8A" w:rsidR="00275C5A" w:rsidRPr="00C068F4" w:rsidRDefault="000D2739" w:rsidP="00D94F7C">
            <w:pPr>
              <w:pStyle w:val="TableText0"/>
              <w:numPr>
                <w:ilvl w:val="1"/>
                <w:numId w:val="9"/>
              </w:numPr>
              <w:ind w:left="278" w:hanging="278"/>
            </w:pPr>
            <w:r w:rsidRPr="00C068F4">
              <w:t>Dead</w:t>
            </w:r>
          </w:p>
        </w:tc>
      </w:tr>
      <w:tr w:rsidR="00275C5A" w:rsidRPr="00C068F4" w14:paraId="6EFF7035" w14:textId="77777777" w:rsidTr="006B35E6">
        <w:tc>
          <w:tcPr>
            <w:tcW w:w="1396" w:type="pct"/>
            <w:shd w:val="clear" w:color="auto" w:fill="auto"/>
            <w:vAlign w:val="center"/>
          </w:tcPr>
          <w:p w14:paraId="12B7AB48" w14:textId="6EFDFF8D" w:rsidR="004928FA" w:rsidRPr="00C068F4" w:rsidRDefault="00275C5A" w:rsidP="004928FA">
            <w:pPr>
              <w:pStyle w:val="TableText0"/>
            </w:pPr>
            <w:r w:rsidRPr="00C068F4">
              <w:t>Transition probabilities</w:t>
            </w:r>
          </w:p>
          <w:p w14:paraId="77A45407" w14:textId="06429FF1" w:rsidR="00081E63" w:rsidRPr="00C068F4" w:rsidRDefault="00081E63" w:rsidP="00BB00B3">
            <w:pPr>
              <w:pStyle w:val="TableText0"/>
            </w:pPr>
          </w:p>
        </w:tc>
        <w:tc>
          <w:tcPr>
            <w:tcW w:w="3604" w:type="pct"/>
            <w:shd w:val="clear" w:color="auto" w:fill="auto"/>
            <w:vAlign w:val="center"/>
          </w:tcPr>
          <w:p w14:paraId="76387578" w14:textId="11EE77D3" w:rsidR="00275C5A" w:rsidRPr="00C068F4" w:rsidRDefault="002E60CD" w:rsidP="00BB00B3">
            <w:pPr>
              <w:pStyle w:val="TableText0"/>
            </w:pPr>
            <w:r w:rsidRPr="00C068F4">
              <w:t>PROVENT trial results at 6 or 12 months, depending on the model</w:t>
            </w:r>
            <w:r w:rsidR="004928FA" w:rsidRPr="00C068F4">
              <w:t xml:space="preserve"> are used to estimate transition probabilities for developing symptomatic </w:t>
            </w:r>
            <w:r w:rsidR="004928FA" w:rsidRPr="00C068F4">
              <w:rPr>
                <w:rStyle w:val="normaltextrun"/>
              </w:rPr>
              <w:t>COVID</w:t>
            </w:r>
            <w:r w:rsidR="004928FA" w:rsidRPr="00C068F4">
              <w:rPr>
                <w:rStyle w:val="normaltextrun"/>
              </w:rPr>
              <w:noBreakHyphen/>
              <w:t>19</w:t>
            </w:r>
            <w:r w:rsidR="0058264B" w:rsidRPr="00C068F4">
              <w:rPr>
                <w:rStyle w:val="normaltextrun"/>
              </w:rPr>
              <w:t xml:space="preserve"> and for developing severe or critical COVID</w:t>
            </w:r>
            <w:r w:rsidR="0058264B" w:rsidRPr="00C068F4">
              <w:rPr>
                <w:rStyle w:val="normaltextrun"/>
              </w:rPr>
              <w:noBreakHyphen/>
              <w:t>19 (which is assumed to require hospitalisation)</w:t>
            </w:r>
            <w:r w:rsidRPr="00C068F4">
              <w:t xml:space="preserve">. Given that the clinical positioning proposed for tixagevimab and cilgavimab is as an adjunct to vaccination, </w:t>
            </w:r>
            <w:r w:rsidR="00694B8B" w:rsidRPr="00C068F4">
              <w:t xml:space="preserve">outcomes did not apply </w:t>
            </w:r>
            <w:r w:rsidRPr="00C068F4">
              <w:t>censoring of patients who were unblinded and received a vaccine through the follow-up period of the PROVENT trial.</w:t>
            </w:r>
            <w:r w:rsidR="0058264B" w:rsidRPr="00C068F4">
              <w:t xml:space="preserve"> Transitions from the hospitalised health state</w:t>
            </w:r>
            <w:r w:rsidR="00F447EB" w:rsidRPr="00C068F4">
              <w:t>s</w:t>
            </w:r>
            <w:r w:rsidR="0058264B" w:rsidRPr="00C068F4">
              <w:t xml:space="preserve"> are based on patient-level data for patients admitted to hospital with confirmed COVID-19 were provided on an in-confidence basis by the National Health Reform Branch of the Department</w:t>
            </w:r>
          </w:p>
        </w:tc>
      </w:tr>
      <w:tr w:rsidR="00501854" w:rsidRPr="00C068F4" w14:paraId="0BC5FD61" w14:textId="77777777" w:rsidTr="006B35E6">
        <w:tc>
          <w:tcPr>
            <w:tcW w:w="1396" w:type="pct"/>
            <w:shd w:val="clear" w:color="auto" w:fill="auto"/>
            <w:vAlign w:val="center"/>
          </w:tcPr>
          <w:p w14:paraId="3EE19BE5" w14:textId="7EE5FF57" w:rsidR="00501854" w:rsidRPr="00C068F4" w:rsidRDefault="00501854" w:rsidP="00BB00B3">
            <w:pPr>
              <w:pStyle w:val="TableText0"/>
            </w:pPr>
            <w:r w:rsidRPr="00C068F4">
              <w:t>Extrapolation method</w:t>
            </w:r>
          </w:p>
        </w:tc>
        <w:tc>
          <w:tcPr>
            <w:tcW w:w="3604" w:type="pct"/>
            <w:shd w:val="clear" w:color="auto" w:fill="auto"/>
            <w:vAlign w:val="center"/>
          </w:tcPr>
          <w:p w14:paraId="7026638D" w14:textId="04779BAB" w:rsidR="00D533EC" w:rsidRPr="00C068F4" w:rsidRDefault="00316281" w:rsidP="00BB00B3">
            <w:pPr>
              <w:pStyle w:val="TableText0"/>
            </w:pPr>
            <w:r w:rsidRPr="00C068F4">
              <w:t xml:space="preserve">Consistent with death rates </w:t>
            </w:r>
            <w:r w:rsidR="000916D5" w:rsidRPr="00C068F4">
              <w:t>reported</w:t>
            </w:r>
            <w:r w:rsidR="008804D2" w:rsidRPr="00C068F4">
              <w:t xml:space="preserve"> in Australia</w:t>
            </w:r>
            <w:r w:rsidR="000916D5" w:rsidRPr="00C068F4">
              <w:t xml:space="preserve"> during the Omicron wave</w:t>
            </w:r>
            <w:r w:rsidR="00332E28" w:rsidRPr="00C068F4">
              <w:t xml:space="preserve"> p</w:t>
            </w:r>
            <w:r w:rsidR="003572F8" w:rsidRPr="00C068F4">
              <w:t>atients who die due to COVID</w:t>
            </w:r>
            <w:r w:rsidR="00332E28" w:rsidRPr="00C068F4">
              <w:t>-</w:t>
            </w:r>
            <w:r w:rsidR="003572F8" w:rsidRPr="00C068F4">
              <w:t xml:space="preserve">19 through the course of the economic model are assumed to have an average age of </w:t>
            </w:r>
            <w:r w:rsidR="00332E28" w:rsidRPr="00C068F4">
              <w:t>81.3</w:t>
            </w:r>
            <w:r w:rsidR="003572F8" w:rsidRPr="00C068F4">
              <w:t xml:space="preserve"> years, consistent with the average age of Australian patients who died with COVID-19</w:t>
            </w:r>
            <w:r w:rsidR="00332E28" w:rsidRPr="00C068F4">
              <w:t xml:space="preserve"> in the period between </w:t>
            </w:r>
            <w:r w:rsidR="00163243" w:rsidRPr="00C068F4">
              <w:t>15 Dec 2021 and 3 Jul 2022</w:t>
            </w:r>
            <w:r w:rsidR="003572F8" w:rsidRPr="00C068F4">
              <w:t xml:space="preserve">. It is assumed these patients would have had an average life expectancy of </w:t>
            </w:r>
            <w:r w:rsidR="0061128F" w:rsidRPr="00C068F4">
              <w:t xml:space="preserve">9 </w:t>
            </w:r>
            <w:r w:rsidR="003572F8" w:rsidRPr="00C068F4">
              <w:t xml:space="preserve">years had they not contracted COVID-19. These future life years are assumed to have been lived with an average utility weight of 0.83 and are discounted at 5% per annum such that a total of </w:t>
            </w:r>
            <w:r w:rsidR="000029AC" w:rsidRPr="00C068F4">
              <w:t>6.1</w:t>
            </w:r>
            <w:r w:rsidR="003572F8" w:rsidRPr="00C068F4">
              <w:t xml:space="preserve"> QALYs are lost per patient dying with COVID-19 in the model.</w:t>
            </w:r>
          </w:p>
        </w:tc>
      </w:tr>
      <w:tr w:rsidR="00501854" w:rsidRPr="00C068F4" w14:paraId="07C0A709" w14:textId="77777777" w:rsidTr="006B35E6">
        <w:tc>
          <w:tcPr>
            <w:tcW w:w="1396" w:type="pct"/>
            <w:shd w:val="clear" w:color="auto" w:fill="auto"/>
            <w:vAlign w:val="center"/>
          </w:tcPr>
          <w:p w14:paraId="33B632EB" w14:textId="4B6D1EE3" w:rsidR="00501854" w:rsidRPr="00C068F4" w:rsidRDefault="00DD0F78" w:rsidP="00BB00B3">
            <w:pPr>
              <w:pStyle w:val="TableText0"/>
            </w:pPr>
            <w:r w:rsidRPr="00C068F4">
              <w:t>Health related quality of life</w:t>
            </w:r>
          </w:p>
        </w:tc>
        <w:tc>
          <w:tcPr>
            <w:tcW w:w="3604" w:type="pct"/>
            <w:shd w:val="clear" w:color="auto" w:fill="auto"/>
            <w:vAlign w:val="center"/>
          </w:tcPr>
          <w:p w14:paraId="4BD73CCA" w14:textId="77777777" w:rsidR="00681F78" w:rsidRPr="00C068F4" w:rsidRDefault="00F447EB" w:rsidP="00F447EB">
            <w:pPr>
              <w:pStyle w:val="TableText0"/>
            </w:pPr>
            <w:r w:rsidRPr="00C068F4">
              <w:t>Utilities by health state are estimate</w:t>
            </w:r>
            <w:r w:rsidR="00681F78" w:rsidRPr="00C068F4">
              <w:t>s.</w:t>
            </w:r>
          </w:p>
          <w:p w14:paraId="5C078B48" w14:textId="4B3D3706" w:rsidR="00F447EB" w:rsidRPr="00C068F4" w:rsidRDefault="00F447EB" w:rsidP="00F447EB">
            <w:pPr>
              <w:pStyle w:val="TableText0"/>
            </w:pPr>
            <w:r w:rsidRPr="00C068F4">
              <w:t>Free of COVID</w:t>
            </w:r>
            <w:r w:rsidR="006F0614" w:rsidRPr="00C068F4">
              <w:t>-</w:t>
            </w:r>
            <w:r w:rsidRPr="00C068F4">
              <w:t>19</w:t>
            </w:r>
            <w:r w:rsidR="00681F78" w:rsidRPr="00C068F4">
              <w:t>:</w:t>
            </w:r>
            <w:r w:rsidRPr="00C068F4">
              <w:tab/>
            </w:r>
            <w:r w:rsidR="008264C3" w:rsidRPr="00C068F4">
              <w:tab/>
            </w:r>
            <w:r w:rsidR="008264C3" w:rsidRPr="00C068F4">
              <w:tab/>
            </w:r>
            <w:r w:rsidRPr="00C068F4">
              <w:t>0.85</w:t>
            </w:r>
          </w:p>
          <w:p w14:paraId="287732E2" w14:textId="0EEAF758" w:rsidR="00F447EB" w:rsidRPr="00C068F4" w:rsidRDefault="00F447EB" w:rsidP="00F447EB">
            <w:pPr>
              <w:pStyle w:val="TableText0"/>
            </w:pPr>
            <w:r w:rsidRPr="00C068F4">
              <w:t>Symptomatic in the community</w:t>
            </w:r>
            <w:r w:rsidR="008264C3" w:rsidRPr="00C068F4">
              <w:t>:</w:t>
            </w:r>
            <w:r w:rsidRPr="00C068F4">
              <w:tab/>
              <w:t>0.75</w:t>
            </w:r>
          </w:p>
          <w:p w14:paraId="7FE7C6E3" w14:textId="671FAB68" w:rsidR="00F447EB" w:rsidRPr="00C068F4" w:rsidRDefault="00F447EB" w:rsidP="00F447EB">
            <w:pPr>
              <w:pStyle w:val="TableText0"/>
            </w:pPr>
            <w:r w:rsidRPr="00C068F4">
              <w:t>Hospitalised</w:t>
            </w:r>
            <w:r w:rsidR="008264C3" w:rsidRPr="00C068F4">
              <w:t>:</w:t>
            </w:r>
            <w:r w:rsidRPr="00C068F4">
              <w:tab/>
            </w:r>
            <w:r w:rsidR="00681F78" w:rsidRPr="00C068F4">
              <w:tab/>
            </w:r>
            <w:r w:rsidR="00681F78" w:rsidRPr="00C068F4">
              <w:tab/>
            </w:r>
            <w:r w:rsidRPr="00C068F4">
              <w:t>0.60</w:t>
            </w:r>
          </w:p>
          <w:p w14:paraId="6FCC32AA" w14:textId="44FF96B6" w:rsidR="001F4081" w:rsidRPr="00C068F4" w:rsidRDefault="00F447EB" w:rsidP="00681F78">
            <w:pPr>
              <w:pStyle w:val="TableText0"/>
            </w:pPr>
            <w:r w:rsidRPr="00C068F4">
              <w:t>ICU care</w:t>
            </w:r>
            <w:r w:rsidR="008264C3" w:rsidRPr="00C068F4">
              <w:t>:</w:t>
            </w:r>
            <w:r w:rsidRPr="00C068F4">
              <w:tab/>
            </w:r>
            <w:r w:rsidR="00681F78" w:rsidRPr="00C068F4">
              <w:tab/>
            </w:r>
            <w:r w:rsidR="00681F78" w:rsidRPr="00C068F4">
              <w:tab/>
            </w:r>
            <w:r w:rsidR="00681F78" w:rsidRPr="00C068F4">
              <w:tab/>
            </w:r>
            <w:r w:rsidRPr="00C068F4">
              <w:t>0.40</w:t>
            </w:r>
          </w:p>
        </w:tc>
      </w:tr>
      <w:tr w:rsidR="00501854" w:rsidRPr="00C068F4" w14:paraId="6093DA19" w14:textId="77777777" w:rsidTr="006B35E6">
        <w:tc>
          <w:tcPr>
            <w:tcW w:w="1396" w:type="pct"/>
            <w:shd w:val="clear" w:color="auto" w:fill="auto"/>
            <w:vAlign w:val="center"/>
          </w:tcPr>
          <w:p w14:paraId="63E46A80" w14:textId="40D040B4" w:rsidR="00DD0F78" w:rsidRPr="00C068F4" w:rsidRDefault="008962C4" w:rsidP="00BB00B3">
            <w:pPr>
              <w:pStyle w:val="TableText0"/>
            </w:pPr>
            <w:r w:rsidRPr="00C068F4">
              <w:t>Hospitalisation costs</w:t>
            </w:r>
          </w:p>
        </w:tc>
        <w:tc>
          <w:tcPr>
            <w:tcW w:w="3604" w:type="pct"/>
            <w:shd w:val="clear" w:color="auto" w:fill="auto"/>
            <w:vAlign w:val="center"/>
          </w:tcPr>
          <w:p w14:paraId="4CD69EB8" w14:textId="7B9BA391" w:rsidR="00501854" w:rsidRPr="00C068F4" w:rsidRDefault="008962C4" w:rsidP="00BB00B3">
            <w:pPr>
              <w:pStyle w:val="TableText0"/>
            </w:pPr>
            <w:r w:rsidRPr="00C068F4">
              <w:t xml:space="preserve">Patient-level data for patients admitted to hospital with confirmed COVID-19 were provided on an in-confidence basis by the National Health Reform Branch of the Department. These data permitted the derivation of hospitalisation costs </w:t>
            </w:r>
            <w:r w:rsidR="00DA6255" w:rsidRPr="00C068F4">
              <w:t xml:space="preserve">with and </w:t>
            </w:r>
            <w:r w:rsidRPr="00C068F4">
              <w:t>without ICU care by length of stay.</w:t>
            </w:r>
          </w:p>
        </w:tc>
      </w:tr>
    </w:tbl>
    <w:p w14:paraId="6533CBB5" w14:textId="37765783" w:rsidR="006525CF" w:rsidRPr="00C068F4" w:rsidRDefault="006525CF">
      <w:pPr>
        <w:jc w:val="left"/>
        <w:rPr>
          <w:rFonts w:ascii="Arial Narrow" w:hAnsi="Arial Narrow"/>
          <w:snapToGrid w:val="0"/>
          <w:sz w:val="18"/>
          <w:szCs w:val="22"/>
        </w:rPr>
      </w:pPr>
    </w:p>
    <w:p w14:paraId="656DE5CD" w14:textId="45E01B9C" w:rsidR="003634A7" w:rsidRDefault="003C35E8" w:rsidP="00C947EE">
      <w:pPr>
        <w:pStyle w:val="3-BodyText"/>
        <w:rPr>
          <w:color w:val="000000" w:themeColor="text1"/>
        </w:rPr>
      </w:pPr>
      <w:r w:rsidRPr="00C068F4">
        <w:rPr>
          <w:color w:val="000000" w:themeColor="text1"/>
        </w:rPr>
        <w:t>The results of the 6-month model (which assumes that retreatment with tixagevimab and cilgavimab is required after six months) are summarised in</w:t>
      </w:r>
      <w:r w:rsidR="0072119D" w:rsidRPr="00C068F4">
        <w:rPr>
          <w:color w:val="000000" w:themeColor="text1"/>
        </w:rPr>
        <w:t xml:space="preserve"> </w:t>
      </w:r>
      <w:r w:rsidR="00C947EE">
        <w:rPr>
          <w:color w:val="000000" w:themeColor="text1"/>
        </w:rPr>
        <w:t>Table 14</w:t>
      </w:r>
      <w:bookmarkStart w:id="97" w:name="_Ref110982509"/>
      <w:bookmarkStart w:id="98" w:name="_Hlk113618967"/>
      <w:r w:rsidR="003634A7">
        <w:rPr>
          <w:color w:val="000000" w:themeColor="text1"/>
        </w:rPr>
        <w:t>.</w:t>
      </w:r>
    </w:p>
    <w:p w14:paraId="3E9C6260" w14:textId="28CF17B0" w:rsidR="003C35E8" w:rsidRPr="00C068F4" w:rsidRDefault="003C35E8" w:rsidP="003C35E8">
      <w:pPr>
        <w:pStyle w:val="Caption"/>
        <w:rPr>
          <w:rStyle w:val="CommentReference"/>
          <w:b/>
          <w:szCs w:val="24"/>
        </w:rPr>
      </w:pPr>
      <w:r w:rsidRPr="00C068F4">
        <w:lastRenderedPageBreak/>
        <w:t xml:space="preserve">Table </w:t>
      </w:r>
      <w:fldSimple w:instr=" SEQ Table \* ARABIC " w:fldLock="1">
        <w:r w:rsidR="00DB55F2">
          <w:rPr>
            <w:noProof/>
          </w:rPr>
          <w:t>14</w:t>
        </w:r>
      </w:fldSimple>
      <w:bookmarkEnd w:id="97"/>
      <w:r w:rsidRPr="00C068F4">
        <w:t>:</w:t>
      </w:r>
      <w:r w:rsidRPr="00C068F4">
        <w:rPr>
          <w:rStyle w:val="CommentReference"/>
          <w:b/>
          <w:szCs w:val="24"/>
        </w:rPr>
        <w:t xml:space="preserve"> Results of the 6-month modelled economic evaluation</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Caption w:val="Table 14: Results of the 6-month modelled economic evaluation"/>
      </w:tblPr>
      <w:tblGrid>
        <w:gridCol w:w="3540"/>
        <w:gridCol w:w="1913"/>
        <w:gridCol w:w="1915"/>
        <w:gridCol w:w="1699"/>
      </w:tblGrid>
      <w:tr w:rsidR="003C35E8" w:rsidRPr="00C068F4" w14:paraId="2CCB8860" w14:textId="77777777" w:rsidTr="00527929">
        <w:trPr>
          <w:cantSplit/>
          <w:tblHeader/>
        </w:trPr>
        <w:tc>
          <w:tcPr>
            <w:tcW w:w="1952" w:type="pct"/>
            <w:shd w:val="clear" w:color="auto" w:fill="FFFFFF"/>
          </w:tcPr>
          <w:p w14:paraId="1076D7FE" w14:textId="77777777" w:rsidR="003C35E8" w:rsidRPr="00C068F4" w:rsidRDefault="003C35E8" w:rsidP="00527929">
            <w:pPr>
              <w:pStyle w:val="In-tableHeading"/>
              <w:jc w:val="center"/>
              <w:rPr>
                <w:lang w:val="en-AU"/>
              </w:rPr>
            </w:pPr>
          </w:p>
        </w:tc>
        <w:tc>
          <w:tcPr>
            <w:tcW w:w="1055" w:type="pct"/>
            <w:shd w:val="clear" w:color="auto" w:fill="FFFFFF"/>
            <w:vAlign w:val="center"/>
          </w:tcPr>
          <w:p w14:paraId="3A48D9F4" w14:textId="77777777" w:rsidR="003C35E8" w:rsidRPr="00C068F4" w:rsidRDefault="003C35E8" w:rsidP="00527929">
            <w:pPr>
              <w:pStyle w:val="In-tableHeading"/>
              <w:jc w:val="center"/>
              <w:rPr>
                <w:lang w:val="en-AU"/>
              </w:rPr>
            </w:pPr>
            <w:r w:rsidRPr="00C068F4">
              <w:rPr>
                <w:color w:val="000000" w:themeColor="text1"/>
                <w:lang w:val="en-AU"/>
              </w:rPr>
              <w:t>Tixagevimab and cilgavimab</w:t>
            </w:r>
          </w:p>
        </w:tc>
        <w:tc>
          <w:tcPr>
            <w:tcW w:w="1055" w:type="pct"/>
            <w:shd w:val="clear" w:color="auto" w:fill="FFFFFF"/>
            <w:vAlign w:val="center"/>
          </w:tcPr>
          <w:p w14:paraId="17DE45B4" w14:textId="77777777" w:rsidR="003C35E8" w:rsidRPr="00C068F4" w:rsidRDefault="003C35E8" w:rsidP="00527929">
            <w:pPr>
              <w:pStyle w:val="In-tableHeading"/>
              <w:jc w:val="center"/>
              <w:rPr>
                <w:lang w:val="en-AU"/>
              </w:rPr>
            </w:pPr>
            <w:r w:rsidRPr="00C068F4">
              <w:rPr>
                <w:lang w:val="en-AU"/>
              </w:rPr>
              <w:t>Placebo</w:t>
            </w:r>
          </w:p>
        </w:tc>
        <w:tc>
          <w:tcPr>
            <w:tcW w:w="937" w:type="pct"/>
            <w:shd w:val="clear" w:color="auto" w:fill="FFFFFF"/>
            <w:vAlign w:val="center"/>
          </w:tcPr>
          <w:p w14:paraId="4524B89F" w14:textId="77777777" w:rsidR="003C35E8" w:rsidRPr="00C068F4" w:rsidRDefault="003C35E8" w:rsidP="00527929">
            <w:pPr>
              <w:pStyle w:val="In-tableHeading"/>
              <w:jc w:val="center"/>
              <w:rPr>
                <w:lang w:val="en-AU"/>
              </w:rPr>
            </w:pPr>
            <w:r w:rsidRPr="00C068F4">
              <w:rPr>
                <w:lang w:val="en-AU"/>
              </w:rPr>
              <w:t>Increment</w:t>
            </w:r>
          </w:p>
        </w:tc>
      </w:tr>
      <w:tr w:rsidR="003C35E8" w:rsidRPr="00C068F4" w14:paraId="2B57681D" w14:textId="77777777" w:rsidTr="00527929">
        <w:trPr>
          <w:cantSplit/>
        </w:trPr>
        <w:tc>
          <w:tcPr>
            <w:tcW w:w="1952" w:type="pct"/>
            <w:shd w:val="clear" w:color="auto" w:fill="auto"/>
          </w:tcPr>
          <w:p w14:paraId="173B91D6" w14:textId="77777777" w:rsidR="003C35E8" w:rsidRPr="00C068F4" w:rsidRDefault="003C35E8" w:rsidP="00527929">
            <w:pPr>
              <w:pStyle w:val="TableText0"/>
            </w:pPr>
            <w:r w:rsidRPr="00C068F4">
              <w:t>Drug costs</w:t>
            </w:r>
          </w:p>
        </w:tc>
        <w:tc>
          <w:tcPr>
            <w:tcW w:w="1055" w:type="pct"/>
            <w:shd w:val="clear" w:color="auto" w:fill="auto"/>
            <w:vAlign w:val="center"/>
          </w:tcPr>
          <w:p w14:paraId="635672BE" w14:textId="511757CA" w:rsidR="003C35E8" w:rsidRPr="001361F6" w:rsidRDefault="0090667A" w:rsidP="00527929">
            <w:pPr>
              <w:pStyle w:val="TableText0"/>
              <w:jc w:val="center"/>
              <w:rPr>
                <w:vertAlign w:val="superscript"/>
              </w:rPr>
            </w:pPr>
            <w:r w:rsidRPr="0090667A">
              <w:t>$</w:t>
            </w:r>
            <w:r w:rsidR="00D61370" w:rsidRPr="00157ED3">
              <w:rPr>
                <w:rFonts w:hint="eastAsia"/>
                <w:color w:val="000000"/>
                <w:w w:val="15"/>
                <w:shd w:val="solid" w:color="000000" w:fill="000000"/>
                <w:fitText w:val="60" w:id="-1425249524"/>
                <w14:textFill>
                  <w14:solidFill>
                    <w14:srgbClr w14:val="000000">
                      <w14:alpha w14:val="100000"/>
                    </w14:srgbClr>
                  </w14:solidFill>
                </w14:textFill>
              </w:rPr>
              <w:t xml:space="preserve">　</w:t>
            </w:r>
            <w:r w:rsidR="00D61370" w:rsidRPr="00157ED3">
              <w:rPr>
                <w:color w:val="000000"/>
                <w:w w:val="15"/>
                <w:shd w:val="solid" w:color="000000" w:fill="000000"/>
                <w:fitText w:val="60" w:id="-1425249524"/>
                <w14:textFill>
                  <w14:solidFill>
                    <w14:srgbClr w14:val="000000">
                      <w14:alpha w14:val="100000"/>
                    </w14:srgbClr>
                  </w14:solidFill>
                </w14:textFill>
              </w:rPr>
              <w:t>|</w:t>
            </w:r>
            <w:r w:rsidR="00D61370" w:rsidRPr="00157ED3">
              <w:rPr>
                <w:rFonts w:hint="eastAsia"/>
                <w:color w:val="000000"/>
                <w:w w:val="15"/>
                <w:shd w:val="solid" w:color="000000" w:fill="000000"/>
                <w:fitText w:val="60" w:id="-1425249524"/>
                <w14:textFill>
                  <w14:solidFill>
                    <w14:srgbClr w14:val="000000">
                      <w14:alpha w14:val="100000"/>
                    </w14:srgbClr>
                  </w14:solidFill>
                </w14:textFill>
              </w:rPr>
              <w:t xml:space="preserve">　</w:t>
            </w:r>
            <w:r w:rsidR="001361F6">
              <w:rPr>
                <w:vertAlign w:val="superscript"/>
              </w:rPr>
              <w:t>1</w:t>
            </w:r>
          </w:p>
        </w:tc>
        <w:tc>
          <w:tcPr>
            <w:tcW w:w="1055" w:type="pct"/>
            <w:shd w:val="clear" w:color="auto" w:fill="auto"/>
            <w:vAlign w:val="center"/>
          </w:tcPr>
          <w:p w14:paraId="067CBF1D" w14:textId="6E9D91DB" w:rsidR="003C35E8" w:rsidRPr="001361F6" w:rsidRDefault="0090667A" w:rsidP="00527929">
            <w:pPr>
              <w:pStyle w:val="TableText0"/>
              <w:jc w:val="center"/>
              <w:rPr>
                <w:vertAlign w:val="superscript"/>
              </w:rPr>
            </w:pPr>
            <w:r w:rsidRPr="0090667A">
              <w:t>$</w:t>
            </w:r>
            <w:r w:rsidR="00D61370" w:rsidRPr="00157ED3">
              <w:rPr>
                <w:rFonts w:hint="eastAsia"/>
                <w:color w:val="000000"/>
                <w:w w:val="15"/>
                <w:shd w:val="solid" w:color="000000" w:fill="000000"/>
                <w:fitText w:val="60" w:id="-1425249523"/>
                <w14:textFill>
                  <w14:solidFill>
                    <w14:srgbClr w14:val="000000">
                      <w14:alpha w14:val="100000"/>
                    </w14:srgbClr>
                  </w14:solidFill>
                </w14:textFill>
              </w:rPr>
              <w:t xml:space="preserve">　</w:t>
            </w:r>
            <w:r w:rsidR="00D61370" w:rsidRPr="00157ED3">
              <w:rPr>
                <w:color w:val="000000"/>
                <w:w w:val="15"/>
                <w:shd w:val="solid" w:color="000000" w:fill="000000"/>
                <w:fitText w:val="60" w:id="-1425249523"/>
                <w14:textFill>
                  <w14:solidFill>
                    <w14:srgbClr w14:val="000000">
                      <w14:alpha w14:val="100000"/>
                    </w14:srgbClr>
                  </w14:solidFill>
                </w14:textFill>
              </w:rPr>
              <w:t>|</w:t>
            </w:r>
            <w:r w:rsidR="00D61370" w:rsidRPr="00157ED3">
              <w:rPr>
                <w:rFonts w:hint="eastAsia"/>
                <w:color w:val="000000"/>
                <w:w w:val="15"/>
                <w:shd w:val="solid" w:color="000000" w:fill="000000"/>
                <w:fitText w:val="60" w:id="-1425249523"/>
                <w14:textFill>
                  <w14:solidFill>
                    <w14:srgbClr w14:val="000000">
                      <w14:alpha w14:val="100000"/>
                    </w14:srgbClr>
                  </w14:solidFill>
                </w14:textFill>
              </w:rPr>
              <w:t xml:space="preserve">　</w:t>
            </w:r>
            <w:r w:rsidR="001361F6">
              <w:rPr>
                <w:vertAlign w:val="superscript"/>
              </w:rPr>
              <w:t>1</w:t>
            </w:r>
          </w:p>
        </w:tc>
        <w:tc>
          <w:tcPr>
            <w:tcW w:w="937" w:type="pct"/>
            <w:shd w:val="clear" w:color="auto" w:fill="auto"/>
          </w:tcPr>
          <w:p w14:paraId="7ABC7813" w14:textId="746D87A9" w:rsidR="003C35E8" w:rsidRPr="001361F6" w:rsidRDefault="0090667A" w:rsidP="00527929">
            <w:pPr>
              <w:pStyle w:val="TableText0"/>
              <w:jc w:val="center"/>
              <w:rPr>
                <w:vertAlign w:val="superscript"/>
              </w:rPr>
            </w:pPr>
            <w:r w:rsidRPr="0090667A">
              <w:t>$</w:t>
            </w:r>
            <w:r w:rsidR="00D61370" w:rsidRPr="00157ED3">
              <w:rPr>
                <w:color w:val="000000"/>
                <w:spacing w:val="94"/>
                <w:shd w:val="solid" w:color="000000" w:fill="000000"/>
                <w:fitText w:val="180" w:id="-1425249522"/>
                <w14:textFill>
                  <w14:solidFill>
                    <w14:srgbClr w14:val="000000">
                      <w14:alpha w14:val="100000"/>
                    </w14:srgbClr>
                  </w14:solidFill>
                </w14:textFill>
              </w:rPr>
              <w:t>|</w:t>
            </w:r>
            <w:r w:rsidR="00D61370" w:rsidRPr="00157ED3">
              <w:rPr>
                <w:color w:val="000000"/>
                <w:shd w:val="solid" w:color="000000" w:fill="000000"/>
                <w:fitText w:val="180" w:id="-1425249522"/>
                <w14:textFill>
                  <w14:solidFill>
                    <w14:srgbClr w14:val="000000">
                      <w14:alpha w14:val="100000"/>
                    </w14:srgbClr>
                  </w14:solidFill>
                </w14:textFill>
              </w:rPr>
              <w:t>|</w:t>
            </w:r>
            <w:r w:rsidR="001361F6">
              <w:rPr>
                <w:vertAlign w:val="superscript"/>
              </w:rPr>
              <w:t>1</w:t>
            </w:r>
          </w:p>
        </w:tc>
      </w:tr>
      <w:tr w:rsidR="003C35E8" w:rsidRPr="00C068F4" w14:paraId="066AF99A" w14:textId="77777777" w:rsidTr="00527929">
        <w:trPr>
          <w:cantSplit/>
        </w:trPr>
        <w:tc>
          <w:tcPr>
            <w:tcW w:w="1952" w:type="pct"/>
            <w:shd w:val="clear" w:color="auto" w:fill="auto"/>
          </w:tcPr>
          <w:p w14:paraId="5341FA13" w14:textId="77777777" w:rsidR="003C35E8" w:rsidRPr="00C068F4" w:rsidRDefault="003C35E8" w:rsidP="00527929">
            <w:pPr>
              <w:pStyle w:val="TableText0"/>
            </w:pPr>
            <w:r w:rsidRPr="00C068F4">
              <w:t>Drug administration costs</w:t>
            </w:r>
          </w:p>
        </w:tc>
        <w:tc>
          <w:tcPr>
            <w:tcW w:w="1055" w:type="pct"/>
            <w:shd w:val="clear" w:color="auto" w:fill="auto"/>
            <w:vAlign w:val="center"/>
          </w:tcPr>
          <w:p w14:paraId="25238711" w14:textId="37D50C21" w:rsidR="003C35E8" w:rsidRPr="001361F6" w:rsidRDefault="0090667A" w:rsidP="00527929">
            <w:pPr>
              <w:pStyle w:val="TableText0"/>
              <w:jc w:val="center"/>
              <w:rPr>
                <w:vertAlign w:val="superscript"/>
              </w:rPr>
            </w:pPr>
            <w:r w:rsidRPr="0090667A">
              <w:t>$</w:t>
            </w:r>
            <w:r w:rsidR="003C35E8" w:rsidRPr="004F580A">
              <w:t>39.10</w:t>
            </w:r>
          </w:p>
        </w:tc>
        <w:tc>
          <w:tcPr>
            <w:tcW w:w="1055" w:type="pct"/>
            <w:shd w:val="clear" w:color="auto" w:fill="auto"/>
            <w:vAlign w:val="center"/>
          </w:tcPr>
          <w:p w14:paraId="5F015AAF" w14:textId="033F177F" w:rsidR="003C35E8" w:rsidRPr="001361F6" w:rsidRDefault="0090667A" w:rsidP="00527929">
            <w:pPr>
              <w:pStyle w:val="TableText0"/>
              <w:jc w:val="center"/>
              <w:rPr>
                <w:vertAlign w:val="superscript"/>
              </w:rPr>
            </w:pPr>
            <w:r w:rsidRPr="0090667A">
              <w:t>$</w:t>
            </w:r>
            <w:r w:rsidR="003C35E8" w:rsidRPr="004F580A">
              <w:t>0</w:t>
            </w:r>
          </w:p>
        </w:tc>
        <w:tc>
          <w:tcPr>
            <w:tcW w:w="937" w:type="pct"/>
            <w:shd w:val="clear" w:color="auto" w:fill="auto"/>
          </w:tcPr>
          <w:p w14:paraId="5200DEAA" w14:textId="26751DE2" w:rsidR="003C35E8" w:rsidRPr="001361F6" w:rsidRDefault="0090667A" w:rsidP="00527929">
            <w:pPr>
              <w:pStyle w:val="TableText0"/>
              <w:jc w:val="center"/>
              <w:rPr>
                <w:vertAlign w:val="superscript"/>
              </w:rPr>
            </w:pPr>
            <w:r w:rsidRPr="0090667A">
              <w:t>$</w:t>
            </w:r>
            <w:r w:rsidR="003C35E8" w:rsidRPr="004F580A">
              <w:t>39.10</w:t>
            </w:r>
          </w:p>
        </w:tc>
      </w:tr>
      <w:tr w:rsidR="003C35E8" w:rsidRPr="00C068F4" w14:paraId="5CAF63B9" w14:textId="77777777" w:rsidTr="00527929">
        <w:trPr>
          <w:cantSplit/>
        </w:trPr>
        <w:tc>
          <w:tcPr>
            <w:tcW w:w="1952" w:type="pct"/>
            <w:shd w:val="clear" w:color="auto" w:fill="auto"/>
          </w:tcPr>
          <w:p w14:paraId="50F63441" w14:textId="77777777" w:rsidR="003C35E8" w:rsidRPr="00C068F4" w:rsidRDefault="003C35E8" w:rsidP="00527929">
            <w:pPr>
              <w:pStyle w:val="TableText0"/>
            </w:pPr>
            <w:r w:rsidRPr="00C068F4">
              <w:t>Costs of symptom management</w:t>
            </w:r>
          </w:p>
        </w:tc>
        <w:tc>
          <w:tcPr>
            <w:tcW w:w="1055" w:type="pct"/>
            <w:shd w:val="clear" w:color="auto" w:fill="auto"/>
            <w:vAlign w:val="center"/>
          </w:tcPr>
          <w:p w14:paraId="103F7B02" w14:textId="0C1968E7" w:rsidR="003C35E8" w:rsidRPr="001361F6" w:rsidRDefault="0090667A" w:rsidP="00527929">
            <w:pPr>
              <w:pStyle w:val="TableText0"/>
              <w:jc w:val="center"/>
              <w:rPr>
                <w:vertAlign w:val="superscript"/>
              </w:rPr>
            </w:pPr>
            <w:r w:rsidRPr="0090667A">
              <w:t>$</w:t>
            </w:r>
            <w:r w:rsidR="00D61370" w:rsidRPr="00157ED3">
              <w:rPr>
                <w:rFonts w:hint="eastAsia"/>
                <w:color w:val="000000"/>
                <w:w w:val="15"/>
                <w:shd w:val="solid" w:color="000000" w:fill="000000"/>
                <w:fitText w:val="60" w:id="-1425249521"/>
                <w14:textFill>
                  <w14:solidFill>
                    <w14:srgbClr w14:val="000000">
                      <w14:alpha w14:val="100000"/>
                    </w14:srgbClr>
                  </w14:solidFill>
                </w14:textFill>
              </w:rPr>
              <w:t xml:space="preserve">　</w:t>
            </w:r>
            <w:r w:rsidR="00D61370" w:rsidRPr="00157ED3">
              <w:rPr>
                <w:color w:val="000000"/>
                <w:w w:val="15"/>
                <w:shd w:val="solid" w:color="000000" w:fill="000000"/>
                <w:fitText w:val="60" w:id="-1425249521"/>
                <w14:textFill>
                  <w14:solidFill>
                    <w14:srgbClr w14:val="000000">
                      <w14:alpha w14:val="100000"/>
                    </w14:srgbClr>
                  </w14:solidFill>
                </w14:textFill>
              </w:rPr>
              <w:t>|</w:t>
            </w:r>
            <w:r w:rsidR="00D61370" w:rsidRPr="00157ED3">
              <w:rPr>
                <w:rFonts w:hint="eastAsia"/>
                <w:color w:val="000000"/>
                <w:w w:val="15"/>
                <w:shd w:val="solid" w:color="000000" w:fill="000000"/>
                <w:fitText w:val="60" w:id="-1425249521"/>
                <w14:textFill>
                  <w14:solidFill>
                    <w14:srgbClr w14:val="000000">
                      <w14:alpha w14:val="100000"/>
                    </w14:srgbClr>
                  </w14:solidFill>
                </w14:textFill>
              </w:rPr>
              <w:t xml:space="preserve">　</w:t>
            </w:r>
            <w:r w:rsidR="001361F6">
              <w:rPr>
                <w:vertAlign w:val="superscript"/>
              </w:rPr>
              <w:t>1</w:t>
            </w:r>
          </w:p>
        </w:tc>
        <w:tc>
          <w:tcPr>
            <w:tcW w:w="1055" w:type="pct"/>
            <w:shd w:val="clear" w:color="auto" w:fill="auto"/>
            <w:vAlign w:val="center"/>
          </w:tcPr>
          <w:p w14:paraId="6E5EA396" w14:textId="4E0DDA7C" w:rsidR="003C35E8" w:rsidRPr="001361F6" w:rsidRDefault="0090667A" w:rsidP="00527929">
            <w:pPr>
              <w:pStyle w:val="TableText0"/>
              <w:jc w:val="center"/>
              <w:rPr>
                <w:vertAlign w:val="superscript"/>
              </w:rPr>
            </w:pPr>
            <w:r w:rsidRPr="0090667A">
              <w:t>$</w:t>
            </w:r>
            <w:r w:rsidR="00D61370" w:rsidRPr="00157ED3">
              <w:rPr>
                <w:rFonts w:hint="eastAsia"/>
                <w:color w:val="000000"/>
                <w:w w:val="15"/>
                <w:shd w:val="solid" w:color="000000" w:fill="000000"/>
                <w:fitText w:val="60" w:id="-1425249520"/>
                <w14:textFill>
                  <w14:solidFill>
                    <w14:srgbClr w14:val="000000">
                      <w14:alpha w14:val="100000"/>
                    </w14:srgbClr>
                  </w14:solidFill>
                </w14:textFill>
              </w:rPr>
              <w:t xml:space="preserve">　</w:t>
            </w:r>
            <w:r w:rsidR="00D61370" w:rsidRPr="00157ED3">
              <w:rPr>
                <w:color w:val="000000"/>
                <w:w w:val="15"/>
                <w:shd w:val="solid" w:color="000000" w:fill="000000"/>
                <w:fitText w:val="60" w:id="-1425249520"/>
                <w14:textFill>
                  <w14:solidFill>
                    <w14:srgbClr w14:val="000000">
                      <w14:alpha w14:val="100000"/>
                    </w14:srgbClr>
                  </w14:solidFill>
                </w14:textFill>
              </w:rPr>
              <w:t>|</w:t>
            </w:r>
            <w:r w:rsidR="00D61370" w:rsidRPr="00157ED3">
              <w:rPr>
                <w:rFonts w:hint="eastAsia"/>
                <w:color w:val="000000"/>
                <w:w w:val="15"/>
                <w:shd w:val="solid" w:color="000000" w:fill="000000"/>
                <w:fitText w:val="60" w:id="-1425249520"/>
                <w14:textFill>
                  <w14:solidFill>
                    <w14:srgbClr w14:val="000000">
                      <w14:alpha w14:val="100000"/>
                    </w14:srgbClr>
                  </w14:solidFill>
                </w14:textFill>
              </w:rPr>
              <w:t xml:space="preserve">　</w:t>
            </w:r>
            <w:r w:rsidR="001361F6">
              <w:rPr>
                <w:vertAlign w:val="superscript"/>
              </w:rPr>
              <w:t>1</w:t>
            </w:r>
          </w:p>
        </w:tc>
        <w:tc>
          <w:tcPr>
            <w:tcW w:w="937" w:type="pct"/>
            <w:shd w:val="clear" w:color="auto" w:fill="auto"/>
            <w:vAlign w:val="center"/>
          </w:tcPr>
          <w:p w14:paraId="3FB6A39C" w14:textId="6EBAA151" w:rsidR="003C35E8" w:rsidRPr="001361F6" w:rsidRDefault="003C35E8" w:rsidP="00527929">
            <w:pPr>
              <w:pStyle w:val="TableText0"/>
              <w:jc w:val="center"/>
              <w:rPr>
                <w:vertAlign w:val="superscript"/>
              </w:rPr>
            </w:pPr>
            <w:r w:rsidRPr="00C068F4">
              <w:t>- </w:t>
            </w:r>
            <w:r w:rsidR="0090667A" w:rsidRPr="0090667A">
              <w:t>$</w:t>
            </w:r>
            <w:r w:rsidR="00D61370" w:rsidRPr="00157ED3">
              <w:rPr>
                <w:color w:val="000000"/>
                <w:spacing w:val="41"/>
                <w:shd w:val="solid" w:color="000000" w:fill="000000"/>
                <w:fitText w:val="210" w:id="-1425249536"/>
                <w14:textFill>
                  <w14:solidFill>
                    <w14:srgbClr w14:val="000000">
                      <w14:alpha w14:val="100000"/>
                    </w14:srgbClr>
                  </w14:solidFill>
                </w14:textFill>
              </w:rPr>
              <w:t>||</w:t>
            </w:r>
            <w:r w:rsidR="00D61370" w:rsidRPr="00157ED3">
              <w:rPr>
                <w:color w:val="000000"/>
                <w:spacing w:val="1"/>
                <w:shd w:val="solid" w:color="000000" w:fill="000000"/>
                <w:fitText w:val="210" w:id="-1425249536"/>
                <w14:textFill>
                  <w14:solidFill>
                    <w14:srgbClr w14:val="000000">
                      <w14:alpha w14:val="100000"/>
                    </w14:srgbClr>
                  </w14:solidFill>
                </w14:textFill>
              </w:rPr>
              <w:t>|</w:t>
            </w:r>
            <w:r w:rsidR="001361F6">
              <w:rPr>
                <w:vertAlign w:val="superscript"/>
              </w:rPr>
              <w:t>1</w:t>
            </w:r>
          </w:p>
        </w:tc>
      </w:tr>
      <w:tr w:rsidR="003C35E8" w:rsidRPr="00C068F4" w14:paraId="63AE287F" w14:textId="77777777" w:rsidTr="00527929">
        <w:trPr>
          <w:cantSplit/>
        </w:trPr>
        <w:tc>
          <w:tcPr>
            <w:tcW w:w="1952" w:type="pct"/>
            <w:shd w:val="clear" w:color="auto" w:fill="auto"/>
          </w:tcPr>
          <w:p w14:paraId="4F91980F" w14:textId="77777777" w:rsidR="003C35E8" w:rsidRPr="00C068F4" w:rsidRDefault="003C35E8" w:rsidP="00527929">
            <w:pPr>
              <w:pStyle w:val="TableText0"/>
            </w:pPr>
            <w:r w:rsidRPr="00C068F4">
              <w:t>Costs of hospitalisation (excluding ICU care)</w:t>
            </w:r>
          </w:p>
        </w:tc>
        <w:tc>
          <w:tcPr>
            <w:tcW w:w="1055" w:type="pct"/>
            <w:shd w:val="clear" w:color="auto" w:fill="auto"/>
            <w:vAlign w:val="center"/>
          </w:tcPr>
          <w:p w14:paraId="1F8347D9" w14:textId="5CA60C3A" w:rsidR="003C35E8" w:rsidRPr="001361F6" w:rsidRDefault="0090667A" w:rsidP="00527929">
            <w:pPr>
              <w:pStyle w:val="TableText0"/>
              <w:jc w:val="center"/>
              <w:rPr>
                <w:vertAlign w:val="superscript"/>
              </w:rPr>
            </w:pPr>
            <w:r w:rsidRPr="0090667A">
              <w:t>$</w:t>
            </w:r>
            <w:r w:rsidR="00D61370" w:rsidRPr="00157ED3">
              <w:rPr>
                <w:rFonts w:hint="eastAsia"/>
                <w:color w:val="000000"/>
                <w:w w:val="15"/>
                <w:shd w:val="solid" w:color="000000" w:fill="000000"/>
                <w:fitText w:val="60" w:id="-1425249535"/>
                <w14:textFill>
                  <w14:solidFill>
                    <w14:srgbClr w14:val="000000">
                      <w14:alpha w14:val="100000"/>
                    </w14:srgbClr>
                  </w14:solidFill>
                </w14:textFill>
              </w:rPr>
              <w:t xml:space="preserve">　</w:t>
            </w:r>
            <w:r w:rsidR="00D61370" w:rsidRPr="00157ED3">
              <w:rPr>
                <w:color w:val="000000"/>
                <w:w w:val="15"/>
                <w:shd w:val="solid" w:color="000000" w:fill="000000"/>
                <w:fitText w:val="60" w:id="-1425249535"/>
                <w14:textFill>
                  <w14:solidFill>
                    <w14:srgbClr w14:val="000000">
                      <w14:alpha w14:val="100000"/>
                    </w14:srgbClr>
                  </w14:solidFill>
                </w14:textFill>
              </w:rPr>
              <w:t>|</w:t>
            </w:r>
            <w:r w:rsidR="00D61370" w:rsidRPr="00157ED3">
              <w:rPr>
                <w:rFonts w:hint="eastAsia"/>
                <w:color w:val="000000"/>
                <w:w w:val="15"/>
                <w:shd w:val="solid" w:color="000000" w:fill="000000"/>
                <w:fitText w:val="60" w:id="-1425249535"/>
                <w14:textFill>
                  <w14:solidFill>
                    <w14:srgbClr w14:val="000000">
                      <w14:alpha w14:val="100000"/>
                    </w14:srgbClr>
                  </w14:solidFill>
                </w14:textFill>
              </w:rPr>
              <w:t xml:space="preserve">　</w:t>
            </w:r>
            <w:r w:rsidR="001361F6">
              <w:rPr>
                <w:vertAlign w:val="superscript"/>
              </w:rPr>
              <w:t>1</w:t>
            </w:r>
          </w:p>
        </w:tc>
        <w:tc>
          <w:tcPr>
            <w:tcW w:w="1055" w:type="pct"/>
            <w:shd w:val="clear" w:color="auto" w:fill="auto"/>
            <w:vAlign w:val="center"/>
          </w:tcPr>
          <w:p w14:paraId="0A6825DA" w14:textId="3CBB18D8" w:rsidR="003C35E8" w:rsidRPr="001361F6" w:rsidRDefault="0090667A" w:rsidP="00527929">
            <w:pPr>
              <w:pStyle w:val="TableText0"/>
              <w:jc w:val="center"/>
              <w:rPr>
                <w:vertAlign w:val="superscript"/>
              </w:rPr>
            </w:pPr>
            <w:r w:rsidRPr="0090667A">
              <w:t>$</w:t>
            </w:r>
            <w:r w:rsidR="00D61370" w:rsidRPr="00157ED3">
              <w:rPr>
                <w:rFonts w:hint="eastAsia"/>
                <w:color w:val="000000"/>
                <w:w w:val="15"/>
                <w:shd w:val="solid" w:color="000000" w:fill="000000"/>
                <w:fitText w:val="60" w:id="-1425249534"/>
                <w14:textFill>
                  <w14:solidFill>
                    <w14:srgbClr w14:val="000000">
                      <w14:alpha w14:val="100000"/>
                    </w14:srgbClr>
                  </w14:solidFill>
                </w14:textFill>
              </w:rPr>
              <w:t xml:space="preserve">　</w:t>
            </w:r>
            <w:r w:rsidR="00D61370" w:rsidRPr="00157ED3">
              <w:rPr>
                <w:color w:val="000000"/>
                <w:w w:val="15"/>
                <w:shd w:val="solid" w:color="000000" w:fill="000000"/>
                <w:fitText w:val="60" w:id="-1425249534"/>
                <w14:textFill>
                  <w14:solidFill>
                    <w14:srgbClr w14:val="000000">
                      <w14:alpha w14:val="100000"/>
                    </w14:srgbClr>
                  </w14:solidFill>
                </w14:textFill>
              </w:rPr>
              <w:t>|</w:t>
            </w:r>
            <w:r w:rsidR="00D61370" w:rsidRPr="00157ED3">
              <w:rPr>
                <w:rFonts w:hint="eastAsia"/>
                <w:color w:val="000000"/>
                <w:w w:val="15"/>
                <w:shd w:val="solid" w:color="000000" w:fill="000000"/>
                <w:fitText w:val="60" w:id="-1425249534"/>
                <w14:textFill>
                  <w14:solidFill>
                    <w14:srgbClr w14:val="000000">
                      <w14:alpha w14:val="100000"/>
                    </w14:srgbClr>
                  </w14:solidFill>
                </w14:textFill>
              </w:rPr>
              <w:t xml:space="preserve">　</w:t>
            </w:r>
            <w:r w:rsidR="001361F6">
              <w:rPr>
                <w:vertAlign w:val="superscript"/>
              </w:rPr>
              <w:t>1</w:t>
            </w:r>
          </w:p>
        </w:tc>
        <w:tc>
          <w:tcPr>
            <w:tcW w:w="937" w:type="pct"/>
            <w:shd w:val="clear" w:color="auto" w:fill="auto"/>
            <w:vAlign w:val="center"/>
          </w:tcPr>
          <w:p w14:paraId="5880E3C0" w14:textId="4F697A0D" w:rsidR="003C35E8" w:rsidRPr="001361F6" w:rsidRDefault="003C35E8" w:rsidP="00527929">
            <w:pPr>
              <w:pStyle w:val="TableText0"/>
              <w:jc w:val="center"/>
              <w:rPr>
                <w:vertAlign w:val="superscript"/>
              </w:rPr>
            </w:pPr>
            <w:r w:rsidRPr="00C068F4">
              <w:t>- </w:t>
            </w:r>
            <w:r w:rsidR="0090667A" w:rsidRPr="0090667A">
              <w:t>$</w:t>
            </w:r>
            <w:r w:rsidR="00D61370" w:rsidRPr="00157ED3">
              <w:rPr>
                <w:color w:val="000000"/>
                <w:spacing w:val="41"/>
                <w:shd w:val="solid" w:color="000000" w:fill="000000"/>
                <w:fitText w:val="210" w:id="-1425249533"/>
                <w14:textFill>
                  <w14:solidFill>
                    <w14:srgbClr w14:val="000000">
                      <w14:alpha w14:val="100000"/>
                    </w14:srgbClr>
                  </w14:solidFill>
                </w14:textFill>
              </w:rPr>
              <w:t>||</w:t>
            </w:r>
            <w:r w:rsidR="00D61370" w:rsidRPr="00157ED3">
              <w:rPr>
                <w:color w:val="000000"/>
                <w:spacing w:val="1"/>
                <w:shd w:val="solid" w:color="000000" w:fill="000000"/>
                <w:fitText w:val="210" w:id="-1425249533"/>
                <w14:textFill>
                  <w14:solidFill>
                    <w14:srgbClr w14:val="000000">
                      <w14:alpha w14:val="100000"/>
                    </w14:srgbClr>
                  </w14:solidFill>
                </w14:textFill>
              </w:rPr>
              <w:t>|</w:t>
            </w:r>
            <w:r w:rsidR="001361F6">
              <w:rPr>
                <w:vertAlign w:val="superscript"/>
              </w:rPr>
              <w:t>1</w:t>
            </w:r>
          </w:p>
        </w:tc>
      </w:tr>
      <w:tr w:rsidR="003C35E8" w:rsidRPr="00C068F4" w14:paraId="47383970" w14:textId="77777777" w:rsidTr="00527929">
        <w:trPr>
          <w:cantSplit/>
        </w:trPr>
        <w:tc>
          <w:tcPr>
            <w:tcW w:w="1952" w:type="pct"/>
            <w:shd w:val="clear" w:color="auto" w:fill="auto"/>
          </w:tcPr>
          <w:p w14:paraId="2B54719F" w14:textId="77777777" w:rsidR="003C35E8" w:rsidRPr="00C068F4" w:rsidRDefault="003C35E8" w:rsidP="00527929">
            <w:pPr>
              <w:pStyle w:val="TableText0"/>
            </w:pPr>
            <w:r w:rsidRPr="00C068F4">
              <w:t>Costs of ICU care</w:t>
            </w:r>
          </w:p>
        </w:tc>
        <w:tc>
          <w:tcPr>
            <w:tcW w:w="1055" w:type="pct"/>
            <w:shd w:val="clear" w:color="auto" w:fill="auto"/>
            <w:vAlign w:val="center"/>
          </w:tcPr>
          <w:p w14:paraId="6197A04D" w14:textId="55A1B1AD" w:rsidR="003C35E8" w:rsidRPr="001361F6" w:rsidRDefault="0090667A" w:rsidP="00527929">
            <w:pPr>
              <w:pStyle w:val="TableText0"/>
              <w:jc w:val="center"/>
              <w:rPr>
                <w:vertAlign w:val="superscript"/>
              </w:rPr>
            </w:pPr>
            <w:r w:rsidRPr="0090667A">
              <w:t>$</w:t>
            </w:r>
            <w:r w:rsidR="00D61370" w:rsidRPr="00157ED3">
              <w:rPr>
                <w:rFonts w:hint="eastAsia"/>
                <w:color w:val="000000"/>
                <w:w w:val="15"/>
                <w:shd w:val="solid" w:color="000000" w:fill="000000"/>
                <w:fitText w:val="60" w:id="-1425249532"/>
                <w14:textFill>
                  <w14:solidFill>
                    <w14:srgbClr w14:val="000000">
                      <w14:alpha w14:val="100000"/>
                    </w14:srgbClr>
                  </w14:solidFill>
                </w14:textFill>
              </w:rPr>
              <w:t xml:space="preserve">　</w:t>
            </w:r>
            <w:r w:rsidR="00D61370" w:rsidRPr="00157ED3">
              <w:rPr>
                <w:color w:val="000000"/>
                <w:w w:val="15"/>
                <w:shd w:val="solid" w:color="000000" w:fill="000000"/>
                <w:fitText w:val="60" w:id="-1425249532"/>
                <w14:textFill>
                  <w14:solidFill>
                    <w14:srgbClr w14:val="000000">
                      <w14:alpha w14:val="100000"/>
                    </w14:srgbClr>
                  </w14:solidFill>
                </w14:textFill>
              </w:rPr>
              <w:t>|</w:t>
            </w:r>
            <w:r w:rsidR="00D61370" w:rsidRPr="00157ED3">
              <w:rPr>
                <w:rFonts w:hint="eastAsia"/>
                <w:color w:val="000000"/>
                <w:spacing w:val="-5"/>
                <w:w w:val="15"/>
                <w:shd w:val="solid" w:color="000000" w:fill="000000"/>
                <w:fitText w:val="60" w:id="-1425249532"/>
                <w14:textFill>
                  <w14:solidFill>
                    <w14:srgbClr w14:val="000000">
                      <w14:alpha w14:val="100000"/>
                    </w14:srgbClr>
                  </w14:solidFill>
                </w14:textFill>
              </w:rPr>
              <w:t xml:space="preserve">　</w:t>
            </w:r>
            <w:r w:rsidR="001361F6">
              <w:rPr>
                <w:vertAlign w:val="superscript"/>
              </w:rPr>
              <w:t>1</w:t>
            </w:r>
          </w:p>
        </w:tc>
        <w:tc>
          <w:tcPr>
            <w:tcW w:w="1055" w:type="pct"/>
            <w:shd w:val="clear" w:color="auto" w:fill="auto"/>
            <w:vAlign w:val="center"/>
          </w:tcPr>
          <w:p w14:paraId="10ED8504" w14:textId="3325F4BC" w:rsidR="003C35E8" w:rsidRPr="001361F6" w:rsidRDefault="0090667A" w:rsidP="00527929">
            <w:pPr>
              <w:pStyle w:val="TableText0"/>
              <w:jc w:val="center"/>
              <w:rPr>
                <w:vertAlign w:val="superscript"/>
              </w:rPr>
            </w:pPr>
            <w:r w:rsidRPr="0090667A">
              <w:t>$</w:t>
            </w:r>
            <w:r w:rsidR="00D61370" w:rsidRPr="00157ED3">
              <w:rPr>
                <w:rFonts w:hint="eastAsia"/>
                <w:color w:val="000000"/>
                <w:w w:val="15"/>
                <w:shd w:val="solid" w:color="000000" w:fill="000000"/>
                <w:fitText w:val="60" w:id="-1425249531"/>
                <w14:textFill>
                  <w14:solidFill>
                    <w14:srgbClr w14:val="000000">
                      <w14:alpha w14:val="100000"/>
                    </w14:srgbClr>
                  </w14:solidFill>
                </w14:textFill>
              </w:rPr>
              <w:t xml:space="preserve">　</w:t>
            </w:r>
            <w:r w:rsidR="00D61370" w:rsidRPr="00157ED3">
              <w:rPr>
                <w:color w:val="000000"/>
                <w:w w:val="15"/>
                <w:shd w:val="solid" w:color="000000" w:fill="000000"/>
                <w:fitText w:val="60" w:id="-1425249531"/>
                <w14:textFill>
                  <w14:solidFill>
                    <w14:srgbClr w14:val="000000">
                      <w14:alpha w14:val="100000"/>
                    </w14:srgbClr>
                  </w14:solidFill>
                </w14:textFill>
              </w:rPr>
              <w:t>|</w:t>
            </w:r>
            <w:r w:rsidR="00D61370" w:rsidRPr="00157ED3">
              <w:rPr>
                <w:rFonts w:hint="eastAsia"/>
                <w:color w:val="000000"/>
                <w:w w:val="15"/>
                <w:shd w:val="solid" w:color="000000" w:fill="000000"/>
                <w:fitText w:val="60" w:id="-1425249531"/>
                <w14:textFill>
                  <w14:solidFill>
                    <w14:srgbClr w14:val="000000">
                      <w14:alpha w14:val="100000"/>
                    </w14:srgbClr>
                  </w14:solidFill>
                </w14:textFill>
              </w:rPr>
              <w:t xml:space="preserve">　</w:t>
            </w:r>
            <w:r w:rsidR="001361F6">
              <w:rPr>
                <w:vertAlign w:val="superscript"/>
              </w:rPr>
              <w:t>1</w:t>
            </w:r>
          </w:p>
        </w:tc>
        <w:tc>
          <w:tcPr>
            <w:tcW w:w="937" w:type="pct"/>
            <w:shd w:val="clear" w:color="auto" w:fill="auto"/>
            <w:vAlign w:val="center"/>
          </w:tcPr>
          <w:p w14:paraId="0314922B" w14:textId="6A445199" w:rsidR="003C35E8" w:rsidRPr="001361F6" w:rsidRDefault="003C35E8" w:rsidP="00527929">
            <w:pPr>
              <w:pStyle w:val="TableText0"/>
              <w:jc w:val="center"/>
              <w:rPr>
                <w:vertAlign w:val="superscript"/>
              </w:rPr>
            </w:pPr>
            <w:r w:rsidRPr="00C068F4">
              <w:t>- </w:t>
            </w:r>
            <w:r w:rsidR="0090667A" w:rsidRPr="0090667A">
              <w:t>$</w:t>
            </w:r>
            <w:r w:rsidR="00D61370" w:rsidRPr="00157ED3">
              <w:rPr>
                <w:color w:val="000000"/>
                <w:spacing w:val="41"/>
                <w:shd w:val="solid" w:color="000000" w:fill="000000"/>
                <w:fitText w:val="210" w:id="-1425249530"/>
                <w14:textFill>
                  <w14:solidFill>
                    <w14:srgbClr w14:val="000000">
                      <w14:alpha w14:val="100000"/>
                    </w14:srgbClr>
                  </w14:solidFill>
                </w14:textFill>
              </w:rPr>
              <w:t>||</w:t>
            </w:r>
            <w:r w:rsidR="00D61370" w:rsidRPr="00157ED3">
              <w:rPr>
                <w:color w:val="000000"/>
                <w:spacing w:val="1"/>
                <w:shd w:val="solid" w:color="000000" w:fill="000000"/>
                <w:fitText w:val="210" w:id="-1425249530"/>
                <w14:textFill>
                  <w14:solidFill>
                    <w14:srgbClr w14:val="000000">
                      <w14:alpha w14:val="100000"/>
                    </w14:srgbClr>
                  </w14:solidFill>
                </w14:textFill>
              </w:rPr>
              <w:t>|</w:t>
            </w:r>
            <w:r w:rsidR="001361F6">
              <w:rPr>
                <w:vertAlign w:val="superscript"/>
              </w:rPr>
              <w:t>1</w:t>
            </w:r>
          </w:p>
        </w:tc>
      </w:tr>
      <w:tr w:rsidR="003C35E8" w:rsidRPr="00C068F4" w14:paraId="66982A7C" w14:textId="77777777" w:rsidTr="00527929">
        <w:trPr>
          <w:cantSplit/>
        </w:trPr>
        <w:tc>
          <w:tcPr>
            <w:tcW w:w="1952" w:type="pct"/>
            <w:shd w:val="clear" w:color="auto" w:fill="auto"/>
          </w:tcPr>
          <w:p w14:paraId="530051E9" w14:textId="77777777" w:rsidR="003C35E8" w:rsidRPr="00C068F4" w:rsidRDefault="003C35E8" w:rsidP="00527929">
            <w:pPr>
              <w:pStyle w:val="TableText0"/>
              <w:jc w:val="right"/>
              <w:rPr>
                <w:b/>
                <w:bCs w:val="0"/>
              </w:rPr>
            </w:pPr>
            <w:r w:rsidRPr="00C068F4">
              <w:rPr>
                <w:b/>
                <w:bCs w:val="0"/>
              </w:rPr>
              <w:t>Total costs</w:t>
            </w:r>
          </w:p>
        </w:tc>
        <w:tc>
          <w:tcPr>
            <w:tcW w:w="1055" w:type="pct"/>
            <w:shd w:val="clear" w:color="auto" w:fill="auto"/>
            <w:vAlign w:val="center"/>
          </w:tcPr>
          <w:p w14:paraId="4E53286B" w14:textId="1F173E95" w:rsidR="003C35E8" w:rsidRPr="001361F6" w:rsidRDefault="0090667A" w:rsidP="00527929">
            <w:pPr>
              <w:pStyle w:val="TableText0"/>
              <w:jc w:val="center"/>
              <w:rPr>
                <w:b/>
                <w:bCs w:val="0"/>
                <w:vertAlign w:val="superscript"/>
              </w:rPr>
            </w:pPr>
            <w:r w:rsidRPr="0090667A">
              <w:rPr>
                <w:b/>
                <w:bCs w:val="0"/>
              </w:rPr>
              <w:t>$</w:t>
            </w:r>
            <w:r w:rsidR="00D61370" w:rsidRPr="00157ED3">
              <w:rPr>
                <w:rFonts w:hint="eastAsia"/>
                <w:b/>
                <w:bCs w:val="0"/>
                <w:color w:val="000000"/>
                <w:w w:val="15"/>
                <w:shd w:val="solid" w:color="000000" w:fill="000000"/>
                <w:fitText w:val="30" w:id="-1425249529"/>
                <w14:textFill>
                  <w14:solidFill>
                    <w14:srgbClr w14:val="000000">
                      <w14:alpha w14:val="100000"/>
                    </w14:srgbClr>
                  </w14:solidFill>
                </w14:textFill>
              </w:rPr>
              <w:t xml:space="preserve">　</w:t>
            </w:r>
            <w:r w:rsidR="00D61370" w:rsidRPr="00157ED3">
              <w:rPr>
                <w:b/>
                <w:bCs w:val="0"/>
                <w:color w:val="000000"/>
                <w:w w:val="15"/>
                <w:shd w:val="solid" w:color="000000" w:fill="000000"/>
                <w:fitText w:val="30" w:id="-1425249529"/>
                <w14:textFill>
                  <w14:solidFill>
                    <w14:srgbClr w14:val="000000">
                      <w14:alpha w14:val="100000"/>
                    </w14:srgbClr>
                  </w14:solidFill>
                </w14:textFill>
              </w:rPr>
              <w:t>|</w:t>
            </w:r>
            <w:r w:rsidR="00D61370" w:rsidRPr="00157ED3">
              <w:rPr>
                <w:rFonts w:hint="eastAsia"/>
                <w:b/>
                <w:bCs w:val="0"/>
                <w:color w:val="000000"/>
                <w:spacing w:val="-36"/>
                <w:w w:val="15"/>
                <w:shd w:val="solid" w:color="000000" w:fill="000000"/>
                <w:fitText w:val="30" w:id="-1425249529"/>
                <w14:textFill>
                  <w14:solidFill>
                    <w14:srgbClr w14:val="000000">
                      <w14:alpha w14:val="100000"/>
                    </w14:srgbClr>
                  </w14:solidFill>
                </w14:textFill>
              </w:rPr>
              <w:t xml:space="preserve">　</w:t>
            </w:r>
            <w:r w:rsidR="001361F6" w:rsidRPr="000045C5">
              <w:rPr>
                <w:vertAlign w:val="superscript"/>
              </w:rPr>
              <w:t>1</w:t>
            </w:r>
          </w:p>
        </w:tc>
        <w:tc>
          <w:tcPr>
            <w:tcW w:w="1055" w:type="pct"/>
            <w:shd w:val="clear" w:color="auto" w:fill="auto"/>
            <w:vAlign w:val="center"/>
          </w:tcPr>
          <w:p w14:paraId="6742635D" w14:textId="22A2C770" w:rsidR="003C35E8" w:rsidRPr="001361F6" w:rsidRDefault="0090667A" w:rsidP="00527929">
            <w:pPr>
              <w:pStyle w:val="TableText0"/>
              <w:jc w:val="center"/>
              <w:rPr>
                <w:b/>
                <w:bCs w:val="0"/>
                <w:vertAlign w:val="superscript"/>
              </w:rPr>
            </w:pPr>
            <w:r w:rsidRPr="0090667A">
              <w:rPr>
                <w:b/>
                <w:bCs w:val="0"/>
              </w:rPr>
              <w:t>$</w:t>
            </w:r>
            <w:r w:rsidR="00D61370" w:rsidRPr="00157ED3">
              <w:rPr>
                <w:rFonts w:hint="eastAsia"/>
                <w:b/>
                <w:bCs w:val="0"/>
                <w:color w:val="000000"/>
                <w:w w:val="15"/>
                <w:shd w:val="solid" w:color="000000" w:fill="000000"/>
                <w:fitText w:val="30" w:id="-1425249528"/>
                <w14:textFill>
                  <w14:solidFill>
                    <w14:srgbClr w14:val="000000">
                      <w14:alpha w14:val="100000"/>
                    </w14:srgbClr>
                  </w14:solidFill>
                </w14:textFill>
              </w:rPr>
              <w:t xml:space="preserve">　</w:t>
            </w:r>
            <w:r w:rsidR="00D61370" w:rsidRPr="00157ED3">
              <w:rPr>
                <w:b/>
                <w:bCs w:val="0"/>
                <w:color w:val="000000"/>
                <w:w w:val="15"/>
                <w:shd w:val="solid" w:color="000000" w:fill="000000"/>
                <w:fitText w:val="30" w:id="-1425249528"/>
                <w14:textFill>
                  <w14:solidFill>
                    <w14:srgbClr w14:val="000000">
                      <w14:alpha w14:val="100000"/>
                    </w14:srgbClr>
                  </w14:solidFill>
                </w14:textFill>
              </w:rPr>
              <w:t>|</w:t>
            </w:r>
            <w:r w:rsidR="00D61370" w:rsidRPr="00157ED3">
              <w:rPr>
                <w:rFonts w:hint="eastAsia"/>
                <w:b/>
                <w:bCs w:val="0"/>
                <w:color w:val="000000"/>
                <w:spacing w:val="-36"/>
                <w:w w:val="15"/>
                <w:shd w:val="solid" w:color="000000" w:fill="000000"/>
                <w:fitText w:val="30" w:id="-1425249528"/>
                <w14:textFill>
                  <w14:solidFill>
                    <w14:srgbClr w14:val="000000">
                      <w14:alpha w14:val="100000"/>
                    </w14:srgbClr>
                  </w14:solidFill>
                </w14:textFill>
              </w:rPr>
              <w:t xml:space="preserve">　</w:t>
            </w:r>
            <w:r w:rsidR="001361F6" w:rsidRPr="000045C5">
              <w:rPr>
                <w:vertAlign w:val="superscript"/>
              </w:rPr>
              <w:t>1</w:t>
            </w:r>
          </w:p>
        </w:tc>
        <w:tc>
          <w:tcPr>
            <w:tcW w:w="937" w:type="pct"/>
            <w:shd w:val="clear" w:color="auto" w:fill="auto"/>
            <w:vAlign w:val="center"/>
          </w:tcPr>
          <w:p w14:paraId="78EAE676" w14:textId="68E949ED" w:rsidR="003C35E8" w:rsidRPr="001361F6" w:rsidRDefault="0090667A" w:rsidP="00527929">
            <w:pPr>
              <w:pStyle w:val="TableText0"/>
              <w:jc w:val="center"/>
              <w:rPr>
                <w:b/>
                <w:bCs w:val="0"/>
                <w:vertAlign w:val="superscript"/>
              </w:rPr>
            </w:pPr>
            <w:r w:rsidRPr="0090667A">
              <w:rPr>
                <w:b/>
                <w:bCs w:val="0"/>
              </w:rPr>
              <w:t>$</w:t>
            </w:r>
            <w:r w:rsidR="00D61370" w:rsidRPr="00157ED3">
              <w:rPr>
                <w:rFonts w:hint="eastAsia"/>
                <w:b/>
                <w:bCs w:val="0"/>
                <w:color w:val="000000"/>
                <w:w w:val="30"/>
                <w:shd w:val="solid" w:color="000000" w:fill="000000"/>
                <w:fitText w:val="135" w:id="-1425249527"/>
                <w14:textFill>
                  <w14:solidFill>
                    <w14:srgbClr w14:val="000000">
                      <w14:alpha w14:val="100000"/>
                    </w14:srgbClr>
                  </w14:solidFill>
                </w14:textFill>
              </w:rPr>
              <w:t xml:space="preserve">　</w:t>
            </w:r>
            <w:r w:rsidR="00D61370" w:rsidRPr="00157ED3">
              <w:rPr>
                <w:b/>
                <w:bCs w:val="0"/>
                <w:color w:val="000000"/>
                <w:w w:val="30"/>
                <w:shd w:val="solid" w:color="000000" w:fill="000000"/>
                <w:fitText w:val="135" w:id="-1425249527"/>
                <w14:textFill>
                  <w14:solidFill>
                    <w14:srgbClr w14:val="000000">
                      <w14:alpha w14:val="100000"/>
                    </w14:srgbClr>
                  </w14:solidFill>
                </w14:textFill>
              </w:rPr>
              <w:t>|</w:t>
            </w:r>
            <w:r w:rsidR="00D61370" w:rsidRPr="00157ED3">
              <w:rPr>
                <w:rFonts w:hint="eastAsia"/>
                <w:b/>
                <w:bCs w:val="0"/>
                <w:color w:val="000000"/>
                <w:w w:val="30"/>
                <w:shd w:val="solid" w:color="000000" w:fill="000000"/>
                <w:fitText w:val="135" w:id="-1425249527"/>
                <w14:textFill>
                  <w14:solidFill>
                    <w14:srgbClr w14:val="000000">
                      <w14:alpha w14:val="100000"/>
                    </w14:srgbClr>
                  </w14:solidFill>
                </w14:textFill>
              </w:rPr>
              <w:t xml:space="preserve">　</w:t>
            </w:r>
            <w:r w:rsidR="001361F6" w:rsidRPr="000045C5">
              <w:rPr>
                <w:vertAlign w:val="superscript"/>
              </w:rPr>
              <w:t>1</w:t>
            </w:r>
          </w:p>
        </w:tc>
      </w:tr>
      <w:tr w:rsidR="003C35E8" w:rsidRPr="00C068F4" w14:paraId="797E9105" w14:textId="77777777" w:rsidTr="00527929">
        <w:trPr>
          <w:cantSplit/>
        </w:trPr>
        <w:tc>
          <w:tcPr>
            <w:tcW w:w="1952" w:type="pct"/>
            <w:shd w:val="clear" w:color="auto" w:fill="auto"/>
          </w:tcPr>
          <w:p w14:paraId="76A2CD5B" w14:textId="77777777" w:rsidR="003C35E8" w:rsidRPr="00C068F4" w:rsidRDefault="003C35E8" w:rsidP="00527929">
            <w:pPr>
              <w:pStyle w:val="TableText0"/>
            </w:pPr>
            <w:r w:rsidRPr="00C068F4">
              <w:t>QALYs (discounted)</w:t>
            </w:r>
          </w:p>
        </w:tc>
        <w:tc>
          <w:tcPr>
            <w:tcW w:w="1055" w:type="pct"/>
            <w:shd w:val="clear" w:color="auto" w:fill="auto"/>
            <w:vAlign w:val="center"/>
          </w:tcPr>
          <w:p w14:paraId="5EAD14FE" w14:textId="77777777" w:rsidR="003C35E8" w:rsidRPr="00C068F4" w:rsidRDefault="003C35E8" w:rsidP="00527929">
            <w:pPr>
              <w:pStyle w:val="TableText0"/>
              <w:jc w:val="center"/>
            </w:pPr>
            <w:r w:rsidRPr="00C068F4">
              <w:t>0.4350</w:t>
            </w:r>
          </w:p>
        </w:tc>
        <w:tc>
          <w:tcPr>
            <w:tcW w:w="1055" w:type="pct"/>
            <w:shd w:val="clear" w:color="auto" w:fill="auto"/>
            <w:vAlign w:val="center"/>
          </w:tcPr>
          <w:p w14:paraId="310B34B5" w14:textId="77777777" w:rsidR="003C35E8" w:rsidRPr="00C068F4" w:rsidRDefault="003C35E8" w:rsidP="00527929">
            <w:pPr>
              <w:pStyle w:val="TableText0"/>
              <w:jc w:val="center"/>
            </w:pPr>
            <w:r w:rsidRPr="00C068F4">
              <w:t>0.4220</w:t>
            </w:r>
          </w:p>
        </w:tc>
        <w:tc>
          <w:tcPr>
            <w:tcW w:w="937" w:type="pct"/>
            <w:shd w:val="clear" w:color="auto" w:fill="auto"/>
          </w:tcPr>
          <w:p w14:paraId="15F1D4D4" w14:textId="77777777" w:rsidR="003C35E8" w:rsidRPr="00C068F4" w:rsidRDefault="003C35E8" w:rsidP="00527929">
            <w:pPr>
              <w:pStyle w:val="TableText0"/>
              <w:jc w:val="center"/>
            </w:pPr>
            <w:r w:rsidRPr="00C068F4">
              <w:t>0.0130</w:t>
            </w:r>
          </w:p>
        </w:tc>
      </w:tr>
      <w:tr w:rsidR="003C35E8" w:rsidRPr="00C068F4" w14:paraId="126FF19F" w14:textId="77777777" w:rsidTr="00527929">
        <w:trPr>
          <w:cantSplit/>
        </w:trPr>
        <w:tc>
          <w:tcPr>
            <w:tcW w:w="4063" w:type="pct"/>
            <w:gridSpan w:val="3"/>
            <w:tcBorders>
              <w:right w:val="single" w:sz="4" w:space="0" w:color="000000"/>
            </w:tcBorders>
            <w:shd w:val="clear" w:color="auto" w:fill="auto"/>
          </w:tcPr>
          <w:p w14:paraId="078E5C04" w14:textId="77777777" w:rsidR="003C35E8" w:rsidRPr="00C068F4" w:rsidRDefault="003C35E8" w:rsidP="00527929">
            <w:pPr>
              <w:pStyle w:val="In-tableHeading"/>
              <w:rPr>
                <w:lang w:val="en-AU"/>
              </w:rPr>
            </w:pPr>
            <w:r w:rsidRPr="00C068F4">
              <w:rPr>
                <w:lang w:val="en-AU"/>
              </w:rPr>
              <w:t>Incremental cost per discounted QALY gained</w:t>
            </w:r>
          </w:p>
        </w:tc>
        <w:tc>
          <w:tcPr>
            <w:tcW w:w="937" w:type="pct"/>
            <w:tcBorders>
              <w:left w:val="single" w:sz="4" w:space="0" w:color="000000"/>
            </w:tcBorders>
            <w:shd w:val="clear" w:color="auto" w:fill="auto"/>
          </w:tcPr>
          <w:p w14:paraId="7B6CA7D8" w14:textId="6605D0A5" w:rsidR="003C35E8" w:rsidRPr="000045C5" w:rsidRDefault="0090667A" w:rsidP="00527929">
            <w:pPr>
              <w:keepNext/>
              <w:keepLines/>
              <w:jc w:val="center"/>
              <w:rPr>
                <w:rFonts w:ascii="Arial Narrow" w:eastAsia="Calibri" w:hAnsi="Arial Narrow"/>
                <w:bCs/>
                <w:sz w:val="20"/>
                <w:szCs w:val="20"/>
                <w:vertAlign w:val="superscript"/>
              </w:rPr>
            </w:pPr>
            <w:r w:rsidRPr="0090667A">
              <w:rPr>
                <w:rFonts w:ascii="Arial Narrow" w:eastAsia="Calibri" w:hAnsi="Arial Narrow"/>
                <w:b/>
                <w:sz w:val="20"/>
                <w:szCs w:val="20"/>
              </w:rPr>
              <w:t>$</w:t>
            </w:r>
            <w:r w:rsidR="00D61370" w:rsidRPr="00157ED3">
              <w:rPr>
                <w:rFonts w:ascii="Arial Narrow" w:eastAsia="Calibri" w:hAnsi="Arial Narrow" w:hint="eastAsia"/>
                <w:b/>
                <w:color w:val="000000"/>
                <w:w w:val="30"/>
                <w:sz w:val="20"/>
                <w:szCs w:val="20"/>
                <w:shd w:val="solid" w:color="000000" w:fill="000000"/>
                <w:fitText w:val="135" w:id="-1425249526"/>
                <w14:textFill>
                  <w14:solidFill>
                    <w14:srgbClr w14:val="000000">
                      <w14:alpha w14:val="100000"/>
                    </w14:srgbClr>
                  </w14:solidFill>
                </w14:textFill>
              </w:rPr>
              <w:t xml:space="preserve">　</w:t>
            </w:r>
            <w:r w:rsidR="00D61370" w:rsidRPr="00157ED3">
              <w:rPr>
                <w:rFonts w:ascii="Arial Narrow" w:eastAsia="Calibri" w:hAnsi="Arial Narrow"/>
                <w:b/>
                <w:color w:val="000000"/>
                <w:w w:val="30"/>
                <w:sz w:val="20"/>
                <w:szCs w:val="20"/>
                <w:shd w:val="solid" w:color="000000" w:fill="000000"/>
                <w:fitText w:val="135" w:id="-1425249526"/>
                <w14:textFill>
                  <w14:solidFill>
                    <w14:srgbClr w14:val="000000">
                      <w14:alpha w14:val="100000"/>
                    </w14:srgbClr>
                  </w14:solidFill>
                </w14:textFill>
              </w:rPr>
              <w:t>|</w:t>
            </w:r>
            <w:r w:rsidR="00D61370" w:rsidRPr="00157ED3">
              <w:rPr>
                <w:rFonts w:ascii="Arial Narrow" w:eastAsia="Calibri" w:hAnsi="Arial Narrow" w:hint="eastAsia"/>
                <w:b/>
                <w:color w:val="000000"/>
                <w:w w:val="30"/>
                <w:sz w:val="20"/>
                <w:szCs w:val="20"/>
                <w:shd w:val="solid" w:color="000000" w:fill="000000"/>
                <w:fitText w:val="135" w:id="-1425249526"/>
                <w14:textFill>
                  <w14:solidFill>
                    <w14:srgbClr w14:val="000000">
                      <w14:alpha w14:val="100000"/>
                    </w14:srgbClr>
                  </w14:solidFill>
                </w14:textFill>
              </w:rPr>
              <w:t xml:space="preserve">　</w:t>
            </w:r>
            <w:r w:rsidR="000045C5">
              <w:rPr>
                <w:rFonts w:ascii="Arial Narrow" w:eastAsia="Calibri" w:hAnsi="Arial Narrow"/>
                <w:bCs/>
                <w:sz w:val="20"/>
                <w:szCs w:val="20"/>
                <w:vertAlign w:val="superscript"/>
              </w:rPr>
              <w:t>2</w:t>
            </w:r>
          </w:p>
        </w:tc>
      </w:tr>
    </w:tbl>
    <w:p w14:paraId="6B9526D1" w14:textId="567EDF8F" w:rsidR="003C35E8" w:rsidRDefault="003C35E8" w:rsidP="003C35E8">
      <w:pPr>
        <w:pStyle w:val="FooterTableFigure"/>
        <w:rPr>
          <w:rFonts w:eastAsia="Calibri"/>
          <w:szCs w:val="20"/>
        </w:rPr>
      </w:pPr>
      <w:r w:rsidRPr="00C068F4">
        <w:rPr>
          <w:rFonts w:eastAsia="Calibri"/>
          <w:szCs w:val="20"/>
        </w:rPr>
        <w:t>QALY = quality adjusted life year.</w:t>
      </w:r>
    </w:p>
    <w:p w14:paraId="4A29A4DE" w14:textId="755684EE" w:rsidR="00287C72" w:rsidRDefault="001361F6" w:rsidP="001361F6">
      <w:pPr>
        <w:rPr>
          <w:rFonts w:ascii="Arial Narrow" w:hAnsi="Arial Narrow"/>
          <w:i/>
          <w:sz w:val="18"/>
          <w:szCs w:val="18"/>
        </w:rPr>
      </w:pPr>
      <w:r w:rsidRPr="00E21149">
        <w:rPr>
          <w:rFonts w:ascii="Arial Narrow" w:hAnsi="Arial Narrow"/>
          <w:i/>
          <w:sz w:val="18"/>
          <w:szCs w:val="18"/>
        </w:rPr>
        <w:t>The redacted values correspond to the following ranges:</w:t>
      </w:r>
    </w:p>
    <w:p w14:paraId="5C5366F6" w14:textId="31019679" w:rsidR="001361F6" w:rsidRPr="00E21149" w:rsidRDefault="001361F6" w:rsidP="003C35E8">
      <w:pPr>
        <w:pStyle w:val="FooterTableFigure"/>
        <w:rPr>
          <w:rFonts w:eastAsia="Calibri"/>
          <w:i/>
          <w:szCs w:val="20"/>
        </w:rPr>
      </w:pPr>
      <w:r w:rsidRPr="00E21149">
        <w:rPr>
          <w:rFonts w:eastAsia="Calibri"/>
          <w:i/>
          <w:szCs w:val="20"/>
          <w:vertAlign w:val="superscript"/>
        </w:rPr>
        <w:t>1</w:t>
      </w:r>
      <w:r w:rsidR="0090667A" w:rsidRPr="0090667A">
        <w:rPr>
          <w:rFonts w:eastAsia="Calibri"/>
          <w:i/>
          <w:szCs w:val="20"/>
        </w:rPr>
        <w:t>$</w:t>
      </w:r>
      <w:r w:rsidRPr="00E21149">
        <w:rPr>
          <w:rFonts w:eastAsia="Calibri"/>
          <w:i/>
          <w:szCs w:val="20"/>
        </w:rPr>
        <w:t xml:space="preserve">0 to &lt; </w:t>
      </w:r>
      <w:r w:rsidR="0090667A" w:rsidRPr="0090667A">
        <w:rPr>
          <w:rFonts w:eastAsia="Calibri"/>
          <w:i/>
          <w:szCs w:val="20"/>
        </w:rPr>
        <w:t>$</w:t>
      </w:r>
      <w:r w:rsidRPr="00E21149">
        <w:rPr>
          <w:rFonts w:eastAsia="Calibri"/>
          <w:i/>
          <w:szCs w:val="20"/>
        </w:rPr>
        <w:t>5,000</w:t>
      </w:r>
    </w:p>
    <w:p w14:paraId="53FF19C2" w14:textId="419014FA" w:rsidR="003C35E8" w:rsidRPr="00C068F4" w:rsidRDefault="000045C5" w:rsidP="003C35E8">
      <w:pPr>
        <w:pStyle w:val="FooterTableFigure"/>
        <w:rPr>
          <w:rFonts w:eastAsia="Calibri"/>
          <w:szCs w:val="20"/>
        </w:rPr>
      </w:pPr>
      <w:r w:rsidRPr="00E21149">
        <w:rPr>
          <w:rFonts w:eastAsia="Calibri"/>
          <w:i/>
          <w:szCs w:val="20"/>
          <w:vertAlign w:val="superscript"/>
        </w:rPr>
        <w:t>2</w:t>
      </w:r>
      <w:r w:rsidR="0090667A" w:rsidRPr="0090667A">
        <w:rPr>
          <w:rFonts w:eastAsia="Calibri"/>
          <w:i/>
          <w:szCs w:val="20"/>
        </w:rPr>
        <w:t>$</w:t>
      </w:r>
      <w:r w:rsidRPr="00E21149">
        <w:rPr>
          <w:rFonts w:eastAsia="Calibri"/>
          <w:i/>
          <w:szCs w:val="20"/>
        </w:rPr>
        <w:t xml:space="preserve">115,000 to &lt; </w:t>
      </w:r>
      <w:r w:rsidR="0090667A" w:rsidRPr="0090667A">
        <w:rPr>
          <w:rFonts w:eastAsia="Calibri"/>
          <w:i/>
          <w:szCs w:val="20"/>
        </w:rPr>
        <w:t>$</w:t>
      </w:r>
      <w:r w:rsidRPr="00E21149">
        <w:rPr>
          <w:rFonts w:eastAsia="Calibri"/>
          <w:i/>
          <w:szCs w:val="20"/>
        </w:rPr>
        <w:t>135,000</w:t>
      </w:r>
    </w:p>
    <w:bookmarkEnd w:id="98"/>
    <w:p w14:paraId="5E568346" w14:textId="4AA1B324" w:rsidR="00287C72" w:rsidRDefault="003C35E8" w:rsidP="003C35E8">
      <w:pPr>
        <w:pStyle w:val="3-BodyText"/>
        <w:rPr>
          <w:color w:val="000000" w:themeColor="text1"/>
        </w:rPr>
      </w:pPr>
      <w:r w:rsidRPr="00C068F4">
        <w:rPr>
          <w:color w:val="000000" w:themeColor="text1"/>
        </w:rPr>
        <w:t xml:space="preserve">The results of the 12-month model (which assumes that retreatment with tixagevimab and cilgavimab is not required before 12 months) are summarised in </w:t>
      </w:r>
      <w:r w:rsidR="00B6345D" w:rsidRPr="00C068F4">
        <w:rPr>
          <w:color w:val="000000" w:themeColor="text1"/>
        </w:rPr>
        <w:fldChar w:fldCharType="begin" w:fldLock="1"/>
      </w:r>
      <w:r w:rsidR="00B6345D" w:rsidRPr="00C068F4">
        <w:rPr>
          <w:color w:val="000000" w:themeColor="text1"/>
        </w:rPr>
        <w:instrText xml:space="preserve"> REF _Ref110982525 \h </w:instrText>
      </w:r>
      <w:r w:rsidR="00B6345D" w:rsidRPr="00C068F4">
        <w:rPr>
          <w:color w:val="000000" w:themeColor="text1"/>
        </w:rPr>
      </w:r>
      <w:r w:rsidR="00B6345D" w:rsidRPr="00C068F4">
        <w:rPr>
          <w:color w:val="000000" w:themeColor="text1"/>
        </w:rPr>
        <w:fldChar w:fldCharType="separate"/>
      </w:r>
      <w:r w:rsidR="00AB751C" w:rsidRPr="00C068F4">
        <w:t xml:space="preserve">Table </w:t>
      </w:r>
      <w:r w:rsidR="00AB751C">
        <w:rPr>
          <w:noProof/>
        </w:rPr>
        <w:t>15</w:t>
      </w:r>
      <w:r w:rsidR="00B6345D" w:rsidRPr="00C068F4">
        <w:rPr>
          <w:color w:val="000000" w:themeColor="text1"/>
        </w:rPr>
        <w:fldChar w:fldCharType="end"/>
      </w:r>
      <w:r w:rsidRPr="00C068F4">
        <w:rPr>
          <w:color w:val="000000" w:themeColor="text1"/>
        </w:rPr>
        <w:t>.</w:t>
      </w:r>
    </w:p>
    <w:p w14:paraId="31794935" w14:textId="78D06D8A" w:rsidR="000D3155" w:rsidRPr="00C068F4" w:rsidRDefault="000D3155" w:rsidP="003C35E8">
      <w:pPr>
        <w:pStyle w:val="3-BodyText"/>
        <w:rPr>
          <w:color w:val="000000" w:themeColor="text1"/>
        </w:rPr>
      </w:pPr>
      <w:r w:rsidRPr="00C068F4">
        <w:rPr>
          <w:rStyle w:val="normaltextrun"/>
          <w:iCs/>
          <w:color w:val="000000" w:themeColor="text1"/>
        </w:rPr>
        <w:t xml:space="preserve">A higher number of deaths over 12 months compared to 6 months means that the </w:t>
      </w:r>
      <w:r w:rsidR="00BD4891" w:rsidRPr="00C068F4">
        <w:rPr>
          <w:rStyle w:val="normaltextrun"/>
          <w:iCs/>
          <w:color w:val="000000" w:themeColor="text1"/>
        </w:rPr>
        <w:t>absolute QALYs in both arms are reduced</w:t>
      </w:r>
      <w:r w:rsidR="0038578D" w:rsidRPr="00C068F4">
        <w:rPr>
          <w:rStyle w:val="normaltextrun"/>
          <w:iCs/>
          <w:color w:val="000000" w:themeColor="text1"/>
        </w:rPr>
        <w:t>. The assumption that the treat</w:t>
      </w:r>
      <w:r w:rsidR="00191CBB" w:rsidRPr="00C068F4">
        <w:rPr>
          <w:rStyle w:val="normaltextrun"/>
          <w:iCs/>
          <w:color w:val="000000" w:themeColor="text1"/>
        </w:rPr>
        <w:t>ment effect in terms of impact on the incidence of severe or critical COVID</w:t>
      </w:r>
      <w:r w:rsidR="00191CBB" w:rsidRPr="00C068F4">
        <w:rPr>
          <w:rStyle w:val="normaltextrun"/>
          <w:iCs/>
          <w:color w:val="000000" w:themeColor="text1"/>
        </w:rPr>
        <w:noBreakHyphen/>
        <w:t xml:space="preserve">19 </w:t>
      </w:r>
      <w:r w:rsidR="00610EED" w:rsidRPr="00C068F4">
        <w:rPr>
          <w:rStyle w:val="normaltextrun"/>
          <w:iCs/>
          <w:color w:val="000000" w:themeColor="text1"/>
        </w:rPr>
        <w:t>lasts for 12 months, however, means that the incremental benefit i</w:t>
      </w:r>
      <w:r w:rsidR="005A1799" w:rsidRPr="00C068F4">
        <w:rPr>
          <w:rStyle w:val="normaltextrun"/>
          <w:iCs/>
          <w:color w:val="000000" w:themeColor="text1"/>
        </w:rPr>
        <w:t>mproves over 12 months. Costs</w:t>
      </w:r>
      <w:r w:rsidR="00F72990" w:rsidRPr="00C068F4">
        <w:rPr>
          <w:rStyle w:val="normaltextrun"/>
          <w:iCs/>
          <w:color w:val="000000" w:themeColor="text1"/>
        </w:rPr>
        <w:t xml:space="preserve"> in the tixagevimab and cilgavimab</w:t>
      </w:r>
      <w:r w:rsidR="005A1799" w:rsidRPr="00C068F4">
        <w:rPr>
          <w:rStyle w:val="normaltextrun"/>
          <w:iCs/>
          <w:color w:val="000000" w:themeColor="text1"/>
        </w:rPr>
        <w:t xml:space="preserve"> are substantially reduced in the 12 month model because patients</w:t>
      </w:r>
      <w:r w:rsidR="00F72990" w:rsidRPr="00C068F4">
        <w:rPr>
          <w:rStyle w:val="normaltextrun"/>
          <w:iCs/>
          <w:color w:val="000000" w:themeColor="text1"/>
        </w:rPr>
        <w:t xml:space="preserve"> are only assumed to require one administration of tixagevimab and cilgavimab</w:t>
      </w:r>
      <w:r w:rsidR="00825FB4" w:rsidRPr="00C068F4">
        <w:rPr>
          <w:rStyle w:val="normaltextrun"/>
          <w:iCs/>
          <w:color w:val="000000" w:themeColor="text1"/>
        </w:rPr>
        <w:t xml:space="preserve"> </w:t>
      </w:r>
      <w:r w:rsidR="00F72990" w:rsidRPr="00C068F4">
        <w:rPr>
          <w:rStyle w:val="normaltextrun"/>
          <w:iCs/>
          <w:color w:val="000000" w:themeColor="text1"/>
        </w:rPr>
        <w:t xml:space="preserve">to achieve a benefit that lasts for 12 months (whereas the </w:t>
      </w:r>
      <w:r w:rsidR="00EC0EF2" w:rsidRPr="00C068F4">
        <w:rPr>
          <w:rStyle w:val="normaltextrun"/>
          <w:iCs/>
          <w:color w:val="000000" w:themeColor="text1"/>
        </w:rPr>
        <w:t>6-month model assumes the treatment effect lasts for only 6 months.</w:t>
      </w:r>
    </w:p>
    <w:p w14:paraId="2420BAD2" w14:textId="1EAAB6F4" w:rsidR="003C35E8" w:rsidRPr="00C068F4" w:rsidRDefault="003C35E8" w:rsidP="003C35E8">
      <w:pPr>
        <w:pStyle w:val="Caption"/>
        <w:rPr>
          <w:rStyle w:val="CommentReference"/>
          <w:b/>
          <w:szCs w:val="24"/>
        </w:rPr>
      </w:pPr>
      <w:bookmarkStart w:id="99" w:name="_Ref110982525"/>
      <w:bookmarkStart w:id="100" w:name="_Hlk111127857"/>
      <w:r w:rsidRPr="00C068F4">
        <w:t xml:space="preserve">Table </w:t>
      </w:r>
      <w:fldSimple w:instr=" SEQ Table \* ARABIC " w:fldLock="1">
        <w:r w:rsidR="00DB55F2">
          <w:rPr>
            <w:noProof/>
          </w:rPr>
          <w:t>15</w:t>
        </w:r>
      </w:fldSimple>
      <w:bookmarkEnd w:id="99"/>
      <w:r w:rsidRPr="00C068F4">
        <w:rPr>
          <w:rStyle w:val="CommentReference"/>
          <w:b/>
          <w:szCs w:val="24"/>
        </w:rPr>
        <w:t>: Results of the 12-month modelled economic evaluation</w:t>
      </w:r>
    </w:p>
    <w:bookmarkEnd w:id="100"/>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Caption w:val="Table 15: Results of the 12-month modelled economic evaluation"/>
      </w:tblPr>
      <w:tblGrid>
        <w:gridCol w:w="3540"/>
        <w:gridCol w:w="1913"/>
        <w:gridCol w:w="1915"/>
        <w:gridCol w:w="1699"/>
      </w:tblGrid>
      <w:tr w:rsidR="003C35E8" w:rsidRPr="00C068F4" w14:paraId="697EC3B2" w14:textId="77777777" w:rsidTr="00527929">
        <w:trPr>
          <w:cantSplit/>
          <w:tblHeader/>
        </w:trPr>
        <w:tc>
          <w:tcPr>
            <w:tcW w:w="1952" w:type="pct"/>
            <w:shd w:val="clear" w:color="auto" w:fill="FFFFFF"/>
          </w:tcPr>
          <w:p w14:paraId="16ABD6F2" w14:textId="77777777" w:rsidR="003C35E8" w:rsidRPr="00C068F4" w:rsidRDefault="003C35E8" w:rsidP="00527929">
            <w:pPr>
              <w:pStyle w:val="In-tableHeading"/>
              <w:jc w:val="center"/>
              <w:rPr>
                <w:lang w:val="en-AU"/>
              </w:rPr>
            </w:pPr>
          </w:p>
        </w:tc>
        <w:tc>
          <w:tcPr>
            <w:tcW w:w="1055" w:type="pct"/>
            <w:shd w:val="clear" w:color="auto" w:fill="FFFFFF"/>
            <w:vAlign w:val="center"/>
          </w:tcPr>
          <w:p w14:paraId="5961AE6C" w14:textId="77777777" w:rsidR="003C35E8" w:rsidRPr="00C068F4" w:rsidRDefault="003C35E8" w:rsidP="00527929">
            <w:pPr>
              <w:pStyle w:val="In-tableHeading"/>
              <w:jc w:val="center"/>
              <w:rPr>
                <w:lang w:val="en-AU"/>
              </w:rPr>
            </w:pPr>
            <w:r w:rsidRPr="00C068F4">
              <w:rPr>
                <w:color w:val="000000" w:themeColor="text1"/>
                <w:lang w:val="en-AU"/>
              </w:rPr>
              <w:t>Tixagevimab and cilgavimab</w:t>
            </w:r>
          </w:p>
        </w:tc>
        <w:tc>
          <w:tcPr>
            <w:tcW w:w="1055" w:type="pct"/>
            <w:shd w:val="clear" w:color="auto" w:fill="FFFFFF"/>
            <w:vAlign w:val="center"/>
          </w:tcPr>
          <w:p w14:paraId="136D3B08" w14:textId="77777777" w:rsidR="003C35E8" w:rsidRPr="00C068F4" w:rsidRDefault="003C35E8" w:rsidP="00527929">
            <w:pPr>
              <w:pStyle w:val="In-tableHeading"/>
              <w:jc w:val="center"/>
              <w:rPr>
                <w:lang w:val="en-AU"/>
              </w:rPr>
            </w:pPr>
            <w:r w:rsidRPr="00C068F4">
              <w:rPr>
                <w:lang w:val="en-AU"/>
              </w:rPr>
              <w:t>Placebo</w:t>
            </w:r>
          </w:p>
        </w:tc>
        <w:tc>
          <w:tcPr>
            <w:tcW w:w="937" w:type="pct"/>
            <w:shd w:val="clear" w:color="auto" w:fill="FFFFFF"/>
            <w:vAlign w:val="center"/>
          </w:tcPr>
          <w:p w14:paraId="607E548E" w14:textId="77777777" w:rsidR="003C35E8" w:rsidRPr="00C068F4" w:rsidRDefault="003C35E8" w:rsidP="00527929">
            <w:pPr>
              <w:pStyle w:val="In-tableHeading"/>
              <w:jc w:val="center"/>
              <w:rPr>
                <w:lang w:val="en-AU"/>
              </w:rPr>
            </w:pPr>
            <w:r w:rsidRPr="00C068F4">
              <w:rPr>
                <w:lang w:val="en-AU"/>
              </w:rPr>
              <w:t>Increment</w:t>
            </w:r>
          </w:p>
        </w:tc>
      </w:tr>
      <w:tr w:rsidR="003C35E8" w:rsidRPr="00C068F4" w14:paraId="678EBD1E" w14:textId="77777777" w:rsidTr="00527929">
        <w:trPr>
          <w:cantSplit/>
        </w:trPr>
        <w:tc>
          <w:tcPr>
            <w:tcW w:w="1952" w:type="pct"/>
            <w:shd w:val="clear" w:color="auto" w:fill="auto"/>
          </w:tcPr>
          <w:p w14:paraId="3F266406" w14:textId="77777777" w:rsidR="003C35E8" w:rsidRPr="00C068F4" w:rsidRDefault="003C35E8" w:rsidP="00527929">
            <w:pPr>
              <w:pStyle w:val="TableText0"/>
            </w:pPr>
            <w:r w:rsidRPr="00C068F4">
              <w:t>Drug costs</w:t>
            </w:r>
          </w:p>
        </w:tc>
        <w:tc>
          <w:tcPr>
            <w:tcW w:w="1055" w:type="pct"/>
            <w:shd w:val="clear" w:color="auto" w:fill="auto"/>
            <w:vAlign w:val="center"/>
          </w:tcPr>
          <w:p w14:paraId="3ED80449" w14:textId="56CC563D" w:rsidR="003C35E8" w:rsidRPr="000045C5" w:rsidRDefault="0090667A" w:rsidP="00527929">
            <w:pPr>
              <w:pStyle w:val="TableText0"/>
              <w:jc w:val="center"/>
              <w:rPr>
                <w:vertAlign w:val="superscript"/>
              </w:rPr>
            </w:pPr>
            <w:r w:rsidRPr="0090667A">
              <w:t>$</w:t>
            </w:r>
            <w:r w:rsidR="00D61370" w:rsidRPr="00157ED3">
              <w:rPr>
                <w:rFonts w:hint="eastAsia"/>
                <w:color w:val="000000"/>
                <w:w w:val="15"/>
                <w:shd w:val="solid" w:color="000000" w:fill="000000"/>
                <w:fitText w:val="60" w:id="-1425249525"/>
                <w14:textFill>
                  <w14:solidFill>
                    <w14:srgbClr w14:val="000000">
                      <w14:alpha w14:val="100000"/>
                    </w14:srgbClr>
                  </w14:solidFill>
                </w14:textFill>
              </w:rPr>
              <w:t xml:space="preserve">　</w:t>
            </w:r>
            <w:r w:rsidR="00D61370" w:rsidRPr="00157ED3">
              <w:rPr>
                <w:color w:val="000000"/>
                <w:w w:val="15"/>
                <w:shd w:val="solid" w:color="000000" w:fill="000000"/>
                <w:fitText w:val="60" w:id="-1425249525"/>
                <w14:textFill>
                  <w14:solidFill>
                    <w14:srgbClr w14:val="000000">
                      <w14:alpha w14:val="100000"/>
                    </w14:srgbClr>
                  </w14:solidFill>
                </w14:textFill>
              </w:rPr>
              <w:t>|</w:t>
            </w:r>
            <w:r w:rsidR="00D61370" w:rsidRPr="00157ED3">
              <w:rPr>
                <w:rFonts w:hint="eastAsia"/>
                <w:color w:val="000000"/>
                <w:w w:val="15"/>
                <w:shd w:val="solid" w:color="000000" w:fill="000000"/>
                <w:fitText w:val="60" w:id="-1425249525"/>
                <w14:textFill>
                  <w14:solidFill>
                    <w14:srgbClr w14:val="000000">
                      <w14:alpha w14:val="100000"/>
                    </w14:srgbClr>
                  </w14:solidFill>
                </w14:textFill>
              </w:rPr>
              <w:t xml:space="preserve">　</w:t>
            </w:r>
            <w:r w:rsidR="000045C5">
              <w:rPr>
                <w:vertAlign w:val="superscript"/>
              </w:rPr>
              <w:t>1</w:t>
            </w:r>
          </w:p>
        </w:tc>
        <w:tc>
          <w:tcPr>
            <w:tcW w:w="1055" w:type="pct"/>
            <w:shd w:val="clear" w:color="auto" w:fill="auto"/>
            <w:vAlign w:val="center"/>
          </w:tcPr>
          <w:p w14:paraId="002930A7" w14:textId="721855B7" w:rsidR="003C35E8" w:rsidRPr="000045C5" w:rsidRDefault="0090667A" w:rsidP="00527929">
            <w:pPr>
              <w:pStyle w:val="TableText0"/>
              <w:jc w:val="center"/>
              <w:rPr>
                <w:vertAlign w:val="superscript"/>
              </w:rPr>
            </w:pPr>
            <w:r w:rsidRPr="0090667A">
              <w:t>$</w:t>
            </w:r>
            <w:r w:rsidR="00D61370" w:rsidRPr="00157ED3">
              <w:rPr>
                <w:rFonts w:hint="eastAsia"/>
                <w:color w:val="000000"/>
                <w:w w:val="15"/>
                <w:shd w:val="solid" w:color="000000" w:fill="000000"/>
                <w:fitText w:val="60" w:id="-1425249524"/>
                <w14:textFill>
                  <w14:solidFill>
                    <w14:srgbClr w14:val="000000">
                      <w14:alpha w14:val="100000"/>
                    </w14:srgbClr>
                  </w14:solidFill>
                </w14:textFill>
              </w:rPr>
              <w:t xml:space="preserve">　</w:t>
            </w:r>
            <w:r w:rsidR="00D61370" w:rsidRPr="00157ED3">
              <w:rPr>
                <w:color w:val="000000"/>
                <w:w w:val="15"/>
                <w:shd w:val="solid" w:color="000000" w:fill="000000"/>
                <w:fitText w:val="60" w:id="-1425249524"/>
                <w14:textFill>
                  <w14:solidFill>
                    <w14:srgbClr w14:val="000000">
                      <w14:alpha w14:val="100000"/>
                    </w14:srgbClr>
                  </w14:solidFill>
                </w14:textFill>
              </w:rPr>
              <w:t>|</w:t>
            </w:r>
            <w:r w:rsidR="00D61370" w:rsidRPr="00157ED3">
              <w:rPr>
                <w:rFonts w:hint="eastAsia"/>
                <w:color w:val="000000"/>
                <w:w w:val="15"/>
                <w:shd w:val="solid" w:color="000000" w:fill="000000"/>
                <w:fitText w:val="60" w:id="-1425249524"/>
                <w14:textFill>
                  <w14:solidFill>
                    <w14:srgbClr w14:val="000000">
                      <w14:alpha w14:val="100000"/>
                    </w14:srgbClr>
                  </w14:solidFill>
                </w14:textFill>
              </w:rPr>
              <w:t xml:space="preserve">　</w:t>
            </w:r>
            <w:r w:rsidR="000045C5">
              <w:rPr>
                <w:vertAlign w:val="superscript"/>
              </w:rPr>
              <w:t>1</w:t>
            </w:r>
          </w:p>
        </w:tc>
        <w:tc>
          <w:tcPr>
            <w:tcW w:w="937" w:type="pct"/>
            <w:shd w:val="clear" w:color="auto" w:fill="auto"/>
          </w:tcPr>
          <w:p w14:paraId="473C18C3" w14:textId="4CA5EFEF" w:rsidR="003C35E8" w:rsidRPr="000045C5" w:rsidRDefault="0090667A" w:rsidP="00527929">
            <w:pPr>
              <w:pStyle w:val="TableText0"/>
              <w:jc w:val="center"/>
              <w:rPr>
                <w:vertAlign w:val="superscript"/>
              </w:rPr>
            </w:pPr>
            <w:r w:rsidRPr="0090667A">
              <w:t>$</w:t>
            </w:r>
            <w:r w:rsidR="00D61370" w:rsidRPr="00157ED3">
              <w:rPr>
                <w:color w:val="000000"/>
                <w:spacing w:val="94"/>
                <w:shd w:val="solid" w:color="000000" w:fill="000000"/>
                <w:fitText w:val="180" w:id="-1425249523"/>
                <w14:textFill>
                  <w14:solidFill>
                    <w14:srgbClr w14:val="000000">
                      <w14:alpha w14:val="100000"/>
                    </w14:srgbClr>
                  </w14:solidFill>
                </w14:textFill>
              </w:rPr>
              <w:t>|</w:t>
            </w:r>
            <w:r w:rsidR="00D61370" w:rsidRPr="00157ED3">
              <w:rPr>
                <w:color w:val="000000"/>
                <w:shd w:val="solid" w:color="000000" w:fill="000000"/>
                <w:fitText w:val="180" w:id="-1425249523"/>
                <w14:textFill>
                  <w14:solidFill>
                    <w14:srgbClr w14:val="000000">
                      <w14:alpha w14:val="100000"/>
                    </w14:srgbClr>
                  </w14:solidFill>
                </w14:textFill>
              </w:rPr>
              <w:t>|</w:t>
            </w:r>
            <w:r w:rsidR="000045C5">
              <w:rPr>
                <w:vertAlign w:val="superscript"/>
              </w:rPr>
              <w:t>1</w:t>
            </w:r>
          </w:p>
        </w:tc>
      </w:tr>
      <w:tr w:rsidR="003C35E8" w:rsidRPr="00C068F4" w14:paraId="51FD9905" w14:textId="77777777" w:rsidTr="00527929">
        <w:trPr>
          <w:cantSplit/>
        </w:trPr>
        <w:tc>
          <w:tcPr>
            <w:tcW w:w="1952" w:type="pct"/>
            <w:shd w:val="clear" w:color="auto" w:fill="auto"/>
          </w:tcPr>
          <w:p w14:paraId="69FA0CAD" w14:textId="77777777" w:rsidR="003C35E8" w:rsidRPr="00C068F4" w:rsidRDefault="003C35E8" w:rsidP="00527929">
            <w:pPr>
              <w:pStyle w:val="TableText0"/>
            </w:pPr>
            <w:r w:rsidRPr="00C068F4">
              <w:t>Drug administration costs</w:t>
            </w:r>
          </w:p>
        </w:tc>
        <w:tc>
          <w:tcPr>
            <w:tcW w:w="1055" w:type="pct"/>
            <w:shd w:val="clear" w:color="auto" w:fill="auto"/>
            <w:vAlign w:val="center"/>
          </w:tcPr>
          <w:p w14:paraId="38C52E74" w14:textId="67FE4F59" w:rsidR="003C35E8" w:rsidRPr="000045C5" w:rsidRDefault="0090667A" w:rsidP="00527929">
            <w:pPr>
              <w:pStyle w:val="TableText0"/>
              <w:jc w:val="center"/>
              <w:rPr>
                <w:vertAlign w:val="superscript"/>
              </w:rPr>
            </w:pPr>
            <w:r w:rsidRPr="0090667A">
              <w:t>$</w:t>
            </w:r>
            <w:r w:rsidR="003C35E8" w:rsidRPr="004F580A">
              <w:t>39.10</w:t>
            </w:r>
          </w:p>
        </w:tc>
        <w:tc>
          <w:tcPr>
            <w:tcW w:w="1055" w:type="pct"/>
            <w:shd w:val="clear" w:color="auto" w:fill="auto"/>
            <w:vAlign w:val="center"/>
          </w:tcPr>
          <w:p w14:paraId="7F93D74D" w14:textId="2236FB3A" w:rsidR="003C35E8" w:rsidRPr="000045C5" w:rsidRDefault="0090667A" w:rsidP="00527929">
            <w:pPr>
              <w:pStyle w:val="TableText0"/>
              <w:jc w:val="center"/>
              <w:rPr>
                <w:vertAlign w:val="superscript"/>
              </w:rPr>
            </w:pPr>
            <w:r w:rsidRPr="0090667A">
              <w:t>$</w:t>
            </w:r>
            <w:r w:rsidR="003C35E8" w:rsidRPr="004F580A">
              <w:t>0</w:t>
            </w:r>
          </w:p>
        </w:tc>
        <w:tc>
          <w:tcPr>
            <w:tcW w:w="937" w:type="pct"/>
            <w:shd w:val="clear" w:color="auto" w:fill="auto"/>
          </w:tcPr>
          <w:p w14:paraId="65B7A9E5" w14:textId="32509725" w:rsidR="003C35E8" w:rsidRPr="000045C5" w:rsidRDefault="0090667A" w:rsidP="00527929">
            <w:pPr>
              <w:pStyle w:val="TableText0"/>
              <w:jc w:val="center"/>
              <w:rPr>
                <w:vertAlign w:val="superscript"/>
              </w:rPr>
            </w:pPr>
            <w:r w:rsidRPr="0090667A">
              <w:t>$</w:t>
            </w:r>
            <w:r w:rsidR="003C35E8" w:rsidRPr="004F580A">
              <w:t>39.10</w:t>
            </w:r>
          </w:p>
        </w:tc>
      </w:tr>
      <w:tr w:rsidR="003C35E8" w:rsidRPr="00C068F4" w14:paraId="583F892F" w14:textId="77777777" w:rsidTr="00527929">
        <w:trPr>
          <w:cantSplit/>
        </w:trPr>
        <w:tc>
          <w:tcPr>
            <w:tcW w:w="1952" w:type="pct"/>
            <w:shd w:val="clear" w:color="auto" w:fill="auto"/>
          </w:tcPr>
          <w:p w14:paraId="08E44510" w14:textId="77777777" w:rsidR="003C35E8" w:rsidRPr="00C068F4" w:rsidRDefault="003C35E8" w:rsidP="00527929">
            <w:pPr>
              <w:pStyle w:val="TableText0"/>
            </w:pPr>
            <w:r w:rsidRPr="00C068F4">
              <w:t>Costs of symptom management</w:t>
            </w:r>
          </w:p>
        </w:tc>
        <w:tc>
          <w:tcPr>
            <w:tcW w:w="1055" w:type="pct"/>
            <w:shd w:val="clear" w:color="auto" w:fill="auto"/>
            <w:vAlign w:val="center"/>
          </w:tcPr>
          <w:p w14:paraId="383A2E09" w14:textId="43C5FA5B" w:rsidR="003C35E8" w:rsidRPr="000045C5" w:rsidRDefault="0090667A" w:rsidP="00527929">
            <w:pPr>
              <w:pStyle w:val="TableText0"/>
              <w:jc w:val="center"/>
              <w:rPr>
                <w:vertAlign w:val="superscript"/>
              </w:rPr>
            </w:pPr>
            <w:r w:rsidRPr="0090667A">
              <w:t>$</w:t>
            </w:r>
            <w:r w:rsidR="00D61370" w:rsidRPr="00157ED3">
              <w:rPr>
                <w:rFonts w:hint="eastAsia"/>
                <w:color w:val="000000"/>
                <w:w w:val="15"/>
                <w:shd w:val="solid" w:color="000000" w:fill="000000"/>
                <w:fitText w:val="60" w:id="-1425249522"/>
                <w14:textFill>
                  <w14:solidFill>
                    <w14:srgbClr w14:val="000000">
                      <w14:alpha w14:val="100000"/>
                    </w14:srgbClr>
                  </w14:solidFill>
                </w14:textFill>
              </w:rPr>
              <w:t xml:space="preserve">　</w:t>
            </w:r>
            <w:r w:rsidR="00D61370" w:rsidRPr="00157ED3">
              <w:rPr>
                <w:color w:val="000000"/>
                <w:w w:val="15"/>
                <w:shd w:val="solid" w:color="000000" w:fill="000000"/>
                <w:fitText w:val="60" w:id="-1425249522"/>
                <w14:textFill>
                  <w14:solidFill>
                    <w14:srgbClr w14:val="000000">
                      <w14:alpha w14:val="100000"/>
                    </w14:srgbClr>
                  </w14:solidFill>
                </w14:textFill>
              </w:rPr>
              <w:t>|</w:t>
            </w:r>
            <w:r w:rsidR="00D61370" w:rsidRPr="00157ED3">
              <w:rPr>
                <w:rFonts w:hint="eastAsia"/>
                <w:color w:val="000000"/>
                <w:w w:val="15"/>
                <w:shd w:val="solid" w:color="000000" w:fill="000000"/>
                <w:fitText w:val="60" w:id="-1425249522"/>
                <w14:textFill>
                  <w14:solidFill>
                    <w14:srgbClr w14:val="000000">
                      <w14:alpha w14:val="100000"/>
                    </w14:srgbClr>
                  </w14:solidFill>
                </w14:textFill>
              </w:rPr>
              <w:t xml:space="preserve">　</w:t>
            </w:r>
            <w:r w:rsidR="000045C5">
              <w:rPr>
                <w:vertAlign w:val="superscript"/>
              </w:rPr>
              <w:t>1</w:t>
            </w:r>
          </w:p>
        </w:tc>
        <w:tc>
          <w:tcPr>
            <w:tcW w:w="1055" w:type="pct"/>
            <w:shd w:val="clear" w:color="auto" w:fill="auto"/>
            <w:vAlign w:val="center"/>
          </w:tcPr>
          <w:p w14:paraId="2B04E417" w14:textId="2E7CDF0B" w:rsidR="003C35E8" w:rsidRPr="000045C5" w:rsidRDefault="0090667A" w:rsidP="00527929">
            <w:pPr>
              <w:pStyle w:val="TableText0"/>
              <w:jc w:val="center"/>
              <w:rPr>
                <w:vertAlign w:val="superscript"/>
              </w:rPr>
            </w:pPr>
            <w:r w:rsidRPr="0090667A">
              <w:t>$</w:t>
            </w:r>
            <w:r w:rsidR="00D61370" w:rsidRPr="00157ED3">
              <w:rPr>
                <w:rFonts w:hint="eastAsia"/>
                <w:color w:val="000000"/>
                <w:w w:val="15"/>
                <w:shd w:val="solid" w:color="000000" w:fill="000000"/>
                <w:fitText w:val="60" w:id="-1425249521"/>
                <w14:textFill>
                  <w14:solidFill>
                    <w14:srgbClr w14:val="000000">
                      <w14:alpha w14:val="100000"/>
                    </w14:srgbClr>
                  </w14:solidFill>
                </w14:textFill>
              </w:rPr>
              <w:t xml:space="preserve">　</w:t>
            </w:r>
            <w:r w:rsidR="00D61370" w:rsidRPr="00157ED3">
              <w:rPr>
                <w:color w:val="000000"/>
                <w:w w:val="15"/>
                <w:shd w:val="solid" w:color="000000" w:fill="000000"/>
                <w:fitText w:val="60" w:id="-1425249521"/>
                <w14:textFill>
                  <w14:solidFill>
                    <w14:srgbClr w14:val="000000">
                      <w14:alpha w14:val="100000"/>
                    </w14:srgbClr>
                  </w14:solidFill>
                </w14:textFill>
              </w:rPr>
              <w:t>|</w:t>
            </w:r>
            <w:r w:rsidR="00D61370" w:rsidRPr="00157ED3">
              <w:rPr>
                <w:rFonts w:hint="eastAsia"/>
                <w:color w:val="000000"/>
                <w:w w:val="15"/>
                <w:shd w:val="solid" w:color="000000" w:fill="000000"/>
                <w:fitText w:val="60" w:id="-1425249521"/>
                <w14:textFill>
                  <w14:solidFill>
                    <w14:srgbClr w14:val="000000">
                      <w14:alpha w14:val="100000"/>
                    </w14:srgbClr>
                  </w14:solidFill>
                </w14:textFill>
              </w:rPr>
              <w:t xml:space="preserve">　</w:t>
            </w:r>
            <w:r w:rsidR="000045C5">
              <w:rPr>
                <w:vertAlign w:val="superscript"/>
              </w:rPr>
              <w:t>1</w:t>
            </w:r>
          </w:p>
        </w:tc>
        <w:tc>
          <w:tcPr>
            <w:tcW w:w="937" w:type="pct"/>
            <w:shd w:val="clear" w:color="auto" w:fill="auto"/>
            <w:vAlign w:val="center"/>
          </w:tcPr>
          <w:p w14:paraId="75AF1181" w14:textId="5F91435C" w:rsidR="003C35E8" w:rsidRPr="000045C5" w:rsidRDefault="003C35E8" w:rsidP="00527929">
            <w:pPr>
              <w:pStyle w:val="TableText0"/>
              <w:jc w:val="center"/>
              <w:rPr>
                <w:vertAlign w:val="superscript"/>
              </w:rPr>
            </w:pPr>
            <w:r w:rsidRPr="00C068F4">
              <w:t>- </w:t>
            </w:r>
            <w:r w:rsidR="0090667A" w:rsidRPr="0090667A">
              <w:t>$</w:t>
            </w:r>
            <w:r w:rsidR="00D61370" w:rsidRPr="00157ED3">
              <w:rPr>
                <w:color w:val="000000"/>
                <w:spacing w:val="41"/>
                <w:shd w:val="solid" w:color="000000" w:fill="000000"/>
                <w:fitText w:val="210" w:id="-1425249520"/>
                <w14:textFill>
                  <w14:solidFill>
                    <w14:srgbClr w14:val="000000">
                      <w14:alpha w14:val="100000"/>
                    </w14:srgbClr>
                  </w14:solidFill>
                </w14:textFill>
              </w:rPr>
              <w:t>||</w:t>
            </w:r>
            <w:r w:rsidR="00D61370" w:rsidRPr="00157ED3">
              <w:rPr>
                <w:color w:val="000000"/>
                <w:spacing w:val="1"/>
                <w:shd w:val="solid" w:color="000000" w:fill="000000"/>
                <w:fitText w:val="210" w:id="-1425249520"/>
                <w14:textFill>
                  <w14:solidFill>
                    <w14:srgbClr w14:val="000000">
                      <w14:alpha w14:val="100000"/>
                    </w14:srgbClr>
                  </w14:solidFill>
                </w14:textFill>
              </w:rPr>
              <w:t>|</w:t>
            </w:r>
            <w:r w:rsidR="000045C5">
              <w:rPr>
                <w:vertAlign w:val="superscript"/>
              </w:rPr>
              <w:t>1</w:t>
            </w:r>
          </w:p>
        </w:tc>
      </w:tr>
      <w:tr w:rsidR="003C35E8" w:rsidRPr="00C068F4" w14:paraId="576E5D97" w14:textId="77777777" w:rsidTr="00527929">
        <w:trPr>
          <w:cantSplit/>
        </w:trPr>
        <w:tc>
          <w:tcPr>
            <w:tcW w:w="1952" w:type="pct"/>
            <w:shd w:val="clear" w:color="auto" w:fill="auto"/>
          </w:tcPr>
          <w:p w14:paraId="187EABB7" w14:textId="77777777" w:rsidR="003C35E8" w:rsidRPr="00C068F4" w:rsidRDefault="003C35E8" w:rsidP="00527929">
            <w:pPr>
              <w:pStyle w:val="TableText0"/>
            </w:pPr>
            <w:r w:rsidRPr="00C068F4">
              <w:t>Costs of hospitalisation (excluding ICU care)</w:t>
            </w:r>
          </w:p>
        </w:tc>
        <w:tc>
          <w:tcPr>
            <w:tcW w:w="1055" w:type="pct"/>
            <w:shd w:val="clear" w:color="auto" w:fill="auto"/>
            <w:vAlign w:val="center"/>
          </w:tcPr>
          <w:p w14:paraId="4E8E4493" w14:textId="0C812336" w:rsidR="003C35E8" w:rsidRPr="000045C5" w:rsidRDefault="0090667A" w:rsidP="00527929">
            <w:pPr>
              <w:pStyle w:val="TableText0"/>
              <w:jc w:val="center"/>
              <w:rPr>
                <w:vertAlign w:val="superscript"/>
              </w:rPr>
            </w:pPr>
            <w:r w:rsidRPr="0090667A">
              <w:t>$</w:t>
            </w:r>
            <w:r w:rsidR="00D61370" w:rsidRPr="00157ED3">
              <w:rPr>
                <w:rFonts w:hint="eastAsia"/>
                <w:color w:val="000000"/>
                <w:w w:val="15"/>
                <w:shd w:val="solid" w:color="000000" w:fill="000000"/>
                <w:fitText w:val="60" w:id="-1425249536"/>
                <w14:textFill>
                  <w14:solidFill>
                    <w14:srgbClr w14:val="000000">
                      <w14:alpha w14:val="100000"/>
                    </w14:srgbClr>
                  </w14:solidFill>
                </w14:textFill>
              </w:rPr>
              <w:t xml:space="preserve">　</w:t>
            </w:r>
            <w:r w:rsidR="00D61370" w:rsidRPr="00157ED3">
              <w:rPr>
                <w:color w:val="000000"/>
                <w:w w:val="15"/>
                <w:shd w:val="solid" w:color="000000" w:fill="000000"/>
                <w:fitText w:val="60" w:id="-1425249536"/>
                <w14:textFill>
                  <w14:solidFill>
                    <w14:srgbClr w14:val="000000">
                      <w14:alpha w14:val="100000"/>
                    </w14:srgbClr>
                  </w14:solidFill>
                </w14:textFill>
              </w:rPr>
              <w:t>|</w:t>
            </w:r>
            <w:r w:rsidR="00D61370" w:rsidRPr="00157ED3">
              <w:rPr>
                <w:rFonts w:hint="eastAsia"/>
                <w:color w:val="000000"/>
                <w:w w:val="15"/>
                <w:shd w:val="solid" w:color="000000" w:fill="000000"/>
                <w:fitText w:val="60" w:id="-1425249536"/>
                <w14:textFill>
                  <w14:solidFill>
                    <w14:srgbClr w14:val="000000">
                      <w14:alpha w14:val="100000"/>
                    </w14:srgbClr>
                  </w14:solidFill>
                </w14:textFill>
              </w:rPr>
              <w:t xml:space="preserve">　</w:t>
            </w:r>
            <w:r w:rsidR="000045C5">
              <w:rPr>
                <w:vertAlign w:val="superscript"/>
              </w:rPr>
              <w:t>1</w:t>
            </w:r>
          </w:p>
        </w:tc>
        <w:tc>
          <w:tcPr>
            <w:tcW w:w="1055" w:type="pct"/>
            <w:shd w:val="clear" w:color="auto" w:fill="auto"/>
            <w:vAlign w:val="center"/>
          </w:tcPr>
          <w:p w14:paraId="42E9A4FA" w14:textId="6ADC3BD6" w:rsidR="003C35E8" w:rsidRPr="000045C5" w:rsidRDefault="0090667A" w:rsidP="00527929">
            <w:pPr>
              <w:pStyle w:val="TableText0"/>
              <w:jc w:val="center"/>
              <w:rPr>
                <w:vertAlign w:val="superscript"/>
              </w:rPr>
            </w:pPr>
            <w:r w:rsidRPr="0090667A">
              <w:t>$</w:t>
            </w:r>
            <w:r w:rsidR="00D61370" w:rsidRPr="00157ED3">
              <w:rPr>
                <w:rFonts w:hint="eastAsia"/>
                <w:color w:val="000000"/>
                <w:w w:val="15"/>
                <w:shd w:val="solid" w:color="000000" w:fill="000000"/>
                <w:fitText w:val="60" w:id="-1425249535"/>
                <w14:textFill>
                  <w14:solidFill>
                    <w14:srgbClr w14:val="000000">
                      <w14:alpha w14:val="100000"/>
                    </w14:srgbClr>
                  </w14:solidFill>
                </w14:textFill>
              </w:rPr>
              <w:t xml:space="preserve">　</w:t>
            </w:r>
            <w:r w:rsidR="00D61370" w:rsidRPr="00157ED3">
              <w:rPr>
                <w:color w:val="000000"/>
                <w:w w:val="15"/>
                <w:shd w:val="solid" w:color="000000" w:fill="000000"/>
                <w:fitText w:val="60" w:id="-1425249535"/>
                <w14:textFill>
                  <w14:solidFill>
                    <w14:srgbClr w14:val="000000">
                      <w14:alpha w14:val="100000"/>
                    </w14:srgbClr>
                  </w14:solidFill>
                </w14:textFill>
              </w:rPr>
              <w:t>|</w:t>
            </w:r>
            <w:r w:rsidR="00D61370" w:rsidRPr="00157ED3">
              <w:rPr>
                <w:rFonts w:hint="eastAsia"/>
                <w:color w:val="000000"/>
                <w:w w:val="15"/>
                <w:shd w:val="solid" w:color="000000" w:fill="000000"/>
                <w:fitText w:val="60" w:id="-1425249535"/>
                <w14:textFill>
                  <w14:solidFill>
                    <w14:srgbClr w14:val="000000">
                      <w14:alpha w14:val="100000"/>
                    </w14:srgbClr>
                  </w14:solidFill>
                </w14:textFill>
              </w:rPr>
              <w:t xml:space="preserve">　</w:t>
            </w:r>
            <w:r w:rsidR="000045C5">
              <w:rPr>
                <w:vertAlign w:val="superscript"/>
              </w:rPr>
              <w:t>1</w:t>
            </w:r>
          </w:p>
        </w:tc>
        <w:tc>
          <w:tcPr>
            <w:tcW w:w="937" w:type="pct"/>
            <w:shd w:val="clear" w:color="auto" w:fill="auto"/>
            <w:vAlign w:val="center"/>
          </w:tcPr>
          <w:p w14:paraId="186AE20A" w14:textId="25814A9B" w:rsidR="003C35E8" w:rsidRPr="000045C5" w:rsidRDefault="003C35E8" w:rsidP="00527929">
            <w:pPr>
              <w:pStyle w:val="TableText0"/>
              <w:jc w:val="center"/>
              <w:rPr>
                <w:vertAlign w:val="superscript"/>
              </w:rPr>
            </w:pPr>
            <w:r w:rsidRPr="00C068F4">
              <w:t>- </w:t>
            </w:r>
            <w:r w:rsidR="0090667A" w:rsidRPr="0090667A">
              <w:t>$</w:t>
            </w:r>
            <w:r w:rsidR="00D61370" w:rsidRPr="00157ED3">
              <w:rPr>
                <w:color w:val="000000"/>
                <w:spacing w:val="41"/>
                <w:shd w:val="solid" w:color="000000" w:fill="000000"/>
                <w:fitText w:val="210" w:id="-1425249534"/>
                <w14:textFill>
                  <w14:solidFill>
                    <w14:srgbClr w14:val="000000">
                      <w14:alpha w14:val="100000"/>
                    </w14:srgbClr>
                  </w14:solidFill>
                </w14:textFill>
              </w:rPr>
              <w:t>||</w:t>
            </w:r>
            <w:r w:rsidR="00D61370" w:rsidRPr="00157ED3">
              <w:rPr>
                <w:color w:val="000000"/>
                <w:spacing w:val="1"/>
                <w:shd w:val="solid" w:color="000000" w:fill="000000"/>
                <w:fitText w:val="210" w:id="-1425249534"/>
                <w14:textFill>
                  <w14:solidFill>
                    <w14:srgbClr w14:val="000000">
                      <w14:alpha w14:val="100000"/>
                    </w14:srgbClr>
                  </w14:solidFill>
                </w14:textFill>
              </w:rPr>
              <w:t>|</w:t>
            </w:r>
            <w:r w:rsidR="000045C5">
              <w:rPr>
                <w:vertAlign w:val="superscript"/>
              </w:rPr>
              <w:t>1</w:t>
            </w:r>
          </w:p>
        </w:tc>
      </w:tr>
      <w:tr w:rsidR="003C35E8" w:rsidRPr="00C068F4" w14:paraId="0C03676C" w14:textId="77777777" w:rsidTr="00527929">
        <w:trPr>
          <w:cantSplit/>
        </w:trPr>
        <w:tc>
          <w:tcPr>
            <w:tcW w:w="1952" w:type="pct"/>
            <w:shd w:val="clear" w:color="auto" w:fill="auto"/>
          </w:tcPr>
          <w:p w14:paraId="40096064" w14:textId="77777777" w:rsidR="003C35E8" w:rsidRPr="00C068F4" w:rsidRDefault="003C35E8" w:rsidP="00527929">
            <w:pPr>
              <w:pStyle w:val="TableText0"/>
            </w:pPr>
            <w:r w:rsidRPr="00C068F4">
              <w:t>Costs of ICU care</w:t>
            </w:r>
          </w:p>
        </w:tc>
        <w:tc>
          <w:tcPr>
            <w:tcW w:w="1055" w:type="pct"/>
            <w:shd w:val="clear" w:color="auto" w:fill="auto"/>
            <w:vAlign w:val="center"/>
          </w:tcPr>
          <w:p w14:paraId="42C3C3CE" w14:textId="04CD0E53" w:rsidR="003C35E8" w:rsidRPr="000045C5" w:rsidRDefault="0090667A" w:rsidP="00527929">
            <w:pPr>
              <w:pStyle w:val="TableText0"/>
              <w:jc w:val="center"/>
              <w:rPr>
                <w:vertAlign w:val="superscript"/>
              </w:rPr>
            </w:pPr>
            <w:r w:rsidRPr="0090667A">
              <w:t>$</w:t>
            </w:r>
            <w:r w:rsidR="00D61370" w:rsidRPr="00157ED3">
              <w:rPr>
                <w:rFonts w:hint="eastAsia"/>
                <w:color w:val="000000"/>
                <w:w w:val="15"/>
                <w:shd w:val="solid" w:color="000000" w:fill="000000"/>
                <w:fitText w:val="60" w:id="-1425249533"/>
                <w14:textFill>
                  <w14:solidFill>
                    <w14:srgbClr w14:val="000000">
                      <w14:alpha w14:val="100000"/>
                    </w14:srgbClr>
                  </w14:solidFill>
                </w14:textFill>
              </w:rPr>
              <w:t xml:space="preserve">　</w:t>
            </w:r>
            <w:r w:rsidR="00D61370" w:rsidRPr="00157ED3">
              <w:rPr>
                <w:color w:val="000000"/>
                <w:w w:val="15"/>
                <w:shd w:val="solid" w:color="000000" w:fill="000000"/>
                <w:fitText w:val="60" w:id="-1425249533"/>
                <w14:textFill>
                  <w14:solidFill>
                    <w14:srgbClr w14:val="000000">
                      <w14:alpha w14:val="100000"/>
                    </w14:srgbClr>
                  </w14:solidFill>
                </w14:textFill>
              </w:rPr>
              <w:t>|</w:t>
            </w:r>
            <w:r w:rsidR="00D61370" w:rsidRPr="00157ED3">
              <w:rPr>
                <w:rFonts w:hint="eastAsia"/>
                <w:color w:val="000000"/>
                <w:w w:val="15"/>
                <w:shd w:val="solid" w:color="000000" w:fill="000000"/>
                <w:fitText w:val="60" w:id="-1425249533"/>
                <w14:textFill>
                  <w14:solidFill>
                    <w14:srgbClr w14:val="000000">
                      <w14:alpha w14:val="100000"/>
                    </w14:srgbClr>
                  </w14:solidFill>
                </w14:textFill>
              </w:rPr>
              <w:t xml:space="preserve">　</w:t>
            </w:r>
            <w:r w:rsidR="000045C5">
              <w:rPr>
                <w:vertAlign w:val="superscript"/>
              </w:rPr>
              <w:t>1</w:t>
            </w:r>
          </w:p>
        </w:tc>
        <w:tc>
          <w:tcPr>
            <w:tcW w:w="1055" w:type="pct"/>
            <w:shd w:val="clear" w:color="auto" w:fill="auto"/>
            <w:vAlign w:val="center"/>
          </w:tcPr>
          <w:p w14:paraId="6B3B89C1" w14:textId="28422C06" w:rsidR="003C35E8" w:rsidRPr="000045C5" w:rsidRDefault="0090667A" w:rsidP="00527929">
            <w:pPr>
              <w:pStyle w:val="TableText0"/>
              <w:jc w:val="center"/>
              <w:rPr>
                <w:vertAlign w:val="superscript"/>
              </w:rPr>
            </w:pPr>
            <w:r w:rsidRPr="0090667A">
              <w:t>$</w:t>
            </w:r>
            <w:r w:rsidR="00D61370" w:rsidRPr="00157ED3">
              <w:rPr>
                <w:rFonts w:hint="eastAsia"/>
                <w:color w:val="000000"/>
                <w:w w:val="15"/>
                <w:shd w:val="solid" w:color="000000" w:fill="000000"/>
                <w:fitText w:val="60" w:id="-1425249532"/>
                <w14:textFill>
                  <w14:solidFill>
                    <w14:srgbClr w14:val="000000">
                      <w14:alpha w14:val="100000"/>
                    </w14:srgbClr>
                  </w14:solidFill>
                </w14:textFill>
              </w:rPr>
              <w:t xml:space="preserve">　</w:t>
            </w:r>
            <w:r w:rsidR="00D61370" w:rsidRPr="00157ED3">
              <w:rPr>
                <w:color w:val="000000"/>
                <w:w w:val="15"/>
                <w:shd w:val="solid" w:color="000000" w:fill="000000"/>
                <w:fitText w:val="60" w:id="-1425249532"/>
                <w14:textFill>
                  <w14:solidFill>
                    <w14:srgbClr w14:val="000000">
                      <w14:alpha w14:val="100000"/>
                    </w14:srgbClr>
                  </w14:solidFill>
                </w14:textFill>
              </w:rPr>
              <w:t>|</w:t>
            </w:r>
            <w:r w:rsidR="00D61370" w:rsidRPr="00157ED3">
              <w:rPr>
                <w:rFonts w:hint="eastAsia"/>
                <w:color w:val="000000"/>
                <w:w w:val="15"/>
                <w:shd w:val="solid" w:color="000000" w:fill="000000"/>
                <w:fitText w:val="60" w:id="-1425249532"/>
                <w14:textFill>
                  <w14:solidFill>
                    <w14:srgbClr w14:val="000000">
                      <w14:alpha w14:val="100000"/>
                    </w14:srgbClr>
                  </w14:solidFill>
                </w14:textFill>
              </w:rPr>
              <w:t xml:space="preserve">　</w:t>
            </w:r>
            <w:r w:rsidR="000045C5">
              <w:rPr>
                <w:vertAlign w:val="superscript"/>
              </w:rPr>
              <w:t>1</w:t>
            </w:r>
          </w:p>
        </w:tc>
        <w:tc>
          <w:tcPr>
            <w:tcW w:w="937" w:type="pct"/>
            <w:shd w:val="clear" w:color="auto" w:fill="auto"/>
            <w:vAlign w:val="center"/>
          </w:tcPr>
          <w:p w14:paraId="66209BBC" w14:textId="5F473E13" w:rsidR="003C35E8" w:rsidRPr="000045C5" w:rsidRDefault="003C35E8" w:rsidP="00527929">
            <w:pPr>
              <w:pStyle w:val="TableText0"/>
              <w:jc w:val="center"/>
              <w:rPr>
                <w:vertAlign w:val="superscript"/>
              </w:rPr>
            </w:pPr>
            <w:r w:rsidRPr="00C068F4">
              <w:t>- </w:t>
            </w:r>
            <w:r w:rsidR="0090667A" w:rsidRPr="0090667A">
              <w:t>$</w:t>
            </w:r>
            <w:r w:rsidR="00D61370" w:rsidRPr="00157ED3">
              <w:rPr>
                <w:color w:val="000000"/>
                <w:spacing w:val="41"/>
                <w:shd w:val="solid" w:color="000000" w:fill="000000"/>
                <w:fitText w:val="210" w:id="-1425249531"/>
                <w14:textFill>
                  <w14:solidFill>
                    <w14:srgbClr w14:val="000000">
                      <w14:alpha w14:val="100000"/>
                    </w14:srgbClr>
                  </w14:solidFill>
                </w14:textFill>
              </w:rPr>
              <w:t>||</w:t>
            </w:r>
            <w:r w:rsidR="00D61370" w:rsidRPr="00157ED3">
              <w:rPr>
                <w:color w:val="000000"/>
                <w:spacing w:val="1"/>
                <w:shd w:val="solid" w:color="000000" w:fill="000000"/>
                <w:fitText w:val="210" w:id="-1425249531"/>
                <w14:textFill>
                  <w14:solidFill>
                    <w14:srgbClr w14:val="000000">
                      <w14:alpha w14:val="100000"/>
                    </w14:srgbClr>
                  </w14:solidFill>
                </w14:textFill>
              </w:rPr>
              <w:t>|</w:t>
            </w:r>
            <w:r w:rsidR="000045C5">
              <w:rPr>
                <w:vertAlign w:val="superscript"/>
              </w:rPr>
              <w:t>1</w:t>
            </w:r>
          </w:p>
        </w:tc>
      </w:tr>
      <w:tr w:rsidR="003C35E8" w:rsidRPr="00C068F4" w14:paraId="1F7FA979" w14:textId="77777777" w:rsidTr="00527929">
        <w:trPr>
          <w:cantSplit/>
        </w:trPr>
        <w:tc>
          <w:tcPr>
            <w:tcW w:w="1952" w:type="pct"/>
            <w:shd w:val="clear" w:color="auto" w:fill="auto"/>
          </w:tcPr>
          <w:p w14:paraId="79A351D4" w14:textId="77777777" w:rsidR="003C35E8" w:rsidRPr="00C068F4" w:rsidRDefault="003C35E8" w:rsidP="00527929">
            <w:pPr>
              <w:pStyle w:val="TableText0"/>
              <w:jc w:val="right"/>
              <w:rPr>
                <w:b/>
                <w:bCs w:val="0"/>
              </w:rPr>
            </w:pPr>
            <w:r w:rsidRPr="00C068F4">
              <w:rPr>
                <w:b/>
                <w:bCs w:val="0"/>
              </w:rPr>
              <w:t>Total costs</w:t>
            </w:r>
          </w:p>
        </w:tc>
        <w:tc>
          <w:tcPr>
            <w:tcW w:w="1055" w:type="pct"/>
            <w:shd w:val="clear" w:color="auto" w:fill="auto"/>
            <w:vAlign w:val="center"/>
          </w:tcPr>
          <w:p w14:paraId="098729AE" w14:textId="58C8D6FB" w:rsidR="003C35E8" w:rsidRPr="000045C5" w:rsidRDefault="0090667A" w:rsidP="00527929">
            <w:pPr>
              <w:pStyle w:val="TableText0"/>
              <w:jc w:val="center"/>
              <w:rPr>
                <w:bCs w:val="0"/>
                <w:vertAlign w:val="superscript"/>
              </w:rPr>
            </w:pPr>
            <w:r w:rsidRPr="0090667A">
              <w:rPr>
                <w:b/>
                <w:bCs w:val="0"/>
              </w:rPr>
              <w:t>$</w:t>
            </w:r>
            <w:r w:rsidR="00D61370" w:rsidRPr="00157ED3">
              <w:rPr>
                <w:rFonts w:hint="eastAsia"/>
                <w:b/>
                <w:bCs w:val="0"/>
                <w:color w:val="000000"/>
                <w:w w:val="15"/>
                <w:shd w:val="solid" w:color="000000" w:fill="000000"/>
                <w:fitText w:val="30" w:id="-1425249280"/>
                <w14:textFill>
                  <w14:solidFill>
                    <w14:srgbClr w14:val="000000">
                      <w14:alpha w14:val="100000"/>
                    </w14:srgbClr>
                  </w14:solidFill>
                </w14:textFill>
              </w:rPr>
              <w:t xml:space="preserve">　</w:t>
            </w:r>
            <w:r w:rsidR="00D61370" w:rsidRPr="00157ED3">
              <w:rPr>
                <w:b/>
                <w:bCs w:val="0"/>
                <w:color w:val="000000"/>
                <w:w w:val="15"/>
                <w:shd w:val="solid" w:color="000000" w:fill="000000"/>
                <w:fitText w:val="30" w:id="-1425249280"/>
                <w14:textFill>
                  <w14:solidFill>
                    <w14:srgbClr w14:val="000000">
                      <w14:alpha w14:val="100000"/>
                    </w14:srgbClr>
                  </w14:solidFill>
                </w14:textFill>
              </w:rPr>
              <w:t>|</w:t>
            </w:r>
            <w:r w:rsidR="00D61370" w:rsidRPr="00157ED3">
              <w:rPr>
                <w:rFonts w:hint="eastAsia"/>
                <w:b/>
                <w:bCs w:val="0"/>
                <w:color w:val="000000"/>
                <w:spacing w:val="-36"/>
                <w:w w:val="15"/>
                <w:shd w:val="solid" w:color="000000" w:fill="000000"/>
                <w:fitText w:val="30" w:id="-1425249280"/>
                <w14:textFill>
                  <w14:solidFill>
                    <w14:srgbClr w14:val="000000">
                      <w14:alpha w14:val="100000"/>
                    </w14:srgbClr>
                  </w14:solidFill>
                </w14:textFill>
              </w:rPr>
              <w:t xml:space="preserve">　</w:t>
            </w:r>
            <w:r w:rsidR="000045C5">
              <w:rPr>
                <w:bCs w:val="0"/>
                <w:vertAlign w:val="superscript"/>
              </w:rPr>
              <w:t>1</w:t>
            </w:r>
          </w:p>
        </w:tc>
        <w:tc>
          <w:tcPr>
            <w:tcW w:w="1055" w:type="pct"/>
            <w:shd w:val="clear" w:color="auto" w:fill="auto"/>
            <w:vAlign w:val="center"/>
          </w:tcPr>
          <w:p w14:paraId="2156AED6" w14:textId="181E557D" w:rsidR="003C35E8" w:rsidRPr="000045C5" w:rsidRDefault="0090667A" w:rsidP="00527929">
            <w:pPr>
              <w:pStyle w:val="TableText0"/>
              <w:jc w:val="center"/>
              <w:rPr>
                <w:bCs w:val="0"/>
                <w:vertAlign w:val="superscript"/>
              </w:rPr>
            </w:pPr>
            <w:r w:rsidRPr="0090667A">
              <w:rPr>
                <w:b/>
                <w:bCs w:val="0"/>
              </w:rPr>
              <w:t>$</w:t>
            </w:r>
            <w:r w:rsidR="00D61370" w:rsidRPr="00157ED3">
              <w:rPr>
                <w:rFonts w:hint="eastAsia"/>
                <w:b/>
                <w:bCs w:val="0"/>
                <w:color w:val="000000"/>
                <w:w w:val="15"/>
                <w:shd w:val="solid" w:color="000000" w:fill="000000"/>
                <w:fitText w:val="30" w:id="-1425249279"/>
                <w14:textFill>
                  <w14:solidFill>
                    <w14:srgbClr w14:val="000000">
                      <w14:alpha w14:val="100000"/>
                    </w14:srgbClr>
                  </w14:solidFill>
                </w14:textFill>
              </w:rPr>
              <w:t xml:space="preserve">　</w:t>
            </w:r>
            <w:r w:rsidR="00D61370" w:rsidRPr="00157ED3">
              <w:rPr>
                <w:b/>
                <w:bCs w:val="0"/>
                <w:color w:val="000000"/>
                <w:w w:val="15"/>
                <w:shd w:val="solid" w:color="000000" w:fill="000000"/>
                <w:fitText w:val="30" w:id="-1425249279"/>
                <w14:textFill>
                  <w14:solidFill>
                    <w14:srgbClr w14:val="000000">
                      <w14:alpha w14:val="100000"/>
                    </w14:srgbClr>
                  </w14:solidFill>
                </w14:textFill>
              </w:rPr>
              <w:t>|</w:t>
            </w:r>
            <w:r w:rsidR="00D61370" w:rsidRPr="00157ED3">
              <w:rPr>
                <w:rFonts w:hint="eastAsia"/>
                <w:b/>
                <w:bCs w:val="0"/>
                <w:color w:val="000000"/>
                <w:spacing w:val="-36"/>
                <w:w w:val="15"/>
                <w:shd w:val="solid" w:color="000000" w:fill="000000"/>
                <w:fitText w:val="30" w:id="-1425249279"/>
                <w14:textFill>
                  <w14:solidFill>
                    <w14:srgbClr w14:val="000000">
                      <w14:alpha w14:val="100000"/>
                    </w14:srgbClr>
                  </w14:solidFill>
                </w14:textFill>
              </w:rPr>
              <w:t xml:space="preserve">　</w:t>
            </w:r>
            <w:r w:rsidR="000045C5">
              <w:rPr>
                <w:bCs w:val="0"/>
                <w:vertAlign w:val="superscript"/>
              </w:rPr>
              <w:t>1</w:t>
            </w:r>
          </w:p>
        </w:tc>
        <w:tc>
          <w:tcPr>
            <w:tcW w:w="937" w:type="pct"/>
            <w:shd w:val="clear" w:color="auto" w:fill="auto"/>
            <w:vAlign w:val="center"/>
          </w:tcPr>
          <w:p w14:paraId="157E0B2E" w14:textId="20A9BA7E" w:rsidR="003C35E8" w:rsidRPr="000045C5" w:rsidRDefault="0090667A" w:rsidP="00527929">
            <w:pPr>
              <w:pStyle w:val="TableText0"/>
              <w:jc w:val="center"/>
              <w:rPr>
                <w:vertAlign w:val="superscript"/>
              </w:rPr>
            </w:pPr>
            <w:r w:rsidRPr="0090667A">
              <w:rPr>
                <w:b/>
                <w:bCs w:val="0"/>
              </w:rPr>
              <w:t>$</w:t>
            </w:r>
            <w:r w:rsidR="00D61370" w:rsidRPr="00157ED3">
              <w:rPr>
                <w:rFonts w:hint="eastAsia"/>
                <w:b/>
                <w:bCs w:val="0"/>
                <w:color w:val="000000"/>
                <w:w w:val="30"/>
                <w:shd w:val="solid" w:color="000000" w:fill="000000"/>
                <w:fitText w:val="135" w:id="-1425249278"/>
                <w14:textFill>
                  <w14:solidFill>
                    <w14:srgbClr w14:val="000000">
                      <w14:alpha w14:val="100000"/>
                    </w14:srgbClr>
                  </w14:solidFill>
                </w14:textFill>
              </w:rPr>
              <w:t xml:space="preserve">　</w:t>
            </w:r>
            <w:r w:rsidR="00D61370" w:rsidRPr="00157ED3">
              <w:rPr>
                <w:b/>
                <w:bCs w:val="0"/>
                <w:color w:val="000000"/>
                <w:w w:val="30"/>
                <w:shd w:val="solid" w:color="000000" w:fill="000000"/>
                <w:fitText w:val="135" w:id="-1425249278"/>
                <w14:textFill>
                  <w14:solidFill>
                    <w14:srgbClr w14:val="000000">
                      <w14:alpha w14:val="100000"/>
                    </w14:srgbClr>
                  </w14:solidFill>
                </w14:textFill>
              </w:rPr>
              <w:t>|</w:t>
            </w:r>
            <w:r w:rsidR="00D61370" w:rsidRPr="00157ED3">
              <w:rPr>
                <w:rFonts w:hint="eastAsia"/>
                <w:b/>
                <w:bCs w:val="0"/>
                <w:color w:val="000000"/>
                <w:w w:val="30"/>
                <w:shd w:val="solid" w:color="000000" w:fill="000000"/>
                <w:fitText w:val="135" w:id="-1425249278"/>
                <w14:textFill>
                  <w14:solidFill>
                    <w14:srgbClr w14:val="000000">
                      <w14:alpha w14:val="100000"/>
                    </w14:srgbClr>
                  </w14:solidFill>
                </w14:textFill>
              </w:rPr>
              <w:t xml:space="preserve">　</w:t>
            </w:r>
            <w:r w:rsidR="000045C5">
              <w:rPr>
                <w:vertAlign w:val="superscript"/>
              </w:rPr>
              <w:t>1</w:t>
            </w:r>
          </w:p>
        </w:tc>
      </w:tr>
      <w:tr w:rsidR="003C35E8" w:rsidRPr="00C068F4" w14:paraId="1BE05B82" w14:textId="77777777" w:rsidTr="00527929">
        <w:trPr>
          <w:cantSplit/>
        </w:trPr>
        <w:tc>
          <w:tcPr>
            <w:tcW w:w="1952" w:type="pct"/>
            <w:shd w:val="clear" w:color="auto" w:fill="auto"/>
          </w:tcPr>
          <w:p w14:paraId="7F953E8D" w14:textId="77777777" w:rsidR="003C35E8" w:rsidRPr="00C068F4" w:rsidRDefault="003C35E8" w:rsidP="00527929">
            <w:pPr>
              <w:pStyle w:val="TableText0"/>
            </w:pPr>
            <w:r w:rsidRPr="00C068F4">
              <w:t>QALYs (discounted)</w:t>
            </w:r>
          </w:p>
        </w:tc>
        <w:tc>
          <w:tcPr>
            <w:tcW w:w="1055" w:type="pct"/>
            <w:shd w:val="clear" w:color="auto" w:fill="auto"/>
            <w:vAlign w:val="center"/>
          </w:tcPr>
          <w:p w14:paraId="1B8D9EE3" w14:textId="77777777" w:rsidR="003C35E8" w:rsidRPr="00C068F4" w:rsidRDefault="003C35E8" w:rsidP="00527929">
            <w:pPr>
              <w:pStyle w:val="TableText0"/>
              <w:jc w:val="center"/>
            </w:pPr>
            <w:r w:rsidRPr="00C068F4">
              <w:t>0.4295</w:t>
            </w:r>
          </w:p>
        </w:tc>
        <w:tc>
          <w:tcPr>
            <w:tcW w:w="1055" w:type="pct"/>
            <w:shd w:val="clear" w:color="auto" w:fill="auto"/>
            <w:vAlign w:val="center"/>
          </w:tcPr>
          <w:p w14:paraId="23152117" w14:textId="77777777" w:rsidR="003C35E8" w:rsidRPr="00C068F4" w:rsidRDefault="003C35E8" w:rsidP="00527929">
            <w:pPr>
              <w:pStyle w:val="TableText0"/>
              <w:jc w:val="center"/>
            </w:pPr>
            <w:r w:rsidRPr="00C068F4">
              <w:t>0.4081</w:t>
            </w:r>
          </w:p>
        </w:tc>
        <w:tc>
          <w:tcPr>
            <w:tcW w:w="937" w:type="pct"/>
            <w:shd w:val="clear" w:color="auto" w:fill="auto"/>
          </w:tcPr>
          <w:p w14:paraId="7CA332CA" w14:textId="77777777" w:rsidR="003C35E8" w:rsidRPr="00C068F4" w:rsidRDefault="003C35E8" w:rsidP="00527929">
            <w:pPr>
              <w:pStyle w:val="TableText0"/>
              <w:jc w:val="center"/>
            </w:pPr>
            <w:r w:rsidRPr="00C068F4">
              <w:t>0.0214</w:t>
            </w:r>
          </w:p>
        </w:tc>
      </w:tr>
      <w:tr w:rsidR="003C35E8" w:rsidRPr="00C068F4" w14:paraId="33C10D15" w14:textId="77777777" w:rsidTr="00527929">
        <w:trPr>
          <w:cantSplit/>
        </w:trPr>
        <w:tc>
          <w:tcPr>
            <w:tcW w:w="4063" w:type="pct"/>
            <w:gridSpan w:val="3"/>
            <w:tcBorders>
              <w:right w:val="single" w:sz="4" w:space="0" w:color="000000"/>
            </w:tcBorders>
            <w:shd w:val="clear" w:color="auto" w:fill="auto"/>
          </w:tcPr>
          <w:p w14:paraId="092341E7" w14:textId="77777777" w:rsidR="003C35E8" w:rsidRPr="00C068F4" w:rsidRDefault="003C35E8" w:rsidP="00527929">
            <w:pPr>
              <w:pStyle w:val="In-tableHeading"/>
              <w:rPr>
                <w:lang w:val="en-AU"/>
              </w:rPr>
            </w:pPr>
            <w:r w:rsidRPr="00C068F4">
              <w:rPr>
                <w:lang w:val="en-AU"/>
              </w:rPr>
              <w:t>Incremental cost per discounted QALY gained</w:t>
            </w:r>
          </w:p>
        </w:tc>
        <w:tc>
          <w:tcPr>
            <w:tcW w:w="937" w:type="pct"/>
            <w:tcBorders>
              <w:left w:val="single" w:sz="4" w:space="0" w:color="000000"/>
            </w:tcBorders>
            <w:shd w:val="clear" w:color="auto" w:fill="auto"/>
          </w:tcPr>
          <w:p w14:paraId="28A3ECD2" w14:textId="38FC1FE9" w:rsidR="003C35E8" w:rsidRPr="000045C5" w:rsidRDefault="0090667A" w:rsidP="00527929">
            <w:pPr>
              <w:keepNext/>
              <w:keepLines/>
              <w:jc w:val="center"/>
              <w:rPr>
                <w:rFonts w:ascii="Arial Narrow" w:eastAsia="Calibri" w:hAnsi="Arial Narrow"/>
                <w:bCs/>
                <w:sz w:val="20"/>
                <w:szCs w:val="20"/>
                <w:vertAlign w:val="superscript"/>
              </w:rPr>
            </w:pPr>
            <w:r w:rsidRPr="0090667A">
              <w:rPr>
                <w:rFonts w:ascii="Arial Narrow" w:eastAsia="Calibri" w:hAnsi="Arial Narrow"/>
                <w:b/>
                <w:sz w:val="20"/>
                <w:szCs w:val="20"/>
              </w:rPr>
              <w:t>$</w:t>
            </w:r>
            <w:r w:rsidR="00D61370" w:rsidRPr="00157ED3">
              <w:rPr>
                <w:rFonts w:ascii="Arial Narrow" w:eastAsia="Calibri" w:hAnsi="Arial Narrow" w:hint="eastAsia"/>
                <w:b/>
                <w:color w:val="000000"/>
                <w:w w:val="30"/>
                <w:sz w:val="20"/>
                <w:szCs w:val="20"/>
                <w:shd w:val="solid" w:color="000000" w:fill="000000"/>
                <w:fitText w:val="135" w:id="-1425249277"/>
                <w14:textFill>
                  <w14:solidFill>
                    <w14:srgbClr w14:val="000000">
                      <w14:alpha w14:val="100000"/>
                    </w14:srgbClr>
                  </w14:solidFill>
                </w14:textFill>
              </w:rPr>
              <w:t xml:space="preserve">　</w:t>
            </w:r>
            <w:r w:rsidR="00D61370" w:rsidRPr="00157ED3">
              <w:rPr>
                <w:rFonts w:ascii="Arial Narrow" w:eastAsia="Calibri" w:hAnsi="Arial Narrow"/>
                <w:b/>
                <w:color w:val="000000"/>
                <w:w w:val="30"/>
                <w:sz w:val="20"/>
                <w:szCs w:val="20"/>
                <w:shd w:val="solid" w:color="000000" w:fill="000000"/>
                <w:fitText w:val="135" w:id="-1425249277"/>
                <w14:textFill>
                  <w14:solidFill>
                    <w14:srgbClr w14:val="000000">
                      <w14:alpha w14:val="100000"/>
                    </w14:srgbClr>
                  </w14:solidFill>
                </w14:textFill>
              </w:rPr>
              <w:t>|</w:t>
            </w:r>
            <w:r w:rsidR="00D61370" w:rsidRPr="00157ED3">
              <w:rPr>
                <w:rFonts w:ascii="Arial Narrow" w:eastAsia="Calibri" w:hAnsi="Arial Narrow" w:hint="eastAsia"/>
                <w:b/>
                <w:color w:val="000000"/>
                <w:w w:val="30"/>
                <w:sz w:val="20"/>
                <w:szCs w:val="20"/>
                <w:shd w:val="solid" w:color="000000" w:fill="000000"/>
                <w:fitText w:val="135" w:id="-1425249277"/>
                <w14:textFill>
                  <w14:solidFill>
                    <w14:srgbClr w14:val="000000">
                      <w14:alpha w14:val="100000"/>
                    </w14:srgbClr>
                  </w14:solidFill>
                </w14:textFill>
              </w:rPr>
              <w:t xml:space="preserve">　</w:t>
            </w:r>
            <w:r w:rsidR="000045C5">
              <w:rPr>
                <w:rFonts w:ascii="Arial Narrow" w:eastAsia="Calibri" w:hAnsi="Arial Narrow"/>
                <w:bCs/>
                <w:sz w:val="20"/>
                <w:szCs w:val="20"/>
                <w:vertAlign w:val="superscript"/>
              </w:rPr>
              <w:t>2</w:t>
            </w:r>
          </w:p>
        </w:tc>
      </w:tr>
    </w:tbl>
    <w:p w14:paraId="279C3751" w14:textId="352C2EC4" w:rsidR="006525CF" w:rsidRDefault="003C35E8" w:rsidP="00EC0EF2">
      <w:pPr>
        <w:pStyle w:val="FooterTableFigure"/>
        <w:rPr>
          <w:rFonts w:eastAsia="Calibri"/>
          <w:szCs w:val="20"/>
        </w:rPr>
      </w:pPr>
      <w:r w:rsidRPr="00C068F4">
        <w:rPr>
          <w:rFonts w:eastAsia="Calibri"/>
          <w:szCs w:val="20"/>
        </w:rPr>
        <w:t>QALY = quality adjusted life year.</w:t>
      </w:r>
    </w:p>
    <w:p w14:paraId="37F6EECB" w14:textId="63B2F432" w:rsidR="00287C72" w:rsidRDefault="000045C5" w:rsidP="000045C5">
      <w:pPr>
        <w:rPr>
          <w:rFonts w:ascii="Arial Narrow" w:hAnsi="Arial Narrow"/>
          <w:i/>
          <w:sz w:val="18"/>
          <w:szCs w:val="18"/>
        </w:rPr>
      </w:pPr>
      <w:r w:rsidRPr="00E21149">
        <w:rPr>
          <w:rFonts w:ascii="Arial Narrow" w:hAnsi="Arial Narrow"/>
          <w:i/>
          <w:sz w:val="18"/>
          <w:szCs w:val="18"/>
        </w:rPr>
        <w:t>The redacted values correspond to the following ranges:</w:t>
      </w:r>
    </w:p>
    <w:p w14:paraId="7B0AEC1E" w14:textId="6999535A" w:rsidR="000045C5" w:rsidRPr="00E21149" w:rsidRDefault="000045C5" w:rsidP="00EC0EF2">
      <w:pPr>
        <w:pStyle w:val="FooterTableFigure"/>
        <w:rPr>
          <w:rFonts w:eastAsia="Calibri"/>
          <w:i/>
          <w:szCs w:val="18"/>
        </w:rPr>
      </w:pPr>
      <w:r w:rsidRPr="00E21149">
        <w:rPr>
          <w:rFonts w:eastAsia="Calibri"/>
          <w:i/>
          <w:szCs w:val="18"/>
          <w:vertAlign w:val="superscript"/>
        </w:rPr>
        <w:t>1</w:t>
      </w:r>
      <w:r w:rsidR="0090667A" w:rsidRPr="0090667A">
        <w:rPr>
          <w:rFonts w:eastAsia="Calibri"/>
          <w:i/>
          <w:szCs w:val="18"/>
        </w:rPr>
        <w:t>$</w:t>
      </w:r>
      <w:r w:rsidRPr="00E21149">
        <w:rPr>
          <w:rFonts w:eastAsia="Calibri"/>
          <w:i/>
          <w:szCs w:val="18"/>
        </w:rPr>
        <w:t xml:space="preserve">0 to &lt; </w:t>
      </w:r>
      <w:r w:rsidR="0090667A" w:rsidRPr="0090667A">
        <w:rPr>
          <w:rFonts w:eastAsia="Calibri"/>
          <w:i/>
          <w:szCs w:val="18"/>
        </w:rPr>
        <w:t>$</w:t>
      </w:r>
      <w:r w:rsidRPr="00E21149">
        <w:rPr>
          <w:rFonts w:eastAsia="Calibri"/>
          <w:i/>
          <w:szCs w:val="18"/>
        </w:rPr>
        <w:t>5,000</w:t>
      </w:r>
    </w:p>
    <w:p w14:paraId="57F97392" w14:textId="65E059C6" w:rsidR="000045C5" w:rsidRPr="00E21149" w:rsidRDefault="000045C5" w:rsidP="00EC0EF2">
      <w:pPr>
        <w:pStyle w:val="FooterTableFigure"/>
        <w:rPr>
          <w:rFonts w:eastAsia="Calibri"/>
          <w:i/>
          <w:szCs w:val="18"/>
        </w:rPr>
      </w:pPr>
      <w:r w:rsidRPr="00E21149">
        <w:rPr>
          <w:rFonts w:eastAsia="Calibri"/>
          <w:i/>
          <w:szCs w:val="18"/>
          <w:vertAlign w:val="superscript"/>
        </w:rPr>
        <w:t>2</w:t>
      </w:r>
      <w:r w:rsidR="0090667A" w:rsidRPr="0090667A">
        <w:rPr>
          <w:rFonts w:eastAsia="Calibri"/>
          <w:i/>
          <w:szCs w:val="18"/>
        </w:rPr>
        <w:t>$</w:t>
      </w:r>
      <w:r w:rsidRPr="00E21149">
        <w:rPr>
          <w:rFonts w:eastAsia="Calibri"/>
          <w:i/>
          <w:szCs w:val="18"/>
        </w:rPr>
        <w:t xml:space="preserve">55,000 to &lt; </w:t>
      </w:r>
      <w:r w:rsidR="0090667A" w:rsidRPr="0090667A">
        <w:rPr>
          <w:rFonts w:eastAsia="Calibri"/>
          <w:i/>
          <w:szCs w:val="18"/>
        </w:rPr>
        <w:t>$</w:t>
      </w:r>
      <w:r w:rsidRPr="00E21149">
        <w:rPr>
          <w:rFonts w:eastAsia="Calibri"/>
          <w:i/>
          <w:szCs w:val="18"/>
        </w:rPr>
        <w:t>75,000</w:t>
      </w:r>
    </w:p>
    <w:p w14:paraId="1498C0BF" w14:textId="480B6B04" w:rsidR="00EB0763" w:rsidRPr="00C068F4" w:rsidRDefault="00B333DB" w:rsidP="00EB0763">
      <w:pPr>
        <w:pStyle w:val="3-BodyText"/>
        <w:rPr>
          <w:rStyle w:val="normaltextrun"/>
        </w:rPr>
      </w:pPr>
      <w:r w:rsidRPr="00C068F4">
        <w:t>T</w:t>
      </w:r>
      <w:r w:rsidR="00EB0763" w:rsidRPr="00C068F4">
        <w:t xml:space="preserve">he </w:t>
      </w:r>
      <w:r w:rsidR="005A3AF1" w:rsidRPr="00C068F4">
        <w:t>6</w:t>
      </w:r>
      <w:r w:rsidR="00EB0763" w:rsidRPr="00C068F4">
        <w:t xml:space="preserve">-month economic analysis is most sensitive to the </w:t>
      </w:r>
      <w:r w:rsidR="00EB0763" w:rsidRPr="00C068F4">
        <w:rPr>
          <w:rStyle w:val="normaltextrun"/>
        </w:rPr>
        <w:t>probability that a symptomatic immunocompromised person with COVID</w:t>
      </w:r>
      <w:r w:rsidR="00EB0763" w:rsidRPr="00C068F4">
        <w:rPr>
          <w:rStyle w:val="normaltextrun"/>
        </w:rPr>
        <w:noBreakHyphen/>
        <w:t>19 will require hospitalisation</w:t>
      </w:r>
      <w:r w:rsidR="00C7790D" w:rsidRPr="00C068F4">
        <w:rPr>
          <w:rStyle w:val="normaltextrun"/>
        </w:rPr>
        <w:t>;</w:t>
      </w:r>
      <w:r w:rsidR="00884D5C" w:rsidRPr="00C068F4">
        <w:rPr>
          <w:rStyle w:val="normaltextrun"/>
        </w:rPr>
        <w:t xml:space="preserve"> and the </w:t>
      </w:r>
      <w:r w:rsidR="00884D5C" w:rsidRPr="00C068F4">
        <w:t xml:space="preserve">baseline probability (in the absence of availability of </w:t>
      </w:r>
      <w:r w:rsidR="00884D5C" w:rsidRPr="00C068F4">
        <w:rPr>
          <w:color w:val="000000" w:themeColor="text1"/>
        </w:rPr>
        <w:t xml:space="preserve">tixagevimab and cilgavimab) </w:t>
      </w:r>
      <w:r w:rsidR="00884D5C" w:rsidRPr="00C068F4">
        <w:t xml:space="preserve">that an immunocompromised person will contract symptomatic </w:t>
      </w:r>
      <w:r w:rsidR="00884D5C" w:rsidRPr="00C068F4">
        <w:rPr>
          <w:rStyle w:val="normaltextrun"/>
        </w:rPr>
        <w:t>COVID</w:t>
      </w:r>
      <w:r w:rsidR="00884D5C" w:rsidRPr="00C068F4">
        <w:rPr>
          <w:rStyle w:val="normaltextrun"/>
        </w:rPr>
        <w:noBreakHyphen/>
        <w:t>19</w:t>
      </w:r>
      <w:r w:rsidR="00EB0763" w:rsidRPr="00C068F4">
        <w:rPr>
          <w:rStyle w:val="normaltextrun"/>
        </w:rPr>
        <w:t>.</w:t>
      </w:r>
    </w:p>
    <w:p w14:paraId="1733BDD6" w14:textId="4B26720A" w:rsidR="00287C72" w:rsidRDefault="00F235D6" w:rsidP="00B333DB">
      <w:pPr>
        <w:pStyle w:val="3-BodyText"/>
      </w:pPr>
      <w:bookmarkStart w:id="101" w:name="_Ref110978219"/>
      <w:r w:rsidRPr="00C068F4">
        <w:lastRenderedPageBreak/>
        <w:t>C</w:t>
      </w:r>
      <w:bookmarkEnd w:id="101"/>
      <w:r w:rsidR="002F5055" w:rsidRPr="00C068F4">
        <w:t>onsistent with the sensitivity of results around the 6-month model</w:t>
      </w:r>
      <w:r w:rsidR="003C35E8" w:rsidRPr="00C068F4">
        <w:t>, the 12-month economic analysis is most sensitive to</w:t>
      </w:r>
      <w:r w:rsidR="002F5055" w:rsidRPr="00C068F4">
        <w:t xml:space="preserve"> </w:t>
      </w:r>
      <w:r w:rsidR="003C35E8" w:rsidRPr="00C068F4">
        <w:t>the baseline probability (in the absence of availability of tixagevimab and cilgavimab) that an immunocompromised person will contract symptomatic COVID</w:t>
      </w:r>
      <w:r w:rsidR="003C35E8" w:rsidRPr="00C068F4">
        <w:noBreakHyphen/>
        <w:t>19 and the probability that a symptomatic immunocompromised person with COVID</w:t>
      </w:r>
      <w:r w:rsidR="003C35E8" w:rsidRPr="00C068F4">
        <w:noBreakHyphen/>
        <w:t>19 will require hospitalisation.</w:t>
      </w:r>
      <w:bookmarkStart w:id="102" w:name="_Toc103767196"/>
    </w:p>
    <w:p w14:paraId="22CEB710" w14:textId="35CF07B1" w:rsidR="00104E2E" w:rsidRPr="00C068F4" w:rsidRDefault="00104E2E" w:rsidP="00104E2E">
      <w:pPr>
        <w:pStyle w:val="4-SubsectionHeading"/>
      </w:pPr>
      <w:r w:rsidRPr="00C068F4">
        <w:t>Drug cost/patient</w:t>
      </w:r>
      <w:bookmarkEnd w:id="102"/>
    </w:p>
    <w:p w14:paraId="472842D7" w14:textId="2F6C5DED" w:rsidR="00C25D9C" w:rsidRPr="00C068F4" w:rsidRDefault="006525CF" w:rsidP="00B665C5">
      <w:pPr>
        <w:pStyle w:val="3-BodyText"/>
        <w:rPr>
          <w:color w:val="000000" w:themeColor="text1"/>
        </w:rPr>
      </w:pPr>
      <w:bookmarkStart w:id="103" w:name="_Toc22897646"/>
      <w:bookmarkStart w:id="104" w:name="_Ref111662708"/>
      <w:r w:rsidRPr="00C068F4">
        <w:rPr>
          <w:color w:val="000000" w:themeColor="text1"/>
        </w:rPr>
        <w:t>The e</w:t>
      </w:r>
      <w:r w:rsidR="005708EF" w:rsidRPr="00C068F4">
        <w:rPr>
          <w:color w:val="000000" w:themeColor="text1"/>
        </w:rPr>
        <w:t>ffective dispensed drug</w:t>
      </w:r>
      <w:r w:rsidR="00C25D9C" w:rsidRPr="00C068F4">
        <w:rPr>
          <w:color w:val="000000" w:themeColor="text1"/>
        </w:rPr>
        <w:t xml:space="preserve"> cost/patient/</w:t>
      </w:r>
      <w:bookmarkEnd w:id="103"/>
      <w:r w:rsidR="005708EF" w:rsidRPr="00C068F4">
        <w:rPr>
          <w:color w:val="000000" w:themeColor="text1"/>
        </w:rPr>
        <w:t>administration</w:t>
      </w:r>
      <w:r w:rsidR="00BE73A1" w:rsidRPr="00C068F4">
        <w:rPr>
          <w:color w:val="000000" w:themeColor="text1"/>
        </w:rPr>
        <w:t xml:space="preserve"> is</w:t>
      </w:r>
      <w:r w:rsidR="005708EF" w:rsidRPr="00C068F4">
        <w:rPr>
          <w:color w:val="000000" w:themeColor="text1"/>
        </w:rPr>
        <w:t xml:space="preserve"> </w:t>
      </w:r>
      <w:r w:rsidR="0090667A" w:rsidRPr="0090667A">
        <w:rPr>
          <w:color w:val="000000" w:themeColor="text1"/>
        </w:rPr>
        <w:t>$</w:t>
      </w:r>
      <w:r w:rsidR="00D61370" w:rsidRPr="00157ED3">
        <w:rPr>
          <w:color w:val="000000"/>
          <w:spacing w:val="1"/>
          <w:w w:val="62"/>
          <w:shd w:val="solid" w:color="000000" w:fill="000000"/>
          <w:fitText w:val="625" w:id="-1425249276"/>
          <w14:textFill>
            <w14:solidFill>
              <w14:srgbClr w14:val="000000">
                <w14:alpha w14:val="100000"/>
              </w14:srgbClr>
            </w14:solidFill>
          </w14:textFill>
        </w:rPr>
        <w:t>||||  ||||</w:t>
      </w:r>
      <w:r w:rsidR="00A67D63" w:rsidRPr="00C068F4">
        <w:rPr>
          <w:color w:val="000000" w:themeColor="text1"/>
        </w:rPr>
        <w:t>.</w:t>
      </w:r>
      <w:r w:rsidR="000A7891" w:rsidRPr="00C068F4">
        <w:rPr>
          <w:color w:val="000000" w:themeColor="text1"/>
        </w:rPr>
        <w:t xml:space="preserve"> If tixagevimab and cilgavimab need</w:t>
      </w:r>
      <w:r w:rsidR="00061ACB" w:rsidRPr="00C068F4">
        <w:rPr>
          <w:color w:val="000000" w:themeColor="text1"/>
        </w:rPr>
        <w:t>s</w:t>
      </w:r>
      <w:r w:rsidR="000A7891" w:rsidRPr="00C068F4">
        <w:rPr>
          <w:color w:val="000000" w:themeColor="text1"/>
        </w:rPr>
        <w:t xml:space="preserve"> to be administered every six months then the effective dispensed drug cost/patient/year</w:t>
      </w:r>
      <w:r w:rsidR="003F7238" w:rsidRPr="00C068F4">
        <w:rPr>
          <w:color w:val="000000" w:themeColor="text1"/>
        </w:rPr>
        <w:t xml:space="preserve"> will be</w:t>
      </w:r>
      <w:r w:rsidR="001C1A2E" w:rsidRPr="00C068F4">
        <w:rPr>
          <w:color w:val="000000" w:themeColor="text1"/>
        </w:rPr>
        <w:t xml:space="preserve"> </w:t>
      </w:r>
      <w:r w:rsidR="0090667A" w:rsidRPr="0090667A">
        <w:rPr>
          <w:color w:val="000000" w:themeColor="text1"/>
        </w:rPr>
        <w:t>$</w:t>
      </w:r>
      <w:r w:rsidR="00D61370" w:rsidRPr="00500F84">
        <w:rPr>
          <w:color w:val="000000"/>
          <w:w w:val="15"/>
          <w:shd w:val="solid" w:color="000000" w:fill="000000"/>
          <w:fitText w:val="-20" w:id="-1425249275"/>
          <w14:textFill>
            <w14:solidFill>
              <w14:srgbClr w14:val="000000">
                <w14:alpha w14:val="100000"/>
              </w14:srgbClr>
            </w14:solidFill>
          </w14:textFill>
        </w:rPr>
        <w:t xml:space="preserve">|  </w:t>
      </w:r>
      <w:r w:rsidR="00D61370" w:rsidRPr="00500F84">
        <w:rPr>
          <w:color w:val="000000"/>
          <w:spacing w:val="-69"/>
          <w:w w:val="15"/>
          <w:shd w:val="solid" w:color="000000" w:fill="000000"/>
          <w:fitText w:val="-20" w:id="-1425249275"/>
          <w14:textFill>
            <w14:solidFill>
              <w14:srgbClr w14:val="000000">
                <w14:alpha w14:val="100000"/>
              </w14:srgbClr>
            </w14:solidFill>
          </w14:textFill>
        </w:rPr>
        <w:t>|</w:t>
      </w:r>
      <w:r w:rsidR="003F7238" w:rsidRPr="00C068F4">
        <w:rPr>
          <w:color w:val="000000" w:themeColor="text1"/>
        </w:rPr>
        <w:t>.</w:t>
      </w:r>
      <w:bookmarkEnd w:id="104"/>
    </w:p>
    <w:p w14:paraId="3CC83D45" w14:textId="460BA6B8" w:rsidR="00287C72" w:rsidRDefault="006779CC" w:rsidP="006779CC">
      <w:pPr>
        <w:pStyle w:val="3-BodyText"/>
      </w:pPr>
      <w:r w:rsidRPr="00C068F4">
        <w:t xml:space="preserve">The Pre-PBAC response stated that the sponsor was proposing an effective AEMP of </w:t>
      </w:r>
      <w:r w:rsidR="0090667A" w:rsidRPr="0090667A">
        <w:t>$</w:t>
      </w:r>
      <w:r w:rsidR="00D61370" w:rsidRPr="00500F84">
        <w:rPr>
          <w:color w:val="000000"/>
          <w:w w:val="15"/>
          <w:shd w:val="solid" w:color="000000" w:fill="000000"/>
          <w:fitText w:val="-20" w:id="-1425249274"/>
          <w14:textFill>
            <w14:solidFill>
              <w14:srgbClr w14:val="000000">
                <w14:alpha w14:val="100000"/>
              </w14:srgbClr>
            </w14:solidFill>
          </w14:textFill>
        </w:rPr>
        <w:t xml:space="preserve">|  </w:t>
      </w:r>
      <w:r w:rsidR="00D61370" w:rsidRPr="00500F84">
        <w:rPr>
          <w:color w:val="000000"/>
          <w:spacing w:val="-69"/>
          <w:w w:val="15"/>
          <w:shd w:val="solid" w:color="000000" w:fill="000000"/>
          <w:fitText w:val="-20" w:id="-1425249274"/>
          <w14:textFill>
            <w14:solidFill>
              <w14:srgbClr w14:val="000000">
                <w14:alpha w14:val="100000"/>
              </w14:srgbClr>
            </w14:solidFill>
          </w14:textFill>
        </w:rPr>
        <w:t>|</w:t>
      </w:r>
      <w:r w:rsidRPr="00C068F4">
        <w:t xml:space="preserve"> per dose of </w:t>
      </w:r>
      <w:r w:rsidR="00E833E9">
        <w:t>tixagevimab and cilgavimab</w:t>
      </w:r>
      <w:r w:rsidRPr="00C068F4">
        <w:t>, regardless of whether the 150</w:t>
      </w:r>
      <w:r w:rsidR="0011094C" w:rsidRPr="00C068F4">
        <w:t>-</w:t>
      </w:r>
      <w:r w:rsidRPr="00C068F4">
        <w:t>150 mg dose or the 300</w:t>
      </w:r>
      <w:r w:rsidR="0011094C" w:rsidRPr="00C068F4">
        <w:noBreakHyphen/>
      </w:r>
      <w:r w:rsidRPr="00C068F4">
        <w:t xml:space="preserve">300 mg dose is recommended, therefore the effective AEMP would be </w:t>
      </w:r>
      <w:r w:rsidR="0090667A" w:rsidRPr="0090667A">
        <w:t>$</w:t>
      </w:r>
      <w:r w:rsidR="00D61370" w:rsidRPr="00500F84">
        <w:rPr>
          <w:color w:val="000000"/>
          <w:w w:val="15"/>
          <w:shd w:val="solid" w:color="000000" w:fill="000000"/>
          <w:fitText w:val="-20" w:id="-1425249273"/>
          <w14:textFill>
            <w14:solidFill>
              <w14:srgbClr w14:val="000000">
                <w14:alpha w14:val="100000"/>
              </w14:srgbClr>
            </w14:solidFill>
          </w14:textFill>
        </w:rPr>
        <w:t xml:space="preserve">|  </w:t>
      </w:r>
      <w:r w:rsidR="00D61370" w:rsidRPr="00500F84">
        <w:rPr>
          <w:color w:val="000000"/>
          <w:spacing w:val="-69"/>
          <w:w w:val="15"/>
          <w:shd w:val="solid" w:color="000000" w:fill="000000"/>
          <w:fitText w:val="-20" w:id="-1425249273"/>
          <w14:textFill>
            <w14:solidFill>
              <w14:srgbClr w14:val="000000">
                <w14:alpha w14:val="100000"/>
              </w14:srgbClr>
            </w14:solidFill>
          </w14:textFill>
        </w:rPr>
        <w:t>|</w:t>
      </w:r>
      <w:r w:rsidRPr="00C068F4">
        <w:t xml:space="preserve"> per pack if the 300</w:t>
      </w:r>
      <w:r w:rsidR="0011094C" w:rsidRPr="00C068F4">
        <w:noBreakHyphen/>
      </w:r>
      <w:r w:rsidRPr="00C068F4">
        <w:t xml:space="preserve">300 mg dose is recommended, otherwise it would be </w:t>
      </w:r>
      <w:r w:rsidR="0090667A" w:rsidRPr="0090667A">
        <w:t>$</w:t>
      </w:r>
      <w:r w:rsidR="00D61370" w:rsidRPr="00500F84">
        <w:rPr>
          <w:color w:val="000000"/>
          <w:w w:val="15"/>
          <w:shd w:val="solid" w:color="000000" w:fill="000000"/>
          <w:fitText w:val="-20" w:id="-1425249272"/>
          <w14:textFill>
            <w14:solidFill>
              <w14:srgbClr w14:val="000000">
                <w14:alpha w14:val="100000"/>
              </w14:srgbClr>
            </w14:solidFill>
          </w14:textFill>
        </w:rPr>
        <w:t xml:space="preserve">|  </w:t>
      </w:r>
      <w:r w:rsidR="00D61370" w:rsidRPr="00500F84">
        <w:rPr>
          <w:color w:val="000000"/>
          <w:spacing w:val="-69"/>
          <w:w w:val="15"/>
          <w:shd w:val="solid" w:color="000000" w:fill="000000"/>
          <w:fitText w:val="-20" w:id="-1425249272"/>
          <w14:textFill>
            <w14:solidFill>
              <w14:srgbClr w14:val="000000">
                <w14:alpha w14:val="100000"/>
              </w14:srgbClr>
            </w14:solidFill>
          </w14:textFill>
        </w:rPr>
        <w:t>|</w:t>
      </w:r>
      <w:r w:rsidRPr="00C068F4">
        <w:t xml:space="preserve"> per pack.</w:t>
      </w:r>
      <w:bookmarkStart w:id="105" w:name="_Toc22897647"/>
      <w:bookmarkStart w:id="106" w:name="_Toc111710320"/>
    </w:p>
    <w:p w14:paraId="268768EF" w14:textId="531DB239" w:rsidR="00B60939" w:rsidRPr="00C068F4" w:rsidRDefault="00B60939" w:rsidP="002B05A1">
      <w:pPr>
        <w:pStyle w:val="4-SubsectionHeading"/>
      </w:pPr>
      <w:r w:rsidRPr="00C068F4">
        <w:t>Estimated PBS usage &amp; financial implications</w:t>
      </w:r>
      <w:bookmarkEnd w:id="105"/>
      <w:bookmarkEnd w:id="106"/>
    </w:p>
    <w:p w14:paraId="42407913" w14:textId="4D93DE98" w:rsidR="00287C72" w:rsidRDefault="00C32D0F" w:rsidP="00244788">
      <w:pPr>
        <w:pStyle w:val="3-BodyText"/>
      </w:pPr>
      <w:r w:rsidRPr="00C068F4">
        <w:t xml:space="preserve">The </w:t>
      </w:r>
      <w:r w:rsidR="00784ECB" w:rsidRPr="00C068F4">
        <w:t xml:space="preserve">following </w:t>
      </w:r>
      <w:r w:rsidRPr="00C068F4">
        <w:t xml:space="preserve">usage and financial estimates are based on the AstraZeneca proposed dosing regimen of tixagevimab </w:t>
      </w:r>
      <w:r w:rsidR="00BC129F" w:rsidRPr="00C068F4">
        <w:t xml:space="preserve">300 mg and </w:t>
      </w:r>
      <w:r w:rsidRPr="00C068F4">
        <w:t>cilgavimab</w:t>
      </w:r>
      <w:r w:rsidR="00BC129F" w:rsidRPr="00C068F4">
        <w:t xml:space="preserve"> 300 mg</w:t>
      </w:r>
      <w:r w:rsidRPr="00C068F4">
        <w:t xml:space="preserve"> given every 6 months unless indicated otherwise.</w:t>
      </w:r>
    </w:p>
    <w:p w14:paraId="3E71A904" w14:textId="771999CA" w:rsidR="00287C72" w:rsidRDefault="00C32D0F" w:rsidP="00C32D0F">
      <w:pPr>
        <w:pStyle w:val="3-BodyText"/>
      </w:pPr>
      <w:r w:rsidRPr="00C068F4">
        <w:t xml:space="preserve">This submission </w:t>
      </w:r>
      <w:r w:rsidR="00B333DB" w:rsidRPr="00C068F4">
        <w:t xml:space="preserve">was </w:t>
      </w:r>
      <w:r w:rsidRPr="00C068F4">
        <w:t>not considered by DUSC.</w:t>
      </w:r>
    </w:p>
    <w:p w14:paraId="6A9AE276" w14:textId="513A3441" w:rsidR="00C32D0F" w:rsidRPr="00C068F4" w:rsidRDefault="00C32D0F" w:rsidP="00C32D0F">
      <w:pPr>
        <w:pStyle w:val="3-BodyText"/>
      </w:pPr>
      <w:r w:rsidRPr="00C068F4">
        <w:t xml:space="preserve">The submission proposes access to </w:t>
      </w:r>
      <w:r w:rsidR="00BC129F" w:rsidRPr="00C068F4">
        <w:t>tixagevimab and cilgavimab</w:t>
      </w:r>
      <w:r w:rsidRPr="00C068F4">
        <w:t xml:space="preserve"> for </w:t>
      </w:r>
      <w:r w:rsidR="00CB7D83" w:rsidRPr="00C068F4">
        <w:t xml:space="preserve">individuals </w:t>
      </w:r>
      <w:r w:rsidRPr="00C068F4">
        <w:t xml:space="preserve">with severe immunocompromise </w:t>
      </w:r>
      <w:r w:rsidR="00AC5B38" w:rsidRPr="00C068F4">
        <w:t xml:space="preserve">broadly </w:t>
      </w:r>
      <w:r w:rsidRPr="00C068F4">
        <w:t>aligned with the ATAGI recommendations for a third primary dose of a COVID-19 vaccine</w:t>
      </w:r>
      <w:r w:rsidRPr="00C068F4">
        <w:rPr>
          <w:rStyle w:val="FootnoteReference"/>
        </w:rPr>
        <w:footnoteReference w:id="26"/>
      </w:r>
      <w:r w:rsidRPr="00C068F4">
        <w:t xml:space="preserve">. In addition, the submission proposes access to </w:t>
      </w:r>
      <w:r w:rsidR="00121CC8" w:rsidRPr="00C068F4">
        <w:t xml:space="preserve">tixagevimab and cilgavimab </w:t>
      </w:r>
      <w:r w:rsidRPr="00C068F4">
        <w:t xml:space="preserve">for </w:t>
      </w:r>
      <w:r w:rsidR="00CB7D83" w:rsidRPr="00C068F4">
        <w:t xml:space="preserve">individuals </w:t>
      </w:r>
      <w:r w:rsidRPr="00C068F4">
        <w:t xml:space="preserve">in whom vaccination is contraindicated. The 14 subgroups identified by the submission are listed in </w:t>
      </w:r>
      <w:r w:rsidR="00BC520F" w:rsidRPr="00C068F4">
        <w:fldChar w:fldCharType="begin" w:fldLock="1"/>
      </w:r>
      <w:r w:rsidR="00BC520F" w:rsidRPr="00C068F4">
        <w:instrText xml:space="preserve"> REF _Ref111127881 \h </w:instrText>
      </w:r>
      <w:r w:rsidR="00BC520F" w:rsidRPr="00C068F4">
        <w:fldChar w:fldCharType="separate"/>
      </w:r>
      <w:r w:rsidR="00AB751C" w:rsidRPr="00C068F4">
        <w:t xml:space="preserve">Table </w:t>
      </w:r>
      <w:r w:rsidR="00AB751C">
        <w:rPr>
          <w:noProof/>
        </w:rPr>
        <w:t>16</w:t>
      </w:r>
      <w:r w:rsidR="00BC520F" w:rsidRPr="00C068F4">
        <w:fldChar w:fldCharType="end"/>
      </w:r>
      <w:r w:rsidRPr="00C068F4">
        <w:t>.</w:t>
      </w:r>
    </w:p>
    <w:p w14:paraId="629B53FB" w14:textId="77777777" w:rsidR="00AC4DE3" w:rsidRDefault="00AC4DE3">
      <w:pPr>
        <w:jc w:val="left"/>
        <w:rPr>
          <w:rFonts w:ascii="Arial Narrow" w:hAnsi="Arial Narrow"/>
          <w:b/>
          <w:bCs/>
          <w:sz w:val="20"/>
          <w:szCs w:val="18"/>
        </w:rPr>
      </w:pPr>
      <w:bookmarkStart w:id="107" w:name="_Ref111127881"/>
      <w:r>
        <w:br w:type="page"/>
      </w:r>
    </w:p>
    <w:p w14:paraId="52EEBC55" w14:textId="3B6F7AB9" w:rsidR="00C32D0F" w:rsidRPr="00C068F4" w:rsidRDefault="00BC520F" w:rsidP="00BC520F">
      <w:pPr>
        <w:pStyle w:val="Caption"/>
      </w:pPr>
      <w:r w:rsidRPr="00C068F4">
        <w:lastRenderedPageBreak/>
        <w:t xml:space="preserve">Table </w:t>
      </w:r>
      <w:fldSimple w:instr=" SEQ Table \* ARABIC " w:fldLock="1">
        <w:r w:rsidR="00DB55F2">
          <w:rPr>
            <w:noProof/>
          </w:rPr>
          <w:t>16</w:t>
        </w:r>
      </w:fldSimple>
      <w:bookmarkEnd w:id="107"/>
      <w:r w:rsidRPr="00C068F4">
        <w:rPr>
          <w:rStyle w:val="CommentReference"/>
          <w:b/>
          <w:szCs w:val="24"/>
        </w:rPr>
        <w:t xml:space="preserve">: </w:t>
      </w:r>
      <w:r w:rsidR="00C32D0F" w:rsidRPr="00C068F4">
        <w:t xml:space="preserve">Population groups with severe immune compromise proposed as eligible for treatment with </w:t>
      </w:r>
      <w:r w:rsidR="00121CC8" w:rsidRPr="00C068F4">
        <w:t>tixagevimab and cilgavimab</w:t>
      </w:r>
    </w:p>
    <w:tbl>
      <w:tblPr>
        <w:tblStyle w:val="TableGrid"/>
        <w:tblW w:w="8926" w:type="dxa"/>
        <w:tblLook w:val="04A0" w:firstRow="1" w:lastRow="0" w:firstColumn="1" w:lastColumn="0" w:noHBand="0" w:noVBand="1"/>
      </w:tblPr>
      <w:tblGrid>
        <w:gridCol w:w="394"/>
        <w:gridCol w:w="4705"/>
        <w:gridCol w:w="3827"/>
      </w:tblGrid>
      <w:tr w:rsidR="00C32D0F" w:rsidRPr="00C068F4" w14:paraId="5C9DAFAA" w14:textId="77777777" w:rsidTr="00BC520F">
        <w:tc>
          <w:tcPr>
            <w:tcW w:w="394" w:type="dxa"/>
          </w:tcPr>
          <w:p w14:paraId="2BBBDF33" w14:textId="77777777" w:rsidR="00C32D0F" w:rsidRPr="00C068F4" w:rsidRDefault="00C32D0F" w:rsidP="00C67183">
            <w:pPr>
              <w:pStyle w:val="ListParagraph"/>
              <w:spacing w:after="0"/>
              <w:ind w:left="0"/>
              <w:rPr>
                <w:rFonts w:ascii="Arial Narrow" w:hAnsi="Arial Narrow"/>
                <w:sz w:val="20"/>
                <w:szCs w:val="20"/>
              </w:rPr>
            </w:pPr>
          </w:p>
        </w:tc>
        <w:tc>
          <w:tcPr>
            <w:tcW w:w="4705" w:type="dxa"/>
          </w:tcPr>
          <w:p w14:paraId="616E6498" w14:textId="77777777" w:rsidR="00C32D0F" w:rsidRPr="00C068F4" w:rsidRDefault="00C32D0F" w:rsidP="00C67183">
            <w:pPr>
              <w:pStyle w:val="ListParagraph"/>
              <w:spacing w:after="0"/>
              <w:ind w:left="0"/>
              <w:rPr>
                <w:rFonts w:ascii="Arial Narrow" w:hAnsi="Arial Narrow"/>
                <w:b/>
                <w:bCs/>
                <w:sz w:val="20"/>
                <w:szCs w:val="20"/>
              </w:rPr>
            </w:pPr>
            <w:r w:rsidRPr="00C068F4">
              <w:rPr>
                <w:rFonts w:ascii="Arial Narrow" w:hAnsi="Arial Narrow"/>
                <w:b/>
                <w:bCs/>
                <w:sz w:val="20"/>
                <w:szCs w:val="20"/>
              </w:rPr>
              <w:t>Population categories</w:t>
            </w:r>
          </w:p>
        </w:tc>
        <w:tc>
          <w:tcPr>
            <w:tcW w:w="3827" w:type="dxa"/>
          </w:tcPr>
          <w:p w14:paraId="6315F67B" w14:textId="77777777" w:rsidR="00C32D0F" w:rsidRPr="00C068F4" w:rsidRDefault="00C32D0F" w:rsidP="00C67183">
            <w:pPr>
              <w:ind w:left="-360"/>
              <w:jc w:val="center"/>
              <w:rPr>
                <w:rFonts w:ascii="Arial Narrow" w:hAnsi="Arial Narrow"/>
                <w:b/>
                <w:bCs/>
                <w:sz w:val="20"/>
                <w:szCs w:val="20"/>
              </w:rPr>
            </w:pPr>
            <w:r w:rsidRPr="00C068F4">
              <w:rPr>
                <w:rFonts w:ascii="Arial Narrow" w:hAnsi="Arial Narrow"/>
                <w:b/>
                <w:bCs/>
                <w:sz w:val="20"/>
                <w:szCs w:val="20"/>
              </w:rPr>
              <w:t>Data source (PBS/ Epi)</w:t>
            </w:r>
          </w:p>
        </w:tc>
      </w:tr>
      <w:tr w:rsidR="00C32D0F" w:rsidRPr="00C068F4" w14:paraId="776FCF1C" w14:textId="77777777" w:rsidTr="00BC520F">
        <w:tc>
          <w:tcPr>
            <w:tcW w:w="394" w:type="dxa"/>
          </w:tcPr>
          <w:p w14:paraId="2868E493" w14:textId="77777777" w:rsidR="00C32D0F" w:rsidRPr="00C068F4" w:rsidRDefault="00C32D0F" w:rsidP="00C67183">
            <w:pPr>
              <w:pStyle w:val="ListParagraph"/>
              <w:spacing w:after="0"/>
              <w:ind w:left="0"/>
              <w:rPr>
                <w:rFonts w:ascii="Arial Narrow" w:hAnsi="Arial Narrow"/>
                <w:sz w:val="20"/>
                <w:szCs w:val="20"/>
              </w:rPr>
            </w:pPr>
            <w:r w:rsidRPr="00C068F4">
              <w:rPr>
                <w:rFonts w:ascii="Arial Narrow" w:hAnsi="Arial Narrow"/>
                <w:sz w:val="20"/>
                <w:szCs w:val="20"/>
              </w:rPr>
              <w:t>A</w:t>
            </w:r>
          </w:p>
        </w:tc>
        <w:tc>
          <w:tcPr>
            <w:tcW w:w="4705" w:type="dxa"/>
          </w:tcPr>
          <w:p w14:paraId="5B15B0BF" w14:textId="77777777" w:rsidR="00C32D0F" w:rsidRPr="00C068F4" w:rsidRDefault="00C32D0F" w:rsidP="00C67183">
            <w:pPr>
              <w:pStyle w:val="ListParagraph"/>
              <w:spacing w:after="0"/>
              <w:ind w:left="0"/>
              <w:rPr>
                <w:rFonts w:ascii="Arial Narrow" w:hAnsi="Arial Narrow"/>
                <w:sz w:val="20"/>
                <w:szCs w:val="20"/>
              </w:rPr>
            </w:pPr>
            <w:r w:rsidRPr="00C068F4">
              <w:rPr>
                <w:rFonts w:ascii="Arial Narrow" w:hAnsi="Arial Narrow"/>
                <w:kern w:val="24"/>
                <w:sz w:val="20"/>
                <w:szCs w:val="20"/>
              </w:rPr>
              <w:t xml:space="preserve">Organ transplant on treatment </w:t>
            </w:r>
          </w:p>
        </w:tc>
        <w:tc>
          <w:tcPr>
            <w:tcW w:w="3827" w:type="dxa"/>
          </w:tcPr>
          <w:p w14:paraId="6A2A64F4" w14:textId="77777777" w:rsidR="00C32D0F" w:rsidRPr="00C068F4" w:rsidRDefault="00C32D0F" w:rsidP="00C67183">
            <w:pPr>
              <w:ind w:left="-360"/>
              <w:jc w:val="center"/>
              <w:rPr>
                <w:rFonts w:ascii="Arial Narrow" w:hAnsi="Arial Narrow"/>
                <w:kern w:val="24"/>
                <w:sz w:val="20"/>
                <w:szCs w:val="20"/>
              </w:rPr>
            </w:pPr>
            <w:r w:rsidRPr="00C068F4">
              <w:rPr>
                <w:rFonts w:ascii="Arial Narrow" w:hAnsi="Arial Narrow"/>
                <w:kern w:val="24"/>
                <w:sz w:val="20"/>
                <w:szCs w:val="20"/>
              </w:rPr>
              <w:t>Epi</w:t>
            </w:r>
          </w:p>
        </w:tc>
      </w:tr>
      <w:tr w:rsidR="00C32D0F" w:rsidRPr="00C068F4" w14:paraId="6C8D1208" w14:textId="77777777" w:rsidTr="00BC520F">
        <w:trPr>
          <w:trHeight w:val="181"/>
        </w:trPr>
        <w:tc>
          <w:tcPr>
            <w:tcW w:w="394" w:type="dxa"/>
          </w:tcPr>
          <w:p w14:paraId="176969A6" w14:textId="77777777" w:rsidR="00C32D0F" w:rsidRPr="00C068F4" w:rsidRDefault="00C32D0F" w:rsidP="00C67183">
            <w:pPr>
              <w:pStyle w:val="ListParagraph"/>
              <w:spacing w:after="0"/>
              <w:ind w:left="0"/>
              <w:rPr>
                <w:rFonts w:ascii="Arial Narrow" w:hAnsi="Arial Narrow"/>
                <w:sz w:val="20"/>
                <w:szCs w:val="20"/>
              </w:rPr>
            </w:pPr>
            <w:r w:rsidRPr="00C068F4">
              <w:rPr>
                <w:rFonts w:ascii="Arial Narrow" w:hAnsi="Arial Narrow"/>
                <w:sz w:val="20"/>
                <w:szCs w:val="20"/>
              </w:rPr>
              <w:t>B</w:t>
            </w:r>
          </w:p>
        </w:tc>
        <w:tc>
          <w:tcPr>
            <w:tcW w:w="4705" w:type="dxa"/>
          </w:tcPr>
          <w:p w14:paraId="4206BE2D" w14:textId="77777777" w:rsidR="00C32D0F" w:rsidRPr="00C068F4" w:rsidRDefault="00C32D0F" w:rsidP="00C67183">
            <w:pPr>
              <w:pStyle w:val="ListParagraph"/>
              <w:spacing w:after="0"/>
              <w:ind w:left="0"/>
              <w:rPr>
                <w:rFonts w:ascii="Arial Narrow" w:hAnsi="Arial Narrow"/>
                <w:kern w:val="24"/>
                <w:sz w:val="20"/>
                <w:szCs w:val="20"/>
              </w:rPr>
            </w:pPr>
            <w:r w:rsidRPr="00C068F4">
              <w:rPr>
                <w:rFonts w:ascii="Arial Narrow" w:hAnsi="Arial Narrow"/>
                <w:kern w:val="24"/>
                <w:sz w:val="20"/>
                <w:szCs w:val="20"/>
              </w:rPr>
              <w:t xml:space="preserve">HSCT transplant last 2 years </w:t>
            </w:r>
          </w:p>
        </w:tc>
        <w:tc>
          <w:tcPr>
            <w:tcW w:w="3827" w:type="dxa"/>
          </w:tcPr>
          <w:p w14:paraId="17BA9905" w14:textId="77777777" w:rsidR="00C32D0F" w:rsidRPr="00C068F4" w:rsidRDefault="00C32D0F" w:rsidP="00C67183">
            <w:pPr>
              <w:ind w:left="-360"/>
              <w:jc w:val="center"/>
              <w:rPr>
                <w:rFonts w:ascii="Arial Narrow" w:hAnsi="Arial Narrow"/>
                <w:kern w:val="24"/>
                <w:sz w:val="20"/>
                <w:szCs w:val="20"/>
              </w:rPr>
            </w:pPr>
            <w:r w:rsidRPr="00C068F4">
              <w:rPr>
                <w:rFonts w:ascii="Arial Narrow" w:hAnsi="Arial Narrow"/>
                <w:kern w:val="24"/>
                <w:sz w:val="20"/>
                <w:szCs w:val="20"/>
              </w:rPr>
              <w:t>Epi</w:t>
            </w:r>
          </w:p>
        </w:tc>
      </w:tr>
      <w:tr w:rsidR="00C32D0F" w:rsidRPr="00C068F4" w14:paraId="125E7EC6" w14:textId="77777777" w:rsidTr="00BC520F">
        <w:trPr>
          <w:trHeight w:val="181"/>
        </w:trPr>
        <w:tc>
          <w:tcPr>
            <w:tcW w:w="394" w:type="dxa"/>
          </w:tcPr>
          <w:p w14:paraId="7AF9A61A" w14:textId="77777777" w:rsidR="00C32D0F" w:rsidRPr="00C068F4" w:rsidRDefault="00C32D0F" w:rsidP="00C67183">
            <w:pPr>
              <w:pStyle w:val="ListParagraph"/>
              <w:spacing w:after="0"/>
              <w:ind w:left="0"/>
              <w:rPr>
                <w:rFonts w:ascii="Arial Narrow" w:hAnsi="Arial Narrow"/>
                <w:sz w:val="20"/>
                <w:szCs w:val="20"/>
              </w:rPr>
            </w:pPr>
            <w:r w:rsidRPr="00C068F4">
              <w:rPr>
                <w:rFonts w:ascii="Arial Narrow" w:hAnsi="Arial Narrow"/>
                <w:sz w:val="20"/>
                <w:szCs w:val="20"/>
              </w:rPr>
              <w:t>C</w:t>
            </w:r>
          </w:p>
        </w:tc>
        <w:tc>
          <w:tcPr>
            <w:tcW w:w="4705" w:type="dxa"/>
          </w:tcPr>
          <w:p w14:paraId="5666348C" w14:textId="77777777" w:rsidR="00C32D0F" w:rsidRPr="00C068F4" w:rsidRDefault="00C32D0F" w:rsidP="00C67183">
            <w:pPr>
              <w:pStyle w:val="ListParagraph"/>
              <w:spacing w:after="0"/>
              <w:ind w:left="0"/>
              <w:rPr>
                <w:rFonts w:ascii="Arial Narrow" w:hAnsi="Arial Narrow"/>
                <w:kern w:val="24"/>
                <w:sz w:val="20"/>
                <w:szCs w:val="20"/>
              </w:rPr>
            </w:pPr>
            <w:r w:rsidRPr="00C068F4">
              <w:rPr>
                <w:rFonts w:ascii="Arial Narrow" w:hAnsi="Arial Narrow"/>
                <w:kern w:val="24"/>
                <w:sz w:val="20"/>
                <w:szCs w:val="20"/>
              </w:rPr>
              <w:t xml:space="preserve">Haematologic malignancies on treatment </w:t>
            </w:r>
          </w:p>
        </w:tc>
        <w:tc>
          <w:tcPr>
            <w:tcW w:w="3827" w:type="dxa"/>
          </w:tcPr>
          <w:p w14:paraId="29FAB780" w14:textId="77777777" w:rsidR="00C32D0F" w:rsidRPr="00C068F4" w:rsidRDefault="00C32D0F" w:rsidP="00C67183">
            <w:pPr>
              <w:ind w:left="-360"/>
              <w:jc w:val="center"/>
              <w:rPr>
                <w:rFonts w:ascii="Arial Narrow" w:hAnsi="Arial Narrow"/>
                <w:kern w:val="24"/>
                <w:sz w:val="20"/>
                <w:szCs w:val="20"/>
              </w:rPr>
            </w:pPr>
            <w:r w:rsidRPr="00C068F4">
              <w:rPr>
                <w:rFonts w:ascii="Arial Narrow" w:hAnsi="Arial Narrow"/>
                <w:kern w:val="24"/>
                <w:sz w:val="20"/>
                <w:szCs w:val="20"/>
              </w:rPr>
              <w:t>10% PBS data sample</w:t>
            </w:r>
          </w:p>
        </w:tc>
      </w:tr>
      <w:tr w:rsidR="00C32D0F" w:rsidRPr="00C068F4" w14:paraId="5062384A" w14:textId="77777777" w:rsidTr="00BC520F">
        <w:tc>
          <w:tcPr>
            <w:tcW w:w="394" w:type="dxa"/>
          </w:tcPr>
          <w:p w14:paraId="4E321A2A" w14:textId="77777777" w:rsidR="00C32D0F" w:rsidRPr="00C068F4" w:rsidRDefault="00C32D0F" w:rsidP="00C67183">
            <w:pPr>
              <w:pStyle w:val="ListParagraph"/>
              <w:spacing w:after="0"/>
              <w:ind w:left="0"/>
              <w:rPr>
                <w:rFonts w:ascii="Arial Narrow" w:hAnsi="Arial Narrow"/>
                <w:sz w:val="20"/>
                <w:szCs w:val="20"/>
              </w:rPr>
            </w:pPr>
            <w:r w:rsidRPr="00C068F4">
              <w:rPr>
                <w:rFonts w:ascii="Arial Narrow" w:hAnsi="Arial Narrow"/>
                <w:sz w:val="20"/>
                <w:szCs w:val="20"/>
              </w:rPr>
              <w:t>D</w:t>
            </w:r>
          </w:p>
        </w:tc>
        <w:tc>
          <w:tcPr>
            <w:tcW w:w="4705" w:type="dxa"/>
          </w:tcPr>
          <w:p w14:paraId="7322ABD9" w14:textId="77777777" w:rsidR="00C32D0F" w:rsidRPr="00C068F4" w:rsidRDefault="00C32D0F" w:rsidP="00C67183">
            <w:pPr>
              <w:pStyle w:val="ListParagraph"/>
              <w:spacing w:after="0"/>
              <w:ind w:left="0"/>
              <w:rPr>
                <w:rFonts w:ascii="Arial Narrow" w:hAnsi="Arial Narrow"/>
                <w:sz w:val="20"/>
                <w:szCs w:val="20"/>
              </w:rPr>
            </w:pPr>
            <w:r w:rsidRPr="00C068F4">
              <w:rPr>
                <w:rFonts w:ascii="Arial Narrow" w:hAnsi="Arial Narrow"/>
                <w:kern w:val="24"/>
                <w:sz w:val="20"/>
                <w:szCs w:val="20"/>
              </w:rPr>
              <w:t>Anti-CD20-non Haematological indications</w:t>
            </w:r>
          </w:p>
        </w:tc>
        <w:tc>
          <w:tcPr>
            <w:tcW w:w="3827" w:type="dxa"/>
          </w:tcPr>
          <w:p w14:paraId="1427A7EF" w14:textId="77777777" w:rsidR="00C32D0F" w:rsidRPr="00C068F4" w:rsidRDefault="00C32D0F" w:rsidP="00C67183">
            <w:pPr>
              <w:ind w:left="-360"/>
              <w:jc w:val="center"/>
              <w:rPr>
                <w:rFonts w:ascii="Arial Narrow" w:hAnsi="Arial Narrow"/>
                <w:kern w:val="24"/>
                <w:sz w:val="20"/>
                <w:szCs w:val="20"/>
              </w:rPr>
            </w:pPr>
            <w:r w:rsidRPr="00C068F4">
              <w:rPr>
                <w:rFonts w:ascii="Arial Narrow" w:hAnsi="Arial Narrow"/>
                <w:kern w:val="24"/>
                <w:sz w:val="20"/>
                <w:szCs w:val="20"/>
              </w:rPr>
              <w:t>10% PBS data sample</w:t>
            </w:r>
          </w:p>
        </w:tc>
      </w:tr>
      <w:tr w:rsidR="00C32D0F" w:rsidRPr="00C068F4" w14:paraId="2509DBD8" w14:textId="77777777" w:rsidTr="00BC520F">
        <w:tc>
          <w:tcPr>
            <w:tcW w:w="394" w:type="dxa"/>
          </w:tcPr>
          <w:p w14:paraId="63165F20" w14:textId="77777777" w:rsidR="00C32D0F" w:rsidRPr="00C068F4" w:rsidRDefault="00C32D0F" w:rsidP="00C67183">
            <w:pPr>
              <w:pStyle w:val="ListParagraph"/>
              <w:spacing w:after="0"/>
              <w:ind w:left="0"/>
              <w:rPr>
                <w:rFonts w:ascii="Arial Narrow" w:hAnsi="Arial Narrow"/>
                <w:sz w:val="20"/>
                <w:szCs w:val="20"/>
              </w:rPr>
            </w:pPr>
            <w:r w:rsidRPr="00C068F4">
              <w:rPr>
                <w:rFonts w:ascii="Arial Narrow" w:hAnsi="Arial Narrow"/>
                <w:sz w:val="20"/>
                <w:szCs w:val="20"/>
              </w:rPr>
              <w:t>E</w:t>
            </w:r>
          </w:p>
        </w:tc>
        <w:tc>
          <w:tcPr>
            <w:tcW w:w="4705" w:type="dxa"/>
          </w:tcPr>
          <w:p w14:paraId="6C4C2C35" w14:textId="77777777" w:rsidR="00C32D0F" w:rsidRPr="00C068F4" w:rsidRDefault="00C32D0F" w:rsidP="00C67183">
            <w:pPr>
              <w:pStyle w:val="ListParagraph"/>
              <w:spacing w:after="0"/>
              <w:ind w:left="0"/>
              <w:rPr>
                <w:rFonts w:ascii="Arial Narrow" w:hAnsi="Arial Narrow"/>
                <w:sz w:val="20"/>
                <w:szCs w:val="20"/>
              </w:rPr>
            </w:pPr>
            <w:r w:rsidRPr="00C068F4">
              <w:rPr>
                <w:rFonts w:ascii="Arial Narrow" w:hAnsi="Arial Narrow"/>
                <w:kern w:val="24"/>
                <w:sz w:val="20"/>
                <w:szCs w:val="20"/>
              </w:rPr>
              <w:t xml:space="preserve">Primary immunodeficiency </w:t>
            </w:r>
          </w:p>
        </w:tc>
        <w:tc>
          <w:tcPr>
            <w:tcW w:w="3827" w:type="dxa"/>
          </w:tcPr>
          <w:p w14:paraId="4148E870" w14:textId="77777777" w:rsidR="00C32D0F" w:rsidRPr="00C068F4" w:rsidRDefault="00C32D0F" w:rsidP="00C67183">
            <w:pPr>
              <w:ind w:left="-360"/>
              <w:jc w:val="center"/>
              <w:rPr>
                <w:rFonts w:ascii="Arial Narrow" w:hAnsi="Arial Narrow"/>
                <w:kern w:val="24"/>
                <w:sz w:val="20"/>
                <w:szCs w:val="20"/>
              </w:rPr>
            </w:pPr>
            <w:r w:rsidRPr="00C068F4">
              <w:rPr>
                <w:rFonts w:ascii="Arial Narrow" w:hAnsi="Arial Narrow"/>
                <w:kern w:val="24"/>
                <w:sz w:val="20"/>
                <w:szCs w:val="20"/>
              </w:rPr>
              <w:t>Epi</w:t>
            </w:r>
          </w:p>
        </w:tc>
      </w:tr>
      <w:tr w:rsidR="00C32D0F" w:rsidRPr="00C068F4" w14:paraId="04043398" w14:textId="77777777" w:rsidTr="00BC520F">
        <w:tc>
          <w:tcPr>
            <w:tcW w:w="394" w:type="dxa"/>
          </w:tcPr>
          <w:p w14:paraId="0643A811" w14:textId="77777777" w:rsidR="00C32D0F" w:rsidRPr="00C068F4" w:rsidRDefault="00C32D0F" w:rsidP="00C67183">
            <w:pPr>
              <w:pStyle w:val="ListParagraph"/>
              <w:spacing w:after="0"/>
              <w:ind w:left="0"/>
              <w:rPr>
                <w:rFonts w:ascii="Arial Narrow" w:hAnsi="Arial Narrow"/>
                <w:sz w:val="20"/>
                <w:szCs w:val="20"/>
              </w:rPr>
            </w:pPr>
            <w:r w:rsidRPr="00C068F4">
              <w:rPr>
                <w:rFonts w:ascii="Arial Narrow" w:hAnsi="Arial Narrow"/>
                <w:sz w:val="20"/>
                <w:szCs w:val="20"/>
              </w:rPr>
              <w:t>F</w:t>
            </w:r>
          </w:p>
        </w:tc>
        <w:tc>
          <w:tcPr>
            <w:tcW w:w="4705" w:type="dxa"/>
          </w:tcPr>
          <w:p w14:paraId="6C93494C" w14:textId="77777777" w:rsidR="00C32D0F" w:rsidRPr="00C068F4" w:rsidRDefault="00C32D0F" w:rsidP="00C67183">
            <w:pPr>
              <w:pStyle w:val="ListParagraph"/>
              <w:spacing w:after="0"/>
              <w:ind w:left="0"/>
              <w:rPr>
                <w:rFonts w:ascii="Arial Narrow" w:hAnsi="Arial Narrow"/>
                <w:sz w:val="20"/>
                <w:szCs w:val="20"/>
              </w:rPr>
            </w:pPr>
            <w:r w:rsidRPr="00C068F4">
              <w:rPr>
                <w:rFonts w:ascii="Arial Narrow" w:hAnsi="Arial Narrow"/>
                <w:kern w:val="24"/>
                <w:sz w:val="20"/>
                <w:szCs w:val="20"/>
              </w:rPr>
              <w:t xml:space="preserve">HIV/AIDS resistant to anti-retroviral therapy </w:t>
            </w:r>
          </w:p>
        </w:tc>
        <w:tc>
          <w:tcPr>
            <w:tcW w:w="3827" w:type="dxa"/>
          </w:tcPr>
          <w:p w14:paraId="696FE07E" w14:textId="77777777" w:rsidR="00C32D0F" w:rsidRPr="00C068F4" w:rsidRDefault="00C32D0F" w:rsidP="00C67183">
            <w:pPr>
              <w:ind w:left="-360"/>
              <w:jc w:val="center"/>
              <w:rPr>
                <w:rFonts w:ascii="Arial Narrow" w:eastAsia="Calibri" w:hAnsi="Arial Narrow"/>
                <w:kern w:val="24"/>
                <w:sz w:val="20"/>
                <w:szCs w:val="20"/>
              </w:rPr>
            </w:pPr>
            <w:r w:rsidRPr="00C068F4">
              <w:rPr>
                <w:rFonts w:ascii="Arial Narrow" w:eastAsia="Calibri" w:hAnsi="Arial Narrow"/>
                <w:kern w:val="24"/>
                <w:sz w:val="20"/>
                <w:szCs w:val="20"/>
              </w:rPr>
              <w:t>Epi</w:t>
            </w:r>
          </w:p>
        </w:tc>
      </w:tr>
      <w:tr w:rsidR="00C32D0F" w:rsidRPr="00C068F4" w14:paraId="51F83AF4" w14:textId="77777777" w:rsidTr="00BC520F">
        <w:tc>
          <w:tcPr>
            <w:tcW w:w="394" w:type="dxa"/>
          </w:tcPr>
          <w:p w14:paraId="303BFE53" w14:textId="77777777" w:rsidR="00C32D0F" w:rsidRPr="00C068F4" w:rsidRDefault="00C32D0F" w:rsidP="00C67183">
            <w:pPr>
              <w:pStyle w:val="ListParagraph"/>
              <w:spacing w:after="0"/>
              <w:ind w:left="0"/>
              <w:rPr>
                <w:rFonts w:ascii="Arial Narrow" w:hAnsi="Arial Narrow"/>
                <w:sz w:val="20"/>
                <w:szCs w:val="20"/>
              </w:rPr>
            </w:pPr>
            <w:r w:rsidRPr="00C068F4">
              <w:rPr>
                <w:rFonts w:ascii="Arial Narrow" w:hAnsi="Arial Narrow"/>
                <w:sz w:val="20"/>
                <w:szCs w:val="20"/>
              </w:rPr>
              <w:t>G</w:t>
            </w:r>
          </w:p>
        </w:tc>
        <w:tc>
          <w:tcPr>
            <w:tcW w:w="4705" w:type="dxa"/>
          </w:tcPr>
          <w:p w14:paraId="08988129" w14:textId="77777777" w:rsidR="00C32D0F" w:rsidRPr="00C068F4" w:rsidRDefault="00C32D0F" w:rsidP="00C67183">
            <w:pPr>
              <w:pStyle w:val="ListParagraph"/>
              <w:spacing w:after="0"/>
              <w:ind w:left="0"/>
              <w:rPr>
                <w:rFonts w:ascii="Arial Narrow" w:hAnsi="Arial Narrow"/>
                <w:sz w:val="20"/>
                <w:szCs w:val="20"/>
              </w:rPr>
            </w:pPr>
            <w:r w:rsidRPr="00C068F4">
              <w:rPr>
                <w:rFonts w:ascii="Arial Narrow" w:hAnsi="Arial Narrow"/>
                <w:kern w:val="24"/>
                <w:sz w:val="20"/>
                <w:szCs w:val="20"/>
              </w:rPr>
              <w:t>High dose corticosteroids , 6+ scripts</w:t>
            </w:r>
          </w:p>
        </w:tc>
        <w:tc>
          <w:tcPr>
            <w:tcW w:w="3827" w:type="dxa"/>
          </w:tcPr>
          <w:p w14:paraId="5D9FAE8D" w14:textId="77777777" w:rsidR="00C32D0F" w:rsidRPr="00C068F4" w:rsidRDefault="00C32D0F" w:rsidP="00C67183">
            <w:pPr>
              <w:ind w:left="-360"/>
              <w:jc w:val="center"/>
              <w:rPr>
                <w:rFonts w:ascii="Arial Narrow" w:hAnsi="Arial Narrow"/>
                <w:kern w:val="24"/>
                <w:sz w:val="20"/>
                <w:szCs w:val="20"/>
              </w:rPr>
            </w:pPr>
            <w:r w:rsidRPr="00C068F4">
              <w:rPr>
                <w:rFonts w:ascii="Arial Narrow" w:hAnsi="Arial Narrow"/>
                <w:kern w:val="24"/>
                <w:sz w:val="20"/>
                <w:szCs w:val="20"/>
              </w:rPr>
              <w:t>10% PBS data sample</w:t>
            </w:r>
          </w:p>
        </w:tc>
      </w:tr>
      <w:tr w:rsidR="00C32D0F" w:rsidRPr="00C068F4" w14:paraId="7CA0D977" w14:textId="77777777" w:rsidTr="00BC520F">
        <w:tc>
          <w:tcPr>
            <w:tcW w:w="394" w:type="dxa"/>
          </w:tcPr>
          <w:p w14:paraId="3AFA736A" w14:textId="77777777" w:rsidR="00C32D0F" w:rsidRPr="00C068F4" w:rsidRDefault="00C32D0F" w:rsidP="00C67183">
            <w:pPr>
              <w:pStyle w:val="ListParagraph"/>
              <w:spacing w:after="0"/>
              <w:ind w:left="0"/>
              <w:rPr>
                <w:rFonts w:ascii="Arial Narrow" w:hAnsi="Arial Narrow"/>
                <w:sz w:val="20"/>
                <w:szCs w:val="20"/>
              </w:rPr>
            </w:pPr>
            <w:r w:rsidRPr="00C068F4">
              <w:rPr>
                <w:rFonts w:ascii="Arial Narrow" w:hAnsi="Arial Narrow"/>
                <w:sz w:val="20"/>
                <w:szCs w:val="20"/>
              </w:rPr>
              <w:t>H</w:t>
            </w:r>
          </w:p>
        </w:tc>
        <w:tc>
          <w:tcPr>
            <w:tcW w:w="4705" w:type="dxa"/>
          </w:tcPr>
          <w:p w14:paraId="352A7C01" w14:textId="77777777" w:rsidR="00C32D0F" w:rsidRPr="00C068F4" w:rsidRDefault="00C32D0F" w:rsidP="00C67183">
            <w:pPr>
              <w:pStyle w:val="ListParagraph"/>
              <w:spacing w:after="0"/>
              <w:ind w:left="0"/>
              <w:rPr>
                <w:rFonts w:ascii="Arial Narrow" w:hAnsi="Arial Narrow"/>
                <w:b/>
                <w:bCs/>
                <w:sz w:val="20"/>
                <w:szCs w:val="20"/>
              </w:rPr>
            </w:pPr>
            <w:r w:rsidRPr="00C068F4">
              <w:rPr>
                <w:rFonts w:ascii="Arial Narrow" w:hAnsi="Arial Narrow"/>
                <w:kern w:val="24"/>
                <w:sz w:val="20"/>
                <w:szCs w:val="20"/>
              </w:rPr>
              <w:t>Solid malignancies on treatment</w:t>
            </w:r>
          </w:p>
        </w:tc>
        <w:tc>
          <w:tcPr>
            <w:tcW w:w="3827" w:type="dxa"/>
          </w:tcPr>
          <w:p w14:paraId="39E40BAE" w14:textId="77777777" w:rsidR="00C32D0F" w:rsidRPr="00C068F4" w:rsidRDefault="00C32D0F" w:rsidP="00C67183">
            <w:pPr>
              <w:ind w:left="-360"/>
              <w:jc w:val="center"/>
              <w:rPr>
                <w:rFonts w:ascii="Arial Narrow" w:hAnsi="Arial Narrow"/>
                <w:sz w:val="20"/>
                <w:szCs w:val="20"/>
              </w:rPr>
            </w:pPr>
            <w:r w:rsidRPr="00C068F4">
              <w:rPr>
                <w:rFonts w:ascii="Arial Narrow" w:hAnsi="Arial Narrow"/>
                <w:kern w:val="24"/>
                <w:sz w:val="20"/>
                <w:szCs w:val="20"/>
              </w:rPr>
              <w:t>10% PBS data sample</w:t>
            </w:r>
          </w:p>
        </w:tc>
      </w:tr>
      <w:tr w:rsidR="00C32D0F" w:rsidRPr="00C068F4" w14:paraId="4F8A7095" w14:textId="77777777" w:rsidTr="00BC520F">
        <w:tc>
          <w:tcPr>
            <w:tcW w:w="394" w:type="dxa"/>
          </w:tcPr>
          <w:p w14:paraId="41C3A078" w14:textId="77777777" w:rsidR="00C32D0F" w:rsidRPr="00C068F4" w:rsidRDefault="00C32D0F" w:rsidP="00C67183">
            <w:pPr>
              <w:pStyle w:val="ListParagraph"/>
              <w:spacing w:after="0"/>
              <w:ind w:left="0"/>
              <w:rPr>
                <w:rFonts w:ascii="Arial Narrow" w:hAnsi="Arial Narrow"/>
                <w:sz w:val="20"/>
                <w:szCs w:val="20"/>
              </w:rPr>
            </w:pPr>
            <w:r w:rsidRPr="00C068F4">
              <w:rPr>
                <w:rFonts w:ascii="Arial Narrow" w:hAnsi="Arial Narrow"/>
                <w:sz w:val="20"/>
                <w:szCs w:val="20"/>
              </w:rPr>
              <w:t>I</w:t>
            </w:r>
          </w:p>
        </w:tc>
        <w:tc>
          <w:tcPr>
            <w:tcW w:w="4705" w:type="dxa"/>
          </w:tcPr>
          <w:p w14:paraId="08EFE75A" w14:textId="77777777" w:rsidR="00C32D0F" w:rsidRPr="00C068F4" w:rsidRDefault="00C32D0F" w:rsidP="00C67183">
            <w:pPr>
              <w:pStyle w:val="ListParagraph"/>
              <w:spacing w:after="0"/>
              <w:ind w:left="0"/>
              <w:rPr>
                <w:rFonts w:ascii="Arial Narrow" w:hAnsi="Arial Narrow"/>
                <w:b/>
                <w:bCs/>
                <w:sz w:val="20"/>
                <w:szCs w:val="20"/>
              </w:rPr>
            </w:pPr>
            <w:r w:rsidRPr="00C068F4">
              <w:rPr>
                <w:rFonts w:ascii="Arial Narrow" w:hAnsi="Arial Narrow"/>
                <w:kern w:val="24"/>
                <w:sz w:val="20"/>
                <w:szCs w:val="20"/>
              </w:rPr>
              <w:t xml:space="preserve">CD52 antibodies +Anti-complement antibodies </w:t>
            </w:r>
          </w:p>
        </w:tc>
        <w:tc>
          <w:tcPr>
            <w:tcW w:w="3827" w:type="dxa"/>
          </w:tcPr>
          <w:p w14:paraId="768B0D4E" w14:textId="77777777" w:rsidR="00C32D0F" w:rsidRPr="00C068F4" w:rsidRDefault="00C32D0F" w:rsidP="00C67183">
            <w:pPr>
              <w:ind w:left="-360"/>
              <w:jc w:val="center"/>
              <w:rPr>
                <w:rFonts w:ascii="Arial Narrow" w:hAnsi="Arial Narrow"/>
                <w:sz w:val="20"/>
                <w:szCs w:val="20"/>
              </w:rPr>
            </w:pPr>
            <w:r w:rsidRPr="00C068F4">
              <w:rPr>
                <w:rFonts w:ascii="Arial Narrow" w:hAnsi="Arial Narrow"/>
                <w:kern w:val="24"/>
                <w:sz w:val="20"/>
                <w:szCs w:val="20"/>
              </w:rPr>
              <w:t>10% PBS data sample</w:t>
            </w:r>
          </w:p>
        </w:tc>
      </w:tr>
      <w:tr w:rsidR="00C32D0F" w:rsidRPr="00C068F4" w14:paraId="19666341" w14:textId="77777777" w:rsidTr="00BC520F">
        <w:tc>
          <w:tcPr>
            <w:tcW w:w="394" w:type="dxa"/>
          </w:tcPr>
          <w:p w14:paraId="0D0DD8BA" w14:textId="77777777" w:rsidR="00C32D0F" w:rsidRPr="00C068F4" w:rsidRDefault="00C32D0F" w:rsidP="00C67183">
            <w:pPr>
              <w:pStyle w:val="ListParagraph"/>
              <w:spacing w:after="0"/>
              <w:ind w:left="0"/>
              <w:rPr>
                <w:rFonts w:ascii="Arial Narrow" w:hAnsi="Arial Narrow"/>
                <w:sz w:val="20"/>
                <w:szCs w:val="20"/>
              </w:rPr>
            </w:pPr>
            <w:r w:rsidRPr="00C068F4">
              <w:rPr>
                <w:rFonts w:ascii="Arial Narrow" w:hAnsi="Arial Narrow"/>
                <w:sz w:val="20"/>
                <w:szCs w:val="20"/>
              </w:rPr>
              <w:t>J</w:t>
            </w:r>
          </w:p>
        </w:tc>
        <w:tc>
          <w:tcPr>
            <w:tcW w:w="4705" w:type="dxa"/>
          </w:tcPr>
          <w:p w14:paraId="67400DD1" w14:textId="77777777" w:rsidR="00C32D0F" w:rsidRPr="00C068F4" w:rsidRDefault="00C32D0F" w:rsidP="00C67183">
            <w:pPr>
              <w:pStyle w:val="ListParagraph"/>
              <w:spacing w:after="0"/>
              <w:ind w:left="0"/>
              <w:rPr>
                <w:rFonts w:ascii="Arial Narrow" w:hAnsi="Arial Narrow"/>
                <w:b/>
                <w:bCs/>
                <w:sz w:val="20"/>
                <w:szCs w:val="20"/>
              </w:rPr>
            </w:pPr>
            <w:r w:rsidRPr="00C068F4">
              <w:rPr>
                <w:rFonts w:ascii="Arial Narrow" w:eastAsiaTheme="minorEastAsia" w:hAnsi="Arial Narrow"/>
                <w:kern w:val="24"/>
                <w:sz w:val="20"/>
                <w:szCs w:val="20"/>
              </w:rPr>
              <w:t xml:space="preserve">S1-PRM </w:t>
            </w:r>
          </w:p>
        </w:tc>
        <w:tc>
          <w:tcPr>
            <w:tcW w:w="3827" w:type="dxa"/>
          </w:tcPr>
          <w:p w14:paraId="1F5EF840" w14:textId="77777777" w:rsidR="00C32D0F" w:rsidRPr="00C068F4" w:rsidRDefault="00C32D0F" w:rsidP="00C67183">
            <w:pPr>
              <w:ind w:left="-360"/>
              <w:jc w:val="center"/>
              <w:rPr>
                <w:rFonts w:ascii="Arial Narrow" w:hAnsi="Arial Narrow"/>
                <w:sz w:val="20"/>
                <w:szCs w:val="20"/>
              </w:rPr>
            </w:pPr>
            <w:r w:rsidRPr="00C068F4">
              <w:rPr>
                <w:rFonts w:ascii="Arial Narrow" w:hAnsi="Arial Narrow"/>
                <w:kern w:val="24"/>
                <w:sz w:val="20"/>
                <w:szCs w:val="20"/>
              </w:rPr>
              <w:t>10% PBS data sample</w:t>
            </w:r>
          </w:p>
        </w:tc>
      </w:tr>
      <w:tr w:rsidR="00C32D0F" w:rsidRPr="00C068F4" w14:paraId="6149A221" w14:textId="77777777" w:rsidTr="00BC520F">
        <w:tc>
          <w:tcPr>
            <w:tcW w:w="394" w:type="dxa"/>
          </w:tcPr>
          <w:p w14:paraId="07FA6A57" w14:textId="77777777" w:rsidR="00C32D0F" w:rsidRPr="00C068F4" w:rsidRDefault="00C32D0F" w:rsidP="00C67183">
            <w:pPr>
              <w:pStyle w:val="ListParagraph"/>
              <w:spacing w:after="0"/>
              <w:ind w:left="0"/>
              <w:rPr>
                <w:rFonts w:ascii="Arial Narrow" w:hAnsi="Arial Narrow"/>
                <w:sz w:val="20"/>
                <w:szCs w:val="20"/>
              </w:rPr>
            </w:pPr>
            <w:r w:rsidRPr="00C068F4">
              <w:rPr>
                <w:rFonts w:ascii="Arial Narrow" w:hAnsi="Arial Narrow"/>
                <w:sz w:val="20"/>
                <w:szCs w:val="20"/>
              </w:rPr>
              <w:t>K</w:t>
            </w:r>
          </w:p>
        </w:tc>
        <w:tc>
          <w:tcPr>
            <w:tcW w:w="4705" w:type="dxa"/>
          </w:tcPr>
          <w:p w14:paraId="2CCE4826" w14:textId="7E98B5DB" w:rsidR="00C32D0F" w:rsidRPr="00C068F4" w:rsidRDefault="00C32D0F" w:rsidP="00C67183">
            <w:pPr>
              <w:pStyle w:val="ListParagraph"/>
              <w:spacing w:after="0"/>
              <w:ind w:left="0"/>
              <w:rPr>
                <w:rFonts w:ascii="Arial Narrow" w:hAnsi="Arial Narrow"/>
                <w:b/>
                <w:bCs/>
                <w:sz w:val="20"/>
                <w:szCs w:val="20"/>
              </w:rPr>
            </w:pPr>
            <w:r w:rsidRPr="00C068F4">
              <w:rPr>
                <w:rFonts w:ascii="Arial Narrow" w:eastAsia="Calibri" w:hAnsi="Arial Narrow"/>
                <w:kern w:val="24"/>
                <w:sz w:val="20"/>
                <w:szCs w:val="20"/>
              </w:rPr>
              <w:t>J</w:t>
            </w:r>
            <w:r w:rsidR="00D005C7" w:rsidRPr="00C068F4">
              <w:rPr>
                <w:rFonts w:ascii="Arial Narrow" w:eastAsia="Calibri" w:hAnsi="Arial Narrow"/>
                <w:kern w:val="24"/>
                <w:sz w:val="20"/>
                <w:szCs w:val="20"/>
              </w:rPr>
              <w:t>A</w:t>
            </w:r>
            <w:r w:rsidR="00A737D3" w:rsidRPr="00C068F4">
              <w:rPr>
                <w:rFonts w:ascii="Arial Narrow" w:eastAsia="Calibri" w:hAnsi="Arial Narrow"/>
                <w:kern w:val="24"/>
                <w:sz w:val="20"/>
                <w:szCs w:val="20"/>
              </w:rPr>
              <w:t>K</w:t>
            </w:r>
            <w:r w:rsidRPr="00C068F4">
              <w:rPr>
                <w:rFonts w:ascii="Arial Narrow" w:eastAsia="Calibri" w:hAnsi="Arial Narrow"/>
                <w:kern w:val="24"/>
                <w:sz w:val="20"/>
                <w:szCs w:val="20"/>
              </w:rPr>
              <w:t xml:space="preserve">-Inhibitors </w:t>
            </w:r>
          </w:p>
        </w:tc>
        <w:tc>
          <w:tcPr>
            <w:tcW w:w="3827" w:type="dxa"/>
          </w:tcPr>
          <w:p w14:paraId="00B2AAA8" w14:textId="77777777" w:rsidR="00C32D0F" w:rsidRPr="00C068F4" w:rsidRDefault="00C32D0F" w:rsidP="00C67183">
            <w:pPr>
              <w:ind w:left="-360"/>
              <w:jc w:val="center"/>
              <w:rPr>
                <w:rFonts w:ascii="Arial Narrow" w:hAnsi="Arial Narrow"/>
                <w:sz w:val="20"/>
                <w:szCs w:val="20"/>
              </w:rPr>
            </w:pPr>
            <w:r w:rsidRPr="00C068F4">
              <w:rPr>
                <w:rFonts w:ascii="Arial Narrow" w:hAnsi="Arial Narrow"/>
                <w:kern w:val="24"/>
                <w:sz w:val="20"/>
                <w:szCs w:val="20"/>
              </w:rPr>
              <w:t>10% PBS data sample</w:t>
            </w:r>
          </w:p>
        </w:tc>
      </w:tr>
      <w:tr w:rsidR="00C32D0F" w:rsidRPr="00C068F4" w14:paraId="36055D42" w14:textId="77777777" w:rsidTr="00BC520F">
        <w:tc>
          <w:tcPr>
            <w:tcW w:w="394" w:type="dxa"/>
          </w:tcPr>
          <w:p w14:paraId="60DDC78B" w14:textId="77777777" w:rsidR="00C32D0F" w:rsidRPr="00C068F4" w:rsidRDefault="00C32D0F" w:rsidP="00C67183">
            <w:pPr>
              <w:pStyle w:val="ListParagraph"/>
              <w:spacing w:after="0"/>
              <w:ind w:left="0"/>
              <w:rPr>
                <w:rFonts w:ascii="Arial Narrow" w:hAnsi="Arial Narrow"/>
                <w:sz w:val="20"/>
                <w:szCs w:val="20"/>
              </w:rPr>
            </w:pPr>
            <w:r w:rsidRPr="00C068F4">
              <w:rPr>
                <w:rFonts w:ascii="Arial Narrow" w:hAnsi="Arial Narrow"/>
                <w:sz w:val="20"/>
                <w:szCs w:val="20"/>
              </w:rPr>
              <w:t>L</w:t>
            </w:r>
          </w:p>
        </w:tc>
        <w:tc>
          <w:tcPr>
            <w:tcW w:w="4705" w:type="dxa"/>
          </w:tcPr>
          <w:p w14:paraId="373D18F5" w14:textId="77777777" w:rsidR="00C32D0F" w:rsidRPr="00C068F4" w:rsidRDefault="00C32D0F" w:rsidP="00C67183">
            <w:pPr>
              <w:pStyle w:val="ListParagraph"/>
              <w:spacing w:after="0"/>
              <w:ind w:left="0"/>
              <w:rPr>
                <w:rFonts w:ascii="Arial Narrow" w:hAnsi="Arial Narrow"/>
                <w:b/>
                <w:bCs/>
                <w:sz w:val="20"/>
                <w:szCs w:val="20"/>
              </w:rPr>
            </w:pPr>
            <w:r w:rsidRPr="00C068F4">
              <w:rPr>
                <w:rFonts w:ascii="Arial Narrow" w:eastAsia="Calibri" w:hAnsi="Arial Narrow"/>
                <w:kern w:val="24"/>
                <w:sz w:val="20"/>
                <w:szCs w:val="20"/>
              </w:rPr>
              <w:t>csDMARDs other indications</w:t>
            </w:r>
          </w:p>
        </w:tc>
        <w:tc>
          <w:tcPr>
            <w:tcW w:w="3827" w:type="dxa"/>
          </w:tcPr>
          <w:p w14:paraId="3DF33357" w14:textId="77777777" w:rsidR="00C32D0F" w:rsidRPr="00C068F4" w:rsidRDefault="00C32D0F" w:rsidP="00C67183">
            <w:pPr>
              <w:ind w:left="-360"/>
              <w:jc w:val="center"/>
              <w:rPr>
                <w:rFonts w:ascii="Arial Narrow" w:eastAsia="Calibri" w:hAnsi="Arial Narrow"/>
                <w:kern w:val="24"/>
                <w:sz w:val="20"/>
                <w:szCs w:val="20"/>
              </w:rPr>
            </w:pPr>
            <w:r w:rsidRPr="00C068F4">
              <w:rPr>
                <w:rFonts w:ascii="Arial Narrow" w:hAnsi="Arial Narrow"/>
                <w:kern w:val="24"/>
                <w:sz w:val="20"/>
                <w:szCs w:val="20"/>
              </w:rPr>
              <w:t>10% PBS data sample</w:t>
            </w:r>
          </w:p>
        </w:tc>
      </w:tr>
      <w:tr w:rsidR="00C32D0F" w:rsidRPr="00C068F4" w14:paraId="114002D4" w14:textId="77777777" w:rsidTr="00BC520F">
        <w:tc>
          <w:tcPr>
            <w:tcW w:w="394" w:type="dxa"/>
          </w:tcPr>
          <w:p w14:paraId="06D77FDA" w14:textId="77777777" w:rsidR="00C32D0F" w:rsidRPr="00C068F4" w:rsidRDefault="00C32D0F" w:rsidP="00C67183">
            <w:pPr>
              <w:pStyle w:val="ListParagraph"/>
              <w:spacing w:after="0"/>
              <w:ind w:left="0"/>
              <w:rPr>
                <w:rFonts w:ascii="Arial Narrow" w:hAnsi="Arial Narrow"/>
                <w:sz w:val="20"/>
                <w:szCs w:val="20"/>
              </w:rPr>
            </w:pPr>
            <w:r w:rsidRPr="00C068F4">
              <w:rPr>
                <w:rFonts w:ascii="Arial Narrow" w:hAnsi="Arial Narrow"/>
                <w:sz w:val="20"/>
                <w:szCs w:val="20"/>
              </w:rPr>
              <w:t>M</w:t>
            </w:r>
          </w:p>
        </w:tc>
        <w:tc>
          <w:tcPr>
            <w:tcW w:w="4705" w:type="dxa"/>
          </w:tcPr>
          <w:p w14:paraId="14507DA1" w14:textId="77777777" w:rsidR="00C32D0F" w:rsidRPr="00C068F4" w:rsidRDefault="00C32D0F" w:rsidP="00C67183">
            <w:pPr>
              <w:pStyle w:val="ListParagraph"/>
              <w:spacing w:after="0"/>
              <w:ind w:left="0"/>
              <w:rPr>
                <w:rFonts w:ascii="Arial Narrow" w:hAnsi="Arial Narrow"/>
                <w:b/>
                <w:bCs/>
                <w:sz w:val="20"/>
                <w:szCs w:val="20"/>
              </w:rPr>
            </w:pPr>
            <w:r w:rsidRPr="00C068F4">
              <w:rPr>
                <w:rFonts w:ascii="Arial Narrow" w:hAnsi="Arial Narrow"/>
                <w:kern w:val="24"/>
                <w:sz w:val="20"/>
                <w:szCs w:val="20"/>
              </w:rPr>
              <w:t xml:space="preserve">Dialysis </w:t>
            </w:r>
          </w:p>
        </w:tc>
        <w:tc>
          <w:tcPr>
            <w:tcW w:w="3827" w:type="dxa"/>
          </w:tcPr>
          <w:p w14:paraId="6EF03C23" w14:textId="77777777" w:rsidR="00C32D0F" w:rsidRPr="00C068F4" w:rsidRDefault="00C32D0F" w:rsidP="00C67183">
            <w:pPr>
              <w:ind w:left="-360"/>
              <w:jc w:val="center"/>
              <w:rPr>
                <w:rFonts w:ascii="Arial Narrow" w:hAnsi="Arial Narrow"/>
                <w:sz w:val="20"/>
                <w:szCs w:val="20"/>
              </w:rPr>
            </w:pPr>
            <w:r w:rsidRPr="00C068F4">
              <w:rPr>
                <w:rFonts w:ascii="Arial Narrow" w:hAnsi="Arial Narrow"/>
                <w:sz w:val="20"/>
                <w:szCs w:val="20"/>
              </w:rPr>
              <w:t>Epi</w:t>
            </w:r>
          </w:p>
        </w:tc>
      </w:tr>
      <w:tr w:rsidR="00C32D0F" w:rsidRPr="00C068F4" w14:paraId="0C5339E8" w14:textId="77777777" w:rsidTr="00BC520F">
        <w:tc>
          <w:tcPr>
            <w:tcW w:w="394" w:type="dxa"/>
          </w:tcPr>
          <w:p w14:paraId="5FB93915" w14:textId="77777777" w:rsidR="00C32D0F" w:rsidRPr="00C068F4" w:rsidRDefault="00C32D0F" w:rsidP="00C67183">
            <w:pPr>
              <w:pStyle w:val="ListParagraph"/>
              <w:spacing w:after="0"/>
              <w:ind w:left="0"/>
              <w:rPr>
                <w:rFonts w:ascii="Arial Narrow" w:hAnsi="Arial Narrow"/>
                <w:sz w:val="20"/>
                <w:szCs w:val="20"/>
              </w:rPr>
            </w:pPr>
            <w:r w:rsidRPr="00C068F4">
              <w:rPr>
                <w:rFonts w:ascii="Arial Narrow" w:hAnsi="Arial Narrow"/>
                <w:sz w:val="20"/>
                <w:szCs w:val="20"/>
              </w:rPr>
              <w:t>N</w:t>
            </w:r>
          </w:p>
        </w:tc>
        <w:tc>
          <w:tcPr>
            <w:tcW w:w="4705" w:type="dxa"/>
          </w:tcPr>
          <w:p w14:paraId="5FCFD210" w14:textId="77777777" w:rsidR="00C32D0F" w:rsidRPr="00C068F4" w:rsidRDefault="00C32D0F" w:rsidP="00C67183">
            <w:pPr>
              <w:pStyle w:val="ListParagraph"/>
              <w:spacing w:after="0"/>
              <w:ind w:left="0"/>
              <w:rPr>
                <w:rFonts w:ascii="Arial Narrow" w:hAnsi="Arial Narrow"/>
                <w:kern w:val="24"/>
                <w:sz w:val="20"/>
                <w:szCs w:val="20"/>
              </w:rPr>
            </w:pPr>
            <w:r w:rsidRPr="00C068F4">
              <w:rPr>
                <w:rFonts w:ascii="Arial Narrow" w:hAnsi="Arial Narrow"/>
                <w:kern w:val="24"/>
                <w:sz w:val="20"/>
                <w:szCs w:val="20"/>
              </w:rPr>
              <w:t>Contraindicated to COVID-19 vaccines</w:t>
            </w:r>
          </w:p>
        </w:tc>
        <w:tc>
          <w:tcPr>
            <w:tcW w:w="3827" w:type="dxa"/>
          </w:tcPr>
          <w:p w14:paraId="42BA9E2F" w14:textId="77777777" w:rsidR="00C32D0F" w:rsidRPr="00C068F4" w:rsidRDefault="00C32D0F" w:rsidP="00C67183">
            <w:pPr>
              <w:ind w:left="-360"/>
              <w:jc w:val="center"/>
              <w:rPr>
                <w:rFonts w:ascii="Arial Narrow" w:hAnsi="Arial Narrow"/>
                <w:sz w:val="20"/>
                <w:szCs w:val="20"/>
              </w:rPr>
            </w:pPr>
            <w:r w:rsidRPr="00C068F4">
              <w:rPr>
                <w:rFonts w:ascii="Arial Narrow" w:hAnsi="Arial Narrow"/>
                <w:sz w:val="20"/>
                <w:szCs w:val="20"/>
              </w:rPr>
              <w:t>Assumption</w:t>
            </w:r>
          </w:p>
        </w:tc>
      </w:tr>
    </w:tbl>
    <w:p w14:paraId="6FE14209" w14:textId="77777777" w:rsidR="00C32D0F" w:rsidRPr="00C068F4" w:rsidRDefault="00C32D0F" w:rsidP="00C32D0F">
      <w:pPr>
        <w:pStyle w:val="3-BodyText"/>
        <w:numPr>
          <w:ilvl w:val="0"/>
          <w:numId w:val="0"/>
        </w:numPr>
        <w:rPr>
          <w:rFonts w:ascii="Arial Narrow" w:hAnsi="Arial Narrow"/>
          <w:sz w:val="18"/>
          <w:szCs w:val="22"/>
        </w:rPr>
      </w:pPr>
      <w:r w:rsidRPr="00C068F4">
        <w:rPr>
          <w:rFonts w:ascii="Arial Narrow" w:hAnsi="Arial Narrow"/>
          <w:sz w:val="18"/>
          <w:szCs w:val="22"/>
        </w:rPr>
        <w:t>Source Table 7, Evusheld PBAC submission 4 July 2022, Main Body.</w:t>
      </w:r>
    </w:p>
    <w:p w14:paraId="2FAF3B6C" w14:textId="4B48D012" w:rsidR="00C32D0F" w:rsidRPr="00C068F4" w:rsidRDefault="00C32D0F" w:rsidP="00C32D0F">
      <w:pPr>
        <w:pStyle w:val="3-BodyText"/>
      </w:pPr>
      <w:r w:rsidRPr="00C068F4">
        <w:t xml:space="preserve">The submission uses a mixed approach to estimating the number of </w:t>
      </w:r>
      <w:r w:rsidR="00CB7D83" w:rsidRPr="00C068F4">
        <w:t xml:space="preserve">individuals </w:t>
      </w:r>
      <w:r w:rsidRPr="00C068F4">
        <w:t xml:space="preserve">in each of the 14 </w:t>
      </w:r>
      <w:r w:rsidR="00CB7D83" w:rsidRPr="00C068F4">
        <w:t>sub</w:t>
      </w:r>
      <w:r w:rsidRPr="00C068F4">
        <w:t xml:space="preserve">groups. The submission presents both the estimated number of </w:t>
      </w:r>
      <w:r w:rsidR="00CB7D83" w:rsidRPr="00C068F4">
        <w:t xml:space="preserve">individuals </w:t>
      </w:r>
      <w:r w:rsidRPr="00C068F4">
        <w:t>in each group and a cumulative total in which duplicates are removed.</w:t>
      </w:r>
    </w:p>
    <w:p w14:paraId="39A2FA40" w14:textId="01F1BB12" w:rsidR="00C32D0F" w:rsidRPr="00C068F4" w:rsidRDefault="00C32D0F" w:rsidP="00C32D0F">
      <w:pPr>
        <w:pStyle w:val="3-BodyText"/>
      </w:pPr>
      <w:r w:rsidRPr="00C068F4">
        <w:t>The submission’s estimates of use and financial implications for the first 3 years of listing are reproduced in</w:t>
      </w:r>
      <w:r w:rsidR="00BC520F" w:rsidRPr="00C068F4">
        <w:t xml:space="preserve"> </w:t>
      </w:r>
      <w:r w:rsidR="00BC520F" w:rsidRPr="00C068F4">
        <w:fldChar w:fldCharType="begin" w:fldLock="1"/>
      </w:r>
      <w:r w:rsidR="00BC520F" w:rsidRPr="00C068F4">
        <w:instrText xml:space="preserve"> REF _Ref111127915 \h </w:instrText>
      </w:r>
      <w:r w:rsidR="00BC520F" w:rsidRPr="00C068F4">
        <w:fldChar w:fldCharType="separate"/>
      </w:r>
      <w:r w:rsidR="00AB751C" w:rsidRPr="00C068F4">
        <w:t xml:space="preserve">Table </w:t>
      </w:r>
      <w:r w:rsidR="00AB751C">
        <w:rPr>
          <w:noProof/>
        </w:rPr>
        <w:t>17</w:t>
      </w:r>
      <w:r w:rsidR="00BC520F" w:rsidRPr="00C068F4">
        <w:fldChar w:fldCharType="end"/>
      </w:r>
      <w:r w:rsidRPr="00C068F4">
        <w:t>.</w:t>
      </w:r>
    </w:p>
    <w:p w14:paraId="3C673E4B" w14:textId="599ECBF3" w:rsidR="00C32D0F" w:rsidRPr="00C068F4" w:rsidRDefault="00C32D0F" w:rsidP="00C32D0F">
      <w:pPr>
        <w:pStyle w:val="Caption"/>
      </w:pPr>
      <w:bookmarkStart w:id="108" w:name="_Ref111127915"/>
      <w:bookmarkStart w:id="109" w:name="_Hlk111127950"/>
      <w:r w:rsidRPr="00C068F4">
        <w:t xml:space="preserve">Table </w:t>
      </w:r>
      <w:fldSimple w:instr=" SEQ Table \* ARABIC " w:fldLock="1">
        <w:r w:rsidR="00DB55F2">
          <w:rPr>
            <w:noProof/>
          </w:rPr>
          <w:t>17</w:t>
        </w:r>
      </w:fldSimple>
      <w:bookmarkEnd w:id="108"/>
      <w:r w:rsidRPr="00C068F4">
        <w:t>:</w:t>
      </w:r>
      <w:r w:rsidRPr="00C068F4">
        <w:rPr>
          <w:rStyle w:val="CommentReference"/>
          <w:b/>
          <w:szCs w:val="24"/>
        </w:rPr>
        <w:t xml:space="preserve"> Estimated use and financial implications</w:t>
      </w:r>
    </w:p>
    <w:bookmarkEnd w:id="10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7: Estimated use and financial implications"/>
      </w:tblPr>
      <w:tblGrid>
        <w:gridCol w:w="4819"/>
        <w:gridCol w:w="1399"/>
        <w:gridCol w:w="1401"/>
        <w:gridCol w:w="1398"/>
      </w:tblGrid>
      <w:tr w:rsidR="00EA1E09" w:rsidRPr="00C068F4" w14:paraId="6CEC9E7A" w14:textId="77777777" w:rsidTr="00F35A12">
        <w:trPr>
          <w:tblHeader/>
        </w:trPr>
        <w:tc>
          <w:tcPr>
            <w:tcW w:w="2672" w:type="pct"/>
            <w:shd w:val="clear" w:color="auto" w:fill="auto"/>
            <w:vAlign w:val="center"/>
          </w:tcPr>
          <w:p w14:paraId="5FCDA34D" w14:textId="77777777" w:rsidR="00EA1E09" w:rsidRPr="00C068F4" w:rsidRDefault="00EA1E09" w:rsidP="00EA1E09">
            <w:pPr>
              <w:pStyle w:val="In-tableHeading"/>
              <w:rPr>
                <w:lang w:val="en-AU"/>
              </w:rPr>
            </w:pPr>
          </w:p>
        </w:tc>
        <w:tc>
          <w:tcPr>
            <w:tcW w:w="776" w:type="pct"/>
            <w:shd w:val="clear" w:color="auto" w:fill="auto"/>
            <w:vAlign w:val="center"/>
          </w:tcPr>
          <w:p w14:paraId="6EFEBBED" w14:textId="77777777" w:rsidR="00EA1E09" w:rsidRPr="00C068F4" w:rsidRDefault="00EA1E09" w:rsidP="00EA1E09">
            <w:pPr>
              <w:pStyle w:val="In-tableHeading"/>
              <w:rPr>
                <w:lang w:val="en-AU"/>
              </w:rPr>
            </w:pPr>
            <w:r w:rsidRPr="00C068F4">
              <w:rPr>
                <w:lang w:val="en-AU"/>
              </w:rPr>
              <w:t>Year 1</w:t>
            </w:r>
          </w:p>
        </w:tc>
        <w:tc>
          <w:tcPr>
            <w:tcW w:w="777" w:type="pct"/>
            <w:shd w:val="clear" w:color="auto" w:fill="auto"/>
            <w:vAlign w:val="center"/>
          </w:tcPr>
          <w:p w14:paraId="3D7C7613" w14:textId="77777777" w:rsidR="00EA1E09" w:rsidRPr="00C068F4" w:rsidRDefault="00EA1E09" w:rsidP="00EA1E09">
            <w:pPr>
              <w:pStyle w:val="In-tableHeading"/>
              <w:rPr>
                <w:lang w:val="en-AU"/>
              </w:rPr>
            </w:pPr>
            <w:r w:rsidRPr="00C068F4">
              <w:rPr>
                <w:lang w:val="en-AU"/>
              </w:rPr>
              <w:t>Year 2</w:t>
            </w:r>
          </w:p>
        </w:tc>
        <w:tc>
          <w:tcPr>
            <w:tcW w:w="775" w:type="pct"/>
            <w:shd w:val="clear" w:color="auto" w:fill="auto"/>
            <w:vAlign w:val="center"/>
          </w:tcPr>
          <w:p w14:paraId="6ACA7DDB" w14:textId="77777777" w:rsidR="00EA1E09" w:rsidRPr="00C068F4" w:rsidRDefault="00EA1E09" w:rsidP="00EA1E09">
            <w:pPr>
              <w:pStyle w:val="In-tableHeading"/>
              <w:rPr>
                <w:lang w:val="en-AU"/>
              </w:rPr>
            </w:pPr>
            <w:r w:rsidRPr="00C068F4">
              <w:rPr>
                <w:lang w:val="en-AU"/>
              </w:rPr>
              <w:t>Year 3</w:t>
            </w:r>
          </w:p>
        </w:tc>
      </w:tr>
      <w:tr w:rsidR="00F35A12" w:rsidRPr="00C068F4" w14:paraId="68C8805D" w14:textId="77777777" w:rsidTr="00F35A12">
        <w:trPr>
          <w:tblHeader/>
        </w:trPr>
        <w:tc>
          <w:tcPr>
            <w:tcW w:w="5000" w:type="pct"/>
            <w:gridSpan w:val="4"/>
            <w:shd w:val="clear" w:color="auto" w:fill="auto"/>
            <w:vAlign w:val="center"/>
          </w:tcPr>
          <w:p w14:paraId="324ABB11" w14:textId="532C30E5" w:rsidR="00F35A12" w:rsidRPr="00C068F4" w:rsidRDefault="00F35A12" w:rsidP="00EA1E09">
            <w:pPr>
              <w:pStyle w:val="In-tableHeading"/>
              <w:rPr>
                <w:lang w:val="en-AU"/>
              </w:rPr>
            </w:pPr>
            <w:r w:rsidRPr="00C068F4">
              <w:rPr>
                <w:lang w:val="en-AU"/>
              </w:rPr>
              <w:t>Estimated extent of use</w:t>
            </w:r>
          </w:p>
        </w:tc>
      </w:tr>
      <w:tr w:rsidR="00EA1E09" w:rsidRPr="00C068F4" w14:paraId="09786257" w14:textId="77777777" w:rsidTr="00F35A12">
        <w:tc>
          <w:tcPr>
            <w:tcW w:w="2672" w:type="pct"/>
            <w:shd w:val="clear" w:color="auto" w:fill="auto"/>
            <w:vAlign w:val="center"/>
          </w:tcPr>
          <w:p w14:paraId="203AB36D" w14:textId="77777777" w:rsidR="00EA1E09" w:rsidRPr="00C068F4" w:rsidRDefault="00EA1E09" w:rsidP="00EA1E09">
            <w:pPr>
              <w:pStyle w:val="TableText0"/>
            </w:pPr>
            <w:r w:rsidRPr="00C068F4">
              <w:t>Number of patients treated</w:t>
            </w:r>
          </w:p>
        </w:tc>
        <w:tc>
          <w:tcPr>
            <w:tcW w:w="776" w:type="pct"/>
            <w:shd w:val="clear" w:color="auto" w:fill="auto"/>
            <w:vAlign w:val="center"/>
          </w:tcPr>
          <w:p w14:paraId="070213F9" w14:textId="08413707" w:rsidR="00EA1E09" w:rsidRPr="005B5977" w:rsidRDefault="00D61370" w:rsidP="00EA1E09">
            <w:pPr>
              <w:pStyle w:val="TableText0"/>
              <w:rPr>
                <w:vertAlign w:val="superscript"/>
              </w:rPr>
            </w:pPr>
            <w:r w:rsidRPr="00157ED3">
              <w:rPr>
                <w:color w:val="000000"/>
                <w:spacing w:val="47"/>
                <w:shd w:val="solid" w:color="000000" w:fill="000000"/>
                <w:fitText w:val="495" w:id="-1425249271"/>
                <w14:textFill>
                  <w14:solidFill>
                    <w14:srgbClr w14:val="000000">
                      <w14:alpha w14:val="100000"/>
                    </w14:srgbClr>
                  </w14:solidFill>
                </w14:textFill>
              </w:rPr>
              <w:t>|||||</w:t>
            </w:r>
            <w:r w:rsidRPr="00157ED3">
              <w:rPr>
                <w:color w:val="000000"/>
                <w:spacing w:val="5"/>
                <w:shd w:val="solid" w:color="000000" w:fill="000000"/>
                <w:fitText w:val="495" w:id="-1425249271"/>
                <w14:textFill>
                  <w14:solidFill>
                    <w14:srgbClr w14:val="000000">
                      <w14:alpha w14:val="100000"/>
                    </w14:srgbClr>
                  </w14:solidFill>
                </w14:textFill>
              </w:rPr>
              <w:t>|</w:t>
            </w:r>
            <w:r w:rsidR="005B5977">
              <w:rPr>
                <w:vertAlign w:val="superscript"/>
              </w:rPr>
              <w:t>1</w:t>
            </w:r>
          </w:p>
        </w:tc>
        <w:tc>
          <w:tcPr>
            <w:tcW w:w="777" w:type="pct"/>
            <w:shd w:val="clear" w:color="auto" w:fill="auto"/>
            <w:vAlign w:val="center"/>
          </w:tcPr>
          <w:p w14:paraId="75C4F3D9" w14:textId="72250A63" w:rsidR="00EA1E09" w:rsidRPr="005B5977" w:rsidRDefault="00D61370" w:rsidP="00EA1E09">
            <w:pPr>
              <w:pStyle w:val="TableText0"/>
              <w:rPr>
                <w:vertAlign w:val="superscript"/>
              </w:rPr>
            </w:pPr>
            <w:r w:rsidRPr="00157ED3">
              <w:rPr>
                <w:color w:val="000000"/>
                <w:spacing w:val="47"/>
                <w:shd w:val="solid" w:color="000000" w:fill="000000"/>
                <w:fitText w:val="495" w:id="-1425249270"/>
                <w14:textFill>
                  <w14:solidFill>
                    <w14:srgbClr w14:val="000000">
                      <w14:alpha w14:val="100000"/>
                    </w14:srgbClr>
                  </w14:solidFill>
                </w14:textFill>
              </w:rPr>
              <w:t>|||||</w:t>
            </w:r>
            <w:r w:rsidRPr="00157ED3">
              <w:rPr>
                <w:color w:val="000000"/>
                <w:spacing w:val="5"/>
                <w:shd w:val="solid" w:color="000000" w:fill="000000"/>
                <w:fitText w:val="495" w:id="-1425249270"/>
                <w14:textFill>
                  <w14:solidFill>
                    <w14:srgbClr w14:val="000000">
                      <w14:alpha w14:val="100000"/>
                    </w14:srgbClr>
                  </w14:solidFill>
                </w14:textFill>
              </w:rPr>
              <w:t>|</w:t>
            </w:r>
            <w:r w:rsidR="005B5977">
              <w:rPr>
                <w:vertAlign w:val="superscript"/>
              </w:rPr>
              <w:t>1</w:t>
            </w:r>
          </w:p>
        </w:tc>
        <w:tc>
          <w:tcPr>
            <w:tcW w:w="775" w:type="pct"/>
            <w:shd w:val="clear" w:color="auto" w:fill="auto"/>
            <w:vAlign w:val="center"/>
          </w:tcPr>
          <w:p w14:paraId="1FCBB51C" w14:textId="062F6110" w:rsidR="00EA1E09" w:rsidRPr="005B5977" w:rsidRDefault="00D61370" w:rsidP="00EA1E09">
            <w:pPr>
              <w:pStyle w:val="TableText0"/>
              <w:rPr>
                <w:vertAlign w:val="superscript"/>
              </w:rPr>
            </w:pPr>
            <w:r w:rsidRPr="00157ED3">
              <w:rPr>
                <w:color w:val="000000"/>
                <w:spacing w:val="47"/>
                <w:shd w:val="solid" w:color="000000" w:fill="000000"/>
                <w:fitText w:val="495" w:id="-1425249269"/>
                <w14:textFill>
                  <w14:solidFill>
                    <w14:srgbClr w14:val="000000">
                      <w14:alpha w14:val="100000"/>
                    </w14:srgbClr>
                  </w14:solidFill>
                </w14:textFill>
              </w:rPr>
              <w:t>|||||</w:t>
            </w:r>
            <w:r w:rsidRPr="00157ED3">
              <w:rPr>
                <w:color w:val="000000"/>
                <w:spacing w:val="5"/>
                <w:shd w:val="solid" w:color="000000" w:fill="000000"/>
                <w:fitText w:val="495" w:id="-1425249269"/>
                <w14:textFill>
                  <w14:solidFill>
                    <w14:srgbClr w14:val="000000">
                      <w14:alpha w14:val="100000"/>
                    </w14:srgbClr>
                  </w14:solidFill>
                </w14:textFill>
              </w:rPr>
              <w:t>|</w:t>
            </w:r>
            <w:r w:rsidR="005B5977">
              <w:rPr>
                <w:vertAlign w:val="superscript"/>
              </w:rPr>
              <w:t>1</w:t>
            </w:r>
          </w:p>
        </w:tc>
      </w:tr>
      <w:tr w:rsidR="00EA1E09" w:rsidRPr="00C068F4" w14:paraId="5C3C06F9" w14:textId="77777777" w:rsidTr="00F35A12">
        <w:tc>
          <w:tcPr>
            <w:tcW w:w="2672" w:type="pct"/>
            <w:shd w:val="clear" w:color="auto" w:fill="auto"/>
            <w:vAlign w:val="center"/>
          </w:tcPr>
          <w:p w14:paraId="6A615355" w14:textId="77777777" w:rsidR="00EA1E09" w:rsidRPr="00C068F4" w:rsidRDefault="00EA1E09" w:rsidP="00EA1E09">
            <w:pPr>
              <w:pStyle w:val="TableText0"/>
            </w:pPr>
            <w:r w:rsidRPr="00C068F4">
              <w:t>Number of scripts dispensed</w:t>
            </w:r>
            <w:r w:rsidRPr="00C068F4">
              <w:rPr>
                <w:vertAlign w:val="superscript"/>
              </w:rPr>
              <w:t>a</w:t>
            </w:r>
          </w:p>
        </w:tc>
        <w:tc>
          <w:tcPr>
            <w:tcW w:w="776" w:type="pct"/>
            <w:shd w:val="clear" w:color="auto" w:fill="auto"/>
            <w:vAlign w:val="center"/>
          </w:tcPr>
          <w:p w14:paraId="32C6D8C5" w14:textId="2A92FBC8" w:rsidR="00EA1E09" w:rsidRPr="005B5977" w:rsidRDefault="00D61370" w:rsidP="00EA1E09">
            <w:pPr>
              <w:pStyle w:val="TableText0"/>
              <w:rPr>
                <w:vertAlign w:val="superscript"/>
              </w:rPr>
            </w:pPr>
            <w:r w:rsidRPr="00157ED3">
              <w:rPr>
                <w:color w:val="000000"/>
                <w:spacing w:val="47"/>
                <w:shd w:val="solid" w:color="000000" w:fill="000000"/>
                <w:fitText w:val="495" w:id="-1425249268"/>
                <w14:textFill>
                  <w14:solidFill>
                    <w14:srgbClr w14:val="000000">
                      <w14:alpha w14:val="100000"/>
                    </w14:srgbClr>
                  </w14:solidFill>
                </w14:textFill>
              </w:rPr>
              <w:t>|||||</w:t>
            </w:r>
            <w:r w:rsidRPr="00157ED3">
              <w:rPr>
                <w:color w:val="000000"/>
                <w:spacing w:val="5"/>
                <w:shd w:val="solid" w:color="000000" w:fill="000000"/>
                <w:fitText w:val="495" w:id="-1425249268"/>
                <w14:textFill>
                  <w14:solidFill>
                    <w14:srgbClr w14:val="000000">
                      <w14:alpha w14:val="100000"/>
                    </w14:srgbClr>
                  </w14:solidFill>
                </w14:textFill>
              </w:rPr>
              <w:t>|</w:t>
            </w:r>
            <w:r w:rsidR="005B5977">
              <w:rPr>
                <w:vertAlign w:val="superscript"/>
              </w:rPr>
              <w:t>2</w:t>
            </w:r>
          </w:p>
        </w:tc>
        <w:tc>
          <w:tcPr>
            <w:tcW w:w="777" w:type="pct"/>
            <w:shd w:val="clear" w:color="auto" w:fill="auto"/>
            <w:vAlign w:val="center"/>
          </w:tcPr>
          <w:p w14:paraId="1176BED5" w14:textId="69B81089" w:rsidR="00EA1E09" w:rsidRPr="005B5977" w:rsidRDefault="00D61370" w:rsidP="00EA1E09">
            <w:pPr>
              <w:pStyle w:val="TableText0"/>
              <w:rPr>
                <w:vertAlign w:val="superscript"/>
              </w:rPr>
            </w:pPr>
            <w:r w:rsidRPr="00157ED3">
              <w:rPr>
                <w:color w:val="000000"/>
                <w:spacing w:val="47"/>
                <w:shd w:val="solid" w:color="000000" w:fill="000000"/>
                <w:fitText w:val="495" w:id="-1425249267"/>
                <w14:textFill>
                  <w14:solidFill>
                    <w14:srgbClr w14:val="000000">
                      <w14:alpha w14:val="100000"/>
                    </w14:srgbClr>
                  </w14:solidFill>
                </w14:textFill>
              </w:rPr>
              <w:t>|||||</w:t>
            </w:r>
            <w:r w:rsidRPr="00157ED3">
              <w:rPr>
                <w:color w:val="000000"/>
                <w:spacing w:val="5"/>
                <w:shd w:val="solid" w:color="000000" w:fill="000000"/>
                <w:fitText w:val="495" w:id="-1425249267"/>
                <w14:textFill>
                  <w14:solidFill>
                    <w14:srgbClr w14:val="000000">
                      <w14:alpha w14:val="100000"/>
                    </w14:srgbClr>
                  </w14:solidFill>
                </w14:textFill>
              </w:rPr>
              <w:t>|</w:t>
            </w:r>
            <w:r w:rsidR="005B5977">
              <w:rPr>
                <w:vertAlign w:val="superscript"/>
              </w:rPr>
              <w:t>2</w:t>
            </w:r>
          </w:p>
        </w:tc>
        <w:tc>
          <w:tcPr>
            <w:tcW w:w="775" w:type="pct"/>
            <w:shd w:val="clear" w:color="auto" w:fill="auto"/>
            <w:vAlign w:val="center"/>
          </w:tcPr>
          <w:p w14:paraId="1383ACE0" w14:textId="454E2061" w:rsidR="00EA1E09" w:rsidRPr="005B5977" w:rsidRDefault="00D61370" w:rsidP="00EA1E09">
            <w:pPr>
              <w:pStyle w:val="TableText0"/>
              <w:rPr>
                <w:vertAlign w:val="superscript"/>
              </w:rPr>
            </w:pPr>
            <w:r w:rsidRPr="00157ED3">
              <w:rPr>
                <w:color w:val="000000"/>
                <w:spacing w:val="47"/>
                <w:shd w:val="solid" w:color="000000" w:fill="000000"/>
                <w:fitText w:val="495" w:id="-1425249266"/>
                <w14:textFill>
                  <w14:solidFill>
                    <w14:srgbClr w14:val="000000">
                      <w14:alpha w14:val="100000"/>
                    </w14:srgbClr>
                  </w14:solidFill>
                </w14:textFill>
              </w:rPr>
              <w:t>|||||</w:t>
            </w:r>
            <w:r w:rsidRPr="00157ED3">
              <w:rPr>
                <w:color w:val="000000"/>
                <w:spacing w:val="5"/>
                <w:shd w:val="solid" w:color="000000" w:fill="000000"/>
                <w:fitText w:val="495" w:id="-1425249266"/>
                <w14:textFill>
                  <w14:solidFill>
                    <w14:srgbClr w14:val="000000">
                      <w14:alpha w14:val="100000"/>
                    </w14:srgbClr>
                  </w14:solidFill>
                </w14:textFill>
              </w:rPr>
              <w:t>|</w:t>
            </w:r>
            <w:r w:rsidR="005B5977">
              <w:rPr>
                <w:vertAlign w:val="superscript"/>
              </w:rPr>
              <w:t>2</w:t>
            </w:r>
          </w:p>
        </w:tc>
      </w:tr>
      <w:tr w:rsidR="00F35A12" w:rsidRPr="00C068F4" w14:paraId="33548D62" w14:textId="77777777" w:rsidTr="00F35A12">
        <w:tc>
          <w:tcPr>
            <w:tcW w:w="5000" w:type="pct"/>
            <w:gridSpan w:val="4"/>
            <w:shd w:val="clear" w:color="auto" w:fill="auto"/>
            <w:vAlign w:val="center"/>
          </w:tcPr>
          <w:p w14:paraId="45B19777" w14:textId="0732B004" w:rsidR="00F35A12" w:rsidRPr="00C068F4" w:rsidRDefault="00F35A12" w:rsidP="00F35A12">
            <w:pPr>
              <w:pStyle w:val="In-tableHeading"/>
              <w:rPr>
                <w:lang w:val="en-AU"/>
              </w:rPr>
            </w:pPr>
            <w:r w:rsidRPr="00C068F4">
              <w:rPr>
                <w:lang w:val="en-AU"/>
              </w:rPr>
              <w:t>Estimated financial implications of tixagevimab and cilgavimab</w:t>
            </w:r>
          </w:p>
        </w:tc>
      </w:tr>
      <w:tr w:rsidR="00EA1E09" w:rsidRPr="00C068F4" w14:paraId="50678289" w14:textId="77777777" w:rsidTr="00F35A12">
        <w:tc>
          <w:tcPr>
            <w:tcW w:w="2672" w:type="pct"/>
            <w:shd w:val="clear" w:color="auto" w:fill="auto"/>
            <w:vAlign w:val="center"/>
          </w:tcPr>
          <w:p w14:paraId="73A98F24" w14:textId="580E2919" w:rsidR="00EA1E09" w:rsidRPr="00C068F4" w:rsidRDefault="00EA1E09" w:rsidP="00EA1E09">
            <w:pPr>
              <w:pStyle w:val="TableText0"/>
            </w:pPr>
            <w:r w:rsidRPr="00C068F4">
              <w:t>Cost to the PBS including co</w:t>
            </w:r>
            <w:r w:rsidR="00492064">
              <w:t>-</w:t>
            </w:r>
            <w:r w:rsidRPr="00C068F4">
              <w:t>payments</w:t>
            </w:r>
            <w:r w:rsidRPr="00C068F4">
              <w:rPr>
                <w:vertAlign w:val="superscript"/>
              </w:rPr>
              <w:t>b</w:t>
            </w:r>
          </w:p>
        </w:tc>
        <w:tc>
          <w:tcPr>
            <w:tcW w:w="776" w:type="pct"/>
            <w:shd w:val="clear" w:color="auto" w:fill="auto"/>
            <w:vAlign w:val="center"/>
          </w:tcPr>
          <w:p w14:paraId="58CF52A1" w14:textId="53BD1C9C" w:rsidR="00EA1E09" w:rsidRPr="005B5977" w:rsidRDefault="0090667A" w:rsidP="00EA1E09">
            <w:pPr>
              <w:pStyle w:val="TableText0"/>
              <w:rPr>
                <w:vertAlign w:val="superscript"/>
              </w:rPr>
            </w:pPr>
            <w:r w:rsidRPr="0090667A">
              <w:t>$</w:t>
            </w:r>
            <w:r w:rsidR="00D61370" w:rsidRPr="00157ED3">
              <w:rPr>
                <w:color w:val="000000"/>
                <w:spacing w:val="47"/>
                <w:shd w:val="solid" w:color="000000" w:fill="000000"/>
                <w:fitText w:val="495" w:id="-1425249265"/>
                <w14:textFill>
                  <w14:solidFill>
                    <w14:srgbClr w14:val="000000">
                      <w14:alpha w14:val="100000"/>
                    </w14:srgbClr>
                  </w14:solidFill>
                </w14:textFill>
              </w:rPr>
              <w:t>|||||</w:t>
            </w:r>
            <w:r w:rsidR="00D61370" w:rsidRPr="00157ED3">
              <w:rPr>
                <w:color w:val="000000"/>
                <w:spacing w:val="5"/>
                <w:shd w:val="solid" w:color="000000" w:fill="000000"/>
                <w:fitText w:val="495" w:id="-1425249265"/>
                <w14:textFill>
                  <w14:solidFill>
                    <w14:srgbClr w14:val="000000">
                      <w14:alpha w14:val="100000"/>
                    </w14:srgbClr>
                  </w14:solidFill>
                </w14:textFill>
              </w:rPr>
              <w:t>|</w:t>
            </w:r>
            <w:r w:rsidR="005B5977">
              <w:rPr>
                <w:vertAlign w:val="superscript"/>
              </w:rPr>
              <w:t>3</w:t>
            </w:r>
          </w:p>
        </w:tc>
        <w:tc>
          <w:tcPr>
            <w:tcW w:w="777" w:type="pct"/>
            <w:shd w:val="clear" w:color="auto" w:fill="auto"/>
            <w:vAlign w:val="center"/>
          </w:tcPr>
          <w:p w14:paraId="6BDEC8BB" w14:textId="3EA9DBB1" w:rsidR="00EA1E09" w:rsidRPr="005B5977" w:rsidRDefault="0090667A" w:rsidP="00EA1E09">
            <w:pPr>
              <w:pStyle w:val="TableText0"/>
              <w:rPr>
                <w:vertAlign w:val="superscript"/>
              </w:rPr>
            </w:pPr>
            <w:r w:rsidRPr="0090667A">
              <w:t>$</w:t>
            </w:r>
            <w:r w:rsidR="00D61370" w:rsidRPr="00157ED3">
              <w:rPr>
                <w:color w:val="000000"/>
                <w:spacing w:val="47"/>
                <w:shd w:val="solid" w:color="000000" w:fill="000000"/>
                <w:fitText w:val="495" w:id="-1425249264"/>
                <w14:textFill>
                  <w14:solidFill>
                    <w14:srgbClr w14:val="000000">
                      <w14:alpha w14:val="100000"/>
                    </w14:srgbClr>
                  </w14:solidFill>
                </w14:textFill>
              </w:rPr>
              <w:t>|||||</w:t>
            </w:r>
            <w:r w:rsidR="00D61370" w:rsidRPr="00157ED3">
              <w:rPr>
                <w:color w:val="000000"/>
                <w:spacing w:val="5"/>
                <w:shd w:val="solid" w:color="000000" w:fill="000000"/>
                <w:fitText w:val="495" w:id="-1425249264"/>
                <w14:textFill>
                  <w14:solidFill>
                    <w14:srgbClr w14:val="000000">
                      <w14:alpha w14:val="100000"/>
                    </w14:srgbClr>
                  </w14:solidFill>
                </w14:textFill>
              </w:rPr>
              <w:t>|</w:t>
            </w:r>
            <w:r w:rsidR="005B5977">
              <w:rPr>
                <w:vertAlign w:val="superscript"/>
              </w:rPr>
              <w:t>3</w:t>
            </w:r>
          </w:p>
        </w:tc>
        <w:tc>
          <w:tcPr>
            <w:tcW w:w="775" w:type="pct"/>
            <w:shd w:val="clear" w:color="auto" w:fill="auto"/>
            <w:vAlign w:val="center"/>
          </w:tcPr>
          <w:p w14:paraId="70094D92" w14:textId="696DBAAF" w:rsidR="00EA1E09" w:rsidRPr="005B5977" w:rsidRDefault="0090667A" w:rsidP="00EA1E09">
            <w:pPr>
              <w:pStyle w:val="TableText0"/>
              <w:rPr>
                <w:vertAlign w:val="superscript"/>
              </w:rPr>
            </w:pPr>
            <w:r w:rsidRPr="0090667A">
              <w:t>$</w:t>
            </w:r>
            <w:r w:rsidR="00D61370" w:rsidRPr="00157ED3">
              <w:rPr>
                <w:color w:val="000000"/>
                <w:spacing w:val="47"/>
                <w:shd w:val="solid" w:color="000000" w:fill="000000"/>
                <w:fitText w:val="495" w:id="-1425249280"/>
                <w14:textFill>
                  <w14:solidFill>
                    <w14:srgbClr w14:val="000000">
                      <w14:alpha w14:val="100000"/>
                    </w14:srgbClr>
                  </w14:solidFill>
                </w14:textFill>
              </w:rPr>
              <w:t>|||||</w:t>
            </w:r>
            <w:r w:rsidR="00D61370" w:rsidRPr="00157ED3">
              <w:rPr>
                <w:color w:val="000000"/>
                <w:spacing w:val="5"/>
                <w:shd w:val="solid" w:color="000000" w:fill="000000"/>
                <w:fitText w:val="495" w:id="-1425249280"/>
                <w14:textFill>
                  <w14:solidFill>
                    <w14:srgbClr w14:val="000000">
                      <w14:alpha w14:val="100000"/>
                    </w14:srgbClr>
                  </w14:solidFill>
                </w14:textFill>
              </w:rPr>
              <w:t>|</w:t>
            </w:r>
            <w:r w:rsidR="005B5977">
              <w:rPr>
                <w:vertAlign w:val="superscript"/>
              </w:rPr>
              <w:t>3</w:t>
            </w:r>
          </w:p>
        </w:tc>
      </w:tr>
      <w:tr w:rsidR="00EA1E09" w:rsidRPr="00C068F4" w14:paraId="5158D1BD" w14:textId="77777777" w:rsidTr="00F35A12">
        <w:tc>
          <w:tcPr>
            <w:tcW w:w="2672" w:type="pct"/>
            <w:shd w:val="clear" w:color="auto" w:fill="auto"/>
            <w:vAlign w:val="center"/>
          </w:tcPr>
          <w:p w14:paraId="2E07AB58" w14:textId="324B851E" w:rsidR="00EA1E09" w:rsidRPr="00C068F4" w:rsidRDefault="00EA1E09" w:rsidP="00EA1E09">
            <w:pPr>
              <w:pStyle w:val="TableText0"/>
            </w:pPr>
            <w:r w:rsidRPr="00C068F4">
              <w:t>Cost to PBS less co</w:t>
            </w:r>
            <w:r w:rsidR="00492064">
              <w:t>-</w:t>
            </w:r>
            <w:r w:rsidRPr="00C068F4">
              <w:t>payments</w:t>
            </w:r>
            <w:r w:rsidRPr="00C068F4">
              <w:rPr>
                <w:vertAlign w:val="superscript"/>
              </w:rPr>
              <w:t>b</w:t>
            </w:r>
          </w:p>
        </w:tc>
        <w:tc>
          <w:tcPr>
            <w:tcW w:w="776" w:type="pct"/>
            <w:shd w:val="clear" w:color="auto" w:fill="auto"/>
            <w:vAlign w:val="center"/>
          </w:tcPr>
          <w:p w14:paraId="32D6C366" w14:textId="31902106" w:rsidR="00EA1E09" w:rsidRPr="005B5977" w:rsidRDefault="0090667A" w:rsidP="00EA1E09">
            <w:pPr>
              <w:pStyle w:val="TableText0"/>
              <w:rPr>
                <w:vertAlign w:val="superscript"/>
              </w:rPr>
            </w:pPr>
            <w:r w:rsidRPr="0090667A">
              <w:t>$</w:t>
            </w:r>
            <w:r w:rsidR="00D61370" w:rsidRPr="00157ED3">
              <w:rPr>
                <w:color w:val="000000"/>
                <w:spacing w:val="47"/>
                <w:shd w:val="solid" w:color="000000" w:fill="000000"/>
                <w:fitText w:val="495" w:id="-1425249279"/>
                <w14:textFill>
                  <w14:solidFill>
                    <w14:srgbClr w14:val="000000">
                      <w14:alpha w14:val="100000"/>
                    </w14:srgbClr>
                  </w14:solidFill>
                </w14:textFill>
              </w:rPr>
              <w:t>|||||</w:t>
            </w:r>
            <w:r w:rsidR="00D61370" w:rsidRPr="00157ED3">
              <w:rPr>
                <w:color w:val="000000"/>
                <w:spacing w:val="5"/>
                <w:shd w:val="solid" w:color="000000" w:fill="000000"/>
                <w:fitText w:val="495" w:id="-1425249279"/>
                <w14:textFill>
                  <w14:solidFill>
                    <w14:srgbClr w14:val="000000">
                      <w14:alpha w14:val="100000"/>
                    </w14:srgbClr>
                  </w14:solidFill>
                </w14:textFill>
              </w:rPr>
              <w:t>|</w:t>
            </w:r>
            <w:r w:rsidR="005B5977">
              <w:rPr>
                <w:vertAlign w:val="superscript"/>
              </w:rPr>
              <w:t>3</w:t>
            </w:r>
          </w:p>
        </w:tc>
        <w:tc>
          <w:tcPr>
            <w:tcW w:w="777" w:type="pct"/>
            <w:shd w:val="clear" w:color="auto" w:fill="auto"/>
            <w:vAlign w:val="center"/>
          </w:tcPr>
          <w:p w14:paraId="1599A86B" w14:textId="305C4E28" w:rsidR="00EA1E09" w:rsidRPr="005B5977" w:rsidRDefault="0090667A" w:rsidP="00EA1E09">
            <w:pPr>
              <w:pStyle w:val="TableText0"/>
              <w:rPr>
                <w:vertAlign w:val="superscript"/>
              </w:rPr>
            </w:pPr>
            <w:r w:rsidRPr="0090667A">
              <w:t>$</w:t>
            </w:r>
            <w:r w:rsidR="00D61370" w:rsidRPr="00157ED3">
              <w:rPr>
                <w:color w:val="000000"/>
                <w:spacing w:val="47"/>
                <w:shd w:val="solid" w:color="000000" w:fill="000000"/>
                <w:fitText w:val="495" w:id="-1425249278"/>
                <w14:textFill>
                  <w14:solidFill>
                    <w14:srgbClr w14:val="000000">
                      <w14:alpha w14:val="100000"/>
                    </w14:srgbClr>
                  </w14:solidFill>
                </w14:textFill>
              </w:rPr>
              <w:t>|||||</w:t>
            </w:r>
            <w:r w:rsidR="00D61370" w:rsidRPr="00157ED3">
              <w:rPr>
                <w:color w:val="000000"/>
                <w:spacing w:val="5"/>
                <w:shd w:val="solid" w:color="000000" w:fill="000000"/>
                <w:fitText w:val="495" w:id="-1425249278"/>
                <w14:textFill>
                  <w14:solidFill>
                    <w14:srgbClr w14:val="000000">
                      <w14:alpha w14:val="100000"/>
                    </w14:srgbClr>
                  </w14:solidFill>
                </w14:textFill>
              </w:rPr>
              <w:t>|</w:t>
            </w:r>
            <w:r w:rsidR="005B5977">
              <w:rPr>
                <w:vertAlign w:val="superscript"/>
              </w:rPr>
              <w:t>3</w:t>
            </w:r>
          </w:p>
        </w:tc>
        <w:tc>
          <w:tcPr>
            <w:tcW w:w="775" w:type="pct"/>
            <w:shd w:val="clear" w:color="auto" w:fill="auto"/>
            <w:vAlign w:val="center"/>
          </w:tcPr>
          <w:p w14:paraId="7B63AADB" w14:textId="7924046C" w:rsidR="00EA1E09" w:rsidRPr="005B5977" w:rsidRDefault="0090667A" w:rsidP="00EA1E09">
            <w:pPr>
              <w:pStyle w:val="TableText0"/>
              <w:rPr>
                <w:vertAlign w:val="superscript"/>
              </w:rPr>
            </w:pPr>
            <w:r w:rsidRPr="0090667A">
              <w:t>$</w:t>
            </w:r>
            <w:r w:rsidR="00D61370" w:rsidRPr="00157ED3">
              <w:rPr>
                <w:color w:val="000000"/>
                <w:spacing w:val="47"/>
                <w:shd w:val="solid" w:color="000000" w:fill="000000"/>
                <w:fitText w:val="495" w:id="-1425249277"/>
                <w14:textFill>
                  <w14:solidFill>
                    <w14:srgbClr w14:val="000000">
                      <w14:alpha w14:val="100000"/>
                    </w14:srgbClr>
                  </w14:solidFill>
                </w14:textFill>
              </w:rPr>
              <w:t>|||||</w:t>
            </w:r>
            <w:r w:rsidR="00D61370" w:rsidRPr="00157ED3">
              <w:rPr>
                <w:color w:val="000000"/>
                <w:spacing w:val="5"/>
                <w:shd w:val="solid" w:color="000000" w:fill="000000"/>
                <w:fitText w:val="495" w:id="-1425249277"/>
                <w14:textFill>
                  <w14:solidFill>
                    <w14:srgbClr w14:val="000000">
                      <w14:alpha w14:val="100000"/>
                    </w14:srgbClr>
                  </w14:solidFill>
                </w14:textFill>
              </w:rPr>
              <w:t>|</w:t>
            </w:r>
            <w:r w:rsidR="005B5977">
              <w:rPr>
                <w:vertAlign w:val="superscript"/>
              </w:rPr>
              <w:t>3</w:t>
            </w:r>
          </w:p>
        </w:tc>
      </w:tr>
      <w:tr w:rsidR="00F35A12" w:rsidRPr="00C068F4" w14:paraId="03A72383" w14:textId="77777777" w:rsidTr="00F35A12">
        <w:tc>
          <w:tcPr>
            <w:tcW w:w="5000" w:type="pct"/>
            <w:gridSpan w:val="4"/>
            <w:shd w:val="clear" w:color="auto" w:fill="auto"/>
            <w:vAlign w:val="center"/>
          </w:tcPr>
          <w:p w14:paraId="5621C98C" w14:textId="3A70D119" w:rsidR="00F35A12" w:rsidRPr="00C068F4" w:rsidRDefault="00F35A12" w:rsidP="00EA1E09">
            <w:pPr>
              <w:pStyle w:val="In-tableHeading"/>
              <w:rPr>
                <w:lang w:val="en-AU"/>
              </w:rPr>
            </w:pPr>
            <w:r w:rsidRPr="00C068F4">
              <w:rPr>
                <w:lang w:val="en-AU"/>
              </w:rPr>
              <w:t>Estimated financial implications for other medicines</w:t>
            </w:r>
          </w:p>
        </w:tc>
      </w:tr>
      <w:tr w:rsidR="00EA1E09" w:rsidRPr="00C068F4" w14:paraId="2E32A23C" w14:textId="77777777" w:rsidTr="00F35A12">
        <w:tc>
          <w:tcPr>
            <w:tcW w:w="2672" w:type="pct"/>
            <w:shd w:val="clear" w:color="auto" w:fill="auto"/>
            <w:vAlign w:val="center"/>
          </w:tcPr>
          <w:p w14:paraId="6E0BB67A" w14:textId="5B29948B" w:rsidR="00EA1E09" w:rsidRPr="00C068F4" w:rsidRDefault="00EA1E09" w:rsidP="00EA1E09">
            <w:pPr>
              <w:pStyle w:val="TableText0"/>
            </w:pPr>
            <w:r w:rsidRPr="00C068F4">
              <w:t>Cost to PBS less co</w:t>
            </w:r>
            <w:r w:rsidR="00492064">
              <w:t>-</w:t>
            </w:r>
            <w:r w:rsidRPr="00C068F4">
              <w:t>payments</w:t>
            </w:r>
          </w:p>
        </w:tc>
        <w:tc>
          <w:tcPr>
            <w:tcW w:w="776" w:type="pct"/>
            <w:shd w:val="clear" w:color="auto" w:fill="auto"/>
            <w:vAlign w:val="center"/>
          </w:tcPr>
          <w:p w14:paraId="526450F1" w14:textId="35F386F3" w:rsidR="00EA1E09" w:rsidRPr="00C068F4" w:rsidRDefault="0090667A" w:rsidP="00EA1E09">
            <w:pPr>
              <w:pStyle w:val="TableText0"/>
            </w:pPr>
            <w:r w:rsidRPr="0090667A">
              <w:t>$</w:t>
            </w:r>
            <w:r w:rsidR="00EA1E09" w:rsidRPr="00C068F4">
              <w:t>0</w:t>
            </w:r>
          </w:p>
        </w:tc>
        <w:tc>
          <w:tcPr>
            <w:tcW w:w="777" w:type="pct"/>
            <w:shd w:val="clear" w:color="auto" w:fill="auto"/>
            <w:vAlign w:val="center"/>
          </w:tcPr>
          <w:p w14:paraId="6D8219AB" w14:textId="5A8CF5A3" w:rsidR="00EA1E09" w:rsidRPr="00C068F4" w:rsidRDefault="0090667A" w:rsidP="00EA1E09">
            <w:pPr>
              <w:pStyle w:val="TableText0"/>
            </w:pPr>
            <w:r w:rsidRPr="0090667A">
              <w:t>$</w:t>
            </w:r>
            <w:r w:rsidR="00EA1E09" w:rsidRPr="00C068F4">
              <w:t>0</w:t>
            </w:r>
          </w:p>
        </w:tc>
        <w:tc>
          <w:tcPr>
            <w:tcW w:w="775" w:type="pct"/>
            <w:shd w:val="clear" w:color="auto" w:fill="auto"/>
            <w:vAlign w:val="center"/>
          </w:tcPr>
          <w:p w14:paraId="331FB972" w14:textId="6CB8547D" w:rsidR="00EA1E09" w:rsidRPr="00C068F4" w:rsidRDefault="0090667A" w:rsidP="00EA1E09">
            <w:pPr>
              <w:pStyle w:val="TableText0"/>
            </w:pPr>
            <w:r w:rsidRPr="0090667A">
              <w:t>$</w:t>
            </w:r>
            <w:r w:rsidR="00EA1E09" w:rsidRPr="00C068F4">
              <w:t>0</w:t>
            </w:r>
          </w:p>
        </w:tc>
      </w:tr>
      <w:tr w:rsidR="00F35A12" w:rsidRPr="00C068F4" w14:paraId="028E5B0D" w14:textId="77777777" w:rsidTr="00F35A12">
        <w:tc>
          <w:tcPr>
            <w:tcW w:w="5000" w:type="pct"/>
            <w:gridSpan w:val="4"/>
            <w:shd w:val="clear" w:color="auto" w:fill="auto"/>
            <w:vAlign w:val="center"/>
          </w:tcPr>
          <w:p w14:paraId="07D2E2A1" w14:textId="32F69B27" w:rsidR="00F35A12" w:rsidRPr="00C068F4" w:rsidRDefault="00F35A12" w:rsidP="00EA1E09">
            <w:pPr>
              <w:pStyle w:val="In-tableHeading"/>
              <w:rPr>
                <w:lang w:val="en-AU"/>
              </w:rPr>
            </w:pPr>
            <w:r w:rsidRPr="00C068F4">
              <w:rPr>
                <w:lang w:val="en-AU"/>
              </w:rPr>
              <w:t>Net financial implications</w:t>
            </w:r>
          </w:p>
        </w:tc>
      </w:tr>
      <w:tr w:rsidR="00EA1E09" w:rsidRPr="00C068F4" w14:paraId="6737DEE6" w14:textId="77777777" w:rsidTr="00F35A12">
        <w:tc>
          <w:tcPr>
            <w:tcW w:w="2672" w:type="pct"/>
            <w:shd w:val="clear" w:color="auto" w:fill="auto"/>
            <w:vAlign w:val="center"/>
          </w:tcPr>
          <w:p w14:paraId="62D2A17F" w14:textId="77777777" w:rsidR="00EA1E09" w:rsidRPr="00C068F4" w:rsidRDefault="00EA1E09" w:rsidP="00EA1E09">
            <w:pPr>
              <w:pStyle w:val="TableText0"/>
            </w:pPr>
            <w:r w:rsidRPr="00C068F4">
              <w:t>Net cost to PBS</w:t>
            </w:r>
          </w:p>
        </w:tc>
        <w:tc>
          <w:tcPr>
            <w:tcW w:w="776" w:type="pct"/>
            <w:shd w:val="clear" w:color="auto" w:fill="auto"/>
            <w:vAlign w:val="center"/>
          </w:tcPr>
          <w:p w14:paraId="696D22DA" w14:textId="477777DB" w:rsidR="00EA1E09" w:rsidRPr="005B5977" w:rsidRDefault="0090667A" w:rsidP="00EA1E09">
            <w:pPr>
              <w:pStyle w:val="TableText0"/>
              <w:rPr>
                <w:vertAlign w:val="superscript"/>
              </w:rPr>
            </w:pPr>
            <w:r w:rsidRPr="0090667A">
              <w:t>$</w:t>
            </w:r>
            <w:r w:rsidR="00D61370" w:rsidRPr="00157ED3">
              <w:rPr>
                <w:color w:val="000000"/>
                <w:spacing w:val="47"/>
                <w:shd w:val="solid" w:color="000000" w:fill="000000"/>
                <w:fitText w:val="495" w:id="-1425249276"/>
                <w14:textFill>
                  <w14:solidFill>
                    <w14:srgbClr w14:val="000000">
                      <w14:alpha w14:val="100000"/>
                    </w14:srgbClr>
                  </w14:solidFill>
                </w14:textFill>
              </w:rPr>
              <w:t>|||||</w:t>
            </w:r>
            <w:r w:rsidR="00D61370" w:rsidRPr="00157ED3">
              <w:rPr>
                <w:color w:val="000000"/>
                <w:spacing w:val="5"/>
                <w:shd w:val="solid" w:color="000000" w:fill="000000"/>
                <w:fitText w:val="495" w:id="-1425249276"/>
                <w14:textFill>
                  <w14:solidFill>
                    <w14:srgbClr w14:val="000000">
                      <w14:alpha w14:val="100000"/>
                    </w14:srgbClr>
                  </w14:solidFill>
                </w14:textFill>
              </w:rPr>
              <w:t>|</w:t>
            </w:r>
            <w:r w:rsidR="005B5977">
              <w:rPr>
                <w:vertAlign w:val="superscript"/>
              </w:rPr>
              <w:t>3</w:t>
            </w:r>
          </w:p>
        </w:tc>
        <w:tc>
          <w:tcPr>
            <w:tcW w:w="777" w:type="pct"/>
            <w:shd w:val="clear" w:color="auto" w:fill="auto"/>
            <w:vAlign w:val="center"/>
          </w:tcPr>
          <w:p w14:paraId="74F698BB" w14:textId="20E35779" w:rsidR="00EA1E09" w:rsidRPr="005B5977" w:rsidRDefault="0090667A" w:rsidP="00EA1E09">
            <w:pPr>
              <w:pStyle w:val="TableText0"/>
              <w:rPr>
                <w:vertAlign w:val="superscript"/>
              </w:rPr>
            </w:pPr>
            <w:r w:rsidRPr="0090667A">
              <w:t>$</w:t>
            </w:r>
            <w:r w:rsidR="00D61370" w:rsidRPr="00157ED3">
              <w:rPr>
                <w:color w:val="000000"/>
                <w:spacing w:val="47"/>
                <w:shd w:val="solid" w:color="000000" w:fill="000000"/>
                <w:fitText w:val="495" w:id="-1425249275"/>
                <w14:textFill>
                  <w14:solidFill>
                    <w14:srgbClr w14:val="000000">
                      <w14:alpha w14:val="100000"/>
                    </w14:srgbClr>
                  </w14:solidFill>
                </w14:textFill>
              </w:rPr>
              <w:t>|||||</w:t>
            </w:r>
            <w:r w:rsidR="00D61370" w:rsidRPr="00157ED3">
              <w:rPr>
                <w:color w:val="000000"/>
                <w:spacing w:val="5"/>
                <w:shd w:val="solid" w:color="000000" w:fill="000000"/>
                <w:fitText w:val="495" w:id="-1425249275"/>
                <w14:textFill>
                  <w14:solidFill>
                    <w14:srgbClr w14:val="000000">
                      <w14:alpha w14:val="100000"/>
                    </w14:srgbClr>
                  </w14:solidFill>
                </w14:textFill>
              </w:rPr>
              <w:t>|</w:t>
            </w:r>
            <w:r w:rsidR="005B5977">
              <w:rPr>
                <w:vertAlign w:val="superscript"/>
              </w:rPr>
              <w:t>3</w:t>
            </w:r>
          </w:p>
        </w:tc>
        <w:tc>
          <w:tcPr>
            <w:tcW w:w="775" w:type="pct"/>
            <w:shd w:val="clear" w:color="auto" w:fill="auto"/>
            <w:vAlign w:val="center"/>
          </w:tcPr>
          <w:p w14:paraId="5815001A" w14:textId="603F0ED3" w:rsidR="00EA1E09" w:rsidRPr="005B5977" w:rsidRDefault="0090667A" w:rsidP="00EA1E09">
            <w:pPr>
              <w:pStyle w:val="TableText0"/>
              <w:rPr>
                <w:vertAlign w:val="superscript"/>
              </w:rPr>
            </w:pPr>
            <w:r w:rsidRPr="0090667A">
              <w:t>$</w:t>
            </w:r>
            <w:r w:rsidR="00D61370" w:rsidRPr="00157ED3">
              <w:rPr>
                <w:color w:val="000000"/>
                <w:spacing w:val="47"/>
                <w:shd w:val="solid" w:color="000000" w:fill="000000"/>
                <w:fitText w:val="495" w:id="-1425249274"/>
                <w14:textFill>
                  <w14:solidFill>
                    <w14:srgbClr w14:val="000000">
                      <w14:alpha w14:val="100000"/>
                    </w14:srgbClr>
                  </w14:solidFill>
                </w14:textFill>
              </w:rPr>
              <w:t>|||||</w:t>
            </w:r>
            <w:r w:rsidR="00D61370" w:rsidRPr="00157ED3">
              <w:rPr>
                <w:color w:val="000000"/>
                <w:spacing w:val="5"/>
                <w:shd w:val="solid" w:color="000000" w:fill="000000"/>
                <w:fitText w:val="495" w:id="-1425249274"/>
                <w14:textFill>
                  <w14:solidFill>
                    <w14:srgbClr w14:val="000000">
                      <w14:alpha w14:val="100000"/>
                    </w14:srgbClr>
                  </w14:solidFill>
                </w14:textFill>
              </w:rPr>
              <w:t>|</w:t>
            </w:r>
            <w:r w:rsidR="005B5977">
              <w:rPr>
                <w:vertAlign w:val="superscript"/>
              </w:rPr>
              <w:t>3</w:t>
            </w:r>
          </w:p>
        </w:tc>
      </w:tr>
    </w:tbl>
    <w:p w14:paraId="656F1AD5" w14:textId="72800B71" w:rsidR="00C32D0F" w:rsidRPr="00C068F4" w:rsidRDefault="00C32D0F" w:rsidP="00C32D0F">
      <w:pPr>
        <w:pStyle w:val="FooterTableFigure"/>
        <w:rPr>
          <w:rStyle w:val="CommentReference"/>
        </w:rPr>
      </w:pPr>
      <w:r w:rsidRPr="00C068F4">
        <w:t xml:space="preserve">Source: </w:t>
      </w:r>
      <w:r w:rsidR="00121CC8" w:rsidRPr="00C068F4">
        <w:t>Section 4 spreadsheet provided with submission addendum on 29 July 2022</w:t>
      </w:r>
      <w:r w:rsidR="00EA1E09" w:rsidRPr="00C068F4">
        <w:t>.</w:t>
      </w:r>
    </w:p>
    <w:p w14:paraId="72655230" w14:textId="77777777" w:rsidR="00C32D0F" w:rsidRPr="00C068F4" w:rsidRDefault="00C32D0F" w:rsidP="00C32D0F">
      <w:pPr>
        <w:pStyle w:val="FooterTableFigure"/>
      </w:pPr>
      <w:r w:rsidRPr="00C068F4">
        <w:rPr>
          <w:vertAlign w:val="superscript"/>
        </w:rPr>
        <w:t>a</w:t>
      </w:r>
      <w:r w:rsidRPr="00C068F4">
        <w:t xml:space="preserve"> Assuming 2 per year as estimated by the submission.</w:t>
      </w:r>
    </w:p>
    <w:p w14:paraId="340F0276" w14:textId="2C0E2356" w:rsidR="00C32D0F" w:rsidRDefault="00C32D0F" w:rsidP="00C32D0F">
      <w:pPr>
        <w:pStyle w:val="FooterTableFigure"/>
      </w:pPr>
      <w:r w:rsidRPr="00C068F4">
        <w:rPr>
          <w:vertAlign w:val="superscript"/>
        </w:rPr>
        <w:t xml:space="preserve">b </w:t>
      </w:r>
      <w:r w:rsidRPr="00C068F4">
        <w:t xml:space="preserve">Updated to use correct DPMQ of </w:t>
      </w:r>
      <w:r w:rsidR="0090667A" w:rsidRPr="0090667A">
        <w:t>$</w:t>
      </w:r>
      <w:r w:rsidR="00D61370" w:rsidRPr="00157ED3">
        <w:rPr>
          <w:color w:val="000000"/>
          <w:spacing w:val="16"/>
          <w:shd w:val="solid" w:color="000000" w:fill="000000"/>
          <w:fitText w:val="430" w:id="-1425249273"/>
          <w14:textFill>
            <w14:solidFill>
              <w14:srgbClr w14:val="000000">
                <w14:alpha w14:val="100000"/>
              </w14:srgbClr>
            </w14:solidFill>
          </w14:textFill>
        </w:rPr>
        <w:t>|||  ||</w:t>
      </w:r>
      <w:r w:rsidR="00D61370" w:rsidRPr="00157ED3">
        <w:rPr>
          <w:color w:val="000000"/>
          <w:spacing w:val="6"/>
          <w:shd w:val="solid" w:color="000000" w:fill="000000"/>
          <w:fitText w:val="430" w:id="-1425249273"/>
          <w14:textFill>
            <w14:solidFill>
              <w14:srgbClr w14:val="000000">
                <w14:alpha w14:val="100000"/>
              </w14:srgbClr>
            </w14:solidFill>
          </w14:textFill>
        </w:rPr>
        <w:t>|</w:t>
      </w:r>
      <w:r w:rsidRPr="00C068F4">
        <w:t xml:space="preserve"> for each </w:t>
      </w:r>
      <w:r w:rsidR="004E3286" w:rsidRPr="00C068F4">
        <w:t xml:space="preserve">tixagevimab 300 mg and cilgavimab 300 mg </w:t>
      </w:r>
      <w:r w:rsidRPr="00C068F4">
        <w:t>dose</w:t>
      </w:r>
      <w:r w:rsidR="00EA1E09" w:rsidRPr="00C068F4">
        <w:t>.</w:t>
      </w:r>
    </w:p>
    <w:p w14:paraId="1583B98A" w14:textId="3859F5C4" w:rsidR="005B5977" w:rsidRPr="00E21149" w:rsidRDefault="005B5977" w:rsidP="00C32D0F">
      <w:pPr>
        <w:pStyle w:val="FooterTableFigure"/>
        <w:rPr>
          <w:i/>
          <w:iCs/>
        </w:rPr>
      </w:pPr>
      <w:r w:rsidRPr="00E21149">
        <w:rPr>
          <w:i/>
          <w:iCs/>
        </w:rPr>
        <w:t>The redacted values correspond to the following ranges:</w:t>
      </w:r>
    </w:p>
    <w:p w14:paraId="6E363DB6" w14:textId="06E579A2" w:rsidR="005B5977" w:rsidRPr="00E21149" w:rsidRDefault="005B5977" w:rsidP="00C32D0F">
      <w:pPr>
        <w:pStyle w:val="FooterTableFigure"/>
        <w:rPr>
          <w:i/>
          <w:iCs/>
        </w:rPr>
      </w:pPr>
      <w:r w:rsidRPr="00E21149">
        <w:rPr>
          <w:i/>
          <w:iCs/>
          <w:vertAlign w:val="superscript"/>
        </w:rPr>
        <w:t>1</w:t>
      </w:r>
      <w:r w:rsidRPr="00E21149">
        <w:rPr>
          <w:i/>
          <w:iCs/>
        </w:rPr>
        <w:t>300,000 to &lt; 400,000</w:t>
      </w:r>
    </w:p>
    <w:p w14:paraId="2C77EAAF" w14:textId="7B20B0DA" w:rsidR="005B5977" w:rsidRPr="00E21149" w:rsidRDefault="005B5977" w:rsidP="00C32D0F">
      <w:pPr>
        <w:pStyle w:val="FooterTableFigure"/>
        <w:rPr>
          <w:i/>
          <w:iCs/>
        </w:rPr>
      </w:pPr>
      <w:r w:rsidRPr="00E21149">
        <w:rPr>
          <w:i/>
          <w:iCs/>
          <w:vertAlign w:val="superscript"/>
        </w:rPr>
        <w:t>2</w:t>
      </w:r>
      <w:r w:rsidRPr="00E21149">
        <w:rPr>
          <w:i/>
          <w:iCs/>
        </w:rPr>
        <w:t>600,000 to &lt; 700,000</w:t>
      </w:r>
    </w:p>
    <w:p w14:paraId="302D9FE5" w14:textId="40FABE53" w:rsidR="005B5977" w:rsidRPr="00E21149" w:rsidRDefault="005B5977" w:rsidP="00C32D0F">
      <w:pPr>
        <w:pStyle w:val="FooterTableFigure"/>
        <w:rPr>
          <w:i/>
          <w:iCs/>
        </w:rPr>
      </w:pPr>
      <w:r w:rsidRPr="00E21149">
        <w:rPr>
          <w:i/>
          <w:iCs/>
          <w:vertAlign w:val="superscript"/>
        </w:rPr>
        <w:t>3</w:t>
      </w:r>
      <w:r w:rsidRPr="00E21149">
        <w:rPr>
          <w:i/>
          <w:iCs/>
        </w:rPr>
        <w:t xml:space="preserve">&gt; </w:t>
      </w:r>
      <w:r w:rsidR="0090667A" w:rsidRPr="0090667A">
        <w:rPr>
          <w:i/>
          <w:iCs/>
        </w:rPr>
        <w:t>$</w:t>
      </w:r>
      <w:r w:rsidRPr="00E21149">
        <w:rPr>
          <w:i/>
          <w:iCs/>
        </w:rPr>
        <w:t>1 billion</w:t>
      </w:r>
    </w:p>
    <w:p w14:paraId="296DD380" w14:textId="0F9C809C" w:rsidR="00287C72" w:rsidRDefault="00C32D0F" w:rsidP="00C32D0F">
      <w:pPr>
        <w:pStyle w:val="3-BodyText"/>
        <w:rPr>
          <w:color w:val="3366FF"/>
        </w:rPr>
      </w:pPr>
      <w:r w:rsidRPr="00C068F4">
        <w:t xml:space="preserve">The total cost to the PBS, less </w:t>
      </w:r>
      <w:r w:rsidR="00294359" w:rsidRPr="00C068F4">
        <w:t>co-payments</w:t>
      </w:r>
      <w:r w:rsidRPr="00C068F4">
        <w:t xml:space="preserve">, of listing </w:t>
      </w:r>
      <w:r w:rsidR="004E3286" w:rsidRPr="00C068F4">
        <w:t>tixagevimab 300 mg and cilgavimab 300 mg</w:t>
      </w:r>
      <w:r w:rsidRPr="00C068F4">
        <w:t xml:space="preserve"> was estimated by the submission to be </w:t>
      </w:r>
      <w:r w:rsidR="005B5977" w:rsidRPr="005B5977">
        <w:t xml:space="preserve">&gt; </w:t>
      </w:r>
      <w:r w:rsidR="0090667A" w:rsidRPr="0090667A">
        <w:t>$</w:t>
      </w:r>
      <w:r w:rsidR="005B5977" w:rsidRPr="005B5977">
        <w:t>1 billion</w:t>
      </w:r>
      <w:r w:rsidR="005B5977">
        <w:t xml:space="preserve"> </w:t>
      </w:r>
      <w:r w:rsidRPr="00C068F4">
        <w:t>in Year 3, and</w:t>
      </w:r>
      <w:r w:rsidR="00C068F4">
        <w:t xml:space="preserve"> </w:t>
      </w:r>
      <w:r w:rsidR="005B5977" w:rsidRPr="005B5977">
        <w:t xml:space="preserve">&gt; </w:t>
      </w:r>
      <w:r w:rsidR="0090667A" w:rsidRPr="0090667A">
        <w:t>$</w:t>
      </w:r>
      <w:r w:rsidR="005B5977" w:rsidRPr="005B5977">
        <w:t>1 billion</w:t>
      </w:r>
      <w:r w:rsidR="005B5977">
        <w:t xml:space="preserve"> </w:t>
      </w:r>
      <w:r w:rsidR="00AC5B38" w:rsidRPr="00C068F4">
        <w:t>across</w:t>
      </w:r>
      <w:r w:rsidRPr="00C068F4">
        <w:t xml:space="preserve"> the first 3 years of listing</w:t>
      </w:r>
      <w:r w:rsidRPr="00DF6022">
        <w:t>.</w:t>
      </w:r>
    </w:p>
    <w:p w14:paraId="6BC9986E" w14:textId="0B4C5AAC" w:rsidR="00C32D0F" w:rsidRPr="00C068F4" w:rsidRDefault="00C32D0F" w:rsidP="00C32D0F">
      <w:pPr>
        <w:pStyle w:val="3-BodyText"/>
        <w:rPr>
          <w:iCs/>
        </w:rPr>
      </w:pPr>
      <w:r w:rsidRPr="00C068F4">
        <w:t xml:space="preserve">The </w:t>
      </w:r>
      <w:r w:rsidR="00294359" w:rsidRPr="00C068F4">
        <w:t xml:space="preserve">Sponsor </w:t>
      </w:r>
      <w:r w:rsidRPr="00C068F4">
        <w:t xml:space="preserve">notes the submission does not include an estimate of the cost to the RPBS as the PBS 10% sample was the source for 95% of the estimates of use. </w:t>
      </w:r>
      <w:r w:rsidRPr="00C068F4">
        <w:rPr>
          <w:iCs/>
        </w:rPr>
        <w:t xml:space="preserve">The </w:t>
      </w:r>
      <w:r w:rsidRPr="00C068F4">
        <w:rPr>
          <w:iCs/>
        </w:rPr>
        <w:lastRenderedPageBreak/>
        <w:t xml:space="preserve">Department considers it would be appropriate to increase the final estimates by </w:t>
      </w:r>
      <w:r w:rsidR="00C67183" w:rsidRPr="00C068F4">
        <w:rPr>
          <w:iCs/>
        </w:rPr>
        <w:t>2.7%</w:t>
      </w:r>
      <w:r w:rsidR="00C67183" w:rsidRPr="00C068F4">
        <w:rPr>
          <w:rStyle w:val="FootnoteReference"/>
          <w:iCs/>
        </w:rPr>
        <w:footnoteReference w:id="27"/>
      </w:r>
      <w:r w:rsidRPr="00C068F4">
        <w:rPr>
          <w:iCs/>
        </w:rPr>
        <w:t xml:space="preserve"> to take account of use through the RPBS</w:t>
      </w:r>
      <w:r w:rsidR="0037708C">
        <w:rPr>
          <w:iCs/>
        </w:rPr>
        <w:t>.</w:t>
      </w:r>
    </w:p>
    <w:p w14:paraId="2FE99C0A" w14:textId="2B501B8F" w:rsidR="00C32D0F" w:rsidRPr="00C068F4" w:rsidRDefault="00C32D0F" w:rsidP="00C32D0F">
      <w:pPr>
        <w:pStyle w:val="3-BodyText"/>
        <w:rPr>
          <w:iCs/>
        </w:rPr>
      </w:pPr>
      <w:r w:rsidRPr="00C068F4">
        <w:rPr>
          <w:iCs/>
        </w:rPr>
        <w:t xml:space="preserve">The </w:t>
      </w:r>
      <w:r w:rsidR="00362487" w:rsidRPr="00C068F4">
        <w:rPr>
          <w:iCs/>
        </w:rPr>
        <w:t xml:space="preserve">evaluation considered the </w:t>
      </w:r>
      <w:r w:rsidRPr="00C068F4">
        <w:rPr>
          <w:iCs/>
        </w:rPr>
        <w:t>submission likely overestimates the usage and financial estimates for the following main reasons:</w:t>
      </w:r>
    </w:p>
    <w:p w14:paraId="3013EAA6" w14:textId="6CD33C8D" w:rsidR="00C32D0F" w:rsidRPr="00C068F4" w:rsidRDefault="00C32D0F" w:rsidP="00D94F7C">
      <w:pPr>
        <w:pStyle w:val="3-BodyText"/>
        <w:numPr>
          <w:ilvl w:val="0"/>
          <w:numId w:val="11"/>
        </w:numPr>
        <w:rPr>
          <w:iCs/>
        </w:rPr>
      </w:pPr>
      <w:r w:rsidRPr="00C068F4">
        <w:rPr>
          <w:iCs/>
        </w:rPr>
        <w:t>The assumption that 75% of all eligible patients will take up treatment is uncertain</w:t>
      </w:r>
      <w:r w:rsidR="00121CC8" w:rsidRPr="00C068F4">
        <w:rPr>
          <w:iCs/>
        </w:rPr>
        <w:t>,</w:t>
      </w:r>
    </w:p>
    <w:p w14:paraId="071DB2EE" w14:textId="7EC6CBC7" w:rsidR="00C32D0F" w:rsidRPr="00C068F4" w:rsidRDefault="00C32D0F" w:rsidP="00D94F7C">
      <w:pPr>
        <w:pStyle w:val="3-BodyText"/>
        <w:numPr>
          <w:ilvl w:val="0"/>
          <w:numId w:val="11"/>
        </w:numPr>
        <w:rPr>
          <w:iCs/>
        </w:rPr>
      </w:pPr>
      <w:r w:rsidRPr="00C068F4">
        <w:rPr>
          <w:iCs/>
        </w:rPr>
        <w:t>The assumptions that 100% of prevalent patients will commence treatment in the first 6 months of PBS listing and that 100% of incident patients will commence treatment in the first 6 months of the PBS year in which they become eligible is overly optimistic</w:t>
      </w:r>
      <w:r w:rsidR="00121CC8" w:rsidRPr="00C068F4">
        <w:rPr>
          <w:iCs/>
        </w:rPr>
        <w:t>,</w:t>
      </w:r>
    </w:p>
    <w:p w14:paraId="75578F31" w14:textId="58AE9A63" w:rsidR="00287C72" w:rsidRDefault="00C32D0F" w:rsidP="00D94F7C">
      <w:pPr>
        <w:pStyle w:val="3-BodyText"/>
        <w:numPr>
          <w:ilvl w:val="0"/>
          <w:numId w:val="11"/>
        </w:numPr>
        <w:rPr>
          <w:iCs/>
        </w:rPr>
      </w:pPr>
      <w:r w:rsidRPr="00C068F4">
        <w:rPr>
          <w:iCs/>
        </w:rPr>
        <w:t>The assumptions that 100% of patients who commence treatment will continue with treatment and will be dosed at regular 6 monthly intervals</w:t>
      </w:r>
      <w:r w:rsidR="00121CC8" w:rsidRPr="00C068F4">
        <w:rPr>
          <w:iCs/>
        </w:rPr>
        <w:t xml:space="preserve"> are overly optimistic</w:t>
      </w:r>
      <w:r w:rsidRPr="00C068F4">
        <w:rPr>
          <w:iCs/>
        </w:rPr>
        <w:t>.</w:t>
      </w:r>
    </w:p>
    <w:p w14:paraId="3B1D45C2" w14:textId="7F19EC36" w:rsidR="00287C72" w:rsidRDefault="00C32D0F" w:rsidP="00C32D0F">
      <w:pPr>
        <w:pStyle w:val="3-BodyText"/>
        <w:rPr>
          <w:iCs/>
        </w:rPr>
      </w:pPr>
      <w:r w:rsidRPr="00C068F4">
        <w:rPr>
          <w:iCs/>
        </w:rPr>
        <w:t xml:space="preserve">The </w:t>
      </w:r>
      <w:r w:rsidR="00AC5B38" w:rsidRPr="00C068F4">
        <w:rPr>
          <w:iCs/>
        </w:rPr>
        <w:t xml:space="preserve">evaluation </w:t>
      </w:r>
      <w:r w:rsidRPr="00C068F4">
        <w:rPr>
          <w:iCs/>
        </w:rPr>
        <w:t>undertook a number of sensitivity analyses to examine the impact of varying these assumptions on the financial estimates</w:t>
      </w:r>
      <w:r w:rsidR="00362487" w:rsidRPr="00C068F4">
        <w:rPr>
          <w:iCs/>
        </w:rPr>
        <w:t>. The pre-PBAC accepted the revised assumptions</w:t>
      </w:r>
      <w:r w:rsidR="00294359" w:rsidRPr="00C068F4">
        <w:rPr>
          <w:iCs/>
        </w:rPr>
        <w:t xml:space="preserve"> derived from one of these</w:t>
      </w:r>
      <w:r w:rsidR="00AC5B38" w:rsidRPr="00C068F4">
        <w:rPr>
          <w:iCs/>
        </w:rPr>
        <w:t xml:space="preserve"> alternative</w:t>
      </w:r>
      <w:r w:rsidR="00294359" w:rsidRPr="00C068F4">
        <w:rPr>
          <w:iCs/>
        </w:rPr>
        <w:t xml:space="preserve"> analyses, as</w:t>
      </w:r>
      <w:r w:rsidR="00362487" w:rsidRPr="00C068F4">
        <w:rPr>
          <w:iCs/>
        </w:rPr>
        <w:t xml:space="preserve"> presented in Table </w:t>
      </w:r>
      <w:r w:rsidR="00CB7D83" w:rsidRPr="00C068F4">
        <w:rPr>
          <w:iCs/>
        </w:rPr>
        <w:t>18</w:t>
      </w:r>
      <w:r w:rsidR="00362487" w:rsidRPr="00C068F4">
        <w:rPr>
          <w:iCs/>
        </w:rPr>
        <w:t>.</w:t>
      </w:r>
    </w:p>
    <w:p w14:paraId="787CACDD" w14:textId="31F3104B" w:rsidR="00C32D0F" w:rsidRPr="00C068F4" w:rsidRDefault="00C32D0F" w:rsidP="00BC520F">
      <w:pPr>
        <w:pStyle w:val="Caption"/>
        <w:rPr>
          <w:iCs/>
        </w:rPr>
      </w:pPr>
      <w:r w:rsidRPr="00C068F4">
        <w:rPr>
          <w:iCs/>
        </w:rPr>
        <w:t xml:space="preserve"> </w:t>
      </w:r>
      <w:bookmarkStart w:id="110" w:name="_Ref111128020"/>
      <w:r w:rsidR="00BC520F" w:rsidRPr="00C068F4">
        <w:t xml:space="preserve">Table </w:t>
      </w:r>
      <w:fldSimple w:instr=" SEQ Table \* ARABIC " w:fldLock="1">
        <w:r w:rsidR="00DB55F2">
          <w:rPr>
            <w:noProof/>
          </w:rPr>
          <w:t>18</w:t>
        </w:r>
      </w:fldSimple>
      <w:bookmarkEnd w:id="110"/>
      <w:r w:rsidR="00BC520F" w:rsidRPr="00C068F4">
        <w:t>:</w:t>
      </w:r>
      <w:r w:rsidR="00BC520F" w:rsidRPr="00C068F4">
        <w:rPr>
          <w:rStyle w:val="CommentReference"/>
          <w:b/>
          <w:szCs w:val="24"/>
        </w:rPr>
        <w:t xml:space="preserve"> </w:t>
      </w:r>
      <w:r w:rsidRPr="00C068F4">
        <w:rPr>
          <w:iCs/>
        </w:rPr>
        <w:t>Sensitivity analys</w:t>
      </w:r>
      <w:r w:rsidR="00FD5A06" w:rsidRPr="00C068F4">
        <w:rPr>
          <w:iCs/>
        </w:rPr>
        <w:t>i</w:t>
      </w:r>
      <w:r w:rsidRPr="00C068F4">
        <w:rPr>
          <w:iCs/>
        </w:rPr>
        <w:t xml:space="preserve">s: usage and financial estimates at </w:t>
      </w:r>
      <w:r w:rsidR="0039087E" w:rsidRPr="00157ED3">
        <w:rPr>
          <w:iCs/>
          <w:color w:val="000000"/>
          <w:spacing w:val="10"/>
          <w:shd w:val="solid" w:color="000000" w:fill="000000"/>
          <w:fitText w:val="550" w:id="-1420094464"/>
          <w14:textFill>
            <w14:solidFill>
              <w14:srgbClr w14:val="000000">
                <w14:alpha w14:val="100000"/>
              </w14:srgbClr>
            </w14:solidFill>
          </w14:textFill>
        </w:rPr>
        <w:t>||||  |||</w:t>
      </w:r>
      <w:r w:rsidR="0039087E" w:rsidRPr="00157ED3">
        <w:rPr>
          <w:iCs/>
          <w:color w:val="000000"/>
          <w:spacing w:val="1"/>
          <w:shd w:val="solid" w:color="000000" w:fill="000000"/>
          <w:fitText w:val="550" w:id="-1420094464"/>
          <w14:textFill>
            <w14:solidFill>
              <w14:srgbClr w14:val="000000">
                <w14:alpha w14:val="100000"/>
              </w14:srgbClr>
            </w14:solidFill>
          </w14:textFill>
        </w:rPr>
        <w:t>|</w:t>
      </w:r>
      <w:r w:rsidRPr="00C068F4">
        <w:rPr>
          <w:iCs/>
        </w:rPr>
        <w:t xml:space="preserve"> DPMQ (no adjustment for co-payment)</w:t>
      </w:r>
    </w:p>
    <w:tbl>
      <w:tblPr>
        <w:tblStyle w:val="TableGrid"/>
        <w:tblW w:w="0" w:type="auto"/>
        <w:tblLook w:val="04A0" w:firstRow="1" w:lastRow="0" w:firstColumn="1" w:lastColumn="0" w:noHBand="0" w:noVBand="1"/>
      </w:tblPr>
      <w:tblGrid>
        <w:gridCol w:w="1146"/>
        <w:gridCol w:w="1649"/>
        <w:gridCol w:w="631"/>
        <w:gridCol w:w="1386"/>
        <w:gridCol w:w="1387"/>
        <w:gridCol w:w="1387"/>
        <w:gridCol w:w="1431"/>
      </w:tblGrid>
      <w:tr w:rsidR="00C32D0F" w:rsidRPr="00C068F4" w14:paraId="3BD302A9" w14:textId="77777777" w:rsidTr="00FD5A06">
        <w:tc>
          <w:tcPr>
            <w:tcW w:w="2795" w:type="dxa"/>
            <w:gridSpan w:val="2"/>
          </w:tcPr>
          <w:p w14:paraId="6200A2E1" w14:textId="77777777" w:rsidR="00C32D0F" w:rsidRPr="00C068F4" w:rsidRDefault="00C32D0F" w:rsidP="00BC520F">
            <w:pPr>
              <w:rPr>
                <w:rFonts w:ascii="Arial Narrow" w:hAnsi="Arial Narrow"/>
                <w:iCs/>
                <w:sz w:val="20"/>
                <w:szCs w:val="20"/>
              </w:rPr>
            </w:pPr>
          </w:p>
        </w:tc>
        <w:tc>
          <w:tcPr>
            <w:tcW w:w="631" w:type="dxa"/>
            <w:shd w:val="clear" w:color="auto" w:fill="auto"/>
          </w:tcPr>
          <w:p w14:paraId="4D7570AC" w14:textId="77777777" w:rsidR="00C32D0F" w:rsidRPr="00C068F4" w:rsidRDefault="00C32D0F" w:rsidP="00FD5A06">
            <w:pPr>
              <w:jc w:val="right"/>
              <w:rPr>
                <w:rFonts w:ascii="Arial Narrow" w:hAnsi="Arial Narrow"/>
                <w:iCs/>
                <w:sz w:val="20"/>
                <w:szCs w:val="20"/>
              </w:rPr>
            </w:pPr>
          </w:p>
        </w:tc>
        <w:tc>
          <w:tcPr>
            <w:tcW w:w="1386" w:type="dxa"/>
            <w:shd w:val="clear" w:color="auto" w:fill="auto"/>
          </w:tcPr>
          <w:p w14:paraId="2D7055A5" w14:textId="77777777" w:rsidR="00C32D0F" w:rsidRPr="00C068F4" w:rsidRDefault="00C32D0F" w:rsidP="00FD5A06">
            <w:pPr>
              <w:jc w:val="right"/>
              <w:rPr>
                <w:rFonts w:ascii="Arial Narrow" w:hAnsi="Arial Narrow"/>
                <w:iCs/>
                <w:sz w:val="20"/>
                <w:szCs w:val="20"/>
              </w:rPr>
            </w:pPr>
            <w:r w:rsidRPr="00C068F4">
              <w:rPr>
                <w:rFonts w:ascii="Arial Narrow" w:hAnsi="Arial Narrow"/>
                <w:iCs/>
                <w:sz w:val="20"/>
                <w:szCs w:val="20"/>
              </w:rPr>
              <w:t>Year 1</w:t>
            </w:r>
          </w:p>
        </w:tc>
        <w:tc>
          <w:tcPr>
            <w:tcW w:w="1387" w:type="dxa"/>
            <w:shd w:val="clear" w:color="auto" w:fill="auto"/>
          </w:tcPr>
          <w:p w14:paraId="499268A4" w14:textId="77777777" w:rsidR="00C32D0F" w:rsidRPr="00C068F4" w:rsidRDefault="00C32D0F" w:rsidP="00FD5A06">
            <w:pPr>
              <w:jc w:val="right"/>
              <w:rPr>
                <w:rFonts w:ascii="Arial Narrow" w:hAnsi="Arial Narrow"/>
                <w:iCs/>
                <w:sz w:val="20"/>
                <w:szCs w:val="20"/>
              </w:rPr>
            </w:pPr>
            <w:r w:rsidRPr="00C068F4">
              <w:rPr>
                <w:rFonts w:ascii="Arial Narrow" w:hAnsi="Arial Narrow"/>
                <w:iCs/>
                <w:sz w:val="20"/>
                <w:szCs w:val="20"/>
              </w:rPr>
              <w:t>Year 2</w:t>
            </w:r>
          </w:p>
        </w:tc>
        <w:tc>
          <w:tcPr>
            <w:tcW w:w="1387" w:type="dxa"/>
            <w:shd w:val="clear" w:color="auto" w:fill="auto"/>
          </w:tcPr>
          <w:p w14:paraId="10C54348" w14:textId="77777777" w:rsidR="00C32D0F" w:rsidRPr="00C068F4" w:rsidRDefault="00C32D0F" w:rsidP="00FD5A06">
            <w:pPr>
              <w:jc w:val="right"/>
              <w:rPr>
                <w:rFonts w:ascii="Arial Narrow" w:hAnsi="Arial Narrow"/>
                <w:iCs/>
                <w:sz w:val="20"/>
                <w:szCs w:val="20"/>
              </w:rPr>
            </w:pPr>
            <w:r w:rsidRPr="00C068F4">
              <w:rPr>
                <w:rFonts w:ascii="Arial Narrow" w:hAnsi="Arial Narrow"/>
                <w:iCs/>
                <w:sz w:val="20"/>
                <w:szCs w:val="20"/>
              </w:rPr>
              <w:t>Year 3</w:t>
            </w:r>
          </w:p>
        </w:tc>
        <w:tc>
          <w:tcPr>
            <w:tcW w:w="1431" w:type="dxa"/>
            <w:shd w:val="clear" w:color="auto" w:fill="auto"/>
          </w:tcPr>
          <w:p w14:paraId="7AB2E39D" w14:textId="77777777" w:rsidR="00C32D0F" w:rsidRPr="00C068F4" w:rsidRDefault="00C32D0F" w:rsidP="00FD5A06">
            <w:pPr>
              <w:jc w:val="right"/>
              <w:rPr>
                <w:rFonts w:ascii="Arial Narrow" w:hAnsi="Arial Narrow"/>
                <w:iCs/>
                <w:sz w:val="20"/>
                <w:szCs w:val="20"/>
              </w:rPr>
            </w:pPr>
            <w:r w:rsidRPr="00C068F4">
              <w:rPr>
                <w:rFonts w:ascii="Arial Narrow" w:hAnsi="Arial Narrow"/>
                <w:iCs/>
                <w:sz w:val="20"/>
                <w:szCs w:val="20"/>
              </w:rPr>
              <w:t>Total</w:t>
            </w:r>
          </w:p>
        </w:tc>
      </w:tr>
      <w:tr w:rsidR="00FD5A06" w:rsidRPr="00C068F4" w14:paraId="0DFD70B6" w14:textId="77777777" w:rsidTr="00FD5A06">
        <w:tc>
          <w:tcPr>
            <w:tcW w:w="1146" w:type="dxa"/>
            <w:vMerge w:val="restart"/>
          </w:tcPr>
          <w:p w14:paraId="2919D45A" w14:textId="0A8354CA" w:rsidR="00C32D0F" w:rsidRPr="00C068F4" w:rsidRDefault="00FD5A06" w:rsidP="00BC520F">
            <w:pPr>
              <w:rPr>
                <w:rFonts w:ascii="Arial Narrow" w:hAnsi="Arial Narrow"/>
                <w:sz w:val="20"/>
                <w:szCs w:val="20"/>
              </w:rPr>
            </w:pPr>
            <w:r w:rsidRPr="00C068F4">
              <w:rPr>
                <w:rFonts w:ascii="Arial Narrow" w:hAnsi="Arial Narrow"/>
                <w:sz w:val="20"/>
                <w:szCs w:val="20"/>
              </w:rPr>
              <w:t>Sponsor base case</w:t>
            </w:r>
          </w:p>
        </w:tc>
        <w:tc>
          <w:tcPr>
            <w:tcW w:w="1649" w:type="dxa"/>
            <w:vMerge w:val="restart"/>
          </w:tcPr>
          <w:p w14:paraId="5B88FA2E" w14:textId="73A00FAC" w:rsidR="006D7867" w:rsidRDefault="006D7867" w:rsidP="00EE5331">
            <w:pPr>
              <w:jc w:val="left"/>
              <w:rPr>
                <w:rFonts w:ascii="Arial Narrow" w:hAnsi="Arial Narrow"/>
                <w:sz w:val="20"/>
                <w:szCs w:val="20"/>
              </w:rPr>
            </w:pPr>
            <w:r>
              <w:rPr>
                <w:rFonts w:ascii="Arial Narrow" w:hAnsi="Arial Narrow"/>
                <w:sz w:val="20"/>
                <w:szCs w:val="20"/>
              </w:rPr>
              <w:t>Assumptions:</w:t>
            </w:r>
          </w:p>
          <w:p w14:paraId="5EF45B0F" w14:textId="36516617" w:rsidR="00C32D0F" w:rsidRPr="00C068F4" w:rsidRDefault="00C32D0F" w:rsidP="00EE5331">
            <w:pPr>
              <w:jc w:val="left"/>
              <w:rPr>
                <w:rFonts w:ascii="Arial Narrow" w:hAnsi="Arial Narrow"/>
                <w:sz w:val="20"/>
                <w:szCs w:val="20"/>
              </w:rPr>
            </w:pPr>
            <w:r w:rsidRPr="00C068F4">
              <w:rPr>
                <w:rFonts w:ascii="Arial Narrow" w:hAnsi="Arial Narrow"/>
                <w:sz w:val="20"/>
                <w:szCs w:val="20"/>
              </w:rPr>
              <w:t xml:space="preserve">75% uptake, 100% </w:t>
            </w:r>
            <w:r w:rsidR="006D7867">
              <w:rPr>
                <w:rFonts w:ascii="Arial Narrow" w:hAnsi="Arial Narrow"/>
                <w:sz w:val="20"/>
                <w:szCs w:val="20"/>
              </w:rPr>
              <w:t xml:space="preserve">in </w:t>
            </w:r>
            <w:r w:rsidRPr="00C068F4">
              <w:rPr>
                <w:rFonts w:ascii="Arial Narrow" w:hAnsi="Arial Narrow"/>
                <w:sz w:val="20"/>
                <w:szCs w:val="20"/>
              </w:rPr>
              <w:t>first 6 months</w:t>
            </w:r>
            <w:r w:rsidR="00EE5331">
              <w:rPr>
                <w:rFonts w:ascii="Arial Narrow" w:hAnsi="Arial Narrow"/>
                <w:sz w:val="20"/>
                <w:szCs w:val="20"/>
              </w:rPr>
              <w:t xml:space="preserve"> of the year</w:t>
            </w:r>
            <w:r w:rsidRPr="00C068F4">
              <w:rPr>
                <w:rFonts w:ascii="Arial Narrow" w:hAnsi="Arial Narrow"/>
                <w:sz w:val="20"/>
                <w:szCs w:val="20"/>
              </w:rPr>
              <w:t xml:space="preserve">, 100% </w:t>
            </w:r>
            <w:r w:rsidR="00EE5331">
              <w:rPr>
                <w:rFonts w:ascii="Arial Narrow" w:hAnsi="Arial Narrow"/>
                <w:sz w:val="20"/>
                <w:szCs w:val="20"/>
              </w:rPr>
              <w:t>continuation</w:t>
            </w:r>
          </w:p>
        </w:tc>
        <w:tc>
          <w:tcPr>
            <w:tcW w:w="631" w:type="dxa"/>
            <w:shd w:val="clear" w:color="auto" w:fill="auto"/>
          </w:tcPr>
          <w:p w14:paraId="5F562A89" w14:textId="77777777" w:rsidR="00C32D0F" w:rsidRPr="00C068F4" w:rsidRDefault="00C32D0F" w:rsidP="00FD5A06">
            <w:pPr>
              <w:jc w:val="right"/>
              <w:rPr>
                <w:rFonts w:ascii="Arial Narrow" w:hAnsi="Arial Narrow"/>
                <w:sz w:val="20"/>
                <w:szCs w:val="20"/>
              </w:rPr>
            </w:pPr>
            <w:r w:rsidRPr="00C068F4">
              <w:rPr>
                <w:rFonts w:ascii="Arial Narrow" w:hAnsi="Arial Narrow"/>
                <w:sz w:val="20"/>
                <w:szCs w:val="20"/>
              </w:rPr>
              <w:t>Units</w:t>
            </w:r>
          </w:p>
        </w:tc>
        <w:tc>
          <w:tcPr>
            <w:tcW w:w="1386" w:type="dxa"/>
            <w:shd w:val="clear" w:color="auto" w:fill="auto"/>
          </w:tcPr>
          <w:p w14:paraId="07AAACAE" w14:textId="1E76B935" w:rsidR="00C32D0F" w:rsidRPr="005B5977" w:rsidRDefault="00D61370" w:rsidP="00FD5A06">
            <w:pPr>
              <w:jc w:val="right"/>
              <w:rPr>
                <w:rFonts w:ascii="Arial Narrow" w:hAnsi="Arial Narrow"/>
                <w:iCs/>
                <w:sz w:val="20"/>
                <w:szCs w:val="20"/>
                <w:vertAlign w:val="superscript"/>
              </w:rPr>
            </w:pPr>
            <w:r w:rsidRPr="00157ED3">
              <w:rPr>
                <w:rFonts w:ascii="Arial Narrow" w:hAnsi="Arial Narrow" w:hint="eastAsia"/>
                <w:iCs/>
                <w:color w:val="000000"/>
                <w:w w:val="15"/>
                <w:sz w:val="20"/>
                <w:szCs w:val="20"/>
                <w:shd w:val="solid" w:color="000000" w:fill="000000"/>
                <w:fitText w:val="45" w:id="-1425249272"/>
                <w14:textFill>
                  <w14:solidFill>
                    <w14:srgbClr w14:val="000000">
                      <w14:alpha w14:val="100000"/>
                    </w14:srgbClr>
                  </w14:solidFill>
                </w14:textFill>
              </w:rPr>
              <w:t xml:space="preserve">　</w:t>
            </w:r>
            <w:r w:rsidRPr="00157ED3">
              <w:rPr>
                <w:rFonts w:ascii="Arial Narrow" w:hAnsi="Arial Narrow"/>
                <w:iCs/>
                <w:color w:val="000000"/>
                <w:w w:val="15"/>
                <w:sz w:val="20"/>
                <w:szCs w:val="20"/>
                <w:shd w:val="solid" w:color="000000" w:fill="000000"/>
                <w:fitText w:val="45" w:id="-1425249272"/>
                <w14:textFill>
                  <w14:solidFill>
                    <w14:srgbClr w14:val="000000">
                      <w14:alpha w14:val="100000"/>
                    </w14:srgbClr>
                  </w14:solidFill>
                </w14:textFill>
              </w:rPr>
              <w:t>|</w:t>
            </w:r>
            <w:r w:rsidRPr="00157ED3">
              <w:rPr>
                <w:rFonts w:ascii="Arial Narrow" w:hAnsi="Arial Narrow" w:hint="eastAsia"/>
                <w:iCs/>
                <w:color w:val="000000"/>
                <w:spacing w:val="-20"/>
                <w:w w:val="15"/>
                <w:sz w:val="20"/>
                <w:szCs w:val="20"/>
                <w:shd w:val="solid" w:color="000000" w:fill="000000"/>
                <w:fitText w:val="45" w:id="-1425249272"/>
                <w14:textFill>
                  <w14:solidFill>
                    <w14:srgbClr w14:val="000000">
                      <w14:alpha w14:val="100000"/>
                    </w14:srgbClr>
                  </w14:solidFill>
                </w14:textFill>
              </w:rPr>
              <w:t xml:space="preserve">　</w:t>
            </w:r>
            <w:r w:rsidR="00492064">
              <w:rPr>
                <w:rFonts w:ascii="Arial Narrow" w:hAnsi="Arial Narrow"/>
                <w:iCs/>
                <w:sz w:val="20"/>
                <w:szCs w:val="20"/>
                <w:vertAlign w:val="superscript"/>
              </w:rPr>
              <w:t>3</w:t>
            </w:r>
          </w:p>
        </w:tc>
        <w:tc>
          <w:tcPr>
            <w:tcW w:w="1387" w:type="dxa"/>
            <w:shd w:val="clear" w:color="auto" w:fill="auto"/>
          </w:tcPr>
          <w:p w14:paraId="39AF39B2" w14:textId="4B27F75E" w:rsidR="00C32D0F" w:rsidRPr="005B5977" w:rsidRDefault="00D61370" w:rsidP="00FD5A06">
            <w:pPr>
              <w:jc w:val="right"/>
              <w:rPr>
                <w:rFonts w:ascii="Arial Narrow" w:hAnsi="Arial Narrow"/>
                <w:iCs/>
                <w:sz w:val="20"/>
                <w:szCs w:val="20"/>
                <w:vertAlign w:val="superscript"/>
              </w:rPr>
            </w:pPr>
            <w:r w:rsidRPr="00157ED3">
              <w:rPr>
                <w:rFonts w:ascii="Arial Narrow" w:hAnsi="Arial Narrow" w:hint="eastAsia"/>
                <w:iCs/>
                <w:color w:val="000000"/>
                <w:w w:val="15"/>
                <w:sz w:val="20"/>
                <w:szCs w:val="20"/>
                <w:shd w:val="solid" w:color="000000" w:fill="000000"/>
                <w:fitText w:val="45" w:id="-1425249271"/>
                <w14:textFill>
                  <w14:solidFill>
                    <w14:srgbClr w14:val="000000">
                      <w14:alpha w14:val="100000"/>
                    </w14:srgbClr>
                  </w14:solidFill>
                </w14:textFill>
              </w:rPr>
              <w:t xml:space="preserve">　</w:t>
            </w:r>
            <w:r w:rsidRPr="00157ED3">
              <w:rPr>
                <w:rFonts w:ascii="Arial Narrow" w:hAnsi="Arial Narrow"/>
                <w:iCs/>
                <w:color w:val="000000"/>
                <w:w w:val="15"/>
                <w:sz w:val="20"/>
                <w:szCs w:val="20"/>
                <w:shd w:val="solid" w:color="000000" w:fill="000000"/>
                <w:fitText w:val="45" w:id="-1425249271"/>
                <w14:textFill>
                  <w14:solidFill>
                    <w14:srgbClr w14:val="000000">
                      <w14:alpha w14:val="100000"/>
                    </w14:srgbClr>
                  </w14:solidFill>
                </w14:textFill>
              </w:rPr>
              <w:t>|</w:t>
            </w:r>
            <w:r w:rsidRPr="00157ED3">
              <w:rPr>
                <w:rFonts w:ascii="Arial Narrow" w:hAnsi="Arial Narrow" w:hint="eastAsia"/>
                <w:iCs/>
                <w:color w:val="000000"/>
                <w:spacing w:val="-20"/>
                <w:w w:val="15"/>
                <w:sz w:val="20"/>
                <w:szCs w:val="20"/>
                <w:shd w:val="solid" w:color="000000" w:fill="000000"/>
                <w:fitText w:val="45" w:id="-1425249271"/>
                <w14:textFill>
                  <w14:solidFill>
                    <w14:srgbClr w14:val="000000">
                      <w14:alpha w14:val="100000"/>
                    </w14:srgbClr>
                  </w14:solidFill>
                </w14:textFill>
              </w:rPr>
              <w:t xml:space="preserve">　</w:t>
            </w:r>
            <w:r w:rsidR="00492064">
              <w:rPr>
                <w:rFonts w:ascii="Arial Narrow" w:hAnsi="Arial Narrow"/>
                <w:iCs/>
                <w:sz w:val="20"/>
                <w:szCs w:val="20"/>
                <w:vertAlign w:val="superscript"/>
              </w:rPr>
              <w:t>3</w:t>
            </w:r>
          </w:p>
        </w:tc>
        <w:tc>
          <w:tcPr>
            <w:tcW w:w="1387" w:type="dxa"/>
            <w:shd w:val="clear" w:color="auto" w:fill="auto"/>
          </w:tcPr>
          <w:p w14:paraId="12453B22" w14:textId="32693602" w:rsidR="00C32D0F" w:rsidRPr="005B5977" w:rsidRDefault="00D61370" w:rsidP="00FD5A06">
            <w:pPr>
              <w:jc w:val="right"/>
              <w:rPr>
                <w:rFonts w:ascii="Arial Narrow" w:hAnsi="Arial Narrow"/>
                <w:iCs/>
                <w:sz w:val="20"/>
                <w:szCs w:val="20"/>
                <w:vertAlign w:val="superscript"/>
              </w:rPr>
            </w:pPr>
            <w:r w:rsidRPr="00157ED3">
              <w:rPr>
                <w:rFonts w:ascii="Arial Narrow" w:hAnsi="Arial Narrow" w:hint="eastAsia"/>
                <w:iCs/>
                <w:color w:val="000000"/>
                <w:w w:val="15"/>
                <w:sz w:val="20"/>
                <w:szCs w:val="20"/>
                <w:shd w:val="solid" w:color="000000" w:fill="000000"/>
                <w:fitText w:val="45" w:id="-1425249270"/>
                <w14:textFill>
                  <w14:solidFill>
                    <w14:srgbClr w14:val="000000">
                      <w14:alpha w14:val="100000"/>
                    </w14:srgbClr>
                  </w14:solidFill>
                </w14:textFill>
              </w:rPr>
              <w:t xml:space="preserve">　</w:t>
            </w:r>
            <w:r w:rsidRPr="00157ED3">
              <w:rPr>
                <w:rFonts w:ascii="Arial Narrow" w:hAnsi="Arial Narrow"/>
                <w:iCs/>
                <w:color w:val="000000"/>
                <w:w w:val="15"/>
                <w:sz w:val="20"/>
                <w:szCs w:val="20"/>
                <w:shd w:val="solid" w:color="000000" w:fill="000000"/>
                <w:fitText w:val="45" w:id="-1425249270"/>
                <w14:textFill>
                  <w14:solidFill>
                    <w14:srgbClr w14:val="000000">
                      <w14:alpha w14:val="100000"/>
                    </w14:srgbClr>
                  </w14:solidFill>
                </w14:textFill>
              </w:rPr>
              <w:t>|</w:t>
            </w:r>
            <w:r w:rsidRPr="00157ED3">
              <w:rPr>
                <w:rFonts w:ascii="Arial Narrow" w:hAnsi="Arial Narrow" w:hint="eastAsia"/>
                <w:iCs/>
                <w:color w:val="000000"/>
                <w:spacing w:val="-20"/>
                <w:w w:val="15"/>
                <w:sz w:val="20"/>
                <w:szCs w:val="20"/>
                <w:shd w:val="solid" w:color="000000" w:fill="000000"/>
                <w:fitText w:val="45" w:id="-1425249270"/>
                <w14:textFill>
                  <w14:solidFill>
                    <w14:srgbClr w14:val="000000">
                      <w14:alpha w14:val="100000"/>
                    </w14:srgbClr>
                  </w14:solidFill>
                </w14:textFill>
              </w:rPr>
              <w:t xml:space="preserve">　</w:t>
            </w:r>
            <w:r w:rsidR="00492064">
              <w:rPr>
                <w:rFonts w:ascii="Arial Narrow" w:hAnsi="Arial Narrow"/>
                <w:iCs/>
                <w:sz w:val="20"/>
                <w:szCs w:val="20"/>
                <w:vertAlign w:val="superscript"/>
              </w:rPr>
              <w:t>3</w:t>
            </w:r>
          </w:p>
        </w:tc>
        <w:tc>
          <w:tcPr>
            <w:tcW w:w="1431" w:type="dxa"/>
            <w:shd w:val="clear" w:color="auto" w:fill="auto"/>
          </w:tcPr>
          <w:p w14:paraId="04FA3630" w14:textId="03A95422" w:rsidR="00C32D0F" w:rsidRPr="005B5977" w:rsidRDefault="00D61370" w:rsidP="00FD5A06">
            <w:pPr>
              <w:jc w:val="right"/>
              <w:rPr>
                <w:rFonts w:ascii="Arial Narrow" w:hAnsi="Arial Narrow"/>
                <w:iCs/>
                <w:sz w:val="20"/>
                <w:szCs w:val="20"/>
                <w:vertAlign w:val="superscript"/>
              </w:rPr>
            </w:pPr>
            <w:r w:rsidRPr="00D61370">
              <w:rPr>
                <w:rFonts w:ascii="Arial Narrow" w:hAnsi="Arial Narrow"/>
                <w:iCs/>
                <w:color w:val="000000"/>
                <w:sz w:val="20"/>
                <w:szCs w:val="20"/>
                <w:shd w:val="solid" w:color="000000" w:fill="000000"/>
                <w14:textFill>
                  <w14:solidFill>
                    <w14:srgbClr w14:val="000000">
                      <w14:alpha w14:val="100000"/>
                    </w14:srgbClr>
                  </w14:solidFill>
                </w14:textFill>
              </w:rPr>
              <w:t>|</w:t>
            </w:r>
            <w:r w:rsidR="00492064">
              <w:rPr>
                <w:rFonts w:ascii="Arial Narrow" w:hAnsi="Arial Narrow"/>
                <w:iCs/>
                <w:sz w:val="20"/>
                <w:szCs w:val="20"/>
                <w:vertAlign w:val="superscript"/>
              </w:rPr>
              <w:t>4</w:t>
            </w:r>
          </w:p>
        </w:tc>
      </w:tr>
      <w:tr w:rsidR="00FD5A06" w:rsidRPr="00C068F4" w14:paraId="5A1B68B7" w14:textId="77777777" w:rsidTr="00FD5A06">
        <w:trPr>
          <w:trHeight w:val="271"/>
        </w:trPr>
        <w:tc>
          <w:tcPr>
            <w:tcW w:w="1146" w:type="dxa"/>
            <w:vMerge/>
          </w:tcPr>
          <w:p w14:paraId="4ED99C1B" w14:textId="77777777" w:rsidR="00C32D0F" w:rsidRPr="00C068F4" w:rsidRDefault="00C32D0F" w:rsidP="00BC520F">
            <w:pPr>
              <w:rPr>
                <w:rFonts w:ascii="Arial Narrow" w:hAnsi="Arial Narrow"/>
                <w:sz w:val="20"/>
                <w:szCs w:val="20"/>
              </w:rPr>
            </w:pPr>
          </w:p>
        </w:tc>
        <w:tc>
          <w:tcPr>
            <w:tcW w:w="1649" w:type="dxa"/>
            <w:vMerge/>
          </w:tcPr>
          <w:p w14:paraId="0D46952C" w14:textId="77777777" w:rsidR="00C32D0F" w:rsidRPr="00C068F4" w:rsidRDefault="00C32D0F" w:rsidP="00EE5331">
            <w:pPr>
              <w:jc w:val="left"/>
              <w:rPr>
                <w:rFonts w:ascii="Arial Narrow" w:hAnsi="Arial Narrow"/>
                <w:sz w:val="20"/>
                <w:szCs w:val="20"/>
              </w:rPr>
            </w:pPr>
          </w:p>
        </w:tc>
        <w:tc>
          <w:tcPr>
            <w:tcW w:w="631" w:type="dxa"/>
            <w:shd w:val="clear" w:color="auto" w:fill="auto"/>
          </w:tcPr>
          <w:p w14:paraId="67D578E5" w14:textId="77777777" w:rsidR="00C32D0F" w:rsidRPr="00C068F4" w:rsidRDefault="00C32D0F" w:rsidP="00FD5A06">
            <w:pPr>
              <w:jc w:val="right"/>
              <w:rPr>
                <w:rFonts w:ascii="Arial Narrow" w:hAnsi="Arial Narrow"/>
                <w:iCs/>
                <w:sz w:val="20"/>
                <w:szCs w:val="20"/>
              </w:rPr>
            </w:pPr>
            <w:r w:rsidRPr="00C068F4">
              <w:rPr>
                <w:rFonts w:ascii="Arial Narrow" w:hAnsi="Arial Narrow"/>
                <w:iCs/>
                <w:sz w:val="20"/>
                <w:szCs w:val="20"/>
              </w:rPr>
              <w:t>Cost</w:t>
            </w:r>
          </w:p>
        </w:tc>
        <w:tc>
          <w:tcPr>
            <w:tcW w:w="1386" w:type="dxa"/>
            <w:shd w:val="clear" w:color="auto" w:fill="auto"/>
          </w:tcPr>
          <w:p w14:paraId="038BE713" w14:textId="47CC3B88" w:rsidR="00C32D0F" w:rsidRPr="005B5977" w:rsidRDefault="0090667A" w:rsidP="00FD5A06">
            <w:pPr>
              <w:spacing w:before="100" w:beforeAutospacing="1" w:after="100" w:afterAutospacing="1"/>
              <w:jc w:val="right"/>
              <w:rPr>
                <w:rFonts w:ascii="Arial Narrow" w:hAnsi="Arial Narrow"/>
                <w:iCs/>
                <w:sz w:val="20"/>
                <w:szCs w:val="20"/>
                <w:vertAlign w:val="superscript"/>
              </w:rPr>
            </w:pPr>
            <w:r w:rsidRPr="0090667A">
              <w:rPr>
                <w:rFonts w:ascii="Arial Narrow" w:hAnsi="Arial Narrow"/>
                <w:iCs/>
                <w:sz w:val="20"/>
                <w:szCs w:val="20"/>
              </w:rPr>
              <w:t>$</w:t>
            </w:r>
            <w:r w:rsidR="00D61370" w:rsidRPr="00157ED3">
              <w:rPr>
                <w:rFonts w:ascii="Arial Narrow" w:hAnsi="Arial Narrow" w:hint="eastAsia"/>
                <w:iCs/>
                <w:color w:val="000000"/>
                <w:w w:val="30"/>
                <w:sz w:val="20"/>
                <w:szCs w:val="20"/>
                <w:shd w:val="solid" w:color="000000" w:fill="000000"/>
                <w:fitText w:val="135" w:id="-1425249269"/>
                <w14:textFill>
                  <w14:solidFill>
                    <w14:srgbClr w14:val="000000">
                      <w14:alpha w14:val="100000"/>
                    </w14:srgbClr>
                  </w14:solidFill>
                </w14:textFill>
              </w:rPr>
              <w:t xml:space="preserve">　</w:t>
            </w:r>
            <w:r w:rsidR="00D61370" w:rsidRPr="00157ED3">
              <w:rPr>
                <w:rFonts w:ascii="Arial Narrow" w:hAnsi="Arial Narrow"/>
                <w:iCs/>
                <w:color w:val="000000"/>
                <w:w w:val="30"/>
                <w:sz w:val="20"/>
                <w:szCs w:val="20"/>
                <w:shd w:val="solid" w:color="000000" w:fill="000000"/>
                <w:fitText w:val="135" w:id="-1425249269"/>
                <w14:textFill>
                  <w14:solidFill>
                    <w14:srgbClr w14:val="000000">
                      <w14:alpha w14:val="100000"/>
                    </w14:srgbClr>
                  </w14:solidFill>
                </w14:textFill>
              </w:rPr>
              <w:t>|</w:t>
            </w:r>
            <w:r w:rsidR="00D61370" w:rsidRPr="00157ED3">
              <w:rPr>
                <w:rFonts w:ascii="Arial Narrow" w:hAnsi="Arial Narrow" w:hint="eastAsia"/>
                <w:iCs/>
                <w:color w:val="000000"/>
                <w:w w:val="30"/>
                <w:sz w:val="20"/>
                <w:szCs w:val="20"/>
                <w:shd w:val="solid" w:color="000000" w:fill="000000"/>
                <w:fitText w:val="135" w:id="-1425249269"/>
                <w14:textFill>
                  <w14:solidFill>
                    <w14:srgbClr w14:val="000000">
                      <w14:alpha w14:val="100000"/>
                    </w14:srgbClr>
                  </w14:solidFill>
                </w14:textFill>
              </w:rPr>
              <w:t xml:space="preserve">　</w:t>
            </w:r>
            <w:r w:rsidR="006D6947">
              <w:rPr>
                <w:rFonts w:ascii="Arial Narrow" w:hAnsi="Arial Narrow"/>
                <w:iCs/>
                <w:sz w:val="20"/>
                <w:szCs w:val="20"/>
                <w:vertAlign w:val="superscript"/>
              </w:rPr>
              <w:t>6</w:t>
            </w:r>
          </w:p>
        </w:tc>
        <w:tc>
          <w:tcPr>
            <w:tcW w:w="1387" w:type="dxa"/>
            <w:shd w:val="clear" w:color="auto" w:fill="auto"/>
          </w:tcPr>
          <w:p w14:paraId="292C7D60" w14:textId="7B76C313" w:rsidR="00C32D0F" w:rsidRPr="005B5977" w:rsidRDefault="0090667A" w:rsidP="00FD5A06">
            <w:pPr>
              <w:spacing w:before="100" w:beforeAutospacing="1" w:after="100" w:afterAutospacing="1"/>
              <w:jc w:val="right"/>
              <w:rPr>
                <w:rFonts w:ascii="Arial Narrow" w:hAnsi="Arial Narrow"/>
                <w:iCs/>
                <w:sz w:val="20"/>
                <w:szCs w:val="20"/>
                <w:vertAlign w:val="superscript"/>
              </w:rPr>
            </w:pPr>
            <w:r w:rsidRPr="0090667A">
              <w:rPr>
                <w:rFonts w:ascii="Arial Narrow" w:hAnsi="Arial Narrow"/>
                <w:iCs/>
                <w:sz w:val="20"/>
                <w:szCs w:val="20"/>
              </w:rPr>
              <w:t>$</w:t>
            </w:r>
            <w:r w:rsidR="00D61370" w:rsidRPr="00157ED3">
              <w:rPr>
                <w:rFonts w:ascii="Arial Narrow" w:hAnsi="Arial Narrow" w:hint="eastAsia"/>
                <w:iCs/>
                <w:color w:val="000000"/>
                <w:w w:val="30"/>
                <w:sz w:val="20"/>
                <w:szCs w:val="20"/>
                <w:shd w:val="solid" w:color="000000" w:fill="000000"/>
                <w:fitText w:val="135" w:id="-1425249268"/>
                <w14:textFill>
                  <w14:solidFill>
                    <w14:srgbClr w14:val="000000">
                      <w14:alpha w14:val="100000"/>
                    </w14:srgbClr>
                  </w14:solidFill>
                </w14:textFill>
              </w:rPr>
              <w:t xml:space="preserve">　</w:t>
            </w:r>
            <w:r w:rsidR="00D61370" w:rsidRPr="00157ED3">
              <w:rPr>
                <w:rFonts w:ascii="Arial Narrow" w:hAnsi="Arial Narrow"/>
                <w:iCs/>
                <w:color w:val="000000"/>
                <w:w w:val="30"/>
                <w:sz w:val="20"/>
                <w:szCs w:val="20"/>
                <w:shd w:val="solid" w:color="000000" w:fill="000000"/>
                <w:fitText w:val="135" w:id="-1425249268"/>
                <w14:textFill>
                  <w14:solidFill>
                    <w14:srgbClr w14:val="000000">
                      <w14:alpha w14:val="100000"/>
                    </w14:srgbClr>
                  </w14:solidFill>
                </w14:textFill>
              </w:rPr>
              <w:t>|</w:t>
            </w:r>
            <w:r w:rsidR="00D61370" w:rsidRPr="00157ED3">
              <w:rPr>
                <w:rFonts w:ascii="Arial Narrow" w:hAnsi="Arial Narrow" w:hint="eastAsia"/>
                <w:iCs/>
                <w:color w:val="000000"/>
                <w:w w:val="30"/>
                <w:sz w:val="20"/>
                <w:szCs w:val="20"/>
                <w:shd w:val="solid" w:color="000000" w:fill="000000"/>
                <w:fitText w:val="135" w:id="-1425249268"/>
                <w14:textFill>
                  <w14:solidFill>
                    <w14:srgbClr w14:val="000000">
                      <w14:alpha w14:val="100000"/>
                    </w14:srgbClr>
                  </w14:solidFill>
                </w14:textFill>
              </w:rPr>
              <w:t xml:space="preserve">　</w:t>
            </w:r>
            <w:r w:rsidR="006D6947">
              <w:rPr>
                <w:rFonts w:ascii="Arial Narrow" w:hAnsi="Arial Narrow"/>
                <w:iCs/>
                <w:sz w:val="20"/>
                <w:szCs w:val="20"/>
                <w:vertAlign w:val="superscript"/>
              </w:rPr>
              <w:t>6</w:t>
            </w:r>
          </w:p>
        </w:tc>
        <w:tc>
          <w:tcPr>
            <w:tcW w:w="1387" w:type="dxa"/>
            <w:shd w:val="clear" w:color="auto" w:fill="auto"/>
          </w:tcPr>
          <w:p w14:paraId="2AD28B91" w14:textId="74E5153B" w:rsidR="00C32D0F" w:rsidRPr="005B5977" w:rsidRDefault="0090667A" w:rsidP="00FD5A06">
            <w:pPr>
              <w:spacing w:before="100" w:beforeAutospacing="1" w:after="100" w:afterAutospacing="1"/>
              <w:jc w:val="right"/>
              <w:rPr>
                <w:rFonts w:ascii="Arial Narrow" w:hAnsi="Arial Narrow"/>
                <w:iCs/>
                <w:sz w:val="20"/>
                <w:szCs w:val="20"/>
                <w:vertAlign w:val="superscript"/>
              </w:rPr>
            </w:pPr>
            <w:r w:rsidRPr="0090667A">
              <w:rPr>
                <w:rFonts w:ascii="Arial Narrow" w:hAnsi="Arial Narrow"/>
                <w:iCs/>
                <w:sz w:val="20"/>
                <w:szCs w:val="20"/>
              </w:rPr>
              <w:t>$</w:t>
            </w:r>
            <w:r w:rsidR="00D61370" w:rsidRPr="00157ED3">
              <w:rPr>
                <w:rFonts w:ascii="Arial Narrow" w:hAnsi="Arial Narrow" w:hint="eastAsia"/>
                <w:iCs/>
                <w:color w:val="000000"/>
                <w:w w:val="30"/>
                <w:sz w:val="20"/>
                <w:szCs w:val="20"/>
                <w:shd w:val="solid" w:color="000000" w:fill="000000"/>
                <w:fitText w:val="135" w:id="-1425249267"/>
                <w14:textFill>
                  <w14:solidFill>
                    <w14:srgbClr w14:val="000000">
                      <w14:alpha w14:val="100000"/>
                    </w14:srgbClr>
                  </w14:solidFill>
                </w14:textFill>
              </w:rPr>
              <w:t xml:space="preserve">　</w:t>
            </w:r>
            <w:r w:rsidR="00D61370" w:rsidRPr="00157ED3">
              <w:rPr>
                <w:rFonts w:ascii="Arial Narrow" w:hAnsi="Arial Narrow"/>
                <w:iCs/>
                <w:color w:val="000000"/>
                <w:w w:val="30"/>
                <w:sz w:val="20"/>
                <w:szCs w:val="20"/>
                <w:shd w:val="solid" w:color="000000" w:fill="000000"/>
                <w:fitText w:val="135" w:id="-1425249267"/>
                <w14:textFill>
                  <w14:solidFill>
                    <w14:srgbClr w14:val="000000">
                      <w14:alpha w14:val="100000"/>
                    </w14:srgbClr>
                  </w14:solidFill>
                </w14:textFill>
              </w:rPr>
              <w:t>|</w:t>
            </w:r>
            <w:r w:rsidR="00D61370" w:rsidRPr="00157ED3">
              <w:rPr>
                <w:rFonts w:ascii="Arial Narrow" w:hAnsi="Arial Narrow" w:hint="eastAsia"/>
                <w:iCs/>
                <w:color w:val="000000"/>
                <w:w w:val="30"/>
                <w:sz w:val="20"/>
                <w:szCs w:val="20"/>
                <w:shd w:val="solid" w:color="000000" w:fill="000000"/>
                <w:fitText w:val="135" w:id="-1425249267"/>
                <w14:textFill>
                  <w14:solidFill>
                    <w14:srgbClr w14:val="000000">
                      <w14:alpha w14:val="100000"/>
                    </w14:srgbClr>
                  </w14:solidFill>
                </w14:textFill>
              </w:rPr>
              <w:t xml:space="preserve">　</w:t>
            </w:r>
            <w:r w:rsidR="006D6947">
              <w:rPr>
                <w:rFonts w:ascii="Arial Narrow" w:hAnsi="Arial Narrow"/>
                <w:iCs/>
                <w:sz w:val="20"/>
                <w:szCs w:val="20"/>
                <w:vertAlign w:val="superscript"/>
              </w:rPr>
              <w:t>6</w:t>
            </w:r>
          </w:p>
        </w:tc>
        <w:tc>
          <w:tcPr>
            <w:tcW w:w="1431" w:type="dxa"/>
            <w:shd w:val="clear" w:color="auto" w:fill="auto"/>
          </w:tcPr>
          <w:p w14:paraId="6A40FC49" w14:textId="47084A3C" w:rsidR="00C32D0F" w:rsidRPr="002819F2" w:rsidRDefault="00C32D0F" w:rsidP="00FD5A06">
            <w:pPr>
              <w:jc w:val="right"/>
              <w:rPr>
                <w:rFonts w:ascii="Arial Narrow" w:hAnsi="Arial Narrow"/>
                <w:iCs/>
                <w:sz w:val="20"/>
                <w:szCs w:val="20"/>
                <w:vertAlign w:val="superscript"/>
              </w:rPr>
            </w:pPr>
            <w:r w:rsidRPr="00C068F4">
              <w:rPr>
                <w:rFonts w:ascii="Arial Narrow" w:hAnsi="Arial Narrow"/>
                <w:iCs/>
                <w:sz w:val="20"/>
                <w:szCs w:val="20"/>
              </w:rPr>
              <w:t xml:space="preserve"> </w:t>
            </w:r>
            <w:r w:rsidR="0090667A" w:rsidRPr="0090667A">
              <w:rPr>
                <w:rFonts w:ascii="Arial Narrow" w:hAnsi="Arial Narrow"/>
                <w:iCs/>
                <w:sz w:val="20"/>
                <w:szCs w:val="20"/>
              </w:rPr>
              <w:t>$</w:t>
            </w:r>
            <w:r w:rsidR="00D61370" w:rsidRPr="00157ED3">
              <w:rPr>
                <w:rFonts w:ascii="Arial Narrow" w:hAnsi="Arial Narrow" w:hint="eastAsia"/>
                <w:iCs/>
                <w:color w:val="000000"/>
                <w:w w:val="30"/>
                <w:sz w:val="20"/>
                <w:szCs w:val="20"/>
                <w:shd w:val="solid" w:color="000000" w:fill="000000"/>
                <w:fitText w:val="135" w:id="-1425249266"/>
                <w14:textFill>
                  <w14:solidFill>
                    <w14:srgbClr w14:val="000000">
                      <w14:alpha w14:val="100000"/>
                    </w14:srgbClr>
                  </w14:solidFill>
                </w14:textFill>
              </w:rPr>
              <w:t xml:space="preserve">　</w:t>
            </w:r>
            <w:r w:rsidR="00D61370" w:rsidRPr="00157ED3">
              <w:rPr>
                <w:rFonts w:ascii="Arial Narrow" w:hAnsi="Arial Narrow"/>
                <w:iCs/>
                <w:color w:val="000000"/>
                <w:w w:val="30"/>
                <w:sz w:val="20"/>
                <w:szCs w:val="20"/>
                <w:shd w:val="solid" w:color="000000" w:fill="000000"/>
                <w:fitText w:val="135" w:id="-1425249266"/>
                <w14:textFill>
                  <w14:solidFill>
                    <w14:srgbClr w14:val="000000">
                      <w14:alpha w14:val="100000"/>
                    </w14:srgbClr>
                  </w14:solidFill>
                </w14:textFill>
              </w:rPr>
              <w:t>|</w:t>
            </w:r>
            <w:r w:rsidR="00D61370" w:rsidRPr="00157ED3">
              <w:rPr>
                <w:rFonts w:ascii="Arial Narrow" w:hAnsi="Arial Narrow" w:hint="eastAsia"/>
                <w:iCs/>
                <w:color w:val="000000"/>
                <w:w w:val="30"/>
                <w:sz w:val="20"/>
                <w:szCs w:val="20"/>
                <w:shd w:val="solid" w:color="000000" w:fill="000000"/>
                <w:fitText w:val="135" w:id="-1425249266"/>
                <w14:textFill>
                  <w14:solidFill>
                    <w14:srgbClr w14:val="000000">
                      <w14:alpha w14:val="100000"/>
                    </w14:srgbClr>
                  </w14:solidFill>
                </w14:textFill>
              </w:rPr>
              <w:t xml:space="preserve">　</w:t>
            </w:r>
            <w:r w:rsidR="006D6947">
              <w:rPr>
                <w:rFonts w:ascii="Arial Narrow" w:hAnsi="Arial Narrow"/>
                <w:iCs/>
                <w:sz w:val="20"/>
                <w:szCs w:val="20"/>
                <w:vertAlign w:val="superscript"/>
              </w:rPr>
              <w:t>6</w:t>
            </w:r>
          </w:p>
        </w:tc>
      </w:tr>
      <w:tr w:rsidR="00FD5A06" w:rsidRPr="00C068F4" w14:paraId="24FDA0C1" w14:textId="77777777" w:rsidTr="00FD5A06">
        <w:tc>
          <w:tcPr>
            <w:tcW w:w="1146" w:type="dxa"/>
            <w:vMerge w:val="restart"/>
          </w:tcPr>
          <w:p w14:paraId="688D1968" w14:textId="3C0E5D5B" w:rsidR="00C32D0F" w:rsidRPr="00C068F4" w:rsidRDefault="00FD5A06" w:rsidP="00FD5A06">
            <w:pPr>
              <w:rPr>
                <w:rFonts w:ascii="Arial Narrow" w:hAnsi="Arial Narrow"/>
                <w:iCs/>
                <w:sz w:val="20"/>
                <w:szCs w:val="20"/>
              </w:rPr>
            </w:pPr>
            <w:r w:rsidRPr="00C068F4">
              <w:rPr>
                <w:rFonts w:ascii="Arial Narrow" w:hAnsi="Arial Narrow"/>
                <w:iCs/>
                <w:sz w:val="20"/>
                <w:szCs w:val="20"/>
              </w:rPr>
              <w:t>Sensitivity analysis accepted by p</w:t>
            </w:r>
            <w:r w:rsidR="00362487" w:rsidRPr="00C068F4">
              <w:rPr>
                <w:rFonts w:ascii="Arial Narrow" w:hAnsi="Arial Narrow"/>
                <w:iCs/>
                <w:sz w:val="20"/>
                <w:szCs w:val="20"/>
              </w:rPr>
              <w:t xml:space="preserve">re-PBAC </w:t>
            </w:r>
            <w:r w:rsidRPr="00C068F4">
              <w:rPr>
                <w:rFonts w:ascii="Arial Narrow" w:hAnsi="Arial Narrow"/>
                <w:iCs/>
                <w:sz w:val="20"/>
                <w:szCs w:val="20"/>
              </w:rPr>
              <w:t>response</w:t>
            </w:r>
          </w:p>
        </w:tc>
        <w:tc>
          <w:tcPr>
            <w:tcW w:w="1649" w:type="dxa"/>
            <w:vMerge w:val="restart"/>
          </w:tcPr>
          <w:p w14:paraId="088D6E2D" w14:textId="14B335B0" w:rsidR="006D7867" w:rsidRDefault="006D7867" w:rsidP="00EE5331">
            <w:pPr>
              <w:jc w:val="left"/>
              <w:rPr>
                <w:rFonts w:ascii="Arial Narrow" w:hAnsi="Arial Narrow"/>
                <w:iCs/>
                <w:sz w:val="20"/>
                <w:szCs w:val="20"/>
              </w:rPr>
            </w:pPr>
            <w:r>
              <w:rPr>
                <w:rFonts w:ascii="Arial Narrow" w:hAnsi="Arial Narrow"/>
                <w:iCs/>
                <w:sz w:val="20"/>
                <w:szCs w:val="20"/>
              </w:rPr>
              <w:t>Assumptions:</w:t>
            </w:r>
          </w:p>
          <w:p w14:paraId="08149E53" w14:textId="095B7431" w:rsidR="00C32D0F" w:rsidRPr="00C068F4" w:rsidRDefault="00C32D0F" w:rsidP="00EE5331">
            <w:pPr>
              <w:jc w:val="left"/>
              <w:rPr>
                <w:rFonts w:ascii="Arial Narrow" w:hAnsi="Arial Narrow"/>
                <w:iCs/>
                <w:sz w:val="20"/>
                <w:szCs w:val="20"/>
              </w:rPr>
            </w:pPr>
            <w:r w:rsidRPr="00C068F4">
              <w:rPr>
                <w:rFonts w:ascii="Arial Narrow" w:hAnsi="Arial Narrow"/>
                <w:iCs/>
                <w:sz w:val="20"/>
                <w:szCs w:val="20"/>
              </w:rPr>
              <w:t>75%</w:t>
            </w:r>
            <w:r w:rsidR="006D7867">
              <w:rPr>
                <w:rFonts w:ascii="Arial Narrow" w:hAnsi="Arial Narrow"/>
                <w:iCs/>
                <w:sz w:val="20"/>
                <w:szCs w:val="20"/>
              </w:rPr>
              <w:t xml:space="preserve"> uptake</w:t>
            </w:r>
            <w:r w:rsidR="00EE5331">
              <w:rPr>
                <w:rFonts w:ascii="Arial Narrow" w:hAnsi="Arial Narrow"/>
                <w:iCs/>
                <w:sz w:val="20"/>
                <w:szCs w:val="20"/>
              </w:rPr>
              <w:t>, spread 50:50 across first and second half of the year</w:t>
            </w:r>
            <w:r w:rsidRPr="00C068F4">
              <w:rPr>
                <w:rFonts w:ascii="Arial Narrow" w:hAnsi="Arial Narrow"/>
                <w:iCs/>
                <w:sz w:val="20"/>
                <w:szCs w:val="20"/>
              </w:rPr>
              <w:t xml:space="preserve">, 95% </w:t>
            </w:r>
            <w:r w:rsidR="00EE5331">
              <w:rPr>
                <w:rFonts w:ascii="Arial Narrow" w:hAnsi="Arial Narrow"/>
                <w:iCs/>
                <w:sz w:val="20"/>
                <w:szCs w:val="20"/>
              </w:rPr>
              <w:t>continuing to second dose</w:t>
            </w:r>
            <w:r w:rsidRPr="00C068F4">
              <w:rPr>
                <w:rFonts w:ascii="Arial Narrow" w:hAnsi="Arial Narrow"/>
                <w:iCs/>
                <w:sz w:val="20"/>
                <w:szCs w:val="20"/>
              </w:rPr>
              <w:t xml:space="preserve">, 98% </w:t>
            </w:r>
            <w:r w:rsidR="00EE5331">
              <w:rPr>
                <w:rFonts w:ascii="Arial Narrow" w:hAnsi="Arial Narrow"/>
                <w:iCs/>
                <w:sz w:val="20"/>
                <w:szCs w:val="20"/>
              </w:rPr>
              <w:t>continuing to each dose thereafter</w:t>
            </w:r>
          </w:p>
        </w:tc>
        <w:tc>
          <w:tcPr>
            <w:tcW w:w="631" w:type="dxa"/>
            <w:shd w:val="clear" w:color="auto" w:fill="auto"/>
          </w:tcPr>
          <w:p w14:paraId="1A0A8D14" w14:textId="77777777" w:rsidR="00C32D0F" w:rsidRPr="00C068F4" w:rsidRDefault="00C32D0F" w:rsidP="00FD5A06">
            <w:pPr>
              <w:jc w:val="right"/>
              <w:rPr>
                <w:rFonts w:ascii="Arial Narrow" w:hAnsi="Arial Narrow"/>
                <w:iCs/>
                <w:sz w:val="20"/>
                <w:szCs w:val="20"/>
              </w:rPr>
            </w:pPr>
            <w:r w:rsidRPr="00C068F4">
              <w:rPr>
                <w:rFonts w:ascii="Arial Narrow" w:hAnsi="Arial Narrow"/>
                <w:iCs/>
                <w:sz w:val="20"/>
                <w:szCs w:val="20"/>
              </w:rPr>
              <w:t>Units</w:t>
            </w:r>
          </w:p>
        </w:tc>
        <w:tc>
          <w:tcPr>
            <w:tcW w:w="1386" w:type="dxa"/>
            <w:shd w:val="clear" w:color="auto" w:fill="auto"/>
          </w:tcPr>
          <w:p w14:paraId="21D2F137" w14:textId="17195566" w:rsidR="00C32D0F" w:rsidRPr="002819F2" w:rsidRDefault="00D61370" w:rsidP="00FD5A06">
            <w:pPr>
              <w:jc w:val="right"/>
              <w:rPr>
                <w:rFonts w:ascii="Arial Narrow" w:hAnsi="Arial Narrow" w:cs="Calibri"/>
                <w:iCs/>
                <w:sz w:val="20"/>
                <w:szCs w:val="20"/>
                <w:vertAlign w:val="superscript"/>
              </w:rPr>
            </w:pPr>
            <w:r w:rsidRPr="00157ED3">
              <w:rPr>
                <w:rFonts w:ascii="Arial Narrow" w:hAnsi="Arial Narrow" w:cs="Calibri" w:hint="eastAsia"/>
                <w:iCs/>
                <w:color w:val="000000"/>
                <w:w w:val="15"/>
                <w:sz w:val="20"/>
                <w:szCs w:val="20"/>
                <w:shd w:val="solid" w:color="000000" w:fill="000000"/>
                <w:fitText w:val="45" w:id="-1425249265"/>
                <w14:textFill>
                  <w14:solidFill>
                    <w14:srgbClr w14:val="000000">
                      <w14:alpha w14:val="100000"/>
                    </w14:srgbClr>
                  </w14:solidFill>
                </w14:textFill>
              </w:rPr>
              <w:t xml:space="preserve">　</w:t>
            </w:r>
            <w:r w:rsidRPr="00157ED3">
              <w:rPr>
                <w:rFonts w:ascii="Arial Narrow" w:hAnsi="Arial Narrow" w:cs="Calibri"/>
                <w:iCs/>
                <w:color w:val="000000"/>
                <w:w w:val="15"/>
                <w:sz w:val="20"/>
                <w:szCs w:val="20"/>
                <w:shd w:val="solid" w:color="000000" w:fill="000000"/>
                <w:fitText w:val="45" w:id="-1425249265"/>
                <w14:textFill>
                  <w14:solidFill>
                    <w14:srgbClr w14:val="000000">
                      <w14:alpha w14:val="100000"/>
                    </w14:srgbClr>
                  </w14:solidFill>
                </w14:textFill>
              </w:rPr>
              <w:t>|</w:t>
            </w:r>
            <w:r w:rsidRPr="00157ED3">
              <w:rPr>
                <w:rFonts w:ascii="Arial Narrow" w:hAnsi="Arial Narrow" w:cs="Calibri" w:hint="eastAsia"/>
                <w:iCs/>
                <w:color w:val="000000"/>
                <w:spacing w:val="-20"/>
                <w:w w:val="15"/>
                <w:sz w:val="20"/>
                <w:szCs w:val="20"/>
                <w:shd w:val="solid" w:color="000000" w:fill="000000"/>
                <w:fitText w:val="45" w:id="-1425249265"/>
                <w14:textFill>
                  <w14:solidFill>
                    <w14:srgbClr w14:val="000000">
                      <w14:alpha w14:val="100000"/>
                    </w14:srgbClr>
                  </w14:solidFill>
                </w14:textFill>
              </w:rPr>
              <w:t xml:space="preserve">　</w:t>
            </w:r>
            <w:r w:rsidR="00492064">
              <w:rPr>
                <w:rFonts w:ascii="Arial Narrow" w:hAnsi="Arial Narrow" w:cs="Calibri"/>
                <w:iCs/>
                <w:sz w:val="20"/>
                <w:szCs w:val="20"/>
                <w:vertAlign w:val="superscript"/>
              </w:rPr>
              <w:t>1</w:t>
            </w:r>
          </w:p>
        </w:tc>
        <w:tc>
          <w:tcPr>
            <w:tcW w:w="1387" w:type="dxa"/>
            <w:shd w:val="clear" w:color="auto" w:fill="auto"/>
          </w:tcPr>
          <w:p w14:paraId="347C8041" w14:textId="2204BC07" w:rsidR="00C32D0F" w:rsidRPr="002819F2" w:rsidRDefault="00D61370" w:rsidP="00FD5A06">
            <w:pPr>
              <w:jc w:val="right"/>
              <w:rPr>
                <w:rFonts w:ascii="Arial Narrow" w:hAnsi="Arial Narrow" w:cs="Calibri"/>
                <w:iCs/>
                <w:sz w:val="20"/>
                <w:szCs w:val="20"/>
                <w:vertAlign w:val="superscript"/>
              </w:rPr>
            </w:pPr>
            <w:r w:rsidRPr="00157ED3">
              <w:rPr>
                <w:rFonts w:ascii="Arial Narrow" w:hAnsi="Arial Narrow" w:cs="Calibri" w:hint="eastAsia"/>
                <w:iCs/>
                <w:color w:val="000000"/>
                <w:w w:val="15"/>
                <w:sz w:val="20"/>
                <w:szCs w:val="20"/>
                <w:shd w:val="solid" w:color="000000" w:fill="000000"/>
                <w:fitText w:val="45" w:id="-1425249264"/>
                <w14:textFill>
                  <w14:solidFill>
                    <w14:srgbClr w14:val="000000">
                      <w14:alpha w14:val="100000"/>
                    </w14:srgbClr>
                  </w14:solidFill>
                </w14:textFill>
              </w:rPr>
              <w:t xml:space="preserve">　</w:t>
            </w:r>
            <w:r w:rsidRPr="00157ED3">
              <w:rPr>
                <w:rFonts w:ascii="Arial Narrow" w:hAnsi="Arial Narrow" w:cs="Calibri"/>
                <w:iCs/>
                <w:color w:val="000000"/>
                <w:w w:val="15"/>
                <w:sz w:val="20"/>
                <w:szCs w:val="20"/>
                <w:shd w:val="solid" w:color="000000" w:fill="000000"/>
                <w:fitText w:val="45" w:id="-1425249264"/>
                <w14:textFill>
                  <w14:solidFill>
                    <w14:srgbClr w14:val="000000">
                      <w14:alpha w14:val="100000"/>
                    </w14:srgbClr>
                  </w14:solidFill>
                </w14:textFill>
              </w:rPr>
              <w:t>|</w:t>
            </w:r>
            <w:r w:rsidRPr="00157ED3">
              <w:rPr>
                <w:rFonts w:ascii="Arial Narrow" w:hAnsi="Arial Narrow" w:cs="Calibri" w:hint="eastAsia"/>
                <w:iCs/>
                <w:color w:val="000000"/>
                <w:spacing w:val="-20"/>
                <w:w w:val="15"/>
                <w:sz w:val="20"/>
                <w:szCs w:val="20"/>
                <w:shd w:val="solid" w:color="000000" w:fill="000000"/>
                <w:fitText w:val="45" w:id="-1425249264"/>
                <w14:textFill>
                  <w14:solidFill>
                    <w14:srgbClr w14:val="000000">
                      <w14:alpha w14:val="100000"/>
                    </w14:srgbClr>
                  </w14:solidFill>
                </w14:textFill>
              </w:rPr>
              <w:t xml:space="preserve">　</w:t>
            </w:r>
            <w:r w:rsidR="00492064">
              <w:rPr>
                <w:rFonts w:ascii="Arial Narrow" w:hAnsi="Arial Narrow" w:cs="Calibri"/>
                <w:iCs/>
                <w:sz w:val="20"/>
                <w:szCs w:val="20"/>
                <w:vertAlign w:val="superscript"/>
              </w:rPr>
              <w:t>2</w:t>
            </w:r>
          </w:p>
        </w:tc>
        <w:tc>
          <w:tcPr>
            <w:tcW w:w="1387" w:type="dxa"/>
            <w:shd w:val="clear" w:color="auto" w:fill="auto"/>
          </w:tcPr>
          <w:p w14:paraId="27511D13" w14:textId="6263D461" w:rsidR="00C32D0F" w:rsidRPr="002819F2" w:rsidRDefault="00D61370" w:rsidP="00FD5A06">
            <w:pPr>
              <w:jc w:val="right"/>
              <w:rPr>
                <w:rFonts w:ascii="Arial Narrow" w:hAnsi="Arial Narrow" w:cs="Calibri"/>
                <w:iCs/>
                <w:sz w:val="20"/>
                <w:szCs w:val="20"/>
                <w:vertAlign w:val="superscript"/>
              </w:rPr>
            </w:pPr>
            <w:r w:rsidRPr="00157ED3">
              <w:rPr>
                <w:rFonts w:ascii="Arial Narrow" w:hAnsi="Arial Narrow" w:cs="Calibri" w:hint="eastAsia"/>
                <w:iCs/>
                <w:color w:val="000000"/>
                <w:w w:val="15"/>
                <w:sz w:val="20"/>
                <w:szCs w:val="20"/>
                <w:shd w:val="solid" w:color="000000" w:fill="000000"/>
                <w:fitText w:val="45" w:id="-1425249280"/>
                <w14:textFill>
                  <w14:solidFill>
                    <w14:srgbClr w14:val="000000">
                      <w14:alpha w14:val="100000"/>
                    </w14:srgbClr>
                  </w14:solidFill>
                </w14:textFill>
              </w:rPr>
              <w:t xml:space="preserve">　</w:t>
            </w:r>
            <w:r w:rsidRPr="00157ED3">
              <w:rPr>
                <w:rFonts w:ascii="Arial Narrow" w:hAnsi="Arial Narrow" w:cs="Calibri"/>
                <w:iCs/>
                <w:color w:val="000000"/>
                <w:w w:val="15"/>
                <w:sz w:val="20"/>
                <w:szCs w:val="20"/>
                <w:shd w:val="solid" w:color="000000" w:fill="000000"/>
                <w:fitText w:val="45" w:id="-1425249280"/>
                <w14:textFill>
                  <w14:solidFill>
                    <w14:srgbClr w14:val="000000">
                      <w14:alpha w14:val="100000"/>
                    </w14:srgbClr>
                  </w14:solidFill>
                </w14:textFill>
              </w:rPr>
              <w:t>|</w:t>
            </w:r>
            <w:r w:rsidRPr="00157ED3">
              <w:rPr>
                <w:rFonts w:ascii="Arial Narrow" w:hAnsi="Arial Narrow" w:cs="Calibri" w:hint="eastAsia"/>
                <w:iCs/>
                <w:color w:val="000000"/>
                <w:spacing w:val="-20"/>
                <w:w w:val="15"/>
                <w:sz w:val="20"/>
                <w:szCs w:val="20"/>
                <w:shd w:val="solid" w:color="000000" w:fill="000000"/>
                <w:fitText w:val="45" w:id="-1425249280"/>
                <w14:textFill>
                  <w14:solidFill>
                    <w14:srgbClr w14:val="000000">
                      <w14:alpha w14:val="100000"/>
                    </w14:srgbClr>
                  </w14:solidFill>
                </w14:textFill>
              </w:rPr>
              <w:t xml:space="preserve">　</w:t>
            </w:r>
            <w:r w:rsidR="00492064">
              <w:rPr>
                <w:rFonts w:ascii="Arial Narrow" w:hAnsi="Arial Narrow" w:cs="Calibri"/>
                <w:iCs/>
                <w:sz w:val="20"/>
                <w:szCs w:val="20"/>
                <w:vertAlign w:val="superscript"/>
              </w:rPr>
              <w:t>2</w:t>
            </w:r>
          </w:p>
        </w:tc>
        <w:tc>
          <w:tcPr>
            <w:tcW w:w="1431" w:type="dxa"/>
            <w:shd w:val="clear" w:color="auto" w:fill="auto"/>
          </w:tcPr>
          <w:p w14:paraId="6DD5251C" w14:textId="2D276F10" w:rsidR="00C32D0F" w:rsidRPr="002819F2" w:rsidRDefault="00D61370" w:rsidP="00FD5A06">
            <w:pPr>
              <w:jc w:val="right"/>
              <w:rPr>
                <w:rFonts w:ascii="Arial Narrow" w:hAnsi="Arial Narrow" w:cs="Calibri"/>
                <w:iCs/>
                <w:sz w:val="20"/>
                <w:szCs w:val="20"/>
                <w:vertAlign w:val="superscript"/>
              </w:rPr>
            </w:pPr>
            <w:r w:rsidRPr="00D61370">
              <w:rPr>
                <w:rFonts w:ascii="Arial Narrow" w:hAnsi="Arial Narrow" w:cs="Calibri"/>
                <w:iCs/>
                <w:color w:val="000000"/>
                <w:sz w:val="20"/>
                <w:szCs w:val="20"/>
                <w:shd w:val="solid" w:color="000000" w:fill="000000"/>
                <w14:textFill>
                  <w14:solidFill>
                    <w14:srgbClr w14:val="000000">
                      <w14:alpha w14:val="100000"/>
                    </w14:srgbClr>
                  </w14:solidFill>
                </w14:textFill>
              </w:rPr>
              <w:t>|</w:t>
            </w:r>
            <w:r w:rsidR="00492064">
              <w:rPr>
                <w:rFonts w:ascii="Arial Narrow" w:hAnsi="Arial Narrow" w:cs="Calibri"/>
                <w:iCs/>
                <w:sz w:val="20"/>
                <w:szCs w:val="20"/>
                <w:vertAlign w:val="superscript"/>
              </w:rPr>
              <w:t>4</w:t>
            </w:r>
          </w:p>
        </w:tc>
      </w:tr>
      <w:tr w:rsidR="00C32D0F" w:rsidRPr="00C068F4" w14:paraId="4B1418E0" w14:textId="77777777" w:rsidTr="00FD5A06">
        <w:tc>
          <w:tcPr>
            <w:tcW w:w="1146" w:type="dxa"/>
            <w:vMerge/>
          </w:tcPr>
          <w:p w14:paraId="310CD013" w14:textId="77777777" w:rsidR="00C32D0F" w:rsidRPr="00C068F4" w:rsidRDefault="00C32D0F" w:rsidP="00BC520F">
            <w:pPr>
              <w:rPr>
                <w:rFonts w:ascii="Arial Narrow" w:hAnsi="Arial Narrow"/>
                <w:iCs/>
                <w:sz w:val="20"/>
                <w:szCs w:val="20"/>
              </w:rPr>
            </w:pPr>
          </w:p>
        </w:tc>
        <w:tc>
          <w:tcPr>
            <w:tcW w:w="1649" w:type="dxa"/>
            <w:vMerge/>
          </w:tcPr>
          <w:p w14:paraId="53973913" w14:textId="77777777" w:rsidR="00C32D0F" w:rsidRPr="00C068F4" w:rsidRDefault="00C32D0F" w:rsidP="00BC520F">
            <w:pPr>
              <w:rPr>
                <w:rFonts w:ascii="Arial Narrow" w:hAnsi="Arial Narrow"/>
                <w:iCs/>
                <w:sz w:val="20"/>
                <w:szCs w:val="20"/>
              </w:rPr>
            </w:pPr>
          </w:p>
        </w:tc>
        <w:tc>
          <w:tcPr>
            <w:tcW w:w="631" w:type="dxa"/>
            <w:shd w:val="clear" w:color="auto" w:fill="auto"/>
          </w:tcPr>
          <w:p w14:paraId="6B757560" w14:textId="77777777" w:rsidR="00C32D0F" w:rsidRPr="00C068F4" w:rsidRDefault="00C32D0F" w:rsidP="00FD5A06">
            <w:pPr>
              <w:jc w:val="right"/>
              <w:rPr>
                <w:rFonts w:ascii="Arial Narrow" w:hAnsi="Arial Narrow"/>
                <w:iCs/>
                <w:sz w:val="20"/>
                <w:szCs w:val="20"/>
              </w:rPr>
            </w:pPr>
            <w:r w:rsidRPr="00C068F4">
              <w:rPr>
                <w:rFonts w:ascii="Arial Narrow" w:hAnsi="Arial Narrow"/>
                <w:iCs/>
                <w:sz w:val="20"/>
                <w:szCs w:val="20"/>
              </w:rPr>
              <w:t>Cost</w:t>
            </w:r>
          </w:p>
        </w:tc>
        <w:tc>
          <w:tcPr>
            <w:tcW w:w="1386" w:type="dxa"/>
            <w:shd w:val="clear" w:color="auto" w:fill="auto"/>
          </w:tcPr>
          <w:p w14:paraId="1424DE29" w14:textId="5F8C8D0B" w:rsidR="00C32D0F" w:rsidRPr="00C068F4" w:rsidRDefault="00C32D0F" w:rsidP="00FD5A06">
            <w:pPr>
              <w:jc w:val="right"/>
              <w:rPr>
                <w:rFonts w:ascii="Arial Narrow" w:hAnsi="Arial Narrow" w:cs="Calibri"/>
                <w:iCs/>
                <w:sz w:val="20"/>
                <w:szCs w:val="20"/>
              </w:rPr>
            </w:pPr>
            <w:r w:rsidRPr="00C068F4">
              <w:rPr>
                <w:rFonts w:ascii="Arial Narrow" w:hAnsi="Arial Narrow" w:cs="Calibri"/>
                <w:iCs/>
                <w:sz w:val="20"/>
                <w:szCs w:val="20"/>
              </w:rPr>
              <w:t xml:space="preserve"> </w:t>
            </w:r>
            <w:r w:rsidR="0090667A" w:rsidRPr="0090667A">
              <w:rPr>
                <w:rFonts w:ascii="Arial Narrow" w:hAnsi="Arial Narrow" w:cs="Calibri"/>
                <w:iCs/>
                <w:sz w:val="20"/>
                <w:szCs w:val="20"/>
              </w:rPr>
              <w:t>$</w:t>
            </w:r>
            <w:r w:rsidR="00D61370" w:rsidRPr="00157ED3">
              <w:rPr>
                <w:rFonts w:ascii="Arial Narrow" w:hAnsi="Arial Narrow" w:cs="Calibri"/>
                <w:iCs/>
                <w:color w:val="000000"/>
                <w:spacing w:val="94"/>
                <w:sz w:val="20"/>
                <w:szCs w:val="20"/>
                <w:shd w:val="solid" w:color="000000" w:fill="000000"/>
                <w:fitText w:val="180" w:id="-1425249279"/>
                <w14:textFill>
                  <w14:solidFill>
                    <w14:srgbClr w14:val="000000">
                      <w14:alpha w14:val="100000"/>
                    </w14:srgbClr>
                  </w14:solidFill>
                </w14:textFill>
              </w:rPr>
              <w:t>|</w:t>
            </w:r>
            <w:r w:rsidR="00D61370" w:rsidRPr="00157ED3">
              <w:rPr>
                <w:rFonts w:ascii="Arial Narrow" w:hAnsi="Arial Narrow" w:cs="Calibri"/>
                <w:iCs/>
                <w:color w:val="000000"/>
                <w:sz w:val="20"/>
                <w:szCs w:val="20"/>
                <w:shd w:val="solid" w:color="000000" w:fill="000000"/>
                <w:fitText w:val="180" w:id="-1425249279"/>
                <w14:textFill>
                  <w14:solidFill>
                    <w14:srgbClr w14:val="000000">
                      <w14:alpha w14:val="100000"/>
                    </w14:srgbClr>
                  </w14:solidFill>
                </w14:textFill>
              </w:rPr>
              <w:t>|</w:t>
            </w:r>
            <w:r w:rsidR="00E528E3">
              <w:rPr>
                <w:rFonts w:ascii="Arial Narrow" w:hAnsi="Arial Narrow" w:cs="Calibri"/>
                <w:iCs/>
                <w:sz w:val="20"/>
                <w:szCs w:val="20"/>
                <w:vertAlign w:val="superscript"/>
              </w:rPr>
              <w:t>5</w:t>
            </w:r>
            <w:r w:rsidRPr="00C068F4">
              <w:rPr>
                <w:rFonts w:ascii="Arial Narrow" w:hAnsi="Arial Narrow" w:cs="Calibri"/>
                <w:iCs/>
                <w:sz w:val="20"/>
                <w:szCs w:val="20"/>
              </w:rPr>
              <w:t xml:space="preserve"> </w:t>
            </w:r>
          </w:p>
        </w:tc>
        <w:tc>
          <w:tcPr>
            <w:tcW w:w="1387" w:type="dxa"/>
            <w:shd w:val="clear" w:color="auto" w:fill="auto"/>
          </w:tcPr>
          <w:p w14:paraId="656B8F27" w14:textId="224F385C" w:rsidR="00C32D0F" w:rsidRPr="002819F2" w:rsidRDefault="0090667A" w:rsidP="00FD5A06">
            <w:pPr>
              <w:jc w:val="right"/>
              <w:rPr>
                <w:rFonts w:ascii="Arial Narrow" w:hAnsi="Arial Narrow" w:cs="Calibri"/>
                <w:iCs/>
                <w:sz w:val="20"/>
                <w:szCs w:val="20"/>
                <w:vertAlign w:val="superscript"/>
              </w:rPr>
            </w:pPr>
            <w:r w:rsidRPr="0090667A">
              <w:rPr>
                <w:rFonts w:ascii="Arial Narrow" w:hAnsi="Arial Narrow" w:cs="Calibri"/>
                <w:iCs/>
                <w:sz w:val="20"/>
                <w:szCs w:val="20"/>
              </w:rPr>
              <w:t>$</w:t>
            </w:r>
            <w:r w:rsidR="00D61370" w:rsidRPr="00157ED3">
              <w:rPr>
                <w:rFonts w:ascii="Arial Narrow" w:hAnsi="Arial Narrow" w:cs="Calibri" w:hint="eastAsia"/>
                <w:iCs/>
                <w:color w:val="000000"/>
                <w:w w:val="30"/>
                <w:sz w:val="20"/>
                <w:szCs w:val="20"/>
                <w:shd w:val="solid" w:color="000000" w:fill="000000"/>
                <w:fitText w:val="135" w:id="-1425249278"/>
                <w14:textFill>
                  <w14:solidFill>
                    <w14:srgbClr w14:val="000000">
                      <w14:alpha w14:val="100000"/>
                    </w14:srgbClr>
                  </w14:solidFill>
                </w14:textFill>
              </w:rPr>
              <w:t xml:space="preserve">　</w:t>
            </w:r>
            <w:r w:rsidR="00D61370" w:rsidRPr="00157ED3">
              <w:rPr>
                <w:rFonts w:ascii="Arial Narrow" w:hAnsi="Arial Narrow" w:cs="Calibri"/>
                <w:iCs/>
                <w:color w:val="000000"/>
                <w:w w:val="30"/>
                <w:sz w:val="20"/>
                <w:szCs w:val="20"/>
                <w:shd w:val="solid" w:color="000000" w:fill="000000"/>
                <w:fitText w:val="135" w:id="-1425249278"/>
                <w14:textFill>
                  <w14:solidFill>
                    <w14:srgbClr w14:val="000000">
                      <w14:alpha w14:val="100000"/>
                    </w14:srgbClr>
                  </w14:solidFill>
                </w14:textFill>
              </w:rPr>
              <w:t>|</w:t>
            </w:r>
            <w:r w:rsidR="00D61370" w:rsidRPr="00157ED3">
              <w:rPr>
                <w:rFonts w:ascii="Arial Narrow" w:hAnsi="Arial Narrow" w:cs="Calibri" w:hint="eastAsia"/>
                <w:iCs/>
                <w:color w:val="000000"/>
                <w:w w:val="30"/>
                <w:sz w:val="20"/>
                <w:szCs w:val="20"/>
                <w:shd w:val="solid" w:color="000000" w:fill="000000"/>
                <w:fitText w:val="135" w:id="-1425249278"/>
                <w14:textFill>
                  <w14:solidFill>
                    <w14:srgbClr w14:val="000000">
                      <w14:alpha w14:val="100000"/>
                    </w14:srgbClr>
                  </w14:solidFill>
                </w14:textFill>
              </w:rPr>
              <w:t xml:space="preserve">　</w:t>
            </w:r>
            <w:r w:rsidR="00E528E3">
              <w:rPr>
                <w:rFonts w:ascii="Arial Narrow" w:hAnsi="Arial Narrow" w:cs="Calibri"/>
                <w:iCs/>
                <w:sz w:val="20"/>
                <w:szCs w:val="20"/>
                <w:vertAlign w:val="superscript"/>
              </w:rPr>
              <w:t>6</w:t>
            </w:r>
          </w:p>
        </w:tc>
        <w:tc>
          <w:tcPr>
            <w:tcW w:w="1387" w:type="dxa"/>
            <w:shd w:val="clear" w:color="auto" w:fill="auto"/>
          </w:tcPr>
          <w:p w14:paraId="6A5FB736" w14:textId="4D58E479" w:rsidR="00C32D0F" w:rsidRPr="00C068F4" w:rsidRDefault="0090667A" w:rsidP="00FD5A06">
            <w:pPr>
              <w:jc w:val="right"/>
              <w:rPr>
                <w:rFonts w:ascii="Arial Narrow" w:hAnsi="Arial Narrow" w:cs="Calibri"/>
                <w:iCs/>
                <w:sz w:val="20"/>
                <w:szCs w:val="20"/>
              </w:rPr>
            </w:pPr>
            <w:r w:rsidRPr="0090667A">
              <w:rPr>
                <w:rFonts w:ascii="Arial Narrow" w:hAnsi="Arial Narrow" w:cs="Calibri"/>
                <w:iCs/>
                <w:sz w:val="20"/>
                <w:szCs w:val="20"/>
              </w:rPr>
              <w:t>$</w:t>
            </w:r>
            <w:r w:rsidR="00D61370" w:rsidRPr="00157ED3">
              <w:rPr>
                <w:rFonts w:ascii="Arial Narrow" w:hAnsi="Arial Narrow" w:cs="Calibri" w:hint="eastAsia"/>
                <w:iCs/>
                <w:color w:val="000000"/>
                <w:w w:val="30"/>
                <w:sz w:val="20"/>
                <w:szCs w:val="20"/>
                <w:shd w:val="solid" w:color="000000" w:fill="000000"/>
                <w:fitText w:val="135" w:id="-1425249277"/>
                <w14:textFill>
                  <w14:solidFill>
                    <w14:srgbClr w14:val="000000">
                      <w14:alpha w14:val="100000"/>
                    </w14:srgbClr>
                  </w14:solidFill>
                </w14:textFill>
              </w:rPr>
              <w:t xml:space="preserve">　</w:t>
            </w:r>
            <w:r w:rsidR="00D61370" w:rsidRPr="00157ED3">
              <w:rPr>
                <w:rFonts w:ascii="Arial Narrow" w:hAnsi="Arial Narrow" w:cs="Calibri"/>
                <w:iCs/>
                <w:color w:val="000000"/>
                <w:w w:val="30"/>
                <w:sz w:val="20"/>
                <w:szCs w:val="20"/>
                <w:shd w:val="solid" w:color="000000" w:fill="000000"/>
                <w:fitText w:val="135" w:id="-1425249277"/>
                <w14:textFill>
                  <w14:solidFill>
                    <w14:srgbClr w14:val="000000">
                      <w14:alpha w14:val="100000"/>
                    </w14:srgbClr>
                  </w14:solidFill>
                </w14:textFill>
              </w:rPr>
              <w:t>|</w:t>
            </w:r>
            <w:r w:rsidR="00D61370" w:rsidRPr="00157ED3">
              <w:rPr>
                <w:rFonts w:ascii="Arial Narrow" w:hAnsi="Arial Narrow" w:cs="Calibri" w:hint="eastAsia"/>
                <w:iCs/>
                <w:color w:val="000000"/>
                <w:w w:val="30"/>
                <w:sz w:val="20"/>
                <w:szCs w:val="20"/>
                <w:shd w:val="solid" w:color="000000" w:fill="000000"/>
                <w:fitText w:val="135" w:id="-1425249277"/>
                <w14:textFill>
                  <w14:solidFill>
                    <w14:srgbClr w14:val="000000">
                      <w14:alpha w14:val="100000"/>
                    </w14:srgbClr>
                  </w14:solidFill>
                </w14:textFill>
              </w:rPr>
              <w:t xml:space="preserve">　</w:t>
            </w:r>
            <w:r w:rsidR="00E528E3">
              <w:rPr>
                <w:rFonts w:ascii="Arial Narrow" w:hAnsi="Arial Narrow" w:cs="Calibri"/>
                <w:iCs/>
                <w:sz w:val="20"/>
                <w:szCs w:val="20"/>
                <w:vertAlign w:val="superscript"/>
              </w:rPr>
              <w:t>6</w:t>
            </w:r>
            <w:r w:rsidR="00C32D0F" w:rsidRPr="00C068F4">
              <w:rPr>
                <w:rFonts w:ascii="Arial Narrow" w:hAnsi="Arial Narrow" w:cs="Calibri"/>
                <w:iCs/>
                <w:sz w:val="20"/>
                <w:szCs w:val="20"/>
              </w:rPr>
              <w:t xml:space="preserve"> </w:t>
            </w:r>
          </w:p>
        </w:tc>
        <w:tc>
          <w:tcPr>
            <w:tcW w:w="1431" w:type="dxa"/>
            <w:shd w:val="clear" w:color="auto" w:fill="auto"/>
          </w:tcPr>
          <w:p w14:paraId="75048FF8" w14:textId="59C45B4A" w:rsidR="00C32D0F" w:rsidRPr="00C068F4" w:rsidRDefault="00C32D0F" w:rsidP="00FD5A06">
            <w:pPr>
              <w:jc w:val="right"/>
              <w:rPr>
                <w:rFonts w:ascii="Arial Narrow" w:hAnsi="Arial Narrow" w:cs="Calibri"/>
                <w:iCs/>
                <w:sz w:val="20"/>
                <w:szCs w:val="20"/>
              </w:rPr>
            </w:pPr>
            <w:r w:rsidRPr="00C068F4">
              <w:rPr>
                <w:rFonts w:ascii="Arial Narrow" w:hAnsi="Arial Narrow" w:cs="Calibri"/>
                <w:iCs/>
                <w:sz w:val="20"/>
                <w:szCs w:val="20"/>
              </w:rPr>
              <w:t xml:space="preserve"> </w:t>
            </w:r>
            <w:r w:rsidR="0090667A" w:rsidRPr="0090667A">
              <w:rPr>
                <w:rFonts w:ascii="Arial Narrow" w:hAnsi="Arial Narrow" w:cs="Calibri"/>
                <w:iCs/>
                <w:sz w:val="20"/>
                <w:szCs w:val="20"/>
              </w:rPr>
              <w:t>$</w:t>
            </w:r>
            <w:r w:rsidR="00D61370" w:rsidRPr="00157ED3">
              <w:rPr>
                <w:rFonts w:ascii="Arial Narrow" w:hAnsi="Arial Narrow" w:cs="Calibri" w:hint="eastAsia"/>
                <w:iCs/>
                <w:color w:val="000000"/>
                <w:w w:val="30"/>
                <w:sz w:val="20"/>
                <w:szCs w:val="20"/>
                <w:shd w:val="solid" w:color="000000" w:fill="000000"/>
                <w:fitText w:val="135" w:id="-1425249276"/>
                <w14:textFill>
                  <w14:solidFill>
                    <w14:srgbClr w14:val="000000">
                      <w14:alpha w14:val="100000"/>
                    </w14:srgbClr>
                  </w14:solidFill>
                </w14:textFill>
              </w:rPr>
              <w:t xml:space="preserve">　</w:t>
            </w:r>
            <w:r w:rsidR="00D61370" w:rsidRPr="00157ED3">
              <w:rPr>
                <w:rFonts w:ascii="Arial Narrow" w:hAnsi="Arial Narrow" w:cs="Calibri"/>
                <w:iCs/>
                <w:color w:val="000000"/>
                <w:w w:val="30"/>
                <w:sz w:val="20"/>
                <w:szCs w:val="20"/>
                <w:shd w:val="solid" w:color="000000" w:fill="000000"/>
                <w:fitText w:val="135" w:id="-1425249276"/>
                <w14:textFill>
                  <w14:solidFill>
                    <w14:srgbClr w14:val="000000">
                      <w14:alpha w14:val="100000"/>
                    </w14:srgbClr>
                  </w14:solidFill>
                </w14:textFill>
              </w:rPr>
              <w:t>|</w:t>
            </w:r>
            <w:r w:rsidR="00D61370" w:rsidRPr="00157ED3">
              <w:rPr>
                <w:rFonts w:ascii="Arial Narrow" w:hAnsi="Arial Narrow" w:cs="Calibri" w:hint="eastAsia"/>
                <w:iCs/>
                <w:color w:val="000000"/>
                <w:w w:val="30"/>
                <w:sz w:val="20"/>
                <w:szCs w:val="20"/>
                <w:shd w:val="solid" w:color="000000" w:fill="000000"/>
                <w:fitText w:val="135" w:id="-1425249276"/>
                <w14:textFill>
                  <w14:solidFill>
                    <w14:srgbClr w14:val="000000">
                      <w14:alpha w14:val="100000"/>
                    </w14:srgbClr>
                  </w14:solidFill>
                </w14:textFill>
              </w:rPr>
              <w:t xml:space="preserve">　</w:t>
            </w:r>
            <w:r w:rsidR="00E528E3">
              <w:rPr>
                <w:rFonts w:ascii="Arial Narrow" w:hAnsi="Arial Narrow" w:cs="Calibri"/>
                <w:iCs/>
                <w:sz w:val="20"/>
                <w:szCs w:val="20"/>
                <w:vertAlign w:val="superscript"/>
              </w:rPr>
              <w:t>6</w:t>
            </w:r>
            <w:r w:rsidRPr="00C068F4">
              <w:rPr>
                <w:rFonts w:ascii="Arial Narrow" w:hAnsi="Arial Narrow" w:cs="Calibri"/>
                <w:iCs/>
                <w:sz w:val="20"/>
                <w:szCs w:val="20"/>
              </w:rPr>
              <w:t xml:space="preserve"> </w:t>
            </w:r>
          </w:p>
        </w:tc>
      </w:tr>
    </w:tbl>
    <w:p w14:paraId="6D0A0029" w14:textId="5669AF1B" w:rsidR="00287C72" w:rsidRDefault="00C32D0F" w:rsidP="00C32D0F">
      <w:pPr>
        <w:rPr>
          <w:rFonts w:ascii="Arial Narrow" w:hAnsi="Arial Narrow"/>
          <w:iCs/>
          <w:sz w:val="18"/>
          <w:szCs w:val="18"/>
        </w:rPr>
      </w:pPr>
      <w:r w:rsidRPr="00C068F4">
        <w:rPr>
          <w:rFonts w:ascii="Arial Narrow" w:hAnsi="Arial Narrow"/>
          <w:iCs/>
          <w:sz w:val="18"/>
          <w:szCs w:val="18"/>
        </w:rPr>
        <w:t>Unit = single dose of Evusheld</w:t>
      </w:r>
      <w:r w:rsidR="00FD5A06" w:rsidRPr="00C068F4">
        <w:rPr>
          <w:rFonts w:ascii="Arial Narrow" w:hAnsi="Arial Narrow"/>
          <w:iCs/>
          <w:sz w:val="18"/>
          <w:szCs w:val="18"/>
        </w:rPr>
        <w:t>.</w:t>
      </w:r>
    </w:p>
    <w:p w14:paraId="23EE2D51" w14:textId="5E3DA186" w:rsidR="00FD5A06" w:rsidRDefault="00FD5A06" w:rsidP="00FD5A06">
      <w:pPr>
        <w:pStyle w:val="FooterTableFigure"/>
      </w:pPr>
      <w:r w:rsidRPr="00C068F4">
        <w:t>Source: Section 4 spreadsheet provided with submission addendum on 29 July 2022; additional calculations during evaluation; Pre-PBAC response.</w:t>
      </w:r>
    </w:p>
    <w:p w14:paraId="7D6A781A" w14:textId="3A8F96A0" w:rsidR="005B5977" w:rsidRPr="00E21149" w:rsidRDefault="005B5977" w:rsidP="00FD5A06">
      <w:pPr>
        <w:pStyle w:val="FooterTableFigure"/>
        <w:rPr>
          <w:rStyle w:val="CommentReference"/>
          <w:b w:val="0"/>
          <w:bCs/>
          <w:i/>
          <w:iCs/>
          <w:sz w:val="18"/>
          <w:szCs w:val="18"/>
        </w:rPr>
      </w:pPr>
      <w:r w:rsidRPr="00E21149">
        <w:rPr>
          <w:rStyle w:val="CommentReference"/>
          <w:b w:val="0"/>
          <w:bCs/>
          <w:i/>
          <w:iCs/>
          <w:sz w:val="18"/>
          <w:szCs w:val="18"/>
        </w:rPr>
        <w:t>The redacted values correspond to the following ranges:</w:t>
      </w:r>
    </w:p>
    <w:p w14:paraId="73FB8260" w14:textId="19F09651" w:rsidR="00492064" w:rsidRPr="00E21149" w:rsidRDefault="00492064" w:rsidP="00492064">
      <w:pPr>
        <w:pStyle w:val="FooterTableFigure"/>
        <w:rPr>
          <w:rStyle w:val="CommentReference"/>
          <w:b w:val="0"/>
          <w:bCs/>
          <w:i/>
          <w:iCs/>
          <w:sz w:val="18"/>
          <w:szCs w:val="18"/>
        </w:rPr>
      </w:pPr>
      <w:r>
        <w:rPr>
          <w:rStyle w:val="CommentReference"/>
          <w:b w:val="0"/>
          <w:bCs/>
          <w:i/>
          <w:iCs/>
          <w:sz w:val="18"/>
          <w:szCs w:val="18"/>
          <w:vertAlign w:val="superscript"/>
        </w:rPr>
        <w:t>1</w:t>
      </w:r>
      <w:r w:rsidRPr="00E21149">
        <w:rPr>
          <w:rStyle w:val="CommentReference"/>
          <w:b w:val="0"/>
          <w:bCs/>
          <w:i/>
          <w:iCs/>
          <w:sz w:val="18"/>
          <w:szCs w:val="18"/>
        </w:rPr>
        <w:t>400,000 to &lt; 500,000</w:t>
      </w:r>
    </w:p>
    <w:p w14:paraId="12C5815B" w14:textId="3DC358B9" w:rsidR="00492064" w:rsidRPr="00E21149" w:rsidRDefault="00492064" w:rsidP="00492064">
      <w:pPr>
        <w:pStyle w:val="FooterTableFigure"/>
        <w:rPr>
          <w:rStyle w:val="CommentReference"/>
          <w:b w:val="0"/>
          <w:bCs/>
          <w:i/>
          <w:iCs/>
          <w:sz w:val="18"/>
          <w:szCs w:val="18"/>
        </w:rPr>
      </w:pPr>
      <w:r>
        <w:rPr>
          <w:rStyle w:val="CommentReference"/>
          <w:b w:val="0"/>
          <w:bCs/>
          <w:i/>
          <w:iCs/>
          <w:sz w:val="18"/>
          <w:szCs w:val="18"/>
          <w:vertAlign w:val="superscript"/>
        </w:rPr>
        <w:t>2</w:t>
      </w:r>
      <w:r w:rsidRPr="00E21149">
        <w:rPr>
          <w:rStyle w:val="CommentReference"/>
          <w:b w:val="0"/>
          <w:bCs/>
          <w:i/>
          <w:iCs/>
          <w:sz w:val="18"/>
          <w:szCs w:val="18"/>
        </w:rPr>
        <w:t>500,000 to &lt; 600,000</w:t>
      </w:r>
    </w:p>
    <w:p w14:paraId="31924082" w14:textId="0A2F8CFF" w:rsidR="005B5977" w:rsidRPr="00E21149" w:rsidRDefault="00492064" w:rsidP="00FD5A06">
      <w:pPr>
        <w:pStyle w:val="FooterTableFigure"/>
        <w:rPr>
          <w:rStyle w:val="CommentReference"/>
          <w:b w:val="0"/>
          <w:bCs/>
          <w:i/>
          <w:iCs/>
          <w:sz w:val="18"/>
          <w:szCs w:val="18"/>
        </w:rPr>
      </w:pPr>
      <w:r>
        <w:rPr>
          <w:rStyle w:val="CommentReference"/>
          <w:b w:val="0"/>
          <w:bCs/>
          <w:i/>
          <w:iCs/>
          <w:sz w:val="18"/>
          <w:szCs w:val="18"/>
          <w:vertAlign w:val="superscript"/>
        </w:rPr>
        <w:t>3</w:t>
      </w:r>
      <w:r w:rsidR="005B5977" w:rsidRPr="00E21149">
        <w:rPr>
          <w:rStyle w:val="CommentReference"/>
          <w:b w:val="0"/>
          <w:bCs/>
          <w:i/>
          <w:iCs/>
          <w:sz w:val="18"/>
          <w:szCs w:val="18"/>
        </w:rPr>
        <w:t>600,000 to &lt; 700,000</w:t>
      </w:r>
    </w:p>
    <w:p w14:paraId="536ACFD5" w14:textId="5D40D9AB" w:rsidR="005B5977" w:rsidRDefault="00492064" w:rsidP="00FD5A06">
      <w:pPr>
        <w:pStyle w:val="FooterTableFigure"/>
        <w:rPr>
          <w:rStyle w:val="CommentReference"/>
          <w:b w:val="0"/>
          <w:bCs/>
          <w:i/>
          <w:iCs/>
          <w:sz w:val="18"/>
          <w:szCs w:val="18"/>
        </w:rPr>
      </w:pPr>
      <w:r>
        <w:rPr>
          <w:rStyle w:val="CommentReference"/>
          <w:b w:val="0"/>
          <w:bCs/>
          <w:i/>
          <w:iCs/>
          <w:sz w:val="18"/>
          <w:szCs w:val="18"/>
          <w:vertAlign w:val="superscript"/>
        </w:rPr>
        <w:lastRenderedPageBreak/>
        <w:t>4</w:t>
      </w:r>
      <w:r w:rsidR="005B5977" w:rsidRPr="00E21149">
        <w:rPr>
          <w:rStyle w:val="CommentReference"/>
          <w:b w:val="0"/>
          <w:bCs/>
          <w:i/>
          <w:iCs/>
          <w:sz w:val="18"/>
          <w:szCs w:val="18"/>
        </w:rPr>
        <w:t>1,000,000 to &lt; 2,000,000</w:t>
      </w:r>
    </w:p>
    <w:p w14:paraId="4433839E" w14:textId="2E60781C" w:rsidR="00492064" w:rsidRPr="00E21149" w:rsidRDefault="00492064" w:rsidP="00FD5A06">
      <w:pPr>
        <w:pStyle w:val="FooterTableFigure"/>
        <w:rPr>
          <w:rStyle w:val="CommentReference"/>
          <w:b w:val="0"/>
          <w:bCs/>
          <w:i/>
          <w:iCs/>
          <w:sz w:val="18"/>
          <w:szCs w:val="18"/>
        </w:rPr>
      </w:pPr>
      <w:r w:rsidRPr="00492064">
        <w:rPr>
          <w:rStyle w:val="CommentReference"/>
          <w:b w:val="0"/>
          <w:bCs/>
          <w:i/>
          <w:iCs/>
          <w:sz w:val="18"/>
          <w:szCs w:val="18"/>
          <w:vertAlign w:val="superscript"/>
        </w:rPr>
        <w:t>5</w:t>
      </w:r>
      <w:r w:rsidR="0090667A" w:rsidRPr="0090667A">
        <w:rPr>
          <w:rStyle w:val="CommentReference"/>
          <w:b w:val="0"/>
          <w:bCs/>
          <w:i/>
          <w:iCs/>
          <w:sz w:val="18"/>
          <w:szCs w:val="18"/>
        </w:rPr>
        <w:t>$</w:t>
      </w:r>
      <w:r w:rsidRPr="00492064">
        <w:rPr>
          <w:rStyle w:val="CommentReference"/>
          <w:b w:val="0"/>
          <w:bCs/>
          <w:i/>
          <w:iCs/>
          <w:sz w:val="18"/>
          <w:szCs w:val="18"/>
        </w:rPr>
        <w:t>900 million to &lt; </w:t>
      </w:r>
      <w:r w:rsidR="0090667A" w:rsidRPr="0090667A">
        <w:rPr>
          <w:rStyle w:val="CommentReference"/>
          <w:b w:val="0"/>
          <w:bCs/>
          <w:i/>
          <w:iCs/>
          <w:sz w:val="18"/>
          <w:szCs w:val="18"/>
        </w:rPr>
        <w:t>$</w:t>
      </w:r>
      <w:r w:rsidRPr="00492064">
        <w:rPr>
          <w:rStyle w:val="CommentReference"/>
          <w:b w:val="0"/>
          <w:bCs/>
          <w:i/>
          <w:iCs/>
          <w:sz w:val="18"/>
          <w:szCs w:val="18"/>
        </w:rPr>
        <w:t>1 billion</w:t>
      </w:r>
    </w:p>
    <w:p w14:paraId="158C99E0" w14:textId="18C8E070" w:rsidR="00C32D0F" w:rsidRPr="00C068F4" w:rsidRDefault="00492064" w:rsidP="000F6A97">
      <w:pPr>
        <w:pStyle w:val="FooterTableFigure"/>
      </w:pPr>
      <w:r>
        <w:rPr>
          <w:rStyle w:val="CommentReference"/>
          <w:b w:val="0"/>
          <w:bCs/>
          <w:i/>
          <w:iCs/>
          <w:sz w:val="18"/>
          <w:szCs w:val="18"/>
          <w:vertAlign w:val="superscript"/>
        </w:rPr>
        <w:t>6</w:t>
      </w:r>
      <w:r w:rsidR="005B5977" w:rsidRPr="00E21149">
        <w:rPr>
          <w:rStyle w:val="CommentReference"/>
          <w:b w:val="0"/>
          <w:bCs/>
          <w:i/>
          <w:iCs/>
          <w:sz w:val="18"/>
          <w:szCs w:val="18"/>
        </w:rPr>
        <w:t xml:space="preserve">&gt; </w:t>
      </w:r>
      <w:r w:rsidR="0090667A" w:rsidRPr="0090667A">
        <w:rPr>
          <w:rStyle w:val="CommentReference"/>
          <w:b w:val="0"/>
          <w:bCs/>
          <w:i/>
          <w:iCs/>
          <w:sz w:val="18"/>
          <w:szCs w:val="18"/>
        </w:rPr>
        <w:t>$</w:t>
      </w:r>
      <w:r w:rsidR="005B5977" w:rsidRPr="00E21149">
        <w:rPr>
          <w:rStyle w:val="CommentReference"/>
          <w:b w:val="0"/>
          <w:bCs/>
          <w:i/>
          <w:iCs/>
          <w:sz w:val="18"/>
          <w:szCs w:val="18"/>
        </w:rPr>
        <w:t>1 billion</w:t>
      </w:r>
    </w:p>
    <w:p w14:paraId="014283DA" w14:textId="2D0A3974" w:rsidR="00362487" w:rsidRPr="00C068F4" w:rsidRDefault="00161738" w:rsidP="00FE0FF7">
      <w:pPr>
        <w:rPr>
          <w:iCs/>
        </w:rPr>
      </w:pPr>
      <w:r w:rsidRPr="00C068F4">
        <w:rPr>
          <w:i/>
        </w:rPr>
        <w:t>For detail on PBAC’s view, see section 7 PBAC outcome.</w:t>
      </w:r>
    </w:p>
    <w:p w14:paraId="5A641D22" w14:textId="77777777" w:rsidR="00C32D0F" w:rsidRPr="00C068F4" w:rsidRDefault="00C32D0F" w:rsidP="00C32D0F">
      <w:pPr>
        <w:pStyle w:val="4-SubsectionHeading"/>
      </w:pPr>
      <w:bookmarkStart w:id="111" w:name="_Toc110809269"/>
      <w:bookmarkStart w:id="112" w:name="_Toc111710322"/>
      <w:r w:rsidRPr="00C068F4">
        <w:t>Financial Management – Risk Sharing Arrangements</w:t>
      </w:r>
      <w:bookmarkEnd w:id="111"/>
      <w:bookmarkEnd w:id="112"/>
    </w:p>
    <w:p w14:paraId="4DBE8FA5" w14:textId="7B654B42" w:rsidR="00C32D0F" w:rsidRPr="00C068F4" w:rsidRDefault="00C32D0F" w:rsidP="00C32D0F">
      <w:pPr>
        <w:pStyle w:val="3-BodyText"/>
      </w:pPr>
      <w:r w:rsidRPr="00C068F4">
        <w:t xml:space="preserve">The </w:t>
      </w:r>
      <w:r w:rsidR="00943EA3" w:rsidRPr="00C068F4">
        <w:t xml:space="preserve">revised </w:t>
      </w:r>
      <w:r w:rsidRPr="00C068F4">
        <w:t>submission d</w:t>
      </w:r>
      <w:r w:rsidR="00943EA3" w:rsidRPr="00C068F4">
        <w:t xml:space="preserve">id </w:t>
      </w:r>
      <w:r w:rsidRPr="00C068F4">
        <w:t>not make any reference to a risk sharing arrangement.</w:t>
      </w:r>
    </w:p>
    <w:p w14:paraId="2299952B" w14:textId="0B3F322F" w:rsidR="00C32D0F" w:rsidRPr="00C068F4" w:rsidRDefault="00C32D0F" w:rsidP="00C32D0F">
      <w:pPr>
        <w:pStyle w:val="3-BodyText"/>
        <w:rPr>
          <w:iCs/>
        </w:rPr>
      </w:pPr>
      <w:r w:rsidRPr="00C068F4">
        <w:rPr>
          <w:iCs/>
        </w:rPr>
        <w:t xml:space="preserve">The </w:t>
      </w:r>
      <w:r w:rsidR="00362487" w:rsidRPr="00C068F4">
        <w:rPr>
          <w:iCs/>
        </w:rPr>
        <w:t>evaluation identified the following potential clinical and financial risks</w:t>
      </w:r>
      <w:r w:rsidR="0037708C">
        <w:rPr>
          <w:iCs/>
        </w:rPr>
        <w:t>:</w:t>
      </w:r>
    </w:p>
    <w:p w14:paraId="33B5192F" w14:textId="37DEADB7" w:rsidR="00287C72" w:rsidRDefault="00C32D0F" w:rsidP="00D94F7C">
      <w:pPr>
        <w:pStyle w:val="3-BodyText"/>
        <w:numPr>
          <w:ilvl w:val="0"/>
          <w:numId w:val="12"/>
        </w:numPr>
        <w:rPr>
          <w:iCs/>
        </w:rPr>
      </w:pPr>
      <w:r w:rsidRPr="00C068F4">
        <w:rPr>
          <w:iCs/>
        </w:rPr>
        <w:t>Lower than expected reductions in symptomatic COVID-19 due to SARS-CoV-2 infection or in severe or critical COVID-19 due to SARS-CoV-2 infection</w:t>
      </w:r>
      <w:r w:rsidR="00362487" w:rsidRPr="00C068F4">
        <w:rPr>
          <w:iCs/>
        </w:rPr>
        <w:t>;</w:t>
      </w:r>
    </w:p>
    <w:p w14:paraId="1A8A36B3" w14:textId="49E7E771" w:rsidR="00C32D0F" w:rsidRPr="00C068F4" w:rsidRDefault="00C32D0F" w:rsidP="00D94F7C">
      <w:pPr>
        <w:pStyle w:val="3-BodyText"/>
        <w:numPr>
          <w:ilvl w:val="0"/>
          <w:numId w:val="12"/>
        </w:numPr>
        <w:rPr>
          <w:iCs/>
        </w:rPr>
      </w:pPr>
      <w:r w:rsidRPr="00C068F4">
        <w:rPr>
          <w:iCs/>
        </w:rPr>
        <w:t>Loss of effectiveness against future virus variants</w:t>
      </w:r>
      <w:r w:rsidR="00362487" w:rsidRPr="00C068F4">
        <w:rPr>
          <w:iCs/>
        </w:rPr>
        <w:t>;</w:t>
      </w:r>
    </w:p>
    <w:p w14:paraId="67EA63FE" w14:textId="4CA67912" w:rsidR="00362487" w:rsidRPr="00C068F4" w:rsidRDefault="00362487" w:rsidP="00D94F7C">
      <w:pPr>
        <w:pStyle w:val="3-BodyText"/>
        <w:numPr>
          <w:ilvl w:val="0"/>
          <w:numId w:val="12"/>
        </w:numPr>
        <w:rPr>
          <w:iCs/>
        </w:rPr>
      </w:pPr>
      <w:r w:rsidRPr="00C068F4">
        <w:rPr>
          <w:iCs/>
        </w:rPr>
        <w:t>Use outside the requested restriction; and</w:t>
      </w:r>
    </w:p>
    <w:p w14:paraId="260AE9BB" w14:textId="6CCB05C0" w:rsidR="00362487" w:rsidRPr="00C068F4" w:rsidRDefault="00362487" w:rsidP="00D94F7C">
      <w:pPr>
        <w:pStyle w:val="3-BodyText"/>
        <w:numPr>
          <w:ilvl w:val="0"/>
          <w:numId w:val="12"/>
        </w:numPr>
        <w:rPr>
          <w:iCs/>
        </w:rPr>
      </w:pPr>
      <w:r w:rsidRPr="00C068F4">
        <w:rPr>
          <w:iCs/>
        </w:rPr>
        <w:t>Use of higher or more frequent doses in clinical practice.</w:t>
      </w:r>
    </w:p>
    <w:p w14:paraId="4593F651" w14:textId="4E02091D" w:rsidR="00287C72" w:rsidRDefault="00F72661" w:rsidP="00943EA3">
      <w:pPr>
        <w:pStyle w:val="3-BodyText"/>
        <w:rPr>
          <w:snapToGrid/>
        </w:rPr>
      </w:pPr>
      <w:r w:rsidRPr="00C068F4">
        <w:rPr>
          <w:snapToGrid/>
        </w:rPr>
        <w:t xml:space="preserve">The </w:t>
      </w:r>
      <w:r w:rsidR="00FE0FF7" w:rsidRPr="00C068F4">
        <w:rPr>
          <w:snapToGrid/>
        </w:rPr>
        <w:t>S</w:t>
      </w:r>
      <w:r w:rsidRPr="00C068F4">
        <w:rPr>
          <w:snapToGrid/>
        </w:rPr>
        <w:t>ponsor previously advised the Department it</w:t>
      </w:r>
      <w:r w:rsidR="00943EA3" w:rsidRPr="00C068F4">
        <w:rPr>
          <w:snapToGrid/>
        </w:rPr>
        <w:t xml:space="preserve"> plans to collect additional follow-up data from the “PROVENT Repeat Dose Substudy” (D8850C002A01) will be collected as it is ongoing. It also plans one additional clinical trial: the ENDURE study (see paragraph </w:t>
      </w:r>
      <w:r w:rsidR="0037708C">
        <w:rPr>
          <w:snapToGrid/>
        </w:rPr>
        <w:t xml:space="preserve">6.23 </w:t>
      </w:r>
      <w:r w:rsidR="00943EA3" w:rsidRPr="00C068F4">
        <w:rPr>
          <w:snapToGrid/>
        </w:rPr>
        <w:t>above).</w:t>
      </w:r>
    </w:p>
    <w:p w14:paraId="585D5DE3" w14:textId="3B85448D" w:rsidR="00287C72" w:rsidRDefault="00F72661" w:rsidP="00943EA3">
      <w:pPr>
        <w:pStyle w:val="3-BodyText"/>
      </w:pPr>
      <w:r w:rsidRPr="00C068F4">
        <w:rPr>
          <w:iCs/>
        </w:rPr>
        <w:t xml:space="preserve">The Pre-PBAC response </w:t>
      </w:r>
      <w:r w:rsidRPr="00C068F4">
        <w:t>acknowledged there are uncertainties with the data and proposed a conditional listing, whereby the continued PBS listing of tixagevimab and cilgavimab is reviewed periodically by the PBAC. The Pre-PBAC response claimed the on-going collection of observational and other data, and post-market surveillance could provide further effectiveness and safety analyses in the future.</w:t>
      </w:r>
    </w:p>
    <w:p w14:paraId="164E0CAB" w14:textId="4972D290" w:rsidR="00F72661" w:rsidRPr="00C068F4" w:rsidRDefault="00F72661" w:rsidP="00943EA3">
      <w:pPr>
        <w:pStyle w:val="3-BodyText"/>
        <w:rPr>
          <w:b/>
          <w:bCs/>
          <w:u w:val="single"/>
        </w:rPr>
      </w:pPr>
      <w:r w:rsidRPr="00C068F4">
        <w:t xml:space="preserve">The </w:t>
      </w:r>
      <w:r w:rsidR="00FE0FF7" w:rsidRPr="00C068F4">
        <w:t>S</w:t>
      </w:r>
      <w:r w:rsidRPr="00C068F4">
        <w:t>ponsor also indicated it could agree to annual expenditure caps.</w:t>
      </w:r>
    </w:p>
    <w:p w14:paraId="737F00A4" w14:textId="5B53DC92" w:rsidR="00C32D0F" w:rsidRPr="00C068F4" w:rsidRDefault="007B0C13" w:rsidP="003461AA">
      <w:pPr>
        <w:ind w:firstLine="720"/>
        <w:rPr>
          <w:rFonts w:eastAsiaTheme="minorHAnsi" w:cs="Calibri"/>
          <w:sz w:val="22"/>
          <w:szCs w:val="22"/>
          <w:lang w:eastAsia="en-US"/>
        </w:rPr>
      </w:pPr>
      <w:r w:rsidRPr="00C068F4">
        <w:rPr>
          <w:i/>
        </w:rPr>
        <w:t>For detail on PBAC’s view, see section 7 PBAC outcome.</w:t>
      </w:r>
    </w:p>
    <w:p w14:paraId="737ABB03" w14:textId="64522E4C" w:rsidR="001B035F" w:rsidRPr="00C068F4" w:rsidRDefault="001B035F" w:rsidP="001B035F">
      <w:pPr>
        <w:pStyle w:val="2-SectionHeading"/>
      </w:pPr>
      <w:bookmarkStart w:id="113" w:name="_Hlk76381249"/>
      <w:r w:rsidRPr="00C068F4">
        <w:t>PBAC Outcome</w:t>
      </w:r>
    </w:p>
    <w:p w14:paraId="10E7ACDA" w14:textId="5E23779A" w:rsidR="00287C72" w:rsidRDefault="000C37AB" w:rsidP="000C37AB">
      <w:pPr>
        <w:pStyle w:val="ListParagraph"/>
        <w:widowControl w:val="0"/>
        <w:numPr>
          <w:ilvl w:val="1"/>
          <w:numId w:val="1"/>
        </w:numPr>
        <w:contextualSpacing/>
        <w:rPr>
          <w:rFonts w:cstheme="minorHAnsi"/>
        </w:rPr>
      </w:pPr>
      <w:r w:rsidRPr="00C068F4">
        <w:t xml:space="preserve">The PBAC did not recommend PBS listing of </w:t>
      </w:r>
      <w:r w:rsidR="00D5678C" w:rsidRPr="00C068F4">
        <w:t>tixagevimab and cilgavimab</w:t>
      </w:r>
      <w:r w:rsidRPr="00C068F4">
        <w:t xml:space="preserve"> for </w:t>
      </w:r>
      <w:r w:rsidRPr="00C068F4">
        <w:rPr>
          <w:rFonts w:cstheme="minorHAnsi"/>
        </w:rPr>
        <w:t>use as pre-exposure prophylaxis against COVID-19 infection</w:t>
      </w:r>
      <w:r w:rsidR="00D0006C" w:rsidRPr="00C068F4">
        <w:rPr>
          <w:rFonts w:cstheme="minorHAnsi"/>
        </w:rPr>
        <w:t xml:space="preserve"> because </w:t>
      </w:r>
      <w:r w:rsidR="000A7057" w:rsidRPr="00C068F4">
        <w:rPr>
          <w:rFonts w:cstheme="minorHAnsi"/>
        </w:rPr>
        <w:t xml:space="preserve">of uncertainty about the clinical place in </w:t>
      </w:r>
      <w:r w:rsidR="000A0BCE">
        <w:rPr>
          <w:rFonts w:cstheme="minorHAnsi"/>
        </w:rPr>
        <w:t xml:space="preserve">prevention and </w:t>
      </w:r>
      <w:r w:rsidR="000A0BCE">
        <w:t>appropriate PBS eligibility criteria</w:t>
      </w:r>
      <w:r w:rsidR="000A7057" w:rsidRPr="00C068F4">
        <w:rPr>
          <w:rFonts w:cstheme="minorHAnsi"/>
        </w:rPr>
        <w:t xml:space="preserve">; uncertainty about the dose and duration of protection against the Omicron variants of the SARS-CoV-2 virus; a lack of information on the safety and effectiveness of the proposed repeat dosing regimen; a high and highly uncertain incremental cost-effectiveness ratio; and a very high </w:t>
      </w:r>
      <w:r w:rsidR="00D07EE5">
        <w:rPr>
          <w:rFonts w:cstheme="minorHAnsi"/>
        </w:rPr>
        <w:t>overall</w:t>
      </w:r>
      <w:r w:rsidR="000A7057" w:rsidRPr="00C068F4">
        <w:rPr>
          <w:rFonts w:cstheme="minorHAnsi"/>
        </w:rPr>
        <w:t xml:space="preserve"> cost as requested by the sponsor.</w:t>
      </w:r>
    </w:p>
    <w:p w14:paraId="22DEE371" w14:textId="5892F6EE" w:rsidR="00287C72" w:rsidRDefault="000A7057" w:rsidP="000A7057">
      <w:pPr>
        <w:widowControl w:val="0"/>
        <w:numPr>
          <w:ilvl w:val="1"/>
          <w:numId w:val="1"/>
        </w:numPr>
        <w:spacing w:after="120"/>
        <w:rPr>
          <w:rFonts w:asciiTheme="minorHAnsi" w:hAnsiTheme="minorHAnsi"/>
          <w:snapToGrid w:val="0"/>
        </w:rPr>
      </w:pPr>
      <w:r w:rsidRPr="00C068F4">
        <w:rPr>
          <w:rFonts w:asciiTheme="minorHAnsi" w:hAnsiTheme="minorHAnsi"/>
          <w:snapToGrid w:val="0"/>
        </w:rPr>
        <w:t xml:space="preserve">The PBAC acknowledged concerns regarding the negative effects of shielding behaviour in severely immunocompromised </w:t>
      </w:r>
      <w:r w:rsidR="005C4A31" w:rsidRPr="00C068F4">
        <w:rPr>
          <w:rFonts w:asciiTheme="minorHAnsi" w:hAnsiTheme="minorHAnsi"/>
          <w:snapToGrid w:val="0"/>
        </w:rPr>
        <w:t>individuals</w:t>
      </w:r>
      <w:r w:rsidRPr="00C068F4">
        <w:rPr>
          <w:rFonts w:asciiTheme="minorHAnsi" w:hAnsiTheme="minorHAnsi"/>
          <w:snapToGrid w:val="0"/>
        </w:rPr>
        <w:t>, which may include withdrawal from social contact, as well as detrimental impacts on employment, mental health and quality of life.</w:t>
      </w:r>
      <w:r w:rsidR="00287C72">
        <w:rPr>
          <w:rFonts w:asciiTheme="minorHAnsi" w:hAnsiTheme="minorHAnsi"/>
          <w:snapToGrid w:val="0"/>
        </w:rPr>
        <w:t xml:space="preserve"> </w:t>
      </w:r>
      <w:r w:rsidRPr="00C068F4">
        <w:rPr>
          <w:rFonts w:asciiTheme="minorHAnsi" w:hAnsiTheme="minorHAnsi"/>
          <w:snapToGrid w:val="0"/>
        </w:rPr>
        <w:t xml:space="preserve">The PBAC considered these concerns important and relevant, however there were no data presented to demonstrate </w:t>
      </w:r>
      <w:r w:rsidRPr="00C068F4">
        <w:t xml:space="preserve">tixagevimab and </w:t>
      </w:r>
      <w:r w:rsidRPr="00C068F4">
        <w:lastRenderedPageBreak/>
        <w:t>cilgavimab</w:t>
      </w:r>
      <w:r w:rsidRPr="00C068F4">
        <w:rPr>
          <w:rFonts w:asciiTheme="minorHAnsi" w:hAnsiTheme="minorHAnsi"/>
          <w:snapToGrid w:val="0"/>
        </w:rPr>
        <w:t xml:space="preserve"> would lead to changes in shielding behaviour.</w:t>
      </w:r>
      <w:r w:rsidR="0048406D" w:rsidRPr="00C068F4">
        <w:rPr>
          <w:rFonts w:asciiTheme="minorHAnsi" w:hAnsiTheme="minorHAnsi"/>
          <w:snapToGrid w:val="0"/>
        </w:rPr>
        <w:t xml:space="preserve"> </w:t>
      </w:r>
      <w:r w:rsidRPr="00C068F4">
        <w:rPr>
          <w:rFonts w:asciiTheme="minorHAnsi" w:hAnsiTheme="minorHAnsi"/>
          <w:snapToGrid w:val="0"/>
        </w:rPr>
        <w:t xml:space="preserve">The PBAC noted severely immunocompromised </w:t>
      </w:r>
      <w:r w:rsidR="005C4A31" w:rsidRPr="00C068F4">
        <w:rPr>
          <w:rFonts w:asciiTheme="minorHAnsi" w:hAnsiTheme="minorHAnsi"/>
          <w:snapToGrid w:val="0"/>
        </w:rPr>
        <w:t xml:space="preserve">individuals </w:t>
      </w:r>
      <w:r w:rsidRPr="00C068F4">
        <w:rPr>
          <w:rFonts w:asciiTheme="minorHAnsi" w:hAnsiTheme="minorHAnsi"/>
          <w:snapToGrid w:val="0"/>
        </w:rPr>
        <w:t xml:space="preserve">are vulnerable to all circulating viruses and bacteria in the community and offering protection against one virus alone may not change </w:t>
      </w:r>
      <w:r w:rsidR="0073529B">
        <w:rPr>
          <w:rFonts w:asciiTheme="minorHAnsi" w:hAnsiTheme="minorHAnsi"/>
          <w:snapToGrid w:val="0"/>
        </w:rPr>
        <w:t xml:space="preserve">recommendations </w:t>
      </w:r>
      <w:r w:rsidR="00C622CC">
        <w:rPr>
          <w:rFonts w:asciiTheme="minorHAnsi" w:hAnsiTheme="minorHAnsi"/>
          <w:snapToGrid w:val="0"/>
        </w:rPr>
        <w:t xml:space="preserve">regarding </w:t>
      </w:r>
      <w:r w:rsidR="0094239D">
        <w:rPr>
          <w:rFonts w:asciiTheme="minorHAnsi" w:hAnsiTheme="minorHAnsi"/>
          <w:snapToGrid w:val="0"/>
        </w:rPr>
        <w:t>infectious contact precautions</w:t>
      </w:r>
      <w:r w:rsidR="00C622CC">
        <w:rPr>
          <w:rFonts w:asciiTheme="minorHAnsi" w:hAnsiTheme="minorHAnsi"/>
          <w:snapToGrid w:val="0"/>
        </w:rPr>
        <w:t xml:space="preserve"> </w:t>
      </w:r>
      <w:r w:rsidR="0073529B">
        <w:rPr>
          <w:rFonts w:asciiTheme="minorHAnsi" w:hAnsiTheme="minorHAnsi"/>
          <w:snapToGrid w:val="0"/>
        </w:rPr>
        <w:t xml:space="preserve">or </w:t>
      </w:r>
      <w:r w:rsidRPr="00C068F4">
        <w:rPr>
          <w:rFonts w:asciiTheme="minorHAnsi" w:hAnsiTheme="minorHAnsi"/>
          <w:snapToGrid w:val="0"/>
        </w:rPr>
        <w:t xml:space="preserve">behaviour. </w:t>
      </w:r>
      <w:r w:rsidR="000C3D19" w:rsidRPr="00C068F4">
        <w:rPr>
          <w:rFonts w:asciiTheme="minorHAnsi" w:hAnsiTheme="minorHAnsi"/>
          <w:snapToGrid w:val="0"/>
        </w:rPr>
        <w:t xml:space="preserve">An additional issue is that </w:t>
      </w:r>
      <w:r w:rsidRPr="00C068F4">
        <w:rPr>
          <w:rFonts w:asciiTheme="minorHAnsi" w:hAnsiTheme="minorHAnsi"/>
          <w:snapToGrid w:val="0"/>
        </w:rPr>
        <w:t xml:space="preserve">some </w:t>
      </w:r>
      <w:r w:rsidR="005C4A31" w:rsidRPr="00C068F4">
        <w:rPr>
          <w:rFonts w:asciiTheme="minorHAnsi" w:hAnsiTheme="minorHAnsi"/>
          <w:snapToGrid w:val="0"/>
        </w:rPr>
        <w:t xml:space="preserve">treated individuals </w:t>
      </w:r>
      <w:r w:rsidRPr="00C068F4">
        <w:rPr>
          <w:rFonts w:asciiTheme="minorHAnsi" w:hAnsiTheme="minorHAnsi"/>
          <w:snapToGrid w:val="0"/>
        </w:rPr>
        <w:t xml:space="preserve">may not protect themselves from a new SARS-CoV-2 variant ahead of </w:t>
      </w:r>
      <w:r w:rsidR="0048406D" w:rsidRPr="00C068F4">
        <w:rPr>
          <w:rFonts w:asciiTheme="minorHAnsi" w:hAnsiTheme="minorHAnsi"/>
          <w:snapToGrid w:val="0"/>
        </w:rPr>
        <w:t xml:space="preserve">data </w:t>
      </w:r>
      <w:r w:rsidRPr="00C068F4">
        <w:rPr>
          <w:rFonts w:asciiTheme="minorHAnsi" w:hAnsiTheme="minorHAnsi"/>
          <w:snapToGrid w:val="0"/>
        </w:rPr>
        <w:t>demonstrating tixagevimab with cilgavimab is effective against the new variant.</w:t>
      </w:r>
    </w:p>
    <w:p w14:paraId="27D319C4" w14:textId="1917EB98" w:rsidR="000C3D19" w:rsidRPr="00C068F4" w:rsidRDefault="000C37AB" w:rsidP="0053061F">
      <w:pPr>
        <w:pStyle w:val="ListParagraph"/>
        <w:widowControl w:val="0"/>
        <w:numPr>
          <w:ilvl w:val="1"/>
          <w:numId w:val="1"/>
        </w:numPr>
      </w:pPr>
      <w:r w:rsidRPr="00C068F4">
        <w:t xml:space="preserve">The PBAC noted that limited clinical data were available to support the </w:t>
      </w:r>
      <w:r w:rsidR="000C3D19" w:rsidRPr="00C068F4">
        <w:t xml:space="preserve">Sponsor’s </w:t>
      </w:r>
      <w:r w:rsidRPr="00C068F4">
        <w:t>clinical claim</w:t>
      </w:r>
      <w:r w:rsidR="00AC21BF" w:rsidRPr="00C068F4">
        <w:t xml:space="preserve"> </w:t>
      </w:r>
      <w:r w:rsidR="00C17B3D" w:rsidRPr="00C068F4">
        <w:t>includ</w:t>
      </w:r>
      <w:r w:rsidR="0018056C" w:rsidRPr="00C068F4">
        <w:t>ing</w:t>
      </w:r>
      <w:r w:rsidR="00C17B3D" w:rsidRPr="00C068F4">
        <w:t xml:space="preserve"> one </w:t>
      </w:r>
      <w:r w:rsidR="00D332DA" w:rsidRPr="00C068F4">
        <w:t>randomised controlled trial</w:t>
      </w:r>
      <w:r w:rsidR="00C17B3D" w:rsidRPr="00C068F4">
        <w:t xml:space="preserve">, </w:t>
      </w:r>
      <w:r w:rsidR="003E60E4">
        <w:t>four</w:t>
      </w:r>
      <w:r w:rsidR="003E60E4" w:rsidRPr="00C068F4">
        <w:t xml:space="preserve"> </w:t>
      </w:r>
      <w:r w:rsidR="00C17B3D" w:rsidRPr="00C068F4">
        <w:t xml:space="preserve">observational studies, in vitro susceptibility studies, and pharmacokinetic modelling. The PBAC considered the data limitations particularly </w:t>
      </w:r>
      <w:r w:rsidR="00D332DA" w:rsidRPr="00C068F4">
        <w:t xml:space="preserve">problematic for </w:t>
      </w:r>
      <w:r w:rsidR="00AC21BF" w:rsidRPr="00C068F4">
        <w:t>establishing</w:t>
      </w:r>
      <w:r w:rsidR="00C17B3D" w:rsidRPr="00C068F4">
        <w:t xml:space="preserve"> effectiveness against</w:t>
      </w:r>
      <w:r w:rsidR="00C6460C" w:rsidRPr="00C068F4">
        <w:t xml:space="preserve"> the Omicron variant and in relation to the</w:t>
      </w:r>
      <w:r w:rsidR="00AC21BF" w:rsidRPr="00C068F4">
        <w:t xml:space="preserve"> effectiveness and safety of the</w:t>
      </w:r>
      <w:r w:rsidR="00C6460C" w:rsidRPr="00C068F4">
        <w:t xml:space="preserve"> proposed dosing regimen </w:t>
      </w:r>
      <w:r w:rsidR="00AC21BF" w:rsidRPr="00C068F4">
        <w:t>(</w:t>
      </w:r>
      <w:r w:rsidR="00C6460C" w:rsidRPr="00C068F4">
        <w:t>tixagevimab 300 mg and cilgavimab 300 mg administered every 6 months</w:t>
      </w:r>
      <w:r w:rsidR="00D332DA" w:rsidRPr="00C068F4">
        <w:t>)</w:t>
      </w:r>
      <w:r w:rsidR="00C6460C" w:rsidRPr="00C068F4">
        <w:t>.</w:t>
      </w:r>
    </w:p>
    <w:p w14:paraId="1ED01237" w14:textId="0B866780" w:rsidR="0048406D" w:rsidRPr="00C068F4" w:rsidRDefault="000C37AB" w:rsidP="0053061F">
      <w:pPr>
        <w:pStyle w:val="ListParagraph"/>
        <w:widowControl w:val="0"/>
        <w:numPr>
          <w:ilvl w:val="1"/>
          <w:numId w:val="1"/>
        </w:numPr>
      </w:pPr>
      <w:r w:rsidRPr="00C068F4">
        <w:t>The PBAC noted the 6</w:t>
      </w:r>
      <w:r w:rsidR="0048406D" w:rsidRPr="00C068F4">
        <w:t>-</w:t>
      </w:r>
      <w:r w:rsidRPr="00C068F4">
        <w:t>month results of the</w:t>
      </w:r>
      <w:r w:rsidR="00C6460C" w:rsidRPr="00C068F4">
        <w:t xml:space="preserve"> </w:t>
      </w:r>
      <w:r w:rsidRPr="00C068F4">
        <w:t>PROVENT trial demonstrated significant reductions in the risk of symptomatic COVID-19 and</w:t>
      </w:r>
      <w:r w:rsidR="00D332DA" w:rsidRPr="00C068F4">
        <w:t xml:space="preserve"> in the risk</w:t>
      </w:r>
      <w:r w:rsidRPr="00C068F4">
        <w:t xml:space="preserve"> of severe or critical COVID-19, for patients treated with a single dose of tixagevimab 150 mg and cilgavimab 150 mg compared with placebo.</w:t>
      </w:r>
      <w:r w:rsidR="00B728C0" w:rsidRPr="00C068F4">
        <w:t xml:space="preserve"> T</w:t>
      </w:r>
      <w:r w:rsidR="0048406D" w:rsidRPr="00C068F4">
        <w:t>h</w:t>
      </w:r>
      <w:r w:rsidR="00B728C0" w:rsidRPr="00C068F4">
        <w:t>e</w:t>
      </w:r>
      <w:r w:rsidR="0048406D" w:rsidRPr="00C068F4">
        <w:t xml:space="preserve"> effect</w:t>
      </w:r>
      <w:r w:rsidR="00B728C0" w:rsidRPr="00C068F4">
        <w:t xml:space="preserve"> on symptomatic disease</w:t>
      </w:r>
      <w:r w:rsidR="0048406D" w:rsidRPr="00C068F4">
        <w:t xml:space="preserve"> was not maintained after 6 months</w:t>
      </w:r>
      <w:r w:rsidR="003F2CBF">
        <w:t>; a</w:t>
      </w:r>
      <w:r w:rsidR="00B728C0" w:rsidRPr="00C068F4">
        <w:t xml:space="preserve"> reduction in severe and critical disease appeared to be maintained</w:t>
      </w:r>
      <w:r w:rsidR="003F2CBF">
        <w:t xml:space="preserve"> for up</w:t>
      </w:r>
      <w:r w:rsidR="00B728C0" w:rsidRPr="00C068F4">
        <w:t xml:space="preserve"> to 12 months</w:t>
      </w:r>
      <w:r w:rsidR="003F2CBF">
        <w:t xml:space="preserve"> although </w:t>
      </w:r>
      <w:r w:rsidR="008E6053">
        <w:t>the size of the effect was uncertain</w:t>
      </w:r>
      <w:r w:rsidR="00B728C0" w:rsidRPr="00C068F4">
        <w:t xml:space="preserve">. </w:t>
      </w:r>
      <w:r w:rsidR="00C6460C" w:rsidRPr="00C068F4">
        <w:t>However, t</w:t>
      </w:r>
      <w:r w:rsidRPr="00C068F4">
        <w:t>he PROVENT trial was conducted prior to the emergence of the Omicron SARS-CoV-2 variant</w:t>
      </w:r>
      <w:r w:rsidR="00DF0EBA">
        <w:t>, COVID-19 vaccination, and antivirals</w:t>
      </w:r>
      <w:r w:rsidRPr="00C068F4">
        <w:t>.</w:t>
      </w:r>
    </w:p>
    <w:p w14:paraId="4A424517" w14:textId="36DEA83F" w:rsidR="00E40705" w:rsidRPr="00C068F4" w:rsidRDefault="000C37AB" w:rsidP="0053061F">
      <w:pPr>
        <w:pStyle w:val="ListParagraph"/>
        <w:widowControl w:val="0"/>
        <w:numPr>
          <w:ilvl w:val="1"/>
          <w:numId w:val="1"/>
        </w:numPr>
      </w:pPr>
      <w:r w:rsidRPr="00C068F4">
        <w:t xml:space="preserve">The PBAC </w:t>
      </w:r>
      <w:r w:rsidR="0048406D" w:rsidRPr="00C068F4">
        <w:t xml:space="preserve">agreed with the </w:t>
      </w:r>
      <w:r w:rsidR="00AC21BF" w:rsidRPr="00C068F4">
        <w:t>S</w:t>
      </w:r>
      <w:r w:rsidR="0048406D" w:rsidRPr="00C068F4">
        <w:t xml:space="preserve">ponsor </w:t>
      </w:r>
      <w:r w:rsidRPr="00C068F4">
        <w:t xml:space="preserve">that tixagevimab 150 mg and cilgavimab 150 mg </w:t>
      </w:r>
      <w:r w:rsidR="00193BB8">
        <w:t>is likely to be</w:t>
      </w:r>
      <w:r w:rsidR="00193BB8" w:rsidRPr="00C068F4">
        <w:t xml:space="preserve"> </w:t>
      </w:r>
      <w:r w:rsidRPr="00C068F4">
        <w:t>less effective in preventing</w:t>
      </w:r>
      <w:r w:rsidR="0048406D" w:rsidRPr="00C068F4">
        <w:t xml:space="preserve"> symptomatic</w:t>
      </w:r>
      <w:r w:rsidRPr="00C068F4">
        <w:t xml:space="preserve"> infection due to the Omicron variants circulating in 2022 compared with the SARS-CoV-2 variants circulating during the</w:t>
      </w:r>
      <w:r w:rsidR="0048406D" w:rsidRPr="00C068F4">
        <w:t xml:space="preserve"> PROVENT</w:t>
      </w:r>
      <w:r w:rsidRPr="00C068F4">
        <w:t xml:space="preserve"> study.</w:t>
      </w:r>
      <w:r w:rsidR="00D332DA" w:rsidRPr="00C068F4">
        <w:t xml:space="preserve"> </w:t>
      </w:r>
      <w:r w:rsidRPr="00C068F4">
        <w:t xml:space="preserve">The duration of </w:t>
      </w:r>
      <w:r w:rsidR="004E09F2">
        <w:t xml:space="preserve">any </w:t>
      </w:r>
      <w:r w:rsidRPr="00C068F4">
        <w:t>protection</w:t>
      </w:r>
      <w:r w:rsidR="0048406D" w:rsidRPr="00C068F4">
        <w:t xml:space="preserve"> given by tixagevimab 150 mg and cilgavimab 150 mg</w:t>
      </w:r>
      <w:r w:rsidR="004E09F2">
        <w:t xml:space="preserve"> is</w:t>
      </w:r>
      <w:r w:rsidRPr="00C068F4">
        <w:t xml:space="preserve"> </w:t>
      </w:r>
      <w:r w:rsidR="005C4A31" w:rsidRPr="00C068F4">
        <w:t xml:space="preserve">also </w:t>
      </w:r>
      <w:r w:rsidR="004E09F2">
        <w:t>likely</w:t>
      </w:r>
      <w:r w:rsidRPr="00C068F4">
        <w:t xml:space="preserve"> to be shorter for the Omicron variants than it was for earlier variants of the SARS-CoV-2 virus. At the current TGA approved dose</w:t>
      </w:r>
      <w:r w:rsidR="0048406D" w:rsidRPr="00C068F4">
        <w:t>,</w:t>
      </w:r>
      <w:r w:rsidRPr="00C068F4">
        <w:t xml:space="preserve"> the duration of </w:t>
      </w:r>
      <w:r w:rsidR="00DD2B42">
        <w:t xml:space="preserve">any </w:t>
      </w:r>
      <w:r w:rsidRPr="00C068F4">
        <w:t xml:space="preserve">protection </w:t>
      </w:r>
      <w:r w:rsidR="005C4A31" w:rsidRPr="00C068F4">
        <w:t xml:space="preserve">against symptomatic disease </w:t>
      </w:r>
      <w:r w:rsidRPr="00C068F4">
        <w:t>could be as little as three months.</w:t>
      </w:r>
    </w:p>
    <w:p w14:paraId="5BC81B06" w14:textId="675D17F5" w:rsidR="00287C72" w:rsidRDefault="00E40705" w:rsidP="0053061F">
      <w:pPr>
        <w:pStyle w:val="ListParagraph"/>
        <w:widowControl w:val="0"/>
        <w:numPr>
          <w:ilvl w:val="1"/>
          <w:numId w:val="1"/>
        </w:numPr>
      </w:pPr>
      <w:r w:rsidRPr="00C068F4">
        <w:t xml:space="preserve">The PBAC noted </w:t>
      </w:r>
      <w:r w:rsidR="00C6460C" w:rsidRPr="00C068F4">
        <w:t xml:space="preserve">the </w:t>
      </w:r>
      <w:r w:rsidRPr="00C068F4">
        <w:t>Sponsor propose</w:t>
      </w:r>
      <w:r w:rsidR="00FC11EE" w:rsidRPr="00C068F4">
        <w:t>d</w:t>
      </w:r>
      <w:r w:rsidRPr="00C068F4">
        <w:t xml:space="preserve"> these issues can be addressed by 6-monthly repeat dosing with a higher dose of tixagevimab 300 mg and cilgavimab 300 mg. The PBAC considered the results from the observational studies reported </w:t>
      </w:r>
      <w:r w:rsidR="00411EDF" w:rsidRPr="00C068F4">
        <w:t>b</w:t>
      </w:r>
      <w:r w:rsidRPr="00C068F4">
        <w:t xml:space="preserve">y </w:t>
      </w:r>
      <w:r w:rsidR="00411EDF" w:rsidRPr="00C068F4">
        <w:t xml:space="preserve">Young-Xu 2022 and Al Jordi 2022 </w:t>
      </w:r>
      <w:r w:rsidRPr="00C068F4">
        <w:t>provide</w:t>
      </w:r>
      <w:r w:rsidR="00D94F7C" w:rsidRPr="00C068F4">
        <w:t xml:space="preserve"> some</w:t>
      </w:r>
      <w:r w:rsidRPr="00C068F4">
        <w:t xml:space="preserve"> </w:t>
      </w:r>
      <w:r w:rsidR="00FA1E7F">
        <w:t>evidence</w:t>
      </w:r>
      <w:r w:rsidR="00FA1E7F" w:rsidRPr="00C068F4">
        <w:t xml:space="preserve"> </w:t>
      </w:r>
      <w:r w:rsidRPr="00C068F4">
        <w:t>o</w:t>
      </w:r>
      <w:r w:rsidR="00FA1E7F">
        <w:t>f</w:t>
      </w:r>
      <w:r w:rsidRPr="00C068F4">
        <w:t xml:space="preserve"> the effectiveness of </w:t>
      </w:r>
      <w:r w:rsidR="00C6460C" w:rsidRPr="00C068F4">
        <w:t xml:space="preserve">single dosing with this higher </w:t>
      </w:r>
      <w:r w:rsidR="00DF0EBA">
        <w:t xml:space="preserve">dose </w:t>
      </w:r>
      <w:r w:rsidR="004831C5">
        <w:t>against Omicron variant</w:t>
      </w:r>
      <w:r w:rsidR="00F148BC">
        <w:t xml:space="preserve"> sub</w:t>
      </w:r>
      <w:r w:rsidR="00DB1DC2">
        <w:t>-</w:t>
      </w:r>
      <w:r w:rsidR="00F148BC">
        <w:t>lineages</w:t>
      </w:r>
      <w:r w:rsidR="00C6460C" w:rsidRPr="00C068F4">
        <w:t>.</w:t>
      </w:r>
      <w:r w:rsidRPr="00C068F4">
        <w:t xml:space="preserve"> The PBAC also noted there </w:t>
      </w:r>
      <w:r w:rsidR="00FC11EE" w:rsidRPr="00C068F4">
        <w:t xml:space="preserve">are </w:t>
      </w:r>
      <w:r w:rsidRPr="00C068F4">
        <w:t>limited data establishing the safety of a single dose of tixagevimab 300 mg and cilgavimab 300 mg. Most importantly, however,</w:t>
      </w:r>
      <w:r w:rsidR="005C4A31" w:rsidRPr="00C068F4">
        <w:t xml:space="preserve"> there </w:t>
      </w:r>
      <w:r w:rsidR="00FC11EE" w:rsidRPr="00C068F4">
        <w:t xml:space="preserve">are </w:t>
      </w:r>
      <w:r w:rsidR="005C4A31" w:rsidRPr="00C068F4">
        <w:t xml:space="preserve">no clinical data available to support the effectiveness and safety of </w:t>
      </w:r>
      <w:r w:rsidR="000C3D19" w:rsidRPr="00C068F4">
        <w:t xml:space="preserve">repeat dosing with the </w:t>
      </w:r>
      <w:r w:rsidR="005C4A31" w:rsidRPr="00C068F4">
        <w:t xml:space="preserve">higher dose proposed </w:t>
      </w:r>
      <w:r w:rsidRPr="00C068F4">
        <w:t>for PBS subsidy.</w:t>
      </w:r>
    </w:p>
    <w:p w14:paraId="5181659C" w14:textId="796CF86D" w:rsidR="00AC21BF" w:rsidRPr="00C068F4" w:rsidRDefault="00AC21BF" w:rsidP="0053061F">
      <w:pPr>
        <w:pStyle w:val="ListParagraph"/>
        <w:widowControl w:val="0"/>
        <w:numPr>
          <w:ilvl w:val="1"/>
          <w:numId w:val="1"/>
        </w:numPr>
      </w:pPr>
      <w:r w:rsidRPr="00C068F4">
        <w:t>Overall, the PBAC considered that the evidence provided some</w:t>
      </w:r>
      <w:r w:rsidR="00DF0EBA">
        <w:t xml:space="preserve"> limited</w:t>
      </w:r>
      <w:r w:rsidRPr="00C068F4">
        <w:t xml:space="preserve"> support for the translation of the treatment effect of a single dose of tixagevimab 150 mg and </w:t>
      </w:r>
      <w:r w:rsidRPr="00C068F4">
        <w:lastRenderedPageBreak/>
        <w:t>cilgavimab 150 mg as observed in the PROVENT trial to a scenario where tixagevimab 300 mg and cilgavimab 300 mg is used where the predominant SARS-CoV-2 variants in circulation are the BA.2, BA.4 and BA.5 sub-lineages of the Omicron variant, however this translation was reliant on optimistic bridging</w:t>
      </w:r>
      <w:r w:rsidR="00C91BC1">
        <w:t xml:space="preserve"> using pharmacokinetic </w:t>
      </w:r>
      <w:r w:rsidR="007B15F7">
        <w:t>modelling, and provides little reassurance of efficacy</w:t>
      </w:r>
      <w:r w:rsidR="008A776E">
        <w:t xml:space="preserve"> against future variants.</w:t>
      </w:r>
    </w:p>
    <w:p w14:paraId="26C19F21" w14:textId="74CBB28F" w:rsidR="00287C72" w:rsidRDefault="00C17B3D" w:rsidP="0053061F">
      <w:pPr>
        <w:pStyle w:val="ListParagraph"/>
        <w:widowControl w:val="0"/>
        <w:numPr>
          <w:ilvl w:val="1"/>
          <w:numId w:val="1"/>
        </w:numPr>
      </w:pPr>
      <w:r w:rsidRPr="00C068F4">
        <w:t>The PBAC noted that the rates of adverse events were similar across the two arms of the PROVENT trial (</w:t>
      </w:r>
      <w:r w:rsidRPr="00C068F4">
        <w:fldChar w:fldCharType="begin" w:fldLock="1"/>
      </w:r>
      <w:r w:rsidRPr="00C068F4">
        <w:instrText xml:space="preserve"> REF _Ref110709254 \h </w:instrText>
      </w:r>
      <w:r w:rsidR="00AC21BF" w:rsidRPr="00C068F4">
        <w:instrText xml:space="preserve"> \* MERGEFORMAT </w:instrText>
      </w:r>
      <w:r w:rsidRPr="00C068F4">
        <w:fldChar w:fldCharType="separate"/>
      </w:r>
      <w:r w:rsidR="00AB751C" w:rsidRPr="00C068F4">
        <w:t xml:space="preserve">Table </w:t>
      </w:r>
      <w:r w:rsidR="00AB751C">
        <w:t>8</w:t>
      </w:r>
      <w:r w:rsidRPr="00C068F4">
        <w:fldChar w:fldCharType="end"/>
      </w:r>
      <w:r w:rsidRPr="00C068F4">
        <w:t>).</w:t>
      </w:r>
      <w:r w:rsidR="00287C72">
        <w:t xml:space="preserve"> </w:t>
      </w:r>
      <w:r w:rsidRPr="00C068F4">
        <w:t>However, higher rates of serious cardiac disorders were seen in the tixagevimab and cilgavimab arm compared with the placebo arm (</w:t>
      </w:r>
      <w:r w:rsidRPr="00C068F4">
        <w:fldChar w:fldCharType="begin" w:fldLock="1"/>
      </w:r>
      <w:r w:rsidRPr="00C068F4">
        <w:instrText xml:space="preserve"> REF _Ref110966909 \h  \* MERGEFORMAT </w:instrText>
      </w:r>
      <w:r w:rsidRPr="00C068F4">
        <w:fldChar w:fldCharType="separate"/>
      </w:r>
      <w:r w:rsidR="00AB751C" w:rsidRPr="00C068F4">
        <w:t xml:space="preserve">Table </w:t>
      </w:r>
      <w:r w:rsidR="00AB751C">
        <w:t>9</w:t>
      </w:r>
      <w:r w:rsidRPr="00C068F4">
        <w:fldChar w:fldCharType="end"/>
      </w:r>
      <w:r w:rsidRPr="00C068F4">
        <w:t>).</w:t>
      </w:r>
      <w:r w:rsidR="00287C72">
        <w:t xml:space="preserve"> </w:t>
      </w:r>
      <w:r w:rsidRPr="00C068F4">
        <w:t>The PBAC considered that although a causal relationship between tixagevimab and cilgavimab and these events has not been established, the possibility of a relationship between tixagevimab and cilgavimab and these events cannot be excluded.</w:t>
      </w:r>
    </w:p>
    <w:p w14:paraId="6F921C28" w14:textId="43C154EE" w:rsidR="003E60E4" w:rsidRPr="009A2130" w:rsidRDefault="003E60E4" w:rsidP="003E60E4">
      <w:pPr>
        <w:pStyle w:val="3-BodyText"/>
      </w:pPr>
      <w:r w:rsidRPr="009A2130">
        <w:t>The PBAC noted that,</w:t>
      </w:r>
      <w:r w:rsidR="00DF0EBA">
        <w:t xml:space="preserve"> with the caveats noted above,</w:t>
      </w:r>
      <w:r w:rsidRPr="009A2130">
        <w:t xml:space="preserve"> on the basis of the results from the PROVENT trial, for every 10,000 patients receiving tixagevimab 150 mg and cilgavimab 150 mg as PrEP against COVID-19 in comparison with placebo and followed for 6 months:</w:t>
      </w:r>
    </w:p>
    <w:p w14:paraId="534F0B56" w14:textId="77777777" w:rsidR="003E60E4" w:rsidRPr="009A2130" w:rsidRDefault="003E60E4" w:rsidP="003E60E4">
      <w:pPr>
        <w:pStyle w:val="3-BodyText"/>
        <w:numPr>
          <w:ilvl w:val="1"/>
          <w:numId w:val="24"/>
        </w:numPr>
        <w:ind w:left="1418" w:hanging="426"/>
      </w:pPr>
      <w:r w:rsidRPr="009A2130">
        <w:t>Approximately 365 fewer patients would develop symptomatic COVID-19.</w:t>
      </w:r>
    </w:p>
    <w:p w14:paraId="1A72D629" w14:textId="77777777" w:rsidR="003E60E4" w:rsidRPr="009A2130" w:rsidRDefault="003E60E4" w:rsidP="003E60E4">
      <w:pPr>
        <w:pStyle w:val="3-BodyText"/>
        <w:numPr>
          <w:ilvl w:val="1"/>
          <w:numId w:val="24"/>
        </w:numPr>
        <w:ind w:left="1418" w:hanging="426"/>
      </w:pPr>
      <w:r w:rsidRPr="009A2130">
        <w:t>Approximately 64 fewer patients would develop serious or critical COVID-19.</w:t>
      </w:r>
    </w:p>
    <w:p w14:paraId="428E964C" w14:textId="77777777" w:rsidR="003E60E4" w:rsidRPr="009A2130" w:rsidRDefault="003E60E4" w:rsidP="003E60E4">
      <w:pPr>
        <w:pStyle w:val="3-BodyText"/>
        <w:numPr>
          <w:ilvl w:val="1"/>
          <w:numId w:val="24"/>
        </w:numPr>
        <w:ind w:left="1418" w:hanging="426"/>
      </w:pPr>
      <w:r w:rsidRPr="009A2130">
        <w:t>Approximately 70 additional patients would experience a serious cardiac disorder adverse event.</w:t>
      </w:r>
    </w:p>
    <w:p w14:paraId="7328AC4F" w14:textId="38D5502E" w:rsidR="003E60E4" w:rsidRPr="009A2130" w:rsidRDefault="003E60E4" w:rsidP="003E60E4">
      <w:pPr>
        <w:pStyle w:val="3-BodyText"/>
        <w:numPr>
          <w:ilvl w:val="0"/>
          <w:numId w:val="0"/>
        </w:numPr>
        <w:ind w:left="720"/>
      </w:pPr>
      <w:r w:rsidRPr="009A2130">
        <w:t>The PBAC agreed with the Sponsor that the benefits from PrEP with tixagevimab and cilgavimab may be increased if a highly virulent and pathogenic variant of the SARs-COV-2 virus emerges.</w:t>
      </w:r>
      <w:r w:rsidR="00287C72">
        <w:t xml:space="preserve"> </w:t>
      </w:r>
      <w:r w:rsidRPr="009A2130">
        <w:t>However, the PBAC also noted the benefits might be reduced in vaccinated patients (PROVENT was conducted in unvaccinated patients) and in light of the availability of the oral antivirals for acute treatment.</w:t>
      </w:r>
    </w:p>
    <w:p w14:paraId="7A675692" w14:textId="42CE5530" w:rsidR="003E60E4" w:rsidRPr="009A2130" w:rsidRDefault="003E60E4" w:rsidP="00A553DB">
      <w:pPr>
        <w:pStyle w:val="3-BodyText"/>
        <w:rPr>
          <w:rFonts w:ascii="Times New Roman" w:hAnsi="Times New Roman" w:cs="Times New Roman"/>
        </w:rPr>
      </w:pPr>
      <w:bookmarkStart w:id="114" w:name="_Ref113971657"/>
      <w:r w:rsidRPr="009A2130">
        <w:rPr>
          <w:rFonts w:eastAsia="Calibri" w:cs="Calibri"/>
          <w:lang w:eastAsia="en-US"/>
        </w:rPr>
        <w:t>The PBAC noted that from the start of the Omicron wave in mid-December 2021 to 3 July 2022, there were 2,843 COVID-19 cases admitted to ICUs participating in the sentinel surveillance system, Short Period Incidence Study of Severe Acute Respiratory Infection (</w:t>
      </w:r>
      <w:bookmarkStart w:id="115" w:name="_Hlk113971476"/>
      <w:r w:rsidRPr="009A2130">
        <w:rPr>
          <w:rFonts w:eastAsia="Calibri" w:cs="Calibri"/>
          <w:lang w:eastAsia="en-US"/>
        </w:rPr>
        <w:t>SPRINT-SARI</w:t>
      </w:r>
      <w:bookmarkEnd w:id="115"/>
      <w:r w:rsidRPr="009A2130">
        <w:rPr>
          <w:rFonts w:eastAsia="Calibri" w:cs="Calibri"/>
          <w:lang w:eastAsia="en-US"/>
        </w:rPr>
        <w:t>)</w:t>
      </w:r>
      <w:r w:rsidRPr="009A2130">
        <w:rPr>
          <w:rStyle w:val="FootnoteReference"/>
          <w:rFonts w:eastAsia="Calibri" w:cs="Calibri"/>
          <w:lang w:eastAsia="en-US"/>
        </w:rPr>
        <w:footnoteReference w:id="28"/>
      </w:r>
      <w:r w:rsidRPr="009A2130">
        <w:rPr>
          <w:rFonts w:eastAsia="Calibri" w:cs="Calibri"/>
          <w:lang w:eastAsia="en-US"/>
        </w:rPr>
        <w:t>. Three quarters of the 2</w:t>
      </w:r>
      <w:r w:rsidR="00A553DB" w:rsidRPr="009A2130">
        <w:rPr>
          <w:rFonts w:eastAsia="Calibri" w:cs="Calibri"/>
          <w:lang w:eastAsia="en-US"/>
        </w:rPr>
        <w:t>,</w:t>
      </w:r>
      <w:r w:rsidRPr="009A2130">
        <w:rPr>
          <w:rFonts w:eastAsia="Calibri" w:cs="Calibri"/>
          <w:lang w:eastAsia="en-US"/>
        </w:rPr>
        <w:t>146 patient</w:t>
      </w:r>
      <w:r w:rsidR="005851FE">
        <w:rPr>
          <w:rFonts w:eastAsia="Calibri" w:cs="Calibri"/>
          <w:lang w:eastAsia="en-US"/>
        </w:rPr>
        <w:t>s</w:t>
      </w:r>
      <w:r w:rsidRPr="009A2130">
        <w:rPr>
          <w:rFonts w:eastAsia="Calibri" w:cs="Calibri"/>
          <w:lang w:eastAsia="en-US"/>
        </w:rPr>
        <w:t xml:space="preserve"> for whom information on co-morbidities is available had a least one co-morbidity and half had two or more co-morbidities. Immunocompromise was recorded as a co-morbidity in 18%</w:t>
      </w:r>
      <w:r w:rsidRPr="009A2130">
        <w:rPr>
          <w:rStyle w:val="FootnoteReference"/>
          <w:rFonts w:eastAsia="Calibri" w:cs="Calibri"/>
          <w:lang w:eastAsia="en-US"/>
        </w:rPr>
        <w:footnoteReference w:id="29"/>
      </w:r>
      <w:r w:rsidRPr="009A2130">
        <w:rPr>
          <w:rFonts w:eastAsia="Calibri" w:cs="Calibri"/>
          <w:lang w:eastAsia="en-US"/>
        </w:rPr>
        <w:t xml:space="preserve"> (or 511 </w:t>
      </w:r>
      <w:r w:rsidRPr="009A2130">
        <w:rPr>
          <w:rFonts w:eastAsia="Calibri" w:cs="Calibri"/>
          <w:lang w:eastAsia="en-US"/>
        </w:rPr>
        <w:lastRenderedPageBreak/>
        <w:t>of 2</w:t>
      </w:r>
      <w:r w:rsidR="00A553DB" w:rsidRPr="009A2130">
        <w:rPr>
          <w:rFonts w:eastAsia="Calibri" w:cs="Calibri"/>
          <w:lang w:eastAsia="en-US"/>
        </w:rPr>
        <w:t>,</w:t>
      </w:r>
      <w:r w:rsidRPr="009A2130">
        <w:rPr>
          <w:rFonts w:eastAsia="Calibri" w:cs="Calibri"/>
          <w:lang w:eastAsia="en-US"/>
        </w:rPr>
        <w:t>843 patients).</w:t>
      </w:r>
      <w:r w:rsidR="00287C72">
        <w:rPr>
          <w:rFonts w:eastAsia="Calibri" w:cs="Calibri"/>
          <w:lang w:eastAsia="en-US"/>
        </w:rPr>
        <w:t xml:space="preserve"> </w:t>
      </w:r>
      <w:r w:rsidRPr="009A2130">
        <w:rPr>
          <w:rFonts w:eastAsia="Calibri" w:cs="Calibri"/>
          <w:lang w:eastAsia="en-US"/>
        </w:rPr>
        <w:t>Even in the most optimistic scenario that assumes all ICU admissions in patients with immunocompromise would have been avoided if PrEP with tixagevimab and cilgavimab was available, and us</w:t>
      </w:r>
      <w:r w:rsidR="00F81EFF" w:rsidRPr="009A2130">
        <w:rPr>
          <w:rFonts w:eastAsia="Calibri" w:cs="Calibri"/>
          <w:lang w:eastAsia="en-US"/>
        </w:rPr>
        <w:t>ing</w:t>
      </w:r>
      <w:r w:rsidRPr="009A2130">
        <w:rPr>
          <w:rFonts w:eastAsia="Calibri" w:cs="Calibri"/>
          <w:lang w:eastAsia="en-US"/>
        </w:rPr>
        <w:t xml:space="preserve"> the Sponsor’s estimate of 400,000 eligible patients under the proposed PBS listing, then approximately 800 patients would have needed to be treated to avoid one ICU admission. The PBAC consider</w:t>
      </w:r>
      <w:r w:rsidR="00AB4B44" w:rsidRPr="009A2130">
        <w:rPr>
          <w:rFonts w:eastAsia="Calibri" w:cs="Calibri"/>
          <w:lang w:eastAsia="en-US"/>
        </w:rPr>
        <w:t>ed</w:t>
      </w:r>
      <w:r w:rsidRPr="009A2130">
        <w:rPr>
          <w:rFonts w:eastAsia="Calibri" w:cs="Calibri"/>
          <w:lang w:eastAsia="en-US"/>
        </w:rPr>
        <w:t xml:space="preserve"> the true number needed to treat to avoid an ICU admission may be considerably higher</w:t>
      </w:r>
      <w:r w:rsidR="00AB4B44" w:rsidRPr="009A2130">
        <w:rPr>
          <w:rFonts w:eastAsia="Calibri" w:cs="Calibri"/>
          <w:lang w:eastAsia="en-US"/>
        </w:rPr>
        <w:t>, noting that ICU admissions are typically for patients with critical disease (as compared with serious or critical disease)</w:t>
      </w:r>
      <w:r w:rsidRPr="009A2130">
        <w:rPr>
          <w:rFonts w:eastAsia="Calibri" w:cs="Calibri"/>
          <w:lang w:eastAsia="en-US"/>
        </w:rPr>
        <w:t>.</w:t>
      </w:r>
      <w:bookmarkEnd w:id="114"/>
    </w:p>
    <w:p w14:paraId="2A78FC8E" w14:textId="2BB1A186" w:rsidR="000C37AB" w:rsidRPr="009A2130" w:rsidRDefault="000C37AB" w:rsidP="0053061F">
      <w:pPr>
        <w:pStyle w:val="ListParagraph"/>
        <w:widowControl w:val="0"/>
        <w:numPr>
          <w:ilvl w:val="1"/>
          <w:numId w:val="1"/>
        </w:numPr>
      </w:pPr>
      <w:r w:rsidRPr="009A2130">
        <w:t>The PBAC noted</w:t>
      </w:r>
      <w:r w:rsidR="00C17B3D" w:rsidRPr="009A2130">
        <w:t xml:space="preserve"> th</w:t>
      </w:r>
      <w:r w:rsidRPr="009A2130">
        <w:t xml:space="preserve">at the PBS indication proposed by the sponsor was: “Pre-exposure prevention of SARS-CoV-2”. The PBAC considered that the treatment goal of preventing severe or critical COVID-19 due to SARS-CoV-2 infection </w:t>
      </w:r>
      <w:r w:rsidR="00B728C0" w:rsidRPr="009A2130">
        <w:t xml:space="preserve">may be </w:t>
      </w:r>
      <w:r w:rsidRPr="009A2130">
        <w:t>more important than preventing SARS</w:t>
      </w:r>
      <w:r w:rsidRPr="009A2130">
        <w:noBreakHyphen/>
        <w:t>CoV-2 infection altogether or preventing symptomatic COVID-19.</w:t>
      </w:r>
      <w:r w:rsidR="00287C72">
        <w:t xml:space="preserve"> </w:t>
      </w:r>
      <w:r w:rsidRPr="009A2130">
        <w:t>The PBAC considered that concerns regarding a potential risk of new mutations of the SARS</w:t>
      </w:r>
      <w:r w:rsidRPr="009A2130">
        <w:noBreakHyphen/>
        <w:t>CoV</w:t>
      </w:r>
      <w:r w:rsidRPr="009A2130">
        <w:noBreakHyphen/>
        <w:t xml:space="preserve">2 virus </w:t>
      </w:r>
      <w:r w:rsidR="000C3D19" w:rsidRPr="009A2130">
        <w:t xml:space="preserve">arising </w:t>
      </w:r>
      <w:r w:rsidRPr="009A2130">
        <w:t>in the severely immunocompromised population in Australia are speculative.</w:t>
      </w:r>
    </w:p>
    <w:p w14:paraId="7E7DAE2C" w14:textId="1BA28CD2" w:rsidR="000C37AB" w:rsidRPr="00C068F4" w:rsidRDefault="000C37AB" w:rsidP="0053061F">
      <w:pPr>
        <w:pStyle w:val="ListParagraph"/>
        <w:widowControl w:val="0"/>
        <w:numPr>
          <w:ilvl w:val="1"/>
          <w:numId w:val="1"/>
        </w:numPr>
      </w:pPr>
      <w:r w:rsidRPr="009A2130">
        <w:t>The PBAC considered it was not appropriate to include individuals contraindicated to current vaccines</w:t>
      </w:r>
      <w:r w:rsidR="00E40705" w:rsidRPr="009A2130">
        <w:t xml:space="preserve"> in </w:t>
      </w:r>
      <w:r w:rsidR="00BB4122" w:rsidRPr="009A2130">
        <w:t xml:space="preserve">the proposed </w:t>
      </w:r>
      <w:r w:rsidR="00E40705" w:rsidRPr="009A2130">
        <w:t>PBS listing</w:t>
      </w:r>
      <w:r w:rsidRPr="009A2130">
        <w:t xml:space="preserve">, unless they also </w:t>
      </w:r>
      <w:r w:rsidR="00811C63" w:rsidRPr="009A2130">
        <w:t xml:space="preserve">have severe </w:t>
      </w:r>
      <w:r w:rsidR="006C265F" w:rsidRPr="009A2130">
        <w:t>immunocompromise</w:t>
      </w:r>
      <w:r w:rsidRPr="009A2130">
        <w:t>.</w:t>
      </w:r>
      <w:r w:rsidR="00287C72">
        <w:t xml:space="preserve"> </w:t>
      </w:r>
      <w:r w:rsidRPr="009A2130">
        <w:t xml:space="preserve">The PBAC noted </w:t>
      </w:r>
      <w:r w:rsidR="00E40705" w:rsidRPr="009A2130">
        <w:t>ATAGI has advised</w:t>
      </w:r>
      <w:r w:rsidRPr="009A2130">
        <w:t xml:space="preserve"> very few patients would fulfil th</w:t>
      </w:r>
      <w:r w:rsidR="00E40705" w:rsidRPr="009A2130">
        <w:t>e</w:t>
      </w:r>
      <w:r w:rsidRPr="009A2130">
        <w:t xml:space="preserve"> criterion</w:t>
      </w:r>
      <w:r w:rsidR="00E40705" w:rsidRPr="009A2130">
        <w:t xml:space="preserve"> of being truly </w:t>
      </w:r>
      <w:r w:rsidR="00BB4122" w:rsidRPr="009A2130">
        <w:rPr>
          <w:color w:val="000000" w:themeColor="text1"/>
        </w:rPr>
        <w:t>contraindicated to all TGA registered COVID-19</w:t>
      </w:r>
      <w:r w:rsidR="00BB4122" w:rsidRPr="00C068F4">
        <w:rPr>
          <w:color w:val="000000" w:themeColor="text1"/>
        </w:rPr>
        <w:t xml:space="preserve"> vaccines</w:t>
      </w:r>
      <w:r w:rsidRPr="00C068F4">
        <w:t>.</w:t>
      </w:r>
    </w:p>
    <w:p w14:paraId="296E990C" w14:textId="5080FE33" w:rsidR="00211DF1" w:rsidRPr="00C068F4" w:rsidRDefault="00CE2881" w:rsidP="0053061F">
      <w:pPr>
        <w:pStyle w:val="ListParagraph"/>
        <w:widowControl w:val="0"/>
        <w:numPr>
          <w:ilvl w:val="1"/>
          <w:numId w:val="1"/>
        </w:numPr>
      </w:pPr>
      <w:r w:rsidRPr="00C068F4">
        <w:t xml:space="preserve">In regard to the proposed place in therapy, the PBAC considered that the population proposed for listing was a large group in the context of a high-cost preventative drug (over 400,000 eligible </w:t>
      </w:r>
      <w:r w:rsidR="00B728C0" w:rsidRPr="00C068F4">
        <w:t>individuals</w:t>
      </w:r>
      <w:r w:rsidRPr="00C068F4">
        <w:t>)</w:t>
      </w:r>
      <w:r w:rsidR="00C668A4">
        <w:t xml:space="preserve"> with </w:t>
      </w:r>
      <w:r w:rsidR="00F81EFF">
        <w:t xml:space="preserve">an </w:t>
      </w:r>
      <w:r w:rsidR="00943132">
        <w:t xml:space="preserve">uncertain </w:t>
      </w:r>
      <w:r w:rsidR="00EF13A2">
        <w:t>ratio of risk to benefit</w:t>
      </w:r>
      <w:r w:rsidRPr="00C068F4">
        <w:t xml:space="preserve">. The categories </w:t>
      </w:r>
      <w:r w:rsidR="00C17B3D" w:rsidRPr="00C068F4">
        <w:t xml:space="preserve">of individuals </w:t>
      </w:r>
      <w:r w:rsidRPr="00C068F4">
        <w:t>described in the submission (</w:t>
      </w:r>
      <w:r w:rsidRPr="00C068F4">
        <w:fldChar w:fldCharType="begin" w:fldLock="1"/>
      </w:r>
      <w:r w:rsidRPr="00C068F4">
        <w:instrText xml:space="preserve"> REF _Ref111127881 \h </w:instrText>
      </w:r>
      <w:r w:rsidR="001813CD" w:rsidRPr="00C068F4">
        <w:instrText xml:space="preserve"> \* MERGEFORMAT </w:instrText>
      </w:r>
      <w:r w:rsidRPr="00C068F4">
        <w:fldChar w:fldCharType="separate"/>
      </w:r>
      <w:r w:rsidR="00AB751C" w:rsidRPr="00C068F4">
        <w:t xml:space="preserve">Table </w:t>
      </w:r>
      <w:r w:rsidR="00AB751C">
        <w:t>16</w:t>
      </w:r>
      <w:r w:rsidRPr="00C068F4">
        <w:fldChar w:fldCharType="end"/>
      </w:r>
      <w:r w:rsidRPr="00C068F4">
        <w:t xml:space="preserve">) </w:t>
      </w:r>
      <w:r w:rsidR="005F653A" w:rsidRPr="00C068F4">
        <w:t>represent</w:t>
      </w:r>
      <w:r w:rsidRPr="00C068F4">
        <w:t xml:space="preserve"> </w:t>
      </w:r>
      <w:r w:rsidR="00211DF1" w:rsidRPr="00C068F4">
        <w:t xml:space="preserve">a </w:t>
      </w:r>
      <w:r w:rsidRPr="00C068F4">
        <w:t xml:space="preserve">heterogeneous </w:t>
      </w:r>
      <w:r w:rsidR="00211DF1" w:rsidRPr="00C068F4">
        <w:t>group</w:t>
      </w:r>
      <w:r w:rsidR="00C17B3D" w:rsidRPr="00C068F4">
        <w:t xml:space="preserve">. </w:t>
      </w:r>
      <w:r w:rsidR="00211DF1" w:rsidRPr="00C068F4">
        <w:t xml:space="preserve">Patient age and comorbidities were not considered by the submission. </w:t>
      </w:r>
      <w:r w:rsidR="0018056C" w:rsidRPr="00C068F4">
        <w:t xml:space="preserve">It was not clear to PBAC that all individuals who would be eligible under the proposed restriction would have the same risk of developing </w:t>
      </w:r>
      <w:r w:rsidR="001B686C">
        <w:t xml:space="preserve">severe </w:t>
      </w:r>
      <w:r w:rsidR="0018056C" w:rsidRPr="00C068F4">
        <w:t>COVID-19.</w:t>
      </w:r>
      <w:r w:rsidR="00211DF1" w:rsidRPr="00C068F4">
        <w:t xml:space="preserve"> </w:t>
      </w:r>
      <w:r w:rsidR="005F653A" w:rsidRPr="00C068F4">
        <w:t>Overall, t</w:t>
      </w:r>
      <w:r w:rsidR="00211DF1" w:rsidRPr="00C068F4">
        <w:t>he PBAC considered that the population most likely to benefit from pre-exposure prophylaxis in the context of an evolving and cyclic disease was not well defined, creating the potential the proposed PBS</w:t>
      </w:r>
      <w:r w:rsidR="00211DF1" w:rsidRPr="00C068F4">
        <w:noBreakHyphen/>
        <w:t>eligible population would include many individuals who will gain little benefit and exclude other individuals who would benefit.</w:t>
      </w:r>
    </w:p>
    <w:p w14:paraId="6D0288AE" w14:textId="3587AB05" w:rsidR="00287C72" w:rsidRDefault="00B728C0" w:rsidP="00D94F7C">
      <w:pPr>
        <w:pStyle w:val="3-BodyText"/>
      </w:pPr>
      <w:r w:rsidRPr="00C068F4">
        <w:t>The PBAC was moreover concerned that pre-exposure prophylaxis based on a drug treatment with an uncertain, but likely short, duration of effect against the SARS</w:t>
      </w:r>
      <w:r w:rsidR="00BB4122" w:rsidRPr="00C068F4">
        <w:noBreakHyphen/>
      </w:r>
      <w:r w:rsidRPr="00C068F4">
        <w:t>CoV</w:t>
      </w:r>
      <w:r w:rsidR="00BB4122" w:rsidRPr="00C068F4">
        <w:noBreakHyphen/>
      </w:r>
      <w:r w:rsidRPr="00C068F4">
        <w:t>2 Omicron variant and uncertain effectiveness against potential new SARS</w:t>
      </w:r>
      <w:r w:rsidR="00BB4122" w:rsidRPr="00C068F4">
        <w:noBreakHyphen/>
      </w:r>
      <w:r w:rsidRPr="00C068F4">
        <w:t>CoV-2 variants may not be an effective strategy in the context of a chronic health condition and a</w:t>
      </w:r>
      <w:r w:rsidR="009461A9">
        <w:t xml:space="preserve"> highly epidemic</w:t>
      </w:r>
      <w:r w:rsidRPr="00C068F4">
        <w:t xml:space="preserve"> disease, especially considering the availability of two PBS listed antiviral treatments.</w:t>
      </w:r>
    </w:p>
    <w:p w14:paraId="21FC767E" w14:textId="41F48A6B" w:rsidR="00624020" w:rsidRPr="00C068F4" w:rsidRDefault="00716A26" w:rsidP="0053061F">
      <w:pPr>
        <w:pStyle w:val="3-BodyText"/>
      </w:pPr>
      <w:r w:rsidRPr="00C068F4">
        <w:t>In summary, t</w:t>
      </w:r>
      <w:r w:rsidR="00624020" w:rsidRPr="00C068F4">
        <w:t>he following key clinical concerns were noted</w:t>
      </w:r>
      <w:r w:rsidRPr="00C068F4">
        <w:t xml:space="preserve"> by the PBAC</w:t>
      </w:r>
      <w:r w:rsidR="00624020" w:rsidRPr="00C068F4">
        <w:t>:</w:t>
      </w:r>
    </w:p>
    <w:p w14:paraId="004E6F61" w14:textId="43D57B0D" w:rsidR="00624020" w:rsidRPr="00C068F4" w:rsidRDefault="00624020" w:rsidP="008D6F4A">
      <w:pPr>
        <w:pStyle w:val="ListParagraph"/>
      </w:pPr>
      <w:bookmarkStart w:id="116" w:name="_Hlk113882970"/>
      <w:r w:rsidRPr="00C068F4">
        <w:lastRenderedPageBreak/>
        <w:t xml:space="preserve">Highly uncertain effectiveness </w:t>
      </w:r>
      <w:r w:rsidR="00716A26" w:rsidRPr="00C068F4">
        <w:t xml:space="preserve">against symptomatic disease </w:t>
      </w:r>
      <w:r w:rsidR="00D568D0">
        <w:t xml:space="preserve">caused by </w:t>
      </w:r>
      <w:r w:rsidR="00286D57">
        <w:t xml:space="preserve">pre-Omicron variants </w:t>
      </w:r>
      <w:r w:rsidRPr="00C068F4">
        <w:t>beyond 6 months</w:t>
      </w:r>
    </w:p>
    <w:p w14:paraId="657B1135" w14:textId="06D9E84A" w:rsidR="007C7353" w:rsidRDefault="00624020" w:rsidP="008D6F4A">
      <w:pPr>
        <w:pStyle w:val="ListParagraph"/>
      </w:pPr>
      <w:r w:rsidRPr="00C068F4">
        <w:t>Unproven effectiveness for Omicron B.4/5 (or subsequent) variants</w:t>
      </w:r>
    </w:p>
    <w:p w14:paraId="70B10BC3" w14:textId="3A595CDC" w:rsidR="007C7353" w:rsidRDefault="007C7353" w:rsidP="008D6F4A">
      <w:pPr>
        <w:pStyle w:val="ListParagraph"/>
      </w:pPr>
      <w:r>
        <w:t>Uncertain incremental benefit in the context of current</w:t>
      </w:r>
      <w:r w:rsidR="00286D57">
        <w:t xml:space="preserve"> </w:t>
      </w:r>
      <w:r w:rsidR="00D558F3">
        <w:t>boosted vaccine strategies</w:t>
      </w:r>
      <w:r>
        <w:t xml:space="preserve"> </w:t>
      </w:r>
      <w:r w:rsidR="00D558F3">
        <w:t xml:space="preserve">and </w:t>
      </w:r>
      <w:r>
        <w:t>anti SARS CoV-2 agents available</w:t>
      </w:r>
    </w:p>
    <w:p w14:paraId="73388B46" w14:textId="1B1C6A38" w:rsidR="00624020" w:rsidRPr="00C068F4" w:rsidRDefault="00624020" w:rsidP="008D6F4A">
      <w:pPr>
        <w:pStyle w:val="ListParagraph"/>
      </w:pPr>
      <w:r w:rsidRPr="00C068F4">
        <w:t>Highly uncertain future risk of SARS-CoV-2 infection in the proposed population</w:t>
      </w:r>
    </w:p>
    <w:p w14:paraId="5B43FF07" w14:textId="77777777" w:rsidR="00624020" w:rsidRPr="00C068F4" w:rsidRDefault="00624020" w:rsidP="008D6F4A">
      <w:pPr>
        <w:pStyle w:val="ListParagraph"/>
      </w:pPr>
      <w:r w:rsidRPr="00C068F4">
        <w:t>Highly uncertain pathogenicity (risk of hospitalization/death) of future variants</w:t>
      </w:r>
    </w:p>
    <w:p w14:paraId="1542774C" w14:textId="383DA5F7" w:rsidR="00287C72" w:rsidRDefault="00624020" w:rsidP="008D6F4A">
      <w:pPr>
        <w:pStyle w:val="ListParagraph"/>
      </w:pPr>
      <w:r w:rsidRPr="00C068F4">
        <w:t>Uncertain safety</w:t>
      </w:r>
      <w:r w:rsidR="00716A26" w:rsidRPr="00C068F4">
        <w:t xml:space="preserve"> </w:t>
      </w:r>
      <w:r w:rsidRPr="00C068F4">
        <w:t>:</w:t>
      </w:r>
      <w:r w:rsidR="00716A26" w:rsidRPr="00C068F4">
        <w:t xml:space="preserve"> </w:t>
      </w:r>
      <w:r w:rsidRPr="00C068F4">
        <w:t>benefit profile</w:t>
      </w:r>
    </w:p>
    <w:p w14:paraId="31E74A4B" w14:textId="179CFE6E" w:rsidR="00287C72" w:rsidRDefault="00624020" w:rsidP="008D6F4A">
      <w:pPr>
        <w:pStyle w:val="ListParagraph"/>
      </w:pPr>
      <w:r w:rsidRPr="00C068F4">
        <w:t>Unknown safety or effectiveness of repeat doses</w:t>
      </w:r>
      <w:r w:rsidR="0053061F" w:rsidRPr="00C068F4">
        <w:t>.</w:t>
      </w:r>
      <w:bookmarkEnd w:id="116"/>
    </w:p>
    <w:p w14:paraId="714ABAB8" w14:textId="3D9D99CF" w:rsidR="00C277DA" w:rsidRPr="00C068F4" w:rsidRDefault="00C277DA" w:rsidP="0053061F">
      <w:pPr>
        <w:pStyle w:val="3-BodyText"/>
        <w:rPr>
          <w:color w:val="000000" w:themeColor="text1"/>
        </w:rPr>
      </w:pPr>
      <w:r w:rsidRPr="00C068F4">
        <w:rPr>
          <w:color w:val="000000" w:themeColor="text1"/>
        </w:rPr>
        <w:t xml:space="preserve">The PBAC noted two economic analyses were presented in the </w:t>
      </w:r>
      <w:r w:rsidR="00716A26" w:rsidRPr="00C068F4">
        <w:rPr>
          <w:color w:val="000000" w:themeColor="text1"/>
        </w:rPr>
        <w:t xml:space="preserve">evaluation </w:t>
      </w:r>
      <w:r w:rsidRPr="00C068F4">
        <w:rPr>
          <w:color w:val="000000" w:themeColor="text1"/>
        </w:rPr>
        <w:t>commentary.</w:t>
      </w:r>
      <w:r w:rsidR="00287C72">
        <w:rPr>
          <w:color w:val="000000" w:themeColor="text1"/>
        </w:rPr>
        <w:t xml:space="preserve"> </w:t>
      </w:r>
      <w:r w:rsidRPr="00C068F4">
        <w:rPr>
          <w:color w:val="000000" w:themeColor="text1"/>
        </w:rPr>
        <w:t xml:space="preserve">Both analyses assumed a single treatment is administered, and repeat treatments would have the same cost-effectiveness as the first administration </w:t>
      </w:r>
      <w:r w:rsidR="00716A26" w:rsidRPr="00C068F4">
        <w:rPr>
          <w:color w:val="000000" w:themeColor="text1"/>
        </w:rPr>
        <w:t>(i</w:t>
      </w:r>
      <w:r w:rsidR="00BB4122" w:rsidRPr="00C068F4">
        <w:rPr>
          <w:color w:val="000000" w:themeColor="text1"/>
        </w:rPr>
        <w:t>.</w:t>
      </w:r>
      <w:r w:rsidR="00716A26" w:rsidRPr="00C068F4">
        <w:rPr>
          <w:color w:val="000000" w:themeColor="text1"/>
        </w:rPr>
        <w:t>e</w:t>
      </w:r>
      <w:r w:rsidR="00BB4122" w:rsidRPr="00C068F4">
        <w:rPr>
          <w:color w:val="000000" w:themeColor="text1"/>
        </w:rPr>
        <w:t>.</w:t>
      </w:r>
      <w:r w:rsidR="00716A26" w:rsidRPr="00C068F4">
        <w:rPr>
          <w:color w:val="000000" w:themeColor="text1"/>
        </w:rPr>
        <w:t xml:space="preserve"> </w:t>
      </w:r>
      <w:r w:rsidRPr="00C068F4">
        <w:rPr>
          <w:color w:val="000000" w:themeColor="text1"/>
        </w:rPr>
        <w:t>the same effect is assumed following each administration</w:t>
      </w:r>
      <w:r w:rsidR="00716A26" w:rsidRPr="00C068F4">
        <w:rPr>
          <w:color w:val="000000" w:themeColor="text1"/>
        </w:rPr>
        <w:t>)</w:t>
      </w:r>
      <w:r w:rsidRPr="00C068F4">
        <w:rPr>
          <w:color w:val="000000" w:themeColor="text1"/>
        </w:rPr>
        <w:t>.</w:t>
      </w:r>
      <w:r w:rsidR="00287C72">
        <w:rPr>
          <w:color w:val="000000" w:themeColor="text1"/>
        </w:rPr>
        <w:t xml:space="preserve"> </w:t>
      </w:r>
      <w:r w:rsidRPr="00C068F4">
        <w:rPr>
          <w:color w:val="000000" w:themeColor="text1"/>
        </w:rPr>
        <w:t xml:space="preserve">The </w:t>
      </w:r>
      <w:r w:rsidR="00420C59" w:rsidRPr="00C068F4">
        <w:rPr>
          <w:color w:val="000000" w:themeColor="text1"/>
        </w:rPr>
        <w:t>first model assumed 6-monthly treatment</w:t>
      </w:r>
      <w:r w:rsidR="00067D12" w:rsidRPr="00C068F4">
        <w:rPr>
          <w:color w:val="000000" w:themeColor="text1"/>
        </w:rPr>
        <w:t xml:space="preserve"> (the 6-month model)</w:t>
      </w:r>
      <w:r w:rsidR="00420C59" w:rsidRPr="00C068F4">
        <w:rPr>
          <w:color w:val="000000" w:themeColor="text1"/>
        </w:rPr>
        <w:t xml:space="preserve">, whilst the second </w:t>
      </w:r>
      <w:r w:rsidRPr="00C068F4">
        <w:rPr>
          <w:color w:val="000000" w:themeColor="text1"/>
        </w:rPr>
        <w:t>model</w:t>
      </w:r>
      <w:r w:rsidR="00420C59" w:rsidRPr="00C068F4">
        <w:rPr>
          <w:color w:val="000000" w:themeColor="text1"/>
        </w:rPr>
        <w:t xml:space="preserve"> assumed 12-monthly treatment</w:t>
      </w:r>
      <w:r w:rsidR="00067D12" w:rsidRPr="00C068F4">
        <w:rPr>
          <w:color w:val="000000" w:themeColor="text1"/>
        </w:rPr>
        <w:t xml:space="preserve"> (the 12-month model)</w:t>
      </w:r>
      <w:r w:rsidR="00420C59" w:rsidRPr="00C068F4">
        <w:rPr>
          <w:color w:val="000000" w:themeColor="text1"/>
        </w:rPr>
        <w:t xml:space="preserve">, with both models assuming a dose of tixagevimab 300 mg and cilgavimab 300 mg. The PBAC noted the evaluation presented these </w:t>
      </w:r>
      <w:r w:rsidR="00067D12" w:rsidRPr="00C068F4">
        <w:rPr>
          <w:color w:val="000000" w:themeColor="text1"/>
        </w:rPr>
        <w:t xml:space="preserve">alternatives as the TGA has not completed its assessment of the Sponsor’s proposed 6-monthly dosing regimen, and as the results of the PROVENT study demonstrated symptomatic disease was </w:t>
      </w:r>
      <w:r w:rsidR="0011094C" w:rsidRPr="00C068F4">
        <w:rPr>
          <w:color w:val="000000" w:themeColor="text1"/>
        </w:rPr>
        <w:t xml:space="preserve">reduced </w:t>
      </w:r>
      <w:r w:rsidR="00067D12" w:rsidRPr="00C068F4">
        <w:rPr>
          <w:color w:val="000000" w:themeColor="text1"/>
        </w:rPr>
        <w:t xml:space="preserve">for 6 months, whereas severe and critical disease was </w:t>
      </w:r>
      <w:r w:rsidR="0011094C" w:rsidRPr="00C068F4">
        <w:rPr>
          <w:color w:val="000000" w:themeColor="text1"/>
        </w:rPr>
        <w:t xml:space="preserve">reduced </w:t>
      </w:r>
      <w:r w:rsidR="00067D12" w:rsidRPr="00C068F4">
        <w:rPr>
          <w:color w:val="000000" w:themeColor="text1"/>
        </w:rPr>
        <w:t>for at least 12 months.</w:t>
      </w:r>
    </w:p>
    <w:p w14:paraId="5C385D08" w14:textId="77777777" w:rsidR="00A52D19" w:rsidRPr="00C068F4" w:rsidRDefault="00A52D19" w:rsidP="0053061F">
      <w:pPr>
        <w:pStyle w:val="3-BodyText"/>
      </w:pPr>
      <w:r w:rsidRPr="00C068F4">
        <w:t>In regard to the model drivers, the PBAC noted the following:</w:t>
      </w:r>
    </w:p>
    <w:p w14:paraId="1119F51E" w14:textId="526FB0F9" w:rsidR="00287C72" w:rsidRDefault="00A52D19" w:rsidP="00D94F7C">
      <w:pPr>
        <w:pStyle w:val="3-BodyText"/>
        <w:numPr>
          <w:ilvl w:val="1"/>
          <w:numId w:val="18"/>
        </w:numPr>
        <w:ind w:left="1134" w:hanging="425"/>
        <w:rPr>
          <w:color w:val="000000" w:themeColor="text1"/>
        </w:rPr>
      </w:pPr>
      <w:r w:rsidRPr="00C068F4">
        <w:rPr>
          <w:color w:val="000000" w:themeColor="text1"/>
        </w:rPr>
        <w:t xml:space="preserve">The assumed baseline risk for symptomatic COVID 19 </w:t>
      </w:r>
      <w:r w:rsidR="0011094C" w:rsidRPr="00C068F4">
        <w:rPr>
          <w:color w:val="000000" w:themeColor="text1"/>
        </w:rPr>
        <w:t xml:space="preserve">was </w:t>
      </w:r>
      <w:r w:rsidRPr="00C068F4">
        <w:rPr>
          <w:color w:val="000000" w:themeColor="text1"/>
        </w:rPr>
        <w:t>15% risk in the 6-month model and 30% risk in the 12-month model.</w:t>
      </w:r>
      <w:r w:rsidR="00287C72">
        <w:rPr>
          <w:color w:val="000000" w:themeColor="text1"/>
        </w:rPr>
        <w:t xml:space="preserve"> </w:t>
      </w:r>
      <w:r w:rsidRPr="00C068F4">
        <w:rPr>
          <w:color w:val="000000" w:themeColor="text1"/>
        </w:rPr>
        <w:t>The PBAC considered that these risk estimates were higher than currently anticipated by Australian experts based on analysis of recent infection trends, however the future course of the virus remains uncertain. The PBAC also noted that PrEP efficiency varies substantially with incidence/infectivity/severity of SARS CoV2.</w:t>
      </w:r>
      <w:r w:rsidR="00287C72">
        <w:rPr>
          <w:color w:val="000000" w:themeColor="text1"/>
        </w:rPr>
        <w:t xml:space="preserve"> </w:t>
      </w:r>
      <w:r w:rsidRPr="00C068F4">
        <w:rPr>
          <w:color w:val="000000" w:themeColor="text1"/>
        </w:rPr>
        <w:t>In this context, the assumption of 15% risk in the 6-month model was considered reasonable.</w:t>
      </w:r>
    </w:p>
    <w:p w14:paraId="6F15199D" w14:textId="21E530C7" w:rsidR="00A52D19" w:rsidRPr="00C068F4" w:rsidRDefault="00A52D19" w:rsidP="00D94F7C">
      <w:pPr>
        <w:pStyle w:val="3-BodyText"/>
        <w:numPr>
          <w:ilvl w:val="1"/>
          <w:numId w:val="18"/>
        </w:numPr>
        <w:ind w:left="1134" w:hanging="425"/>
        <w:rPr>
          <w:color w:val="000000" w:themeColor="text1"/>
        </w:rPr>
      </w:pPr>
      <w:r w:rsidRPr="00C068F4">
        <w:rPr>
          <w:color w:val="000000" w:themeColor="text1"/>
        </w:rPr>
        <w:t>The assumed risk of severe or critical COVID 19 (assumed to require hospitalisation) amongst immunocompromised patients who develop symptomatic COVID 19 was 14% i.e.,~1 in 7.</w:t>
      </w:r>
      <w:r w:rsidR="00287C72">
        <w:rPr>
          <w:color w:val="000000" w:themeColor="text1"/>
        </w:rPr>
        <w:t xml:space="preserve"> </w:t>
      </w:r>
      <w:r w:rsidRPr="00C068F4">
        <w:rPr>
          <w:color w:val="000000" w:themeColor="text1"/>
        </w:rPr>
        <w:t xml:space="preserve">The PBAC considered that 14% risk was </w:t>
      </w:r>
      <w:r w:rsidR="00F7104A">
        <w:rPr>
          <w:color w:val="000000" w:themeColor="text1"/>
        </w:rPr>
        <w:t>uncerta</w:t>
      </w:r>
      <w:r w:rsidR="00D81923">
        <w:rPr>
          <w:color w:val="000000" w:themeColor="text1"/>
        </w:rPr>
        <w:t xml:space="preserve">in but may be </w:t>
      </w:r>
      <w:r w:rsidRPr="00C068F4">
        <w:rPr>
          <w:color w:val="000000" w:themeColor="text1"/>
        </w:rPr>
        <w:t>appropriate for individuals with profound immunosuppression</w:t>
      </w:r>
      <w:r w:rsidR="00D81923">
        <w:rPr>
          <w:color w:val="000000" w:themeColor="text1"/>
        </w:rPr>
        <w:t xml:space="preserve"> (i.e. those who </w:t>
      </w:r>
      <w:r w:rsidR="00B5135B">
        <w:rPr>
          <w:color w:val="000000" w:themeColor="text1"/>
        </w:rPr>
        <w:t>may not</w:t>
      </w:r>
      <w:r w:rsidR="00D81923">
        <w:rPr>
          <w:color w:val="000000" w:themeColor="text1"/>
        </w:rPr>
        <w:t xml:space="preserve"> derive any benefit from vaccination)</w:t>
      </w:r>
      <w:r w:rsidRPr="00C068F4">
        <w:rPr>
          <w:color w:val="000000" w:themeColor="text1"/>
        </w:rPr>
        <w:t>.</w:t>
      </w:r>
    </w:p>
    <w:p w14:paraId="0860B610" w14:textId="708D007B" w:rsidR="00F505E2" w:rsidRPr="00C068F4" w:rsidRDefault="003B1359" w:rsidP="0053061F">
      <w:pPr>
        <w:pStyle w:val="3-BodyText"/>
      </w:pPr>
      <w:r w:rsidRPr="00C068F4">
        <w:t xml:space="preserve">The PBAC </w:t>
      </w:r>
      <w:r w:rsidR="00067D12" w:rsidRPr="00C068F4">
        <w:t xml:space="preserve">agreed </w:t>
      </w:r>
      <w:r w:rsidRPr="00C068F4">
        <w:t>the modelled economic evaluation relied on strong assumptions regarding the effectiveness and safety of tixagevimab 300 mg and cilgavimab 300 mg compared with placebo in immunocompromised patients</w:t>
      </w:r>
      <w:r w:rsidR="00F505E2" w:rsidRPr="00C068F4">
        <w:t xml:space="preserve"> and considered the </w:t>
      </w:r>
      <w:r w:rsidR="00067D12" w:rsidRPr="00C068F4">
        <w:t xml:space="preserve">available </w:t>
      </w:r>
      <w:r w:rsidR="00F505E2" w:rsidRPr="00C068F4">
        <w:t xml:space="preserve">evidence did not provide an adequate basis upon which to </w:t>
      </w:r>
      <w:r w:rsidR="00067D12" w:rsidRPr="00C068F4">
        <w:t xml:space="preserve">assume a </w:t>
      </w:r>
      <w:r w:rsidR="00067D12" w:rsidRPr="00C068F4">
        <w:lastRenderedPageBreak/>
        <w:t xml:space="preserve">treatment effect against symptomatic disease caused by the Omicron variant </w:t>
      </w:r>
      <w:r w:rsidR="00F505E2" w:rsidRPr="00C068F4">
        <w:t>beyond 3 months.</w:t>
      </w:r>
    </w:p>
    <w:p w14:paraId="650EF09E" w14:textId="07F0421A" w:rsidR="00767978" w:rsidRPr="00C068F4" w:rsidRDefault="00A52D19" w:rsidP="00D80730">
      <w:pPr>
        <w:pStyle w:val="3-BodyText"/>
        <w:widowControl w:val="0"/>
      </w:pPr>
      <w:r w:rsidRPr="00C068F4">
        <w:t>Overall, t</w:t>
      </w:r>
      <w:r w:rsidR="00211DF1" w:rsidRPr="00C068F4">
        <w:t xml:space="preserve">he PBAC </w:t>
      </w:r>
      <w:r w:rsidRPr="00C068F4">
        <w:t>considered</w:t>
      </w:r>
      <w:r w:rsidR="00211DF1" w:rsidRPr="00C068F4">
        <w:t xml:space="preserve"> that although the economic modelling used assumptions that were favourable to</w:t>
      </w:r>
      <w:r w:rsidRPr="00C068F4">
        <w:t xml:space="preserve"> tixagevimab 300 mg </w:t>
      </w:r>
      <w:r w:rsidR="00DA217B" w:rsidRPr="00C068F4">
        <w:t xml:space="preserve">and </w:t>
      </w:r>
      <w:r w:rsidRPr="00C068F4">
        <w:t>cilgavimab 300 mg given 6-monthly</w:t>
      </w:r>
      <w:r w:rsidR="00C97C95" w:rsidRPr="00C068F4">
        <w:t>, the dosing regimen proposed by the Sponsor</w:t>
      </w:r>
      <w:r w:rsidR="00211DF1" w:rsidRPr="00C068F4">
        <w:t>, the ICER</w:t>
      </w:r>
      <w:r w:rsidRPr="00C068F4">
        <w:t xml:space="preserve"> </w:t>
      </w:r>
      <w:r w:rsidR="00211DF1" w:rsidRPr="00C068F4">
        <w:t xml:space="preserve">at the proposed price was unacceptably high at over </w:t>
      </w:r>
      <w:r w:rsidR="0090667A" w:rsidRPr="0090667A">
        <w:t>$</w:t>
      </w:r>
      <w:r w:rsidR="002819F2" w:rsidRPr="002819F2">
        <w:t xml:space="preserve">115,000 to &lt; </w:t>
      </w:r>
      <w:r w:rsidR="0090667A" w:rsidRPr="0090667A">
        <w:t>$</w:t>
      </w:r>
      <w:r w:rsidR="002819F2" w:rsidRPr="002819F2">
        <w:t>135,000</w:t>
      </w:r>
      <w:r w:rsidR="002819F2">
        <w:t xml:space="preserve"> </w:t>
      </w:r>
      <w:r w:rsidR="00211DF1" w:rsidRPr="00C068F4">
        <w:t>per QALY gained</w:t>
      </w:r>
      <w:r w:rsidR="00C97C95" w:rsidRPr="00C068F4">
        <w:t xml:space="preserve"> at the price requested by the Sponsor</w:t>
      </w:r>
      <w:r w:rsidR="00DA217B" w:rsidRPr="00C068F4">
        <w:t>.</w:t>
      </w:r>
    </w:p>
    <w:p w14:paraId="2BDD3985" w14:textId="41A3B3B7" w:rsidR="00287C72" w:rsidRDefault="00767978" w:rsidP="0053061F">
      <w:pPr>
        <w:pStyle w:val="3-BodyText"/>
      </w:pPr>
      <w:r w:rsidRPr="00C068F4">
        <w:t xml:space="preserve">The PBAC noted the </w:t>
      </w:r>
      <w:r w:rsidR="00A52D19" w:rsidRPr="00C068F4">
        <w:t xml:space="preserve">Sponsor’s </w:t>
      </w:r>
      <w:r w:rsidRPr="00C068F4">
        <w:t>assumption that</w:t>
      </w:r>
      <w:r w:rsidR="00A52D19" w:rsidRPr="00C068F4">
        <w:t xml:space="preserve"> an average of</w:t>
      </w:r>
      <w:r w:rsidRPr="00C068F4">
        <w:t xml:space="preserve"> 75% of the eligible population would commence treatment with </w:t>
      </w:r>
      <w:r w:rsidR="00A52D19" w:rsidRPr="00C068F4">
        <w:t xml:space="preserve">tixagevimab </w:t>
      </w:r>
      <w:r w:rsidR="0084407B">
        <w:t>and</w:t>
      </w:r>
      <w:r w:rsidR="0084407B" w:rsidRPr="00C068F4">
        <w:t xml:space="preserve"> </w:t>
      </w:r>
      <w:r w:rsidR="00A52D19" w:rsidRPr="00C068F4">
        <w:t>cilgavimab and the majority of treatment initiators would continue treatment. H</w:t>
      </w:r>
      <w:r w:rsidR="00903C7F" w:rsidRPr="00C068F4">
        <w:t>owever</w:t>
      </w:r>
      <w:r w:rsidR="00DA217B" w:rsidRPr="00C068F4">
        <w:t xml:space="preserve">, </w:t>
      </w:r>
      <w:r w:rsidR="00903C7F" w:rsidRPr="00C068F4">
        <w:t>the PBAC considered th</w:t>
      </w:r>
      <w:r w:rsidR="00DA217B" w:rsidRPr="00C068F4">
        <w:t xml:space="preserve">ese were </w:t>
      </w:r>
      <w:r w:rsidR="00903C7F" w:rsidRPr="00C068F4">
        <w:t>overestimate</w:t>
      </w:r>
      <w:r w:rsidR="00DA217B" w:rsidRPr="00C068F4">
        <w:t>s of both uptake and continuation</w:t>
      </w:r>
      <w:r w:rsidR="00A52D19" w:rsidRPr="00C068F4">
        <w:t>.</w:t>
      </w:r>
    </w:p>
    <w:p w14:paraId="2D078FF7" w14:textId="0507AC02" w:rsidR="00767978" w:rsidRPr="00C068F4" w:rsidRDefault="00767978" w:rsidP="0053061F">
      <w:pPr>
        <w:pStyle w:val="3-BodyText"/>
      </w:pPr>
      <w:r w:rsidRPr="00C068F4">
        <w:t xml:space="preserve">The PBAC considered uptake </w:t>
      </w:r>
      <w:r w:rsidR="00A52D19" w:rsidRPr="00C068F4">
        <w:t>as low as</w:t>
      </w:r>
      <w:r w:rsidRPr="00C068F4">
        <w:t xml:space="preserve"> </w:t>
      </w:r>
      <w:r w:rsidRPr="00C96DE5">
        <w:t>10</w:t>
      </w:r>
      <w:r w:rsidR="00FE0FF7" w:rsidRPr="00C96DE5">
        <w:t>-25</w:t>
      </w:r>
      <w:r w:rsidRPr="00C96DE5">
        <w:t>%</w:t>
      </w:r>
      <w:r w:rsidR="00A52D19" w:rsidRPr="00C068F4">
        <w:t xml:space="preserve"> of the population identified by the Sponsor</w:t>
      </w:r>
      <w:r w:rsidRPr="00C068F4">
        <w:t xml:space="preserve"> may be more realistic, given </w:t>
      </w:r>
      <w:r w:rsidR="00A52D19" w:rsidRPr="00C068F4">
        <w:t xml:space="preserve">the uptake of NMS stock to date, </w:t>
      </w:r>
      <w:r w:rsidRPr="00C068F4">
        <w:t xml:space="preserve">the limited clinical evidence available and the uncertain role of </w:t>
      </w:r>
      <w:r w:rsidR="00A52D19" w:rsidRPr="00C068F4">
        <w:t xml:space="preserve">this treatment </w:t>
      </w:r>
      <w:r w:rsidRPr="00C068F4">
        <w:t>in Australian clinical practice.</w:t>
      </w:r>
      <w:r w:rsidR="00F7266C">
        <w:t xml:space="preserve"> The PBAC noted that</w:t>
      </w:r>
      <w:r w:rsidR="000C2516">
        <w:t xml:space="preserve"> the </w:t>
      </w:r>
      <w:r w:rsidR="007C6CC4">
        <w:t xml:space="preserve">National COVID-19 Clinical Evidence Taskforce recommends that it should only be </w:t>
      </w:r>
      <w:r w:rsidR="005E498B">
        <w:t xml:space="preserve">considered for use </w:t>
      </w:r>
      <w:r w:rsidR="00D122D4">
        <w:t xml:space="preserve">as PrEP </w:t>
      </w:r>
      <w:r w:rsidR="005E498B">
        <w:t>in ‘exceptional circumstances.’</w:t>
      </w:r>
    </w:p>
    <w:p w14:paraId="1D18720C" w14:textId="77777777" w:rsidR="006D474D" w:rsidRPr="00C068F4" w:rsidRDefault="006D474D" w:rsidP="0053061F">
      <w:pPr>
        <w:pStyle w:val="ListParagraph"/>
        <w:widowControl w:val="0"/>
        <w:numPr>
          <w:ilvl w:val="1"/>
          <w:numId w:val="1"/>
        </w:numPr>
      </w:pPr>
      <w:r w:rsidRPr="00C068F4">
        <w:t>The PBAC also considered the need to receive four separate 1.5 mL intramuscular injections on each dosing occasion (if the proposed new dosing regimen is approved by the TGA) may affect many individuals willingness to have more than one treatment with tixagevimab and cilgavimab.</w:t>
      </w:r>
    </w:p>
    <w:p w14:paraId="0DE4BEE4" w14:textId="1B3BDF65" w:rsidR="001B035F" w:rsidRPr="00C068F4" w:rsidRDefault="001B035F" w:rsidP="0053061F">
      <w:pPr>
        <w:widowControl w:val="0"/>
        <w:numPr>
          <w:ilvl w:val="1"/>
          <w:numId w:val="1"/>
        </w:numPr>
        <w:spacing w:after="120"/>
      </w:pPr>
      <w:r w:rsidRPr="00C068F4">
        <w:t xml:space="preserve">The PBAC considered </w:t>
      </w:r>
      <w:r w:rsidR="0018056C" w:rsidRPr="00C068F4">
        <w:t>the following issues important for a future submission</w:t>
      </w:r>
      <w:r w:rsidRPr="00C068F4">
        <w:t>:</w:t>
      </w:r>
    </w:p>
    <w:p w14:paraId="60F470F1" w14:textId="6372399B" w:rsidR="00287C72" w:rsidRDefault="006D7AF6" w:rsidP="00045C80">
      <w:pPr>
        <w:pStyle w:val="ListParagraph"/>
        <w:numPr>
          <w:ilvl w:val="0"/>
          <w:numId w:val="17"/>
        </w:numPr>
      </w:pPr>
      <w:r w:rsidRPr="00C068F4">
        <w:t>Clinical place:</w:t>
      </w:r>
      <w:r w:rsidR="0029201B" w:rsidRPr="00C068F4">
        <w:t xml:space="preserve"> </w:t>
      </w:r>
      <w:r w:rsidRPr="00C068F4">
        <w:t xml:space="preserve">Justification of </w:t>
      </w:r>
      <w:r w:rsidR="00005AD0" w:rsidRPr="00C068F4">
        <w:t xml:space="preserve">the proposed </w:t>
      </w:r>
      <w:r w:rsidRPr="00C068F4">
        <w:t xml:space="preserve">clinical position given </w:t>
      </w:r>
      <w:r w:rsidR="00005AD0" w:rsidRPr="00C068F4">
        <w:t xml:space="preserve">the </w:t>
      </w:r>
      <w:r w:rsidRPr="00C068F4">
        <w:t xml:space="preserve">combination of </w:t>
      </w:r>
      <w:r w:rsidR="0053061F" w:rsidRPr="00C068F4">
        <w:t xml:space="preserve">relevant </w:t>
      </w:r>
      <w:r w:rsidR="00005AD0" w:rsidRPr="00C068F4">
        <w:t xml:space="preserve">clinical uncertainties, including the </w:t>
      </w:r>
      <w:r w:rsidRPr="00C068F4">
        <w:t>limited duration of effect (3-6 months)</w:t>
      </w:r>
      <w:r w:rsidR="00005AD0" w:rsidRPr="00C068F4">
        <w:t xml:space="preserve"> in the context of a </w:t>
      </w:r>
      <w:r w:rsidR="00820D21">
        <w:t xml:space="preserve">potentially </w:t>
      </w:r>
      <w:r w:rsidRPr="00C068F4">
        <w:t xml:space="preserve">chronic </w:t>
      </w:r>
      <w:r w:rsidR="00820D21">
        <w:t>immunocompromising condition</w:t>
      </w:r>
      <w:r w:rsidRPr="00C068F4">
        <w:t xml:space="preserve"> (years),</w:t>
      </w:r>
      <w:r w:rsidR="00005AD0" w:rsidRPr="00C068F4">
        <w:t xml:space="preserve"> the </w:t>
      </w:r>
      <w:r w:rsidR="00402CBE">
        <w:t>epidemic</w:t>
      </w:r>
      <w:r w:rsidR="00402CBE" w:rsidRPr="00C068F4">
        <w:t xml:space="preserve"> </w:t>
      </w:r>
      <w:r w:rsidRPr="00C068F4">
        <w:t>risk of COVID-19</w:t>
      </w:r>
      <w:r w:rsidR="00B817A7" w:rsidRPr="00C068F4">
        <w:t>.</w:t>
      </w:r>
      <w:r w:rsidR="00287C72">
        <w:t xml:space="preserve"> </w:t>
      </w:r>
      <w:r w:rsidR="00B817A7" w:rsidRPr="00C068F4">
        <w:t xml:space="preserve">Further justification is </w:t>
      </w:r>
      <w:r w:rsidR="00AC5E26" w:rsidRPr="00C068F4">
        <w:t xml:space="preserve">also </w:t>
      </w:r>
      <w:r w:rsidR="00B817A7" w:rsidRPr="00C068F4">
        <w:t xml:space="preserve">required with respect to </w:t>
      </w:r>
      <w:r w:rsidR="002B65A7" w:rsidRPr="00C068F4">
        <w:t>continuing</w:t>
      </w:r>
      <w:r w:rsidR="00B817A7" w:rsidRPr="00C068F4">
        <w:t xml:space="preserve"> </w:t>
      </w:r>
      <w:r w:rsidR="002B65A7" w:rsidRPr="00C068F4">
        <w:t xml:space="preserve">use </w:t>
      </w:r>
      <w:r w:rsidR="00B817A7" w:rsidRPr="00C068F4">
        <w:t xml:space="preserve">in the context of uncertain </w:t>
      </w:r>
      <w:r w:rsidR="00B75DD2" w:rsidRPr="00C068F4">
        <w:t xml:space="preserve">future risk of SARS-CoV-2 infection in the proposed population </w:t>
      </w:r>
      <w:r w:rsidR="00B817A7" w:rsidRPr="00C068F4">
        <w:t xml:space="preserve">and the </w:t>
      </w:r>
      <w:r w:rsidR="00B75DD2" w:rsidRPr="00C068F4">
        <w:t>uncertain pathogenicity (risk of hospitalization/death) of future variants</w:t>
      </w:r>
      <w:r w:rsidR="00005AD0" w:rsidRPr="00C068F4">
        <w:t>.</w:t>
      </w:r>
    </w:p>
    <w:p w14:paraId="270C98F8" w14:textId="3018C960" w:rsidR="006D7AF6" w:rsidRPr="00C068F4" w:rsidRDefault="006D7AF6" w:rsidP="00045C80">
      <w:pPr>
        <w:pStyle w:val="ListParagraph"/>
        <w:numPr>
          <w:ilvl w:val="0"/>
          <w:numId w:val="17"/>
        </w:numPr>
      </w:pPr>
      <w:r w:rsidRPr="00C068F4">
        <w:t xml:space="preserve">Dosage: </w:t>
      </w:r>
      <w:r w:rsidR="00005AD0" w:rsidRPr="00C068F4">
        <w:t xml:space="preserve">Provide </w:t>
      </w:r>
      <w:r w:rsidR="0053061F" w:rsidRPr="00C068F4">
        <w:t xml:space="preserve">further </w:t>
      </w:r>
      <w:r w:rsidRPr="00C068F4">
        <w:t>data re</w:t>
      </w:r>
      <w:r w:rsidR="00005AD0" w:rsidRPr="00C068F4">
        <w:t>garding the</w:t>
      </w:r>
      <w:r w:rsidRPr="00C068F4">
        <w:t xml:space="preserve"> effectiveness </w:t>
      </w:r>
      <w:r w:rsidR="0053061F" w:rsidRPr="00C068F4">
        <w:t>and safety of the proposed</w:t>
      </w:r>
      <w:r w:rsidRPr="00C068F4">
        <w:t xml:space="preserve"> </w:t>
      </w:r>
      <w:r w:rsidR="00A52D19" w:rsidRPr="00C068F4">
        <w:t>300-30</w:t>
      </w:r>
      <w:r w:rsidR="0011094C" w:rsidRPr="00C068F4">
        <w:t xml:space="preserve">0 </w:t>
      </w:r>
      <w:r w:rsidRPr="00C068F4">
        <w:t>mg</w:t>
      </w:r>
      <w:r w:rsidR="00005AD0" w:rsidRPr="00C068F4">
        <w:t xml:space="preserve"> </w:t>
      </w:r>
      <w:r w:rsidR="0053061F" w:rsidRPr="00C068F4">
        <w:t xml:space="preserve">repeat </w:t>
      </w:r>
      <w:r w:rsidR="00005AD0" w:rsidRPr="00C068F4">
        <w:t>dosing</w:t>
      </w:r>
      <w:r w:rsidR="00256931" w:rsidRPr="00C068F4">
        <w:t>, taking into account the progress of the current TGA evaluation</w:t>
      </w:r>
      <w:r w:rsidR="0053061F" w:rsidRPr="00C068F4">
        <w:t xml:space="preserve"> of this dosing regimen</w:t>
      </w:r>
      <w:r w:rsidR="00256931" w:rsidRPr="00C068F4">
        <w:t>.</w:t>
      </w:r>
    </w:p>
    <w:p w14:paraId="1A2013B2" w14:textId="24BC4479" w:rsidR="0029201B" w:rsidRPr="00C068F4" w:rsidRDefault="006D7AF6" w:rsidP="00D94F7C">
      <w:pPr>
        <w:pStyle w:val="ListParagraph"/>
        <w:numPr>
          <w:ilvl w:val="0"/>
          <w:numId w:val="17"/>
        </w:numPr>
      </w:pPr>
      <w:r w:rsidRPr="00C068F4">
        <w:t>Restrictions</w:t>
      </w:r>
      <w:r w:rsidR="0029201B" w:rsidRPr="00C068F4">
        <w:t xml:space="preserve">: Either provide further justification for the proposed patient population which takes account of the heterogenous risk profiles of the </w:t>
      </w:r>
      <w:r w:rsidR="00256931" w:rsidRPr="00C068F4">
        <w:t>individuals</w:t>
      </w:r>
      <w:r w:rsidR="0029201B" w:rsidRPr="00C068F4">
        <w:t>, or propose a population which is limited to the group(s) with the highest clinical needs. For example</w:t>
      </w:r>
      <w:r w:rsidR="00DA217B" w:rsidRPr="00C068F4">
        <w:t>.</w:t>
      </w:r>
      <w:r w:rsidR="0029201B" w:rsidRPr="00C068F4">
        <w:t xml:space="preserve">, this may include the </w:t>
      </w:r>
      <w:r w:rsidRPr="00C068F4">
        <w:t>group</w:t>
      </w:r>
      <w:r w:rsidR="0029201B" w:rsidRPr="00C068F4">
        <w:t>s</w:t>
      </w:r>
      <w:r w:rsidRPr="00C068F4">
        <w:t xml:space="preserve"> at high</w:t>
      </w:r>
      <w:r w:rsidR="0029201B" w:rsidRPr="00C068F4">
        <w:t>est</w:t>
      </w:r>
      <w:r w:rsidRPr="00C068F4">
        <w:t xml:space="preserve"> risk of severe disease, </w:t>
      </w:r>
      <w:r w:rsidR="0053061F" w:rsidRPr="00C068F4">
        <w:t xml:space="preserve">and/or </w:t>
      </w:r>
      <w:r w:rsidR="004B2858">
        <w:t>little or no</w:t>
      </w:r>
      <w:r w:rsidR="004B2858" w:rsidRPr="00C068F4">
        <w:t xml:space="preserve"> </w:t>
      </w:r>
      <w:r w:rsidRPr="00C068F4">
        <w:t>response to vaccination</w:t>
      </w:r>
      <w:r w:rsidR="0053061F" w:rsidRPr="00C068F4">
        <w:t xml:space="preserve"> and/or</w:t>
      </w:r>
      <w:r w:rsidRPr="00C068F4">
        <w:t xml:space="preserve"> </w:t>
      </w:r>
      <w:r w:rsidR="0029201B" w:rsidRPr="00C068F4">
        <w:t>or inadequate response to acute</w:t>
      </w:r>
      <w:r w:rsidRPr="00C068F4">
        <w:t xml:space="preserve"> therapy.</w:t>
      </w:r>
    </w:p>
    <w:p w14:paraId="1C9DAE49" w14:textId="01F8C763" w:rsidR="00287C72" w:rsidRDefault="006D7AF6" w:rsidP="00D94F7C">
      <w:pPr>
        <w:pStyle w:val="ListParagraph"/>
        <w:numPr>
          <w:ilvl w:val="0"/>
          <w:numId w:val="17"/>
        </w:numPr>
      </w:pPr>
      <w:r w:rsidRPr="00C068F4">
        <w:lastRenderedPageBreak/>
        <w:t>Effectiveness</w:t>
      </w:r>
      <w:r w:rsidR="0029201B" w:rsidRPr="00C068F4">
        <w:t xml:space="preserve">: </w:t>
      </w:r>
      <w:r w:rsidR="0053061F" w:rsidRPr="00C068F4">
        <w:t xml:space="preserve">applicability of evidence for </w:t>
      </w:r>
      <w:r w:rsidRPr="00C068F4">
        <w:t xml:space="preserve">use in </w:t>
      </w:r>
      <w:r w:rsidR="003E0145" w:rsidRPr="00C068F4">
        <w:t>immunocompromised</w:t>
      </w:r>
      <w:r w:rsidRPr="00C068F4">
        <w:t xml:space="preserve"> </w:t>
      </w:r>
      <w:r w:rsidR="0053061F" w:rsidRPr="00C068F4">
        <w:t xml:space="preserve">individuals </w:t>
      </w:r>
      <w:r w:rsidRPr="00C068F4">
        <w:t xml:space="preserve">(or proposed group), current </w:t>
      </w:r>
      <w:r w:rsidR="0053061F" w:rsidRPr="00C068F4">
        <w:t>variants of concern</w:t>
      </w:r>
      <w:r w:rsidRPr="00C068F4">
        <w:t xml:space="preserve">, incremental benefit over </w:t>
      </w:r>
      <w:r w:rsidR="00256931" w:rsidRPr="00C068F4">
        <w:t>four</w:t>
      </w:r>
      <w:r w:rsidRPr="00C068F4">
        <w:t xml:space="preserve"> dose vaccine, </w:t>
      </w:r>
      <w:r w:rsidR="00256931" w:rsidRPr="00C068F4">
        <w:t xml:space="preserve">use of </w:t>
      </w:r>
      <w:r w:rsidRPr="00C068F4">
        <w:t>symptomatic treatment</w:t>
      </w:r>
      <w:r w:rsidR="00DA217B" w:rsidRPr="00C068F4">
        <w:t>.</w:t>
      </w:r>
    </w:p>
    <w:p w14:paraId="61C90D9C" w14:textId="1C7DB1AC" w:rsidR="006D7AF6" w:rsidRPr="00C068F4" w:rsidRDefault="003E0145" w:rsidP="00D94F7C">
      <w:pPr>
        <w:pStyle w:val="ListParagraph"/>
        <w:numPr>
          <w:ilvl w:val="0"/>
          <w:numId w:val="17"/>
        </w:numPr>
      </w:pPr>
      <w:r w:rsidRPr="00C068F4">
        <w:t>Benefit/harms: Address concerns about comparative benefits and harms in the context of the proposed patient population, noting that the benefit-harm trade-off may be improved when high levels of the virus are circulating and when the virus circulating is highly pathogenic.</w:t>
      </w:r>
      <w:r w:rsidR="00F12327" w:rsidRPr="00C068F4">
        <w:t xml:space="preserve"> Further </w:t>
      </w:r>
      <w:r w:rsidR="00256931" w:rsidRPr="00C068F4">
        <w:t xml:space="preserve">consideration of </w:t>
      </w:r>
      <w:r w:rsidR="00FE0FF7" w:rsidRPr="00C068F4">
        <w:t xml:space="preserve">potential for </w:t>
      </w:r>
      <w:r w:rsidR="00256931" w:rsidRPr="00C068F4">
        <w:t xml:space="preserve">serious </w:t>
      </w:r>
      <w:r w:rsidR="00F12327" w:rsidRPr="00C068F4">
        <w:t>cardiac adverse events is required.</w:t>
      </w:r>
    </w:p>
    <w:p w14:paraId="70DB4711" w14:textId="36C40500" w:rsidR="006D7AF6" w:rsidRPr="00C068F4" w:rsidRDefault="006D7AF6" w:rsidP="00D94F7C">
      <w:pPr>
        <w:pStyle w:val="ListParagraph"/>
        <w:numPr>
          <w:ilvl w:val="0"/>
          <w:numId w:val="17"/>
        </w:numPr>
      </w:pPr>
      <w:r w:rsidRPr="00C068F4">
        <w:t>Economics</w:t>
      </w:r>
      <w:r w:rsidR="0029201B" w:rsidRPr="00C068F4">
        <w:t xml:space="preserve">: </w:t>
      </w:r>
      <w:r w:rsidRPr="00C068F4">
        <w:t xml:space="preserve">Reduce price to achieve an ICER of </w:t>
      </w:r>
      <w:r w:rsidR="0029201B" w:rsidRPr="00C068F4">
        <w:t>&lt;</w:t>
      </w:r>
      <w:r w:rsidR="00DF49F2" w:rsidRPr="00C068F4">
        <w:t>30k</w:t>
      </w:r>
      <w:r w:rsidRPr="00C068F4">
        <w:t>/QALY</w:t>
      </w:r>
      <w:r w:rsidR="00DA217B" w:rsidRPr="00C068F4">
        <w:t xml:space="preserve"> gained</w:t>
      </w:r>
      <w:r w:rsidRPr="00C068F4">
        <w:t xml:space="preserve">, </w:t>
      </w:r>
      <w:r w:rsidR="00FE0FF7" w:rsidRPr="00C068F4">
        <w:t xml:space="preserve">with </w:t>
      </w:r>
      <w:r w:rsidRPr="00C068F4">
        <w:t>inputs and structure</w:t>
      </w:r>
      <w:r w:rsidR="00256931" w:rsidRPr="00C068F4">
        <w:t xml:space="preserve"> in model</w:t>
      </w:r>
      <w:r w:rsidRPr="00C068F4">
        <w:t xml:space="preserve"> consistent with empiric efficacy data (single dose). </w:t>
      </w:r>
      <w:r w:rsidR="00DF49F2" w:rsidRPr="00C068F4">
        <w:t>A</w:t>
      </w:r>
      <w:r w:rsidRPr="00C068F4">
        <w:t>ssum</w:t>
      </w:r>
      <w:r w:rsidR="00256931" w:rsidRPr="00C068F4">
        <w:t>e</w:t>
      </w:r>
      <w:r w:rsidRPr="00C068F4">
        <w:t xml:space="preserve"> no more than 15% </w:t>
      </w:r>
      <w:r w:rsidR="00FC4848" w:rsidRPr="00855EF5">
        <w:t xml:space="preserve">risk of infection </w:t>
      </w:r>
      <w:r w:rsidR="00C97C95" w:rsidRPr="00C068F4">
        <w:t>over a 6 month period</w:t>
      </w:r>
      <w:r w:rsidRPr="00C068F4">
        <w:t xml:space="preserve">, </w:t>
      </w:r>
      <w:r w:rsidR="00384A3F">
        <w:t xml:space="preserve">no more than a </w:t>
      </w:r>
      <w:r w:rsidRPr="00C068F4">
        <w:t xml:space="preserve">69% reduction in </w:t>
      </w:r>
      <w:r w:rsidR="00256931" w:rsidRPr="00C068F4">
        <w:t xml:space="preserve">risk of </w:t>
      </w:r>
      <w:r w:rsidRPr="00C068F4">
        <w:t>hospitalization to 3</w:t>
      </w:r>
      <w:r w:rsidR="00256931" w:rsidRPr="00C068F4">
        <w:t xml:space="preserve"> </w:t>
      </w:r>
      <w:r w:rsidRPr="00C068F4">
        <w:t>m</w:t>
      </w:r>
      <w:r w:rsidR="00256931" w:rsidRPr="00C068F4">
        <w:t>onths</w:t>
      </w:r>
      <w:r w:rsidRPr="00C068F4">
        <w:t>, no benefit thereafter</w:t>
      </w:r>
      <w:r w:rsidR="00FE0FF7" w:rsidRPr="00C068F4">
        <w:t>.</w:t>
      </w:r>
    </w:p>
    <w:p w14:paraId="3148DFC6" w14:textId="392156D5" w:rsidR="00256931" w:rsidRPr="00C068F4" w:rsidRDefault="006D7AF6" w:rsidP="00D94F7C">
      <w:pPr>
        <w:pStyle w:val="ListParagraph"/>
        <w:numPr>
          <w:ilvl w:val="0"/>
          <w:numId w:val="17"/>
        </w:numPr>
      </w:pPr>
      <w:r w:rsidRPr="00C068F4">
        <w:t>Financials</w:t>
      </w:r>
      <w:r w:rsidR="00684674">
        <w:t>:</w:t>
      </w:r>
      <w:r w:rsidRPr="00C068F4">
        <w:tab/>
        <w:t>Reduce u</w:t>
      </w:r>
      <w:r w:rsidR="00256931" w:rsidRPr="00C068F4">
        <w:t xml:space="preserve">ptake and continuation estimates taking into account NMS uptake and uptake in </w:t>
      </w:r>
      <w:r w:rsidR="00DA217B" w:rsidRPr="00C068F4">
        <w:t xml:space="preserve">international </w:t>
      </w:r>
      <w:r w:rsidR="00256931" w:rsidRPr="00C068F4">
        <w:t>jurisdictions.</w:t>
      </w:r>
    </w:p>
    <w:p w14:paraId="6833ED1A" w14:textId="3F1C45B8" w:rsidR="00287C72" w:rsidRDefault="00256931" w:rsidP="00FE0FF7">
      <w:pPr>
        <w:pStyle w:val="ListParagraph"/>
      </w:pPr>
      <w:r w:rsidRPr="00C068F4">
        <w:t>Agree to time-limit</w:t>
      </w:r>
      <w:r w:rsidR="00FE0FF7" w:rsidRPr="00C068F4">
        <w:t xml:space="preserve"> the</w:t>
      </w:r>
      <w:r w:rsidRPr="00C068F4">
        <w:t xml:space="preserve"> </w:t>
      </w:r>
      <w:r w:rsidR="006C2A3B" w:rsidRPr="00C068F4">
        <w:t xml:space="preserve">PBS </w:t>
      </w:r>
      <w:r w:rsidRPr="00C068F4">
        <w:t xml:space="preserve">subsidy period given uncertainty over the future role of this </w:t>
      </w:r>
      <w:r w:rsidR="00FE0FF7" w:rsidRPr="00C068F4">
        <w:t xml:space="preserve">drug against </w:t>
      </w:r>
      <w:r w:rsidRPr="00C068F4">
        <w:t>the evolving nature of the SARS-CoV-2 virus</w:t>
      </w:r>
      <w:r w:rsidR="0053061F" w:rsidRPr="00C068F4">
        <w:t>.</w:t>
      </w:r>
    </w:p>
    <w:p w14:paraId="2B1BDC55" w14:textId="5D2A34F7" w:rsidR="00287C72" w:rsidRDefault="00DA217B" w:rsidP="0053061F">
      <w:pPr>
        <w:widowControl w:val="0"/>
        <w:numPr>
          <w:ilvl w:val="1"/>
          <w:numId w:val="1"/>
        </w:numPr>
        <w:spacing w:after="120"/>
      </w:pPr>
      <w:r w:rsidRPr="00C068F4">
        <w:t>A</w:t>
      </w:r>
      <w:r w:rsidR="006D7AF6" w:rsidRPr="00C068F4">
        <w:t xml:space="preserve"> resubmission may be lodged at </w:t>
      </w:r>
      <w:r w:rsidR="0053061F" w:rsidRPr="00C068F4">
        <w:t>a</w:t>
      </w:r>
      <w:r w:rsidR="006D7AF6" w:rsidRPr="00C068F4">
        <w:t xml:space="preserve"> future </w:t>
      </w:r>
      <w:r w:rsidR="0053061F" w:rsidRPr="00C068F4">
        <w:t>date agreed with the Department and the Chair of the PBA</w:t>
      </w:r>
      <w:r w:rsidR="002911D0" w:rsidRPr="00C068F4">
        <w:t>C.</w:t>
      </w:r>
    </w:p>
    <w:p w14:paraId="4468B7F3" w14:textId="620C0D59" w:rsidR="001B035F" w:rsidRPr="00C068F4" w:rsidRDefault="001B035F" w:rsidP="0053061F">
      <w:pPr>
        <w:widowControl w:val="0"/>
        <w:numPr>
          <w:ilvl w:val="1"/>
          <w:numId w:val="1"/>
        </w:numPr>
        <w:spacing w:after="120"/>
        <w:rPr>
          <w:rFonts w:asciiTheme="minorHAnsi" w:hAnsiTheme="minorHAnsi"/>
          <w:bCs/>
          <w:snapToGrid w:val="0"/>
        </w:rPr>
      </w:pPr>
      <w:r w:rsidRPr="00C068F4">
        <w:rPr>
          <w:rFonts w:asciiTheme="minorHAnsi" w:hAnsiTheme="minorHAnsi"/>
          <w:bCs/>
          <w:snapToGrid w:val="0"/>
        </w:rPr>
        <w:t>The PBAC noted that this submission is eligible for an Independent Review.</w:t>
      </w:r>
    </w:p>
    <w:p w14:paraId="1272D33E" w14:textId="77777777" w:rsidR="001B035F" w:rsidRPr="00C068F4" w:rsidRDefault="001B035F" w:rsidP="001B035F">
      <w:pPr>
        <w:spacing w:before="240"/>
        <w:rPr>
          <w:rFonts w:asciiTheme="minorHAnsi" w:hAnsiTheme="minorHAnsi"/>
          <w:b/>
          <w:bCs/>
          <w:snapToGrid w:val="0"/>
        </w:rPr>
      </w:pPr>
      <w:r w:rsidRPr="00C068F4">
        <w:rPr>
          <w:rFonts w:asciiTheme="minorHAnsi" w:hAnsiTheme="minorHAnsi"/>
          <w:b/>
          <w:bCs/>
          <w:snapToGrid w:val="0"/>
        </w:rPr>
        <w:t>Outcome:</w:t>
      </w:r>
    </w:p>
    <w:p w14:paraId="676FE2DB" w14:textId="373EC7F0" w:rsidR="001B035F" w:rsidRPr="00C068F4" w:rsidRDefault="001B035F" w:rsidP="008D6F4A">
      <w:pPr>
        <w:rPr>
          <w:rFonts w:asciiTheme="minorHAnsi" w:hAnsiTheme="minorHAnsi"/>
          <w:b/>
          <w:bCs/>
          <w:snapToGrid w:val="0"/>
        </w:rPr>
      </w:pPr>
      <w:r w:rsidRPr="00C068F4">
        <w:rPr>
          <w:rFonts w:asciiTheme="minorHAnsi" w:hAnsiTheme="minorHAnsi"/>
          <w:bCs/>
          <w:snapToGrid w:val="0"/>
        </w:rPr>
        <w:t>Not recommended</w:t>
      </w:r>
    </w:p>
    <w:p w14:paraId="54141FA2" w14:textId="46AB45EF" w:rsidR="00E4039C" w:rsidRDefault="00E4039C" w:rsidP="00E4039C">
      <w:pPr>
        <w:pStyle w:val="2-SectionHeading"/>
        <w:rPr>
          <w:bCs/>
          <w:lang w:val="en-GB"/>
        </w:rPr>
      </w:pPr>
      <w:r w:rsidRPr="00C07617">
        <w:t>Context for Decision</w:t>
      </w:r>
    </w:p>
    <w:p w14:paraId="230E6F28" w14:textId="77777777" w:rsidR="00E4039C" w:rsidRPr="007129F2" w:rsidRDefault="00E4039C" w:rsidP="00E4039C">
      <w:pPr>
        <w:spacing w:after="1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BCB26A5" w14:textId="175E15F1" w:rsidR="00E4039C" w:rsidRPr="00C07617" w:rsidRDefault="00E4039C" w:rsidP="00E4039C">
      <w:pPr>
        <w:pStyle w:val="2-SectionHeading"/>
      </w:pPr>
      <w:r>
        <w:t>Sponsor’s Comment</w:t>
      </w:r>
    </w:p>
    <w:p w14:paraId="4E89DD1A" w14:textId="77777777" w:rsidR="00836F0A" w:rsidRDefault="00140B26" w:rsidP="00140B26">
      <w:pPr>
        <w:rPr>
          <w:rStyle w:val="normaltextrun"/>
          <w:shd w:val="clear" w:color="auto" w:fill="FFFFFF"/>
        </w:rPr>
      </w:pPr>
      <w:r w:rsidRPr="00484C02">
        <w:rPr>
          <w:rStyle w:val="normaltextrun"/>
          <w:shd w:val="clear" w:color="auto" w:fill="FFFFFF"/>
        </w:rPr>
        <w:t xml:space="preserve">AstraZeneca are committed to addressing the concerns raised by the PBAC and we welcome the opportunity to work with the Department of Health and Aged Care to ensure a timely reassessment of Evusheld. AstraZeneca acknowledges the PBAC assessment process requires a high degree of certainty for therapies to be listed on the PBS. We note the status of the updated dosing regimen which is currently under evaluation by the TGA. AstraZeneca will </w:t>
      </w:r>
      <w:r w:rsidRPr="00484C02">
        <w:rPr>
          <w:rStyle w:val="normaltextrun"/>
          <w:shd w:val="clear" w:color="auto" w:fill="FFFFFF"/>
        </w:rPr>
        <w:lastRenderedPageBreak/>
        <w:t>continue to collect data as new variants evolve and work with the PBAC to further define the appropriate patient population.</w:t>
      </w:r>
    </w:p>
    <w:p w14:paraId="423F2692" w14:textId="77777777" w:rsidR="00836F0A" w:rsidRDefault="00836F0A">
      <w:pPr>
        <w:jc w:val="left"/>
        <w:rPr>
          <w:rStyle w:val="normaltextrun"/>
          <w:shd w:val="clear" w:color="auto" w:fill="FFFFFF"/>
        </w:rPr>
      </w:pPr>
      <w:r>
        <w:rPr>
          <w:rStyle w:val="normaltextrun"/>
          <w:shd w:val="clear" w:color="auto" w:fill="FFFFFF"/>
        </w:rPr>
        <w:br w:type="page"/>
      </w:r>
    </w:p>
    <w:bookmarkEnd w:id="113"/>
    <w:p w14:paraId="2E50114E" w14:textId="670BBD7F" w:rsidR="00F96762" w:rsidRPr="00855EF5" w:rsidRDefault="00A31E76" w:rsidP="00F96762">
      <w:r w:rsidRPr="00A31E76">
        <w:rPr>
          <w:rFonts w:eastAsia="Calibri"/>
          <w:b/>
          <w:bCs/>
          <w:color w:val="FF0000"/>
          <w:sz w:val="28"/>
          <w:szCs w:val="28"/>
        </w:rPr>
        <w:lastRenderedPageBreak/>
        <w:t xml:space="preserve">Addendum to the September 2022 </w:t>
      </w:r>
      <w:r>
        <w:rPr>
          <w:rFonts w:eastAsia="Calibri"/>
          <w:b/>
          <w:bCs/>
          <w:color w:val="FF0000"/>
          <w:sz w:val="28"/>
          <w:szCs w:val="28"/>
        </w:rPr>
        <w:t xml:space="preserve">PBAC </w:t>
      </w:r>
      <w:r w:rsidRPr="00A31E76">
        <w:rPr>
          <w:rFonts w:eastAsia="Calibri"/>
          <w:b/>
          <w:bCs/>
          <w:color w:val="FF0000"/>
          <w:sz w:val="28"/>
          <w:szCs w:val="28"/>
        </w:rPr>
        <w:t>PSD:</w:t>
      </w:r>
    </w:p>
    <w:p w14:paraId="50B4B8AD" w14:textId="48719F0E" w:rsidR="00F96762" w:rsidRPr="00855EF5" w:rsidRDefault="00F96762" w:rsidP="00F96762">
      <w:pPr>
        <w:pStyle w:val="1-MainHeading"/>
      </w:pPr>
      <w:r w:rsidRPr="00855EF5">
        <w:t>4.01</w:t>
      </w:r>
      <w:r w:rsidRPr="00855EF5">
        <w:tab/>
        <w:t>TIXAGEVIMAB AND CILGAVIMAB</w:t>
      </w:r>
      <w:r w:rsidRPr="00855EF5">
        <w:br/>
        <w:t>Pack containing 1 vial of tixagevimab 150 mg in 1.5 mL and 1 vial of cilgavimab 150 mg in 1.5 mL,</w:t>
      </w:r>
      <w:r w:rsidRPr="00855EF5">
        <w:br/>
      </w:r>
      <w:r w:rsidR="0052639B" w:rsidRPr="00855EF5">
        <w:t>E</w:t>
      </w:r>
      <w:r w:rsidR="0052639B">
        <w:t>vusheld</w:t>
      </w:r>
      <w:r w:rsidRPr="00855EF5">
        <w:rPr>
          <w:vertAlign w:val="superscript"/>
        </w:rPr>
        <w:t>®</w:t>
      </w:r>
      <w:r w:rsidRPr="00855EF5">
        <w:t xml:space="preserve">, </w:t>
      </w:r>
      <w:r w:rsidRPr="00855EF5">
        <w:br/>
        <w:t>AstraZeneca Pty Ltd.</w:t>
      </w:r>
    </w:p>
    <w:p w14:paraId="401D9F70" w14:textId="77777777" w:rsidR="00F96762" w:rsidRPr="00855EF5" w:rsidRDefault="00F96762" w:rsidP="00F96762">
      <w:pPr>
        <w:pStyle w:val="2-SectionHeading"/>
      </w:pPr>
      <w:bookmarkStart w:id="117" w:name="_Ref121760158"/>
      <w:r w:rsidRPr="00855EF5">
        <w:t>Background</w:t>
      </w:r>
      <w:bookmarkEnd w:id="117"/>
    </w:p>
    <w:p w14:paraId="4B7A5651" w14:textId="3092D1B1" w:rsidR="00F96762" w:rsidRPr="00855EF5" w:rsidRDefault="00F96762" w:rsidP="00F96762">
      <w:pPr>
        <w:pStyle w:val="3-BodyText"/>
        <w:rPr>
          <w:iCs/>
          <w:color w:val="000000" w:themeColor="text1"/>
        </w:rPr>
      </w:pPr>
      <w:r w:rsidRPr="00855EF5">
        <w:rPr>
          <w:rFonts w:ascii="Calibri" w:eastAsia="Calibri" w:hAnsi="Calibri"/>
          <w:b/>
          <w:szCs w:val="22"/>
        </w:rPr>
        <w:t>TGA status at time of PBAC consideration</w:t>
      </w:r>
      <w:r w:rsidRPr="00855EF5">
        <w:rPr>
          <w:rFonts w:ascii="Calibri" w:eastAsia="Calibri" w:hAnsi="Calibri"/>
          <w:szCs w:val="22"/>
        </w:rPr>
        <w:t>: Provisionally approved</w:t>
      </w:r>
      <w:r w:rsidRPr="00855EF5">
        <w:t xml:space="preserve"> for PrEP for individuals aged 12 years and older, however an application to increase the dose for this use is under evaluation by the TGA, as described in paragraphs </w:t>
      </w:r>
      <w:r w:rsidRPr="00855EF5">
        <w:fldChar w:fldCharType="begin" w:fldLock="1"/>
      </w:r>
      <w:r w:rsidRPr="00855EF5">
        <w:instrText xml:space="preserve"> REF _Ref121493310 \r \h </w:instrText>
      </w:r>
      <w:r w:rsidRPr="00855EF5">
        <w:fldChar w:fldCharType="separate"/>
      </w:r>
      <w:r w:rsidRPr="00855EF5">
        <w:t>2.1</w:t>
      </w:r>
      <w:r w:rsidRPr="00855EF5">
        <w:fldChar w:fldCharType="end"/>
      </w:r>
      <w:r w:rsidRPr="00855EF5">
        <w:t xml:space="preserve"> to </w:t>
      </w:r>
      <w:r w:rsidRPr="00855EF5">
        <w:fldChar w:fldCharType="begin" w:fldLock="1"/>
      </w:r>
      <w:r w:rsidRPr="00855EF5">
        <w:instrText xml:space="preserve"> REF _Ref121493312 \r \h </w:instrText>
      </w:r>
      <w:r w:rsidRPr="00855EF5">
        <w:fldChar w:fldCharType="separate"/>
      </w:r>
      <w:r w:rsidRPr="00855EF5">
        <w:t>2.5</w:t>
      </w:r>
      <w:r w:rsidRPr="00855EF5">
        <w:fldChar w:fldCharType="end"/>
      </w:r>
      <w:r w:rsidRPr="00855EF5">
        <w:t>.</w:t>
      </w:r>
      <w:r w:rsidR="003634A7">
        <w:t xml:space="preserve"> </w:t>
      </w:r>
      <w:r w:rsidRPr="00855EF5">
        <w:t>At the time of PBAC consideration, the TGA Delegate’s Overview and the Advisory Committee on Medicines (ACM) minutes were available.</w:t>
      </w:r>
    </w:p>
    <w:p w14:paraId="2F4E37F8" w14:textId="77777777" w:rsidR="00F96762" w:rsidRPr="00855EF5" w:rsidRDefault="00F96762" w:rsidP="00F96762">
      <w:pPr>
        <w:pStyle w:val="3-BodyText"/>
      </w:pPr>
      <w:bookmarkStart w:id="118" w:name="_Hlk121487825"/>
      <w:r w:rsidRPr="00855EF5">
        <w:t>The resubmission provided responses to the issues raised by the PBAC in September 2022 as summarised in Tables 19 and 20.</w:t>
      </w:r>
    </w:p>
    <w:bookmarkEnd w:id="118"/>
    <w:p w14:paraId="14AC4808" w14:textId="3CA69DFF" w:rsidR="00DB55F2" w:rsidRDefault="00DB55F2" w:rsidP="00DB55F2">
      <w:pPr>
        <w:pStyle w:val="Caption"/>
      </w:pPr>
      <w:r>
        <w:t xml:space="preserve">Table </w:t>
      </w:r>
      <w:fldSimple w:instr=" SEQ Table \* ARABIC " w:fldLock="1">
        <w:r>
          <w:rPr>
            <w:noProof/>
          </w:rPr>
          <w:t>19</w:t>
        </w:r>
      </w:fldSimple>
      <w:r>
        <w:t>: Summary of resubmission proposed eligible patient populations</w:t>
      </w:r>
    </w:p>
    <w:tbl>
      <w:tblPr>
        <w:tblStyle w:val="TableGrid"/>
        <w:tblW w:w="0" w:type="auto"/>
        <w:tblLook w:val="04A0" w:firstRow="1" w:lastRow="0" w:firstColumn="1" w:lastColumn="0" w:noHBand="0" w:noVBand="1"/>
        <w:tblCaption w:val="Table 19: Summary of resubmission proposed eligible patient populations"/>
      </w:tblPr>
      <w:tblGrid>
        <w:gridCol w:w="9017"/>
      </w:tblGrid>
      <w:tr w:rsidR="00F96762" w:rsidRPr="00855EF5" w14:paraId="58EFBB01" w14:textId="77777777" w:rsidTr="00EB33AD">
        <w:tc>
          <w:tcPr>
            <w:tcW w:w="9017" w:type="dxa"/>
          </w:tcPr>
          <w:p w14:paraId="53A41613" w14:textId="77777777" w:rsidR="00F96762" w:rsidRPr="00855EF5" w:rsidRDefault="00F96762" w:rsidP="00EB33AD">
            <w:pPr>
              <w:pStyle w:val="3-BodyText"/>
              <w:keepNext/>
              <w:numPr>
                <w:ilvl w:val="0"/>
                <w:numId w:val="0"/>
              </w:numPr>
              <w:spacing w:after="0"/>
              <w:rPr>
                <w:rFonts w:ascii="Arial Narrow" w:hAnsi="Arial Narrow"/>
                <w:b/>
                <w:bCs/>
                <w:sz w:val="20"/>
                <w:szCs w:val="20"/>
              </w:rPr>
            </w:pPr>
            <w:r w:rsidRPr="00855EF5">
              <w:rPr>
                <w:rFonts w:ascii="Arial Narrow" w:hAnsi="Arial Narrow"/>
                <w:b/>
                <w:bCs/>
                <w:sz w:val="20"/>
                <w:szCs w:val="20"/>
              </w:rPr>
              <w:t>Population 1</w:t>
            </w:r>
          </w:p>
        </w:tc>
      </w:tr>
      <w:tr w:rsidR="00F96762" w:rsidRPr="00855EF5" w14:paraId="35C1F5D3" w14:textId="77777777" w:rsidTr="00EB33AD">
        <w:tc>
          <w:tcPr>
            <w:tcW w:w="9017" w:type="dxa"/>
          </w:tcPr>
          <w:p w14:paraId="7FE608F9" w14:textId="77777777" w:rsidR="00F96762" w:rsidRPr="00855EF5" w:rsidRDefault="00F96762" w:rsidP="00EB33AD">
            <w:pPr>
              <w:pStyle w:val="3-BodyText"/>
              <w:keepNext/>
              <w:numPr>
                <w:ilvl w:val="0"/>
                <w:numId w:val="0"/>
              </w:numPr>
              <w:snapToGrid w:val="0"/>
              <w:spacing w:after="0"/>
              <w:rPr>
                <w:rFonts w:ascii="Arial Narrow" w:hAnsi="Arial Narrow"/>
                <w:sz w:val="20"/>
                <w:szCs w:val="20"/>
              </w:rPr>
            </w:pPr>
            <w:r w:rsidRPr="00855EF5">
              <w:rPr>
                <w:rFonts w:ascii="Arial Narrow" w:hAnsi="Arial Narrow"/>
                <w:sz w:val="20"/>
                <w:szCs w:val="20"/>
              </w:rPr>
              <w:t>Any patient over 12 years of age who meets any of the following clinical criteria:</w:t>
            </w:r>
          </w:p>
          <w:p w14:paraId="36F34313" w14:textId="77777777" w:rsidR="00F96762" w:rsidRPr="00855EF5" w:rsidRDefault="00F96762" w:rsidP="00F96762">
            <w:pPr>
              <w:pStyle w:val="3-BodyText"/>
              <w:keepNext/>
              <w:numPr>
                <w:ilvl w:val="3"/>
                <w:numId w:val="26"/>
              </w:numPr>
              <w:snapToGrid w:val="0"/>
              <w:spacing w:after="0"/>
              <w:ind w:left="602" w:hanging="283"/>
              <w:rPr>
                <w:rFonts w:ascii="Arial Narrow" w:hAnsi="Arial Narrow"/>
                <w:sz w:val="20"/>
                <w:szCs w:val="20"/>
              </w:rPr>
            </w:pPr>
            <w:r w:rsidRPr="00855EF5">
              <w:rPr>
                <w:rFonts w:ascii="Arial Narrow" w:hAnsi="Arial Narrow"/>
                <w:sz w:val="20"/>
                <w:szCs w:val="20"/>
              </w:rPr>
              <w:t>Recipient of a haematopoietic stem cell transplant (HSCT) within the previous two years</w:t>
            </w:r>
          </w:p>
          <w:p w14:paraId="2D610B3E" w14:textId="77777777" w:rsidR="00F96762" w:rsidRPr="00855EF5" w:rsidRDefault="00F96762" w:rsidP="00F96762">
            <w:pPr>
              <w:pStyle w:val="3-BodyText"/>
              <w:keepNext/>
              <w:numPr>
                <w:ilvl w:val="3"/>
                <w:numId w:val="26"/>
              </w:numPr>
              <w:snapToGrid w:val="0"/>
              <w:spacing w:after="0"/>
              <w:ind w:left="602" w:hanging="283"/>
              <w:rPr>
                <w:rFonts w:ascii="Arial Narrow" w:hAnsi="Arial Narrow"/>
                <w:sz w:val="20"/>
                <w:szCs w:val="20"/>
              </w:rPr>
            </w:pPr>
            <w:r w:rsidRPr="00855EF5">
              <w:rPr>
                <w:rFonts w:ascii="Arial Narrow" w:hAnsi="Arial Narrow"/>
                <w:sz w:val="20"/>
                <w:szCs w:val="20"/>
              </w:rPr>
              <w:t>Recipient of an organ transplant and on treatment</w:t>
            </w:r>
          </w:p>
          <w:p w14:paraId="7EF90D1B" w14:textId="77777777" w:rsidR="00F96762" w:rsidRPr="00855EF5" w:rsidRDefault="00F96762" w:rsidP="00F96762">
            <w:pPr>
              <w:pStyle w:val="3-BodyText"/>
              <w:keepNext/>
              <w:numPr>
                <w:ilvl w:val="3"/>
                <w:numId w:val="26"/>
              </w:numPr>
              <w:snapToGrid w:val="0"/>
              <w:spacing w:after="0"/>
              <w:ind w:left="602" w:hanging="283"/>
              <w:rPr>
                <w:rFonts w:ascii="Arial Narrow" w:hAnsi="Arial Narrow"/>
                <w:sz w:val="20"/>
                <w:szCs w:val="20"/>
              </w:rPr>
            </w:pPr>
            <w:r w:rsidRPr="00855EF5">
              <w:rPr>
                <w:rFonts w:ascii="Arial Narrow" w:hAnsi="Arial Narrow"/>
                <w:sz w:val="20"/>
                <w:szCs w:val="20"/>
              </w:rPr>
              <w:t>Diagnosed with a haematologic malignancy and on treatment</w:t>
            </w:r>
          </w:p>
          <w:p w14:paraId="3378BEDE" w14:textId="77777777" w:rsidR="00F96762" w:rsidRPr="00855EF5" w:rsidRDefault="00F96762" w:rsidP="00F96762">
            <w:pPr>
              <w:pStyle w:val="3-BodyText"/>
              <w:keepNext/>
              <w:numPr>
                <w:ilvl w:val="3"/>
                <w:numId w:val="26"/>
              </w:numPr>
              <w:snapToGrid w:val="0"/>
              <w:spacing w:after="0"/>
              <w:ind w:left="602" w:hanging="283"/>
              <w:rPr>
                <w:rFonts w:ascii="Arial Narrow" w:hAnsi="Arial Narrow"/>
                <w:sz w:val="20"/>
                <w:szCs w:val="20"/>
              </w:rPr>
            </w:pPr>
            <w:r w:rsidRPr="00855EF5">
              <w:rPr>
                <w:rFonts w:ascii="Arial Narrow" w:hAnsi="Arial Narrow"/>
                <w:sz w:val="20"/>
                <w:szCs w:val="20"/>
              </w:rPr>
              <w:t xml:space="preserve">Diagnosed with chronic lymphocytic leukaemia </w:t>
            </w:r>
            <w:r w:rsidRPr="00855EF5">
              <w:rPr>
                <w:rFonts w:ascii="Arial Narrow" w:hAnsi="Arial Narrow"/>
                <w:iCs/>
                <w:sz w:val="20"/>
                <w:szCs w:val="20"/>
              </w:rPr>
              <w:t>(including those not receiving treatment)</w:t>
            </w:r>
          </w:p>
          <w:p w14:paraId="3A3F2071" w14:textId="77777777" w:rsidR="00F96762" w:rsidRPr="00855EF5" w:rsidRDefault="00F96762" w:rsidP="00F96762">
            <w:pPr>
              <w:pStyle w:val="3-BodyText"/>
              <w:keepNext/>
              <w:numPr>
                <w:ilvl w:val="3"/>
                <w:numId w:val="26"/>
              </w:numPr>
              <w:snapToGrid w:val="0"/>
              <w:spacing w:after="0"/>
              <w:ind w:left="602" w:hanging="283"/>
              <w:rPr>
                <w:rFonts w:ascii="Arial Narrow" w:hAnsi="Arial Narrow"/>
                <w:sz w:val="20"/>
                <w:szCs w:val="20"/>
              </w:rPr>
            </w:pPr>
            <w:r w:rsidRPr="00855EF5">
              <w:rPr>
                <w:rFonts w:ascii="Arial Narrow" w:hAnsi="Arial Narrow"/>
                <w:sz w:val="20"/>
                <w:szCs w:val="20"/>
              </w:rPr>
              <w:t>On treatment with an anti-CD20 agent (eg rituximab) and/or a Bruton Tyrosine Kinase (BTK) inhibitor (eg. ibrutinib)</w:t>
            </w:r>
          </w:p>
          <w:p w14:paraId="22CC6811" w14:textId="77777777" w:rsidR="00F96762" w:rsidRPr="00855EF5" w:rsidRDefault="00F96762" w:rsidP="00F96762">
            <w:pPr>
              <w:pStyle w:val="3-BodyText"/>
              <w:keepNext/>
              <w:numPr>
                <w:ilvl w:val="3"/>
                <w:numId w:val="26"/>
              </w:numPr>
              <w:snapToGrid w:val="0"/>
              <w:spacing w:after="0"/>
              <w:ind w:left="602" w:hanging="283"/>
              <w:rPr>
                <w:rFonts w:ascii="Arial Narrow" w:hAnsi="Arial Narrow"/>
                <w:sz w:val="20"/>
                <w:szCs w:val="20"/>
              </w:rPr>
            </w:pPr>
            <w:r w:rsidRPr="00855EF5">
              <w:rPr>
                <w:rFonts w:ascii="Arial Narrow" w:hAnsi="Arial Narrow"/>
                <w:sz w:val="20"/>
                <w:szCs w:val="20"/>
              </w:rPr>
              <w:t>Diagnosed with primary immunodeficiency</w:t>
            </w:r>
          </w:p>
          <w:p w14:paraId="16C125ED" w14:textId="77777777" w:rsidR="00F96762" w:rsidRPr="00855EF5" w:rsidRDefault="00F96762" w:rsidP="00F96762">
            <w:pPr>
              <w:pStyle w:val="3-BodyText"/>
              <w:keepNext/>
              <w:numPr>
                <w:ilvl w:val="3"/>
                <w:numId w:val="26"/>
              </w:numPr>
              <w:snapToGrid w:val="0"/>
              <w:spacing w:after="0"/>
              <w:ind w:left="602" w:hanging="283"/>
              <w:rPr>
                <w:rFonts w:ascii="Arial Narrow" w:hAnsi="Arial Narrow"/>
                <w:sz w:val="20"/>
                <w:szCs w:val="20"/>
              </w:rPr>
            </w:pPr>
            <w:r w:rsidRPr="00855EF5">
              <w:rPr>
                <w:rFonts w:ascii="Arial Narrow" w:hAnsi="Arial Narrow"/>
                <w:sz w:val="20"/>
                <w:szCs w:val="20"/>
              </w:rPr>
              <w:t>Receiving dialysis</w:t>
            </w:r>
          </w:p>
          <w:p w14:paraId="0AD8AF19" w14:textId="77777777" w:rsidR="00F96762" w:rsidRPr="00855EF5" w:rsidRDefault="00F96762" w:rsidP="00F96762">
            <w:pPr>
              <w:pStyle w:val="3-BodyText"/>
              <w:keepNext/>
              <w:numPr>
                <w:ilvl w:val="3"/>
                <w:numId w:val="26"/>
              </w:numPr>
              <w:snapToGrid w:val="0"/>
              <w:spacing w:after="0"/>
              <w:ind w:left="602" w:hanging="283"/>
              <w:rPr>
                <w:rFonts w:ascii="Arial Narrow" w:hAnsi="Arial Narrow"/>
                <w:sz w:val="20"/>
                <w:szCs w:val="20"/>
              </w:rPr>
            </w:pPr>
            <w:r w:rsidRPr="00855EF5">
              <w:rPr>
                <w:rFonts w:ascii="Arial Narrow" w:hAnsi="Arial Narrow"/>
                <w:sz w:val="20"/>
                <w:szCs w:val="20"/>
              </w:rPr>
              <w:t>Diagnosed with HIV/AIDS and resistant to anti-retroviral therapy</w:t>
            </w:r>
          </w:p>
        </w:tc>
      </w:tr>
      <w:tr w:rsidR="00F96762" w:rsidRPr="00855EF5" w14:paraId="4433A01D" w14:textId="77777777" w:rsidTr="00EB33AD">
        <w:tc>
          <w:tcPr>
            <w:tcW w:w="9017" w:type="dxa"/>
          </w:tcPr>
          <w:p w14:paraId="6D006BC7" w14:textId="77777777" w:rsidR="00F96762" w:rsidRPr="00855EF5" w:rsidRDefault="00F96762" w:rsidP="00EB33AD">
            <w:pPr>
              <w:pStyle w:val="3-BodyText"/>
              <w:keepNext/>
              <w:numPr>
                <w:ilvl w:val="0"/>
                <w:numId w:val="0"/>
              </w:numPr>
              <w:spacing w:after="0"/>
              <w:rPr>
                <w:rFonts w:ascii="Arial Narrow" w:hAnsi="Arial Narrow"/>
                <w:b/>
                <w:bCs/>
                <w:sz w:val="20"/>
                <w:szCs w:val="20"/>
              </w:rPr>
            </w:pPr>
            <w:r w:rsidRPr="00855EF5">
              <w:rPr>
                <w:rFonts w:ascii="Arial Narrow" w:hAnsi="Arial Narrow"/>
                <w:b/>
                <w:bCs/>
                <w:sz w:val="20"/>
                <w:szCs w:val="20"/>
              </w:rPr>
              <w:t>Population 2</w:t>
            </w:r>
          </w:p>
        </w:tc>
      </w:tr>
      <w:tr w:rsidR="00F96762" w:rsidRPr="00855EF5" w14:paraId="0457FC20" w14:textId="77777777" w:rsidTr="00EB33AD">
        <w:tc>
          <w:tcPr>
            <w:tcW w:w="9017" w:type="dxa"/>
          </w:tcPr>
          <w:p w14:paraId="0B9244E4" w14:textId="77777777" w:rsidR="00F96762" w:rsidRPr="00855EF5" w:rsidRDefault="00F96762" w:rsidP="00EB33AD">
            <w:pPr>
              <w:pStyle w:val="3-BodyText"/>
              <w:keepNext/>
              <w:numPr>
                <w:ilvl w:val="0"/>
                <w:numId w:val="0"/>
              </w:numPr>
              <w:snapToGrid w:val="0"/>
              <w:spacing w:after="0"/>
              <w:ind w:left="35"/>
              <w:rPr>
                <w:rFonts w:ascii="Arial Narrow" w:hAnsi="Arial Narrow"/>
                <w:sz w:val="20"/>
                <w:szCs w:val="20"/>
              </w:rPr>
            </w:pPr>
            <w:r w:rsidRPr="00855EF5">
              <w:rPr>
                <w:rFonts w:ascii="Arial Narrow" w:hAnsi="Arial Narrow"/>
                <w:sz w:val="20"/>
                <w:szCs w:val="20"/>
              </w:rPr>
              <w:t>Patients who are 70 years or older who meet any of the following clinical criteria:</w:t>
            </w:r>
          </w:p>
          <w:p w14:paraId="056995D4" w14:textId="77777777" w:rsidR="00F96762" w:rsidRPr="00855EF5" w:rsidRDefault="00F96762" w:rsidP="00F96762">
            <w:pPr>
              <w:pStyle w:val="3-BodyText"/>
              <w:keepNext/>
              <w:numPr>
                <w:ilvl w:val="3"/>
                <w:numId w:val="26"/>
              </w:numPr>
              <w:snapToGrid w:val="0"/>
              <w:spacing w:after="0"/>
              <w:ind w:left="602" w:hanging="283"/>
              <w:rPr>
                <w:rFonts w:ascii="Arial Narrow" w:hAnsi="Arial Narrow"/>
                <w:sz w:val="20"/>
                <w:szCs w:val="20"/>
              </w:rPr>
            </w:pPr>
            <w:r w:rsidRPr="00855EF5">
              <w:rPr>
                <w:rFonts w:ascii="Arial Narrow" w:hAnsi="Arial Narrow"/>
                <w:sz w:val="20"/>
                <w:szCs w:val="20"/>
              </w:rPr>
              <w:t>Received at least 6 prescriptions for high dose systemic corticosteroids in previous 12 months</w:t>
            </w:r>
          </w:p>
          <w:p w14:paraId="3EA5A5EE" w14:textId="77777777" w:rsidR="00F96762" w:rsidRPr="00855EF5" w:rsidRDefault="00F96762" w:rsidP="00F96762">
            <w:pPr>
              <w:pStyle w:val="3-BodyText"/>
              <w:keepNext/>
              <w:numPr>
                <w:ilvl w:val="3"/>
                <w:numId w:val="26"/>
              </w:numPr>
              <w:snapToGrid w:val="0"/>
              <w:spacing w:after="0"/>
              <w:ind w:left="602" w:hanging="283"/>
              <w:rPr>
                <w:rFonts w:ascii="Arial Narrow" w:hAnsi="Arial Narrow"/>
                <w:sz w:val="20"/>
                <w:szCs w:val="20"/>
              </w:rPr>
            </w:pPr>
            <w:r w:rsidRPr="00855EF5">
              <w:rPr>
                <w:rFonts w:ascii="Arial Narrow" w:hAnsi="Arial Narrow"/>
                <w:sz w:val="20"/>
                <w:szCs w:val="20"/>
              </w:rPr>
              <w:t>Diagnosed with a malignancy of a solid organ tumour and on treatment</w:t>
            </w:r>
          </w:p>
          <w:p w14:paraId="73DB72F9" w14:textId="77777777" w:rsidR="00F96762" w:rsidRPr="00855EF5" w:rsidRDefault="00F96762" w:rsidP="00F96762">
            <w:pPr>
              <w:pStyle w:val="3-BodyText"/>
              <w:keepNext/>
              <w:numPr>
                <w:ilvl w:val="3"/>
                <w:numId w:val="26"/>
              </w:numPr>
              <w:snapToGrid w:val="0"/>
              <w:spacing w:after="0"/>
              <w:ind w:left="602" w:hanging="283"/>
              <w:rPr>
                <w:rFonts w:ascii="Arial Narrow" w:hAnsi="Arial Narrow"/>
                <w:sz w:val="20"/>
                <w:szCs w:val="20"/>
              </w:rPr>
            </w:pPr>
            <w:r w:rsidRPr="00855EF5">
              <w:rPr>
                <w:rFonts w:ascii="Arial Narrow" w:hAnsi="Arial Narrow"/>
                <w:sz w:val="20"/>
                <w:szCs w:val="20"/>
              </w:rPr>
              <w:t>On treatment with a CD52 antibody (eg alemtuzumab) and/or an anti-complement antibody (eg. eculizumab)</w:t>
            </w:r>
          </w:p>
          <w:p w14:paraId="44D6C0A7" w14:textId="77777777" w:rsidR="00F96762" w:rsidRPr="00855EF5" w:rsidRDefault="00F96762" w:rsidP="00F96762">
            <w:pPr>
              <w:pStyle w:val="3-BodyText"/>
              <w:keepNext/>
              <w:numPr>
                <w:ilvl w:val="3"/>
                <w:numId w:val="26"/>
              </w:numPr>
              <w:snapToGrid w:val="0"/>
              <w:spacing w:after="0"/>
              <w:ind w:left="602" w:hanging="283"/>
              <w:rPr>
                <w:rFonts w:ascii="Arial Narrow" w:hAnsi="Arial Narrow"/>
                <w:sz w:val="20"/>
                <w:szCs w:val="20"/>
              </w:rPr>
            </w:pPr>
            <w:r w:rsidRPr="00855EF5">
              <w:rPr>
                <w:rFonts w:ascii="Arial Narrow" w:hAnsi="Arial Narrow"/>
                <w:sz w:val="20"/>
                <w:szCs w:val="20"/>
              </w:rPr>
              <w:t>On treatment with a sphingosine-1-phosphate receptor modulator (S1-PRM eg fingolimod)</w:t>
            </w:r>
          </w:p>
          <w:p w14:paraId="7DA9ACCB" w14:textId="77777777" w:rsidR="00F96762" w:rsidRPr="00855EF5" w:rsidRDefault="00F96762" w:rsidP="00F96762">
            <w:pPr>
              <w:pStyle w:val="3-BodyText"/>
              <w:keepNext/>
              <w:numPr>
                <w:ilvl w:val="3"/>
                <w:numId w:val="26"/>
              </w:numPr>
              <w:snapToGrid w:val="0"/>
              <w:spacing w:after="0"/>
              <w:ind w:left="602" w:hanging="283"/>
              <w:rPr>
                <w:rFonts w:ascii="Arial Narrow" w:hAnsi="Arial Narrow"/>
                <w:sz w:val="20"/>
                <w:szCs w:val="20"/>
              </w:rPr>
            </w:pPr>
            <w:r w:rsidRPr="00855EF5">
              <w:rPr>
                <w:rFonts w:ascii="Arial Narrow" w:hAnsi="Arial Narrow"/>
                <w:sz w:val="20"/>
                <w:szCs w:val="20"/>
              </w:rPr>
              <w:t>On treatment with a Janus Kinase (JAK) inhibitors (eg baricitinib)</w:t>
            </w:r>
          </w:p>
          <w:p w14:paraId="7156D7B0" w14:textId="77777777" w:rsidR="00F96762" w:rsidRPr="00855EF5" w:rsidRDefault="00F96762" w:rsidP="00F96762">
            <w:pPr>
              <w:pStyle w:val="3-BodyText"/>
              <w:keepNext/>
              <w:numPr>
                <w:ilvl w:val="3"/>
                <w:numId w:val="26"/>
              </w:numPr>
              <w:snapToGrid w:val="0"/>
              <w:spacing w:after="0"/>
              <w:ind w:left="602" w:hanging="283"/>
              <w:rPr>
                <w:rFonts w:ascii="Arial Narrow" w:hAnsi="Arial Narrow"/>
                <w:sz w:val="20"/>
                <w:szCs w:val="20"/>
              </w:rPr>
            </w:pPr>
            <w:r w:rsidRPr="00855EF5">
              <w:rPr>
                <w:rFonts w:ascii="Arial Narrow" w:hAnsi="Arial Narrow"/>
                <w:sz w:val="20"/>
                <w:szCs w:val="20"/>
              </w:rPr>
              <w:t>On treatment with a conventional synthetic disease modifying antirheumatic drug (eg. Leflunomide, methotrexate)</w:t>
            </w:r>
          </w:p>
          <w:p w14:paraId="2B9D632A" w14:textId="77777777" w:rsidR="00F96762" w:rsidRPr="00855EF5" w:rsidRDefault="00F96762" w:rsidP="00EB33AD">
            <w:pPr>
              <w:pStyle w:val="3-BodyText"/>
              <w:keepNext/>
              <w:numPr>
                <w:ilvl w:val="0"/>
                <w:numId w:val="0"/>
              </w:numPr>
              <w:spacing w:after="0"/>
              <w:ind w:left="720" w:hanging="720"/>
              <w:rPr>
                <w:rFonts w:ascii="Arial Narrow" w:hAnsi="Arial Narrow"/>
                <w:sz w:val="20"/>
                <w:szCs w:val="20"/>
              </w:rPr>
            </w:pPr>
            <w:r w:rsidRPr="00855EF5">
              <w:rPr>
                <w:rFonts w:ascii="Arial Narrow" w:hAnsi="Arial Narrow"/>
                <w:sz w:val="20"/>
                <w:szCs w:val="20"/>
              </w:rPr>
              <w:t>AND who have been diagnosed with at least one of the following comorbidities:</w:t>
            </w:r>
          </w:p>
          <w:p w14:paraId="4FF20F35" w14:textId="77777777" w:rsidR="00F96762" w:rsidRPr="00855EF5" w:rsidRDefault="00F96762" w:rsidP="00F96762">
            <w:pPr>
              <w:pStyle w:val="3-BodyText"/>
              <w:keepNext/>
              <w:numPr>
                <w:ilvl w:val="3"/>
                <w:numId w:val="26"/>
              </w:numPr>
              <w:tabs>
                <w:tab w:val="left" w:pos="860"/>
              </w:tabs>
              <w:snapToGrid w:val="0"/>
              <w:spacing w:after="0"/>
              <w:ind w:left="602" w:firstLine="0"/>
              <w:rPr>
                <w:rFonts w:ascii="Arial Narrow" w:hAnsi="Arial Narrow"/>
                <w:sz w:val="20"/>
                <w:szCs w:val="20"/>
              </w:rPr>
            </w:pPr>
            <w:r w:rsidRPr="00855EF5">
              <w:rPr>
                <w:rFonts w:ascii="Arial Narrow" w:hAnsi="Arial Narrow"/>
                <w:sz w:val="20"/>
                <w:szCs w:val="20"/>
              </w:rPr>
              <w:t>cardiac disease</w:t>
            </w:r>
          </w:p>
          <w:p w14:paraId="143E5300" w14:textId="77777777" w:rsidR="00F96762" w:rsidRPr="00855EF5" w:rsidRDefault="00F96762" w:rsidP="00F96762">
            <w:pPr>
              <w:pStyle w:val="3-BodyText"/>
              <w:keepNext/>
              <w:numPr>
                <w:ilvl w:val="3"/>
                <w:numId w:val="26"/>
              </w:numPr>
              <w:tabs>
                <w:tab w:val="left" w:pos="860"/>
              </w:tabs>
              <w:snapToGrid w:val="0"/>
              <w:spacing w:after="0"/>
              <w:ind w:left="602" w:firstLine="0"/>
              <w:rPr>
                <w:rFonts w:ascii="Arial Narrow" w:hAnsi="Arial Narrow"/>
                <w:sz w:val="20"/>
                <w:szCs w:val="20"/>
              </w:rPr>
            </w:pPr>
            <w:r w:rsidRPr="00855EF5">
              <w:rPr>
                <w:rFonts w:ascii="Arial Narrow" w:hAnsi="Arial Narrow"/>
                <w:sz w:val="20"/>
                <w:szCs w:val="20"/>
              </w:rPr>
              <w:t>respiratory disease</w:t>
            </w:r>
          </w:p>
          <w:p w14:paraId="3602EC4F" w14:textId="77777777" w:rsidR="00F96762" w:rsidRPr="00855EF5" w:rsidRDefault="00F96762" w:rsidP="00F96762">
            <w:pPr>
              <w:pStyle w:val="3-BodyText"/>
              <w:keepNext/>
              <w:numPr>
                <w:ilvl w:val="3"/>
                <w:numId w:val="26"/>
              </w:numPr>
              <w:tabs>
                <w:tab w:val="left" w:pos="860"/>
              </w:tabs>
              <w:snapToGrid w:val="0"/>
              <w:spacing w:after="0"/>
              <w:ind w:left="602" w:firstLine="0"/>
              <w:rPr>
                <w:rFonts w:ascii="Arial Narrow" w:hAnsi="Arial Narrow"/>
                <w:sz w:val="20"/>
                <w:szCs w:val="20"/>
              </w:rPr>
            </w:pPr>
            <w:r w:rsidRPr="00855EF5">
              <w:rPr>
                <w:rFonts w:ascii="Arial Narrow" w:hAnsi="Arial Narrow"/>
                <w:sz w:val="20"/>
                <w:szCs w:val="20"/>
              </w:rPr>
              <w:t>neurological disease</w:t>
            </w:r>
          </w:p>
          <w:p w14:paraId="29306D37" w14:textId="77777777" w:rsidR="00F96762" w:rsidRPr="00855EF5" w:rsidRDefault="00F96762" w:rsidP="00F96762">
            <w:pPr>
              <w:pStyle w:val="3-BodyText"/>
              <w:keepNext/>
              <w:numPr>
                <w:ilvl w:val="3"/>
                <w:numId w:val="26"/>
              </w:numPr>
              <w:tabs>
                <w:tab w:val="left" w:pos="860"/>
              </w:tabs>
              <w:snapToGrid w:val="0"/>
              <w:spacing w:after="0"/>
              <w:ind w:left="602" w:firstLine="0"/>
            </w:pPr>
            <w:r w:rsidRPr="00855EF5">
              <w:rPr>
                <w:rFonts w:ascii="Arial Narrow" w:hAnsi="Arial Narrow"/>
                <w:sz w:val="20"/>
                <w:szCs w:val="20"/>
              </w:rPr>
              <w:t>renal disease</w:t>
            </w:r>
          </w:p>
          <w:p w14:paraId="41DA9AA4" w14:textId="77777777" w:rsidR="00F96762" w:rsidRPr="00855EF5" w:rsidRDefault="00F96762" w:rsidP="00F96762">
            <w:pPr>
              <w:pStyle w:val="3-BodyText"/>
              <w:keepNext/>
              <w:numPr>
                <w:ilvl w:val="3"/>
                <w:numId w:val="26"/>
              </w:numPr>
              <w:tabs>
                <w:tab w:val="left" w:pos="860"/>
              </w:tabs>
              <w:snapToGrid w:val="0"/>
              <w:spacing w:after="0"/>
              <w:ind w:left="602" w:firstLine="0"/>
            </w:pPr>
            <w:r w:rsidRPr="00855EF5">
              <w:rPr>
                <w:rFonts w:ascii="Arial Narrow" w:hAnsi="Arial Narrow"/>
                <w:sz w:val="20"/>
                <w:szCs w:val="20"/>
              </w:rPr>
              <w:t>diabetes</w:t>
            </w:r>
          </w:p>
          <w:p w14:paraId="7A6B603D" w14:textId="77777777" w:rsidR="00F96762" w:rsidRPr="00855EF5" w:rsidRDefault="00F96762" w:rsidP="00F96762">
            <w:pPr>
              <w:pStyle w:val="3-BodyText"/>
              <w:keepNext/>
              <w:numPr>
                <w:ilvl w:val="3"/>
                <w:numId w:val="26"/>
              </w:numPr>
              <w:tabs>
                <w:tab w:val="left" w:pos="860"/>
              </w:tabs>
              <w:snapToGrid w:val="0"/>
              <w:spacing w:after="0"/>
              <w:ind w:left="602" w:firstLine="0"/>
            </w:pPr>
            <w:r w:rsidRPr="00855EF5">
              <w:rPr>
                <w:rFonts w:ascii="Arial Narrow" w:hAnsi="Arial Narrow"/>
                <w:sz w:val="20"/>
                <w:szCs w:val="20"/>
              </w:rPr>
              <w:t xml:space="preserve">cirrhosis </w:t>
            </w:r>
          </w:p>
        </w:tc>
      </w:tr>
    </w:tbl>
    <w:p w14:paraId="3E7003C2" w14:textId="77777777" w:rsidR="00F96762" w:rsidRPr="00855EF5" w:rsidRDefault="00F96762" w:rsidP="00F96762">
      <w:pPr>
        <w:jc w:val="left"/>
        <w:rPr>
          <w:rFonts w:ascii="Arial Narrow" w:hAnsi="Arial Narrow"/>
          <w:b/>
          <w:bCs/>
        </w:rPr>
      </w:pPr>
    </w:p>
    <w:p w14:paraId="6A4D02CA" w14:textId="77777777" w:rsidR="00F96762" w:rsidRPr="00855EF5" w:rsidRDefault="00F96762" w:rsidP="00F96762">
      <w:pPr>
        <w:keepNext/>
        <w:rPr>
          <w:rFonts w:ascii="Arial Narrow" w:hAnsi="Arial Narrow"/>
          <w:b/>
          <w:bCs/>
        </w:rPr>
      </w:pPr>
      <w:r w:rsidRPr="00855EF5">
        <w:rPr>
          <w:rFonts w:ascii="Arial Narrow" w:hAnsi="Arial Narrow"/>
          <w:b/>
          <w:bCs/>
          <w:sz w:val="20"/>
          <w:szCs w:val="20"/>
        </w:rPr>
        <w:lastRenderedPageBreak/>
        <w:t>Table 20</w:t>
      </w:r>
      <w:r>
        <w:rPr>
          <w:rFonts w:ascii="Arial Narrow" w:hAnsi="Arial Narrow"/>
          <w:b/>
          <w:bCs/>
          <w:sz w:val="20"/>
          <w:szCs w:val="20"/>
        </w:rPr>
        <w:t>:</w:t>
      </w:r>
      <w:r w:rsidRPr="00855EF5">
        <w:rPr>
          <w:rFonts w:ascii="Arial Narrow" w:hAnsi="Arial Narrow"/>
          <w:b/>
          <w:bCs/>
          <w:sz w:val="20"/>
          <w:szCs w:val="20"/>
        </w:rPr>
        <w:t xml:space="preserve"> Resubmission</w:t>
      </w:r>
      <w:r w:rsidRPr="00855EF5">
        <w:rPr>
          <w:rFonts w:ascii="Arial Narrow" w:hAnsi="Arial Narrow"/>
          <w:b/>
          <w:bCs/>
        </w:rPr>
        <w:t xml:space="preserve"> </w:t>
      </w:r>
      <w:r w:rsidRPr="00855EF5">
        <w:rPr>
          <w:rFonts w:ascii="Arial Narrow" w:hAnsi="Arial Narrow"/>
          <w:b/>
          <w:bCs/>
          <w:sz w:val="20"/>
          <w:szCs w:val="20"/>
        </w:rPr>
        <w:t>responses to clinical, economic, financial and risk management issues</w:t>
      </w:r>
      <w:r w:rsidRPr="00855EF5">
        <w:rPr>
          <w:rFonts w:ascii="Arial Narrow" w:hAnsi="Arial Narrow"/>
          <w:b/>
          <w:bCs/>
        </w:rPr>
        <w:t xml:space="preserve"> </w:t>
      </w:r>
    </w:p>
    <w:tbl>
      <w:tblPr>
        <w:tblStyle w:val="TableGrid"/>
        <w:tblW w:w="9067" w:type="dxa"/>
        <w:tblLook w:val="04A0" w:firstRow="1" w:lastRow="0" w:firstColumn="1" w:lastColumn="0" w:noHBand="0" w:noVBand="1"/>
      </w:tblPr>
      <w:tblGrid>
        <w:gridCol w:w="3397"/>
        <w:gridCol w:w="5670"/>
      </w:tblGrid>
      <w:tr w:rsidR="00F96762" w:rsidRPr="00855EF5" w14:paraId="04F262C4" w14:textId="77777777" w:rsidTr="00EB33AD">
        <w:trPr>
          <w:cantSplit/>
          <w:tblHeader/>
        </w:trPr>
        <w:tc>
          <w:tcPr>
            <w:tcW w:w="3397" w:type="dxa"/>
            <w:tcBorders>
              <w:top w:val="single" w:sz="4" w:space="0" w:color="auto"/>
              <w:left w:val="single" w:sz="4" w:space="0" w:color="auto"/>
              <w:bottom w:val="single" w:sz="4" w:space="0" w:color="auto"/>
              <w:right w:val="single" w:sz="4" w:space="0" w:color="auto"/>
            </w:tcBorders>
            <w:hideMark/>
          </w:tcPr>
          <w:p w14:paraId="2770ED01" w14:textId="77777777" w:rsidR="00F96762" w:rsidRPr="00855EF5" w:rsidRDefault="00F96762" w:rsidP="00EB33AD">
            <w:pPr>
              <w:pStyle w:val="TableText0"/>
              <w:keepNext w:val="0"/>
              <w:rPr>
                <w:b/>
                <w:bCs w:val="0"/>
              </w:rPr>
            </w:pPr>
            <w:r w:rsidRPr="00855EF5">
              <w:rPr>
                <w:b/>
                <w:bCs w:val="0"/>
              </w:rPr>
              <w:t>PBAC request</w:t>
            </w:r>
          </w:p>
        </w:tc>
        <w:tc>
          <w:tcPr>
            <w:tcW w:w="5670" w:type="dxa"/>
            <w:tcBorders>
              <w:top w:val="single" w:sz="4" w:space="0" w:color="auto"/>
              <w:left w:val="single" w:sz="4" w:space="0" w:color="auto"/>
              <w:bottom w:val="single" w:sz="4" w:space="0" w:color="auto"/>
              <w:right w:val="single" w:sz="4" w:space="0" w:color="auto"/>
            </w:tcBorders>
            <w:hideMark/>
          </w:tcPr>
          <w:p w14:paraId="32410F3D" w14:textId="77777777" w:rsidR="00F96762" w:rsidRPr="00855EF5" w:rsidRDefault="00F96762" w:rsidP="00EB33AD">
            <w:pPr>
              <w:pStyle w:val="TableText0"/>
              <w:keepNext w:val="0"/>
              <w:rPr>
                <w:b/>
                <w:bCs w:val="0"/>
              </w:rPr>
            </w:pPr>
            <w:r w:rsidRPr="00855EF5">
              <w:rPr>
                <w:b/>
                <w:bCs w:val="0"/>
              </w:rPr>
              <w:t>Additional/revised information provided by the resubmission</w:t>
            </w:r>
          </w:p>
        </w:tc>
      </w:tr>
      <w:tr w:rsidR="00F96762" w:rsidRPr="00855EF5" w14:paraId="078DEA14" w14:textId="77777777" w:rsidTr="00EB33AD">
        <w:tc>
          <w:tcPr>
            <w:tcW w:w="3397" w:type="dxa"/>
            <w:tcBorders>
              <w:top w:val="single" w:sz="4" w:space="0" w:color="auto"/>
              <w:left w:val="single" w:sz="4" w:space="0" w:color="auto"/>
              <w:bottom w:val="single" w:sz="4" w:space="0" w:color="auto"/>
              <w:right w:val="single" w:sz="4" w:space="0" w:color="auto"/>
            </w:tcBorders>
          </w:tcPr>
          <w:p w14:paraId="61C3B73E" w14:textId="77777777" w:rsidR="00F96762" w:rsidRPr="00855EF5" w:rsidRDefault="00F96762" w:rsidP="00EB33AD">
            <w:pPr>
              <w:pStyle w:val="TableText0"/>
              <w:keepNext w:val="0"/>
              <w:rPr>
                <w:b/>
                <w:bCs w:val="0"/>
              </w:rPr>
            </w:pPr>
            <w:r w:rsidRPr="00855EF5">
              <w:rPr>
                <w:b/>
                <w:bCs w:val="0"/>
              </w:rPr>
              <w:t>Clinical issues</w:t>
            </w:r>
          </w:p>
        </w:tc>
        <w:tc>
          <w:tcPr>
            <w:tcW w:w="5670" w:type="dxa"/>
            <w:tcBorders>
              <w:top w:val="single" w:sz="4" w:space="0" w:color="auto"/>
              <w:left w:val="single" w:sz="4" w:space="0" w:color="auto"/>
              <w:bottom w:val="single" w:sz="4" w:space="0" w:color="auto"/>
              <w:right w:val="single" w:sz="4" w:space="0" w:color="auto"/>
            </w:tcBorders>
          </w:tcPr>
          <w:p w14:paraId="2C59AEA6" w14:textId="77777777" w:rsidR="00F96762" w:rsidRPr="00855EF5" w:rsidRDefault="00F96762" w:rsidP="00EB33AD">
            <w:pPr>
              <w:pStyle w:val="TableText0"/>
              <w:keepNext w:val="0"/>
              <w:rPr>
                <w:b/>
                <w:bCs w:val="0"/>
              </w:rPr>
            </w:pPr>
          </w:p>
        </w:tc>
      </w:tr>
      <w:tr w:rsidR="00F96762" w:rsidRPr="00855EF5" w14:paraId="7EE973E5" w14:textId="77777777" w:rsidTr="00EB33AD">
        <w:tc>
          <w:tcPr>
            <w:tcW w:w="3397" w:type="dxa"/>
            <w:tcBorders>
              <w:top w:val="single" w:sz="4" w:space="0" w:color="auto"/>
              <w:left w:val="single" w:sz="4" w:space="0" w:color="auto"/>
              <w:bottom w:val="single" w:sz="4" w:space="0" w:color="auto"/>
              <w:right w:val="single" w:sz="4" w:space="0" w:color="auto"/>
            </w:tcBorders>
            <w:hideMark/>
          </w:tcPr>
          <w:p w14:paraId="6A59B796" w14:textId="77777777" w:rsidR="00F96762" w:rsidRPr="00855EF5" w:rsidRDefault="00F96762" w:rsidP="00EB33AD">
            <w:pPr>
              <w:pStyle w:val="TableText0"/>
              <w:keepNext w:val="0"/>
            </w:pPr>
            <w:r w:rsidRPr="00855EF5">
              <w:t>Further data regarding the effectiveness and safety of the proposed 300-300 mg repeat dosing</w:t>
            </w:r>
          </w:p>
        </w:tc>
        <w:tc>
          <w:tcPr>
            <w:tcW w:w="5670" w:type="dxa"/>
            <w:tcBorders>
              <w:top w:val="single" w:sz="4" w:space="0" w:color="auto"/>
              <w:left w:val="single" w:sz="4" w:space="0" w:color="auto"/>
              <w:bottom w:val="single" w:sz="4" w:space="0" w:color="auto"/>
              <w:right w:val="single" w:sz="4" w:space="0" w:color="auto"/>
            </w:tcBorders>
          </w:tcPr>
          <w:p w14:paraId="0EE4E9C9" w14:textId="77777777" w:rsidR="00F96762" w:rsidRPr="00855EF5" w:rsidRDefault="00F96762" w:rsidP="00EB33AD">
            <w:pPr>
              <w:pStyle w:val="TableText0"/>
              <w:keepNext w:val="0"/>
            </w:pPr>
            <w:r w:rsidRPr="00855EF5">
              <w:t xml:space="preserve">The resubmission advised that no additional efficacy and safety data for the repeat dosing of </w:t>
            </w:r>
            <w:r w:rsidRPr="00855EF5">
              <w:rPr>
                <w:color w:val="000000" w:themeColor="text1"/>
              </w:rPr>
              <w:t xml:space="preserve">tixagevimab 300 mg and cilgavimab </w:t>
            </w:r>
            <w:r w:rsidRPr="00855EF5">
              <w:t>300 mg were available.</w:t>
            </w:r>
          </w:p>
        </w:tc>
      </w:tr>
      <w:tr w:rsidR="00F96762" w:rsidRPr="00855EF5" w14:paraId="097B7F18" w14:textId="77777777" w:rsidTr="00EB33AD">
        <w:tc>
          <w:tcPr>
            <w:tcW w:w="3397" w:type="dxa"/>
            <w:tcBorders>
              <w:top w:val="single" w:sz="4" w:space="0" w:color="auto"/>
              <w:left w:val="single" w:sz="4" w:space="0" w:color="auto"/>
              <w:bottom w:val="single" w:sz="4" w:space="0" w:color="auto"/>
              <w:right w:val="single" w:sz="4" w:space="0" w:color="auto"/>
            </w:tcBorders>
          </w:tcPr>
          <w:p w14:paraId="5D101B04" w14:textId="77777777" w:rsidR="00F96762" w:rsidRPr="00855EF5" w:rsidRDefault="00F96762" w:rsidP="00EB33AD">
            <w:pPr>
              <w:pStyle w:val="TableText0"/>
              <w:keepNext w:val="0"/>
            </w:pPr>
            <w:r w:rsidRPr="00855EF5">
              <w:t xml:space="preserve">Further data demonstrating the applicability of evidence for use in immunocompromised individuals (or proposed group) </w:t>
            </w:r>
          </w:p>
        </w:tc>
        <w:tc>
          <w:tcPr>
            <w:tcW w:w="5670" w:type="dxa"/>
            <w:tcBorders>
              <w:top w:val="single" w:sz="4" w:space="0" w:color="auto"/>
              <w:left w:val="single" w:sz="4" w:space="0" w:color="auto"/>
              <w:bottom w:val="single" w:sz="4" w:space="0" w:color="auto"/>
              <w:right w:val="single" w:sz="4" w:space="0" w:color="auto"/>
            </w:tcBorders>
          </w:tcPr>
          <w:p w14:paraId="4DE947FC" w14:textId="77777777" w:rsidR="00F96762" w:rsidRPr="00855EF5" w:rsidRDefault="00F96762" w:rsidP="00EB33AD">
            <w:pPr>
              <w:pStyle w:val="TableText0"/>
              <w:keepNext w:val="0"/>
            </w:pPr>
            <w:r w:rsidRPr="00855EF5">
              <w:t xml:space="preserve">The resubmission claimed that observational data suggests that </w:t>
            </w:r>
            <w:r w:rsidRPr="00855EF5">
              <w:rPr>
                <w:color w:val="000000" w:themeColor="text1"/>
              </w:rPr>
              <w:t>tixagevimab and cilgavimab</w:t>
            </w:r>
            <w:r w:rsidRPr="00855EF5">
              <w:t xml:space="preserve"> provides up to 6 months effectiveness across a highly vaccinated, immunocompromised cohort. Longer term follow-up data was provided from patients administered </w:t>
            </w:r>
            <w:r w:rsidRPr="00855EF5">
              <w:rPr>
                <w:color w:val="000000" w:themeColor="text1"/>
              </w:rPr>
              <w:t>tixagevimab and cilgavimab in</w:t>
            </w:r>
            <w:r w:rsidRPr="00855EF5">
              <w:t xml:space="preserve"> an observational study reported by Al Jurdi 2022 and results of a study reported by Moon 2022 were presented. </w:t>
            </w:r>
          </w:p>
        </w:tc>
      </w:tr>
      <w:tr w:rsidR="00F96762" w:rsidRPr="00855EF5" w14:paraId="040F8AFA" w14:textId="77777777" w:rsidTr="00EB33AD">
        <w:tc>
          <w:tcPr>
            <w:tcW w:w="3397" w:type="dxa"/>
            <w:tcBorders>
              <w:top w:val="single" w:sz="4" w:space="0" w:color="auto"/>
              <w:left w:val="single" w:sz="4" w:space="0" w:color="auto"/>
              <w:bottom w:val="single" w:sz="4" w:space="0" w:color="auto"/>
              <w:right w:val="single" w:sz="4" w:space="0" w:color="auto"/>
            </w:tcBorders>
            <w:hideMark/>
          </w:tcPr>
          <w:p w14:paraId="61C76873" w14:textId="77777777" w:rsidR="00F96762" w:rsidRPr="00855EF5" w:rsidRDefault="00F96762" w:rsidP="00EB33AD">
            <w:pPr>
              <w:pStyle w:val="TableText0"/>
              <w:keepNext w:val="0"/>
            </w:pPr>
            <w:r w:rsidRPr="00855EF5">
              <w:t>Further data demonstrating the applicability of evidence for current variants of concern</w:t>
            </w:r>
          </w:p>
        </w:tc>
        <w:tc>
          <w:tcPr>
            <w:tcW w:w="5670" w:type="dxa"/>
            <w:tcBorders>
              <w:top w:val="single" w:sz="4" w:space="0" w:color="auto"/>
              <w:left w:val="single" w:sz="4" w:space="0" w:color="auto"/>
              <w:bottom w:val="single" w:sz="4" w:space="0" w:color="auto"/>
              <w:right w:val="single" w:sz="4" w:space="0" w:color="auto"/>
            </w:tcBorders>
          </w:tcPr>
          <w:p w14:paraId="39FEEE7A" w14:textId="77777777" w:rsidR="00F96762" w:rsidRPr="00855EF5" w:rsidRDefault="00F96762" w:rsidP="00EB33AD">
            <w:pPr>
              <w:pStyle w:val="TableText0"/>
              <w:keepNext w:val="0"/>
            </w:pPr>
            <w:r w:rsidRPr="00855EF5">
              <w:t xml:space="preserve">The resubmission claimed that </w:t>
            </w:r>
            <w:r w:rsidRPr="00855EF5">
              <w:rPr>
                <w:color w:val="000000" w:themeColor="text1"/>
              </w:rPr>
              <w:t>tixagevimab and cilgavimab</w:t>
            </w:r>
            <w:r w:rsidRPr="00855EF5">
              <w:t xml:space="preserve"> provides protection against the BA.4/5 variants, which were the dominant variants of concern in Australia as of 1 November 2022. </w:t>
            </w:r>
          </w:p>
        </w:tc>
      </w:tr>
      <w:tr w:rsidR="00F96762" w:rsidRPr="00855EF5" w14:paraId="2AAF18B7" w14:textId="77777777" w:rsidTr="00EB33AD">
        <w:tc>
          <w:tcPr>
            <w:tcW w:w="3397" w:type="dxa"/>
            <w:tcBorders>
              <w:top w:val="single" w:sz="4" w:space="0" w:color="auto"/>
              <w:left w:val="single" w:sz="4" w:space="0" w:color="auto"/>
              <w:bottom w:val="single" w:sz="4" w:space="0" w:color="auto"/>
              <w:right w:val="single" w:sz="4" w:space="0" w:color="auto"/>
            </w:tcBorders>
          </w:tcPr>
          <w:p w14:paraId="63534553" w14:textId="77777777" w:rsidR="00F96762" w:rsidRPr="00855EF5" w:rsidRDefault="00F96762" w:rsidP="00EB33AD">
            <w:pPr>
              <w:pStyle w:val="TableText0"/>
              <w:keepNext w:val="0"/>
            </w:pPr>
            <w:r w:rsidRPr="00855EF5">
              <w:t>Further data demonstrating incremental benefit over four-dose vaccine regimen</w:t>
            </w:r>
          </w:p>
        </w:tc>
        <w:tc>
          <w:tcPr>
            <w:tcW w:w="5670" w:type="dxa"/>
            <w:tcBorders>
              <w:top w:val="single" w:sz="4" w:space="0" w:color="auto"/>
              <w:left w:val="single" w:sz="4" w:space="0" w:color="auto"/>
              <w:bottom w:val="single" w:sz="4" w:space="0" w:color="auto"/>
              <w:right w:val="single" w:sz="4" w:space="0" w:color="auto"/>
            </w:tcBorders>
          </w:tcPr>
          <w:p w14:paraId="0C977D50" w14:textId="77777777" w:rsidR="00F96762" w:rsidRPr="00855EF5" w:rsidRDefault="00F96762" w:rsidP="00EB33AD">
            <w:pPr>
              <w:pStyle w:val="TableText0"/>
              <w:keepNext w:val="0"/>
            </w:pPr>
            <w:r w:rsidRPr="00855EF5">
              <w:t>The resubmission noted that severely immunocompromised patients have a greater risk of COVID-19-related severe illness and have sub-optimal or no response to vaccination. It noted that the observational studies considered by the PBAC in September 2022 included patients who were vaccinated and claimed that these studies support a claim of incremental benefit over vaccination.</w:t>
            </w:r>
          </w:p>
        </w:tc>
      </w:tr>
      <w:tr w:rsidR="00F96762" w:rsidRPr="00855EF5" w14:paraId="58031910" w14:textId="77777777" w:rsidTr="00EB33AD">
        <w:tc>
          <w:tcPr>
            <w:tcW w:w="3397" w:type="dxa"/>
            <w:tcBorders>
              <w:top w:val="single" w:sz="4" w:space="0" w:color="auto"/>
              <w:left w:val="single" w:sz="4" w:space="0" w:color="auto"/>
              <w:bottom w:val="single" w:sz="4" w:space="0" w:color="auto"/>
              <w:right w:val="single" w:sz="4" w:space="0" w:color="auto"/>
            </w:tcBorders>
          </w:tcPr>
          <w:p w14:paraId="1A53F63B" w14:textId="77777777" w:rsidR="00F96762" w:rsidRPr="00855EF5" w:rsidRDefault="00F96762" w:rsidP="00EB33AD">
            <w:pPr>
              <w:pStyle w:val="TableText0"/>
              <w:keepNext w:val="0"/>
            </w:pPr>
            <w:r w:rsidRPr="00855EF5">
              <w:t>Further data demonstrating incremental benefit in terms of use of symptomatic treatment</w:t>
            </w:r>
          </w:p>
        </w:tc>
        <w:tc>
          <w:tcPr>
            <w:tcW w:w="5670" w:type="dxa"/>
            <w:tcBorders>
              <w:top w:val="single" w:sz="4" w:space="0" w:color="auto"/>
              <w:left w:val="single" w:sz="4" w:space="0" w:color="auto"/>
              <w:bottom w:val="single" w:sz="4" w:space="0" w:color="auto"/>
              <w:right w:val="single" w:sz="4" w:space="0" w:color="auto"/>
            </w:tcBorders>
          </w:tcPr>
          <w:p w14:paraId="2219EF6E" w14:textId="77777777" w:rsidR="00F96762" w:rsidRPr="00855EF5" w:rsidRDefault="00F96762" w:rsidP="00EB33AD">
            <w:pPr>
              <w:pStyle w:val="TableText0"/>
              <w:keepNext w:val="0"/>
            </w:pPr>
            <w:r w:rsidRPr="00855EF5">
              <w:t xml:space="preserve">The submission claimed that very few patients for whom PBS listing of </w:t>
            </w:r>
            <w:r w:rsidRPr="00855EF5">
              <w:rPr>
                <w:color w:val="000000" w:themeColor="text1"/>
              </w:rPr>
              <w:t>tixagevimab and cilgavimab as PrEP was proposed</w:t>
            </w:r>
            <w:r w:rsidRPr="00855EF5">
              <w:t xml:space="preserve"> can rely on the PBS-listed oral treatments to prevent serious illness, if infected. It suggested that nirmatrelvir + ritonavir is contraindicated for the majority of the proposed patient population and that molnupiravir has limited effectiveness. </w:t>
            </w:r>
          </w:p>
        </w:tc>
      </w:tr>
      <w:tr w:rsidR="00F96762" w:rsidRPr="00855EF5" w14:paraId="0E7A6507" w14:textId="77777777" w:rsidTr="00EB33AD">
        <w:tc>
          <w:tcPr>
            <w:tcW w:w="3397" w:type="dxa"/>
            <w:tcBorders>
              <w:top w:val="single" w:sz="4" w:space="0" w:color="auto"/>
              <w:left w:val="single" w:sz="4" w:space="0" w:color="auto"/>
              <w:bottom w:val="single" w:sz="4" w:space="0" w:color="auto"/>
              <w:right w:val="single" w:sz="4" w:space="0" w:color="auto"/>
            </w:tcBorders>
          </w:tcPr>
          <w:p w14:paraId="09E56D4E" w14:textId="77777777" w:rsidR="00F96762" w:rsidRPr="00855EF5" w:rsidRDefault="00F96762" w:rsidP="00EB33AD">
            <w:pPr>
              <w:pStyle w:val="TableText0"/>
              <w:keepNext w:val="0"/>
            </w:pPr>
            <w:r w:rsidRPr="00855EF5">
              <w:t>Address concerns about comparative benefits and harms in the context of the proposed patient population</w:t>
            </w:r>
          </w:p>
        </w:tc>
        <w:tc>
          <w:tcPr>
            <w:tcW w:w="5670" w:type="dxa"/>
            <w:tcBorders>
              <w:top w:val="single" w:sz="4" w:space="0" w:color="auto"/>
              <w:left w:val="single" w:sz="4" w:space="0" w:color="auto"/>
              <w:bottom w:val="single" w:sz="4" w:space="0" w:color="auto"/>
              <w:right w:val="single" w:sz="4" w:space="0" w:color="auto"/>
            </w:tcBorders>
          </w:tcPr>
          <w:p w14:paraId="419F11CB" w14:textId="77777777" w:rsidR="00F96762" w:rsidRPr="00855EF5" w:rsidRDefault="00F96762" w:rsidP="00EB33AD">
            <w:pPr>
              <w:pStyle w:val="TableText0"/>
              <w:keepNext w:val="0"/>
            </w:pPr>
            <w:r w:rsidRPr="00855EF5">
              <w:t>The resubmission did not discuss the comparative benefits and harms in terms of the PBAC’s concerns regarding the number needed-to-treat versus number needed-to-harm.</w:t>
            </w:r>
          </w:p>
        </w:tc>
      </w:tr>
      <w:tr w:rsidR="00F96762" w:rsidRPr="00855EF5" w14:paraId="6CC3F3D4" w14:textId="77777777" w:rsidTr="00EB33AD">
        <w:tc>
          <w:tcPr>
            <w:tcW w:w="3397" w:type="dxa"/>
            <w:tcBorders>
              <w:top w:val="single" w:sz="4" w:space="0" w:color="auto"/>
              <w:left w:val="single" w:sz="4" w:space="0" w:color="auto"/>
              <w:bottom w:val="single" w:sz="4" w:space="0" w:color="auto"/>
              <w:right w:val="single" w:sz="4" w:space="0" w:color="auto"/>
            </w:tcBorders>
          </w:tcPr>
          <w:p w14:paraId="08826D93" w14:textId="77777777" w:rsidR="00F96762" w:rsidRPr="00855EF5" w:rsidRDefault="00F96762" w:rsidP="00EB33AD">
            <w:pPr>
              <w:pStyle w:val="TableText0"/>
              <w:keepNext w:val="0"/>
            </w:pPr>
            <w:r w:rsidRPr="00855EF5">
              <w:t>Further consideration of the potential for serious cardiac adverse events</w:t>
            </w:r>
          </w:p>
        </w:tc>
        <w:tc>
          <w:tcPr>
            <w:tcW w:w="5670" w:type="dxa"/>
            <w:tcBorders>
              <w:top w:val="single" w:sz="4" w:space="0" w:color="auto"/>
              <w:left w:val="single" w:sz="4" w:space="0" w:color="auto"/>
              <w:bottom w:val="single" w:sz="4" w:space="0" w:color="auto"/>
              <w:right w:val="single" w:sz="4" w:space="0" w:color="auto"/>
            </w:tcBorders>
          </w:tcPr>
          <w:p w14:paraId="0EB26471" w14:textId="77777777" w:rsidR="00F96762" w:rsidRPr="00855EF5" w:rsidRDefault="00F96762" w:rsidP="00EB33AD">
            <w:pPr>
              <w:pStyle w:val="TableText0"/>
              <w:keepNext w:val="0"/>
            </w:pPr>
            <w:r w:rsidRPr="00855EF5">
              <w:t xml:space="preserve">The resubmission did not discuss the potential for serious cardiac adverse events with </w:t>
            </w:r>
            <w:r w:rsidRPr="00855EF5">
              <w:rPr>
                <w:color w:val="000000" w:themeColor="text1"/>
              </w:rPr>
              <w:t>tixagevimab and cilgavimab</w:t>
            </w:r>
            <w:r w:rsidRPr="00855EF5">
              <w:t>.</w:t>
            </w:r>
          </w:p>
        </w:tc>
      </w:tr>
      <w:tr w:rsidR="00F96762" w:rsidRPr="00855EF5" w14:paraId="1D29FCAE" w14:textId="77777777" w:rsidTr="00EB33AD">
        <w:tc>
          <w:tcPr>
            <w:tcW w:w="3397" w:type="dxa"/>
            <w:tcBorders>
              <w:top w:val="single" w:sz="4" w:space="0" w:color="auto"/>
              <w:left w:val="single" w:sz="4" w:space="0" w:color="auto"/>
              <w:bottom w:val="single" w:sz="4" w:space="0" w:color="auto"/>
              <w:right w:val="single" w:sz="4" w:space="0" w:color="auto"/>
            </w:tcBorders>
          </w:tcPr>
          <w:p w14:paraId="346DEF5F" w14:textId="77777777" w:rsidR="00F96762" w:rsidRPr="00855EF5" w:rsidRDefault="00F96762" w:rsidP="00EB33AD">
            <w:pPr>
              <w:pStyle w:val="TableText0"/>
              <w:keepNext w:val="0"/>
              <w:rPr>
                <w:b/>
                <w:bCs w:val="0"/>
              </w:rPr>
            </w:pPr>
            <w:r w:rsidRPr="00855EF5">
              <w:rPr>
                <w:b/>
                <w:bCs w:val="0"/>
              </w:rPr>
              <w:t>Economic issues</w:t>
            </w:r>
          </w:p>
        </w:tc>
        <w:tc>
          <w:tcPr>
            <w:tcW w:w="5670" w:type="dxa"/>
            <w:tcBorders>
              <w:top w:val="single" w:sz="4" w:space="0" w:color="auto"/>
              <w:left w:val="single" w:sz="4" w:space="0" w:color="auto"/>
              <w:bottom w:val="single" w:sz="4" w:space="0" w:color="auto"/>
              <w:right w:val="single" w:sz="4" w:space="0" w:color="auto"/>
            </w:tcBorders>
          </w:tcPr>
          <w:p w14:paraId="7884E3F4" w14:textId="77777777" w:rsidR="00F96762" w:rsidRPr="00855EF5" w:rsidRDefault="00F96762" w:rsidP="00EB33AD">
            <w:pPr>
              <w:pStyle w:val="TableText0"/>
              <w:keepNext w:val="0"/>
            </w:pPr>
          </w:p>
        </w:tc>
      </w:tr>
      <w:tr w:rsidR="00F96762" w:rsidRPr="00855EF5" w14:paraId="464A488A" w14:textId="77777777" w:rsidTr="00EB33AD">
        <w:tc>
          <w:tcPr>
            <w:tcW w:w="3397" w:type="dxa"/>
            <w:tcBorders>
              <w:top w:val="single" w:sz="4" w:space="0" w:color="auto"/>
              <w:left w:val="single" w:sz="4" w:space="0" w:color="auto"/>
              <w:bottom w:val="single" w:sz="4" w:space="0" w:color="auto"/>
              <w:right w:val="single" w:sz="4" w:space="0" w:color="auto"/>
            </w:tcBorders>
          </w:tcPr>
          <w:p w14:paraId="6ECF6E8F" w14:textId="155854B8" w:rsidR="00F96762" w:rsidRPr="00855EF5" w:rsidRDefault="00F96762" w:rsidP="00EB33AD">
            <w:pPr>
              <w:pStyle w:val="TableText0"/>
              <w:keepNext w:val="0"/>
            </w:pPr>
            <w:r w:rsidRPr="00855EF5">
              <w:t>Reduce price to achieve an ICER of &lt;$</w:t>
            </w:r>
            <w:r w:rsidR="004755B7" w:rsidRPr="00157ED3">
              <w:rPr>
                <w:color w:val="000000"/>
                <w:spacing w:val="48"/>
                <w:shd w:val="solid" w:color="000000" w:fill="000000"/>
                <w:fitText w:val="500" w:id="-1280136704"/>
                <w14:textFill>
                  <w14:solidFill>
                    <w14:srgbClr w14:val="000000">
                      <w14:alpha w14:val="100000"/>
                    </w14:srgbClr>
                  </w14:solidFill>
                </w14:textFill>
              </w:rPr>
              <w:t>|||||</w:t>
            </w:r>
            <w:r w:rsidR="004755B7" w:rsidRPr="00157ED3">
              <w:rPr>
                <w:color w:val="000000"/>
                <w:spacing w:val="5"/>
                <w:shd w:val="solid" w:color="000000" w:fill="000000"/>
                <w:fitText w:val="500" w:id="-1280136704"/>
                <w14:textFill>
                  <w14:solidFill>
                    <w14:srgbClr w14:val="000000">
                      <w14:alpha w14:val="100000"/>
                    </w14:srgbClr>
                  </w14:solidFill>
                </w14:textFill>
              </w:rPr>
              <w:t>|</w:t>
            </w:r>
            <w:r w:rsidR="00892500">
              <w:rPr>
                <w:vertAlign w:val="superscript"/>
              </w:rPr>
              <w:t>1</w:t>
            </w:r>
            <w:r w:rsidRPr="00855EF5">
              <w:t>/QALY gained</w:t>
            </w:r>
          </w:p>
        </w:tc>
        <w:tc>
          <w:tcPr>
            <w:tcW w:w="5670" w:type="dxa"/>
            <w:tcBorders>
              <w:top w:val="single" w:sz="4" w:space="0" w:color="auto"/>
              <w:left w:val="single" w:sz="4" w:space="0" w:color="auto"/>
              <w:bottom w:val="single" w:sz="4" w:space="0" w:color="auto"/>
              <w:right w:val="single" w:sz="4" w:space="0" w:color="auto"/>
            </w:tcBorders>
          </w:tcPr>
          <w:p w14:paraId="26D14B81" w14:textId="0CD0A34D" w:rsidR="00F96762" w:rsidRPr="00855EF5" w:rsidRDefault="00F96762" w:rsidP="00EB33AD">
            <w:pPr>
              <w:pStyle w:val="TableText0"/>
              <w:keepNext w:val="0"/>
            </w:pPr>
            <w:r w:rsidRPr="00855EF5">
              <w:t>The resubmission proposed a reduction in the effective DPMQ from $</w:t>
            </w:r>
            <w:r w:rsidR="004755B7" w:rsidRPr="00157ED3">
              <w:rPr>
                <w:color w:val="000000"/>
                <w:spacing w:val="48"/>
                <w:shd w:val="solid" w:color="000000" w:fill="000000"/>
                <w:fitText w:val="500" w:id="-1280136703"/>
                <w14:textFill>
                  <w14:solidFill>
                    <w14:srgbClr w14:val="000000">
                      <w14:alpha w14:val="100000"/>
                    </w14:srgbClr>
                  </w14:solidFill>
                </w14:textFill>
              </w:rPr>
              <w:t>|||||</w:t>
            </w:r>
            <w:r w:rsidR="004755B7" w:rsidRPr="00157ED3">
              <w:rPr>
                <w:color w:val="000000"/>
                <w:spacing w:val="5"/>
                <w:shd w:val="solid" w:color="000000" w:fill="000000"/>
                <w:fitText w:val="500" w:id="-1280136703"/>
                <w14:textFill>
                  <w14:solidFill>
                    <w14:srgbClr w14:val="000000">
                      <w14:alpha w14:val="100000"/>
                    </w14:srgbClr>
                  </w14:solidFill>
                </w14:textFill>
              </w:rPr>
              <w:t>|</w:t>
            </w:r>
            <w:r w:rsidRPr="00855EF5">
              <w:t xml:space="preserve"> to $</w:t>
            </w:r>
            <w:r w:rsidR="004755B7" w:rsidRPr="00157ED3">
              <w:rPr>
                <w:color w:val="000000"/>
                <w:spacing w:val="48"/>
                <w:shd w:val="solid" w:color="000000" w:fill="000000"/>
                <w:fitText w:val="500" w:id="-1280136702"/>
                <w14:textFill>
                  <w14:solidFill>
                    <w14:srgbClr w14:val="000000">
                      <w14:alpha w14:val="100000"/>
                    </w14:srgbClr>
                  </w14:solidFill>
                </w14:textFill>
              </w:rPr>
              <w:t>|||||</w:t>
            </w:r>
            <w:r w:rsidR="004755B7" w:rsidRPr="00157ED3">
              <w:rPr>
                <w:color w:val="000000"/>
                <w:spacing w:val="5"/>
                <w:shd w:val="solid" w:color="000000" w:fill="000000"/>
                <w:fitText w:val="500" w:id="-1280136702"/>
                <w14:textFill>
                  <w14:solidFill>
                    <w14:srgbClr w14:val="000000">
                      <w14:alpha w14:val="100000"/>
                    </w14:srgbClr>
                  </w14:solidFill>
                </w14:textFill>
              </w:rPr>
              <w:t>|</w:t>
            </w:r>
            <w:r w:rsidRPr="00855EF5">
              <w:t xml:space="preserve"> (ex-manufacture price per 150-150 mg pack $</w:t>
            </w:r>
            <w:r w:rsidR="004755B7" w:rsidRPr="00157ED3">
              <w:rPr>
                <w:color w:val="000000"/>
                <w:spacing w:val="48"/>
                <w:shd w:val="solid" w:color="000000" w:fill="000000"/>
                <w:fitText w:val="500" w:id="-1280136701"/>
                <w14:textFill>
                  <w14:solidFill>
                    <w14:srgbClr w14:val="000000">
                      <w14:alpha w14:val="100000"/>
                    </w14:srgbClr>
                  </w14:solidFill>
                </w14:textFill>
              </w:rPr>
              <w:t>|||||</w:t>
            </w:r>
            <w:r w:rsidR="004755B7" w:rsidRPr="00157ED3">
              <w:rPr>
                <w:color w:val="000000"/>
                <w:spacing w:val="5"/>
                <w:shd w:val="solid" w:color="000000" w:fill="000000"/>
                <w:fitText w:val="500" w:id="-1280136701"/>
                <w14:textFill>
                  <w14:solidFill>
                    <w14:srgbClr w14:val="000000">
                      <w14:alpha w14:val="100000"/>
                    </w14:srgbClr>
                  </w14:solidFill>
                </w14:textFill>
              </w:rPr>
              <w:t>|</w:t>
            </w:r>
            <w:r w:rsidRPr="00855EF5">
              <w:t>, proposed Max Quantity 2).</w:t>
            </w:r>
            <w:r w:rsidR="00F300A6">
              <w:t xml:space="preserve"> </w:t>
            </w:r>
            <w:r w:rsidRPr="00855EF5">
              <w:t>The corresponding ICER for the proposed DPMQ was $</w:t>
            </w:r>
            <w:r w:rsidR="004755B7" w:rsidRPr="00157ED3">
              <w:rPr>
                <w:color w:val="000000"/>
                <w:spacing w:val="48"/>
                <w:shd w:val="solid" w:color="000000" w:fill="000000"/>
                <w:fitText w:val="500" w:id="-1280136700"/>
                <w14:textFill>
                  <w14:solidFill>
                    <w14:srgbClr w14:val="000000">
                      <w14:alpha w14:val="100000"/>
                    </w14:srgbClr>
                  </w14:solidFill>
                </w14:textFill>
              </w:rPr>
              <w:t>|||||</w:t>
            </w:r>
            <w:r w:rsidR="004755B7" w:rsidRPr="00157ED3">
              <w:rPr>
                <w:color w:val="000000"/>
                <w:spacing w:val="5"/>
                <w:shd w:val="solid" w:color="000000" w:fill="000000"/>
                <w:fitText w:val="500" w:id="-1280136700"/>
                <w14:textFill>
                  <w14:solidFill>
                    <w14:srgbClr w14:val="000000">
                      <w14:alpha w14:val="100000"/>
                    </w14:srgbClr>
                  </w14:solidFill>
                </w14:textFill>
              </w:rPr>
              <w:t>|</w:t>
            </w:r>
            <w:r w:rsidR="00892500">
              <w:rPr>
                <w:vertAlign w:val="superscript"/>
              </w:rPr>
              <w:t>1</w:t>
            </w:r>
            <w:r w:rsidRPr="00855EF5">
              <w:t>/QALY gained in the resubmission’s base case.</w:t>
            </w:r>
          </w:p>
        </w:tc>
      </w:tr>
      <w:tr w:rsidR="00F96762" w:rsidRPr="00855EF5" w14:paraId="52D69B8B" w14:textId="77777777" w:rsidTr="00EB33AD">
        <w:tc>
          <w:tcPr>
            <w:tcW w:w="3397" w:type="dxa"/>
            <w:tcBorders>
              <w:top w:val="single" w:sz="4" w:space="0" w:color="auto"/>
              <w:left w:val="single" w:sz="4" w:space="0" w:color="auto"/>
              <w:bottom w:val="single" w:sz="4" w:space="0" w:color="auto"/>
              <w:right w:val="single" w:sz="4" w:space="0" w:color="auto"/>
            </w:tcBorders>
          </w:tcPr>
          <w:p w14:paraId="2ACDA436" w14:textId="77777777" w:rsidR="00F96762" w:rsidRPr="00855EF5" w:rsidRDefault="00F96762" w:rsidP="00EB33AD">
            <w:pPr>
              <w:pStyle w:val="TableText0"/>
              <w:keepNext w:val="0"/>
              <w:rPr>
                <w:b/>
                <w:bCs w:val="0"/>
              </w:rPr>
            </w:pPr>
            <w:r w:rsidRPr="00855EF5">
              <w:t>Inputs and structure in model consistent with empiric efficacy data (single dose)</w:t>
            </w:r>
          </w:p>
        </w:tc>
        <w:tc>
          <w:tcPr>
            <w:tcW w:w="5670" w:type="dxa"/>
            <w:tcBorders>
              <w:top w:val="single" w:sz="4" w:space="0" w:color="auto"/>
              <w:left w:val="single" w:sz="4" w:space="0" w:color="auto"/>
              <w:bottom w:val="single" w:sz="4" w:space="0" w:color="auto"/>
              <w:right w:val="single" w:sz="4" w:space="0" w:color="auto"/>
            </w:tcBorders>
          </w:tcPr>
          <w:p w14:paraId="2E21696F" w14:textId="77777777" w:rsidR="00F96762" w:rsidRPr="00855EF5" w:rsidRDefault="00F96762" w:rsidP="00EB33AD">
            <w:pPr>
              <w:pStyle w:val="TableText0"/>
              <w:keepNext w:val="0"/>
            </w:pPr>
            <w:r w:rsidRPr="00855EF5">
              <w:t xml:space="preserve">The PBAC requested that the empiric efficacy data (single dose) be applied in the resubmission. On this basis, the resubmission changed the risk reduction for symptomatic infection from 0.226 as reported at 6 months in the PROVENT study, as applied in the original model to 0.34 as reported for the COVID-19 infection component of the composite endpoint reported by Young-Xu 2022. </w:t>
            </w:r>
          </w:p>
        </w:tc>
      </w:tr>
      <w:tr w:rsidR="00F96762" w:rsidRPr="00855EF5" w14:paraId="7889B236" w14:textId="77777777" w:rsidTr="00EB33AD">
        <w:tc>
          <w:tcPr>
            <w:tcW w:w="3397" w:type="dxa"/>
            <w:tcBorders>
              <w:top w:val="single" w:sz="4" w:space="0" w:color="auto"/>
              <w:left w:val="single" w:sz="4" w:space="0" w:color="auto"/>
              <w:bottom w:val="single" w:sz="4" w:space="0" w:color="auto"/>
              <w:right w:val="single" w:sz="4" w:space="0" w:color="auto"/>
            </w:tcBorders>
          </w:tcPr>
          <w:p w14:paraId="0E1A03A2" w14:textId="77777777" w:rsidR="00F96762" w:rsidRPr="00855EF5" w:rsidRDefault="00F96762" w:rsidP="00EB33AD">
            <w:pPr>
              <w:pStyle w:val="TableText0"/>
              <w:keepNext w:val="0"/>
            </w:pPr>
            <w:r w:rsidRPr="00855EF5">
              <w:t>Assume no more than 15% risk of [infection] over a 6-month period</w:t>
            </w:r>
          </w:p>
        </w:tc>
        <w:tc>
          <w:tcPr>
            <w:tcW w:w="5670" w:type="dxa"/>
            <w:tcBorders>
              <w:top w:val="single" w:sz="4" w:space="0" w:color="auto"/>
              <w:left w:val="single" w:sz="4" w:space="0" w:color="auto"/>
              <w:bottom w:val="single" w:sz="4" w:space="0" w:color="auto"/>
              <w:right w:val="single" w:sz="4" w:space="0" w:color="auto"/>
            </w:tcBorders>
          </w:tcPr>
          <w:p w14:paraId="170A130E" w14:textId="77777777" w:rsidR="00F96762" w:rsidRPr="00855EF5" w:rsidRDefault="00F96762" w:rsidP="00EB33AD">
            <w:pPr>
              <w:pStyle w:val="TableText0"/>
              <w:keepNext w:val="0"/>
            </w:pPr>
            <w:r w:rsidRPr="00855EF5">
              <w:t>A 15% baseline risk of infection over the 6-month time horizon of the economic model was applied, consistent with PBAC advice.</w:t>
            </w:r>
          </w:p>
        </w:tc>
      </w:tr>
      <w:tr w:rsidR="00F96762" w:rsidRPr="00855EF5" w14:paraId="497899C3" w14:textId="77777777" w:rsidTr="00EB33AD">
        <w:tc>
          <w:tcPr>
            <w:tcW w:w="3397" w:type="dxa"/>
            <w:tcBorders>
              <w:top w:val="single" w:sz="4" w:space="0" w:color="auto"/>
              <w:left w:val="single" w:sz="4" w:space="0" w:color="auto"/>
              <w:bottom w:val="single" w:sz="4" w:space="0" w:color="auto"/>
              <w:right w:val="single" w:sz="4" w:space="0" w:color="auto"/>
            </w:tcBorders>
          </w:tcPr>
          <w:p w14:paraId="5586AF50" w14:textId="77777777" w:rsidR="00F96762" w:rsidRPr="00855EF5" w:rsidRDefault="00F96762" w:rsidP="00EB33AD">
            <w:pPr>
              <w:pStyle w:val="TableText0"/>
              <w:keepNext w:val="0"/>
            </w:pPr>
            <w:r w:rsidRPr="00855EF5">
              <w:t>No more than a 69% reduction in risk of hospitalisation to 3 months, no benefit thereafter</w:t>
            </w:r>
          </w:p>
        </w:tc>
        <w:tc>
          <w:tcPr>
            <w:tcW w:w="5670" w:type="dxa"/>
            <w:tcBorders>
              <w:top w:val="single" w:sz="4" w:space="0" w:color="auto"/>
              <w:left w:val="single" w:sz="4" w:space="0" w:color="auto"/>
              <w:bottom w:val="single" w:sz="4" w:space="0" w:color="auto"/>
              <w:right w:val="single" w:sz="4" w:space="0" w:color="auto"/>
            </w:tcBorders>
          </w:tcPr>
          <w:p w14:paraId="2B0066E8" w14:textId="77777777" w:rsidR="00F96762" w:rsidRPr="00855EF5" w:rsidRDefault="00F96762" w:rsidP="00EB33AD">
            <w:pPr>
              <w:pStyle w:val="TableText0"/>
              <w:keepNext w:val="0"/>
            </w:pPr>
            <w:r w:rsidRPr="00855EF5">
              <w:t xml:space="preserve">The model considered in September 2022 applied a 91.3% reduction in risk of hospitalisation (RR: 0.087) based on the results from the PROVENT trial. The PBAC advised that a 69% reduction in risk of hospitalisation (RR: 0.31) should be applied for 3 months, consistent with the composite outcome considering the 3 component outcomes of: SARS-CoV-2 infection, COVID-19-related hospitalisation, or all-cause mortality as reported by Young-Xu 2022. Instead of applying the reduction in risk of hospitalisation for only 3 months as requested by the PBAC (which would </w:t>
            </w:r>
            <w:r w:rsidRPr="00855EF5">
              <w:lastRenderedPageBreak/>
              <w:t xml:space="preserve">have resulted in a 34.5% reduction in risk of hospitalisation over 6 months in patients treated with </w:t>
            </w:r>
            <w:r w:rsidRPr="00855EF5">
              <w:rPr>
                <w:color w:val="000000" w:themeColor="text1"/>
              </w:rPr>
              <w:t>tixagevimab and cilgavimab</w:t>
            </w:r>
            <w:r w:rsidRPr="00855EF5">
              <w:t xml:space="preserve">), the resubmission applied an 87% reduction in risk of hospitalisation for 6 months, claiming this was consistent with the component of hospitalisation that was part of the composite outcome reported in Young-Xu 2022 </w:t>
            </w:r>
          </w:p>
        </w:tc>
      </w:tr>
      <w:tr w:rsidR="00F96762" w:rsidRPr="00855EF5" w14:paraId="35850E87" w14:textId="77777777" w:rsidTr="00EB33AD">
        <w:tc>
          <w:tcPr>
            <w:tcW w:w="3397" w:type="dxa"/>
            <w:tcBorders>
              <w:top w:val="single" w:sz="4" w:space="0" w:color="auto"/>
              <w:left w:val="single" w:sz="4" w:space="0" w:color="auto"/>
              <w:bottom w:val="single" w:sz="4" w:space="0" w:color="auto"/>
              <w:right w:val="single" w:sz="4" w:space="0" w:color="auto"/>
            </w:tcBorders>
          </w:tcPr>
          <w:p w14:paraId="32AFB29F" w14:textId="77777777" w:rsidR="00F96762" w:rsidRPr="00855EF5" w:rsidRDefault="00F96762" w:rsidP="00EB33AD">
            <w:pPr>
              <w:pStyle w:val="TableText0"/>
              <w:keepNext w:val="0"/>
              <w:rPr>
                <w:b/>
                <w:bCs w:val="0"/>
              </w:rPr>
            </w:pPr>
            <w:r w:rsidRPr="00855EF5">
              <w:rPr>
                <w:b/>
                <w:bCs w:val="0"/>
              </w:rPr>
              <w:lastRenderedPageBreak/>
              <w:t>Financial issues</w:t>
            </w:r>
          </w:p>
        </w:tc>
        <w:tc>
          <w:tcPr>
            <w:tcW w:w="5670" w:type="dxa"/>
            <w:tcBorders>
              <w:top w:val="single" w:sz="4" w:space="0" w:color="auto"/>
              <w:left w:val="single" w:sz="4" w:space="0" w:color="auto"/>
              <w:bottom w:val="single" w:sz="4" w:space="0" w:color="auto"/>
              <w:right w:val="single" w:sz="4" w:space="0" w:color="auto"/>
            </w:tcBorders>
          </w:tcPr>
          <w:p w14:paraId="19643D01" w14:textId="77777777" w:rsidR="00F96762" w:rsidRPr="00855EF5" w:rsidRDefault="00F96762" w:rsidP="00EB33AD">
            <w:pPr>
              <w:pStyle w:val="TableText0"/>
              <w:keepNext w:val="0"/>
            </w:pPr>
          </w:p>
        </w:tc>
      </w:tr>
      <w:tr w:rsidR="00F96762" w:rsidRPr="00855EF5" w14:paraId="39B4216E" w14:textId="77777777" w:rsidTr="00EB33AD">
        <w:tc>
          <w:tcPr>
            <w:tcW w:w="3397" w:type="dxa"/>
            <w:tcBorders>
              <w:top w:val="single" w:sz="4" w:space="0" w:color="auto"/>
              <w:left w:val="single" w:sz="4" w:space="0" w:color="auto"/>
              <w:bottom w:val="single" w:sz="4" w:space="0" w:color="auto"/>
              <w:right w:val="single" w:sz="4" w:space="0" w:color="auto"/>
            </w:tcBorders>
          </w:tcPr>
          <w:p w14:paraId="4C8B2F9A" w14:textId="1E54A6E5" w:rsidR="00F96762" w:rsidRPr="00855EF5" w:rsidRDefault="00F96762" w:rsidP="00EB33AD">
            <w:pPr>
              <w:pStyle w:val="TableText0"/>
              <w:keepNext w:val="0"/>
            </w:pPr>
            <w:r w:rsidRPr="00855EF5">
              <w:t>Reduce uptake and continuation estimates taking into account NMS uptake and uptake in international jurisdictions.</w:t>
            </w:r>
            <w:r w:rsidR="003634A7">
              <w:t xml:space="preserve"> </w:t>
            </w:r>
          </w:p>
        </w:tc>
        <w:tc>
          <w:tcPr>
            <w:tcW w:w="5670" w:type="dxa"/>
            <w:tcBorders>
              <w:top w:val="single" w:sz="4" w:space="0" w:color="auto"/>
              <w:left w:val="single" w:sz="4" w:space="0" w:color="auto"/>
              <w:bottom w:val="single" w:sz="4" w:space="0" w:color="auto"/>
              <w:right w:val="single" w:sz="4" w:space="0" w:color="auto"/>
            </w:tcBorders>
          </w:tcPr>
          <w:p w14:paraId="12AE09A1" w14:textId="22FEFACA" w:rsidR="00F96762" w:rsidRPr="00855EF5" w:rsidRDefault="00F96762" w:rsidP="00EB33AD">
            <w:pPr>
              <w:pStyle w:val="TableText0"/>
              <w:keepNext w:val="0"/>
            </w:pPr>
            <w:r w:rsidRPr="00855EF5">
              <w:t>The resubmission presented financial estimates based on uptake of a single dose by 50% of the total eligible population in each of listing at a total estimated cost of $</w:t>
            </w:r>
            <w:r w:rsidR="004755B7" w:rsidRPr="00157ED3">
              <w:rPr>
                <w:color w:val="000000"/>
                <w:spacing w:val="48"/>
                <w:shd w:val="solid" w:color="000000" w:fill="000000"/>
                <w:fitText w:val="500" w:id="-1280136699"/>
                <w14:textFill>
                  <w14:solidFill>
                    <w14:srgbClr w14:val="000000">
                      <w14:alpha w14:val="100000"/>
                    </w14:srgbClr>
                  </w14:solidFill>
                </w14:textFill>
              </w:rPr>
              <w:t>|||||</w:t>
            </w:r>
            <w:r w:rsidR="004755B7" w:rsidRPr="00157ED3">
              <w:rPr>
                <w:color w:val="000000"/>
                <w:spacing w:val="5"/>
                <w:shd w:val="solid" w:color="000000" w:fill="000000"/>
                <w:fitText w:val="500" w:id="-1280136699"/>
                <w14:textFill>
                  <w14:solidFill>
                    <w14:srgbClr w14:val="000000">
                      <w14:alpha w14:val="100000"/>
                    </w14:srgbClr>
                  </w14:solidFill>
                </w14:textFill>
              </w:rPr>
              <w:t>|</w:t>
            </w:r>
            <w:r w:rsidR="00116581" w:rsidRPr="00116581">
              <w:t xml:space="preserve"> </w:t>
            </w:r>
            <w:r w:rsidR="004755B7" w:rsidRPr="00157ED3">
              <w:rPr>
                <w:color w:val="000000"/>
                <w:spacing w:val="48"/>
                <w:shd w:val="solid" w:color="000000" w:fill="000000"/>
                <w:fitText w:val="500" w:id="-1280136698"/>
                <w14:textFill>
                  <w14:solidFill>
                    <w14:srgbClr w14:val="000000">
                      <w14:alpha w14:val="100000"/>
                    </w14:srgbClr>
                  </w14:solidFill>
                </w14:textFill>
              </w:rPr>
              <w:t>|||||</w:t>
            </w:r>
            <w:r w:rsidR="004755B7" w:rsidRPr="00157ED3">
              <w:rPr>
                <w:color w:val="000000"/>
                <w:spacing w:val="5"/>
                <w:shd w:val="solid" w:color="000000" w:fill="000000"/>
                <w:fitText w:val="500" w:id="-1280136698"/>
                <w14:textFill>
                  <w14:solidFill>
                    <w14:srgbClr w14:val="000000">
                      <w14:alpha w14:val="100000"/>
                    </w14:srgbClr>
                  </w14:solidFill>
                </w14:textFill>
              </w:rPr>
              <w:t>|</w:t>
            </w:r>
            <w:r w:rsidR="00892500">
              <w:rPr>
                <w:vertAlign w:val="superscript"/>
              </w:rPr>
              <w:t>2</w:t>
            </w:r>
            <w:r w:rsidRPr="00855EF5">
              <w:t xml:space="preserve"> over 2 years. The resubmission varied its uptake estimates in the pre-PBAC response to 50-80% initial, with 80% continuing in Population 1, and 10-25% initial with 50% continuing in Population 2, without providing a revised estimate of total cost. </w:t>
            </w:r>
          </w:p>
        </w:tc>
      </w:tr>
      <w:tr w:rsidR="00F96762" w:rsidRPr="00855EF5" w14:paraId="46771756" w14:textId="77777777" w:rsidTr="00EB33AD">
        <w:tc>
          <w:tcPr>
            <w:tcW w:w="3397" w:type="dxa"/>
            <w:tcBorders>
              <w:top w:val="single" w:sz="4" w:space="0" w:color="auto"/>
              <w:left w:val="single" w:sz="4" w:space="0" w:color="auto"/>
              <w:bottom w:val="single" w:sz="4" w:space="0" w:color="auto"/>
              <w:right w:val="single" w:sz="4" w:space="0" w:color="auto"/>
            </w:tcBorders>
          </w:tcPr>
          <w:p w14:paraId="4E735ECA" w14:textId="77777777" w:rsidR="00F96762" w:rsidRPr="00855EF5" w:rsidRDefault="00F96762" w:rsidP="00EB33AD">
            <w:pPr>
              <w:pStyle w:val="TableText0"/>
              <w:keepNext w:val="0"/>
              <w:rPr>
                <w:b/>
                <w:bCs w:val="0"/>
              </w:rPr>
            </w:pPr>
            <w:r w:rsidRPr="00855EF5">
              <w:rPr>
                <w:b/>
                <w:bCs w:val="0"/>
              </w:rPr>
              <w:t xml:space="preserve">Risk sharing </w:t>
            </w:r>
          </w:p>
        </w:tc>
        <w:tc>
          <w:tcPr>
            <w:tcW w:w="5670" w:type="dxa"/>
            <w:tcBorders>
              <w:top w:val="single" w:sz="4" w:space="0" w:color="auto"/>
              <w:left w:val="single" w:sz="4" w:space="0" w:color="auto"/>
              <w:bottom w:val="single" w:sz="4" w:space="0" w:color="auto"/>
              <w:right w:val="single" w:sz="4" w:space="0" w:color="auto"/>
            </w:tcBorders>
          </w:tcPr>
          <w:p w14:paraId="3B083F74" w14:textId="77777777" w:rsidR="00F96762" w:rsidRPr="00855EF5" w:rsidRDefault="00F96762" w:rsidP="00EB33AD">
            <w:pPr>
              <w:pStyle w:val="TableText0"/>
              <w:keepNext w:val="0"/>
            </w:pPr>
          </w:p>
        </w:tc>
      </w:tr>
      <w:tr w:rsidR="00F96762" w:rsidRPr="00855EF5" w14:paraId="2C8646D7" w14:textId="77777777" w:rsidTr="00EB33AD">
        <w:tc>
          <w:tcPr>
            <w:tcW w:w="3397" w:type="dxa"/>
            <w:tcBorders>
              <w:top w:val="single" w:sz="4" w:space="0" w:color="auto"/>
              <w:left w:val="single" w:sz="4" w:space="0" w:color="auto"/>
              <w:bottom w:val="single" w:sz="4" w:space="0" w:color="auto"/>
              <w:right w:val="single" w:sz="4" w:space="0" w:color="auto"/>
            </w:tcBorders>
          </w:tcPr>
          <w:p w14:paraId="61C7220C" w14:textId="77777777" w:rsidR="00F96762" w:rsidRPr="00855EF5" w:rsidRDefault="00F96762" w:rsidP="00EB33AD">
            <w:pPr>
              <w:pStyle w:val="3-BodyText"/>
              <w:numPr>
                <w:ilvl w:val="0"/>
                <w:numId w:val="0"/>
              </w:numPr>
              <w:spacing w:after="0"/>
              <w:ind w:left="720" w:hanging="720"/>
              <w:rPr>
                <w:rFonts w:ascii="Arial Narrow" w:hAnsi="Arial Narrow"/>
                <w:iCs/>
                <w:sz w:val="20"/>
                <w:szCs w:val="20"/>
              </w:rPr>
            </w:pPr>
            <w:r w:rsidRPr="00855EF5">
              <w:rPr>
                <w:rFonts w:ascii="Arial Narrow" w:hAnsi="Arial Narrow"/>
                <w:iCs/>
                <w:sz w:val="20"/>
                <w:szCs w:val="20"/>
              </w:rPr>
              <w:t>Mitigate against</w:t>
            </w:r>
          </w:p>
          <w:p w14:paraId="2F71FE1A" w14:textId="77777777" w:rsidR="00F96762" w:rsidRPr="00855EF5" w:rsidRDefault="00F96762" w:rsidP="00F96762">
            <w:pPr>
              <w:pStyle w:val="3-BodyText"/>
              <w:numPr>
                <w:ilvl w:val="0"/>
                <w:numId w:val="27"/>
              </w:numPr>
              <w:spacing w:after="0"/>
              <w:ind w:left="170" w:hanging="170"/>
              <w:rPr>
                <w:rFonts w:ascii="Arial Narrow" w:hAnsi="Arial Narrow"/>
                <w:iCs/>
                <w:sz w:val="20"/>
                <w:szCs w:val="20"/>
              </w:rPr>
            </w:pPr>
            <w:r w:rsidRPr="00855EF5">
              <w:rPr>
                <w:rFonts w:ascii="Arial Narrow" w:hAnsi="Arial Narrow"/>
                <w:iCs/>
                <w:sz w:val="20"/>
                <w:szCs w:val="20"/>
              </w:rPr>
              <w:t xml:space="preserve">Lower than expected reductions in symptomatic COVID-19 in severe or critical COVID-19; </w:t>
            </w:r>
          </w:p>
          <w:p w14:paraId="432DF9D2" w14:textId="77777777" w:rsidR="00F96762" w:rsidRPr="00855EF5" w:rsidRDefault="00F96762" w:rsidP="00F96762">
            <w:pPr>
              <w:pStyle w:val="3-BodyText"/>
              <w:numPr>
                <w:ilvl w:val="0"/>
                <w:numId w:val="27"/>
              </w:numPr>
              <w:spacing w:after="0"/>
              <w:ind w:left="170" w:hanging="170"/>
              <w:rPr>
                <w:rFonts w:ascii="Arial Narrow" w:hAnsi="Arial Narrow"/>
                <w:iCs/>
                <w:sz w:val="20"/>
                <w:szCs w:val="20"/>
              </w:rPr>
            </w:pPr>
            <w:r w:rsidRPr="00855EF5">
              <w:rPr>
                <w:rFonts w:ascii="Arial Narrow" w:hAnsi="Arial Narrow"/>
                <w:iCs/>
                <w:sz w:val="20"/>
                <w:szCs w:val="20"/>
              </w:rPr>
              <w:t>Loss of effectiveness against future virus variants;</w:t>
            </w:r>
          </w:p>
          <w:p w14:paraId="55D5C6FA" w14:textId="77777777" w:rsidR="00F96762" w:rsidRPr="00855EF5" w:rsidRDefault="00F96762" w:rsidP="00F96762">
            <w:pPr>
              <w:pStyle w:val="3-BodyText"/>
              <w:numPr>
                <w:ilvl w:val="0"/>
                <w:numId w:val="27"/>
              </w:numPr>
              <w:spacing w:after="0"/>
              <w:ind w:left="170" w:hanging="170"/>
              <w:rPr>
                <w:rFonts w:ascii="Arial Narrow" w:hAnsi="Arial Narrow"/>
                <w:iCs/>
                <w:sz w:val="20"/>
                <w:szCs w:val="20"/>
              </w:rPr>
            </w:pPr>
            <w:r w:rsidRPr="00855EF5">
              <w:rPr>
                <w:rFonts w:ascii="Arial Narrow" w:hAnsi="Arial Narrow"/>
                <w:iCs/>
                <w:sz w:val="20"/>
                <w:szCs w:val="20"/>
              </w:rPr>
              <w:t>Use outside the requested restriction; and</w:t>
            </w:r>
          </w:p>
          <w:p w14:paraId="053F4EEC" w14:textId="77777777" w:rsidR="00F96762" w:rsidRPr="00855EF5" w:rsidRDefault="00F96762" w:rsidP="00F96762">
            <w:pPr>
              <w:pStyle w:val="3-BodyText"/>
              <w:numPr>
                <w:ilvl w:val="0"/>
                <w:numId w:val="27"/>
              </w:numPr>
              <w:spacing w:after="0"/>
              <w:ind w:left="170" w:hanging="170"/>
              <w:rPr>
                <w:rFonts w:ascii="Arial Narrow" w:hAnsi="Arial Narrow"/>
                <w:sz w:val="20"/>
                <w:szCs w:val="20"/>
              </w:rPr>
            </w:pPr>
            <w:r w:rsidRPr="00855EF5">
              <w:rPr>
                <w:rFonts w:ascii="Arial Narrow" w:hAnsi="Arial Narrow"/>
                <w:iCs/>
                <w:sz w:val="20"/>
                <w:szCs w:val="20"/>
              </w:rPr>
              <w:t>Use of higher or more frequent doses in clinical practice.</w:t>
            </w:r>
          </w:p>
        </w:tc>
        <w:tc>
          <w:tcPr>
            <w:tcW w:w="5670" w:type="dxa"/>
            <w:tcBorders>
              <w:top w:val="single" w:sz="4" w:space="0" w:color="auto"/>
              <w:left w:val="single" w:sz="4" w:space="0" w:color="auto"/>
              <w:bottom w:val="single" w:sz="4" w:space="0" w:color="auto"/>
              <w:right w:val="single" w:sz="4" w:space="0" w:color="auto"/>
            </w:tcBorders>
          </w:tcPr>
          <w:p w14:paraId="68C36F00" w14:textId="77777777" w:rsidR="00F96762" w:rsidRPr="00855EF5" w:rsidRDefault="00F96762" w:rsidP="00EB33AD">
            <w:pPr>
              <w:rPr>
                <w:rFonts w:ascii="Arial Narrow" w:hAnsi="Arial Narrow"/>
                <w:sz w:val="20"/>
                <w:szCs w:val="20"/>
              </w:rPr>
            </w:pPr>
            <w:r w:rsidRPr="00855EF5">
              <w:rPr>
                <w:rFonts w:ascii="Arial Narrow" w:hAnsi="Arial Narrow"/>
                <w:sz w:val="20"/>
                <w:szCs w:val="20"/>
              </w:rPr>
              <w:t xml:space="preserve">The resubmission proposed a 24-month listing and electronic authority approvals as measures to address these risks. The pre-PBAC response noted the commentary suggested additional measures to manage the risks with regards to patient safety and public health perspective and indicated AstraZeneca was open to collaborating with Government and Key Stakeholders to understand the most appropriate and feasible approach to managing this risk. </w:t>
            </w:r>
          </w:p>
        </w:tc>
      </w:tr>
    </w:tbl>
    <w:p w14:paraId="1F6E575F" w14:textId="77777777" w:rsidR="00892500" w:rsidRPr="009A6D58" w:rsidRDefault="00892500" w:rsidP="00892500">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65878E7" w14:textId="1AA6B6E6" w:rsidR="00F96762" w:rsidRPr="00892500" w:rsidRDefault="00892500" w:rsidP="00F96762">
      <w:pPr>
        <w:rPr>
          <w:rFonts w:ascii="Arial Narrow" w:hAnsi="Arial Narrow"/>
          <w:i/>
          <w:iCs/>
          <w:sz w:val="18"/>
          <w:szCs w:val="18"/>
        </w:rPr>
      </w:pPr>
      <w:r w:rsidRPr="00892500">
        <w:rPr>
          <w:rFonts w:ascii="Arial Narrow" w:hAnsi="Arial Narrow"/>
          <w:i/>
          <w:iCs/>
          <w:sz w:val="18"/>
          <w:szCs w:val="18"/>
          <w:vertAlign w:val="superscript"/>
        </w:rPr>
        <w:t>1</w:t>
      </w:r>
      <w:r w:rsidRPr="00892500">
        <w:rPr>
          <w:rFonts w:ascii="Arial Narrow" w:hAnsi="Arial Narrow"/>
          <w:i/>
          <w:iCs/>
          <w:sz w:val="18"/>
          <w:szCs w:val="18"/>
        </w:rPr>
        <w:t>$25,000 to &lt; $35,000</w:t>
      </w:r>
    </w:p>
    <w:p w14:paraId="08C367C1" w14:textId="30936267" w:rsidR="00892500" w:rsidRPr="00892500" w:rsidRDefault="00892500" w:rsidP="00DB55F2">
      <w:pPr>
        <w:ind w:right="150"/>
        <w:rPr>
          <w:rFonts w:ascii="Arial Narrow" w:hAnsi="Arial Narrow"/>
          <w:sz w:val="18"/>
          <w:szCs w:val="18"/>
        </w:rPr>
      </w:pPr>
      <w:r w:rsidRPr="00083DC4">
        <w:rPr>
          <w:rFonts w:ascii="Arial Narrow" w:hAnsi="Arial Narrow"/>
          <w:i/>
          <w:iCs/>
          <w:color w:val="333333"/>
          <w:sz w:val="18"/>
          <w:szCs w:val="18"/>
          <w:vertAlign w:val="superscript"/>
        </w:rPr>
        <w:t>2</w:t>
      </w:r>
      <w:r w:rsidRPr="00083DC4">
        <w:rPr>
          <w:rFonts w:ascii="Arial Narrow" w:hAnsi="Arial Narrow"/>
          <w:i/>
          <w:iCs/>
          <w:color w:val="333333"/>
          <w:sz w:val="18"/>
          <w:szCs w:val="18"/>
        </w:rPr>
        <w:t>$100 million to &lt; $200 million</w:t>
      </w:r>
    </w:p>
    <w:p w14:paraId="7B2304BD" w14:textId="77777777" w:rsidR="00F96762" w:rsidRPr="00855EF5" w:rsidRDefault="00F96762" w:rsidP="00F96762">
      <w:pPr>
        <w:pStyle w:val="2-SectionHeading"/>
      </w:pPr>
      <w:r w:rsidRPr="00855EF5">
        <w:t>Consideration of the evidence</w:t>
      </w:r>
    </w:p>
    <w:p w14:paraId="0979CA2A" w14:textId="77777777" w:rsidR="00F96762" w:rsidRPr="00855EF5" w:rsidRDefault="00F96762" w:rsidP="00F96762">
      <w:pPr>
        <w:pStyle w:val="4-SubsectionHeading"/>
      </w:pPr>
      <w:r w:rsidRPr="00855EF5">
        <w:t>Sponsor hearing</w:t>
      </w:r>
    </w:p>
    <w:p w14:paraId="204D5858" w14:textId="00E7F3B2" w:rsidR="00F96762" w:rsidRPr="00855EF5" w:rsidRDefault="00F96762" w:rsidP="00F96762">
      <w:pPr>
        <w:pStyle w:val="3-BodyText"/>
        <w:widowControl w:val="0"/>
        <w:rPr>
          <w:bCs/>
        </w:rPr>
      </w:pPr>
      <w:r w:rsidRPr="00855EF5">
        <w:t>The sponsor requested a hearing for this item.</w:t>
      </w:r>
      <w:r w:rsidR="003634A7">
        <w:t xml:space="preserve"> </w:t>
      </w:r>
      <w:r w:rsidRPr="00855EF5">
        <w:t>The sponsor representative noted that the company had made its best possible price offer in the resubmission.</w:t>
      </w:r>
      <w:r w:rsidR="003634A7">
        <w:t xml:space="preserve"> </w:t>
      </w:r>
      <w:r w:rsidRPr="00855EF5">
        <w:t>A clinician invited by the sponsor to address the PBAC, described the experience of patients hospitalised with severe COVID-19 including long stays in hospital with periods of isolation.</w:t>
      </w:r>
      <w:r w:rsidR="003634A7">
        <w:t xml:space="preserve"> </w:t>
      </w:r>
      <w:r w:rsidRPr="00855EF5">
        <w:t xml:space="preserve">The clinician noted that a variety of clinical factors lead to increased risk of worse outcomes and need for inpatient care, such as </w:t>
      </w:r>
      <w:r w:rsidRPr="00855EF5">
        <w:rPr>
          <w:bCs/>
        </w:rPr>
        <w:t xml:space="preserve">haematologic malignancies, treatment with anti-CD20 agents and other factors consistent with those </w:t>
      </w:r>
      <w:r w:rsidRPr="00855EF5">
        <w:t>described in the submission as Population 1.</w:t>
      </w:r>
      <w:r w:rsidR="003634A7">
        <w:t xml:space="preserve"> </w:t>
      </w:r>
      <w:r w:rsidRPr="00855EF5">
        <w:rPr>
          <w:bCs/>
        </w:rPr>
        <w:t>The clinician also described challenges faced by hospitals and aged care facilities with respect to managing the dual responsibilities of caring for these individuals once diagnosed with COVID-19 and minimising the risk of infection for others. The clinician’s experience with the clinical use of tixagevimab and cilgavimab was discussed and other matters were addressed in response to the Committee’s questions.</w:t>
      </w:r>
    </w:p>
    <w:p w14:paraId="5242EC74" w14:textId="77777777" w:rsidR="00F96762" w:rsidRPr="00855EF5" w:rsidRDefault="00F96762" w:rsidP="00F96762">
      <w:pPr>
        <w:pStyle w:val="4-SubsectionHeading"/>
      </w:pPr>
      <w:r w:rsidRPr="00855EF5">
        <w:t>Eligible Patient Population</w:t>
      </w:r>
    </w:p>
    <w:p w14:paraId="6AF8A07B" w14:textId="478EC95A" w:rsidR="003634A7" w:rsidRDefault="00F96762" w:rsidP="00F96762">
      <w:pPr>
        <w:pStyle w:val="3-BodyText"/>
      </w:pPr>
      <w:r w:rsidRPr="00855EF5">
        <w:rPr>
          <w:rFonts w:cstheme="minorHAnsi"/>
        </w:rPr>
        <w:t xml:space="preserve">The submission stated the proposed “Population 1” eligibility criteria were based on expert clinical opinion that individuals meeting these criteria have the poorest </w:t>
      </w:r>
      <w:r w:rsidRPr="00855EF5">
        <w:rPr>
          <w:rFonts w:cstheme="minorHAnsi"/>
        </w:rPr>
        <w:lastRenderedPageBreak/>
        <w:t>immune function and are therefore at greatest risk of severe illness related to COVID-19. A literature review included in the submission provided limited support for this claim.</w:t>
      </w:r>
      <w:r w:rsidR="003634A7">
        <w:rPr>
          <w:rFonts w:cstheme="minorHAnsi"/>
        </w:rPr>
        <w:t xml:space="preserve"> </w:t>
      </w:r>
      <w:r w:rsidRPr="00855EF5">
        <w:rPr>
          <w:rFonts w:cstheme="minorHAnsi"/>
        </w:rPr>
        <w:t>Additionally, some overseas jurisdictions, for example Ontario</w:t>
      </w:r>
      <w:r w:rsidRPr="00855EF5">
        <w:rPr>
          <w:rStyle w:val="FootnoteReference"/>
        </w:rPr>
        <w:footnoteReference w:id="30"/>
      </w:r>
      <w:r w:rsidRPr="00855EF5">
        <w:rPr>
          <w:rFonts w:cstheme="minorHAnsi"/>
        </w:rPr>
        <w:t>, have eligibility criteria that</w:t>
      </w:r>
      <w:r w:rsidRPr="00855EF5">
        <w:t xml:space="preserve"> are broadly aligned with Population 1</w:t>
      </w:r>
      <w:r w:rsidR="003634A7">
        <w:t>.</w:t>
      </w:r>
    </w:p>
    <w:p w14:paraId="04D3E891" w14:textId="77777777" w:rsidR="00F96762" w:rsidRPr="00855EF5" w:rsidRDefault="00F96762" w:rsidP="00F96762">
      <w:pPr>
        <w:pStyle w:val="3-BodyText"/>
      </w:pPr>
      <w:r w:rsidRPr="00855EF5">
        <w:rPr>
          <w:rFonts w:cstheme="minorHAnsi"/>
        </w:rPr>
        <w:t>For Population 2 however, the submission did not adequately support its assertion that the proposed eligibility criteria define a group at uniquely high risk who are unlikely to benefit from vaccination. Specifically, the FluCAN and SPRINT-SARI analyses of hospitalisation and intensive care admissions respectively, presented by the submission do not support the submission’s claim that age over 70 and presence of a co-morbidity are good determinants of who will benefit from tixagevimab and cilgavimab. An alternative explanation is that the higher proportions of patients with these characteristics in the two COVID-19 patient data sets resemble the higher proportions of all patients with these characteristics. For example, in SPRINT-SARI, the proportion of patients with malignancy who are 70+ years of age, at 54%, begins to resemble the proportion of Australian cancer patients who are 70+ years of age.</w:t>
      </w:r>
    </w:p>
    <w:p w14:paraId="508DB2DB" w14:textId="77777777" w:rsidR="00F96762" w:rsidRPr="00855EF5" w:rsidRDefault="00F96762" w:rsidP="00F96762">
      <w:pPr>
        <w:pStyle w:val="4-SubsectionHeading"/>
      </w:pPr>
      <w:bookmarkStart w:id="119" w:name="_Ref120013341"/>
      <w:r w:rsidRPr="00855EF5">
        <w:t>Clinical evidence</w:t>
      </w:r>
    </w:p>
    <w:p w14:paraId="67134D87" w14:textId="77777777" w:rsidR="00F96762" w:rsidRPr="00855EF5" w:rsidRDefault="00F96762" w:rsidP="00F96762">
      <w:pPr>
        <w:pStyle w:val="3-BodyText"/>
        <w:rPr>
          <w:rFonts w:cstheme="minorHAnsi"/>
        </w:rPr>
      </w:pPr>
      <w:bookmarkStart w:id="120" w:name="_Ref121756661"/>
      <w:r w:rsidRPr="00855EF5">
        <w:rPr>
          <w:rFonts w:cstheme="minorHAnsi"/>
        </w:rPr>
        <w:t>The resubmission presented an additional 3 months of follow-up data from the study reported by Al Jurdi 2022, however data were only provided for the cohort who received PrEP with tixagevimab and cilgavimab</w:t>
      </w:r>
      <w:r w:rsidRPr="00855EF5">
        <w:rPr>
          <w:rStyle w:val="FootnoteReference"/>
          <w:rFonts w:cstheme="minorHAnsi"/>
        </w:rPr>
        <w:footnoteReference w:id="31"/>
      </w:r>
      <w:r w:rsidRPr="00855EF5">
        <w:rPr>
          <w:rFonts w:cstheme="minorHAnsi"/>
        </w:rPr>
        <w:t>. The resubmission claimed that the updated data “shows infection rates in the Evusheld arm are stable and demonstrates continued protection for 6 months”. Although the data may demonstrate stable rates of infection over 6 months, it is not reasonable to infer that there is “continued protection for 6 months” in the absence of data demonstrating that there were also stable rates of infection in the cohort of patients who did not receive PrEP with tixagevimab and cilgavimab. If, for example, rates of infection fell in control cohort in the additional 3 months (e.g., if the peak of a wave had passed), then continued protection could not be concluded.</w:t>
      </w:r>
      <w:bookmarkEnd w:id="119"/>
      <w:bookmarkEnd w:id="120"/>
    </w:p>
    <w:p w14:paraId="1B8727B2" w14:textId="6EE01274" w:rsidR="003634A7" w:rsidRDefault="00F96762" w:rsidP="00F96762">
      <w:pPr>
        <w:pStyle w:val="3-BodyText"/>
        <w:rPr>
          <w:rFonts w:cstheme="minorHAnsi"/>
        </w:rPr>
      </w:pPr>
      <w:bookmarkStart w:id="121" w:name="_Ref121757196"/>
      <w:r w:rsidRPr="00855EF5">
        <w:rPr>
          <w:rFonts w:cstheme="minorHAnsi"/>
        </w:rPr>
        <w:t>The resubmission also presented results from a recently published study by Moon 2022</w:t>
      </w:r>
      <w:r w:rsidRPr="00855EF5">
        <w:rPr>
          <w:rStyle w:val="FootnoteReference"/>
          <w:rFonts w:cstheme="minorHAnsi"/>
        </w:rPr>
        <w:footnoteReference w:id="32"/>
      </w:r>
      <w:r w:rsidRPr="00855EF5">
        <w:rPr>
          <w:rFonts w:cstheme="minorHAnsi"/>
        </w:rPr>
        <w:t xml:space="preserve">. Moon 2022 report the results from a retrospective series of cases where tixagevimab and cilgavimab was administered to 2,352 immunocompromised patients. Within 180 days of administration 4.3% of patients had a positive SARS-COV-2 results. 13 patients (0.6%) required hospital admission for COVID-19, and no deaths </w:t>
      </w:r>
      <w:r w:rsidRPr="00855EF5">
        <w:rPr>
          <w:rFonts w:cstheme="minorHAnsi"/>
        </w:rPr>
        <w:lastRenderedPageBreak/>
        <w:t>were reported in hospitalised patients with COVID-19 disease. However, as no control cohort was examined in this study, the study was of limited usefulness in determining extent of comparative effect of tixagevimab and cilgavimab as PrEP against COVID-19</w:t>
      </w:r>
      <w:bookmarkEnd w:id="121"/>
      <w:r w:rsidR="003634A7">
        <w:rPr>
          <w:rFonts w:cstheme="minorHAnsi"/>
        </w:rPr>
        <w:t>.</w:t>
      </w:r>
    </w:p>
    <w:p w14:paraId="04477972" w14:textId="77777777" w:rsidR="00F96762" w:rsidRPr="00855EF5" w:rsidRDefault="00F96762" w:rsidP="00F96762">
      <w:pPr>
        <w:pStyle w:val="3-BodyText"/>
        <w:rPr>
          <w:rFonts w:cstheme="minorHAnsi"/>
        </w:rPr>
      </w:pPr>
      <w:r w:rsidRPr="00855EF5">
        <w:rPr>
          <w:rFonts w:cstheme="minorHAnsi"/>
        </w:rPr>
        <w:t>Evolution of the Omicron variant is leading to a rapid emergence of numerous subvariants with mutations on their receptor-binding domain (RBD) that potentially cause evasion of available monoclonal antibody drugs.</w:t>
      </w:r>
    </w:p>
    <w:p w14:paraId="7CAA466F" w14:textId="66E40D25" w:rsidR="003634A7" w:rsidRDefault="00F96762" w:rsidP="00F96762">
      <w:pPr>
        <w:pStyle w:val="3-BodyText"/>
        <w:rPr>
          <w:rFonts w:cstheme="minorHAnsi"/>
        </w:rPr>
      </w:pPr>
      <w:r w:rsidRPr="00855EF5">
        <w:rPr>
          <w:rFonts w:cstheme="minorHAnsi"/>
        </w:rPr>
        <w:t>In November 2022, the FDA, in response to advice from AstraZeneca, updated data relating to the neutralisation activity of tixagevimab and cilgavimab against SARS-CoV- 2 variants in the authorised Fact Sheets for tixagevimab and cilgavimab. The updated fact sheet states that there is a potential risk of treatment failure due to the development of viral variants that are resistant to tixagevimab and cilgavimab. Table 2</w:t>
      </w:r>
      <w:r>
        <w:rPr>
          <w:rFonts w:cstheme="minorHAnsi"/>
        </w:rPr>
        <w:t>1</w:t>
      </w:r>
      <w:r w:rsidRPr="00855EF5">
        <w:rPr>
          <w:rFonts w:cstheme="minorHAnsi"/>
        </w:rPr>
        <w:t xml:space="preserve"> summarises the results of tests of neutralising activity of tixagevimab and cilgavimab (in combination) against pseudotyped virus-like particles and/or authentic SARS-CoV-2 variant strains as reported by the FDA</w:t>
      </w:r>
      <w:bookmarkStart w:id="122" w:name="_Ref119266031"/>
      <w:r w:rsidR="003634A7">
        <w:rPr>
          <w:rFonts w:cstheme="minorHAnsi"/>
        </w:rPr>
        <w:t>.</w:t>
      </w:r>
    </w:p>
    <w:p w14:paraId="4640BB3A" w14:textId="77777777" w:rsidR="00F96762" w:rsidRPr="00855EF5" w:rsidRDefault="00F96762" w:rsidP="00F96762">
      <w:pPr>
        <w:pStyle w:val="Caption"/>
      </w:pPr>
      <w:r w:rsidRPr="00855EF5">
        <w:lastRenderedPageBreak/>
        <w:t>Table 2</w:t>
      </w:r>
      <w:bookmarkEnd w:id="122"/>
      <w:r>
        <w:t>1</w:t>
      </w:r>
      <w:r w:rsidRPr="00855EF5">
        <w:t xml:space="preserve">: </w:t>
      </w:r>
      <w:r w:rsidRPr="00855EF5">
        <w:rPr>
          <w:color w:val="000000" w:themeColor="text1"/>
        </w:rPr>
        <w:t>Tixagevimab and cilgavimab</w:t>
      </w:r>
      <w:r w:rsidRPr="00855EF5">
        <w:t xml:space="preserve"> pseudotyped virus-like particles (VLPs) and authentic SARS-CoV-2 neutralisation data for SARS-CoV-2 variants</w:t>
      </w:r>
    </w:p>
    <w:tbl>
      <w:tblPr>
        <w:tblStyle w:val="TableGrid"/>
        <w:tblW w:w="5000" w:type="pct"/>
        <w:tblCellMar>
          <w:right w:w="57" w:type="dxa"/>
        </w:tblCellMar>
        <w:tblLook w:val="04A0" w:firstRow="1" w:lastRow="0" w:firstColumn="1" w:lastColumn="0" w:noHBand="0" w:noVBand="1"/>
      </w:tblPr>
      <w:tblGrid>
        <w:gridCol w:w="1838"/>
        <w:gridCol w:w="2665"/>
        <w:gridCol w:w="2258"/>
        <w:gridCol w:w="2256"/>
      </w:tblGrid>
      <w:tr w:rsidR="00F96762" w:rsidRPr="00855EF5" w14:paraId="0821A208" w14:textId="77777777" w:rsidTr="00EB33AD">
        <w:tc>
          <w:tcPr>
            <w:tcW w:w="1019" w:type="pct"/>
            <w:tcBorders>
              <w:top w:val="single" w:sz="4" w:space="0" w:color="auto"/>
              <w:left w:val="single" w:sz="4" w:space="0" w:color="auto"/>
              <w:bottom w:val="single" w:sz="4" w:space="0" w:color="auto"/>
              <w:right w:val="single" w:sz="4" w:space="0" w:color="auto"/>
            </w:tcBorders>
            <w:hideMark/>
          </w:tcPr>
          <w:p w14:paraId="3C5B7B42" w14:textId="77777777" w:rsidR="00F96762" w:rsidRPr="00855EF5" w:rsidRDefault="00F96762" w:rsidP="00EB33AD">
            <w:pPr>
              <w:pStyle w:val="TableText0"/>
              <w:rPr>
                <w:b/>
                <w:bCs w:val="0"/>
              </w:rPr>
            </w:pPr>
            <w:r w:rsidRPr="00855EF5">
              <w:rPr>
                <w:b/>
                <w:bCs w:val="0"/>
              </w:rPr>
              <w:t>Lineage with spike protein substitution</w:t>
            </w:r>
          </w:p>
        </w:tc>
        <w:tc>
          <w:tcPr>
            <w:tcW w:w="1478" w:type="pct"/>
            <w:tcBorders>
              <w:top w:val="single" w:sz="4" w:space="0" w:color="auto"/>
              <w:left w:val="single" w:sz="4" w:space="0" w:color="auto"/>
              <w:bottom w:val="single" w:sz="4" w:space="0" w:color="auto"/>
              <w:right w:val="single" w:sz="4" w:space="0" w:color="auto"/>
            </w:tcBorders>
            <w:hideMark/>
          </w:tcPr>
          <w:p w14:paraId="1C946EFE" w14:textId="77777777" w:rsidR="00F96762" w:rsidRPr="00855EF5" w:rsidRDefault="00F96762" w:rsidP="00EB33AD">
            <w:pPr>
              <w:pStyle w:val="TableText0"/>
              <w:rPr>
                <w:b/>
                <w:bCs w:val="0"/>
              </w:rPr>
            </w:pPr>
            <w:r w:rsidRPr="00855EF5">
              <w:rPr>
                <w:b/>
                <w:bCs w:val="0"/>
              </w:rPr>
              <w:t>WHO nomenclature</w:t>
            </w:r>
          </w:p>
        </w:tc>
        <w:tc>
          <w:tcPr>
            <w:tcW w:w="1252" w:type="pct"/>
            <w:tcBorders>
              <w:top w:val="single" w:sz="4" w:space="0" w:color="auto"/>
              <w:left w:val="single" w:sz="4" w:space="0" w:color="auto"/>
              <w:bottom w:val="single" w:sz="4" w:space="0" w:color="auto"/>
              <w:right w:val="single" w:sz="4" w:space="0" w:color="auto"/>
            </w:tcBorders>
            <w:hideMark/>
          </w:tcPr>
          <w:p w14:paraId="0572BBDA" w14:textId="77777777" w:rsidR="00F96762" w:rsidRPr="00855EF5" w:rsidRDefault="00F96762" w:rsidP="00EB33AD">
            <w:pPr>
              <w:pStyle w:val="TableText0"/>
              <w:rPr>
                <w:b/>
                <w:bCs w:val="0"/>
              </w:rPr>
            </w:pPr>
            <w:r w:rsidRPr="00855EF5">
              <w:rPr>
                <w:b/>
                <w:bCs w:val="0"/>
              </w:rPr>
              <w:t>Fold reduction in susceptibility*</w:t>
            </w:r>
            <w:r w:rsidRPr="00855EF5">
              <w:rPr>
                <w:b/>
                <w:bCs w:val="0"/>
              </w:rPr>
              <w:br/>
              <w:t>(pseudotyped VLPs</w:t>
            </w:r>
            <w:r w:rsidRPr="00855EF5">
              <w:rPr>
                <w:b/>
                <w:bCs w:val="0"/>
                <w:vertAlign w:val="superscript"/>
              </w:rPr>
              <w:t>†</w:t>
            </w:r>
            <w:r w:rsidRPr="00855EF5">
              <w:rPr>
                <w:b/>
                <w:bCs w:val="0"/>
              </w:rPr>
              <w:t>)</w:t>
            </w:r>
          </w:p>
        </w:tc>
        <w:tc>
          <w:tcPr>
            <w:tcW w:w="1252" w:type="pct"/>
            <w:tcBorders>
              <w:top w:val="single" w:sz="4" w:space="0" w:color="auto"/>
              <w:left w:val="single" w:sz="4" w:space="0" w:color="auto"/>
              <w:bottom w:val="single" w:sz="4" w:space="0" w:color="auto"/>
              <w:right w:val="single" w:sz="4" w:space="0" w:color="auto"/>
            </w:tcBorders>
            <w:hideMark/>
          </w:tcPr>
          <w:p w14:paraId="1D9D48CE" w14:textId="77777777" w:rsidR="00F96762" w:rsidRPr="00855EF5" w:rsidRDefault="00F96762" w:rsidP="00EB33AD">
            <w:pPr>
              <w:pStyle w:val="TableText0"/>
              <w:rPr>
                <w:b/>
                <w:bCs w:val="0"/>
              </w:rPr>
            </w:pPr>
            <w:r w:rsidRPr="00855EF5">
              <w:rPr>
                <w:b/>
                <w:bCs w:val="0"/>
              </w:rPr>
              <w:t>Fold reduction in susceptibility*</w:t>
            </w:r>
          </w:p>
          <w:p w14:paraId="35FEB990" w14:textId="77777777" w:rsidR="00F96762" w:rsidRPr="00855EF5" w:rsidRDefault="00F96762" w:rsidP="00EB33AD">
            <w:pPr>
              <w:pStyle w:val="TableText0"/>
              <w:rPr>
                <w:b/>
                <w:bCs w:val="0"/>
              </w:rPr>
            </w:pPr>
            <w:r w:rsidRPr="00855EF5">
              <w:rPr>
                <w:b/>
                <w:bCs w:val="0"/>
              </w:rPr>
              <w:t>(authentic virus</w:t>
            </w:r>
            <w:r w:rsidRPr="00855EF5">
              <w:rPr>
                <w:b/>
                <w:bCs w:val="0"/>
                <w:vertAlign w:val="superscript"/>
              </w:rPr>
              <w:t>‡</w:t>
            </w:r>
            <w:r w:rsidRPr="00855EF5">
              <w:rPr>
                <w:b/>
                <w:bCs w:val="0"/>
              </w:rPr>
              <w:t>)</w:t>
            </w:r>
          </w:p>
        </w:tc>
      </w:tr>
      <w:tr w:rsidR="00F96762" w:rsidRPr="00855EF5" w14:paraId="25D4B884" w14:textId="77777777" w:rsidTr="00EB33AD">
        <w:tc>
          <w:tcPr>
            <w:tcW w:w="1019" w:type="pct"/>
            <w:tcBorders>
              <w:top w:val="single" w:sz="4" w:space="0" w:color="auto"/>
              <w:left w:val="single" w:sz="4" w:space="0" w:color="auto"/>
              <w:bottom w:val="single" w:sz="4" w:space="0" w:color="auto"/>
              <w:right w:val="single" w:sz="4" w:space="0" w:color="auto"/>
            </w:tcBorders>
            <w:hideMark/>
          </w:tcPr>
          <w:p w14:paraId="0D51C2C8" w14:textId="77777777" w:rsidR="00F96762" w:rsidRPr="00855EF5" w:rsidRDefault="00F96762" w:rsidP="00EB33AD">
            <w:pPr>
              <w:pStyle w:val="TableText0"/>
            </w:pPr>
            <w:r w:rsidRPr="00855EF5">
              <w:t>B.1.1.7</w:t>
            </w:r>
          </w:p>
        </w:tc>
        <w:tc>
          <w:tcPr>
            <w:tcW w:w="1478" w:type="pct"/>
            <w:tcBorders>
              <w:top w:val="single" w:sz="4" w:space="0" w:color="auto"/>
              <w:left w:val="single" w:sz="4" w:space="0" w:color="auto"/>
              <w:bottom w:val="single" w:sz="4" w:space="0" w:color="auto"/>
              <w:right w:val="single" w:sz="4" w:space="0" w:color="auto"/>
            </w:tcBorders>
            <w:hideMark/>
          </w:tcPr>
          <w:p w14:paraId="14AA3D23" w14:textId="77777777" w:rsidR="00F96762" w:rsidRPr="00855EF5" w:rsidRDefault="00F96762" w:rsidP="00EB33AD">
            <w:pPr>
              <w:pStyle w:val="TableText0"/>
            </w:pPr>
            <w:r w:rsidRPr="00855EF5">
              <w:t>Alpha</w:t>
            </w:r>
          </w:p>
        </w:tc>
        <w:tc>
          <w:tcPr>
            <w:tcW w:w="1252" w:type="pct"/>
            <w:tcBorders>
              <w:top w:val="single" w:sz="4" w:space="0" w:color="auto"/>
              <w:left w:val="single" w:sz="4" w:space="0" w:color="auto"/>
              <w:bottom w:val="single" w:sz="4" w:space="0" w:color="auto"/>
              <w:right w:val="single" w:sz="4" w:space="0" w:color="auto"/>
            </w:tcBorders>
            <w:hideMark/>
          </w:tcPr>
          <w:p w14:paraId="61F83052" w14:textId="77777777" w:rsidR="00F96762" w:rsidRPr="00855EF5" w:rsidRDefault="00F96762" w:rsidP="00EB33AD">
            <w:pPr>
              <w:pStyle w:val="TableText0"/>
            </w:pPr>
            <w:r w:rsidRPr="00855EF5">
              <w:t>0.5- to 5.2-fold</w:t>
            </w:r>
          </w:p>
        </w:tc>
        <w:tc>
          <w:tcPr>
            <w:tcW w:w="1252" w:type="pct"/>
            <w:tcBorders>
              <w:top w:val="single" w:sz="4" w:space="0" w:color="auto"/>
              <w:left w:val="single" w:sz="4" w:space="0" w:color="auto"/>
              <w:bottom w:val="single" w:sz="4" w:space="0" w:color="auto"/>
              <w:right w:val="single" w:sz="4" w:space="0" w:color="auto"/>
            </w:tcBorders>
            <w:hideMark/>
          </w:tcPr>
          <w:p w14:paraId="09629402" w14:textId="77777777" w:rsidR="00F96762" w:rsidRPr="00855EF5" w:rsidRDefault="00F96762" w:rsidP="00EB33AD">
            <w:pPr>
              <w:pStyle w:val="TableText0"/>
            </w:pPr>
            <w:r w:rsidRPr="00855EF5">
              <w:t>No change</w:t>
            </w:r>
            <w:r w:rsidRPr="00855EF5">
              <w:rPr>
                <w:vertAlign w:val="superscript"/>
              </w:rPr>
              <w:t>§</w:t>
            </w:r>
          </w:p>
        </w:tc>
      </w:tr>
      <w:tr w:rsidR="00F96762" w:rsidRPr="00855EF5" w14:paraId="02B96DA3" w14:textId="77777777" w:rsidTr="00EB33AD">
        <w:tc>
          <w:tcPr>
            <w:tcW w:w="1019" w:type="pct"/>
            <w:tcBorders>
              <w:top w:val="single" w:sz="4" w:space="0" w:color="auto"/>
              <w:left w:val="single" w:sz="4" w:space="0" w:color="auto"/>
              <w:bottom w:val="single" w:sz="4" w:space="0" w:color="auto"/>
              <w:right w:val="single" w:sz="4" w:space="0" w:color="auto"/>
            </w:tcBorders>
            <w:hideMark/>
          </w:tcPr>
          <w:p w14:paraId="6CB764BC" w14:textId="77777777" w:rsidR="00F96762" w:rsidRPr="00855EF5" w:rsidRDefault="00F96762" w:rsidP="00EB33AD">
            <w:pPr>
              <w:pStyle w:val="TableText0"/>
            </w:pPr>
            <w:r w:rsidRPr="00855EF5">
              <w:t>B.1.351</w:t>
            </w:r>
          </w:p>
        </w:tc>
        <w:tc>
          <w:tcPr>
            <w:tcW w:w="1478" w:type="pct"/>
            <w:tcBorders>
              <w:top w:val="single" w:sz="4" w:space="0" w:color="auto"/>
              <w:left w:val="single" w:sz="4" w:space="0" w:color="auto"/>
              <w:bottom w:val="single" w:sz="4" w:space="0" w:color="auto"/>
              <w:right w:val="single" w:sz="4" w:space="0" w:color="auto"/>
            </w:tcBorders>
            <w:hideMark/>
          </w:tcPr>
          <w:p w14:paraId="52A076C2" w14:textId="77777777" w:rsidR="00F96762" w:rsidRPr="00855EF5" w:rsidRDefault="00F96762" w:rsidP="00EB33AD">
            <w:pPr>
              <w:pStyle w:val="TableText0"/>
            </w:pPr>
            <w:r w:rsidRPr="00855EF5">
              <w:t>Beta</w:t>
            </w:r>
          </w:p>
        </w:tc>
        <w:tc>
          <w:tcPr>
            <w:tcW w:w="1252" w:type="pct"/>
            <w:tcBorders>
              <w:top w:val="single" w:sz="4" w:space="0" w:color="auto"/>
              <w:left w:val="single" w:sz="4" w:space="0" w:color="auto"/>
              <w:bottom w:val="single" w:sz="4" w:space="0" w:color="auto"/>
              <w:right w:val="single" w:sz="4" w:space="0" w:color="auto"/>
            </w:tcBorders>
            <w:hideMark/>
          </w:tcPr>
          <w:p w14:paraId="70F8D10E" w14:textId="77777777" w:rsidR="00F96762" w:rsidRPr="00855EF5" w:rsidRDefault="00F96762" w:rsidP="00EB33AD">
            <w:pPr>
              <w:pStyle w:val="TableText0"/>
            </w:pPr>
            <w:r w:rsidRPr="00855EF5">
              <w:t>No change</w:t>
            </w:r>
            <w:r w:rsidRPr="00855EF5">
              <w:rPr>
                <w:vertAlign w:val="superscript"/>
              </w:rPr>
              <w:t>§</w:t>
            </w:r>
          </w:p>
        </w:tc>
        <w:tc>
          <w:tcPr>
            <w:tcW w:w="1252" w:type="pct"/>
            <w:tcBorders>
              <w:top w:val="single" w:sz="4" w:space="0" w:color="auto"/>
              <w:left w:val="single" w:sz="4" w:space="0" w:color="auto"/>
              <w:bottom w:val="single" w:sz="4" w:space="0" w:color="auto"/>
              <w:right w:val="single" w:sz="4" w:space="0" w:color="auto"/>
            </w:tcBorders>
            <w:hideMark/>
          </w:tcPr>
          <w:p w14:paraId="14790B76" w14:textId="77777777" w:rsidR="00F96762" w:rsidRPr="00855EF5" w:rsidRDefault="00F96762" w:rsidP="00EB33AD">
            <w:pPr>
              <w:pStyle w:val="TableText0"/>
            </w:pPr>
            <w:r w:rsidRPr="00855EF5">
              <w:t>No change</w:t>
            </w:r>
            <w:r w:rsidRPr="00855EF5">
              <w:rPr>
                <w:vertAlign w:val="superscript"/>
              </w:rPr>
              <w:t>§</w:t>
            </w:r>
          </w:p>
        </w:tc>
      </w:tr>
      <w:tr w:rsidR="00F96762" w:rsidRPr="00855EF5" w14:paraId="283B8C91" w14:textId="77777777" w:rsidTr="00EB33AD">
        <w:tc>
          <w:tcPr>
            <w:tcW w:w="1019" w:type="pct"/>
            <w:tcBorders>
              <w:top w:val="single" w:sz="4" w:space="0" w:color="auto"/>
              <w:left w:val="single" w:sz="4" w:space="0" w:color="auto"/>
              <w:bottom w:val="single" w:sz="4" w:space="0" w:color="auto"/>
              <w:right w:val="single" w:sz="4" w:space="0" w:color="auto"/>
            </w:tcBorders>
            <w:hideMark/>
          </w:tcPr>
          <w:p w14:paraId="1EAFA96F" w14:textId="77777777" w:rsidR="00F96762" w:rsidRPr="00855EF5" w:rsidRDefault="00F96762" w:rsidP="00EB33AD">
            <w:pPr>
              <w:pStyle w:val="TableText0"/>
            </w:pPr>
            <w:r w:rsidRPr="00855EF5">
              <w:t>P.1</w:t>
            </w:r>
          </w:p>
        </w:tc>
        <w:tc>
          <w:tcPr>
            <w:tcW w:w="1478" w:type="pct"/>
            <w:tcBorders>
              <w:top w:val="single" w:sz="4" w:space="0" w:color="auto"/>
              <w:left w:val="single" w:sz="4" w:space="0" w:color="auto"/>
              <w:bottom w:val="single" w:sz="4" w:space="0" w:color="auto"/>
              <w:right w:val="single" w:sz="4" w:space="0" w:color="auto"/>
            </w:tcBorders>
            <w:hideMark/>
          </w:tcPr>
          <w:p w14:paraId="5403C90A" w14:textId="77777777" w:rsidR="00F96762" w:rsidRPr="00855EF5" w:rsidRDefault="00F96762" w:rsidP="00EB33AD">
            <w:pPr>
              <w:pStyle w:val="TableText0"/>
            </w:pPr>
            <w:r w:rsidRPr="00855EF5">
              <w:t>Gamma</w:t>
            </w:r>
          </w:p>
        </w:tc>
        <w:tc>
          <w:tcPr>
            <w:tcW w:w="1252" w:type="pct"/>
            <w:tcBorders>
              <w:top w:val="single" w:sz="4" w:space="0" w:color="auto"/>
              <w:left w:val="single" w:sz="4" w:space="0" w:color="auto"/>
              <w:bottom w:val="single" w:sz="4" w:space="0" w:color="auto"/>
              <w:right w:val="single" w:sz="4" w:space="0" w:color="auto"/>
            </w:tcBorders>
            <w:hideMark/>
          </w:tcPr>
          <w:p w14:paraId="30445A94" w14:textId="77777777" w:rsidR="00F96762" w:rsidRPr="00855EF5" w:rsidRDefault="00F96762" w:rsidP="00EB33AD">
            <w:pPr>
              <w:pStyle w:val="TableText0"/>
            </w:pPr>
            <w:r w:rsidRPr="00855EF5">
              <w:t>No change</w:t>
            </w:r>
            <w:r w:rsidRPr="00855EF5">
              <w:rPr>
                <w:vertAlign w:val="superscript"/>
              </w:rPr>
              <w:t>§</w:t>
            </w:r>
          </w:p>
        </w:tc>
        <w:tc>
          <w:tcPr>
            <w:tcW w:w="1252" w:type="pct"/>
            <w:tcBorders>
              <w:top w:val="single" w:sz="4" w:space="0" w:color="auto"/>
              <w:left w:val="single" w:sz="4" w:space="0" w:color="auto"/>
              <w:bottom w:val="single" w:sz="4" w:space="0" w:color="auto"/>
              <w:right w:val="single" w:sz="4" w:space="0" w:color="auto"/>
            </w:tcBorders>
            <w:hideMark/>
          </w:tcPr>
          <w:p w14:paraId="4953A05B" w14:textId="77777777" w:rsidR="00F96762" w:rsidRPr="00855EF5" w:rsidRDefault="00F96762" w:rsidP="00EB33AD">
            <w:pPr>
              <w:pStyle w:val="TableText0"/>
            </w:pPr>
            <w:r w:rsidRPr="00855EF5">
              <w:t>No change</w:t>
            </w:r>
            <w:r w:rsidRPr="00855EF5">
              <w:rPr>
                <w:vertAlign w:val="superscript"/>
              </w:rPr>
              <w:t>§</w:t>
            </w:r>
          </w:p>
        </w:tc>
      </w:tr>
      <w:tr w:rsidR="00F96762" w:rsidRPr="00855EF5" w14:paraId="47042468" w14:textId="77777777" w:rsidTr="00EB33AD">
        <w:tc>
          <w:tcPr>
            <w:tcW w:w="1019" w:type="pct"/>
            <w:tcBorders>
              <w:top w:val="single" w:sz="4" w:space="0" w:color="auto"/>
              <w:left w:val="single" w:sz="4" w:space="0" w:color="auto"/>
              <w:bottom w:val="single" w:sz="4" w:space="0" w:color="auto"/>
              <w:right w:val="single" w:sz="4" w:space="0" w:color="auto"/>
            </w:tcBorders>
            <w:hideMark/>
          </w:tcPr>
          <w:p w14:paraId="0F8C516C" w14:textId="77777777" w:rsidR="00F96762" w:rsidRPr="00855EF5" w:rsidRDefault="00F96762" w:rsidP="00EB33AD">
            <w:pPr>
              <w:pStyle w:val="TableText0"/>
            </w:pPr>
            <w:r w:rsidRPr="00855EF5">
              <w:t>B.1.617.2</w:t>
            </w:r>
          </w:p>
        </w:tc>
        <w:tc>
          <w:tcPr>
            <w:tcW w:w="1478" w:type="pct"/>
            <w:tcBorders>
              <w:top w:val="single" w:sz="4" w:space="0" w:color="auto"/>
              <w:left w:val="single" w:sz="4" w:space="0" w:color="auto"/>
              <w:bottom w:val="single" w:sz="4" w:space="0" w:color="auto"/>
              <w:right w:val="single" w:sz="4" w:space="0" w:color="auto"/>
            </w:tcBorders>
            <w:hideMark/>
          </w:tcPr>
          <w:p w14:paraId="151C5F4C" w14:textId="77777777" w:rsidR="00F96762" w:rsidRPr="00855EF5" w:rsidRDefault="00F96762" w:rsidP="00EB33AD">
            <w:pPr>
              <w:pStyle w:val="TableText0"/>
            </w:pPr>
            <w:r w:rsidRPr="00855EF5">
              <w:t>Delta</w:t>
            </w:r>
          </w:p>
        </w:tc>
        <w:tc>
          <w:tcPr>
            <w:tcW w:w="1252" w:type="pct"/>
            <w:tcBorders>
              <w:top w:val="single" w:sz="4" w:space="0" w:color="auto"/>
              <w:left w:val="single" w:sz="4" w:space="0" w:color="auto"/>
              <w:bottom w:val="single" w:sz="4" w:space="0" w:color="auto"/>
              <w:right w:val="single" w:sz="4" w:space="0" w:color="auto"/>
            </w:tcBorders>
            <w:hideMark/>
          </w:tcPr>
          <w:p w14:paraId="7C80AFE3" w14:textId="77777777" w:rsidR="00F96762" w:rsidRPr="00855EF5" w:rsidRDefault="00F96762" w:rsidP="00EB33AD">
            <w:pPr>
              <w:pStyle w:val="TableText0"/>
            </w:pPr>
            <w:r w:rsidRPr="00855EF5">
              <w:t>No change</w:t>
            </w:r>
            <w:r w:rsidRPr="00855EF5">
              <w:rPr>
                <w:vertAlign w:val="superscript"/>
              </w:rPr>
              <w:t>§</w:t>
            </w:r>
          </w:p>
        </w:tc>
        <w:tc>
          <w:tcPr>
            <w:tcW w:w="1252" w:type="pct"/>
            <w:tcBorders>
              <w:top w:val="single" w:sz="4" w:space="0" w:color="auto"/>
              <w:left w:val="single" w:sz="4" w:space="0" w:color="auto"/>
              <w:bottom w:val="single" w:sz="4" w:space="0" w:color="auto"/>
              <w:right w:val="single" w:sz="4" w:space="0" w:color="auto"/>
            </w:tcBorders>
            <w:hideMark/>
          </w:tcPr>
          <w:p w14:paraId="6FE88A07" w14:textId="77777777" w:rsidR="00F96762" w:rsidRPr="00855EF5" w:rsidRDefault="00F96762" w:rsidP="00EB33AD">
            <w:pPr>
              <w:pStyle w:val="TableText0"/>
            </w:pPr>
            <w:r w:rsidRPr="00855EF5">
              <w:t>No change</w:t>
            </w:r>
            <w:r w:rsidRPr="00855EF5">
              <w:rPr>
                <w:vertAlign w:val="superscript"/>
              </w:rPr>
              <w:t>§</w:t>
            </w:r>
          </w:p>
        </w:tc>
      </w:tr>
      <w:tr w:rsidR="00F96762" w:rsidRPr="00855EF5" w14:paraId="72E2461B" w14:textId="77777777" w:rsidTr="00EB33AD">
        <w:tc>
          <w:tcPr>
            <w:tcW w:w="1019" w:type="pct"/>
            <w:tcBorders>
              <w:top w:val="single" w:sz="4" w:space="0" w:color="auto"/>
              <w:left w:val="single" w:sz="4" w:space="0" w:color="auto"/>
              <w:bottom w:val="single" w:sz="4" w:space="0" w:color="auto"/>
              <w:right w:val="single" w:sz="4" w:space="0" w:color="auto"/>
            </w:tcBorders>
            <w:hideMark/>
          </w:tcPr>
          <w:p w14:paraId="04F578FC" w14:textId="77777777" w:rsidR="00F96762" w:rsidRPr="00855EF5" w:rsidRDefault="00F96762" w:rsidP="00EB33AD">
            <w:pPr>
              <w:pStyle w:val="TableText0"/>
            </w:pPr>
            <w:r w:rsidRPr="00855EF5">
              <w:t>AY.1/ AY.2</w:t>
            </w:r>
          </w:p>
        </w:tc>
        <w:tc>
          <w:tcPr>
            <w:tcW w:w="1478" w:type="pct"/>
            <w:tcBorders>
              <w:top w:val="single" w:sz="4" w:space="0" w:color="auto"/>
              <w:left w:val="single" w:sz="4" w:space="0" w:color="auto"/>
              <w:bottom w:val="single" w:sz="4" w:space="0" w:color="auto"/>
              <w:right w:val="single" w:sz="4" w:space="0" w:color="auto"/>
            </w:tcBorders>
            <w:hideMark/>
          </w:tcPr>
          <w:p w14:paraId="582F0ECC" w14:textId="77777777" w:rsidR="00F96762" w:rsidRPr="00855EF5" w:rsidRDefault="00F96762" w:rsidP="00EB33AD">
            <w:pPr>
              <w:pStyle w:val="TableText0"/>
            </w:pPr>
            <w:r w:rsidRPr="00855EF5">
              <w:t>Delta [+K417N]</w:t>
            </w:r>
          </w:p>
        </w:tc>
        <w:tc>
          <w:tcPr>
            <w:tcW w:w="1252" w:type="pct"/>
            <w:tcBorders>
              <w:top w:val="single" w:sz="4" w:space="0" w:color="auto"/>
              <w:left w:val="single" w:sz="4" w:space="0" w:color="auto"/>
              <w:bottom w:val="single" w:sz="4" w:space="0" w:color="auto"/>
              <w:right w:val="single" w:sz="4" w:space="0" w:color="auto"/>
            </w:tcBorders>
            <w:hideMark/>
          </w:tcPr>
          <w:p w14:paraId="20578B3E" w14:textId="77777777" w:rsidR="00F96762" w:rsidRPr="00855EF5" w:rsidRDefault="00F96762" w:rsidP="00EB33AD">
            <w:pPr>
              <w:pStyle w:val="TableText0"/>
            </w:pPr>
            <w:r w:rsidRPr="00855EF5">
              <w:t>No change</w:t>
            </w:r>
            <w:r w:rsidRPr="00855EF5">
              <w:rPr>
                <w:vertAlign w:val="superscript"/>
              </w:rPr>
              <w:t>§</w:t>
            </w:r>
          </w:p>
        </w:tc>
        <w:tc>
          <w:tcPr>
            <w:tcW w:w="1252" w:type="pct"/>
            <w:tcBorders>
              <w:top w:val="single" w:sz="4" w:space="0" w:color="auto"/>
              <w:left w:val="single" w:sz="4" w:space="0" w:color="auto"/>
              <w:bottom w:val="single" w:sz="4" w:space="0" w:color="auto"/>
              <w:right w:val="single" w:sz="4" w:space="0" w:color="auto"/>
            </w:tcBorders>
            <w:hideMark/>
          </w:tcPr>
          <w:p w14:paraId="598588E9" w14:textId="77777777" w:rsidR="00F96762" w:rsidRPr="00855EF5" w:rsidRDefault="00F96762" w:rsidP="00EB33AD">
            <w:pPr>
              <w:pStyle w:val="TableText0"/>
            </w:pPr>
            <w:r w:rsidRPr="00855EF5">
              <w:t>No change</w:t>
            </w:r>
            <w:r w:rsidRPr="00855EF5">
              <w:rPr>
                <w:vertAlign w:val="superscript"/>
              </w:rPr>
              <w:t>§</w:t>
            </w:r>
          </w:p>
        </w:tc>
      </w:tr>
      <w:tr w:rsidR="00F96762" w:rsidRPr="00855EF5" w14:paraId="3098DF91" w14:textId="77777777" w:rsidTr="00EB33AD">
        <w:tc>
          <w:tcPr>
            <w:tcW w:w="1019" w:type="pct"/>
            <w:tcBorders>
              <w:top w:val="single" w:sz="4" w:space="0" w:color="auto"/>
              <w:left w:val="single" w:sz="4" w:space="0" w:color="auto"/>
              <w:bottom w:val="single" w:sz="4" w:space="0" w:color="auto"/>
              <w:right w:val="single" w:sz="4" w:space="0" w:color="auto"/>
            </w:tcBorders>
            <w:hideMark/>
          </w:tcPr>
          <w:p w14:paraId="6DA8767D" w14:textId="77777777" w:rsidR="00F96762" w:rsidRPr="00855EF5" w:rsidRDefault="00F96762" w:rsidP="00EB33AD">
            <w:pPr>
              <w:pStyle w:val="TableText0"/>
            </w:pPr>
            <w:r w:rsidRPr="00855EF5">
              <w:t>BA.1</w:t>
            </w:r>
          </w:p>
        </w:tc>
        <w:tc>
          <w:tcPr>
            <w:tcW w:w="1478" w:type="pct"/>
            <w:tcBorders>
              <w:top w:val="single" w:sz="4" w:space="0" w:color="auto"/>
              <w:left w:val="single" w:sz="4" w:space="0" w:color="auto"/>
              <w:bottom w:val="single" w:sz="4" w:space="0" w:color="auto"/>
              <w:right w:val="single" w:sz="4" w:space="0" w:color="auto"/>
            </w:tcBorders>
            <w:hideMark/>
          </w:tcPr>
          <w:p w14:paraId="72D67CD6" w14:textId="77777777" w:rsidR="00F96762" w:rsidRPr="00855EF5" w:rsidRDefault="00F96762" w:rsidP="00EB33AD">
            <w:pPr>
              <w:pStyle w:val="TableText0"/>
            </w:pPr>
            <w:r w:rsidRPr="00855EF5">
              <w:t>Omicron (BA.1)</w:t>
            </w:r>
          </w:p>
        </w:tc>
        <w:tc>
          <w:tcPr>
            <w:tcW w:w="1252" w:type="pct"/>
            <w:tcBorders>
              <w:top w:val="single" w:sz="4" w:space="0" w:color="auto"/>
              <w:left w:val="single" w:sz="4" w:space="0" w:color="auto"/>
              <w:bottom w:val="single" w:sz="4" w:space="0" w:color="auto"/>
              <w:right w:val="single" w:sz="4" w:space="0" w:color="auto"/>
            </w:tcBorders>
            <w:hideMark/>
          </w:tcPr>
          <w:p w14:paraId="29801F72" w14:textId="77777777" w:rsidR="00F96762" w:rsidRPr="00855EF5" w:rsidRDefault="00F96762" w:rsidP="00EB33AD">
            <w:pPr>
              <w:pStyle w:val="TableText0"/>
            </w:pPr>
            <w:r w:rsidRPr="00855EF5">
              <w:t>132- to 183-fold</w:t>
            </w:r>
            <w:r w:rsidRPr="00855EF5">
              <w:rPr>
                <w:vertAlign w:val="superscript"/>
              </w:rPr>
              <w:t>#</w:t>
            </w:r>
          </w:p>
        </w:tc>
        <w:tc>
          <w:tcPr>
            <w:tcW w:w="1252" w:type="pct"/>
            <w:tcBorders>
              <w:top w:val="single" w:sz="4" w:space="0" w:color="auto"/>
              <w:left w:val="single" w:sz="4" w:space="0" w:color="auto"/>
              <w:bottom w:val="single" w:sz="4" w:space="0" w:color="auto"/>
              <w:right w:val="single" w:sz="4" w:space="0" w:color="auto"/>
            </w:tcBorders>
            <w:hideMark/>
          </w:tcPr>
          <w:p w14:paraId="33431C13" w14:textId="77777777" w:rsidR="00F96762" w:rsidRPr="00855EF5" w:rsidRDefault="00F96762" w:rsidP="00EB33AD">
            <w:pPr>
              <w:pStyle w:val="TableText0"/>
            </w:pPr>
            <w:r w:rsidRPr="00855EF5">
              <w:t>12- to 30-fold</w:t>
            </w:r>
          </w:p>
        </w:tc>
      </w:tr>
      <w:tr w:rsidR="00F96762" w:rsidRPr="00855EF5" w14:paraId="5E0172BE" w14:textId="77777777" w:rsidTr="00EB33AD">
        <w:tc>
          <w:tcPr>
            <w:tcW w:w="1019" w:type="pct"/>
            <w:tcBorders>
              <w:top w:val="single" w:sz="4" w:space="0" w:color="auto"/>
              <w:left w:val="single" w:sz="4" w:space="0" w:color="auto"/>
              <w:bottom w:val="single" w:sz="4" w:space="0" w:color="auto"/>
              <w:right w:val="single" w:sz="4" w:space="0" w:color="auto"/>
            </w:tcBorders>
            <w:hideMark/>
          </w:tcPr>
          <w:p w14:paraId="73C58F45" w14:textId="77777777" w:rsidR="00F96762" w:rsidRPr="00855EF5" w:rsidRDefault="00F96762" w:rsidP="00EB33AD">
            <w:pPr>
              <w:pStyle w:val="TableText0"/>
            </w:pPr>
            <w:r w:rsidRPr="00855EF5">
              <w:t>BA.1.1</w:t>
            </w:r>
          </w:p>
        </w:tc>
        <w:tc>
          <w:tcPr>
            <w:tcW w:w="1478" w:type="pct"/>
            <w:tcBorders>
              <w:top w:val="single" w:sz="4" w:space="0" w:color="auto"/>
              <w:left w:val="single" w:sz="4" w:space="0" w:color="auto"/>
              <w:bottom w:val="single" w:sz="4" w:space="0" w:color="auto"/>
              <w:right w:val="single" w:sz="4" w:space="0" w:color="auto"/>
            </w:tcBorders>
            <w:hideMark/>
          </w:tcPr>
          <w:p w14:paraId="7D1642D9" w14:textId="77777777" w:rsidR="00F96762" w:rsidRPr="00855EF5" w:rsidRDefault="00F96762" w:rsidP="00EB33AD">
            <w:pPr>
              <w:pStyle w:val="TableText0"/>
            </w:pPr>
            <w:r w:rsidRPr="00855EF5">
              <w:t>Omicron (BA.1.1) [+R346K]</w:t>
            </w:r>
          </w:p>
        </w:tc>
        <w:tc>
          <w:tcPr>
            <w:tcW w:w="1252" w:type="pct"/>
            <w:tcBorders>
              <w:top w:val="single" w:sz="4" w:space="0" w:color="auto"/>
              <w:left w:val="single" w:sz="4" w:space="0" w:color="auto"/>
              <w:bottom w:val="single" w:sz="4" w:space="0" w:color="auto"/>
              <w:right w:val="single" w:sz="4" w:space="0" w:color="auto"/>
            </w:tcBorders>
            <w:hideMark/>
          </w:tcPr>
          <w:p w14:paraId="5A0F778A" w14:textId="77777777" w:rsidR="00F96762" w:rsidRPr="00855EF5" w:rsidRDefault="00F96762" w:rsidP="00EB33AD">
            <w:pPr>
              <w:pStyle w:val="TableText0"/>
            </w:pPr>
            <w:r w:rsidRPr="00855EF5">
              <w:t>424-fold</w:t>
            </w:r>
          </w:p>
        </w:tc>
        <w:tc>
          <w:tcPr>
            <w:tcW w:w="1252" w:type="pct"/>
            <w:tcBorders>
              <w:top w:val="single" w:sz="4" w:space="0" w:color="auto"/>
              <w:left w:val="single" w:sz="4" w:space="0" w:color="auto"/>
              <w:bottom w:val="single" w:sz="4" w:space="0" w:color="auto"/>
              <w:right w:val="single" w:sz="4" w:space="0" w:color="auto"/>
            </w:tcBorders>
            <w:hideMark/>
          </w:tcPr>
          <w:p w14:paraId="1E69DAF4" w14:textId="77777777" w:rsidR="00F96762" w:rsidRPr="00855EF5" w:rsidRDefault="00F96762" w:rsidP="00EB33AD">
            <w:pPr>
              <w:pStyle w:val="TableText0"/>
            </w:pPr>
            <w:r w:rsidRPr="00855EF5">
              <w:t>176-fold</w:t>
            </w:r>
          </w:p>
        </w:tc>
      </w:tr>
      <w:tr w:rsidR="00F96762" w:rsidRPr="00855EF5" w14:paraId="23DE9424" w14:textId="77777777" w:rsidTr="00EB33AD">
        <w:tc>
          <w:tcPr>
            <w:tcW w:w="1019" w:type="pct"/>
            <w:tcBorders>
              <w:top w:val="single" w:sz="4" w:space="0" w:color="auto"/>
              <w:left w:val="single" w:sz="4" w:space="0" w:color="auto"/>
              <w:bottom w:val="single" w:sz="4" w:space="0" w:color="auto"/>
              <w:right w:val="single" w:sz="4" w:space="0" w:color="auto"/>
            </w:tcBorders>
            <w:hideMark/>
          </w:tcPr>
          <w:p w14:paraId="789BD463" w14:textId="77777777" w:rsidR="00F96762" w:rsidRPr="00855EF5" w:rsidRDefault="00F96762" w:rsidP="00EB33AD">
            <w:pPr>
              <w:pStyle w:val="TableText0"/>
            </w:pPr>
            <w:r w:rsidRPr="00855EF5">
              <w:t>BA.2</w:t>
            </w:r>
          </w:p>
        </w:tc>
        <w:tc>
          <w:tcPr>
            <w:tcW w:w="1478" w:type="pct"/>
            <w:tcBorders>
              <w:top w:val="single" w:sz="4" w:space="0" w:color="auto"/>
              <w:left w:val="single" w:sz="4" w:space="0" w:color="auto"/>
              <w:bottom w:val="single" w:sz="4" w:space="0" w:color="auto"/>
              <w:right w:val="single" w:sz="4" w:space="0" w:color="auto"/>
            </w:tcBorders>
            <w:hideMark/>
          </w:tcPr>
          <w:p w14:paraId="0D2FD35A" w14:textId="77777777" w:rsidR="00F96762" w:rsidRPr="00855EF5" w:rsidRDefault="00F96762" w:rsidP="00EB33AD">
            <w:pPr>
              <w:pStyle w:val="TableText0"/>
            </w:pPr>
            <w:r w:rsidRPr="00855EF5">
              <w:t>Omicron (BA.2)</w:t>
            </w:r>
          </w:p>
        </w:tc>
        <w:tc>
          <w:tcPr>
            <w:tcW w:w="1252" w:type="pct"/>
            <w:tcBorders>
              <w:top w:val="single" w:sz="4" w:space="0" w:color="auto"/>
              <w:left w:val="single" w:sz="4" w:space="0" w:color="auto"/>
              <w:bottom w:val="single" w:sz="4" w:space="0" w:color="auto"/>
              <w:right w:val="single" w:sz="4" w:space="0" w:color="auto"/>
            </w:tcBorders>
            <w:hideMark/>
          </w:tcPr>
          <w:p w14:paraId="7ECBE10F" w14:textId="77777777" w:rsidR="00F96762" w:rsidRPr="00855EF5" w:rsidRDefault="00F96762" w:rsidP="00EB33AD">
            <w:pPr>
              <w:pStyle w:val="TableText0"/>
            </w:pPr>
            <w:r w:rsidRPr="00855EF5">
              <w:t>No change</w:t>
            </w:r>
            <w:r w:rsidRPr="00855EF5">
              <w:rPr>
                <w:vertAlign w:val="superscript"/>
              </w:rPr>
              <w:t>§</w:t>
            </w:r>
          </w:p>
        </w:tc>
        <w:tc>
          <w:tcPr>
            <w:tcW w:w="1252" w:type="pct"/>
            <w:tcBorders>
              <w:top w:val="single" w:sz="4" w:space="0" w:color="auto"/>
              <w:left w:val="single" w:sz="4" w:space="0" w:color="auto"/>
              <w:bottom w:val="single" w:sz="4" w:space="0" w:color="auto"/>
              <w:right w:val="single" w:sz="4" w:space="0" w:color="auto"/>
            </w:tcBorders>
            <w:hideMark/>
          </w:tcPr>
          <w:p w14:paraId="6E85F395" w14:textId="77777777" w:rsidR="00F96762" w:rsidRPr="00855EF5" w:rsidRDefault="00F96762" w:rsidP="00EB33AD">
            <w:pPr>
              <w:pStyle w:val="TableText0"/>
            </w:pPr>
            <w:r w:rsidRPr="00855EF5">
              <w:t>5.4-fold</w:t>
            </w:r>
          </w:p>
        </w:tc>
      </w:tr>
      <w:tr w:rsidR="00F96762" w:rsidRPr="00855EF5" w14:paraId="1591EF0D" w14:textId="77777777" w:rsidTr="00EB33AD">
        <w:tc>
          <w:tcPr>
            <w:tcW w:w="1019" w:type="pct"/>
            <w:tcBorders>
              <w:top w:val="single" w:sz="4" w:space="0" w:color="auto"/>
              <w:left w:val="single" w:sz="4" w:space="0" w:color="auto"/>
              <w:bottom w:val="single" w:sz="4" w:space="0" w:color="auto"/>
              <w:right w:val="single" w:sz="4" w:space="0" w:color="auto"/>
            </w:tcBorders>
            <w:hideMark/>
          </w:tcPr>
          <w:p w14:paraId="2CE5EA0B" w14:textId="77777777" w:rsidR="00F96762" w:rsidRPr="00855EF5" w:rsidRDefault="00F96762" w:rsidP="00EB33AD">
            <w:pPr>
              <w:pStyle w:val="TableText0"/>
            </w:pPr>
            <w:r w:rsidRPr="00855EF5">
              <w:t>BA.2.12.1</w:t>
            </w:r>
          </w:p>
        </w:tc>
        <w:tc>
          <w:tcPr>
            <w:tcW w:w="1478" w:type="pct"/>
            <w:tcBorders>
              <w:top w:val="single" w:sz="4" w:space="0" w:color="auto"/>
              <w:left w:val="single" w:sz="4" w:space="0" w:color="auto"/>
              <w:bottom w:val="single" w:sz="4" w:space="0" w:color="auto"/>
              <w:right w:val="single" w:sz="4" w:space="0" w:color="auto"/>
            </w:tcBorders>
            <w:hideMark/>
          </w:tcPr>
          <w:p w14:paraId="0B506DFC" w14:textId="77777777" w:rsidR="00F96762" w:rsidRPr="00855EF5" w:rsidRDefault="00F96762" w:rsidP="00EB33AD">
            <w:pPr>
              <w:pStyle w:val="TableText0"/>
            </w:pPr>
            <w:r w:rsidRPr="00855EF5">
              <w:t>Omicron (BA.2.12.1)</w:t>
            </w:r>
          </w:p>
        </w:tc>
        <w:tc>
          <w:tcPr>
            <w:tcW w:w="1252" w:type="pct"/>
            <w:tcBorders>
              <w:top w:val="single" w:sz="4" w:space="0" w:color="auto"/>
              <w:left w:val="single" w:sz="4" w:space="0" w:color="auto"/>
              <w:bottom w:val="single" w:sz="4" w:space="0" w:color="auto"/>
              <w:right w:val="single" w:sz="4" w:space="0" w:color="auto"/>
            </w:tcBorders>
            <w:hideMark/>
          </w:tcPr>
          <w:p w14:paraId="279802B0" w14:textId="77777777" w:rsidR="00F96762" w:rsidRPr="00855EF5" w:rsidRDefault="00F96762" w:rsidP="00EB33AD">
            <w:pPr>
              <w:pStyle w:val="TableText0"/>
            </w:pPr>
            <w:r w:rsidRPr="00855EF5">
              <w:t>5-fold</w:t>
            </w:r>
          </w:p>
        </w:tc>
        <w:tc>
          <w:tcPr>
            <w:tcW w:w="1252" w:type="pct"/>
            <w:tcBorders>
              <w:top w:val="single" w:sz="4" w:space="0" w:color="auto"/>
              <w:left w:val="single" w:sz="4" w:space="0" w:color="auto"/>
              <w:bottom w:val="single" w:sz="4" w:space="0" w:color="auto"/>
              <w:right w:val="single" w:sz="4" w:space="0" w:color="auto"/>
            </w:tcBorders>
            <w:hideMark/>
          </w:tcPr>
          <w:p w14:paraId="0DABDEE0" w14:textId="77777777" w:rsidR="00F96762" w:rsidRPr="00855EF5" w:rsidRDefault="00F96762" w:rsidP="00EB33AD">
            <w:pPr>
              <w:pStyle w:val="TableText0"/>
            </w:pPr>
            <w:r w:rsidRPr="00855EF5">
              <w:t>ND</w:t>
            </w:r>
          </w:p>
        </w:tc>
      </w:tr>
      <w:tr w:rsidR="00F96762" w:rsidRPr="00855EF5" w14:paraId="4E751B96" w14:textId="77777777" w:rsidTr="00EB33AD">
        <w:tc>
          <w:tcPr>
            <w:tcW w:w="1019" w:type="pct"/>
            <w:tcBorders>
              <w:top w:val="single" w:sz="4" w:space="0" w:color="auto"/>
              <w:left w:val="single" w:sz="4" w:space="0" w:color="auto"/>
              <w:bottom w:val="single" w:sz="4" w:space="0" w:color="auto"/>
              <w:right w:val="single" w:sz="4" w:space="0" w:color="auto"/>
            </w:tcBorders>
            <w:hideMark/>
          </w:tcPr>
          <w:p w14:paraId="1A8C77A1" w14:textId="77777777" w:rsidR="00F96762" w:rsidRPr="00855EF5" w:rsidRDefault="00F96762" w:rsidP="00EB33AD">
            <w:pPr>
              <w:pStyle w:val="TableText0"/>
            </w:pPr>
            <w:r w:rsidRPr="00855EF5">
              <w:t>BA.2.7.5</w:t>
            </w:r>
          </w:p>
        </w:tc>
        <w:tc>
          <w:tcPr>
            <w:tcW w:w="1478" w:type="pct"/>
            <w:tcBorders>
              <w:top w:val="single" w:sz="4" w:space="0" w:color="auto"/>
              <w:left w:val="single" w:sz="4" w:space="0" w:color="auto"/>
              <w:bottom w:val="single" w:sz="4" w:space="0" w:color="auto"/>
              <w:right w:val="single" w:sz="4" w:space="0" w:color="auto"/>
            </w:tcBorders>
            <w:hideMark/>
          </w:tcPr>
          <w:p w14:paraId="19D60DEB" w14:textId="77777777" w:rsidR="00F96762" w:rsidRPr="00855EF5" w:rsidRDefault="00F96762" w:rsidP="00EB33AD">
            <w:pPr>
              <w:pStyle w:val="TableText0"/>
            </w:pPr>
            <w:r w:rsidRPr="00855EF5">
              <w:t>Omicron (BA.2.75)</w:t>
            </w:r>
          </w:p>
        </w:tc>
        <w:tc>
          <w:tcPr>
            <w:tcW w:w="1252" w:type="pct"/>
            <w:tcBorders>
              <w:top w:val="single" w:sz="4" w:space="0" w:color="auto"/>
              <w:left w:val="single" w:sz="4" w:space="0" w:color="auto"/>
              <w:bottom w:val="single" w:sz="4" w:space="0" w:color="auto"/>
              <w:right w:val="single" w:sz="4" w:space="0" w:color="auto"/>
            </w:tcBorders>
            <w:hideMark/>
          </w:tcPr>
          <w:p w14:paraId="43E0AD37" w14:textId="77777777" w:rsidR="00F96762" w:rsidRPr="00855EF5" w:rsidRDefault="00F96762" w:rsidP="00EB33AD">
            <w:pPr>
              <w:pStyle w:val="TableText0"/>
            </w:pPr>
            <w:r w:rsidRPr="00855EF5">
              <w:t>2.4- to 15-fold</w:t>
            </w:r>
          </w:p>
        </w:tc>
        <w:tc>
          <w:tcPr>
            <w:tcW w:w="1252" w:type="pct"/>
            <w:tcBorders>
              <w:top w:val="single" w:sz="4" w:space="0" w:color="auto"/>
              <w:left w:val="single" w:sz="4" w:space="0" w:color="auto"/>
              <w:bottom w:val="single" w:sz="4" w:space="0" w:color="auto"/>
              <w:right w:val="single" w:sz="4" w:space="0" w:color="auto"/>
            </w:tcBorders>
            <w:hideMark/>
          </w:tcPr>
          <w:p w14:paraId="1D61DD57" w14:textId="77777777" w:rsidR="00F96762" w:rsidRPr="00855EF5" w:rsidRDefault="00F96762" w:rsidP="00EB33AD">
            <w:pPr>
              <w:pStyle w:val="TableText0"/>
            </w:pPr>
            <w:r w:rsidRPr="00855EF5">
              <w:t>ND</w:t>
            </w:r>
          </w:p>
        </w:tc>
      </w:tr>
      <w:tr w:rsidR="00F96762" w:rsidRPr="00855EF5" w14:paraId="121504BF" w14:textId="77777777" w:rsidTr="00EB33AD">
        <w:tc>
          <w:tcPr>
            <w:tcW w:w="1019"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DB0202E" w14:textId="77777777" w:rsidR="00F96762" w:rsidRPr="00855EF5" w:rsidRDefault="00F96762" w:rsidP="00EB33AD">
            <w:pPr>
              <w:pStyle w:val="TableText0"/>
            </w:pPr>
            <w:r w:rsidRPr="00855EF5">
              <w:t>BA.2.75.2</w:t>
            </w:r>
          </w:p>
        </w:tc>
        <w:tc>
          <w:tcPr>
            <w:tcW w:w="1478"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8CF8AFB" w14:textId="77777777" w:rsidR="00F96762" w:rsidRPr="00855EF5" w:rsidRDefault="00F96762" w:rsidP="00EB33AD">
            <w:pPr>
              <w:pStyle w:val="TableText0"/>
            </w:pPr>
            <w:r w:rsidRPr="00855EF5">
              <w:t>Omicron (BA.2.75.2)</w:t>
            </w:r>
          </w:p>
        </w:tc>
        <w:tc>
          <w:tcPr>
            <w:tcW w:w="1252"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D13AC33" w14:textId="77777777" w:rsidR="00F96762" w:rsidRPr="00855EF5" w:rsidRDefault="00F96762" w:rsidP="00EB33AD">
            <w:pPr>
              <w:pStyle w:val="TableText0"/>
            </w:pPr>
            <w:r w:rsidRPr="00855EF5">
              <w:t>&gt;5000-fold</w:t>
            </w:r>
            <w:r w:rsidRPr="00855EF5">
              <w:rPr>
                <w:vertAlign w:val="superscript"/>
              </w:rPr>
              <w:t>Þ</w:t>
            </w:r>
          </w:p>
        </w:tc>
        <w:tc>
          <w:tcPr>
            <w:tcW w:w="1252"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6C22BBE" w14:textId="77777777" w:rsidR="00F96762" w:rsidRPr="00855EF5" w:rsidRDefault="00F96762" w:rsidP="00EB33AD">
            <w:pPr>
              <w:pStyle w:val="TableText0"/>
            </w:pPr>
            <w:r w:rsidRPr="00855EF5">
              <w:t>ND</w:t>
            </w:r>
          </w:p>
        </w:tc>
      </w:tr>
      <w:tr w:rsidR="00F96762" w:rsidRPr="00855EF5" w14:paraId="48DEDE65" w14:textId="77777777" w:rsidTr="00EB33AD">
        <w:tc>
          <w:tcPr>
            <w:tcW w:w="1019" w:type="pct"/>
            <w:tcBorders>
              <w:top w:val="single" w:sz="4" w:space="0" w:color="auto"/>
              <w:left w:val="single" w:sz="4" w:space="0" w:color="auto"/>
              <w:bottom w:val="single" w:sz="4" w:space="0" w:color="auto"/>
              <w:right w:val="single" w:sz="4" w:space="0" w:color="auto"/>
            </w:tcBorders>
            <w:hideMark/>
          </w:tcPr>
          <w:p w14:paraId="4B63DC71" w14:textId="77777777" w:rsidR="00F96762" w:rsidRPr="00855EF5" w:rsidRDefault="00F96762" w:rsidP="00EB33AD">
            <w:pPr>
              <w:pStyle w:val="TableText0"/>
            </w:pPr>
            <w:r w:rsidRPr="00855EF5">
              <w:t>BA.3</w:t>
            </w:r>
          </w:p>
        </w:tc>
        <w:tc>
          <w:tcPr>
            <w:tcW w:w="1478" w:type="pct"/>
            <w:tcBorders>
              <w:top w:val="single" w:sz="4" w:space="0" w:color="auto"/>
              <w:left w:val="single" w:sz="4" w:space="0" w:color="auto"/>
              <w:bottom w:val="single" w:sz="4" w:space="0" w:color="auto"/>
              <w:right w:val="single" w:sz="4" w:space="0" w:color="auto"/>
            </w:tcBorders>
            <w:hideMark/>
          </w:tcPr>
          <w:p w14:paraId="510CB8B6" w14:textId="77777777" w:rsidR="00F96762" w:rsidRPr="00855EF5" w:rsidRDefault="00F96762" w:rsidP="00EB33AD">
            <w:pPr>
              <w:pStyle w:val="TableText0"/>
            </w:pPr>
            <w:r w:rsidRPr="00855EF5">
              <w:t>Omicron (BA.3)</w:t>
            </w:r>
          </w:p>
        </w:tc>
        <w:tc>
          <w:tcPr>
            <w:tcW w:w="1252" w:type="pct"/>
            <w:tcBorders>
              <w:top w:val="single" w:sz="4" w:space="0" w:color="auto"/>
              <w:left w:val="single" w:sz="4" w:space="0" w:color="auto"/>
              <w:bottom w:val="single" w:sz="4" w:space="0" w:color="auto"/>
              <w:right w:val="single" w:sz="4" w:space="0" w:color="auto"/>
            </w:tcBorders>
            <w:hideMark/>
          </w:tcPr>
          <w:p w14:paraId="7016F9E7" w14:textId="77777777" w:rsidR="00F96762" w:rsidRPr="00855EF5" w:rsidRDefault="00F96762" w:rsidP="00EB33AD">
            <w:pPr>
              <w:pStyle w:val="TableText0"/>
            </w:pPr>
            <w:r w:rsidRPr="00855EF5">
              <w:t>16-fold</w:t>
            </w:r>
          </w:p>
        </w:tc>
        <w:tc>
          <w:tcPr>
            <w:tcW w:w="1252" w:type="pct"/>
            <w:tcBorders>
              <w:top w:val="single" w:sz="4" w:space="0" w:color="auto"/>
              <w:left w:val="single" w:sz="4" w:space="0" w:color="auto"/>
              <w:bottom w:val="single" w:sz="4" w:space="0" w:color="auto"/>
              <w:right w:val="single" w:sz="4" w:space="0" w:color="auto"/>
            </w:tcBorders>
            <w:hideMark/>
          </w:tcPr>
          <w:p w14:paraId="3C7E0050" w14:textId="77777777" w:rsidR="00F96762" w:rsidRPr="00855EF5" w:rsidRDefault="00F96762" w:rsidP="00EB33AD">
            <w:pPr>
              <w:pStyle w:val="TableText0"/>
            </w:pPr>
            <w:r w:rsidRPr="00855EF5">
              <w:t>ND</w:t>
            </w:r>
          </w:p>
        </w:tc>
      </w:tr>
      <w:tr w:rsidR="00F96762" w:rsidRPr="00855EF5" w14:paraId="796EAF80" w14:textId="77777777" w:rsidTr="00EB33AD">
        <w:tc>
          <w:tcPr>
            <w:tcW w:w="1019" w:type="pct"/>
            <w:tcBorders>
              <w:top w:val="single" w:sz="4" w:space="0" w:color="auto"/>
              <w:left w:val="single" w:sz="4" w:space="0" w:color="auto"/>
              <w:bottom w:val="single" w:sz="4" w:space="0" w:color="auto"/>
              <w:right w:val="single" w:sz="4" w:space="0" w:color="auto"/>
            </w:tcBorders>
            <w:hideMark/>
          </w:tcPr>
          <w:p w14:paraId="2906A0A9" w14:textId="77777777" w:rsidR="00F96762" w:rsidRPr="00855EF5" w:rsidRDefault="00F96762" w:rsidP="00EB33AD">
            <w:pPr>
              <w:pStyle w:val="TableText0"/>
            </w:pPr>
            <w:r w:rsidRPr="00855EF5">
              <w:t>BA.4</w:t>
            </w:r>
          </w:p>
        </w:tc>
        <w:tc>
          <w:tcPr>
            <w:tcW w:w="1478" w:type="pct"/>
            <w:tcBorders>
              <w:top w:val="single" w:sz="4" w:space="0" w:color="auto"/>
              <w:left w:val="single" w:sz="4" w:space="0" w:color="auto"/>
              <w:bottom w:val="single" w:sz="4" w:space="0" w:color="auto"/>
              <w:right w:val="single" w:sz="4" w:space="0" w:color="auto"/>
            </w:tcBorders>
            <w:hideMark/>
          </w:tcPr>
          <w:p w14:paraId="7E4E304F" w14:textId="77777777" w:rsidR="00F96762" w:rsidRPr="00855EF5" w:rsidRDefault="00F96762" w:rsidP="00EB33AD">
            <w:pPr>
              <w:pStyle w:val="TableText0"/>
            </w:pPr>
            <w:r w:rsidRPr="00855EF5">
              <w:t>Omicron (BA.4)</w:t>
            </w:r>
          </w:p>
        </w:tc>
        <w:tc>
          <w:tcPr>
            <w:tcW w:w="1252" w:type="pct"/>
            <w:tcBorders>
              <w:top w:val="single" w:sz="4" w:space="0" w:color="auto"/>
              <w:left w:val="single" w:sz="4" w:space="0" w:color="auto"/>
              <w:bottom w:val="single" w:sz="4" w:space="0" w:color="auto"/>
              <w:right w:val="single" w:sz="4" w:space="0" w:color="auto"/>
            </w:tcBorders>
            <w:hideMark/>
          </w:tcPr>
          <w:p w14:paraId="18A03A64" w14:textId="77777777" w:rsidR="00F96762" w:rsidRPr="00855EF5" w:rsidRDefault="00F96762" w:rsidP="00EB33AD">
            <w:pPr>
              <w:pStyle w:val="TableText0"/>
            </w:pPr>
            <w:r w:rsidRPr="00855EF5">
              <w:t>33- to 65-fold</w:t>
            </w:r>
          </w:p>
        </w:tc>
        <w:tc>
          <w:tcPr>
            <w:tcW w:w="1252" w:type="pct"/>
            <w:tcBorders>
              <w:top w:val="single" w:sz="4" w:space="0" w:color="auto"/>
              <w:left w:val="single" w:sz="4" w:space="0" w:color="auto"/>
              <w:bottom w:val="single" w:sz="4" w:space="0" w:color="auto"/>
              <w:right w:val="single" w:sz="4" w:space="0" w:color="auto"/>
            </w:tcBorders>
            <w:hideMark/>
          </w:tcPr>
          <w:p w14:paraId="55ECD330" w14:textId="77777777" w:rsidR="00F96762" w:rsidRPr="00855EF5" w:rsidRDefault="00F96762" w:rsidP="00EB33AD">
            <w:pPr>
              <w:pStyle w:val="TableText0"/>
            </w:pPr>
            <w:r w:rsidRPr="00855EF5">
              <w:t>ND</w:t>
            </w:r>
          </w:p>
        </w:tc>
      </w:tr>
      <w:tr w:rsidR="00F96762" w:rsidRPr="00855EF5" w14:paraId="5389C979" w14:textId="77777777" w:rsidTr="00EB33AD">
        <w:tc>
          <w:tcPr>
            <w:tcW w:w="1019"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264FC440" w14:textId="77777777" w:rsidR="00F96762" w:rsidRPr="00855EF5" w:rsidRDefault="00F96762" w:rsidP="00EB33AD">
            <w:pPr>
              <w:pStyle w:val="TableText0"/>
            </w:pPr>
            <w:r w:rsidRPr="00855EF5">
              <w:t>BA.4.6</w:t>
            </w:r>
          </w:p>
        </w:tc>
        <w:tc>
          <w:tcPr>
            <w:tcW w:w="1478"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5D28A3BD" w14:textId="77777777" w:rsidR="00F96762" w:rsidRPr="00855EF5" w:rsidRDefault="00F96762" w:rsidP="00EB33AD">
            <w:pPr>
              <w:pStyle w:val="TableText0"/>
            </w:pPr>
            <w:r w:rsidRPr="00855EF5">
              <w:t>Omicron (BA.4.6)</w:t>
            </w:r>
          </w:p>
        </w:tc>
        <w:tc>
          <w:tcPr>
            <w:tcW w:w="1252"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7B1E775A" w14:textId="77777777" w:rsidR="00F96762" w:rsidRPr="00855EF5" w:rsidRDefault="00F96762" w:rsidP="00EB33AD">
            <w:pPr>
              <w:pStyle w:val="TableText0"/>
            </w:pPr>
            <w:r w:rsidRPr="00855EF5">
              <w:t>&gt;1000-fold</w:t>
            </w:r>
            <w:r w:rsidRPr="00855EF5">
              <w:rPr>
                <w:vertAlign w:val="superscript"/>
              </w:rPr>
              <w:t>Þ</w:t>
            </w:r>
          </w:p>
        </w:tc>
        <w:tc>
          <w:tcPr>
            <w:tcW w:w="1252" w:type="pct"/>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5AD5B4E6" w14:textId="77777777" w:rsidR="00F96762" w:rsidRPr="00855EF5" w:rsidRDefault="00F96762" w:rsidP="00EB33AD">
            <w:pPr>
              <w:pStyle w:val="TableText0"/>
            </w:pPr>
            <w:r w:rsidRPr="00855EF5">
              <w:t>ND</w:t>
            </w:r>
          </w:p>
        </w:tc>
      </w:tr>
      <w:tr w:rsidR="00F96762" w:rsidRPr="00855EF5" w14:paraId="0FC31A70" w14:textId="77777777" w:rsidTr="00EB33AD">
        <w:tc>
          <w:tcPr>
            <w:tcW w:w="1019" w:type="pct"/>
            <w:tcBorders>
              <w:top w:val="single" w:sz="4" w:space="0" w:color="auto"/>
              <w:left w:val="single" w:sz="4" w:space="0" w:color="auto"/>
              <w:bottom w:val="single" w:sz="4" w:space="0" w:color="auto"/>
              <w:right w:val="single" w:sz="4" w:space="0" w:color="auto"/>
            </w:tcBorders>
            <w:hideMark/>
          </w:tcPr>
          <w:p w14:paraId="680312B4" w14:textId="77777777" w:rsidR="00F96762" w:rsidRPr="00855EF5" w:rsidRDefault="00F96762" w:rsidP="00EB33AD">
            <w:pPr>
              <w:pStyle w:val="TableText0"/>
            </w:pPr>
            <w:r w:rsidRPr="00855EF5">
              <w:t>BA.5</w:t>
            </w:r>
          </w:p>
        </w:tc>
        <w:tc>
          <w:tcPr>
            <w:tcW w:w="1478" w:type="pct"/>
            <w:tcBorders>
              <w:top w:val="single" w:sz="4" w:space="0" w:color="auto"/>
              <w:left w:val="single" w:sz="4" w:space="0" w:color="auto"/>
              <w:bottom w:val="single" w:sz="4" w:space="0" w:color="auto"/>
              <w:right w:val="single" w:sz="4" w:space="0" w:color="auto"/>
            </w:tcBorders>
            <w:hideMark/>
          </w:tcPr>
          <w:p w14:paraId="58F164DF" w14:textId="77777777" w:rsidR="00F96762" w:rsidRPr="00855EF5" w:rsidRDefault="00F96762" w:rsidP="00EB33AD">
            <w:pPr>
              <w:pStyle w:val="TableText0"/>
            </w:pPr>
            <w:r w:rsidRPr="00855EF5">
              <w:t>Omicron (BA.5)</w:t>
            </w:r>
          </w:p>
        </w:tc>
        <w:tc>
          <w:tcPr>
            <w:tcW w:w="1252" w:type="pct"/>
            <w:tcBorders>
              <w:top w:val="single" w:sz="4" w:space="0" w:color="auto"/>
              <w:left w:val="single" w:sz="4" w:space="0" w:color="auto"/>
              <w:bottom w:val="single" w:sz="4" w:space="0" w:color="auto"/>
              <w:right w:val="single" w:sz="4" w:space="0" w:color="auto"/>
            </w:tcBorders>
            <w:hideMark/>
          </w:tcPr>
          <w:p w14:paraId="3FB7A4EA" w14:textId="77777777" w:rsidR="00F96762" w:rsidRPr="00855EF5" w:rsidRDefault="00F96762" w:rsidP="00EB33AD">
            <w:pPr>
              <w:pStyle w:val="TableText0"/>
            </w:pPr>
            <w:r w:rsidRPr="00855EF5">
              <w:t>33- to 65-fold</w:t>
            </w:r>
          </w:p>
        </w:tc>
        <w:tc>
          <w:tcPr>
            <w:tcW w:w="1252" w:type="pct"/>
            <w:tcBorders>
              <w:top w:val="single" w:sz="4" w:space="0" w:color="auto"/>
              <w:left w:val="single" w:sz="4" w:space="0" w:color="auto"/>
              <w:bottom w:val="single" w:sz="4" w:space="0" w:color="auto"/>
              <w:right w:val="single" w:sz="4" w:space="0" w:color="auto"/>
            </w:tcBorders>
            <w:hideMark/>
          </w:tcPr>
          <w:p w14:paraId="033E800D" w14:textId="77777777" w:rsidR="00F96762" w:rsidRPr="00855EF5" w:rsidRDefault="00F96762" w:rsidP="00EB33AD">
            <w:pPr>
              <w:pStyle w:val="TableText0"/>
            </w:pPr>
            <w:r w:rsidRPr="00855EF5">
              <w:t>2.8- to 16-fold</w:t>
            </w:r>
          </w:p>
        </w:tc>
      </w:tr>
      <w:tr w:rsidR="00F96762" w:rsidRPr="00855EF5" w14:paraId="3C8AEC3C" w14:textId="77777777" w:rsidTr="00EB33AD">
        <w:tc>
          <w:tcPr>
            <w:tcW w:w="1019"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AD9F881" w14:textId="77777777" w:rsidR="00F96762" w:rsidRPr="00855EF5" w:rsidRDefault="00F96762" w:rsidP="00EB33AD">
            <w:pPr>
              <w:pStyle w:val="TableText0"/>
            </w:pPr>
            <w:r w:rsidRPr="00855EF5">
              <w:t>BF.7</w:t>
            </w:r>
          </w:p>
        </w:tc>
        <w:tc>
          <w:tcPr>
            <w:tcW w:w="1478"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71F5816" w14:textId="77777777" w:rsidR="00F96762" w:rsidRPr="00855EF5" w:rsidRDefault="00F96762" w:rsidP="00EB33AD">
            <w:pPr>
              <w:pStyle w:val="TableText0"/>
            </w:pPr>
            <w:r w:rsidRPr="00855EF5">
              <w:t>Omicron (BF.7)</w:t>
            </w:r>
          </w:p>
        </w:tc>
        <w:tc>
          <w:tcPr>
            <w:tcW w:w="1252"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8831B0E" w14:textId="77777777" w:rsidR="00F96762" w:rsidRPr="00855EF5" w:rsidRDefault="00F96762" w:rsidP="00EB33AD">
            <w:pPr>
              <w:pStyle w:val="TableText0"/>
            </w:pPr>
            <w:r w:rsidRPr="00855EF5">
              <w:t>&gt;5000-fold</w:t>
            </w:r>
            <w:r w:rsidRPr="00855EF5">
              <w:rPr>
                <w:vertAlign w:val="superscript"/>
              </w:rPr>
              <w:t>Þ</w:t>
            </w:r>
          </w:p>
        </w:tc>
        <w:tc>
          <w:tcPr>
            <w:tcW w:w="1252"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58B1EAD6" w14:textId="77777777" w:rsidR="00F96762" w:rsidRPr="00855EF5" w:rsidRDefault="00F96762" w:rsidP="00EB33AD">
            <w:pPr>
              <w:pStyle w:val="TableText0"/>
            </w:pPr>
            <w:r w:rsidRPr="00855EF5">
              <w:t>ND</w:t>
            </w:r>
          </w:p>
        </w:tc>
      </w:tr>
      <w:tr w:rsidR="00F96762" w:rsidRPr="00855EF5" w14:paraId="29889FA2" w14:textId="77777777" w:rsidTr="00EB33AD">
        <w:tc>
          <w:tcPr>
            <w:tcW w:w="1019" w:type="pct"/>
            <w:tcBorders>
              <w:top w:val="single" w:sz="4" w:space="0" w:color="auto"/>
              <w:left w:val="single" w:sz="4" w:space="0" w:color="auto"/>
              <w:bottom w:val="single" w:sz="4" w:space="0" w:color="auto"/>
              <w:right w:val="single" w:sz="4" w:space="0" w:color="auto"/>
            </w:tcBorders>
          </w:tcPr>
          <w:p w14:paraId="38958121" w14:textId="77777777" w:rsidR="00F96762" w:rsidRPr="00855EF5" w:rsidRDefault="00F96762" w:rsidP="00EB33AD">
            <w:pPr>
              <w:pStyle w:val="TableText0"/>
            </w:pPr>
            <w:r w:rsidRPr="00855EF5">
              <w:t>BJ.1</w:t>
            </w:r>
          </w:p>
        </w:tc>
        <w:tc>
          <w:tcPr>
            <w:tcW w:w="1478" w:type="pct"/>
            <w:tcBorders>
              <w:top w:val="single" w:sz="4" w:space="0" w:color="auto"/>
              <w:left w:val="single" w:sz="4" w:space="0" w:color="auto"/>
              <w:bottom w:val="single" w:sz="4" w:space="0" w:color="auto"/>
              <w:right w:val="single" w:sz="4" w:space="0" w:color="auto"/>
            </w:tcBorders>
          </w:tcPr>
          <w:p w14:paraId="5A87A5D4" w14:textId="77777777" w:rsidR="00F96762" w:rsidRPr="00855EF5" w:rsidRDefault="00F96762" w:rsidP="00EB33AD">
            <w:pPr>
              <w:pStyle w:val="TableText0"/>
            </w:pPr>
            <w:r w:rsidRPr="00855EF5">
              <w:t>Omicron (BJ.1)</w:t>
            </w:r>
          </w:p>
        </w:tc>
        <w:tc>
          <w:tcPr>
            <w:tcW w:w="1252" w:type="pct"/>
            <w:tcBorders>
              <w:top w:val="single" w:sz="4" w:space="0" w:color="auto"/>
              <w:left w:val="single" w:sz="4" w:space="0" w:color="auto"/>
              <w:bottom w:val="single" w:sz="4" w:space="0" w:color="auto"/>
              <w:right w:val="single" w:sz="4" w:space="0" w:color="auto"/>
            </w:tcBorders>
          </w:tcPr>
          <w:p w14:paraId="20F1A3DD" w14:textId="77777777" w:rsidR="00F96762" w:rsidRPr="00855EF5" w:rsidRDefault="00F96762" w:rsidP="00EB33AD">
            <w:pPr>
              <w:pStyle w:val="TableText0"/>
            </w:pPr>
            <w:r w:rsidRPr="00855EF5">
              <w:t>228- to 424-fold</w:t>
            </w:r>
          </w:p>
        </w:tc>
        <w:tc>
          <w:tcPr>
            <w:tcW w:w="1252" w:type="pct"/>
            <w:tcBorders>
              <w:top w:val="single" w:sz="4" w:space="0" w:color="auto"/>
              <w:left w:val="single" w:sz="4" w:space="0" w:color="auto"/>
              <w:bottom w:val="single" w:sz="4" w:space="0" w:color="auto"/>
              <w:right w:val="single" w:sz="4" w:space="0" w:color="auto"/>
            </w:tcBorders>
          </w:tcPr>
          <w:p w14:paraId="712813B3" w14:textId="77777777" w:rsidR="00F96762" w:rsidRPr="00855EF5" w:rsidRDefault="00F96762" w:rsidP="00EB33AD">
            <w:pPr>
              <w:pStyle w:val="TableText0"/>
            </w:pPr>
            <w:r w:rsidRPr="00855EF5">
              <w:t>ND</w:t>
            </w:r>
          </w:p>
        </w:tc>
      </w:tr>
      <w:tr w:rsidR="00F96762" w:rsidRPr="00855EF5" w14:paraId="3F8BBD9F" w14:textId="77777777" w:rsidTr="00EB33AD">
        <w:tc>
          <w:tcPr>
            <w:tcW w:w="1019"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960C903" w14:textId="77777777" w:rsidR="00F96762" w:rsidRPr="00855EF5" w:rsidRDefault="00F96762" w:rsidP="00EB33AD">
            <w:pPr>
              <w:pStyle w:val="TableText0"/>
            </w:pPr>
            <w:r w:rsidRPr="00855EF5">
              <w:t>BQ.1</w:t>
            </w:r>
          </w:p>
        </w:tc>
        <w:tc>
          <w:tcPr>
            <w:tcW w:w="1478"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10C7D04" w14:textId="77777777" w:rsidR="00F96762" w:rsidRPr="00855EF5" w:rsidRDefault="00F96762" w:rsidP="00EB33AD">
            <w:pPr>
              <w:pStyle w:val="TableText0"/>
            </w:pPr>
            <w:r w:rsidRPr="00855EF5">
              <w:t>Omicron (BQ.1)</w:t>
            </w:r>
          </w:p>
        </w:tc>
        <w:tc>
          <w:tcPr>
            <w:tcW w:w="1252"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2724BEEC" w14:textId="77777777" w:rsidR="00F96762" w:rsidRPr="00855EF5" w:rsidRDefault="00F96762" w:rsidP="00EB33AD">
            <w:pPr>
              <w:pStyle w:val="TableText0"/>
            </w:pPr>
            <w:r w:rsidRPr="00855EF5">
              <w:t>&gt;2000-fold</w:t>
            </w:r>
            <w:r w:rsidRPr="00855EF5">
              <w:rPr>
                <w:vertAlign w:val="superscript"/>
              </w:rPr>
              <w:t>Þ</w:t>
            </w:r>
          </w:p>
        </w:tc>
        <w:tc>
          <w:tcPr>
            <w:tcW w:w="1252"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47BD2D9D" w14:textId="77777777" w:rsidR="00F96762" w:rsidRPr="00855EF5" w:rsidRDefault="00F96762" w:rsidP="00EB33AD">
            <w:pPr>
              <w:pStyle w:val="TableText0"/>
            </w:pPr>
            <w:r w:rsidRPr="00855EF5">
              <w:t>ND</w:t>
            </w:r>
          </w:p>
        </w:tc>
      </w:tr>
      <w:tr w:rsidR="00F96762" w:rsidRPr="00855EF5" w14:paraId="16B9E477" w14:textId="77777777" w:rsidTr="00EB33AD">
        <w:tc>
          <w:tcPr>
            <w:tcW w:w="1019"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6EF65194" w14:textId="77777777" w:rsidR="00F96762" w:rsidRPr="00855EF5" w:rsidRDefault="00F96762" w:rsidP="00EB33AD">
            <w:pPr>
              <w:pStyle w:val="TableText0"/>
            </w:pPr>
            <w:r w:rsidRPr="00855EF5">
              <w:t>BQ.1.1</w:t>
            </w:r>
          </w:p>
        </w:tc>
        <w:tc>
          <w:tcPr>
            <w:tcW w:w="1478"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7AA48C47" w14:textId="77777777" w:rsidR="00F96762" w:rsidRPr="00855EF5" w:rsidRDefault="00F96762" w:rsidP="00EB33AD">
            <w:pPr>
              <w:pStyle w:val="TableText0"/>
            </w:pPr>
            <w:r w:rsidRPr="00855EF5">
              <w:t>Omicron (BQ.1.1)</w:t>
            </w:r>
          </w:p>
        </w:tc>
        <w:tc>
          <w:tcPr>
            <w:tcW w:w="1252"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15A68731" w14:textId="77777777" w:rsidR="00F96762" w:rsidRPr="00855EF5" w:rsidRDefault="00F96762" w:rsidP="00EB33AD">
            <w:pPr>
              <w:pStyle w:val="TableText0"/>
            </w:pPr>
            <w:r w:rsidRPr="00855EF5">
              <w:t>&gt;2000-fold</w:t>
            </w:r>
            <w:r w:rsidRPr="00855EF5">
              <w:rPr>
                <w:vertAlign w:val="superscript"/>
              </w:rPr>
              <w:t>Þ</w:t>
            </w:r>
          </w:p>
        </w:tc>
        <w:tc>
          <w:tcPr>
            <w:tcW w:w="1252" w:type="pct"/>
            <w:tcBorders>
              <w:top w:val="single" w:sz="4" w:space="0" w:color="auto"/>
              <w:left w:val="single" w:sz="4" w:space="0" w:color="auto"/>
              <w:bottom w:val="single" w:sz="4" w:space="0" w:color="auto"/>
              <w:right w:val="single" w:sz="4" w:space="0" w:color="auto"/>
            </w:tcBorders>
            <w:shd w:val="clear" w:color="auto" w:fill="F2DBDB" w:themeFill="accent2" w:themeFillTint="33"/>
          </w:tcPr>
          <w:p w14:paraId="309D1EF8" w14:textId="77777777" w:rsidR="00F96762" w:rsidRPr="00855EF5" w:rsidRDefault="00F96762" w:rsidP="00EB33AD">
            <w:pPr>
              <w:pStyle w:val="TableText0"/>
            </w:pPr>
            <w:r w:rsidRPr="00855EF5">
              <w:t>ND</w:t>
            </w:r>
          </w:p>
        </w:tc>
      </w:tr>
      <w:tr w:rsidR="00F96762" w:rsidRPr="00855EF5" w14:paraId="798DF718" w14:textId="77777777" w:rsidTr="00EB33AD">
        <w:tc>
          <w:tcPr>
            <w:tcW w:w="1019" w:type="pct"/>
            <w:tcBorders>
              <w:top w:val="single" w:sz="4" w:space="0" w:color="auto"/>
              <w:left w:val="single" w:sz="4" w:space="0" w:color="auto"/>
              <w:bottom w:val="single" w:sz="4" w:space="0" w:color="auto"/>
              <w:right w:val="single" w:sz="4" w:space="0" w:color="auto"/>
            </w:tcBorders>
            <w:hideMark/>
          </w:tcPr>
          <w:p w14:paraId="747E70EF" w14:textId="77777777" w:rsidR="00F96762" w:rsidRPr="00855EF5" w:rsidRDefault="00F96762" w:rsidP="00EB33AD">
            <w:pPr>
              <w:pStyle w:val="TableText0"/>
            </w:pPr>
            <w:r w:rsidRPr="00855EF5">
              <w:t>B.1.525</w:t>
            </w:r>
          </w:p>
        </w:tc>
        <w:tc>
          <w:tcPr>
            <w:tcW w:w="1478" w:type="pct"/>
            <w:tcBorders>
              <w:top w:val="single" w:sz="4" w:space="0" w:color="auto"/>
              <w:left w:val="single" w:sz="4" w:space="0" w:color="auto"/>
              <w:bottom w:val="single" w:sz="4" w:space="0" w:color="auto"/>
              <w:right w:val="single" w:sz="4" w:space="0" w:color="auto"/>
            </w:tcBorders>
            <w:hideMark/>
          </w:tcPr>
          <w:p w14:paraId="31BF7A82" w14:textId="77777777" w:rsidR="00F96762" w:rsidRPr="00855EF5" w:rsidRDefault="00F96762" w:rsidP="00EB33AD">
            <w:pPr>
              <w:pStyle w:val="TableText0"/>
            </w:pPr>
            <w:r w:rsidRPr="00855EF5">
              <w:t>Eta</w:t>
            </w:r>
          </w:p>
        </w:tc>
        <w:tc>
          <w:tcPr>
            <w:tcW w:w="1252" w:type="pct"/>
            <w:tcBorders>
              <w:top w:val="single" w:sz="4" w:space="0" w:color="auto"/>
              <w:left w:val="single" w:sz="4" w:space="0" w:color="auto"/>
              <w:bottom w:val="single" w:sz="4" w:space="0" w:color="auto"/>
              <w:right w:val="single" w:sz="4" w:space="0" w:color="auto"/>
            </w:tcBorders>
            <w:hideMark/>
          </w:tcPr>
          <w:p w14:paraId="19CBA678" w14:textId="77777777" w:rsidR="00F96762" w:rsidRPr="00855EF5" w:rsidRDefault="00F96762" w:rsidP="00EB33AD">
            <w:pPr>
              <w:pStyle w:val="TableText0"/>
            </w:pPr>
            <w:r w:rsidRPr="00855EF5">
              <w:t>No change</w:t>
            </w:r>
            <w:r w:rsidRPr="00855EF5">
              <w:rPr>
                <w:vertAlign w:val="superscript"/>
              </w:rPr>
              <w:t>§</w:t>
            </w:r>
          </w:p>
        </w:tc>
        <w:tc>
          <w:tcPr>
            <w:tcW w:w="1252" w:type="pct"/>
            <w:tcBorders>
              <w:top w:val="single" w:sz="4" w:space="0" w:color="auto"/>
              <w:left w:val="single" w:sz="4" w:space="0" w:color="auto"/>
              <w:bottom w:val="single" w:sz="4" w:space="0" w:color="auto"/>
              <w:right w:val="single" w:sz="4" w:space="0" w:color="auto"/>
            </w:tcBorders>
            <w:hideMark/>
          </w:tcPr>
          <w:p w14:paraId="34BE09E2" w14:textId="77777777" w:rsidR="00F96762" w:rsidRPr="00855EF5" w:rsidRDefault="00F96762" w:rsidP="00EB33AD">
            <w:pPr>
              <w:pStyle w:val="TableText0"/>
            </w:pPr>
            <w:r w:rsidRPr="00855EF5">
              <w:t>ND</w:t>
            </w:r>
          </w:p>
        </w:tc>
      </w:tr>
      <w:tr w:rsidR="00F96762" w:rsidRPr="00855EF5" w14:paraId="393B7928" w14:textId="77777777" w:rsidTr="00EB33AD">
        <w:tc>
          <w:tcPr>
            <w:tcW w:w="1019" w:type="pct"/>
            <w:tcBorders>
              <w:top w:val="single" w:sz="4" w:space="0" w:color="auto"/>
              <w:left w:val="single" w:sz="4" w:space="0" w:color="auto"/>
              <w:bottom w:val="single" w:sz="4" w:space="0" w:color="auto"/>
              <w:right w:val="single" w:sz="4" w:space="0" w:color="auto"/>
            </w:tcBorders>
            <w:hideMark/>
          </w:tcPr>
          <w:p w14:paraId="564D454F" w14:textId="77777777" w:rsidR="00F96762" w:rsidRPr="00855EF5" w:rsidRDefault="00F96762" w:rsidP="00EB33AD">
            <w:pPr>
              <w:pStyle w:val="TableText0"/>
            </w:pPr>
            <w:r w:rsidRPr="00855EF5">
              <w:t>B.1.526</w:t>
            </w:r>
          </w:p>
        </w:tc>
        <w:tc>
          <w:tcPr>
            <w:tcW w:w="1478" w:type="pct"/>
            <w:tcBorders>
              <w:top w:val="single" w:sz="4" w:space="0" w:color="auto"/>
              <w:left w:val="single" w:sz="4" w:space="0" w:color="auto"/>
              <w:bottom w:val="single" w:sz="4" w:space="0" w:color="auto"/>
              <w:right w:val="single" w:sz="4" w:space="0" w:color="auto"/>
            </w:tcBorders>
            <w:hideMark/>
          </w:tcPr>
          <w:p w14:paraId="6D68CF9F" w14:textId="77777777" w:rsidR="00F96762" w:rsidRPr="00855EF5" w:rsidRDefault="00F96762" w:rsidP="00EB33AD">
            <w:pPr>
              <w:pStyle w:val="TableText0"/>
            </w:pPr>
            <w:r w:rsidRPr="00855EF5">
              <w:t>Iota</w:t>
            </w:r>
          </w:p>
        </w:tc>
        <w:tc>
          <w:tcPr>
            <w:tcW w:w="1252" w:type="pct"/>
            <w:tcBorders>
              <w:top w:val="single" w:sz="4" w:space="0" w:color="auto"/>
              <w:left w:val="single" w:sz="4" w:space="0" w:color="auto"/>
              <w:bottom w:val="single" w:sz="4" w:space="0" w:color="auto"/>
              <w:right w:val="single" w:sz="4" w:space="0" w:color="auto"/>
            </w:tcBorders>
            <w:hideMark/>
          </w:tcPr>
          <w:p w14:paraId="68F2047D" w14:textId="77777777" w:rsidR="00F96762" w:rsidRPr="00855EF5" w:rsidRDefault="00F96762" w:rsidP="00EB33AD">
            <w:pPr>
              <w:pStyle w:val="TableText0"/>
            </w:pPr>
            <w:r w:rsidRPr="00855EF5">
              <w:t>No change</w:t>
            </w:r>
            <w:r w:rsidRPr="00855EF5">
              <w:rPr>
                <w:vertAlign w:val="superscript"/>
              </w:rPr>
              <w:t>§</w:t>
            </w:r>
          </w:p>
        </w:tc>
        <w:tc>
          <w:tcPr>
            <w:tcW w:w="1252" w:type="pct"/>
            <w:tcBorders>
              <w:top w:val="single" w:sz="4" w:space="0" w:color="auto"/>
              <w:left w:val="single" w:sz="4" w:space="0" w:color="auto"/>
              <w:bottom w:val="single" w:sz="4" w:space="0" w:color="auto"/>
              <w:right w:val="single" w:sz="4" w:space="0" w:color="auto"/>
            </w:tcBorders>
            <w:hideMark/>
          </w:tcPr>
          <w:p w14:paraId="27A327D2" w14:textId="77777777" w:rsidR="00F96762" w:rsidRPr="00855EF5" w:rsidRDefault="00F96762" w:rsidP="00EB33AD">
            <w:pPr>
              <w:pStyle w:val="TableText0"/>
            </w:pPr>
            <w:r w:rsidRPr="00855EF5">
              <w:t>No change</w:t>
            </w:r>
            <w:r w:rsidRPr="00855EF5">
              <w:rPr>
                <w:vertAlign w:val="superscript"/>
              </w:rPr>
              <w:t>§</w:t>
            </w:r>
          </w:p>
        </w:tc>
      </w:tr>
      <w:tr w:rsidR="00F96762" w:rsidRPr="00855EF5" w14:paraId="79952EA9" w14:textId="77777777" w:rsidTr="00EB33AD">
        <w:tc>
          <w:tcPr>
            <w:tcW w:w="1019" w:type="pct"/>
            <w:tcBorders>
              <w:top w:val="single" w:sz="4" w:space="0" w:color="auto"/>
              <w:left w:val="single" w:sz="4" w:space="0" w:color="auto"/>
              <w:bottom w:val="single" w:sz="4" w:space="0" w:color="auto"/>
              <w:right w:val="single" w:sz="4" w:space="0" w:color="auto"/>
            </w:tcBorders>
            <w:hideMark/>
          </w:tcPr>
          <w:p w14:paraId="39A3D384" w14:textId="77777777" w:rsidR="00F96762" w:rsidRPr="00855EF5" w:rsidRDefault="00F96762" w:rsidP="00EB33AD">
            <w:pPr>
              <w:pStyle w:val="TableText0"/>
            </w:pPr>
            <w:r w:rsidRPr="00855EF5">
              <w:t>B.1.617.1</w:t>
            </w:r>
          </w:p>
        </w:tc>
        <w:tc>
          <w:tcPr>
            <w:tcW w:w="1478" w:type="pct"/>
            <w:tcBorders>
              <w:top w:val="single" w:sz="4" w:space="0" w:color="auto"/>
              <w:left w:val="single" w:sz="4" w:space="0" w:color="auto"/>
              <w:bottom w:val="single" w:sz="4" w:space="0" w:color="auto"/>
              <w:right w:val="single" w:sz="4" w:space="0" w:color="auto"/>
            </w:tcBorders>
            <w:hideMark/>
          </w:tcPr>
          <w:p w14:paraId="5CF63C94" w14:textId="77777777" w:rsidR="00F96762" w:rsidRPr="00855EF5" w:rsidRDefault="00F96762" w:rsidP="00EB33AD">
            <w:pPr>
              <w:pStyle w:val="TableText0"/>
            </w:pPr>
            <w:r w:rsidRPr="00855EF5">
              <w:t>Kappa</w:t>
            </w:r>
          </w:p>
        </w:tc>
        <w:tc>
          <w:tcPr>
            <w:tcW w:w="1252" w:type="pct"/>
            <w:tcBorders>
              <w:top w:val="single" w:sz="4" w:space="0" w:color="auto"/>
              <w:left w:val="single" w:sz="4" w:space="0" w:color="auto"/>
              <w:bottom w:val="single" w:sz="4" w:space="0" w:color="auto"/>
              <w:right w:val="single" w:sz="4" w:space="0" w:color="auto"/>
            </w:tcBorders>
            <w:hideMark/>
          </w:tcPr>
          <w:p w14:paraId="6D7EDA7F" w14:textId="77777777" w:rsidR="00F96762" w:rsidRPr="00855EF5" w:rsidRDefault="00F96762" w:rsidP="00EB33AD">
            <w:pPr>
              <w:pStyle w:val="TableText0"/>
            </w:pPr>
            <w:r w:rsidRPr="00855EF5">
              <w:t>No change</w:t>
            </w:r>
            <w:r w:rsidRPr="00855EF5">
              <w:rPr>
                <w:vertAlign w:val="superscript"/>
              </w:rPr>
              <w:t>§</w:t>
            </w:r>
          </w:p>
        </w:tc>
        <w:tc>
          <w:tcPr>
            <w:tcW w:w="1252" w:type="pct"/>
            <w:tcBorders>
              <w:top w:val="single" w:sz="4" w:space="0" w:color="auto"/>
              <w:left w:val="single" w:sz="4" w:space="0" w:color="auto"/>
              <w:bottom w:val="single" w:sz="4" w:space="0" w:color="auto"/>
              <w:right w:val="single" w:sz="4" w:space="0" w:color="auto"/>
            </w:tcBorders>
            <w:hideMark/>
          </w:tcPr>
          <w:p w14:paraId="36912715" w14:textId="77777777" w:rsidR="00F96762" w:rsidRPr="00855EF5" w:rsidRDefault="00F96762" w:rsidP="00EB33AD">
            <w:pPr>
              <w:pStyle w:val="TableText0"/>
            </w:pPr>
            <w:r w:rsidRPr="00855EF5">
              <w:t>No change</w:t>
            </w:r>
            <w:r w:rsidRPr="00855EF5">
              <w:rPr>
                <w:vertAlign w:val="superscript"/>
              </w:rPr>
              <w:t>§</w:t>
            </w:r>
          </w:p>
        </w:tc>
      </w:tr>
      <w:tr w:rsidR="00F96762" w:rsidRPr="00855EF5" w14:paraId="18721328" w14:textId="77777777" w:rsidTr="00EB33AD">
        <w:tc>
          <w:tcPr>
            <w:tcW w:w="1019" w:type="pct"/>
            <w:tcBorders>
              <w:top w:val="single" w:sz="4" w:space="0" w:color="auto"/>
              <w:left w:val="single" w:sz="4" w:space="0" w:color="auto"/>
              <w:bottom w:val="single" w:sz="4" w:space="0" w:color="auto"/>
              <w:right w:val="single" w:sz="4" w:space="0" w:color="auto"/>
            </w:tcBorders>
            <w:hideMark/>
          </w:tcPr>
          <w:p w14:paraId="6B2C0805" w14:textId="77777777" w:rsidR="00F96762" w:rsidRPr="00855EF5" w:rsidRDefault="00F96762" w:rsidP="00EB33AD">
            <w:pPr>
              <w:pStyle w:val="TableText0"/>
            </w:pPr>
            <w:r w:rsidRPr="00855EF5">
              <w:t>C.37</w:t>
            </w:r>
          </w:p>
        </w:tc>
        <w:tc>
          <w:tcPr>
            <w:tcW w:w="1478" w:type="pct"/>
            <w:tcBorders>
              <w:top w:val="single" w:sz="4" w:space="0" w:color="auto"/>
              <w:left w:val="single" w:sz="4" w:space="0" w:color="auto"/>
              <w:bottom w:val="single" w:sz="4" w:space="0" w:color="auto"/>
              <w:right w:val="single" w:sz="4" w:space="0" w:color="auto"/>
            </w:tcBorders>
            <w:hideMark/>
          </w:tcPr>
          <w:p w14:paraId="133CA71F" w14:textId="77777777" w:rsidR="00F96762" w:rsidRPr="00855EF5" w:rsidRDefault="00F96762" w:rsidP="00EB33AD">
            <w:pPr>
              <w:pStyle w:val="TableText0"/>
            </w:pPr>
            <w:r w:rsidRPr="00855EF5">
              <w:t>Lambda</w:t>
            </w:r>
          </w:p>
        </w:tc>
        <w:tc>
          <w:tcPr>
            <w:tcW w:w="1252" w:type="pct"/>
            <w:tcBorders>
              <w:top w:val="single" w:sz="4" w:space="0" w:color="auto"/>
              <w:left w:val="single" w:sz="4" w:space="0" w:color="auto"/>
              <w:bottom w:val="single" w:sz="4" w:space="0" w:color="auto"/>
              <w:right w:val="single" w:sz="4" w:space="0" w:color="auto"/>
            </w:tcBorders>
            <w:hideMark/>
          </w:tcPr>
          <w:p w14:paraId="18E41B1E" w14:textId="77777777" w:rsidR="00F96762" w:rsidRPr="00855EF5" w:rsidRDefault="00F96762" w:rsidP="00EB33AD">
            <w:pPr>
              <w:pStyle w:val="TableText0"/>
            </w:pPr>
            <w:r w:rsidRPr="00855EF5">
              <w:t>No change</w:t>
            </w:r>
            <w:r w:rsidRPr="00855EF5">
              <w:rPr>
                <w:vertAlign w:val="superscript"/>
              </w:rPr>
              <w:t>§</w:t>
            </w:r>
          </w:p>
        </w:tc>
        <w:tc>
          <w:tcPr>
            <w:tcW w:w="1252" w:type="pct"/>
            <w:tcBorders>
              <w:top w:val="single" w:sz="4" w:space="0" w:color="auto"/>
              <w:left w:val="single" w:sz="4" w:space="0" w:color="auto"/>
              <w:bottom w:val="single" w:sz="4" w:space="0" w:color="auto"/>
              <w:right w:val="single" w:sz="4" w:space="0" w:color="auto"/>
            </w:tcBorders>
            <w:hideMark/>
          </w:tcPr>
          <w:p w14:paraId="01F112FD" w14:textId="77777777" w:rsidR="00F96762" w:rsidRPr="00855EF5" w:rsidRDefault="00F96762" w:rsidP="00EB33AD">
            <w:pPr>
              <w:pStyle w:val="TableText0"/>
            </w:pPr>
            <w:r w:rsidRPr="00855EF5">
              <w:t>ND</w:t>
            </w:r>
          </w:p>
        </w:tc>
      </w:tr>
      <w:tr w:rsidR="00F96762" w:rsidRPr="00855EF5" w14:paraId="317790F3" w14:textId="77777777" w:rsidTr="00EB33AD">
        <w:tc>
          <w:tcPr>
            <w:tcW w:w="1019" w:type="pct"/>
            <w:tcBorders>
              <w:top w:val="single" w:sz="4" w:space="0" w:color="auto"/>
              <w:left w:val="single" w:sz="4" w:space="0" w:color="auto"/>
              <w:bottom w:val="single" w:sz="4" w:space="0" w:color="auto"/>
              <w:right w:val="single" w:sz="4" w:space="0" w:color="auto"/>
            </w:tcBorders>
            <w:hideMark/>
          </w:tcPr>
          <w:p w14:paraId="6B55B58E" w14:textId="77777777" w:rsidR="00F96762" w:rsidRPr="00855EF5" w:rsidRDefault="00F96762" w:rsidP="00EB33AD">
            <w:pPr>
              <w:pStyle w:val="TableText0"/>
            </w:pPr>
            <w:r w:rsidRPr="00855EF5">
              <w:t>B.1.621</w:t>
            </w:r>
          </w:p>
        </w:tc>
        <w:tc>
          <w:tcPr>
            <w:tcW w:w="1478" w:type="pct"/>
            <w:tcBorders>
              <w:top w:val="single" w:sz="4" w:space="0" w:color="auto"/>
              <w:left w:val="single" w:sz="4" w:space="0" w:color="auto"/>
              <w:bottom w:val="single" w:sz="4" w:space="0" w:color="auto"/>
              <w:right w:val="single" w:sz="4" w:space="0" w:color="auto"/>
            </w:tcBorders>
            <w:hideMark/>
          </w:tcPr>
          <w:p w14:paraId="5222F921" w14:textId="77777777" w:rsidR="00F96762" w:rsidRPr="00855EF5" w:rsidRDefault="00F96762" w:rsidP="00EB33AD">
            <w:pPr>
              <w:pStyle w:val="TableText0"/>
            </w:pPr>
            <w:r w:rsidRPr="00855EF5">
              <w:t>Mu</w:t>
            </w:r>
          </w:p>
        </w:tc>
        <w:tc>
          <w:tcPr>
            <w:tcW w:w="1252" w:type="pct"/>
            <w:tcBorders>
              <w:top w:val="single" w:sz="4" w:space="0" w:color="auto"/>
              <w:left w:val="single" w:sz="4" w:space="0" w:color="auto"/>
              <w:bottom w:val="single" w:sz="4" w:space="0" w:color="auto"/>
              <w:right w:val="single" w:sz="4" w:space="0" w:color="auto"/>
            </w:tcBorders>
            <w:hideMark/>
          </w:tcPr>
          <w:p w14:paraId="22BC3A3C" w14:textId="77777777" w:rsidR="00F96762" w:rsidRPr="00855EF5" w:rsidRDefault="00F96762" w:rsidP="00EB33AD">
            <w:pPr>
              <w:pStyle w:val="TableText0"/>
            </w:pPr>
            <w:r w:rsidRPr="00855EF5">
              <w:t>7.5-fold</w:t>
            </w:r>
          </w:p>
        </w:tc>
        <w:tc>
          <w:tcPr>
            <w:tcW w:w="1252" w:type="pct"/>
            <w:tcBorders>
              <w:top w:val="single" w:sz="4" w:space="0" w:color="auto"/>
              <w:left w:val="single" w:sz="4" w:space="0" w:color="auto"/>
              <w:bottom w:val="single" w:sz="4" w:space="0" w:color="auto"/>
              <w:right w:val="single" w:sz="4" w:space="0" w:color="auto"/>
            </w:tcBorders>
            <w:hideMark/>
          </w:tcPr>
          <w:p w14:paraId="2A12E212" w14:textId="77777777" w:rsidR="00F96762" w:rsidRPr="00855EF5" w:rsidRDefault="00F96762" w:rsidP="00EB33AD">
            <w:pPr>
              <w:pStyle w:val="TableText0"/>
            </w:pPr>
            <w:r w:rsidRPr="00855EF5">
              <w:t>ND</w:t>
            </w:r>
          </w:p>
        </w:tc>
      </w:tr>
      <w:tr w:rsidR="00F96762" w:rsidRPr="00855EF5" w14:paraId="5BFF7990" w14:textId="77777777" w:rsidTr="00EB33AD">
        <w:tc>
          <w:tcPr>
            <w:tcW w:w="1019" w:type="pct"/>
            <w:tcBorders>
              <w:top w:val="single" w:sz="4" w:space="0" w:color="auto"/>
              <w:left w:val="single" w:sz="4" w:space="0" w:color="auto"/>
              <w:bottom w:val="single" w:sz="4" w:space="0" w:color="auto"/>
              <w:right w:val="single" w:sz="4" w:space="0" w:color="auto"/>
            </w:tcBorders>
            <w:hideMark/>
          </w:tcPr>
          <w:p w14:paraId="53008DE5" w14:textId="77777777" w:rsidR="00F96762" w:rsidRPr="00855EF5" w:rsidRDefault="00F96762" w:rsidP="00EB33AD">
            <w:pPr>
              <w:pStyle w:val="TableText0"/>
            </w:pPr>
            <w:r w:rsidRPr="00855EF5">
              <w:t>B.1.427 / B.1.429</w:t>
            </w:r>
          </w:p>
        </w:tc>
        <w:tc>
          <w:tcPr>
            <w:tcW w:w="1478" w:type="pct"/>
            <w:tcBorders>
              <w:top w:val="single" w:sz="4" w:space="0" w:color="auto"/>
              <w:left w:val="single" w:sz="4" w:space="0" w:color="auto"/>
              <w:bottom w:val="single" w:sz="4" w:space="0" w:color="auto"/>
              <w:right w:val="single" w:sz="4" w:space="0" w:color="auto"/>
            </w:tcBorders>
            <w:hideMark/>
          </w:tcPr>
          <w:p w14:paraId="57507F4E" w14:textId="77777777" w:rsidR="00F96762" w:rsidRPr="00855EF5" w:rsidRDefault="00F96762" w:rsidP="00EB33AD">
            <w:pPr>
              <w:pStyle w:val="TableText0"/>
            </w:pPr>
            <w:r w:rsidRPr="00855EF5">
              <w:t>Epsilon</w:t>
            </w:r>
          </w:p>
        </w:tc>
        <w:tc>
          <w:tcPr>
            <w:tcW w:w="1252" w:type="pct"/>
            <w:tcBorders>
              <w:top w:val="single" w:sz="4" w:space="0" w:color="auto"/>
              <w:left w:val="single" w:sz="4" w:space="0" w:color="auto"/>
              <w:bottom w:val="single" w:sz="4" w:space="0" w:color="auto"/>
              <w:right w:val="single" w:sz="4" w:space="0" w:color="auto"/>
            </w:tcBorders>
            <w:hideMark/>
          </w:tcPr>
          <w:p w14:paraId="4630A981" w14:textId="77777777" w:rsidR="00F96762" w:rsidRPr="00855EF5" w:rsidRDefault="00F96762" w:rsidP="00EB33AD">
            <w:pPr>
              <w:pStyle w:val="TableText0"/>
            </w:pPr>
            <w:r w:rsidRPr="00855EF5">
              <w:t>No change</w:t>
            </w:r>
            <w:r w:rsidRPr="00855EF5">
              <w:rPr>
                <w:vertAlign w:val="superscript"/>
              </w:rPr>
              <w:t>§</w:t>
            </w:r>
          </w:p>
        </w:tc>
        <w:tc>
          <w:tcPr>
            <w:tcW w:w="1252" w:type="pct"/>
            <w:tcBorders>
              <w:top w:val="single" w:sz="4" w:space="0" w:color="auto"/>
              <w:left w:val="single" w:sz="4" w:space="0" w:color="auto"/>
              <w:bottom w:val="single" w:sz="4" w:space="0" w:color="auto"/>
              <w:right w:val="single" w:sz="4" w:space="0" w:color="auto"/>
            </w:tcBorders>
            <w:hideMark/>
          </w:tcPr>
          <w:p w14:paraId="53E38F5B" w14:textId="77777777" w:rsidR="00F96762" w:rsidRPr="00855EF5" w:rsidRDefault="00F96762" w:rsidP="00EB33AD">
            <w:pPr>
              <w:pStyle w:val="TableText0"/>
            </w:pPr>
            <w:r w:rsidRPr="00855EF5">
              <w:t>No change</w:t>
            </w:r>
            <w:r w:rsidRPr="00855EF5">
              <w:rPr>
                <w:vertAlign w:val="superscript"/>
              </w:rPr>
              <w:t>§</w:t>
            </w:r>
          </w:p>
        </w:tc>
      </w:tr>
      <w:tr w:rsidR="00F96762" w:rsidRPr="00855EF5" w14:paraId="6B6BFFA5" w14:textId="77777777" w:rsidTr="00EB33AD">
        <w:tc>
          <w:tcPr>
            <w:tcW w:w="1019" w:type="pct"/>
            <w:tcBorders>
              <w:top w:val="single" w:sz="4" w:space="0" w:color="auto"/>
              <w:left w:val="single" w:sz="4" w:space="0" w:color="auto"/>
              <w:bottom w:val="single" w:sz="4" w:space="0" w:color="auto"/>
              <w:right w:val="single" w:sz="4" w:space="0" w:color="auto"/>
            </w:tcBorders>
            <w:hideMark/>
          </w:tcPr>
          <w:p w14:paraId="72E76B8A" w14:textId="77777777" w:rsidR="00F96762" w:rsidRPr="00855EF5" w:rsidRDefault="00F96762" w:rsidP="00EB33AD">
            <w:pPr>
              <w:pStyle w:val="TableText0"/>
            </w:pPr>
            <w:r w:rsidRPr="00855EF5">
              <w:t>R.1</w:t>
            </w:r>
          </w:p>
        </w:tc>
        <w:tc>
          <w:tcPr>
            <w:tcW w:w="1478" w:type="pct"/>
            <w:tcBorders>
              <w:top w:val="single" w:sz="4" w:space="0" w:color="auto"/>
              <w:left w:val="single" w:sz="4" w:space="0" w:color="auto"/>
              <w:bottom w:val="single" w:sz="4" w:space="0" w:color="auto"/>
              <w:right w:val="single" w:sz="4" w:space="0" w:color="auto"/>
            </w:tcBorders>
            <w:hideMark/>
          </w:tcPr>
          <w:p w14:paraId="3315925B" w14:textId="77777777" w:rsidR="00F96762" w:rsidRPr="00855EF5" w:rsidRDefault="00F96762" w:rsidP="00EB33AD">
            <w:pPr>
              <w:pStyle w:val="TableText0"/>
            </w:pPr>
            <w:r w:rsidRPr="00855EF5">
              <w:t>-</w:t>
            </w:r>
          </w:p>
        </w:tc>
        <w:tc>
          <w:tcPr>
            <w:tcW w:w="1252" w:type="pct"/>
            <w:tcBorders>
              <w:top w:val="single" w:sz="4" w:space="0" w:color="auto"/>
              <w:left w:val="single" w:sz="4" w:space="0" w:color="auto"/>
              <w:bottom w:val="single" w:sz="4" w:space="0" w:color="auto"/>
              <w:right w:val="single" w:sz="4" w:space="0" w:color="auto"/>
            </w:tcBorders>
            <w:hideMark/>
          </w:tcPr>
          <w:p w14:paraId="5D9C8566" w14:textId="77777777" w:rsidR="00F96762" w:rsidRPr="00855EF5" w:rsidRDefault="00F96762" w:rsidP="00EB33AD">
            <w:pPr>
              <w:pStyle w:val="TableText0"/>
            </w:pPr>
            <w:r w:rsidRPr="00855EF5">
              <w:t>No change</w:t>
            </w:r>
            <w:r w:rsidRPr="00855EF5">
              <w:rPr>
                <w:vertAlign w:val="superscript"/>
              </w:rPr>
              <w:t>§</w:t>
            </w:r>
          </w:p>
        </w:tc>
        <w:tc>
          <w:tcPr>
            <w:tcW w:w="1252" w:type="pct"/>
            <w:tcBorders>
              <w:top w:val="single" w:sz="4" w:space="0" w:color="auto"/>
              <w:left w:val="single" w:sz="4" w:space="0" w:color="auto"/>
              <w:bottom w:val="single" w:sz="4" w:space="0" w:color="auto"/>
              <w:right w:val="single" w:sz="4" w:space="0" w:color="auto"/>
            </w:tcBorders>
            <w:hideMark/>
          </w:tcPr>
          <w:p w14:paraId="58B679D0" w14:textId="77777777" w:rsidR="00F96762" w:rsidRPr="00855EF5" w:rsidRDefault="00F96762" w:rsidP="00EB33AD">
            <w:pPr>
              <w:pStyle w:val="TableText0"/>
            </w:pPr>
            <w:r w:rsidRPr="00855EF5">
              <w:t>ND</w:t>
            </w:r>
          </w:p>
        </w:tc>
      </w:tr>
      <w:tr w:rsidR="00F96762" w:rsidRPr="00855EF5" w14:paraId="412EB5D0" w14:textId="77777777" w:rsidTr="00EB33AD">
        <w:tc>
          <w:tcPr>
            <w:tcW w:w="1019" w:type="pct"/>
            <w:tcBorders>
              <w:top w:val="single" w:sz="4" w:space="0" w:color="auto"/>
              <w:left w:val="single" w:sz="4" w:space="0" w:color="auto"/>
              <w:bottom w:val="single" w:sz="4" w:space="0" w:color="auto"/>
              <w:right w:val="single" w:sz="4" w:space="0" w:color="auto"/>
            </w:tcBorders>
            <w:hideMark/>
          </w:tcPr>
          <w:p w14:paraId="293B4A0A" w14:textId="77777777" w:rsidR="00F96762" w:rsidRPr="00855EF5" w:rsidRDefault="00F96762" w:rsidP="00EB33AD">
            <w:pPr>
              <w:pStyle w:val="TableText0"/>
            </w:pPr>
            <w:r w:rsidRPr="00855EF5">
              <w:t>B.1.1.519</w:t>
            </w:r>
          </w:p>
        </w:tc>
        <w:tc>
          <w:tcPr>
            <w:tcW w:w="1478" w:type="pct"/>
            <w:tcBorders>
              <w:top w:val="single" w:sz="4" w:space="0" w:color="auto"/>
              <w:left w:val="single" w:sz="4" w:space="0" w:color="auto"/>
              <w:bottom w:val="single" w:sz="4" w:space="0" w:color="auto"/>
              <w:right w:val="single" w:sz="4" w:space="0" w:color="auto"/>
            </w:tcBorders>
            <w:hideMark/>
          </w:tcPr>
          <w:p w14:paraId="62942717" w14:textId="77777777" w:rsidR="00F96762" w:rsidRPr="00855EF5" w:rsidRDefault="00F96762" w:rsidP="00EB33AD">
            <w:pPr>
              <w:pStyle w:val="TableText0"/>
            </w:pPr>
            <w:r w:rsidRPr="00855EF5">
              <w:t>-</w:t>
            </w:r>
          </w:p>
        </w:tc>
        <w:tc>
          <w:tcPr>
            <w:tcW w:w="1252" w:type="pct"/>
            <w:tcBorders>
              <w:top w:val="single" w:sz="4" w:space="0" w:color="auto"/>
              <w:left w:val="single" w:sz="4" w:space="0" w:color="auto"/>
              <w:bottom w:val="single" w:sz="4" w:space="0" w:color="auto"/>
              <w:right w:val="single" w:sz="4" w:space="0" w:color="auto"/>
            </w:tcBorders>
            <w:hideMark/>
          </w:tcPr>
          <w:p w14:paraId="68AC85CE" w14:textId="77777777" w:rsidR="00F96762" w:rsidRPr="00855EF5" w:rsidRDefault="00F96762" w:rsidP="00EB33AD">
            <w:pPr>
              <w:pStyle w:val="TableText0"/>
            </w:pPr>
            <w:r w:rsidRPr="00855EF5">
              <w:t>No change</w:t>
            </w:r>
            <w:r w:rsidRPr="00855EF5">
              <w:rPr>
                <w:vertAlign w:val="superscript"/>
              </w:rPr>
              <w:t>§</w:t>
            </w:r>
          </w:p>
        </w:tc>
        <w:tc>
          <w:tcPr>
            <w:tcW w:w="1252" w:type="pct"/>
            <w:tcBorders>
              <w:top w:val="single" w:sz="4" w:space="0" w:color="auto"/>
              <w:left w:val="single" w:sz="4" w:space="0" w:color="auto"/>
              <w:bottom w:val="single" w:sz="4" w:space="0" w:color="auto"/>
              <w:right w:val="single" w:sz="4" w:space="0" w:color="auto"/>
            </w:tcBorders>
            <w:hideMark/>
          </w:tcPr>
          <w:p w14:paraId="3D96119E" w14:textId="77777777" w:rsidR="00F96762" w:rsidRPr="00855EF5" w:rsidRDefault="00F96762" w:rsidP="00EB33AD">
            <w:pPr>
              <w:pStyle w:val="TableText0"/>
            </w:pPr>
            <w:r w:rsidRPr="00855EF5">
              <w:t>ND</w:t>
            </w:r>
          </w:p>
        </w:tc>
      </w:tr>
      <w:tr w:rsidR="00F96762" w:rsidRPr="00855EF5" w14:paraId="70CF1A83" w14:textId="77777777" w:rsidTr="00EB33AD">
        <w:tc>
          <w:tcPr>
            <w:tcW w:w="1019" w:type="pct"/>
            <w:tcBorders>
              <w:top w:val="single" w:sz="4" w:space="0" w:color="auto"/>
              <w:left w:val="single" w:sz="4" w:space="0" w:color="auto"/>
              <w:bottom w:val="single" w:sz="4" w:space="0" w:color="auto"/>
              <w:right w:val="single" w:sz="4" w:space="0" w:color="auto"/>
            </w:tcBorders>
            <w:hideMark/>
          </w:tcPr>
          <w:p w14:paraId="3801B71E" w14:textId="77777777" w:rsidR="00F96762" w:rsidRPr="00855EF5" w:rsidRDefault="00F96762" w:rsidP="00EB33AD">
            <w:pPr>
              <w:pStyle w:val="TableText0"/>
            </w:pPr>
            <w:r w:rsidRPr="00855EF5">
              <w:t>C.36.3</w:t>
            </w:r>
          </w:p>
        </w:tc>
        <w:tc>
          <w:tcPr>
            <w:tcW w:w="1478" w:type="pct"/>
            <w:tcBorders>
              <w:top w:val="single" w:sz="4" w:space="0" w:color="auto"/>
              <w:left w:val="single" w:sz="4" w:space="0" w:color="auto"/>
              <w:bottom w:val="single" w:sz="4" w:space="0" w:color="auto"/>
              <w:right w:val="single" w:sz="4" w:space="0" w:color="auto"/>
            </w:tcBorders>
            <w:hideMark/>
          </w:tcPr>
          <w:p w14:paraId="34DAC979" w14:textId="77777777" w:rsidR="00F96762" w:rsidRPr="00855EF5" w:rsidRDefault="00F96762" w:rsidP="00EB33AD">
            <w:pPr>
              <w:pStyle w:val="TableText0"/>
            </w:pPr>
            <w:r w:rsidRPr="00855EF5">
              <w:t>-</w:t>
            </w:r>
          </w:p>
        </w:tc>
        <w:tc>
          <w:tcPr>
            <w:tcW w:w="1252" w:type="pct"/>
            <w:tcBorders>
              <w:top w:val="single" w:sz="4" w:space="0" w:color="auto"/>
              <w:left w:val="single" w:sz="4" w:space="0" w:color="auto"/>
              <w:bottom w:val="single" w:sz="4" w:space="0" w:color="auto"/>
              <w:right w:val="single" w:sz="4" w:space="0" w:color="auto"/>
            </w:tcBorders>
            <w:hideMark/>
          </w:tcPr>
          <w:p w14:paraId="486FFD0D" w14:textId="77777777" w:rsidR="00F96762" w:rsidRPr="00855EF5" w:rsidRDefault="00F96762" w:rsidP="00EB33AD">
            <w:pPr>
              <w:pStyle w:val="TableText0"/>
            </w:pPr>
            <w:r w:rsidRPr="00855EF5">
              <w:t>No change</w:t>
            </w:r>
            <w:r w:rsidRPr="00855EF5">
              <w:rPr>
                <w:vertAlign w:val="superscript"/>
              </w:rPr>
              <w:t>§</w:t>
            </w:r>
          </w:p>
        </w:tc>
        <w:tc>
          <w:tcPr>
            <w:tcW w:w="1252" w:type="pct"/>
            <w:tcBorders>
              <w:top w:val="single" w:sz="4" w:space="0" w:color="auto"/>
              <w:left w:val="single" w:sz="4" w:space="0" w:color="auto"/>
              <w:bottom w:val="single" w:sz="4" w:space="0" w:color="auto"/>
              <w:right w:val="single" w:sz="4" w:space="0" w:color="auto"/>
            </w:tcBorders>
            <w:hideMark/>
          </w:tcPr>
          <w:p w14:paraId="0B4BAA40" w14:textId="77777777" w:rsidR="00F96762" w:rsidRPr="00855EF5" w:rsidRDefault="00F96762" w:rsidP="00EB33AD">
            <w:pPr>
              <w:pStyle w:val="TableText0"/>
            </w:pPr>
            <w:r w:rsidRPr="00855EF5">
              <w:t>ND</w:t>
            </w:r>
          </w:p>
        </w:tc>
      </w:tr>
      <w:tr w:rsidR="00F96762" w:rsidRPr="00855EF5" w14:paraId="4AE80C64" w14:textId="77777777" w:rsidTr="00EB33AD">
        <w:tc>
          <w:tcPr>
            <w:tcW w:w="1019" w:type="pct"/>
            <w:tcBorders>
              <w:top w:val="single" w:sz="4" w:space="0" w:color="auto"/>
              <w:left w:val="single" w:sz="4" w:space="0" w:color="auto"/>
              <w:bottom w:val="single" w:sz="4" w:space="0" w:color="auto"/>
              <w:right w:val="single" w:sz="4" w:space="0" w:color="auto"/>
            </w:tcBorders>
            <w:hideMark/>
          </w:tcPr>
          <w:p w14:paraId="5438F572" w14:textId="77777777" w:rsidR="00F96762" w:rsidRPr="00855EF5" w:rsidRDefault="00F96762" w:rsidP="00EB33AD">
            <w:pPr>
              <w:pStyle w:val="TableText0"/>
            </w:pPr>
            <w:r w:rsidRPr="00855EF5">
              <w:t>B.1.214.2</w:t>
            </w:r>
          </w:p>
        </w:tc>
        <w:tc>
          <w:tcPr>
            <w:tcW w:w="1478" w:type="pct"/>
            <w:tcBorders>
              <w:top w:val="single" w:sz="4" w:space="0" w:color="auto"/>
              <w:left w:val="single" w:sz="4" w:space="0" w:color="auto"/>
              <w:bottom w:val="single" w:sz="4" w:space="0" w:color="auto"/>
              <w:right w:val="single" w:sz="4" w:space="0" w:color="auto"/>
            </w:tcBorders>
            <w:hideMark/>
          </w:tcPr>
          <w:p w14:paraId="282CF8F2" w14:textId="77777777" w:rsidR="00F96762" w:rsidRPr="00855EF5" w:rsidRDefault="00F96762" w:rsidP="00EB33AD">
            <w:pPr>
              <w:pStyle w:val="TableText0"/>
            </w:pPr>
            <w:r w:rsidRPr="00855EF5">
              <w:t>-</w:t>
            </w:r>
          </w:p>
        </w:tc>
        <w:tc>
          <w:tcPr>
            <w:tcW w:w="1252" w:type="pct"/>
            <w:tcBorders>
              <w:top w:val="single" w:sz="4" w:space="0" w:color="auto"/>
              <w:left w:val="single" w:sz="4" w:space="0" w:color="auto"/>
              <w:bottom w:val="single" w:sz="4" w:space="0" w:color="auto"/>
              <w:right w:val="single" w:sz="4" w:space="0" w:color="auto"/>
            </w:tcBorders>
            <w:hideMark/>
          </w:tcPr>
          <w:p w14:paraId="60573048" w14:textId="77777777" w:rsidR="00F96762" w:rsidRPr="00855EF5" w:rsidRDefault="00F96762" w:rsidP="00EB33AD">
            <w:pPr>
              <w:pStyle w:val="TableText0"/>
            </w:pPr>
            <w:r w:rsidRPr="00855EF5">
              <w:t>No change</w:t>
            </w:r>
            <w:r w:rsidRPr="00855EF5">
              <w:rPr>
                <w:vertAlign w:val="superscript"/>
              </w:rPr>
              <w:t>§</w:t>
            </w:r>
          </w:p>
        </w:tc>
        <w:tc>
          <w:tcPr>
            <w:tcW w:w="1252" w:type="pct"/>
            <w:tcBorders>
              <w:top w:val="single" w:sz="4" w:space="0" w:color="auto"/>
              <w:left w:val="single" w:sz="4" w:space="0" w:color="auto"/>
              <w:bottom w:val="single" w:sz="4" w:space="0" w:color="auto"/>
              <w:right w:val="single" w:sz="4" w:space="0" w:color="auto"/>
            </w:tcBorders>
            <w:hideMark/>
          </w:tcPr>
          <w:p w14:paraId="0BE4283B" w14:textId="77777777" w:rsidR="00F96762" w:rsidRPr="00855EF5" w:rsidRDefault="00F96762" w:rsidP="00EB33AD">
            <w:pPr>
              <w:pStyle w:val="TableText0"/>
            </w:pPr>
            <w:r w:rsidRPr="00855EF5">
              <w:t>ND</w:t>
            </w:r>
          </w:p>
        </w:tc>
      </w:tr>
      <w:tr w:rsidR="00F96762" w:rsidRPr="00855EF5" w14:paraId="0CB5D5DB" w14:textId="77777777" w:rsidTr="00EB33AD">
        <w:tc>
          <w:tcPr>
            <w:tcW w:w="1019" w:type="pct"/>
            <w:tcBorders>
              <w:top w:val="single" w:sz="4" w:space="0" w:color="auto"/>
              <w:left w:val="single" w:sz="4" w:space="0" w:color="auto"/>
              <w:bottom w:val="single" w:sz="4" w:space="0" w:color="auto"/>
              <w:right w:val="single" w:sz="4" w:space="0" w:color="auto"/>
            </w:tcBorders>
            <w:hideMark/>
          </w:tcPr>
          <w:p w14:paraId="43303191" w14:textId="77777777" w:rsidR="00F96762" w:rsidRPr="00855EF5" w:rsidRDefault="00F96762" w:rsidP="00EB33AD">
            <w:pPr>
              <w:pStyle w:val="TableText0"/>
            </w:pPr>
            <w:r w:rsidRPr="00855EF5">
              <w:t>B.1.619.1</w:t>
            </w:r>
          </w:p>
        </w:tc>
        <w:tc>
          <w:tcPr>
            <w:tcW w:w="1478" w:type="pct"/>
            <w:tcBorders>
              <w:top w:val="single" w:sz="4" w:space="0" w:color="auto"/>
              <w:left w:val="single" w:sz="4" w:space="0" w:color="auto"/>
              <w:bottom w:val="single" w:sz="4" w:space="0" w:color="auto"/>
              <w:right w:val="single" w:sz="4" w:space="0" w:color="auto"/>
            </w:tcBorders>
            <w:hideMark/>
          </w:tcPr>
          <w:p w14:paraId="2AEA6E54" w14:textId="77777777" w:rsidR="00F96762" w:rsidRPr="00855EF5" w:rsidRDefault="00F96762" w:rsidP="00EB33AD">
            <w:pPr>
              <w:pStyle w:val="TableText0"/>
            </w:pPr>
            <w:r w:rsidRPr="00855EF5">
              <w:t>-</w:t>
            </w:r>
          </w:p>
        </w:tc>
        <w:tc>
          <w:tcPr>
            <w:tcW w:w="1252" w:type="pct"/>
            <w:tcBorders>
              <w:top w:val="single" w:sz="4" w:space="0" w:color="auto"/>
              <w:left w:val="single" w:sz="4" w:space="0" w:color="auto"/>
              <w:bottom w:val="single" w:sz="4" w:space="0" w:color="auto"/>
              <w:right w:val="single" w:sz="4" w:space="0" w:color="auto"/>
            </w:tcBorders>
            <w:hideMark/>
          </w:tcPr>
          <w:p w14:paraId="7E976082" w14:textId="77777777" w:rsidR="00F96762" w:rsidRPr="00855EF5" w:rsidRDefault="00F96762" w:rsidP="00EB33AD">
            <w:pPr>
              <w:pStyle w:val="TableText0"/>
            </w:pPr>
            <w:r w:rsidRPr="00855EF5">
              <w:t>No change</w:t>
            </w:r>
            <w:r w:rsidRPr="00855EF5">
              <w:rPr>
                <w:vertAlign w:val="superscript"/>
              </w:rPr>
              <w:t>§</w:t>
            </w:r>
          </w:p>
        </w:tc>
        <w:tc>
          <w:tcPr>
            <w:tcW w:w="1252" w:type="pct"/>
            <w:tcBorders>
              <w:top w:val="single" w:sz="4" w:space="0" w:color="auto"/>
              <w:left w:val="single" w:sz="4" w:space="0" w:color="auto"/>
              <w:bottom w:val="single" w:sz="4" w:space="0" w:color="auto"/>
              <w:right w:val="single" w:sz="4" w:space="0" w:color="auto"/>
            </w:tcBorders>
            <w:hideMark/>
          </w:tcPr>
          <w:p w14:paraId="105E4CD2" w14:textId="77777777" w:rsidR="00F96762" w:rsidRPr="00855EF5" w:rsidRDefault="00F96762" w:rsidP="00EB33AD">
            <w:pPr>
              <w:pStyle w:val="TableText0"/>
            </w:pPr>
            <w:r w:rsidRPr="00855EF5">
              <w:t>ND</w:t>
            </w:r>
          </w:p>
        </w:tc>
      </w:tr>
      <w:tr w:rsidR="00F96762" w:rsidRPr="00855EF5" w14:paraId="56AAF7DE" w14:textId="77777777" w:rsidTr="00EB33AD">
        <w:tc>
          <w:tcPr>
            <w:tcW w:w="1019" w:type="pct"/>
            <w:tcBorders>
              <w:top w:val="single" w:sz="4" w:space="0" w:color="auto"/>
              <w:left w:val="single" w:sz="4" w:space="0" w:color="auto"/>
              <w:bottom w:val="single" w:sz="4" w:space="0" w:color="auto"/>
              <w:right w:val="single" w:sz="4" w:space="0" w:color="auto"/>
            </w:tcBorders>
            <w:hideMark/>
          </w:tcPr>
          <w:p w14:paraId="36D9E390" w14:textId="77777777" w:rsidR="00F96762" w:rsidRPr="00855EF5" w:rsidRDefault="00F96762" w:rsidP="00EB33AD">
            <w:pPr>
              <w:pStyle w:val="TableText0"/>
            </w:pPr>
            <w:r w:rsidRPr="00855EF5">
              <w:t>P.2</w:t>
            </w:r>
          </w:p>
        </w:tc>
        <w:tc>
          <w:tcPr>
            <w:tcW w:w="1478" w:type="pct"/>
            <w:tcBorders>
              <w:top w:val="single" w:sz="4" w:space="0" w:color="auto"/>
              <w:left w:val="single" w:sz="4" w:space="0" w:color="auto"/>
              <w:bottom w:val="single" w:sz="4" w:space="0" w:color="auto"/>
              <w:right w:val="single" w:sz="4" w:space="0" w:color="auto"/>
            </w:tcBorders>
            <w:hideMark/>
          </w:tcPr>
          <w:p w14:paraId="5FFBDD35" w14:textId="77777777" w:rsidR="00F96762" w:rsidRPr="00855EF5" w:rsidRDefault="00F96762" w:rsidP="00EB33AD">
            <w:pPr>
              <w:pStyle w:val="TableText0"/>
            </w:pPr>
            <w:r w:rsidRPr="00855EF5">
              <w:t>Zeta</w:t>
            </w:r>
          </w:p>
        </w:tc>
        <w:tc>
          <w:tcPr>
            <w:tcW w:w="1252" w:type="pct"/>
            <w:tcBorders>
              <w:top w:val="single" w:sz="4" w:space="0" w:color="auto"/>
              <w:left w:val="single" w:sz="4" w:space="0" w:color="auto"/>
              <w:bottom w:val="single" w:sz="4" w:space="0" w:color="auto"/>
              <w:right w:val="single" w:sz="4" w:space="0" w:color="auto"/>
            </w:tcBorders>
            <w:hideMark/>
          </w:tcPr>
          <w:p w14:paraId="5C62288C" w14:textId="77777777" w:rsidR="00F96762" w:rsidRPr="00855EF5" w:rsidRDefault="00F96762" w:rsidP="00EB33AD">
            <w:pPr>
              <w:pStyle w:val="TableText0"/>
            </w:pPr>
            <w:r w:rsidRPr="00855EF5">
              <w:t>No change</w:t>
            </w:r>
            <w:r w:rsidRPr="00855EF5">
              <w:rPr>
                <w:vertAlign w:val="superscript"/>
              </w:rPr>
              <w:t>§</w:t>
            </w:r>
          </w:p>
        </w:tc>
        <w:tc>
          <w:tcPr>
            <w:tcW w:w="1252" w:type="pct"/>
            <w:tcBorders>
              <w:top w:val="single" w:sz="4" w:space="0" w:color="auto"/>
              <w:left w:val="single" w:sz="4" w:space="0" w:color="auto"/>
              <w:bottom w:val="single" w:sz="4" w:space="0" w:color="auto"/>
              <w:right w:val="single" w:sz="4" w:space="0" w:color="auto"/>
            </w:tcBorders>
            <w:hideMark/>
          </w:tcPr>
          <w:p w14:paraId="3CBA6B16" w14:textId="77777777" w:rsidR="00F96762" w:rsidRPr="00855EF5" w:rsidRDefault="00F96762" w:rsidP="00EB33AD">
            <w:pPr>
              <w:pStyle w:val="TableText0"/>
            </w:pPr>
            <w:r w:rsidRPr="00855EF5">
              <w:t>ND</w:t>
            </w:r>
          </w:p>
        </w:tc>
      </w:tr>
      <w:tr w:rsidR="00F96762" w:rsidRPr="00855EF5" w14:paraId="21E6A362" w14:textId="77777777" w:rsidTr="00EB33AD">
        <w:tc>
          <w:tcPr>
            <w:tcW w:w="1019" w:type="pct"/>
            <w:tcBorders>
              <w:top w:val="single" w:sz="4" w:space="0" w:color="auto"/>
              <w:left w:val="single" w:sz="4" w:space="0" w:color="auto"/>
              <w:bottom w:val="single" w:sz="4" w:space="0" w:color="auto"/>
              <w:right w:val="single" w:sz="4" w:space="0" w:color="auto"/>
            </w:tcBorders>
            <w:hideMark/>
          </w:tcPr>
          <w:p w14:paraId="77F3E76C" w14:textId="77777777" w:rsidR="00F96762" w:rsidRPr="00855EF5" w:rsidRDefault="00F96762" w:rsidP="00EB33AD">
            <w:pPr>
              <w:pStyle w:val="TableText0"/>
            </w:pPr>
            <w:r w:rsidRPr="00855EF5">
              <w:t>B.1.616</w:t>
            </w:r>
          </w:p>
        </w:tc>
        <w:tc>
          <w:tcPr>
            <w:tcW w:w="1478" w:type="pct"/>
            <w:tcBorders>
              <w:top w:val="single" w:sz="4" w:space="0" w:color="auto"/>
              <w:left w:val="single" w:sz="4" w:space="0" w:color="auto"/>
              <w:bottom w:val="single" w:sz="4" w:space="0" w:color="auto"/>
              <w:right w:val="single" w:sz="4" w:space="0" w:color="auto"/>
            </w:tcBorders>
            <w:hideMark/>
          </w:tcPr>
          <w:p w14:paraId="63020A07" w14:textId="77777777" w:rsidR="00F96762" w:rsidRPr="00855EF5" w:rsidRDefault="00F96762" w:rsidP="00EB33AD">
            <w:pPr>
              <w:pStyle w:val="TableText0"/>
            </w:pPr>
            <w:r w:rsidRPr="00855EF5">
              <w:t>-</w:t>
            </w:r>
          </w:p>
        </w:tc>
        <w:tc>
          <w:tcPr>
            <w:tcW w:w="1252" w:type="pct"/>
            <w:tcBorders>
              <w:top w:val="single" w:sz="4" w:space="0" w:color="auto"/>
              <w:left w:val="single" w:sz="4" w:space="0" w:color="auto"/>
              <w:bottom w:val="single" w:sz="4" w:space="0" w:color="auto"/>
              <w:right w:val="single" w:sz="4" w:space="0" w:color="auto"/>
            </w:tcBorders>
            <w:hideMark/>
          </w:tcPr>
          <w:p w14:paraId="604788AE" w14:textId="77777777" w:rsidR="00F96762" w:rsidRPr="00855EF5" w:rsidRDefault="00F96762" w:rsidP="00EB33AD">
            <w:pPr>
              <w:pStyle w:val="TableText0"/>
            </w:pPr>
            <w:r w:rsidRPr="00855EF5">
              <w:t>No change</w:t>
            </w:r>
            <w:r w:rsidRPr="00855EF5">
              <w:rPr>
                <w:vertAlign w:val="superscript"/>
              </w:rPr>
              <w:t>§</w:t>
            </w:r>
          </w:p>
        </w:tc>
        <w:tc>
          <w:tcPr>
            <w:tcW w:w="1252" w:type="pct"/>
            <w:tcBorders>
              <w:top w:val="single" w:sz="4" w:space="0" w:color="auto"/>
              <w:left w:val="single" w:sz="4" w:space="0" w:color="auto"/>
              <w:bottom w:val="single" w:sz="4" w:space="0" w:color="auto"/>
              <w:right w:val="single" w:sz="4" w:space="0" w:color="auto"/>
            </w:tcBorders>
            <w:hideMark/>
          </w:tcPr>
          <w:p w14:paraId="335368C2" w14:textId="77777777" w:rsidR="00F96762" w:rsidRPr="00855EF5" w:rsidRDefault="00F96762" w:rsidP="00EB33AD">
            <w:pPr>
              <w:pStyle w:val="TableText0"/>
            </w:pPr>
            <w:r w:rsidRPr="00855EF5">
              <w:t>ND</w:t>
            </w:r>
          </w:p>
        </w:tc>
      </w:tr>
      <w:tr w:rsidR="00F96762" w:rsidRPr="00855EF5" w14:paraId="62234F23" w14:textId="77777777" w:rsidTr="00EB33AD">
        <w:tc>
          <w:tcPr>
            <w:tcW w:w="1019" w:type="pct"/>
            <w:tcBorders>
              <w:top w:val="single" w:sz="4" w:space="0" w:color="auto"/>
              <w:left w:val="single" w:sz="4" w:space="0" w:color="auto"/>
              <w:bottom w:val="single" w:sz="4" w:space="0" w:color="auto"/>
              <w:right w:val="single" w:sz="4" w:space="0" w:color="auto"/>
            </w:tcBorders>
            <w:hideMark/>
          </w:tcPr>
          <w:p w14:paraId="2816B654" w14:textId="77777777" w:rsidR="00F96762" w:rsidRPr="00855EF5" w:rsidRDefault="00F96762" w:rsidP="00EB33AD">
            <w:pPr>
              <w:pStyle w:val="TableText0"/>
            </w:pPr>
            <w:r w:rsidRPr="00855EF5">
              <w:t>A.23.1</w:t>
            </w:r>
          </w:p>
        </w:tc>
        <w:tc>
          <w:tcPr>
            <w:tcW w:w="1478" w:type="pct"/>
            <w:tcBorders>
              <w:top w:val="single" w:sz="4" w:space="0" w:color="auto"/>
              <w:left w:val="single" w:sz="4" w:space="0" w:color="auto"/>
              <w:bottom w:val="single" w:sz="4" w:space="0" w:color="auto"/>
              <w:right w:val="single" w:sz="4" w:space="0" w:color="auto"/>
            </w:tcBorders>
            <w:hideMark/>
          </w:tcPr>
          <w:p w14:paraId="0A5D722F" w14:textId="77777777" w:rsidR="00F96762" w:rsidRPr="00855EF5" w:rsidRDefault="00F96762" w:rsidP="00EB33AD">
            <w:pPr>
              <w:pStyle w:val="TableText0"/>
            </w:pPr>
            <w:r w:rsidRPr="00855EF5">
              <w:t>-</w:t>
            </w:r>
          </w:p>
        </w:tc>
        <w:tc>
          <w:tcPr>
            <w:tcW w:w="1252" w:type="pct"/>
            <w:tcBorders>
              <w:top w:val="single" w:sz="4" w:space="0" w:color="auto"/>
              <w:left w:val="single" w:sz="4" w:space="0" w:color="auto"/>
              <w:bottom w:val="single" w:sz="4" w:space="0" w:color="auto"/>
              <w:right w:val="single" w:sz="4" w:space="0" w:color="auto"/>
            </w:tcBorders>
            <w:hideMark/>
          </w:tcPr>
          <w:p w14:paraId="3DF23B5B" w14:textId="77777777" w:rsidR="00F96762" w:rsidRPr="00855EF5" w:rsidRDefault="00F96762" w:rsidP="00EB33AD">
            <w:pPr>
              <w:pStyle w:val="TableText0"/>
            </w:pPr>
            <w:r w:rsidRPr="00855EF5">
              <w:t>No change</w:t>
            </w:r>
            <w:r w:rsidRPr="00855EF5">
              <w:rPr>
                <w:vertAlign w:val="superscript"/>
              </w:rPr>
              <w:t>§</w:t>
            </w:r>
          </w:p>
        </w:tc>
        <w:tc>
          <w:tcPr>
            <w:tcW w:w="1252" w:type="pct"/>
            <w:tcBorders>
              <w:top w:val="single" w:sz="4" w:space="0" w:color="auto"/>
              <w:left w:val="single" w:sz="4" w:space="0" w:color="auto"/>
              <w:bottom w:val="single" w:sz="4" w:space="0" w:color="auto"/>
              <w:right w:val="single" w:sz="4" w:space="0" w:color="auto"/>
            </w:tcBorders>
            <w:hideMark/>
          </w:tcPr>
          <w:p w14:paraId="10DBFA70" w14:textId="77777777" w:rsidR="00F96762" w:rsidRPr="00855EF5" w:rsidRDefault="00F96762" w:rsidP="00EB33AD">
            <w:pPr>
              <w:pStyle w:val="TableText0"/>
            </w:pPr>
            <w:r w:rsidRPr="00855EF5">
              <w:t>ND</w:t>
            </w:r>
          </w:p>
        </w:tc>
      </w:tr>
      <w:tr w:rsidR="00F96762" w:rsidRPr="00855EF5" w14:paraId="79BC6373" w14:textId="77777777" w:rsidTr="00EB33AD">
        <w:tc>
          <w:tcPr>
            <w:tcW w:w="1019" w:type="pct"/>
            <w:tcBorders>
              <w:top w:val="single" w:sz="4" w:space="0" w:color="auto"/>
              <w:left w:val="single" w:sz="4" w:space="0" w:color="auto"/>
              <w:bottom w:val="single" w:sz="4" w:space="0" w:color="auto"/>
              <w:right w:val="single" w:sz="4" w:space="0" w:color="auto"/>
            </w:tcBorders>
            <w:hideMark/>
          </w:tcPr>
          <w:p w14:paraId="7F9FD13F" w14:textId="77777777" w:rsidR="00F96762" w:rsidRPr="00855EF5" w:rsidRDefault="00F96762" w:rsidP="00EB33AD">
            <w:pPr>
              <w:pStyle w:val="TableText0"/>
            </w:pPr>
            <w:r w:rsidRPr="00855EF5">
              <w:t>A.27</w:t>
            </w:r>
          </w:p>
        </w:tc>
        <w:tc>
          <w:tcPr>
            <w:tcW w:w="1478" w:type="pct"/>
            <w:tcBorders>
              <w:top w:val="single" w:sz="4" w:space="0" w:color="auto"/>
              <w:left w:val="single" w:sz="4" w:space="0" w:color="auto"/>
              <w:bottom w:val="single" w:sz="4" w:space="0" w:color="auto"/>
              <w:right w:val="single" w:sz="4" w:space="0" w:color="auto"/>
            </w:tcBorders>
            <w:hideMark/>
          </w:tcPr>
          <w:p w14:paraId="312B4E6E" w14:textId="77777777" w:rsidR="00F96762" w:rsidRPr="00855EF5" w:rsidRDefault="00F96762" w:rsidP="00EB33AD">
            <w:pPr>
              <w:pStyle w:val="TableText0"/>
            </w:pPr>
            <w:r w:rsidRPr="00855EF5">
              <w:t>-</w:t>
            </w:r>
          </w:p>
        </w:tc>
        <w:tc>
          <w:tcPr>
            <w:tcW w:w="1252" w:type="pct"/>
            <w:tcBorders>
              <w:top w:val="single" w:sz="4" w:space="0" w:color="auto"/>
              <w:left w:val="single" w:sz="4" w:space="0" w:color="auto"/>
              <w:bottom w:val="single" w:sz="4" w:space="0" w:color="auto"/>
              <w:right w:val="single" w:sz="4" w:space="0" w:color="auto"/>
            </w:tcBorders>
            <w:hideMark/>
          </w:tcPr>
          <w:p w14:paraId="656CA534" w14:textId="77777777" w:rsidR="00F96762" w:rsidRPr="00855EF5" w:rsidRDefault="00F96762" w:rsidP="00EB33AD">
            <w:pPr>
              <w:pStyle w:val="TableText0"/>
            </w:pPr>
            <w:r w:rsidRPr="00855EF5">
              <w:t>No change</w:t>
            </w:r>
            <w:r w:rsidRPr="00855EF5">
              <w:rPr>
                <w:vertAlign w:val="superscript"/>
              </w:rPr>
              <w:t>§</w:t>
            </w:r>
          </w:p>
        </w:tc>
        <w:tc>
          <w:tcPr>
            <w:tcW w:w="1252" w:type="pct"/>
            <w:tcBorders>
              <w:top w:val="single" w:sz="4" w:space="0" w:color="auto"/>
              <w:left w:val="single" w:sz="4" w:space="0" w:color="auto"/>
              <w:bottom w:val="single" w:sz="4" w:space="0" w:color="auto"/>
              <w:right w:val="single" w:sz="4" w:space="0" w:color="auto"/>
            </w:tcBorders>
            <w:hideMark/>
          </w:tcPr>
          <w:p w14:paraId="140AB487" w14:textId="77777777" w:rsidR="00F96762" w:rsidRPr="00855EF5" w:rsidRDefault="00F96762" w:rsidP="00EB33AD">
            <w:pPr>
              <w:pStyle w:val="TableText0"/>
            </w:pPr>
            <w:r w:rsidRPr="00855EF5">
              <w:t>ND</w:t>
            </w:r>
          </w:p>
        </w:tc>
      </w:tr>
      <w:tr w:rsidR="00F96762" w:rsidRPr="00855EF5" w14:paraId="2300D6BC" w14:textId="77777777" w:rsidTr="00EB33AD">
        <w:tc>
          <w:tcPr>
            <w:tcW w:w="1019" w:type="pct"/>
            <w:tcBorders>
              <w:top w:val="single" w:sz="4" w:space="0" w:color="auto"/>
              <w:left w:val="single" w:sz="4" w:space="0" w:color="auto"/>
              <w:bottom w:val="single" w:sz="4" w:space="0" w:color="auto"/>
              <w:right w:val="single" w:sz="4" w:space="0" w:color="auto"/>
            </w:tcBorders>
            <w:hideMark/>
          </w:tcPr>
          <w:p w14:paraId="4B402CC3" w14:textId="77777777" w:rsidR="00F96762" w:rsidRPr="00855EF5" w:rsidRDefault="00F96762" w:rsidP="00EB33AD">
            <w:pPr>
              <w:pStyle w:val="TableText0"/>
            </w:pPr>
            <w:r w:rsidRPr="00855EF5">
              <w:t>AV.1</w:t>
            </w:r>
          </w:p>
        </w:tc>
        <w:tc>
          <w:tcPr>
            <w:tcW w:w="1478" w:type="pct"/>
            <w:tcBorders>
              <w:top w:val="single" w:sz="4" w:space="0" w:color="auto"/>
              <w:left w:val="single" w:sz="4" w:space="0" w:color="auto"/>
              <w:bottom w:val="single" w:sz="4" w:space="0" w:color="auto"/>
              <w:right w:val="single" w:sz="4" w:space="0" w:color="auto"/>
            </w:tcBorders>
            <w:hideMark/>
          </w:tcPr>
          <w:p w14:paraId="78020396" w14:textId="77777777" w:rsidR="00F96762" w:rsidRPr="00855EF5" w:rsidRDefault="00F96762" w:rsidP="00EB33AD">
            <w:pPr>
              <w:pStyle w:val="TableText0"/>
            </w:pPr>
            <w:r w:rsidRPr="00855EF5">
              <w:t>-</w:t>
            </w:r>
          </w:p>
        </w:tc>
        <w:tc>
          <w:tcPr>
            <w:tcW w:w="1252" w:type="pct"/>
            <w:tcBorders>
              <w:top w:val="single" w:sz="4" w:space="0" w:color="auto"/>
              <w:left w:val="single" w:sz="4" w:space="0" w:color="auto"/>
              <w:bottom w:val="single" w:sz="4" w:space="0" w:color="auto"/>
              <w:right w:val="single" w:sz="4" w:space="0" w:color="auto"/>
            </w:tcBorders>
            <w:hideMark/>
          </w:tcPr>
          <w:p w14:paraId="00508E07" w14:textId="77777777" w:rsidR="00F96762" w:rsidRPr="00855EF5" w:rsidRDefault="00F96762" w:rsidP="00EB33AD">
            <w:pPr>
              <w:pStyle w:val="TableText0"/>
            </w:pPr>
            <w:r w:rsidRPr="00855EF5">
              <w:t>5.9-fold</w:t>
            </w:r>
          </w:p>
        </w:tc>
        <w:tc>
          <w:tcPr>
            <w:tcW w:w="1252" w:type="pct"/>
            <w:tcBorders>
              <w:top w:val="single" w:sz="4" w:space="0" w:color="auto"/>
              <w:left w:val="single" w:sz="4" w:space="0" w:color="auto"/>
              <w:bottom w:val="single" w:sz="4" w:space="0" w:color="auto"/>
              <w:right w:val="single" w:sz="4" w:space="0" w:color="auto"/>
            </w:tcBorders>
            <w:hideMark/>
          </w:tcPr>
          <w:p w14:paraId="2D6551D3" w14:textId="77777777" w:rsidR="00F96762" w:rsidRPr="00855EF5" w:rsidRDefault="00F96762" w:rsidP="00EB33AD">
            <w:pPr>
              <w:pStyle w:val="TableText0"/>
            </w:pPr>
            <w:r w:rsidRPr="00855EF5">
              <w:t>ND</w:t>
            </w:r>
          </w:p>
        </w:tc>
      </w:tr>
    </w:tbl>
    <w:p w14:paraId="723AAC4E" w14:textId="77777777" w:rsidR="00F96762" w:rsidRPr="0029562A" w:rsidRDefault="00F96762" w:rsidP="00F96762">
      <w:pPr>
        <w:ind w:left="142" w:right="96" w:hanging="142"/>
        <w:rPr>
          <w:rFonts w:ascii="Arial Narrow" w:hAnsi="Arial Narrow"/>
          <w:sz w:val="18"/>
          <w:szCs w:val="18"/>
        </w:rPr>
      </w:pPr>
      <w:r w:rsidRPr="0029562A">
        <w:rPr>
          <w:rFonts w:ascii="Arial Narrow" w:hAnsi="Arial Narrow"/>
          <w:sz w:val="18"/>
          <w:szCs w:val="18"/>
        </w:rPr>
        <w:t>*</w:t>
      </w:r>
      <w:r w:rsidRPr="0029562A">
        <w:rPr>
          <w:rFonts w:ascii="Arial Narrow" w:hAnsi="Arial Narrow"/>
          <w:sz w:val="18"/>
          <w:szCs w:val="18"/>
        </w:rPr>
        <w:tab/>
        <w:t>Range of reduced potency across multiple variants of each lineage using research-grade pseudotyped VLP neutralization assays; mean fold change in half maximal effective concentration (EC50) of mAb required for a 50% reduction in infection compared to wild type reference strain</w:t>
      </w:r>
    </w:p>
    <w:p w14:paraId="4FF12D83" w14:textId="77777777" w:rsidR="00F96762" w:rsidRPr="0029562A" w:rsidRDefault="00F96762" w:rsidP="00F96762">
      <w:pPr>
        <w:pStyle w:val="ListParagraph"/>
        <w:numPr>
          <w:ilvl w:val="0"/>
          <w:numId w:val="0"/>
        </w:numPr>
        <w:spacing w:after="0"/>
        <w:ind w:left="142" w:right="96" w:hanging="142"/>
        <w:rPr>
          <w:rFonts w:ascii="Arial Narrow" w:hAnsi="Arial Narrow"/>
          <w:sz w:val="18"/>
          <w:szCs w:val="18"/>
        </w:rPr>
      </w:pPr>
      <w:r w:rsidRPr="0029562A">
        <w:rPr>
          <w:rFonts w:ascii="Arial Narrow" w:hAnsi="Arial Narrow"/>
          <w:sz w:val="18"/>
          <w:szCs w:val="18"/>
          <w:vertAlign w:val="superscript"/>
        </w:rPr>
        <w:t>†</w:t>
      </w:r>
      <w:r w:rsidRPr="0029562A">
        <w:rPr>
          <w:rFonts w:ascii="Arial Narrow" w:hAnsi="Arial Narrow"/>
          <w:sz w:val="18"/>
          <w:szCs w:val="18"/>
        </w:rPr>
        <w:t xml:space="preserve"> </w:t>
      </w:r>
      <w:r w:rsidRPr="0029562A">
        <w:rPr>
          <w:rFonts w:ascii="Arial Narrow" w:hAnsi="Arial Narrow"/>
          <w:sz w:val="18"/>
          <w:szCs w:val="18"/>
        </w:rPr>
        <w:tab/>
        <w:t>Pseudotyped virus-like particles expressing the entire SARS-CoV-2 spike variant protein and individual characteristic spike substitutions except L452Q were tested including Alpha (+L455F, E484K, F490S, Q493R, and/or S494P), and Delta (+K417N) harboring additional indicated RBD substitutions that are no longer detected or detected at extremely low levels within these lineages</w:t>
      </w:r>
    </w:p>
    <w:p w14:paraId="726BDA1F" w14:textId="77777777" w:rsidR="00F96762" w:rsidRPr="0029562A" w:rsidRDefault="00F96762" w:rsidP="00F96762">
      <w:pPr>
        <w:pStyle w:val="ListParagraph"/>
        <w:numPr>
          <w:ilvl w:val="0"/>
          <w:numId w:val="0"/>
        </w:numPr>
        <w:spacing w:after="0"/>
        <w:ind w:left="142" w:right="96" w:hanging="142"/>
        <w:rPr>
          <w:rFonts w:ascii="Arial Narrow" w:hAnsi="Arial Narrow"/>
          <w:sz w:val="18"/>
          <w:szCs w:val="18"/>
        </w:rPr>
      </w:pPr>
      <w:r w:rsidRPr="0029562A">
        <w:rPr>
          <w:rFonts w:ascii="Arial Narrow" w:hAnsi="Arial Narrow"/>
          <w:sz w:val="18"/>
          <w:szCs w:val="18"/>
          <w:vertAlign w:val="superscript"/>
        </w:rPr>
        <w:t xml:space="preserve">‡ </w:t>
      </w:r>
      <w:r w:rsidRPr="0029562A">
        <w:rPr>
          <w:rFonts w:ascii="Arial Narrow" w:hAnsi="Arial Narrow"/>
          <w:sz w:val="18"/>
          <w:szCs w:val="18"/>
        </w:rPr>
        <w:tab/>
        <w:t>Authentic SARS-CoV-2 expressing the entire variant spike protein were tested including Alpha (+E484K or S494P) harboring additional indicated RBD substitutions that are no longer detected or detected at extremely low levels within these lineages</w:t>
      </w:r>
    </w:p>
    <w:p w14:paraId="2E9BC7CE" w14:textId="77777777" w:rsidR="00F96762" w:rsidRPr="0029562A" w:rsidRDefault="00F96762" w:rsidP="00F96762">
      <w:pPr>
        <w:pStyle w:val="ListParagraph"/>
        <w:numPr>
          <w:ilvl w:val="0"/>
          <w:numId w:val="0"/>
        </w:numPr>
        <w:spacing w:after="0"/>
        <w:ind w:left="142" w:right="96" w:hanging="142"/>
        <w:rPr>
          <w:rFonts w:ascii="Arial Narrow" w:hAnsi="Arial Narrow"/>
          <w:sz w:val="18"/>
          <w:szCs w:val="18"/>
        </w:rPr>
      </w:pPr>
      <w:r w:rsidRPr="0029562A">
        <w:rPr>
          <w:rFonts w:ascii="Arial Narrow" w:hAnsi="Arial Narrow"/>
          <w:sz w:val="18"/>
          <w:szCs w:val="18"/>
          <w:vertAlign w:val="superscript"/>
        </w:rPr>
        <w:t>§</w:t>
      </w:r>
      <w:r w:rsidRPr="0029562A">
        <w:rPr>
          <w:rFonts w:ascii="Arial Narrow" w:hAnsi="Arial Narrow"/>
          <w:sz w:val="18"/>
          <w:szCs w:val="18"/>
        </w:rPr>
        <w:t xml:space="preserve"> </w:t>
      </w:r>
      <w:r w:rsidRPr="0029562A">
        <w:rPr>
          <w:rFonts w:ascii="Arial Narrow" w:hAnsi="Arial Narrow"/>
          <w:sz w:val="18"/>
          <w:szCs w:val="18"/>
        </w:rPr>
        <w:tab/>
        <w:t>No change: &lt;5-fold reduction in susceptibility</w:t>
      </w:r>
    </w:p>
    <w:p w14:paraId="294CFD15" w14:textId="77777777" w:rsidR="00F96762" w:rsidRPr="0029562A" w:rsidRDefault="00F96762" w:rsidP="00F96762">
      <w:pPr>
        <w:pStyle w:val="ListParagraph"/>
        <w:numPr>
          <w:ilvl w:val="0"/>
          <w:numId w:val="0"/>
        </w:numPr>
        <w:spacing w:after="0"/>
        <w:ind w:left="142" w:right="96" w:hanging="142"/>
        <w:rPr>
          <w:rFonts w:ascii="Arial Narrow" w:hAnsi="Arial Narrow"/>
          <w:sz w:val="18"/>
          <w:szCs w:val="18"/>
        </w:rPr>
      </w:pPr>
      <w:r w:rsidRPr="0029562A">
        <w:rPr>
          <w:rFonts w:ascii="Arial Narrow" w:hAnsi="Arial Narrow"/>
          <w:sz w:val="18"/>
          <w:szCs w:val="18"/>
          <w:vertAlign w:val="superscript"/>
        </w:rPr>
        <w:t>#</w:t>
      </w:r>
      <w:r w:rsidRPr="0029562A">
        <w:rPr>
          <w:rFonts w:ascii="Arial Narrow" w:hAnsi="Arial Narrow"/>
          <w:sz w:val="18"/>
          <w:szCs w:val="18"/>
        </w:rPr>
        <w:t xml:space="preserve"> </w:t>
      </w:r>
      <w:r w:rsidRPr="0029562A">
        <w:rPr>
          <w:rFonts w:ascii="Arial Narrow" w:hAnsi="Arial Narrow"/>
          <w:sz w:val="18"/>
          <w:szCs w:val="18"/>
        </w:rPr>
        <w:tab/>
        <w:t>EC50 value = 1.13 – 1.83 nM (171 - 277 ng/mL)</w:t>
      </w:r>
    </w:p>
    <w:p w14:paraId="0995E0E7" w14:textId="77777777" w:rsidR="00F96762" w:rsidRPr="0029562A" w:rsidRDefault="00F96762" w:rsidP="00F96762">
      <w:pPr>
        <w:pStyle w:val="ListParagraph"/>
        <w:numPr>
          <w:ilvl w:val="0"/>
          <w:numId w:val="0"/>
        </w:numPr>
        <w:spacing w:after="0"/>
        <w:ind w:left="142" w:hanging="142"/>
        <w:rPr>
          <w:rFonts w:ascii="Arial Narrow" w:hAnsi="Arial Narrow"/>
          <w:sz w:val="18"/>
          <w:szCs w:val="18"/>
        </w:rPr>
      </w:pPr>
      <w:r w:rsidRPr="0029562A">
        <w:rPr>
          <w:rFonts w:ascii="Arial Narrow" w:hAnsi="Arial Narrow"/>
          <w:sz w:val="18"/>
          <w:szCs w:val="18"/>
          <w:vertAlign w:val="superscript"/>
        </w:rPr>
        <w:t xml:space="preserve">Þ </w:t>
      </w:r>
      <w:r w:rsidRPr="0029562A">
        <w:rPr>
          <w:rFonts w:ascii="Arial Narrow" w:hAnsi="Arial Narrow"/>
          <w:sz w:val="18"/>
          <w:szCs w:val="18"/>
        </w:rPr>
        <w:tab/>
        <w:t>Tixagevimab and cilgavimab together are unlikely to be active against this variant.</w:t>
      </w:r>
    </w:p>
    <w:p w14:paraId="55E1C254" w14:textId="77777777" w:rsidR="00F96762" w:rsidRPr="0029562A" w:rsidRDefault="00F96762" w:rsidP="00F96762">
      <w:pPr>
        <w:pStyle w:val="ListParagraph"/>
        <w:numPr>
          <w:ilvl w:val="0"/>
          <w:numId w:val="0"/>
        </w:numPr>
        <w:ind w:left="142" w:hanging="142"/>
        <w:rPr>
          <w:rFonts w:ascii="Arial Narrow" w:hAnsi="Arial Narrow"/>
          <w:sz w:val="18"/>
          <w:szCs w:val="18"/>
        </w:rPr>
      </w:pPr>
      <w:r w:rsidRPr="0029562A">
        <w:rPr>
          <w:rFonts w:ascii="Arial Narrow" w:hAnsi="Arial Narrow"/>
          <w:sz w:val="18"/>
          <w:szCs w:val="18"/>
        </w:rPr>
        <w:t>Abbreviations: ND = not determined; RBD = receptor binding domain</w:t>
      </w:r>
    </w:p>
    <w:p w14:paraId="50E8E423" w14:textId="77777777" w:rsidR="00F96762" w:rsidRPr="00855EF5" w:rsidRDefault="00F96762" w:rsidP="00F96762">
      <w:pPr>
        <w:pStyle w:val="3-BodyText"/>
        <w:rPr>
          <w:rFonts w:cstheme="minorHAnsi"/>
        </w:rPr>
      </w:pPr>
      <w:r w:rsidRPr="00855EF5">
        <w:rPr>
          <w:rFonts w:cstheme="minorHAnsi"/>
        </w:rPr>
        <w:lastRenderedPageBreak/>
        <w:t>Additionally, AstraZeneca has advised that although the examination of the neutralising activity of tixagevimab and cilgavimab against the XBB &amp; BR.2 variants has not been completed by its two independent laboratories, the mutation profiles of these strains suggest that it is unlikely that Evusheld will retain neutralisation activity against these variants.</w:t>
      </w:r>
    </w:p>
    <w:p w14:paraId="1184E178" w14:textId="77777777" w:rsidR="00F96762" w:rsidRPr="00855EF5" w:rsidRDefault="00F96762" w:rsidP="00F96762">
      <w:pPr>
        <w:pStyle w:val="3-BodyText"/>
        <w:rPr>
          <w:rFonts w:cstheme="minorHAnsi"/>
        </w:rPr>
      </w:pPr>
      <w:r w:rsidRPr="00855EF5">
        <w:rPr>
          <w:rFonts w:cstheme="minorHAnsi"/>
        </w:rPr>
        <w:t>Figure 10 depicts the proportion of variants with substantially reduced neutralising activity against tixagevimab and cilgavimab in NSW over the six weeks to 19 November 2022.</w:t>
      </w:r>
    </w:p>
    <w:p w14:paraId="6CD4E0D4" w14:textId="36016BF0" w:rsidR="00DB55F2" w:rsidRDefault="00DB55F2" w:rsidP="00DB55F2">
      <w:pPr>
        <w:pStyle w:val="Caption"/>
      </w:pPr>
      <w:r>
        <w:t xml:space="preserve">Figure </w:t>
      </w:r>
      <w:fldSimple w:instr=" SEQ Figure \* ARABIC " w:fldLock="1">
        <w:r>
          <w:rPr>
            <w:noProof/>
          </w:rPr>
          <w:t>10</w:t>
        </w:r>
      </w:fldSimple>
      <w:r>
        <w:t xml:space="preserve">: </w:t>
      </w:r>
      <w:r w:rsidRPr="007029AD">
        <w:t>Variants of concern (VOCs) identified by whole genome sequencing (WGS) of virus from people who tested positive for SARS CoV-2 by PCR, by test date, NSW, in the six weeks to 19 Nov 2022 (orange shades are used for subvariants for which substantially re</w:t>
      </w:r>
      <w:r w:rsidRPr="00855EF5">
        <w:rPr>
          <w:szCs w:val="20"/>
        </w:rPr>
        <w:t>duced neutralising activity of tixagevimab and cilgavimab has been reported, grey for subvariants with unknown neutralising activity)</w:t>
      </w:r>
    </w:p>
    <w:p w14:paraId="32E9BE2B" w14:textId="77777777" w:rsidR="00DB55F2" w:rsidRDefault="00F96762" w:rsidP="00DB55F2">
      <w:pPr>
        <w:pStyle w:val="3-BodyText"/>
        <w:keepNext/>
        <w:numPr>
          <w:ilvl w:val="0"/>
          <w:numId w:val="0"/>
        </w:numPr>
        <w:snapToGrid w:val="0"/>
        <w:jc w:val="left"/>
      </w:pPr>
      <w:r w:rsidRPr="00855EF5">
        <w:rPr>
          <w:noProof/>
        </w:rPr>
        <w:drawing>
          <wp:inline distT="0" distB="0" distL="0" distR="0" wp14:anchorId="6F3CEC4B" wp14:editId="0F41E0A7">
            <wp:extent cx="4280926" cy="3165746"/>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08053" cy="3185807"/>
                    </a:xfrm>
                    <a:prstGeom prst="rect">
                      <a:avLst/>
                    </a:prstGeom>
                    <a:noFill/>
                  </pic:spPr>
                </pic:pic>
              </a:graphicData>
            </a:graphic>
          </wp:inline>
        </w:drawing>
      </w:r>
    </w:p>
    <w:p w14:paraId="61C433F7" w14:textId="4DA36CD2" w:rsidR="003634A7" w:rsidRDefault="00F96762" w:rsidP="00F96762">
      <w:pPr>
        <w:pStyle w:val="3-BodyText"/>
        <w:rPr>
          <w:rFonts w:cstheme="minorHAnsi"/>
        </w:rPr>
      </w:pPr>
      <w:r w:rsidRPr="00855EF5">
        <w:rPr>
          <w:rFonts w:cstheme="minorHAnsi"/>
        </w:rPr>
        <w:t>With respect to antiviral treatments available for high risk patients infected with COVID-19, the resubmission overestimated the proportion of the tixagevimab and cilgavimab target population who cannot take Paxlovid, by including all drug-drug interactions with a precautionary warning rather than an absolute contraindication, and by not taking account of best practice with regard to pausing medicines (that can be temporarily held) during the 5-day course of Paxlovid. The submission also undervalued molnupiravir (see PBAC Outcome Statement, COVID-19 antiviral restrictions, November 2022</w:t>
      </w:r>
      <w:r w:rsidRPr="00855EF5">
        <w:rPr>
          <w:rStyle w:val="FootnoteReference"/>
          <w:rFonts w:cstheme="minorHAnsi"/>
        </w:rPr>
        <w:footnoteReference w:id="33"/>
      </w:r>
      <w:r w:rsidRPr="00855EF5">
        <w:rPr>
          <w:rFonts w:cstheme="minorHAnsi"/>
        </w:rPr>
        <w:t xml:space="preserve">) and made no reference to the use of remdesivir as a </w:t>
      </w:r>
      <w:r w:rsidRPr="00855EF5">
        <w:rPr>
          <w:rFonts w:cstheme="minorHAnsi"/>
        </w:rPr>
        <w:lastRenderedPageBreak/>
        <w:t>treatment option in patients with mild to moderate infection at high risk of progression to severe disease</w:t>
      </w:r>
      <w:bookmarkStart w:id="123" w:name="_Hlk121754634"/>
      <w:r w:rsidR="003634A7">
        <w:rPr>
          <w:rFonts w:cstheme="minorHAnsi"/>
        </w:rPr>
        <w:t>.</w:t>
      </w:r>
    </w:p>
    <w:p w14:paraId="2E888E50" w14:textId="77777777" w:rsidR="00F96762" w:rsidRPr="00855EF5" w:rsidDel="00292349" w:rsidRDefault="00F96762" w:rsidP="00F96762">
      <w:pPr>
        <w:pStyle w:val="3-BodyText"/>
        <w:rPr>
          <w:rFonts w:cstheme="minorHAnsi"/>
        </w:rPr>
      </w:pPr>
      <w:r w:rsidRPr="00855EF5">
        <w:rPr>
          <w:rFonts w:cstheme="minorHAnsi"/>
        </w:rPr>
        <w:t xml:space="preserve">Overall, the PBAC considered the resubmission did not adequately address the clinical issues the Committee had raised in its September 2022 consideration (see paragraph </w:t>
      </w:r>
      <w:r w:rsidRPr="00855EF5">
        <w:rPr>
          <w:rFonts w:cstheme="minorHAnsi"/>
        </w:rPr>
        <w:fldChar w:fldCharType="begin" w:fldLock="1"/>
      </w:r>
      <w:r w:rsidRPr="00855EF5">
        <w:rPr>
          <w:rFonts w:cstheme="minorHAnsi"/>
        </w:rPr>
        <w:instrText xml:space="preserve"> REF _Ref121497509 \r \h </w:instrText>
      </w:r>
      <w:r w:rsidRPr="00855EF5">
        <w:rPr>
          <w:rFonts w:cstheme="minorHAnsi"/>
        </w:rPr>
      </w:r>
      <w:r w:rsidRPr="00855EF5">
        <w:rPr>
          <w:rFonts w:cstheme="minorHAnsi"/>
        </w:rPr>
        <w:fldChar w:fldCharType="separate"/>
      </w:r>
      <w:r w:rsidRPr="00855EF5">
        <w:rPr>
          <w:rFonts w:cstheme="minorHAnsi"/>
        </w:rPr>
        <w:t>7.15</w:t>
      </w:r>
      <w:r w:rsidRPr="00855EF5">
        <w:rPr>
          <w:rFonts w:cstheme="minorHAnsi"/>
        </w:rPr>
        <w:fldChar w:fldCharType="end"/>
      </w:r>
      <w:r w:rsidRPr="00855EF5">
        <w:rPr>
          <w:rFonts w:cstheme="minorHAnsi"/>
        </w:rPr>
        <w:t>). Moreover, the emergence and growing prevalence of strains of virus that are likely to be resistant to tixagevimab and cilgavimab since then, increases the uncertainty about the future effectiveness of this treatment for PrEP.</w:t>
      </w:r>
    </w:p>
    <w:bookmarkEnd w:id="123"/>
    <w:p w14:paraId="47C86B41" w14:textId="77777777" w:rsidR="00F96762" w:rsidRPr="00855EF5" w:rsidRDefault="00F96762" w:rsidP="00F96762">
      <w:pPr>
        <w:pStyle w:val="4-SubsectionHeading"/>
      </w:pPr>
      <w:r w:rsidRPr="00855EF5">
        <w:t>Economic Analysis</w:t>
      </w:r>
    </w:p>
    <w:p w14:paraId="6EC76E6F" w14:textId="77777777" w:rsidR="00F96762" w:rsidRPr="00855EF5" w:rsidRDefault="00F96762" w:rsidP="00F96762">
      <w:pPr>
        <w:pStyle w:val="3-BodyText"/>
        <w:rPr>
          <w:rFonts w:cstheme="minorHAnsi"/>
        </w:rPr>
      </w:pPr>
      <w:bookmarkStart w:id="124" w:name="_Ref121497887"/>
      <w:r w:rsidRPr="00855EF5">
        <w:rPr>
          <w:rFonts w:cstheme="minorHAnsi"/>
        </w:rPr>
        <w:t>The PBAC recalled it had advised any resubmission should base its economic analysis on the following, consistent with the available evidence for tixagevimab and cilgavimab against the Omicron variant of SARS-CoV-2.</w:t>
      </w:r>
      <w:bookmarkEnd w:id="124"/>
    </w:p>
    <w:p w14:paraId="73E47FA6" w14:textId="1192994C" w:rsidR="00F96762" w:rsidRPr="00855EF5" w:rsidRDefault="00F96762" w:rsidP="00F96762">
      <w:pPr>
        <w:pStyle w:val="3-BodyText"/>
        <w:numPr>
          <w:ilvl w:val="2"/>
          <w:numId w:val="25"/>
        </w:numPr>
        <w:snapToGrid w:val="0"/>
        <w:spacing w:after="0"/>
        <w:ind w:left="992" w:hanging="272"/>
      </w:pPr>
      <w:r w:rsidRPr="00855EF5">
        <w:t>A reduced price to achieve an ICER of &lt;</w:t>
      </w:r>
      <w:r w:rsidR="00892500" w:rsidRPr="00892500">
        <w:t>$25,000 to &lt; $35,000</w:t>
      </w:r>
      <w:r w:rsidRPr="00855EF5">
        <w:t>/QALY gained, with inputs and structure in model consistent with empiric efficacy data (single dose).</w:t>
      </w:r>
    </w:p>
    <w:p w14:paraId="2001EFBA" w14:textId="77777777" w:rsidR="00F96762" w:rsidRPr="00855EF5" w:rsidRDefault="00F96762" w:rsidP="00F96762">
      <w:pPr>
        <w:pStyle w:val="3-BodyText"/>
        <w:numPr>
          <w:ilvl w:val="2"/>
          <w:numId w:val="25"/>
        </w:numPr>
        <w:snapToGrid w:val="0"/>
        <w:spacing w:after="0"/>
        <w:ind w:left="992" w:hanging="272"/>
      </w:pPr>
      <w:r w:rsidRPr="00855EF5">
        <w:t>No more than 15% risk of infection over a 6 month period.</w:t>
      </w:r>
    </w:p>
    <w:p w14:paraId="0556861F" w14:textId="77777777" w:rsidR="00F96762" w:rsidRPr="00855EF5" w:rsidRDefault="00F96762" w:rsidP="00F96762">
      <w:pPr>
        <w:pStyle w:val="3-BodyText"/>
        <w:numPr>
          <w:ilvl w:val="2"/>
          <w:numId w:val="25"/>
        </w:numPr>
        <w:snapToGrid w:val="0"/>
        <w:spacing w:after="0"/>
        <w:ind w:left="992" w:hanging="272"/>
      </w:pPr>
      <w:r w:rsidRPr="00855EF5">
        <w:t>No more than a 69% reduction in risk of hospitalisation to 3 months and no benefit thereafter.</w:t>
      </w:r>
    </w:p>
    <w:p w14:paraId="6363F4AE" w14:textId="77777777" w:rsidR="00F96762" w:rsidRPr="00855EF5" w:rsidRDefault="00F96762" w:rsidP="00F96762">
      <w:pPr>
        <w:pStyle w:val="3-BodyText"/>
        <w:numPr>
          <w:ilvl w:val="2"/>
          <w:numId w:val="25"/>
        </w:numPr>
        <w:snapToGrid w:val="0"/>
        <w:spacing w:after="0"/>
        <w:ind w:left="992" w:hanging="272"/>
      </w:pPr>
      <w:r w:rsidRPr="00855EF5">
        <w:t>No benefits in risk of symptomatic COVID-19 beyond 3 months.</w:t>
      </w:r>
    </w:p>
    <w:p w14:paraId="0CAE9181" w14:textId="400FA664" w:rsidR="00F96762" w:rsidRPr="00855EF5" w:rsidRDefault="00F96762" w:rsidP="00F96762">
      <w:pPr>
        <w:pStyle w:val="3-BodyText"/>
        <w:rPr>
          <w:rFonts w:cstheme="minorHAnsi"/>
        </w:rPr>
      </w:pPr>
      <w:r w:rsidRPr="00855EF5">
        <w:rPr>
          <w:rFonts w:cstheme="minorHAnsi"/>
        </w:rPr>
        <w:t>The resubmission argued the base case economic analysis should use different assumptions to those proposed by the PBAC in September 2022. The pre-PBAC response further argued it was not appropriate to adjust the economic analysis to take account for the likely resistance of new strains of Omicron to tixagevimab and cilgavimab.</w:t>
      </w:r>
      <w:r w:rsidR="003634A7">
        <w:rPr>
          <w:rFonts w:cstheme="minorHAnsi"/>
        </w:rPr>
        <w:t xml:space="preserve"> </w:t>
      </w:r>
      <w:r w:rsidRPr="00855EF5">
        <w:rPr>
          <w:rFonts w:cstheme="minorHAnsi"/>
        </w:rPr>
        <w:t>The pre-PBAC response did not propose any alternative method for taking account of the impact of resistance on the cost-effectiveness of tixagevimab and cilgavimab (for example, a rebate type risk share arrangement).</w:t>
      </w:r>
    </w:p>
    <w:p w14:paraId="7FB0CC1E" w14:textId="49B17875" w:rsidR="003634A7" w:rsidRDefault="00F96762" w:rsidP="00F96762">
      <w:pPr>
        <w:pStyle w:val="3-BodyText"/>
        <w:rPr>
          <w:rFonts w:cstheme="minorHAnsi"/>
        </w:rPr>
      </w:pPr>
      <w:bookmarkStart w:id="125" w:name="_Ref120003437"/>
      <w:r w:rsidRPr="00855EF5">
        <w:rPr>
          <w:rFonts w:cstheme="minorHAnsi"/>
        </w:rPr>
        <w:t>The resubmission changed the risk reduction for symptomatic infection from 0.226 as reported at 6 months in the PROVENT study, as applied in the original model to 0.34 as reported for the COVID-19 infection component of the composite endpoint reported by Young-Xu 2022 as requested by the PBAC in September. However, the resubmission applied this risk reduction over 6 months instead of for the 3 month period requested by the PBAC</w:t>
      </w:r>
      <w:bookmarkStart w:id="126" w:name="_Ref120003439"/>
      <w:bookmarkStart w:id="127" w:name="_Ref120004407"/>
      <w:bookmarkEnd w:id="125"/>
      <w:r w:rsidR="003634A7">
        <w:rPr>
          <w:rFonts w:cstheme="minorHAnsi"/>
        </w:rPr>
        <w:t>.</w:t>
      </w:r>
    </w:p>
    <w:p w14:paraId="3FFAFB60" w14:textId="615CB69D" w:rsidR="003634A7" w:rsidRDefault="00F96762" w:rsidP="00F96762">
      <w:pPr>
        <w:pStyle w:val="3-BodyText"/>
        <w:rPr>
          <w:rFonts w:cstheme="minorHAnsi"/>
        </w:rPr>
      </w:pPr>
      <w:r w:rsidRPr="00855EF5">
        <w:rPr>
          <w:rFonts w:cstheme="minorHAnsi"/>
        </w:rPr>
        <w:t>The resubmission also applied the individual components of the composite endpoint in Young-Xu 2022 in the base case economic analysis</w:t>
      </w:r>
      <w:bookmarkEnd w:id="126"/>
      <w:bookmarkEnd w:id="127"/>
      <w:r w:rsidR="003634A7">
        <w:rPr>
          <w:rFonts w:cstheme="minorHAnsi"/>
        </w:rPr>
        <w:t>.</w:t>
      </w:r>
    </w:p>
    <w:p w14:paraId="34691A12" w14:textId="0E71AAA9" w:rsidR="00F96762" w:rsidRPr="00855EF5" w:rsidRDefault="00F96762" w:rsidP="00F96762">
      <w:pPr>
        <w:pStyle w:val="3-BodyText"/>
        <w:rPr>
          <w:rFonts w:cstheme="minorHAnsi"/>
        </w:rPr>
      </w:pPr>
      <w:r w:rsidRPr="00855EF5">
        <w:rPr>
          <w:rFonts w:cstheme="minorHAnsi"/>
        </w:rPr>
        <w:t>The resubmission argued that “it is implausible to assume Evusheld effectiveness will cease at the end of a three-month period” and the “HR of 0.31 suggested in the ratified minutes for hospitalisation is more than 2 times the hazard ratio of 0.13 observed in the [Young-Xu 2022] study.”</w:t>
      </w:r>
      <w:bookmarkStart w:id="128" w:name="_Ref119976367"/>
      <w:r w:rsidR="003634A7">
        <w:rPr>
          <w:rFonts w:cstheme="minorHAnsi"/>
        </w:rPr>
        <w:t xml:space="preserve"> </w:t>
      </w:r>
      <w:r w:rsidRPr="00855EF5">
        <w:rPr>
          <w:rFonts w:cstheme="minorHAnsi"/>
        </w:rPr>
        <w:t>However, very small numbers of component events were reported in the tixagevimab and cilgavimab arm (so small that they are not reported to protect patient information), which results in very wide confidence limits around the point estimates of hazard ratios (see Table 2</w:t>
      </w:r>
      <w:r>
        <w:rPr>
          <w:rFonts w:cstheme="minorHAnsi"/>
        </w:rPr>
        <w:t>2</w:t>
      </w:r>
      <w:r w:rsidRPr="00855EF5">
        <w:rPr>
          <w:rFonts w:cstheme="minorHAnsi"/>
        </w:rPr>
        <w:t>).</w:t>
      </w:r>
      <w:r w:rsidR="003634A7">
        <w:rPr>
          <w:rFonts w:cstheme="minorHAnsi"/>
        </w:rPr>
        <w:t xml:space="preserve"> </w:t>
      </w:r>
    </w:p>
    <w:p w14:paraId="3F1A0187" w14:textId="77777777" w:rsidR="00F96762" w:rsidRPr="00855EF5" w:rsidRDefault="00F96762" w:rsidP="00F96762">
      <w:pPr>
        <w:jc w:val="left"/>
        <w:rPr>
          <w:rFonts w:ascii="Arial Narrow" w:hAnsi="Arial Narrow"/>
          <w:b/>
          <w:bCs/>
          <w:sz w:val="20"/>
          <w:szCs w:val="20"/>
        </w:rPr>
      </w:pPr>
      <w:r w:rsidRPr="00855EF5">
        <w:rPr>
          <w:rFonts w:ascii="Arial Narrow" w:hAnsi="Arial Narrow"/>
          <w:b/>
          <w:bCs/>
          <w:sz w:val="20"/>
          <w:szCs w:val="20"/>
        </w:rPr>
        <w:lastRenderedPageBreak/>
        <w:t xml:space="preserve">Table </w:t>
      </w:r>
      <w:bookmarkEnd w:id="128"/>
      <w:r w:rsidRPr="00855EF5">
        <w:rPr>
          <w:rFonts w:ascii="Arial Narrow" w:hAnsi="Arial Narrow"/>
          <w:b/>
          <w:bCs/>
          <w:sz w:val="20"/>
          <w:szCs w:val="20"/>
        </w:rPr>
        <w:t>2</w:t>
      </w:r>
      <w:r>
        <w:rPr>
          <w:rFonts w:ascii="Arial Narrow" w:hAnsi="Arial Narrow"/>
          <w:b/>
          <w:bCs/>
          <w:sz w:val="20"/>
          <w:szCs w:val="20"/>
        </w:rPr>
        <w:t>2</w:t>
      </w:r>
      <w:r w:rsidRPr="00855EF5">
        <w:rPr>
          <w:rFonts w:ascii="Arial Narrow" w:hAnsi="Arial Narrow"/>
          <w:b/>
          <w:bCs/>
          <w:sz w:val="20"/>
          <w:szCs w:val="20"/>
        </w:rPr>
        <w:t xml:space="preserve">: Relative effectiveness of </w:t>
      </w:r>
      <w:r w:rsidRPr="00855EF5">
        <w:rPr>
          <w:rFonts w:ascii="Arial Narrow" w:hAnsi="Arial Narrow"/>
          <w:b/>
          <w:bCs/>
          <w:color w:val="000000" w:themeColor="text1"/>
          <w:sz w:val="20"/>
          <w:szCs w:val="20"/>
        </w:rPr>
        <w:t>tixagevimab and cilgavimab versus untreated controls as reported by Young-Xu 2022</w:t>
      </w:r>
    </w:p>
    <w:tbl>
      <w:tblPr>
        <w:tblStyle w:val="TableGrid"/>
        <w:tblW w:w="0" w:type="auto"/>
        <w:tblLook w:val="04A0" w:firstRow="1" w:lastRow="0" w:firstColumn="1" w:lastColumn="0" w:noHBand="0" w:noVBand="1"/>
      </w:tblPr>
      <w:tblGrid>
        <w:gridCol w:w="4138"/>
        <w:gridCol w:w="1626"/>
        <w:gridCol w:w="1626"/>
        <w:gridCol w:w="1627"/>
      </w:tblGrid>
      <w:tr w:rsidR="00F96762" w:rsidRPr="00855EF5" w14:paraId="16A45923" w14:textId="77777777" w:rsidTr="00EB33AD">
        <w:tc>
          <w:tcPr>
            <w:tcW w:w="0" w:type="auto"/>
            <w:tcBorders>
              <w:top w:val="single" w:sz="4" w:space="0" w:color="auto"/>
              <w:left w:val="single" w:sz="4" w:space="0" w:color="auto"/>
              <w:bottom w:val="single" w:sz="4" w:space="0" w:color="auto"/>
              <w:right w:val="single" w:sz="4" w:space="0" w:color="auto"/>
            </w:tcBorders>
          </w:tcPr>
          <w:p w14:paraId="63B95B7A" w14:textId="77777777" w:rsidR="00F96762" w:rsidRPr="00855EF5" w:rsidRDefault="00F96762" w:rsidP="00EB33AD">
            <w:pPr>
              <w:pStyle w:val="TableText0"/>
              <w:rPr>
                <w:b/>
                <w:bCs w:val="0"/>
              </w:rPr>
            </w:pPr>
            <w:r w:rsidRPr="00855EF5">
              <w:rPr>
                <w:b/>
                <w:bCs w:val="0"/>
              </w:rPr>
              <w:t>Outcome in overall cohort</w:t>
            </w:r>
          </w:p>
        </w:tc>
        <w:tc>
          <w:tcPr>
            <w:tcW w:w="1626" w:type="dxa"/>
            <w:tcBorders>
              <w:top w:val="single" w:sz="4" w:space="0" w:color="auto"/>
              <w:left w:val="single" w:sz="4" w:space="0" w:color="auto"/>
              <w:right w:val="single" w:sz="4" w:space="0" w:color="auto"/>
            </w:tcBorders>
          </w:tcPr>
          <w:p w14:paraId="58F74371" w14:textId="77777777" w:rsidR="00F96762" w:rsidRPr="00855EF5" w:rsidRDefault="00F96762" w:rsidP="00EB33AD">
            <w:pPr>
              <w:pStyle w:val="TableText0"/>
              <w:jc w:val="center"/>
              <w:rPr>
                <w:b/>
                <w:bCs w:val="0"/>
                <w:color w:val="000000" w:themeColor="text1"/>
              </w:rPr>
            </w:pPr>
            <w:r w:rsidRPr="00855EF5">
              <w:rPr>
                <w:b/>
                <w:bCs w:val="0"/>
                <w:color w:val="000000" w:themeColor="text1"/>
              </w:rPr>
              <w:t>Recipients of tixagevimab and cilgavimab</w:t>
            </w:r>
          </w:p>
          <w:p w14:paraId="20E32403" w14:textId="77777777" w:rsidR="00F96762" w:rsidRPr="00855EF5" w:rsidRDefault="00F96762" w:rsidP="00EB33AD">
            <w:pPr>
              <w:pStyle w:val="TableText0"/>
              <w:jc w:val="center"/>
              <w:rPr>
                <w:b/>
                <w:bCs w:val="0"/>
              </w:rPr>
            </w:pPr>
            <w:r w:rsidRPr="00855EF5">
              <w:rPr>
                <w:b/>
                <w:bCs w:val="0"/>
              </w:rPr>
              <w:t>N=1,733</w:t>
            </w:r>
          </w:p>
        </w:tc>
        <w:tc>
          <w:tcPr>
            <w:tcW w:w="1626" w:type="dxa"/>
            <w:tcBorders>
              <w:top w:val="single" w:sz="4" w:space="0" w:color="auto"/>
              <w:left w:val="single" w:sz="4" w:space="0" w:color="auto"/>
              <w:right w:val="single" w:sz="4" w:space="0" w:color="auto"/>
            </w:tcBorders>
          </w:tcPr>
          <w:p w14:paraId="44E95863" w14:textId="77777777" w:rsidR="00F96762" w:rsidRPr="00855EF5" w:rsidRDefault="00F96762" w:rsidP="00EB33AD">
            <w:pPr>
              <w:pStyle w:val="TableText0"/>
              <w:jc w:val="center"/>
              <w:rPr>
                <w:b/>
                <w:bCs w:val="0"/>
              </w:rPr>
            </w:pPr>
            <w:r w:rsidRPr="00855EF5">
              <w:rPr>
                <w:b/>
                <w:bCs w:val="0"/>
              </w:rPr>
              <w:t>Matched controls</w:t>
            </w:r>
          </w:p>
          <w:p w14:paraId="46F0AAE0" w14:textId="77777777" w:rsidR="00F96762" w:rsidRPr="00855EF5" w:rsidRDefault="00F96762" w:rsidP="00EB33AD">
            <w:pPr>
              <w:pStyle w:val="TableText0"/>
              <w:jc w:val="center"/>
              <w:rPr>
                <w:b/>
                <w:bCs w:val="0"/>
              </w:rPr>
            </w:pPr>
            <w:r w:rsidRPr="00855EF5">
              <w:rPr>
                <w:b/>
                <w:bCs w:val="0"/>
              </w:rPr>
              <w:t>N=6,354</w:t>
            </w:r>
          </w:p>
        </w:tc>
        <w:tc>
          <w:tcPr>
            <w:tcW w:w="1627" w:type="dxa"/>
            <w:tcBorders>
              <w:top w:val="single" w:sz="4" w:space="0" w:color="auto"/>
              <w:left w:val="single" w:sz="4" w:space="0" w:color="auto"/>
              <w:right w:val="single" w:sz="4" w:space="0" w:color="auto"/>
            </w:tcBorders>
          </w:tcPr>
          <w:p w14:paraId="19D83635" w14:textId="77777777" w:rsidR="00F96762" w:rsidRPr="00855EF5" w:rsidRDefault="00F96762" w:rsidP="00EB33AD">
            <w:pPr>
              <w:pStyle w:val="TableText0"/>
              <w:jc w:val="center"/>
              <w:rPr>
                <w:b/>
                <w:bCs w:val="0"/>
              </w:rPr>
            </w:pPr>
            <w:r w:rsidRPr="00855EF5">
              <w:rPr>
                <w:b/>
                <w:bCs w:val="0"/>
              </w:rPr>
              <w:t>Hazard ratio (95% CI)</w:t>
            </w:r>
          </w:p>
        </w:tc>
      </w:tr>
      <w:tr w:rsidR="00F96762" w:rsidRPr="00855EF5" w14:paraId="59F93526" w14:textId="77777777" w:rsidTr="00EB33AD">
        <w:tc>
          <w:tcPr>
            <w:tcW w:w="0" w:type="auto"/>
            <w:tcBorders>
              <w:top w:val="single" w:sz="4" w:space="0" w:color="auto"/>
              <w:left w:val="single" w:sz="4" w:space="0" w:color="auto"/>
              <w:bottom w:val="single" w:sz="4" w:space="0" w:color="auto"/>
              <w:right w:val="single" w:sz="4" w:space="0" w:color="auto"/>
            </w:tcBorders>
          </w:tcPr>
          <w:p w14:paraId="39FC4AF0" w14:textId="77777777" w:rsidR="00F96762" w:rsidRPr="00855EF5" w:rsidRDefault="00F96762" w:rsidP="00EB33AD">
            <w:pPr>
              <w:pStyle w:val="TableText0"/>
            </w:pPr>
            <w:r w:rsidRPr="00855EF5">
              <w:t>Composite outcome (COVID-19 infection, COVID-19 hospitalisation, and all-cause mortality)</w:t>
            </w:r>
          </w:p>
        </w:tc>
        <w:tc>
          <w:tcPr>
            <w:tcW w:w="1626" w:type="dxa"/>
            <w:tcBorders>
              <w:left w:val="single" w:sz="4" w:space="0" w:color="auto"/>
              <w:right w:val="single" w:sz="4" w:space="0" w:color="auto"/>
            </w:tcBorders>
            <w:vAlign w:val="center"/>
          </w:tcPr>
          <w:p w14:paraId="1ED3AE02" w14:textId="77777777" w:rsidR="00F96762" w:rsidRPr="00855EF5" w:rsidRDefault="00F96762" w:rsidP="00EB33AD">
            <w:pPr>
              <w:pStyle w:val="TableText0"/>
              <w:jc w:val="center"/>
            </w:pPr>
            <w:r w:rsidRPr="00855EF5">
              <w:t>17 (1.0%)</w:t>
            </w:r>
          </w:p>
        </w:tc>
        <w:tc>
          <w:tcPr>
            <w:tcW w:w="1626" w:type="dxa"/>
            <w:tcBorders>
              <w:left w:val="single" w:sz="4" w:space="0" w:color="auto"/>
              <w:right w:val="single" w:sz="4" w:space="0" w:color="auto"/>
            </w:tcBorders>
            <w:vAlign w:val="center"/>
          </w:tcPr>
          <w:p w14:paraId="39C74DE1" w14:textId="77777777" w:rsidR="00F96762" w:rsidRPr="00855EF5" w:rsidRDefault="00F96762" w:rsidP="00EB33AD">
            <w:pPr>
              <w:pStyle w:val="TableText0"/>
              <w:jc w:val="center"/>
            </w:pPr>
            <w:r w:rsidRPr="00855EF5">
              <w:t>206 (3.2%)</w:t>
            </w:r>
          </w:p>
        </w:tc>
        <w:tc>
          <w:tcPr>
            <w:tcW w:w="1627" w:type="dxa"/>
            <w:tcBorders>
              <w:left w:val="single" w:sz="4" w:space="0" w:color="auto"/>
              <w:right w:val="single" w:sz="4" w:space="0" w:color="auto"/>
            </w:tcBorders>
            <w:vAlign w:val="center"/>
          </w:tcPr>
          <w:p w14:paraId="2E0391B2" w14:textId="77777777" w:rsidR="00F96762" w:rsidRPr="00855EF5" w:rsidRDefault="00F96762" w:rsidP="00EB33AD">
            <w:pPr>
              <w:pStyle w:val="TableText0"/>
              <w:jc w:val="center"/>
            </w:pPr>
            <w:r w:rsidRPr="00855EF5">
              <w:t>0.31 (0.18 – 0.53)</w:t>
            </w:r>
          </w:p>
        </w:tc>
      </w:tr>
      <w:tr w:rsidR="00F96762" w:rsidRPr="00855EF5" w14:paraId="265B1F60" w14:textId="77777777" w:rsidTr="00EB33AD">
        <w:tc>
          <w:tcPr>
            <w:tcW w:w="0" w:type="auto"/>
            <w:tcBorders>
              <w:top w:val="single" w:sz="4" w:space="0" w:color="auto"/>
              <w:left w:val="single" w:sz="4" w:space="0" w:color="auto"/>
              <w:bottom w:val="single" w:sz="4" w:space="0" w:color="auto"/>
              <w:right w:val="single" w:sz="4" w:space="0" w:color="auto"/>
            </w:tcBorders>
          </w:tcPr>
          <w:p w14:paraId="4878EAB1" w14:textId="77777777" w:rsidR="00F96762" w:rsidRPr="00855EF5" w:rsidRDefault="00F96762" w:rsidP="00EB33AD">
            <w:pPr>
              <w:pStyle w:val="TableText0"/>
            </w:pPr>
            <w:r w:rsidRPr="00855EF5">
              <w:t>COVID-19 infection</w:t>
            </w:r>
          </w:p>
        </w:tc>
        <w:tc>
          <w:tcPr>
            <w:tcW w:w="1626" w:type="dxa"/>
            <w:tcBorders>
              <w:left w:val="single" w:sz="4" w:space="0" w:color="auto"/>
              <w:right w:val="single" w:sz="4" w:space="0" w:color="auto"/>
            </w:tcBorders>
            <w:vAlign w:val="center"/>
          </w:tcPr>
          <w:p w14:paraId="61D053C0" w14:textId="77777777" w:rsidR="00F96762" w:rsidRPr="00855EF5" w:rsidRDefault="00F96762" w:rsidP="00EB33AD">
            <w:pPr>
              <w:pStyle w:val="TableText0"/>
              <w:jc w:val="center"/>
              <w:rPr>
                <w:vertAlign w:val="superscript"/>
              </w:rPr>
            </w:pPr>
            <w:r w:rsidRPr="00855EF5">
              <w:t>(&lt; 0.5%)</w:t>
            </w:r>
            <w:r w:rsidRPr="00855EF5">
              <w:rPr>
                <w:vertAlign w:val="superscript"/>
              </w:rPr>
              <w:t>&amp;</w:t>
            </w:r>
          </w:p>
        </w:tc>
        <w:tc>
          <w:tcPr>
            <w:tcW w:w="1626" w:type="dxa"/>
            <w:tcBorders>
              <w:left w:val="single" w:sz="4" w:space="0" w:color="auto"/>
              <w:right w:val="single" w:sz="4" w:space="0" w:color="auto"/>
            </w:tcBorders>
            <w:vAlign w:val="center"/>
          </w:tcPr>
          <w:p w14:paraId="1029E995" w14:textId="77777777" w:rsidR="00F96762" w:rsidRPr="00855EF5" w:rsidRDefault="00F96762" w:rsidP="00EB33AD">
            <w:pPr>
              <w:pStyle w:val="TableText0"/>
              <w:jc w:val="center"/>
            </w:pPr>
            <w:r w:rsidRPr="00855EF5">
              <w:t>69 (1%)</w:t>
            </w:r>
          </w:p>
        </w:tc>
        <w:tc>
          <w:tcPr>
            <w:tcW w:w="1627" w:type="dxa"/>
            <w:tcBorders>
              <w:left w:val="single" w:sz="4" w:space="0" w:color="auto"/>
              <w:right w:val="single" w:sz="4" w:space="0" w:color="auto"/>
            </w:tcBorders>
            <w:vAlign w:val="center"/>
          </w:tcPr>
          <w:p w14:paraId="32F2C422" w14:textId="77777777" w:rsidR="00F96762" w:rsidRPr="00855EF5" w:rsidRDefault="00F96762" w:rsidP="00EB33AD">
            <w:pPr>
              <w:pStyle w:val="TableText0"/>
              <w:jc w:val="center"/>
            </w:pPr>
            <w:r w:rsidRPr="00855EF5">
              <w:t>0.34 (0.13 – 0.87)</w:t>
            </w:r>
          </w:p>
        </w:tc>
      </w:tr>
      <w:tr w:rsidR="00F96762" w:rsidRPr="00855EF5" w14:paraId="79C163C0" w14:textId="77777777" w:rsidTr="00EB33AD">
        <w:tc>
          <w:tcPr>
            <w:tcW w:w="0" w:type="auto"/>
            <w:tcBorders>
              <w:top w:val="single" w:sz="4" w:space="0" w:color="auto"/>
              <w:left w:val="single" w:sz="4" w:space="0" w:color="auto"/>
              <w:bottom w:val="single" w:sz="4" w:space="0" w:color="auto"/>
              <w:right w:val="single" w:sz="4" w:space="0" w:color="auto"/>
            </w:tcBorders>
          </w:tcPr>
          <w:p w14:paraId="10CF633F" w14:textId="77777777" w:rsidR="00F96762" w:rsidRPr="00855EF5" w:rsidRDefault="00F96762" w:rsidP="00EB33AD">
            <w:pPr>
              <w:pStyle w:val="TableText0"/>
            </w:pPr>
            <w:r w:rsidRPr="00855EF5">
              <w:t>COVID-19-related hospitalisation</w:t>
            </w:r>
          </w:p>
        </w:tc>
        <w:tc>
          <w:tcPr>
            <w:tcW w:w="1626" w:type="dxa"/>
            <w:tcBorders>
              <w:left w:val="single" w:sz="4" w:space="0" w:color="auto"/>
              <w:right w:val="single" w:sz="4" w:space="0" w:color="auto"/>
            </w:tcBorders>
            <w:vAlign w:val="center"/>
          </w:tcPr>
          <w:p w14:paraId="7F1F124B" w14:textId="77777777" w:rsidR="00F96762" w:rsidRPr="00855EF5" w:rsidRDefault="00F96762" w:rsidP="00EB33AD">
            <w:pPr>
              <w:pStyle w:val="TableText0"/>
              <w:jc w:val="center"/>
            </w:pPr>
            <w:r w:rsidRPr="00855EF5">
              <w:t>(&lt; 0.5%)</w:t>
            </w:r>
            <w:r w:rsidRPr="00855EF5">
              <w:rPr>
                <w:vertAlign w:val="superscript"/>
              </w:rPr>
              <w:t>&amp;</w:t>
            </w:r>
          </w:p>
        </w:tc>
        <w:tc>
          <w:tcPr>
            <w:tcW w:w="1626" w:type="dxa"/>
            <w:tcBorders>
              <w:left w:val="single" w:sz="4" w:space="0" w:color="auto"/>
              <w:right w:val="single" w:sz="4" w:space="0" w:color="auto"/>
            </w:tcBorders>
            <w:vAlign w:val="center"/>
          </w:tcPr>
          <w:p w14:paraId="660DC01A" w14:textId="77777777" w:rsidR="00F96762" w:rsidRPr="00855EF5" w:rsidRDefault="00F96762" w:rsidP="00EB33AD">
            <w:pPr>
              <w:pStyle w:val="TableText0"/>
              <w:jc w:val="center"/>
            </w:pPr>
            <w:r w:rsidRPr="00855EF5">
              <w:t>38 (0.5%)</w:t>
            </w:r>
          </w:p>
        </w:tc>
        <w:tc>
          <w:tcPr>
            <w:tcW w:w="1627" w:type="dxa"/>
            <w:tcBorders>
              <w:left w:val="single" w:sz="4" w:space="0" w:color="auto"/>
              <w:right w:val="single" w:sz="4" w:space="0" w:color="auto"/>
            </w:tcBorders>
            <w:vAlign w:val="center"/>
          </w:tcPr>
          <w:p w14:paraId="388FA533" w14:textId="77777777" w:rsidR="00F96762" w:rsidRPr="00855EF5" w:rsidRDefault="00F96762" w:rsidP="00EB33AD">
            <w:pPr>
              <w:pStyle w:val="TableText0"/>
              <w:jc w:val="center"/>
            </w:pPr>
            <w:r w:rsidRPr="00855EF5">
              <w:t>0.13 (0.02 – 0.99)</w:t>
            </w:r>
          </w:p>
        </w:tc>
      </w:tr>
      <w:tr w:rsidR="00F96762" w:rsidRPr="00855EF5" w14:paraId="607EE4BB" w14:textId="77777777" w:rsidTr="00EB33AD">
        <w:tc>
          <w:tcPr>
            <w:tcW w:w="0" w:type="auto"/>
            <w:tcBorders>
              <w:top w:val="single" w:sz="4" w:space="0" w:color="auto"/>
              <w:left w:val="single" w:sz="4" w:space="0" w:color="auto"/>
              <w:bottom w:val="single" w:sz="4" w:space="0" w:color="auto"/>
              <w:right w:val="single" w:sz="4" w:space="0" w:color="auto"/>
            </w:tcBorders>
          </w:tcPr>
          <w:p w14:paraId="0B1CAEDF" w14:textId="77777777" w:rsidR="00F96762" w:rsidRPr="00855EF5" w:rsidRDefault="00F96762" w:rsidP="00EB33AD">
            <w:pPr>
              <w:pStyle w:val="TableText0"/>
            </w:pPr>
            <w:r w:rsidRPr="00855EF5">
              <w:t>All-cause mortality</w:t>
            </w:r>
          </w:p>
        </w:tc>
        <w:tc>
          <w:tcPr>
            <w:tcW w:w="1626" w:type="dxa"/>
            <w:tcBorders>
              <w:left w:val="single" w:sz="4" w:space="0" w:color="auto"/>
              <w:bottom w:val="single" w:sz="4" w:space="0" w:color="auto"/>
              <w:right w:val="single" w:sz="4" w:space="0" w:color="auto"/>
            </w:tcBorders>
            <w:vAlign w:val="center"/>
          </w:tcPr>
          <w:p w14:paraId="666D46B3" w14:textId="77777777" w:rsidR="00F96762" w:rsidRPr="00855EF5" w:rsidRDefault="00F96762" w:rsidP="00EB33AD">
            <w:pPr>
              <w:pStyle w:val="TableText0"/>
              <w:jc w:val="center"/>
            </w:pPr>
            <w:r w:rsidRPr="00855EF5">
              <w:t>(&lt; 0.5%)</w:t>
            </w:r>
            <w:r w:rsidRPr="00855EF5">
              <w:rPr>
                <w:vertAlign w:val="superscript"/>
              </w:rPr>
              <w:t>&amp;</w:t>
            </w:r>
          </w:p>
        </w:tc>
        <w:tc>
          <w:tcPr>
            <w:tcW w:w="1626" w:type="dxa"/>
            <w:tcBorders>
              <w:left w:val="single" w:sz="4" w:space="0" w:color="auto"/>
              <w:bottom w:val="single" w:sz="4" w:space="0" w:color="auto"/>
              <w:right w:val="single" w:sz="4" w:space="0" w:color="auto"/>
            </w:tcBorders>
            <w:vAlign w:val="center"/>
          </w:tcPr>
          <w:p w14:paraId="093E28E2" w14:textId="77777777" w:rsidR="00F96762" w:rsidRPr="00855EF5" w:rsidRDefault="00F96762" w:rsidP="00EB33AD">
            <w:pPr>
              <w:pStyle w:val="TableText0"/>
              <w:jc w:val="center"/>
            </w:pPr>
            <w:r w:rsidRPr="00855EF5">
              <w:t>99 (2%)</w:t>
            </w:r>
          </w:p>
        </w:tc>
        <w:tc>
          <w:tcPr>
            <w:tcW w:w="1627" w:type="dxa"/>
            <w:tcBorders>
              <w:left w:val="single" w:sz="4" w:space="0" w:color="auto"/>
              <w:bottom w:val="single" w:sz="4" w:space="0" w:color="auto"/>
              <w:right w:val="single" w:sz="4" w:space="0" w:color="auto"/>
            </w:tcBorders>
            <w:vAlign w:val="center"/>
          </w:tcPr>
          <w:p w14:paraId="30B31023" w14:textId="77777777" w:rsidR="00F96762" w:rsidRPr="00855EF5" w:rsidRDefault="00F96762" w:rsidP="00EB33AD">
            <w:pPr>
              <w:pStyle w:val="TableText0"/>
              <w:jc w:val="center"/>
            </w:pPr>
            <w:r w:rsidRPr="00855EF5">
              <w:t>0.36 (0.18 – 0.73)</w:t>
            </w:r>
          </w:p>
        </w:tc>
      </w:tr>
    </w:tbl>
    <w:p w14:paraId="7F19C7DA" w14:textId="77777777" w:rsidR="00F96762" w:rsidRPr="0029562A" w:rsidRDefault="00F96762" w:rsidP="00F96762">
      <w:pPr>
        <w:pStyle w:val="3-BodyText"/>
        <w:numPr>
          <w:ilvl w:val="0"/>
          <w:numId w:val="0"/>
        </w:numPr>
        <w:snapToGrid w:val="0"/>
        <w:spacing w:after="0"/>
        <w:rPr>
          <w:rFonts w:ascii="Arial Narrow" w:hAnsi="Arial Narrow"/>
          <w:sz w:val="18"/>
          <w:szCs w:val="18"/>
        </w:rPr>
      </w:pPr>
      <w:r w:rsidRPr="0029562A">
        <w:rPr>
          <w:rFonts w:ascii="Arial Narrow" w:hAnsi="Arial Narrow"/>
          <w:sz w:val="18"/>
          <w:szCs w:val="18"/>
        </w:rPr>
        <w:t>Source: Table 2, Young-Xu 2022</w:t>
      </w:r>
    </w:p>
    <w:p w14:paraId="0B2CBC30" w14:textId="087B6D17" w:rsidR="00F96762" w:rsidRPr="00855EF5" w:rsidRDefault="00F96762" w:rsidP="000D32A9">
      <w:pPr>
        <w:pStyle w:val="3-BodyText"/>
        <w:numPr>
          <w:ilvl w:val="0"/>
          <w:numId w:val="0"/>
        </w:numPr>
        <w:snapToGrid w:val="0"/>
        <w:ind w:left="284" w:hanging="284"/>
        <w:rPr>
          <w:rFonts w:ascii="Arial Narrow" w:hAnsi="Arial Narrow"/>
          <w:sz w:val="20"/>
          <w:szCs w:val="20"/>
        </w:rPr>
      </w:pPr>
      <w:r w:rsidRPr="0029562A">
        <w:rPr>
          <w:rFonts w:ascii="Arial Narrow" w:hAnsi="Arial Narrow"/>
          <w:sz w:val="18"/>
          <w:szCs w:val="18"/>
          <w:vertAlign w:val="superscript"/>
        </w:rPr>
        <w:t>&amp;</w:t>
      </w:r>
      <w:r w:rsidR="000D32A9" w:rsidRPr="0029562A">
        <w:rPr>
          <w:rFonts w:ascii="Arial Narrow" w:hAnsi="Arial Narrow"/>
          <w:sz w:val="18"/>
          <w:szCs w:val="18"/>
        </w:rPr>
        <w:t xml:space="preserve"> </w:t>
      </w:r>
      <w:r w:rsidRPr="0029562A">
        <w:rPr>
          <w:rFonts w:ascii="Arial Narrow" w:hAnsi="Arial Narrow"/>
          <w:sz w:val="18"/>
          <w:szCs w:val="18"/>
        </w:rPr>
        <w:t>Numbers not shown to protect patient information.</w:t>
      </w:r>
    </w:p>
    <w:p w14:paraId="71C72C8F" w14:textId="0AD02F92" w:rsidR="003634A7" w:rsidRDefault="00F96762" w:rsidP="00F96762">
      <w:pPr>
        <w:pStyle w:val="3-BodyText"/>
        <w:rPr>
          <w:rFonts w:cstheme="minorHAnsi"/>
        </w:rPr>
      </w:pPr>
      <w:r w:rsidRPr="00855EF5">
        <w:rPr>
          <w:rFonts w:cstheme="minorHAnsi"/>
        </w:rPr>
        <w:t>The results for the resubmission’s economic analysis are summarised in Table 2</w:t>
      </w:r>
      <w:r>
        <w:rPr>
          <w:rFonts w:cstheme="minorHAnsi"/>
        </w:rPr>
        <w:t>3</w:t>
      </w:r>
      <w:r w:rsidRPr="00855EF5">
        <w:rPr>
          <w:rFonts w:cstheme="minorHAnsi"/>
        </w:rPr>
        <w:t>. This analysis applies (i) a reduction in the effective DPMQ to $</w:t>
      </w:r>
      <w:r w:rsidR="004755B7" w:rsidRPr="00500F84">
        <w:rPr>
          <w:rFonts w:cstheme="minorHAnsi"/>
          <w:color w:val="000000"/>
          <w:w w:val="15"/>
          <w:shd w:val="solid" w:color="000000" w:fill="000000"/>
          <w:fitText w:val="-20" w:id="-1280136697"/>
          <w14:textFill>
            <w14:solidFill>
              <w14:srgbClr w14:val="000000">
                <w14:alpha w14:val="100000"/>
              </w14:srgbClr>
            </w14:solidFill>
          </w14:textFill>
        </w:rPr>
        <w:t xml:space="preserve">|  </w:t>
      </w:r>
      <w:r w:rsidR="004755B7" w:rsidRPr="00500F84">
        <w:rPr>
          <w:rFonts w:cstheme="minorHAnsi"/>
          <w:color w:val="000000"/>
          <w:spacing w:val="-69"/>
          <w:w w:val="15"/>
          <w:shd w:val="solid" w:color="000000" w:fill="000000"/>
          <w:fitText w:val="-20" w:id="-1280136697"/>
          <w14:textFill>
            <w14:solidFill>
              <w14:srgbClr w14:val="000000">
                <w14:alpha w14:val="100000"/>
              </w14:srgbClr>
            </w14:solidFill>
          </w14:textFill>
        </w:rPr>
        <w:t>|</w:t>
      </w:r>
      <w:r w:rsidRPr="00855EF5">
        <w:rPr>
          <w:rFonts w:cstheme="minorHAnsi"/>
        </w:rPr>
        <w:t>; (ii) a 66% reduction in the risk of infection in patients receiving tixagevimab 300 mg and cilgavimab 300 mg for PrEP against symptomatic COVID-19 over 6 months (risk is reduced from 15% to 5.1% over 6 months); and (iii) an 87% reduction in the risk of hospitalisation in patients receiving tixagevimab 300 mg and cilgavimab 300 mg for PrEP against symptomatic COVID-19 (risk is reduced from 14% to 1.8% over 6 months)</w:t>
      </w:r>
      <w:r w:rsidR="003634A7">
        <w:rPr>
          <w:rFonts w:cstheme="minorHAnsi"/>
        </w:rPr>
        <w:t>.</w:t>
      </w:r>
    </w:p>
    <w:p w14:paraId="771F8572" w14:textId="311ADD43" w:rsidR="003634A7" w:rsidRDefault="00F96762" w:rsidP="00F96762">
      <w:pPr>
        <w:pStyle w:val="3-BodyText"/>
        <w:rPr>
          <w:rFonts w:cstheme="minorHAnsi"/>
        </w:rPr>
      </w:pPr>
      <w:r w:rsidRPr="00855EF5">
        <w:rPr>
          <w:rFonts w:cstheme="minorHAnsi"/>
        </w:rPr>
        <w:t>Results of a respecified economic analysis that corresponds to the changes requested by the PBAC in September 2022, are summarised in Table 2</w:t>
      </w:r>
      <w:r>
        <w:rPr>
          <w:rFonts w:cstheme="minorHAnsi"/>
        </w:rPr>
        <w:t>4</w:t>
      </w:r>
      <w:r w:rsidRPr="00855EF5">
        <w:rPr>
          <w:rFonts w:cstheme="minorHAnsi"/>
        </w:rPr>
        <w:t>. This analysis applies (i) a reduction in the effective DPMQ to $</w:t>
      </w:r>
      <w:r w:rsidR="004755B7" w:rsidRPr="00500F84">
        <w:rPr>
          <w:rFonts w:cstheme="minorHAnsi"/>
          <w:color w:val="000000"/>
          <w:w w:val="15"/>
          <w:shd w:val="solid" w:color="000000" w:fill="000000"/>
          <w:fitText w:val="-20" w:id="-1280136696"/>
          <w14:textFill>
            <w14:solidFill>
              <w14:srgbClr w14:val="000000">
                <w14:alpha w14:val="100000"/>
              </w14:srgbClr>
            </w14:solidFill>
          </w14:textFill>
        </w:rPr>
        <w:t xml:space="preserve">|  </w:t>
      </w:r>
      <w:r w:rsidR="004755B7" w:rsidRPr="00500F84">
        <w:rPr>
          <w:rFonts w:cstheme="minorHAnsi"/>
          <w:color w:val="000000"/>
          <w:spacing w:val="-69"/>
          <w:w w:val="15"/>
          <w:shd w:val="solid" w:color="000000" w:fill="000000"/>
          <w:fitText w:val="-20" w:id="-1280136696"/>
          <w14:textFill>
            <w14:solidFill>
              <w14:srgbClr w14:val="000000">
                <w14:alpha w14:val="100000"/>
              </w14:srgbClr>
            </w14:solidFill>
          </w14:textFill>
        </w:rPr>
        <w:t>|</w:t>
      </w:r>
      <w:r w:rsidRPr="00855EF5">
        <w:rPr>
          <w:rFonts w:cstheme="minorHAnsi"/>
        </w:rPr>
        <w:t xml:space="preserve"> as proposed in the resubmission; (ii) a 69% reduction in the risk of infection in patients receiving tixagevimab 300 mg and cilgavimab 300 mg for PrEP against symptomatic COVID-19 over 3 months and then no difference (risk is reduced from 15% to 9.8% over 6 months</w:t>
      </w:r>
      <w:r w:rsidRPr="00855EF5">
        <w:rPr>
          <w:rStyle w:val="FootnoteReference"/>
          <w:rFonts w:cstheme="minorHAnsi"/>
        </w:rPr>
        <w:footnoteReference w:id="34"/>
      </w:r>
      <w:r w:rsidRPr="00855EF5">
        <w:rPr>
          <w:rFonts w:cstheme="minorHAnsi"/>
        </w:rPr>
        <w:t>); and (iii) a 69% reduction in the risk of hospitalisation in patients receiving tixagevimab 300 mg and cilgavimab 300 mg for PrEP against symptomatic COVID-19 over 3 months and then no difference (risk is reduced from 14% to 9.2% over 6 months</w:t>
      </w:r>
      <w:r w:rsidRPr="00855EF5">
        <w:rPr>
          <w:rStyle w:val="FootnoteReference"/>
          <w:rFonts w:cstheme="minorHAnsi"/>
        </w:rPr>
        <w:footnoteReference w:id="35"/>
      </w:r>
      <w:r w:rsidRPr="00855EF5">
        <w:rPr>
          <w:rFonts w:cstheme="minorHAnsi"/>
        </w:rPr>
        <w:t xml:space="preserve">). The analysis generates an ICER of </w:t>
      </w:r>
      <w:r w:rsidR="00892500" w:rsidRPr="00892500">
        <w:rPr>
          <w:rFonts w:cstheme="minorHAnsi"/>
        </w:rPr>
        <w:t>$75,000 to &lt; $95,000</w:t>
      </w:r>
      <w:r w:rsidRPr="00855EF5">
        <w:rPr>
          <w:rFonts w:cstheme="minorHAnsi"/>
        </w:rPr>
        <w:t>/QALY gained</w:t>
      </w:r>
      <w:bookmarkStart w:id="129" w:name="_Ref120011425"/>
      <w:r w:rsidR="003634A7">
        <w:rPr>
          <w:rFonts w:cstheme="minorHAnsi"/>
        </w:rPr>
        <w:t>.</w:t>
      </w:r>
    </w:p>
    <w:p w14:paraId="306776A4" w14:textId="77777777" w:rsidR="00F96762" w:rsidRPr="00855EF5" w:rsidRDefault="00F96762" w:rsidP="00F96762">
      <w:pPr>
        <w:pStyle w:val="Caption"/>
      </w:pPr>
      <w:r w:rsidRPr="00855EF5">
        <w:t xml:space="preserve">Table </w:t>
      </w:r>
      <w:bookmarkEnd w:id="129"/>
      <w:r w:rsidRPr="00855EF5">
        <w:t>2</w:t>
      </w:r>
      <w:r>
        <w:t>3</w:t>
      </w:r>
      <w:r w:rsidRPr="00855EF5">
        <w:t>: Results of the resubmission’s modelled base case analysis over 6 months</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Caption w:val="Table 23: Results of the resubmission’s modelled base case analysis over 6 months"/>
      </w:tblPr>
      <w:tblGrid>
        <w:gridCol w:w="3540"/>
        <w:gridCol w:w="1913"/>
        <w:gridCol w:w="1915"/>
        <w:gridCol w:w="1699"/>
      </w:tblGrid>
      <w:tr w:rsidR="00F96762" w:rsidRPr="00855EF5" w14:paraId="65E0D23C" w14:textId="77777777" w:rsidTr="00EB33AD">
        <w:trPr>
          <w:cantSplit/>
          <w:tblHeader/>
        </w:trPr>
        <w:tc>
          <w:tcPr>
            <w:tcW w:w="1952" w:type="pct"/>
            <w:shd w:val="clear" w:color="auto" w:fill="FFFFFF"/>
          </w:tcPr>
          <w:p w14:paraId="0C3F4EB8" w14:textId="77777777" w:rsidR="00F96762" w:rsidRPr="00855EF5" w:rsidRDefault="00F96762" w:rsidP="00EB33AD">
            <w:pPr>
              <w:pStyle w:val="In-tableHeading"/>
              <w:jc w:val="center"/>
              <w:rPr>
                <w:lang w:val="en-AU"/>
              </w:rPr>
            </w:pPr>
          </w:p>
        </w:tc>
        <w:tc>
          <w:tcPr>
            <w:tcW w:w="1055" w:type="pct"/>
            <w:shd w:val="clear" w:color="auto" w:fill="FFFFFF"/>
            <w:vAlign w:val="center"/>
          </w:tcPr>
          <w:p w14:paraId="73BB93DA" w14:textId="77777777" w:rsidR="00F96762" w:rsidRPr="00855EF5" w:rsidRDefault="00F96762" w:rsidP="00EB33AD">
            <w:pPr>
              <w:pStyle w:val="In-tableHeading"/>
              <w:jc w:val="center"/>
              <w:rPr>
                <w:lang w:val="en-AU"/>
              </w:rPr>
            </w:pPr>
            <w:r w:rsidRPr="00855EF5">
              <w:rPr>
                <w:color w:val="000000" w:themeColor="text1"/>
                <w:lang w:val="en-AU"/>
              </w:rPr>
              <w:t>Tixagevimab and cilgavimab</w:t>
            </w:r>
          </w:p>
        </w:tc>
        <w:tc>
          <w:tcPr>
            <w:tcW w:w="1056" w:type="pct"/>
            <w:shd w:val="clear" w:color="auto" w:fill="FFFFFF"/>
            <w:vAlign w:val="center"/>
          </w:tcPr>
          <w:p w14:paraId="7E23F612" w14:textId="77777777" w:rsidR="00F96762" w:rsidRPr="00855EF5" w:rsidRDefault="00F96762" w:rsidP="00EB33AD">
            <w:pPr>
              <w:pStyle w:val="In-tableHeading"/>
              <w:jc w:val="center"/>
              <w:rPr>
                <w:lang w:val="en-AU"/>
              </w:rPr>
            </w:pPr>
            <w:r w:rsidRPr="00855EF5">
              <w:rPr>
                <w:lang w:val="en-AU"/>
              </w:rPr>
              <w:t>Placebo</w:t>
            </w:r>
          </w:p>
        </w:tc>
        <w:tc>
          <w:tcPr>
            <w:tcW w:w="937" w:type="pct"/>
            <w:shd w:val="clear" w:color="auto" w:fill="FFFFFF"/>
            <w:vAlign w:val="center"/>
          </w:tcPr>
          <w:p w14:paraId="44A415B0" w14:textId="77777777" w:rsidR="00F96762" w:rsidRPr="00855EF5" w:rsidRDefault="00F96762" w:rsidP="00EB33AD">
            <w:pPr>
              <w:pStyle w:val="In-tableHeading"/>
              <w:jc w:val="center"/>
              <w:rPr>
                <w:lang w:val="en-AU"/>
              </w:rPr>
            </w:pPr>
            <w:r w:rsidRPr="00855EF5">
              <w:rPr>
                <w:lang w:val="en-AU"/>
              </w:rPr>
              <w:t>Increment</w:t>
            </w:r>
          </w:p>
        </w:tc>
      </w:tr>
      <w:tr w:rsidR="00F96762" w:rsidRPr="00855EF5" w14:paraId="3A2F41CB" w14:textId="77777777" w:rsidTr="00EB33AD">
        <w:trPr>
          <w:cantSplit/>
        </w:trPr>
        <w:tc>
          <w:tcPr>
            <w:tcW w:w="1952" w:type="pct"/>
            <w:shd w:val="clear" w:color="auto" w:fill="auto"/>
          </w:tcPr>
          <w:p w14:paraId="7CEE24B4" w14:textId="77777777" w:rsidR="00F96762" w:rsidRPr="00855EF5" w:rsidRDefault="00F96762" w:rsidP="00EB33AD">
            <w:pPr>
              <w:pStyle w:val="TableText0"/>
            </w:pPr>
            <w:r w:rsidRPr="00855EF5">
              <w:t>Drug costs</w:t>
            </w:r>
          </w:p>
        </w:tc>
        <w:tc>
          <w:tcPr>
            <w:tcW w:w="1055" w:type="pct"/>
            <w:shd w:val="clear" w:color="auto" w:fill="auto"/>
            <w:vAlign w:val="center"/>
          </w:tcPr>
          <w:p w14:paraId="57031695" w14:textId="07A25C22" w:rsidR="00F96762" w:rsidRPr="00855EF5" w:rsidRDefault="00F96762" w:rsidP="00EB33AD">
            <w:pPr>
              <w:pStyle w:val="TableText0"/>
              <w:jc w:val="center"/>
            </w:pPr>
            <w:r w:rsidRPr="00855EF5">
              <w:t>$</w:t>
            </w:r>
            <w:r w:rsidR="004755B7" w:rsidRPr="00157ED3">
              <w:rPr>
                <w:rFonts w:hint="eastAsia"/>
                <w:color w:val="000000"/>
                <w:w w:val="15"/>
                <w:shd w:val="solid" w:color="000000" w:fill="000000"/>
                <w:fitText w:val="30" w:id="-1280136695"/>
                <w14:textFill>
                  <w14:solidFill>
                    <w14:srgbClr w14:val="000000">
                      <w14:alpha w14:val="100000"/>
                    </w14:srgbClr>
                  </w14:solidFill>
                </w14:textFill>
              </w:rPr>
              <w:t xml:space="preserve">　</w:t>
            </w:r>
            <w:r w:rsidR="004755B7" w:rsidRPr="00157ED3">
              <w:rPr>
                <w:color w:val="000000"/>
                <w:w w:val="15"/>
                <w:shd w:val="solid" w:color="000000" w:fill="000000"/>
                <w:fitText w:val="30" w:id="-1280136695"/>
                <w14:textFill>
                  <w14:solidFill>
                    <w14:srgbClr w14:val="000000">
                      <w14:alpha w14:val="100000"/>
                    </w14:srgbClr>
                  </w14:solidFill>
                </w14:textFill>
              </w:rPr>
              <w:t>|</w:t>
            </w:r>
            <w:r w:rsidR="004755B7" w:rsidRPr="00157ED3">
              <w:rPr>
                <w:rFonts w:hint="eastAsia"/>
                <w:color w:val="000000"/>
                <w:spacing w:val="-35"/>
                <w:w w:val="15"/>
                <w:shd w:val="solid" w:color="000000" w:fill="000000"/>
                <w:fitText w:val="30" w:id="-1280136695"/>
                <w14:textFill>
                  <w14:solidFill>
                    <w14:srgbClr w14:val="000000">
                      <w14:alpha w14:val="100000"/>
                    </w14:srgbClr>
                  </w14:solidFill>
                </w14:textFill>
              </w:rPr>
              <w:t xml:space="preserve">　</w:t>
            </w:r>
          </w:p>
        </w:tc>
        <w:tc>
          <w:tcPr>
            <w:tcW w:w="1056" w:type="pct"/>
            <w:shd w:val="clear" w:color="auto" w:fill="auto"/>
            <w:vAlign w:val="center"/>
          </w:tcPr>
          <w:p w14:paraId="2C864273" w14:textId="00DE717E" w:rsidR="00F96762" w:rsidRPr="00855EF5" w:rsidRDefault="00F96762" w:rsidP="00EB33AD">
            <w:pPr>
              <w:pStyle w:val="TableText0"/>
              <w:jc w:val="center"/>
            </w:pPr>
            <w:r w:rsidRPr="00855EF5">
              <w:t>$</w:t>
            </w:r>
            <w:r w:rsidR="004755B7" w:rsidRPr="00157ED3">
              <w:rPr>
                <w:rFonts w:hint="eastAsia"/>
                <w:color w:val="000000"/>
                <w:w w:val="15"/>
                <w:shd w:val="solid" w:color="000000" w:fill="000000"/>
                <w:fitText w:val="30" w:id="-1280136694"/>
                <w14:textFill>
                  <w14:solidFill>
                    <w14:srgbClr w14:val="000000">
                      <w14:alpha w14:val="100000"/>
                    </w14:srgbClr>
                  </w14:solidFill>
                </w14:textFill>
              </w:rPr>
              <w:t xml:space="preserve">　</w:t>
            </w:r>
            <w:r w:rsidR="004755B7" w:rsidRPr="00157ED3">
              <w:rPr>
                <w:color w:val="000000"/>
                <w:w w:val="15"/>
                <w:shd w:val="solid" w:color="000000" w:fill="000000"/>
                <w:fitText w:val="30" w:id="-1280136694"/>
                <w14:textFill>
                  <w14:solidFill>
                    <w14:srgbClr w14:val="000000">
                      <w14:alpha w14:val="100000"/>
                    </w14:srgbClr>
                  </w14:solidFill>
                </w14:textFill>
              </w:rPr>
              <w:t>|</w:t>
            </w:r>
            <w:r w:rsidR="004755B7" w:rsidRPr="00157ED3">
              <w:rPr>
                <w:rFonts w:hint="eastAsia"/>
                <w:color w:val="000000"/>
                <w:spacing w:val="-35"/>
                <w:w w:val="15"/>
                <w:shd w:val="solid" w:color="000000" w:fill="000000"/>
                <w:fitText w:val="30" w:id="-1280136694"/>
                <w14:textFill>
                  <w14:solidFill>
                    <w14:srgbClr w14:val="000000">
                      <w14:alpha w14:val="100000"/>
                    </w14:srgbClr>
                  </w14:solidFill>
                </w14:textFill>
              </w:rPr>
              <w:t xml:space="preserve">　</w:t>
            </w:r>
          </w:p>
        </w:tc>
        <w:tc>
          <w:tcPr>
            <w:tcW w:w="937" w:type="pct"/>
            <w:shd w:val="clear" w:color="auto" w:fill="auto"/>
          </w:tcPr>
          <w:p w14:paraId="35AFF3F8" w14:textId="70819D7B" w:rsidR="00F96762" w:rsidRPr="00855EF5" w:rsidRDefault="00F96762" w:rsidP="00EB33AD">
            <w:pPr>
              <w:pStyle w:val="TableText0"/>
              <w:jc w:val="center"/>
            </w:pPr>
            <w:r w:rsidRPr="00855EF5">
              <w:t>$</w:t>
            </w:r>
            <w:r w:rsidR="004755B7" w:rsidRPr="00157ED3">
              <w:rPr>
                <w:rFonts w:hint="eastAsia"/>
                <w:color w:val="000000"/>
                <w:w w:val="31"/>
                <w:shd w:val="solid" w:color="000000" w:fill="000000"/>
                <w:fitText w:val="140" w:id="-1280136693"/>
                <w14:textFill>
                  <w14:solidFill>
                    <w14:srgbClr w14:val="000000">
                      <w14:alpha w14:val="100000"/>
                    </w14:srgbClr>
                  </w14:solidFill>
                </w14:textFill>
              </w:rPr>
              <w:t xml:space="preserve">　</w:t>
            </w:r>
            <w:r w:rsidR="004755B7" w:rsidRPr="00157ED3">
              <w:rPr>
                <w:color w:val="000000"/>
                <w:w w:val="31"/>
                <w:shd w:val="solid" w:color="000000" w:fill="000000"/>
                <w:fitText w:val="140" w:id="-1280136693"/>
                <w14:textFill>
                  <w14:solidFill>
                    <w14:srgbClr w14:val="000000">
                      <w14:alpha w14:val="100000"/>
                    </w14:srgbClr>
                  </w14:solidFill>
                </w14:textFill>
              </w:rPr>
              <w:t>|</w:t>
            </w:r>
            <w:r w:rsidR="004755B7" w:rsidRPr="00157ED3">
              <w:rPr>
                <w:rFonts w:hint="eastAsia"/>
                <w:color w:val="000000"/>
                <w:w w:val="31"/>
                <w:shd w:val="solid" w:color="000000" w:fill="000000"/>
                <w:fitText w:val="140" w:id="-1280136693"/>
                <w14:textFill>
                  <w14:solidFill>
                    <w14:srgbClr w14:val="000000">
                      <w14:alpha w14:val="100000"/>
                    </w14:srgbClr>
                  </w14:solidFill>
                </w14:textFill>
              </w:rPr>
              <w:t xml:space="preserve">　</w:t>
            </w:r>
          </w:p>
        </w:tc>
      </w:tr>
      <w:tr w:rsidR="00F96762" w:rsidRPr="00855EF5" w14:paraId="12E7B56D" w14:textId="77777777" w:rsidTr="00EB33AD">
        <w:trPr>
          <w:cantSplit/>
        </w:trPr>
        <w:tc>
          <w:tcPr>
            <w:tcW w:w="1952" w:type="pct"/>
            <w:shd w:val="clear" w:color="auto" w:fill="auto"/>
          </w:tcPr>
          <w:p w14:paraId="41FBD446" w14:textId="77777777" w:rsidR="00F96762" w:rsidRPr="00855EF5" w:rsidRDefault="00F96762" w:rsidP="00EB33AD">
            <w:pPr>
              <w:pStyle w:val="TableText0"/>
            </w:pPr>
            <w:r w:rsidRPr="00855EF5">
              <w:t>Drug administration costs</w:t>
            </w:r>
          </w:p>
        </w:tc>
        <w:tc>
          <w:tcPr>
            <w:tcW w:w="1055" w:type="pct"/>
            <w:shd w:val="clear" w:color="auto" w:fill="auto"/>
            <w:vAlign w:val="center"/>
          </w:tcPr>
          <w:p w14:paraId="750B5EDD" w14:textId="77777777" w:rsidR="00F96762" w:rsidRPr="00855EF5" w:rsidRDefault="00F96762" w:rsidP="00EB33AD">
            <w:pPr>
              <w:pStyle w:val="TableText0"/>
              <w:jc w:val="center"/>
            </w:pPr>
            <w:r w:rsidRPr="00855EF5">
              <w:t>$39.10</w:t>
            </w:r>
          </w:p>
        </w:tc>
        <w:tc>
          <w:tcPr>
            <w:tcW w:w="1056" w:type="pct"/>
            <w:shd w:val="clear" w:color="auto" w:fill="auto"/>
            <w:vAlign w:val="center"/>
          </w:tcPr>
          <w:p w14:paraId="50433188" w14:textId="77777777" w:rsidR="00F96762" w:rsidRPr="00855EF5" w:rsidRDefault="00F96762" w:rsidP="00EB33AD">
            <w:pPr>
              <w:pStyle w:val="TableText0"/>
              <w:jc w:val="center"/>
            </w:pPr>
            <w:r w:rsidRPr="00855EF5">
              <w:t>$0</w:t>
            </w:r>
          </w:p>
        </w:tc>
        <w:tc>
          <w:tcPr>
            <w:tcW w:w="937" w:type="pct"/>
            <w:shd w:val="clear" w:color="auto" w:fill="auto"/>
          </w:tcPr>
          <w:p w14:paraId="3CD001F4" w14:textId="77777777" w:rsidR="00F96762" w:rsidRPr="00855EF5" w:rsidRDefault="00F96762" w:rsidP="00EB33AD">
            <w:pPr>
              <w:pStyle w:val="TableText0"/>
              <w:jc w:val="center"/>
            </w:pPr>
            <w:r w:rsidRPr="00855EF5">
              <w:t>$39.10</w:t>
            </w:r>
          </w:p>
        </w:tc>
      </w:tr>
      <w:tr w:rsidR="00F96762" w:rsidRPr="00855EF5" w14:paraId="3CC2F96D" w14:textId="77777777" w:rsidTr="00EB33AD">
        <w:trPr>
          <w:cantSplit/>
        </w:trPr>
        <w:tc>
          <w:tcPr>
            <w:tcW w:w="1952" w:type="pct"/>
            <w:shd w:val="clear" w:color="auto" w:fill="auto"/>
          </w:tcPr>
          <w:p w14:paraId="5E27CA85" w14:textId="77777777" w:rsidR="00F96762" w:rsidRPr="00855EF5" w:rsidRDefault="00F96762" w:rsidP="00EB33AD">
            <w:pPr>
              <w:pStyle w:val="TableText0"/>
            </w:pPr>
            <w:r w:rsidRPr="00855EF5">
              <w:t>Costs of symptom management</w:t>
            </w:r>
          </w:p>
        </w:tc>
        <w:tc>
          <w:tcPr>
            <w:tcW w:w="1055" w:type="pct"/>
            <w:shd w:val="clear" w:color="auto" w:fill="auto"/>
            <w:vAlign w:val="center"/>
          </w:tcPr>
          <w:p w14:paraId="37914BCD" w14:textId="1D0DB790" w:rsidR="00F96762" w:rsidRPr="00855EF5" w:rsidRDefault="00F96762" w:rsidP="00EB33AD">
            <w:pPr>
              <w:pStyle w:val="TableText0"/>
              <w:jc w:val="center"/>
            </w:pPr>
            <w:r w:rsidRPr="00855EF5">
              <w:t>$</w:t>
            </w:r>
            <w:r w:rsidR="004755B7" w:rsidRPr="00157ED3">
              <w:rPr>
                <w:rFonts w:hint="eastAsia"/>
                <w:color w:val="000000"/>
                <w:w w:val="15"/>
                <w:shd w:val="solid" w:color="000000" w:fill="000000"/>
                <w:fitText w:val="30" w:id="-1280136692"/>
                <w14:textFill>
                  <w14:solidFill>
                    <w14:srgbClr w14:val="000000">
                      <w14:alpha w14:val="100000"/>
                    </w14:srgbClr>
                  </w14:solidFill>
                </w14:textFill>
              </w:rPr>
              <w:t xml:space="preserve">　</w:t>
            </w:r>
            <w:r w:rsidR="004755B7" w:rsidRPr="00157ED3">
              <w:rPr>
                <w:color w:val="000000"/>
                <w:w w:val="15"/>
                <w:shd w:val="solid" w:color="000000" w:fill="000000"/>
                <w:fitText w:val="30" w:id="-1280136692"/>
                <w14:textFill>
                  <w14:solidFill>
                    <w14:srgbClr w14:val="000000">
                      <w14:alpha w14:val="100000"/>
                    </w14:srgbClr>
                  </w14:solidFill>
                </w14:textFill>
              </w:rPr>
              <w:t>|</w:t>
            </w:r>
            <w:r w:rsidR="004755B7" w:rsidRPr="00157ED3">
              <w:rPr>
                <w:rFonts w:hint="eastAsia"/>
                <w:color w:val="000000"/>
                <w:spacing w:val="-35"/>
                <w:w w:val="15"/>
                <w:shd w:val="solid" w:color="000000" w:fill="000000"/>
                <w:fitText w:val="30" w:id="-1280136692"/>
                <w14:textFill>
                  <w14:solidFill>
                    <w14:srgbClr w14:val="000000">
                      <w14:alpha w14:val="100000"/>
                    </w14:srgbClr>
                  </w14:solidFill>
                </w14:textFill>
              </w:rPr>
              <w:t xml:space="preserve">　</w:t>
            </w:r>
          </w:p>
        </w:tc>
        <w:tc>
          <w:tcPr>
            <w:tcW w:w="1056" w:type="pct"/>
            <w:shd w:val="clear" w:color="auto" w:fill="auto"/>
            <w:vAlign w:val="center"/>
          </w:tcPr>
          <w:p w14:paraId="5C15B822" w14:textId="15E599AE" w:rsidR="00F96762" w:rsidRPr="00855EF5" w:rsidRDefault="00F96762" w:rsidP="00EB33AD">
            <w:pPr>
              <w:pStyle w:val="TableText0"/>
              <w:jc w:val="center"/>
            </w:pPr>
            <w:r w:rsidRPr="00855EF5">
              <w:t>$</w:t>
            </w:r>
            <w:r w:rsidR="004755B7" w:rsidRPr="00157ED3">
              <w:rPr>
                <w:rFonts w:hint="eastAsia"/>
                <w:color w:val="000000"/>
                <w:w w:val="15"/>
                <w:shd w:val="solid" w:color="000000" w:fill="000000"/>
                <w:fitText w:val="30" w:id="-1280136691"/>
                <w14:textFill>
                  <w14:solidFill>
                    <w14:srgbClr w14:val="000000">
                      <w14:alpha w14:val="100000"/>
                    </w14:srgbClr>
                  </w14:solidFill>
                </w14:textFill>
              </w:rPr>
              <w:t xml:space="preserve">　</w:t>
            </w:r>
            <w:r w:rsidR="004755B7" w:rsidRPr="00157ED3">
              <w:rPr>
                <w:color w:val="000000"/>
                <w:w w:val="15"/>
                <w:shd w:val="solid" w:color="000000" w:fill="000000"/>
                <w:fitText w:val="30" w:id="-1280136691"/>
                <w14:textFill>
                  <w14:solidFill>
                    <w14:srgbClr w14:val="000000">
                      <w14:alpha w14:val="100000"/>
                    </w14:srgbClr>
                  </w14:solidFill>
                </w14:textFill>
              </w:rPr>
              <w:t>|</w:t>
            </w:r>
            <w:r w:rsidR="004755B7" w:rsidRPr="00157ED3">
              <w:rPr>
                <w:rFonts w:hint="eastAsia"/>
                <w:color w:val="000000"/>
                <w:spacing w:val="-35"/>
                <w:w w:val="15"/>
                <w:shd w:val="solid" w:color="000000" w:fill="000000"/>
                <w:fitText w:val="30" w:id="-1280136691"/>
                <w14:textFill>
                  <w14:solidFill>
                    <w14:srgbClr w14:val="000000">
                      <w14:alpha w14:val="100000"/>
                    </w14:srgbClr>
                  </w14:solidFill>
                </w14:textFill>
              </w:rPr>
              <w:t xml:space="preserve">　</w:t>
            </w:r>
          </w:p>
        </w:tc>
        <w:tc>
          <w:tcPr>
            <w:tcW w:w="937" w:type="pct"/>
            <w:shd w:val="clear" w:color="auto" w:fill="auto"/>
            <w:vAlign w:val="center"/>
          </w:tcPr>
          <w:p w14:paraId="4845E730" w14:textId="09544E3B" w:rsidR="00F96762" w:rsidRPr="00855EF5" w:rsidRDefault="00F96762" w:rsidP="00EB33AD">
            <w:pPr>
              <w:pStyle w:val="TableText0"/>
              <w:jc w:val="center"/>
            </w:pPr>
            <m:oMath>
              <m:r>
                <m:rPr>
                  <m:sty m:val="p"/>
                </m:rPr>
                <w:rPr>
                  <w:rFonts w:ascii="Cambria Math" w:hAnsi="Cambria Math"/>
                </w:rPr>
                <m:t>-</m:t>
              </m:r>
            </m:oMath>
            <w:r w:rsidRPr="00855EF5">
              <w:t>$</w:t>
            </w:r>
            <w:r w:rsidR="004755B7" w:rsidRPr="00157ED3">
              <w:rPr>
                <w:color w:val="000000"/>
                <w:spacing w:val="114"/>
                <w:shd w:val="solid" w:color="000000" w:fill="000000"/>
                <w:fitText w:val="200" w:id="-1280136690"/>
                <w14:textFill>
                  <w14:solidFill>
                    <w14:srgbClr w14:val="000000">
                      <w14:alpha w14:val="100000"/>
                    </w14:srgbClr>
                  </w14:solidFill>
                </w14:textFill>
              </w:rPr>
              <w:t>|</w:t>
            </w:r>
            <w:r w:rsidR="004755B7" w:rsidRPr="00157ED3">
              <w:rPr>
                <w:color w:val="000000"/>
                <w:shd w:val="solid" w:color="000000" w:fill="000000"/>
                <w:fitText w:val="200" w:id="-1280136690"/>
                <w14:textFill>
                  <w14:solidFill>
                    <w14:srgbClr w14:val="000000">
                      <w14:alpha w14:val="100000"/>
                    </w14:srgbClr>
                  </w14:solidFill>
                </w14:textFill>
              </w:rPr>
              <w:t>|</w:t>
            </w:r>
          </w:p>
        </w:tc>
      </w:tr>
      <w:tr w:rsidR="00F96762" w:rsidRPr="00855EF5" w14:paraId="16BF12CF" w14:textId="77777777" w:rsidTr="00EB33AD">
        <w:trPr>
          <w:cantSplit/>
        </w:trPr>
        <w:tc>
          <w:tcPr>
            <w:tcW w:w="1952" w:type="pct"/>
            <w:shd w:val="clear" w:color="auto" w:fill="auto"/>
          </w:tcPr>
          <w:p w14:paraId="1EE78E09" w14:textId="77777777" w:rsidR="00F96762" w:rsidRPr="00855EF5" w:rsidRDefault="00F96762" w:rsidP="00EB33AD">
            <w:pPr>
              <w:pStyle w:val="TableText0"/>
            </w:pPr>
            <w:r w:rsidRPr="00855EF5">
              <w:t>Costs of hospitalisation (excluding ICU care)</w:t>
            </w:r>
          </w:p>
        </w:tc>
        <w:tc>
          <w:tcPr>
            <w:tcW w:w="1055" w:type="pct"/>
            <w:shd w:val="clear" w:color="auto" w:fill="auto"/>
            <w:vAlign w:val="center"/>
          </w:tcPr>
          <w:p w14:paraId="3440B507" w14:textId="05662A1C" w:rsidR="00F96762" w:rsidRPr="00855EF5" w:rsidRDefault="00F96762" w:rsidP="00EB33AD">
            <w:pPr>
              <w:pStyle w:val="TableText0"/>
              <w:jc w:val="center"/>
            </w:pPr>
            <w:r w:rsidRPr="00855EF5">
              <w:t>$</w:t>
            </w:r>
            <w:r w:rsidR="004755B7" w:rsidRPr="00157ED3">
              <w:rPr>
                <w:rFonts w:hint="eastAsia"/>
                <w:color w:val="000000"/>
                <w:w w:val="15"/>
                <w:shd w:val="solid" w:color="000000" w:fill="000000"/>
                <w:fitText w:val="30" w:id="-1280136689"/>
                <w14:textFill>
                  <w14:solidFill>
                    <w14:srgbClr w14:val="000000">
                      <w14:alpha w14:val="100000"/>
                    </w14:srgbClr>
                  </w14:solidFill>
                </w14:textFill>
              </w:rPr>
              <w:t xml:space="preserve">　</w:t>
            </w:r>
            <w:r w:rsidR="004755B7" w:rsidRPr="00157ED3">
              <w:rPr>
                <w:color w:val="000000"/>
                <w:w w:val="15"/>
                <w:shd w:val="solid" w:color="000000" w:fill="000000"/>
                <w:fitText w:val="30" w:id="-1280136689"/>
                <w14:textFill>
                  <w14:solidFill>
                    <w14:srgbClr w14:val="000000">
                      <w14:alpha w14:val="100000"/>
                    </w14:srgbClr>
                  </w14:solidFill>
                </w14:textFill>
              </w:rPr>
              <w:t>|</w:t>
            </w:r>
            <w:r w:rsidR="004755B7" w:rsidRPr="00157ED3">
              <w:rPr>
                <w:rFonts w:hint="eastAsia"/>
                <w:color w:val="000000"/>
                <w:spacing w:val="-35"/>
                <w:w w:val="15"/>
                <w:shd w:val="solid" w:color="000000" w:fill="000000"/>
                <w:fitText w:val="30" w:id="-1280136689"/>
                <w14:textFill>
                  <w14:solidFill>
                    <w14:srgbClr w14:val="000000">
                      <w14:alpha w14:val="100000"/>
                    </w14:srgbClr>
                  </w14:solidFill>
                </w14:textFill>
              </w:rPr>
              <w:t xml:space="preserve">　</w:t>
            </w:r>
          </w:p>
        </w:tc>
        <w:tc>
          <w:tcPr>
            <w:tcW w:w="1056" w:type="pct"/>
            <w:shd w:val="clear" w:color="auto" w:fill="auto"/>
            <w:vAlign w:val="center"/>
          </w:tcPr>
          <w:p w14:paraId="316DAB81" w14:textId="217FF0D2" w:rsidR="00F96762" w:rsidRPr="00855EF5" w:rsidRDefault="00F96762" w:rsidP="00EB33AD">
            <w:pPr>
              <w:pStyle w:val="TableText0"/>
              <w:jc w:val="center"/>
            </w:pPr>
            <w:r w:rsidRPr="00855EF5">
              <w:t>$</w:t>
            </w:r>
            <w:r w:rsidR="004755B7" w:rsidRPr="00157ED3">
              <w:rPr>
                <w:rFonts w:hint="eastAsia"/>
                <w:color w:val="000000"/>
                <w:w w:val="15"/>
                <w:shd w:val="solid" w:color="000000" w:fill="000000"/>
                <w:fitText w:val="30" w:id="-1280136688"/>
                <w14:textFill>
                  <w14:solidFill>
                    <w14:srgbClr w14:val="000000">
                      <w14:alpha w14:val="100000"/>
                    </w14:srgbClr>
                  </w14:solidFill>
                </w14:textFill>
              </w:rPr>
              <w:t xml:space="preserve">　</w:t>
            </w:r>
            <w:r w:rsidR="004755B7" w:rsidRPr="00157ED3">
              <w:rPr>
                <w:color w:val="000000"/>
                <w:w w:val="15"/>
                <w:shd w:val="solid" w:color="000000" w:fill="000000"/>
                <w:fitText w:val="30" w:id="-1280136688"/>
                <w14:textFill>
                  <w14:solidFill>
                    <w14:srgbClr w14:val="000000">
                      <w14:alpha w14:val="100000"/>
                    </w14:srgbClr>
                  </w14:solidFill>
                </w14:textFill>
              </w:rPr>
              <w:t>|</w:t>
            </w:r>
            <w:r w:rsidR="004755B7" w:rsidRPr="00157ED3">
              <w:rPr>
                <w:rFonts w:hint="eastAsia"/>
                <w:color w:val="000000"/>
                <w:spacing w:val="-35"/>
                <w:w w:val="15"/>
                <w:shd w:val="solid" w:color="000000" w:fill="000000"/>
                <w:fitText w:val="30" w:id="-1280136688"/>
                <w14:textFill>
                  <w14:solidFill>
                    <w14:srgbClr w14:val="000000">
                      <w14:alpha w14:val="100000"/>
                    </w14:srgbClr>
                  </w14:solidFill>
                </w14:textFill>
              </w:rPr>
              <w:t xml:space="preserve">　</w:t>
            </w:r>
          </w:p>
        </w:tc>
        <w:tc>
          <w:tcPr>
            <w:tcW w:w="937" w:type="pct"/>
            <w:shd w:val="clear" w:color="auto" w:fill="auto"/>
            <w:vAlign w:val="center"/>
          </w:tcPr>
          <w:p w14:paraId="57594529" w14:textId="45B99E65" w:rsidR="00F96762" w:rsidRPr="00855EF5" w:rsidRDefault="00F96762" w:rsidP="00EB33AD">
            <w:pPr>
              <w:pStyle w:val="TableText0"/>
              <w:jc w:val="center"/>
            </w:pPr>
            <m:oMath>
              <m:r>
                <m:rPr>
                  <m:sty m:val="p"/>
                </m:rPr>
                <w:rPr>
                  <w:rFonts w:ascii="Cambria Math" w:hAnsi="Cambria Math"/>
                </w:rPr>
                <m:t>-</m:t>
              </m:r>
            </m:oMath>
            <w:r w:rsidRPr="00855EF5">
              <w:t>$</w:t>
            </w:r>
            <w:r w:rsidR="004755B7" w:rsidRPr="00157ED3">
              <w:rPr>
                <w:color w:val="000000"/>
                <w:spacing w:val="114"/>
                <w:shd w:val="solid" w:color="000000" w:fill="000000"/>
                <w:fitText w:val="200" w:id="-1280136704"/>
                <w14:textFill>
                  <w14:solidFill>
                    <w14:srgbClr w14:val="000000">
                      <w14:alpha w14:val="100000"/>
                    </w14:srgbClr>
                  </w14:solidFill>
                </w14:textFill>
              </w:rPr>
              <w:t>|</w:t>
            </w:r>
            <w:r w:rsidR="004755B7" w:rsidRPr="00157ED3">
              <w:rPr>
                <w:color w:val="000000"/>
                <w:shd w:val="solid" w:color="000000" w:fill="000000"/>
                <w:fitText w:val="200" w:id="-1280136704"/>
                <w14:textFill>
                  <w14:solidFill>
                    <w14:srgbClr w14:val="000000">
                      <w14:alpha w14:val="100000"/>
                    </w14:srgbClr>
                  </w14:solidFill>
                </w14:textFill>
              </w:rPr>
              <w:t>|</w:t>
            </w:r>
          </w:p>
        </w:tc>
      </w:tr>
      <w:tr w:rsidR="00F96762" w:rsidRPr="00855EF5" w14:paraId="41F44D37" w14:textId="77777777" w:rsidTr="00EB33AD">
        <w:trPr>
          <w:cantSplit/>
        </w:trPr>
        <w:tc>
          <w:tcPr>
            <w:tcW w:w="1952" w:type="pct"/>
            <w:shd w:val="clear" w:color="auto" w:fill="auto"/>
          </w:tcPr>
          <w:p w14:paraId="3B414BAB" w14:textId="77777777" w:rsidR="00F96762" w:rsidRPr="00855EF5" w:rsidRDefault="00F96762" w:rsidP="00EB33AD">
            <w:pPr>
              <w:pStyle w:val="TableText0"/>
            </w:pPr>
            <w:r w:rsidRPr="00855EF5">
              <w:t>Costs of ICU care</w:t>
            </w:r>
          </w:p>
        </w:tc>
        <w:tc>
          <w:tcPr>
            <w:tcW w:w="1055" w:type="pct"/>
            <w:shd w:val="clear" w:color="auto" w:fill="auto"/>
            <w:vAlign w:val="center"/>
          </w:tcPr>
          <w:p w14:paraId="5300A900" w14:textId="08808CB1" w:rsidR="00F96762" w:rsidRPr="00855EF5" w:rsidRDefault="00F96762" w:rsidP="00EB33AD">
            <w:pPr>
              <w:pStyle w:val="TableText0"/>
              <w:jc w:val="center"/>
            </w:pPr>
            <w:r w:rsidRPr="00855EF5">
              <w:t>$</w:t>
            </w:r>
            <w:r w:rsidR="004755B7" w:rsidRPr="00157ED3">
              <w:rPr>
                <w:rFonts w:hint="eastAsia"/>
                <w:color w:val="000000"/>
                <w:w w:val="15"/>
                <w:shd w:val="solid" w:color="000000" w:fill="000000"/>
                <w:fitText w:val="30" w:id="-1280136703"/>
                <w14:textFill>
                  <w14:solidFill>
                    <w14:srgbClr w14:val="000000">
                      <w14:alpha w14:val="100000"/>
                    </w14:srgbClr>
                  </w14:solidFill>
                </w14:textFill>
              </w:rPr>
              <w:t xml:space="preserve">　</w:t>
            </w:r>
            <w:r w:rsidR="004755B7" w:rsidRPr="00157ED3">
              <w:rPr>
                <w:color w:val="000000"/>
                <w:w w:val="15"/>
                <w:shd w:val="solid" w:color="000000" w:fill="000000"/>
                <w:fitText w:val="30" w:id="-1280136703"/>
                <w14:textFill>
                  <w14:solidFill>
                    <w14:srgbClr w14:val="000000">
                      <w14:alpha w14:val="100000"/>
                    </w14:srgbClr>
                  </w14:solidFill>
                </w14:textFill>
              </w:rPr>
              <w:t>|</w:t>
            </w:r>
            <w:r w:rsidR="004755B7" w:rsidRPr="00157ED3">
              <w:rPr>
                <w:rFonts w:hint="eastAsia"/>
                <w:color w:val="000000"/>
                <w:spacing w:val="-35"/>
                <w:w w:val="15"/>
                <w:shd w:val="solid" w:color="000000" w:fill="000000"/>
                <w:fitText w:val="30" w:id="-1280136703"/>
                <w14:textFill>
                  <w14:solidFill>
                    <w14:srgbClr w14:val="000000">
                      <w14:alpha w14:val="100000"/>
                    </w14:srgbClr>
                  </w14:solidFill>
                </w14:textFill>
              </w:rPr>
              <w:t xml:space="preserve">　</w:t>
            </w:r>
          </w:p>
        </w:tc>
        <w:tc>
          <w:tcPr>
            <w:tcW w:w="1056" w:type="pct"/>
            <w:shd w:val="clear" w:color="auto" w:fill="auto"/>
            <w:vAlign w:val="center"/>
          </w:tcPr>
          <w:p w14:paraId="5B604296" w14:textId="72BDA858" w:rsidR="00F96762" w:rsidRPr="00855EF5" w:rsidRDefault="00F96762" w:rsidP="00EB33AD">
            <w:pPr>
              <w:pStyle w:val="TableText0"/>
              <w:jc w:val="center"/>
            </w:pPr>
            <w:r w:rsidRPr="00855EF5">
              <w:t>$</w:t>
            </w:r>
            <w:r w:rsidR="004755B7" w:rsidRPr="00157ED3">
              <w:rPr>
                <w:rFonts w:hint="eastAsia"/>
                <w:color w:val="000000"/>
                <w:w w:val="15"/>
                <w:shd w:val="solid" w:color="000000" w:fill="000000"/>
                <w:fitText w:val="30" w:id="-1280136702"/>
                <w14:textFill>
                  <w14:solidFill>
                    <w14:srgbClr w14:val="000000">
                      <w14:alpha w14:val="100000"/>
                    </w14:srgbClr>
                  </w14:solidFill>
                </w14:textFill>
              </w:rPr>
              <w:t xml:space="preserve">　</w:t>
            </w:r>
            <w:r w:rsidR="004755B7" w:rsidRPr="00157ED3">
              <w:rPr>
                <w:color w:val="000000"/>
                <w:w w:val="15"/>
                <w:shd w:val="solid" w:color="000000" w:fill="000000"/>
                <w:fitText w:val="30" w:id="-1280136702"/>
                <w14:textFill>
                  <w14:solidFill>
                    <w14:srgbClr w14:val="000000">
                      <w14:alpha w14:val="100000"/>
                    </w14:srgbClr>
                  </w14:solidFill>
                </w14:textFill>
              </w:rPr>
              <w:t>|</w:t>
            </w:r>
            <w:r w:rsidR="004755B7" w:rsidRPr="00157ED3">
              <w:rPr>
                <w:rFonts w:hint="eastAsia"/>
                <w:color w:val="000000"/>
                <w:spacing w:val="-35"/>
                <w:w w:val="15"/>
                <w:shd w:val="solid" w:color="000000" w:fill="000000"/>
                <w:fitText w:val="30" w:id="-1280136702"/>
                <w14:textFill>
                  <w14:solidFill>
                    <w14:srgbClr w14:val="000000">
                      <w14:alpha w14:val="100000"/>
                    </w14:srgbClr>
                  </w14:solidFill>
                </w14:textFill>
              </w:rPr>
              <w:t xml:space="preserve">　</w:t>
            </w:r>
          </w:p>
        </w:tc>
        <w:tc>
          <w:tcPr>
            <w:tcW w:w="937" w:type="pct"/>
            <w:shd w:val="clear" w:color="auto" w:fill="auto"/>
            <w:vAlign w:val="center"/>
          </w:tcPr>
          <w:p w14:paraId="16E74950" w14:textId="14DC5BFE" w:rsidR="00F96762" w:rsidRPr="00855EF5" w:rsidRDefault="00F96762" w:rsidP="00EB33AD">
            <w:pPr>
              <w:pStyle w:val="TableText0"/>
              <w:jc w:val="center"/>
            </w:pPr>
            <m:oMath>
              <m:r>
                <m:rPr>
                  <m:sty m:val="p"/>
                </m:rPr>
                <w:rPr>
                  <w:rFonts w:ascii="Cambria Math" w:hAnsi="Cambria Math"/>
                </w:rPr>
                <m:t>-</m:t>
              </m:r>
            </m:oMath>
            <w:r w:rsidRPr="00855EF5">
              <w:t>$</w:t>
            </w:r>
            <w:r w:rsidR="004755B7" w:rsidRPr="00157ED3">
              <w:rPr>
                <w:color w:val="000000"/>
                <w:spacing w:val="114"/>
                <w:shd w:val="solid" w:color="000000" w:fill="000000"/>
                <w:fitText w:val="200" w:id="-1280136701"/>
                <w14:textFill>
                  <w14:solidFill>
                    <w14:srgbClr w14:val="000000">
                      <w14:alpha w14:val="100000"/>
                    </w14:srgbClr>
                  </w14:solidFill>
                </w14:textFill>
              </w:rPr>
              <w:t>|</w:t>
            </w:r>
            <w:r w:rsidR="004755B7" w:rsidRPr="00157ED3">
              <w:rPr>
                <w:color w:val="000000"/>
                <w:shd w:val="solid" w:color="000000" w:fill="000000"/>
                <w:fitText w:val="200" w:id="-1280136701"/>
                <w14:textFill>
                  <w14:solidFill>
                    <w14:srgbClr w14:val="000000">
                      <w14:alpha w14:val="100000"/>
                    </w14:srgbClr>
                  </w14:solidFill>
                </w14:textFill>
              </w:rPr>
              <w:t>|</w:t>
            </w:r>
          </w:p>
        </w:tc>
      </w:tr>
      <w:tr w:rsidR="00F96762" w:rsidRPr="00855EF5" w14:paraId="0FC97433" w14:textId="77777777" w:rsidTr="00EB33AD">
        <w:trPr>
          <w:cantSplit/>
        </w:trPr>
        <w:tc>
          <w:tcPr>
            <w:tcW w:w="1952" w:type="pct"/>
            <w:shd w:val="clear" w:color="auto" w:fill="auto"/>
          </w:tcPr>
          <w:p w14:paraId="544317F0" w14:textId="77777777" w:rsidR="00F96762" w:rsidRPr="00855EF5" w:rsidRDefault="00F96762" w:rsidP="00EB33AD">
            <w:pPr>
              <w:pStyle w:val="TableText0"/>
              <w:jc w:val="right"/>
              <w:rPr>
                <w:b/>
                <w:bCs w:val="0"/>
              </w:rPr>
            </w:pPr>
            <w:r w:rsidRPr="00855EF5">
              <w:rPr>
                <w:b/>
                <w:bCs w:val="0"/>
              </w:rPr>
              <w:t>Total costs</w:t>
            </w:r>
          </w:p>
        </w:tc>
        <w:tc>
          <w:tcPr>
            <w:tcW w:w="1055" w:type="pct"/>
            <w:shd w:val="clear" w:color="auto" w:fill="auto"/>
            <w:vAlign w:val="center"/>
          </w:tcPr>
          <w:p w14:paraId="2CFA2DAD" w14:textId="160DBC11" w:rsidR="00F96762" w:rsidRPr="00855EF5" w:rsidRDefault="00F96762" w:rsidP="00EB33AD">
            <w:pPr>
              <w:pStyle w:val="TableText0"/>
              <w:jc w:val="center"/>
            </w:pPr>
            <w:r w:rsidRPr="00855EF5">
              <w:t>$</w:t>
            </w:r>
            <w:r w:rsidR="004755B7" w:rsidRPr="00157ED3">
              <w:rPr>
                <w:rFonts w:hint="eastAsia"/>
                <w:color w:val="000000"/>
                <w:w w:val="15"/>
                <w:shd w:val="solid" w:color="000000" w:fill="000000"/>
                <w:fitText w:val="30" w:id="-1280136700"/>
                <w14:textFill>
                  <w14:solidFill>
                    <w14:srgbClr w14:val="000000">
                      <w14:alpha w14:val="100000"/>
                    </w14:srgbClr>
                  </w14:solidFill>
                </w14:textFill>
              </w:rPr>
              <w:t xml:space="preserve">　</w:t>
            </w:r>
            <w:r w:rsidR="004755B7" w:rsidRPr="00157ED3">
              <w:rPr>
                <w:color w:val="000000"/>
                <w:w w:val="15"/>
                <w:shd w:val="solid" w:color="000000" w:fill="000000"/>
                <w:fitText w:val="30" w:id="-1280136700"/>
                <w14:textFill>
                  <w14:solidFill>
                    <w14:srgbClr w14:val="000000">
                      <w14:alpha w14:val="100000"/>
                    </w14:srgbClr>
                  </w14:solidFill>
                </w14:textFill>
              </w:rPr>
              <w:t>|</w:t>
            </w:r>
            <w:r w:rsidR="004755B7" w:rsidRPr="00157ED3">
              <w:rPr>
                <w:rFonts w:hint="eastAsia"/>
                <w:color w:val="000000"/>
                <w:spacing w:val="-35"/>
                <w:w w:val="15"/>
                <w:shd w:val="solid" w:color="000000" w:fill="000000"/>
                <w:fitText w:val="30" w:id="-1280136700"/>
                <w14:textFill>
                  <w14:solidFill>
                    <w14:srgbClr w14:val="000000">
                      <w14:alpha w14:val="100000"/>
                    </w14:srgbClr>
                  </w14:solidFill>
                </w14:textFill>
              </w:rPr>
              <w:t xml:space="preserve">　</w:t>
            </w:r>
          </w:p>
        </w:tc>
        <w:tc>
          <w:tcPr>
            <w:tcW w:w="1056" w:type="pct"/>
            <w:shd w:val="clear" w:color="auto" w:fill="auto"/>
            <w:vAlign w:val="center"/>
          </w:tcPr>
          <w:p w14:paraId="14B7175F" w14:textId="03E362D7" w:rsidR="00F96762" w:rsidRPr="00855EF5" w:rsidRDefault="00F96762" w:rsidP="00EB33AD">
            <w:pPr>
              <w:pStyle w:val="TableText0"/>
              <w:jc w:val="center"/>
            </w:pPr>
            <w:r w:rsidRPr="00855EF5">
              <w:t>$</w:t>
            </w:r>
            <w:r w:rsidR="004755B7" w:rsidRPr="00157ED3">
              <w:rPr>
                <w:rFonts w:hint="eastAsia"/>
                <w:color w:val="000000"/>
                <w:w w:val="15"/>
                <w:shd w:val="solid" w:color="000000" w:fill="000000"/>
                <w:fitText w:val="30" w:id="-1280136699"/>
                <w14:textFill>
                  <w14:solidFill>
                    <w14:srgbClr w14:val="000000">
                      <w14:alpha w14:val="100000"/>
                    </w14:srgbClr>
                  </w14:solidFill>
                </w14:textFill>
              </w:rPr>
              <w:t xml:space="preserve">　</w:t>
            </w:r>
            <w:r w:rsidR="004755B7" w:rsidRPr="00157ED3">
              <w:rPr>
                <w:color w:val="000000"/>
                <w:w w:val="15"/>
                <w:shd w:val="solid" w:color="000000" w:fill="000000"/>
                <w:fitText w:val="30" w:id="-1280136699"/>
                <w14:textFill>
                  <w14:solidFill>
                    <w14:srgbClr w14:val="000000">
                      <w14:alpha w14:val="100000"/>
                    </w14:srgbClr>
                  </w14:solidFill>
                </w14:textFill>
              </w:rPr>
              <w:t>|</w:t>
            </w:r>
            <w:r w:rsidR="004755B7" w:rsidRPr="00157ED3">
              <w:rPr>
                <w:rFonts w:hint="eastAsia"/>
                <w:color w:val="000000"/>
                <w:spacing w:val="-35"/>
                <w:w w:val="15"/>
                <w:shd w:val="solid" w:color="000000" w:fill="000000"/>
                <w:fitText w:val="30" w:id="-1280136699"/>
                <w14:textFill>
                  <w14:solidFill>
                    <w14:srgbClr w14:val="000000">
                      <w14:alpha w14:val="100000"/>
                    </w14:srgbClr>
                  </w14:solidFill>
                </w14:textFill>
              </w:rPr>
              <w:t xml:space="preserve">　</w:t>
            </w:r>
          </w:p>
        </w:tc>
        <w:tc>
          <w:tcPr>
            <w:tcW w:w="937" w:type="pct"/>
            <w:shd w:val="clear" w:color="auto" w:fill="auto"/>
            <w:vAlign w:val="center"/>
          </w:tcPr>
          <w:p w14:paraId="4F0862F7" w14:textId="1B24C465" w:rsidR="00F96762" w:rsidRPr="00855EF5" w:rsidRDefault="00F96762" w:rsidP="00EB33AD">
            <w:pPr>
              <w:pStyle w:val="TableText0"/>
              <w:jc w:val="center"/>
            </w:pPr>
            <w:r w:rsidRPr="00855EF5">
              <w:t>$</w:t>
            </w:r>
            <w:r w:rsidR="004755B7" w:rsidRPr="00157ED3">
              <w:rPr>
                <w:rFonts w:hint="eastAsia"/>
                <w:color w:val="000000"/>
                <w:w w:val="31"/>
                <w:shd w:val="solid" w:color="000000" w:fill="000000"/>
                <w:fitText w:val="140" w:id="-1280136698"/>
                <w14:textFill>
                  <w14:solidFill>
                    <w14:srgbClr w14:val="000000">
                      <w14:alpha w14:val="100000"/>
                    </w14:srgbClr>
                  </w14:solidFill>
                </w14:textFill>
              </w:rPr>
              <w:t xml:space="preserve">　</w:t>
            </w:r>
            <w:r w:rsidR="004755B7" w:rsidRPr="00157ED3">
              <w:rPr>
                <w:color w:val="000000"/>
                <w:w w:val="31"/>
                <w:shd w:val="solid" w:color="000000" w:fill="000000"/>
                <w:fitText w:val="140" w:id="-1280136698"/>
                <w14:textFill>
                  <w14:solidFill>
                    <w14:srgbClr w14:val="000000">
                      <w14:alpha w14:val="100000"/>
                    </w14:srgbClr>
                  </w14:solidFill>
                </w14:textFill>
              </w:rPr>
              <w:t>|</w:t>
            </w:r>
            <w:r w:rsidR="004755B7" w:rsidRPr="00157ED3">
              <w:rPr>
                <w:rFonts w:hint="eastAsia"/>
                <w:color w:val="000000"/>
                <w:w w:val="31"/>
                <w:shd w:val="solid" w:color="000000" w:fill="000000"/>
                <w:fitText w:val="140" w:id="-1280136698"/>
                <w14:textFill>
                  <w14:solidFill>
                    <w14:srgbClr w14:val="000000">
                      <w14:alpha w14:val="100000"/>
                    </w14:srgbClr>
                  </w14:solidFill>
                </w14:textFill>
              </w:rPr>
              <w:t xml:space="preserve">　</w:t>
            </w:r>
          </w:p>
        </w:tc>
      </w:tr>
      <w:tr w:rsidR="00F96762" w:rsidRPr="00855EF5" w14:paraId="0BF11C62" w14:textId="77777777" w:rsidTr="00EB33AD">
        <w:trPr>
          <w:cantSplit/>
        </w:trPr>
        <w:tc>
          <w:tcPr>
            <w:tcW w:w="1952" w:type="pct"/>
            <w:shd w:val="clear" w:color="auto" w:fill="auto"/>
          </w:tcPr>
          <w:p w14:paraId="3E7B9388" w14:textId="77777777" w:rsidR="00F96762" w:rsidRPr="00855EF5" w:rsidRDefault="00F96762" w:rsidP="00EB33AD">
            <w:pPr>
              <w:pStyle w:val="TableText0"/>
            </w:pPr>
            <w:r w:rsidRPr="00855EF5">
              <w:t>QALYs (discounted)</w:t>
            </w:r>
          </w:p>
        </w:tc>
        <w:tc>
          <w:tcPr>
            <w:tcW w:w="1055" w:type="pct"/>
            <w:shd w:val="clear" w:color="auto" w:fill="auto"/>
            <w:vAlign w:val="center"/>
          </w:tcPr>
          <w:p w14:paraId="25D79B6E" w14:textId="77777777" w:rsidR="00F96762" w:rsidRPr="00855EF5" w:rsidRDefault="00F96762" w:rsidP="00EB33AD">
            <w:pPr>
              <w:pStyle w:val="TableText0"/>
              <w:jc w:val="center"/>
            </w:pPr>
            <w:r w:rsidRPr="00855EF5">
              <w:t>0.4344</w:t>
            </w:r>
          </w:p>
        </w:tc>
        <w:tc>
          <w:tcPr>
            <w:tcW w:w="1056" w:type="pct"/>
            <w:shd w:val="clear" w:color="auto" w:fill="auto"/>
            <w:vAlign w:val="center"/>
          </w:tcPr>
          <w:p w14:paraId="5B728853" w14:textId="77777777" w:rsidR="00F96762" w:rsidRPr="00855EF5" w:rsidRDefault="00F96762" w:rsidP="00EB33AD">
            <w:pPr>
              <w:pStyle w:val="TableText0"/>
              <w:jc w:val="center"/>
            </w:pPr>
            <w:r w:rsidRPr="00855EF5">
              <w:t>0.4220</w:t>
            </w:r>
          </w:p>
        </w:tc>
        <w:tc>
          <w:tcPr>
            <w:tcW w:w="937" w:type="pct"/>
            <w:shd w:val="clear" w:color="auto" w:fill="auto"/>
          </w:tcPr>
          <w:p w14:paraId="53E4CF4A" w14:textId="77777777" w:rsidR="00F96762" w:rsidRPr="00855EF5" w:rsidRDefault="00F96762" w:rsidP="00EB33AD">
            <w:pPr>
              <w:pStyle w:val="TableText0"/>
              <w:jc w:val="center"/>
            </w:pPr>
            <w:r w:rsidRPr="00855EF5">
              <w:t>0.0124</w:t>
            </w:r>
          </w:p>
        </w:tc>
      </w:tr>
      <w:tr w:rsidR="00F96762" w:rsidRPr="00855EF5" w14:paraId="500FC257" w14:textId="77777777" w:rsidTr="00EB33AD">
        <w:trPr>
          <w:cantSplit/>
        </w:trPr>
        <w:tc>
          <w:tcPr>
            <w:tcW w:w="4063" w:type="pct"/>
            <w:gridSpan w:val="3"/>
            <w:tcBorders>
              <w:right w:val="single" w:sz="4" w:space="0" w:color="000000"/>
            </w:tcBorders>
            <w:shd w:val="clear" w:color="auto" w:fill="auto"/>
          </w:tcPr>
          <w:p w14:paraId="3BDA8E8E" w14:textId="77777777" w:rsidR="00F96762" w:rsidRPr="00855EF5" w:rsidRDefault="00F96762" w:rsidP="00EB33AD">
            <w:pPr>
              <w:pStyle w:val="In-tableHeading"/>
              <w:jc w:val="right"/>
              <w:rPr>
                <w:lang w:val="en-AU"/>
              </w:rPr>
            </w:pPr>
            <w:r w:rsidRPr="00855EF5">
              <w:rPr>
                <w:lang w:val="en-AU"/>
              </w:rPr>
              <w:t>Incremental cost per discounted QALY gained</w:t>
            </w:r>
          </w:p>
        </w:tc>
        <w:tc>
          <w:tcPr>
            <w:tcW w:w="937" w:type="pct"/>
            <w:tcBorders>
              <w:left w:val="single" w:sz="4" w:space="0" w:color="000000"/>
            </w:tcBorders>
            <w:shd w:val="clear" w:color="auto" w:fill="auto"/>
          </w:tcPr>
          <w:p w14:paraId="4A9BA4D8" w14:textId="2429CEE7" w:rsidR="00F96762" w:rsidRPr="00083DC4" w:rsidRDefault="00F96762" w:rsidP="00EB33AD">
            <w:pPr>
              <w:keepNext/>
              <w:keepLines/>
              <w:jc w:val="center"/>
              <w:rPr>
                <w:rFonts w:ascii="Arial Narrow" w:eastAsia="Calibri" w:hAnsi="Arial Narrow"/>
                <w:bCs/>
                <w:sz w:val="20"/>
                <w:szCs w:val="20"/>
                <w:vertAlign w:val="superscript"/>
              </w:rPr>
            </w:pPr>
            <w:r w:rsidRPr="00855EF5">
              <w:rPr>
                <w:rFonts w:ascii="Arial Narrow" w:eastAsia="Calibri" w:hAnsi="Arial Narrow"/>
                <w:b/>
                <w:sz w:val="20"/>
                <w:szCs w:val="20"/>
              </w:rPr>
              <w:t>$</w:t>
            </w:r>
            <w:r w:rsidR="004755B7" w:rsidRPr="00157ED3">
              <w:rPr>
                <w:rFonts w:ascii="Arial Narrow" w:eastAsia="Calibri" w:hAnsi="Arial Narrow" w:hint="eastAsia"/>
                <w:b/>
                <w:color w:val="000000"/>
                <w:w w:val="29"/>
                <w:sz w:val="20"/>
                <w:szCs w:val="20"/>
                <w:shd w:val="solid" w:color="000000" w:fill="000000"/>
                <w:fitText w:val="130" w:id="-1280136697"/>
                <w14:textFill>
                  <w14:solidFill>
                    <w14:srgbClr w14:val="000000">
                      <w14:alpha w14:val="100000"/>
                    </w14:srgbClr>
                  </w14:solidFill>
                </w14:textFill>
              </w:rPr>
              <w:t xml:space="preserve">　</w:t>
            </w:r>
            <w:r w:rsidR="004755B7" w:rsidRPr="00157ED3">
              <w:rPr>
                <w:rFonts w:ascii="Arial Narrow" w:eastAsia="Calibri" w:hAnsi="Arial Narrow"/>
                <w:b/>
                <w:color w:val="000000"/>
                <w:w w:val="29"/>
                <w:sz w:val="20"/>
                <w:szCs w:val="20"/>
                <w:shd w:val="solid" w:color="000000" w:fill="000000"/>
                <w:fitText w:val="130" w:id="-1280136697"/>
                <w14:textFill>
                  <w14:solidFill>
                    <w14:srgbClr w14:val="000000">
                      <w14:alpha w14:val="100000"/>
                    </w14:srgbClr>
                  </w14:solidFill>
                </w14:textFill>
              </w:rPr>
              <w:t>|</w:t>
            </w:r>
            <w:r w:rsidR="004755B7" w:rsidRPr="00157ED3">
              <w:rPr>
                <w:rFonts w:ascii="Arial Narrow" w:eastAsia="Calibri" w:hAnsi="Arial Narrow" w:hint="eastAsia"/>
                <w:b/>
                <w:color w:val="000000"/>
                <w:w w:val="29"/>
                <w:sz w:val="20"/>
                <w:szCs w:val="20"/>
                <w:shd w:val="solid" w:color="000000" w:fill="000000"/>
                <w:fitText w:val="130" w:id="-1280136697"/>
                <w14:textFill>
                  <w14:solidFill>
                    <w14:srgbClr w14:val="000000">
                      <w14:alpha w14:val="100000"/>
                    </w14:srgbClr>
                  </w14:solidFill>
                </w14:textFill>
              </w:rPr>
              <w:t xml:space="preserve">　</w:t>
            </w:r>
            <w:r w:rsidR="00083DC4">
              <w:rPr>
                <w:rFonts w:ascii="Arial Narrow" w:eastAsia="Calibri" w:hAnsi="Arial Narrow"/>
                <w:bCs/>
                <w:sz w:val="20"/>
                <w:szCs w:val="20"/>
                <w:vertAlign w:val="superscript"/>
              </w:rPr>
              <w:t>1</w:t>
            </w:r>
          </w:p>
        </w:tc>
      </w:tr>
    </w:tbl>
    <w:p w14:paraId="06B30EDA" w14:textId="0E1AA7BF" w:rsidR="00892500" w:rsidRPr="00F300A6" w:rsidRDefault="00F96762" w:rsidP="00F96762">
      <w:pPr>
        <w:pStyle w:val="3-BodyText"/>
        <w:numPr>
          <w:ilvl w:val="0"/>
          <w:numId w:val="0"/>
        </w:numPr>
        <w:snapToGrid w:val="0"/>
        <w:spacing w:after="0"/>
        <w:rPr>
          <w:rFonts w:ascii="Arial Narrow" w:hAnsi="Arial Narrow"/>
          <w:sz w:val="18"/>
          <w:szCs w:val="18"/>
        </w:rPr>
      </w:pPr>
      <w:r w:rsidRPr="00F300A6">
        <w:rPr>
          <w:rFonts w:ascii="Arial Narrow" w:hAnsi="Arial Narrow"/>
          <w:sz w:val="18"/>
          <w:szCs w:val="18"/>
        </w:rPr>
        <w:t>Source: Table 10 of the commentary.</w:t>
      </w:r>
    </w:p>
    <w:p w14:paraId="21634CE2" w14:textId="77777777" w:rsidR="00083DC4" w:rsidRPr="00083DC4" w:rsidRDefault="00083DC4" w:rsidP="00083DC4">
      <w:pPr>
        <w:rPr>
          <w:rFonts w:ascii="Arial Narrow" w:hAnsi="Arial Narrow"/>
          <w:i/>
          <w:sz w:val="18"/>
          <w:szCs w:val="18"/>
        </w:rPr>
      </w:pPr>
      <w:r w:rsidRPr="00083DC4">
        <w:rPr>
          <w:rFonts w:ascii="Arial Narrow" w:hAnsi="Arial Narrow"/>
          <w:i/>
          <w:sz w:val="18"/>
          <w:szCs w:val="18"/>
        </w:rPr>
        <w:t xml:space="preserve">The redacted values correspond to the following ranges: </w:t>
      </w:r>
    </w:p>
    <w:p w14:paraId="5ED2DDD5" w14:textId="633FF5A4" w:rsidR="00083DC4" w:rsidRPr="00083DC4" w:rsidRDefault="00083DC4" w:rsidP="00083DC4">
      <w:pPr>
        <w:ind w:right="147"/>
        <w:rPr>
          <w:rFonts w:ascii="Arial Narrow" w:hAnsi="Arial Narrow"/>
          <w:i/>
          <w:color w:val="333333"/>
          <w:sz w:val="18"/>
          <w:szCs w:val="18"/>
        </w:rPr>
      </w:pPr>
      <w:r w:rsidRPr="00083DC4">
        <w:rPr>
          <w:rFonts w:ascii="Arial Narrow" w:hAnsi="Arial Narrow"/>
          <w:i/>
          <w:color w:val="333333"/>
          <w:sz w:val="18"/>
          <w:szCs w:val="18"/>
          <w:vertAlign w:val="superscript"/>
        </w:rPr>
        <w:lastRenderedPageBreak/>
        <w:t>1</w:t>
      </w:r>
      <w:r w:rsidRPr="00083DC4">
        <w:rPr>
          <w:rFonts w:ascii="Arial Narrow" w:hAnsi="Arial Narrow"/>
          <w:i/>
          <w:color w:val="333333"/>
          <w:sz w:val="18"/>
          <w:szCs w:val="18"/>
        </w:rPr>
        <w:t>$25,000 to &lt; $35,000</w:t>
      </w:r>
    </w:p>
    <w:p w14:paraId="2FA1F373" w14:textId="77777777" w:rsidR="00083DC4" w:rsidRPr="00855EF5" w:rsidRDefault="00083DC4" w:rsidP="00F96762">
      <w:pPr>
        <w:pStyle w:val="3-BodyText"/>
        <w:numPr>
          <w:ilvl w:val="0"/>
          <w:numId w:val="0"/>
        </w:numPr>
        <w:snapToGrid w:val="0"/>
        <w:spacing w:after="0"/>
        <w:rPr>
          <w:rFonts w:ascii="Arial Narrow" w:hAnsi="Arial Narrow"/>
          <w:sz w:val="20"/>
          <w:szCs w:val="20"/>
        </w:rPr>
      </w:pPr>
    </w:p>
    <w:p w14:paraId="2091462D" w14:textId="77777777" w:rsidR="00F96762" w:rsidRPr="00855EF5" w:rsidRDefault="00F96762" w:rsidP="00F96762">
      <w:pPr>
        <w:pStyle w:val="Caption"/>
      </w:pPr>
      <w:r w:rsidRPr="00855EF5">
        <w:t>Table 2</w:t>
      </w:r>
      <w:r>
        <w:t>4</w:t>
      </w:r>
      <w:r w:rsidRPr="00855EF5">
        <w:t>: Results of the respecified modelled base case analysis over 6 months applying the changes requested by the PBAC in September 2022</w:t>
      </w: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Caption w:val="Table 24: Results of the respecified modelled base case analysis over 6 months applying the changes requested by the PBAC in September 2022"/>
      </w:tblPr>
      <w:tblGrid>
        <w:gridCol w:w="3540"/>
        <w:gridCol w:w="1913"/>
        <w:gridCol w:w="1915"/>
        <w:gridCol w:w="1699"/>
      </w:tblGrid>
      <w:tr w:rsidR="00F96762" w:rsidRPr="00855EF5" w14:paraId="0EB86E3F" w14:textId="77777777" w:rsidTr="00EB33AD">
        <w:trPr>
          <w:cantSplit/>
          <w:tblHeader/>
        </w:trPr>
        <w:tc>
          <w:tcPr>
            <w:tcW w:w="1952" w:type="pct"/>
            <w:shd w:val="clear" w:color="auto" w:fill="FFFFFF"/>
          </w:tcPr>
          <w:p w14:paraId="003E001F" w14:textId="77777777" w:rsidR="00F96762" w:rsidRPr="00855EF5" w:rsidRDefault="00F96762" w:rsidP="00EB33AD">
            <w:pPr>
              <w:pStyle w:val="In-tableHeading"/>
              <w:jc w:val="center"/>
              <w:rPr>
                <w:lang w:val="en-AU"/>
              </w:rPr>
            </w:pPr>
          </w:p>
        </w:tc>
        <w:tc>
          <w:tcPr>
            <w:tcW w:w="1055" w:type="pct"/>
            <w:shd w:val="clear" w:color="auto" w:fill="FFFFFF"/>
            <w:vAlign w:val="center"/>
          </w:tcPr>
          <w:p w14:paraId="65975B95" w14:textId="77777777" w:rsidR="00F96762" w:rsidRPr="00855EF5" w:rsidRDefault="00F96762" w:rsidP="00EB33AD">
            <w:pPr>
              <w:pStyle w:val="In-tableHeading"/>
              <w:jc w:val="center"/>
              <w:rPr>
                <w:lang w:val="en-AU"/>
              </w:rPr>
            </w:pPr>
            <w:r w:rsidRPr="00855EF5">
              <w:rPr>
                <w:color w:val="000000" w:themeColor="text1"/>
                <w:lang w:val="en-AU"/>
              </w:rPr>
              <w:t>Tixagevimab and cilgavimab</w:t>
            </w:r>
          </w:p>
        </w:tc>
        <w:tc>
          <w:tcPr>
            <w:tcW w:w="1056" w:type="pct"/>
            <w:shd w:val="clear" w:color="auto" w:fill="FFFFFF"/>
            <w:vAlign w:val="center"/>
          </w:tcPr>
          <w:p w14:paraId="7AA1576A" w14:textId="77777777" w:rsidR="00F96762" w:rsidRPr="00855EF5" w:rsidRDefault="00F96762" w:rsidP="00EB33AD">
            <w:pPr>
              <w:pStyle w:val="In-tableHeading"/>
              <w:jc w:val="center"/>
              <w:rPr>
                <w:lang w:val="en-AU"/>
              </w:rPr>
            </w:pPr>
            <w:r w:rsidRPr="00855EF5">
              <w:rPr>
                <w:lang w:val="en-AU"/>
              </w:rPr>
              <w:t>Placebo</w:t>
            </w:r>
          </w:p>
        </w:tc>
        <w:tc>
          <w:tcPr>
            <w:tcW w:w="937" w:type="pct"/>
            <w:shd w:val="clear" w:color="auto" w:fill="FFFFFF"/>
            <w:vAlign w:val="center"/>
          </w:tcPr>
          <w:p w14:paraId="1AA38881" w14:textId="77777777" w:rsidR="00F96762" w:rsidRPr="00855EF5" w:rsidRDefault="00F96762" w:rsidP="00EB33AD">
            <w:pPr>
              <w:pStyle w:val="In-tableHeading"/>
              <w:jc w:val="center"/>
              <w:rPr>
                <w:lang w:val="en-AU"/>
              </w:rPr>
            </w:pPr>
            <w:r w:rsidRPr="00855EF5">
              <w:rPr>
                <w:lang w:val="en-AU"/>
              </w:rPr>
              <w:t>Increment</w:t>
            </w:r>
          </w:p>
        </w:tc>
      </w:tr>
      <w:tr w:rsidR="00F96762" w:rsidRPr="00855EF5" w14:paraId="778E882A" w14:textId="77777777" w:rsidTr="00EB33AD">
        <w:trPr>
          <w:cantSplit/>
        </w:trPr>
        <w:tc>
          <w:tcPr>
            <w:tcW w:w="1952" w:type="pct"/>
            <w:shd w:val="clear" w:color="auto" w:fill="auto"/>
          </w:tcPr>
          <w:p w14:paraId="546A0EE6" w14:textId="77777777" w:rsidR="00F96762" w:rsidRPr="00855EF5" w:rsidRDefault="00F96762" w:rsidP="00EB33AD">
            <w:pPr>
              <w:pStyle w:val="TableText0"/>
            </w:pPr>
            <w:r w:rsidRPr="00855EF5">
              <w:t>Drug costs</w:t>
            </w:r>
          </w:p>
        </w:tc>
        <w:tc>
          <w:tcPr>
            <w:tcW w:w="1055" w:type="pct"/>
            <w:shd w:val="clear" w:color="auto" w:fill="auto"/>
            <w:vAlign w:val="center"/>
          </w:tcPr>
          <w:p w14:paraId="03CA673F" w14:textId="769E15D1" w:rsidR="00F96762" w:rsidRPr="00855EF5" w:rsidRDefault="00F96762" w:rsidP="00EB33AD">
            <w:pPr>
              <w:pStyle w:val="TableText0"/>
              <w:jc w:val="center"/>
            </w:pPr>
            <w:r w:rsidRPr="00855EF5">
              <w:t>$</w:t>
            </w:r>
            <w:r w:rsidR="004755B7" w:rsidRPr="00157ED3">
              <w:rPr>
                <w:rFonts w:hint="eastAsia"/>
                <w:color w:val="000000"/>
                <w:w w:val="15"/>
                <w:shd w:val="solid" w:color="000000" w:fill="000000"/>
                <w:fitText w:val="30" w:id="-1280136696"/>
                <w14:textFill>
                  <w14:solidFill>
                    <w14:srgbClr w14:val="000000">
                      <w14:alpha w14:val="100000"/>
                    </w14:srgbClr>
                  </w14:solidFill>
                </w14:textFill>
              </w:rPr>
              <w:t xml:space="preserve">　</w:t>
            </w:r>
            <w:r w:rsidR="004755B7" w:rsidRPr="00157ED3">
              <w:rPr>
                <w:color w:val="000000"/>
                <w:w w:val="15"/>
                <w:shd w:val="solid" w:color="000000" w:fill="000000"/>
                <w:fitText w:val="30" w:id="-1280136696"/>
                <w14:textFill>
                  <w14:solidFill>
                    <w14:srgbClr w14:val="000000">
                      <w14:alpha w14:val="100000"/>
                    </w14:srgbClr>
                  </w14:solidFill>
                </w14:textFill>
              </w:rPr>
              <w:t>|</w:t>
            </w:r>
            <w:r w:rsidR="004755B7" w:rsidRPr="00157ED3">
              <w:rPr>
                <w:rFonts w:hint="eastAsia"/>
                <w:color w:val="000000"/>
                <w:spacing w:val="-35"/>
                <w:w w:val="15"/>
                <w:shd w:val="solid" w:color="000000" w:fill="000000"/>
                <w:fitText w:val="30" w:id="-1280136696"/>
                <w14:textFill>
                  <w14:solidFill>
                    <w14:srgbClr w14:val="000000">
                      <w14:alpha w14:val="100000"/>
                    </w14:srgbClr>
                  </w14:solidFill>
                </w14:textFill>
              </w:rPr>
              <w:t xml:space="preserve">　</w:t>
            </w:r>
          </w:p>
        </w:tc>
        <w:tc>
          <w:tcPr>
            <w:tcW w:w="1056" w:type="pct"/>
            <w:shd w:val="clear" w:color="auto" w:fill="auto"/>
            <w:vAlign w:val="center"/>
          </w:tcPr>
          <w:p w14:paraId="06E79FA0" w14:textId="773014A9" w:rsidR="00F96762" w:rsidRPr="00855EF5" w:rsidRDefault="00F96762" w:rsidP="00EB33AD">
            <w:pPr>
              <w:pStyle w:val="TableText0"/>
              <w:jc w:val="center"/>
            </w:pPr>
            <w:r w:rsidRPr="00855EF5">
              <w:t>$</w:t>
            </w:r>
            <w:r w:rsidR="004755B7" w:rsidRPr="00157ED3">
              <w:rPr>
                <w:rFonts w:hint="eastAsia"/>
                <w:color w:val="000000"/>
                <w:w w:val="15"/>
                <w:shd w:val="solid" w:color="000000" w:fill="000000"/>
                <w:fitText w:val="30" w:id="-1280136695"/>
                <w14:textFill>
                  <w14:solidFill>
                    <w14:srgbClr w14:val="000000">
                      <w14:alpha w14:val="100000"/>
                    </w14:srgbClr>
                  </w14:solidFill>
                </w14:textFill>
              </w:rPr>
              <w:t xml:space="preserve">　</w:t>
            </w:r>
            <w:r w:rsidR="004755B7" w:rsidRPr="00157ED3">
              <w:rPr>
                <w:color w:val="000000"/>
                <w:w w:val="15"/>
                <w:shd w:val="solid" w:color="000000" w:fill="000000"/>
                <w:fitText w:val="30" w:id="-1280136695"/>
                <w14:textFill>
                  <w14:solidFill>
                    <w14:srgbClr w14:val="000000">
                      <w14:alpha w14:val="100000"/>
                    </w14:srgbClr>
                  </w14:solidFill>
                </w14:textFill>
              </w:rPr>
              <w:t>|</w:t>
            </w:r>
            <w:r w:rsidR="004755B7" w:rsidRPr="00157ED3">
              <w:rPr>
                <w:rFonts w:hint="eastAsia"/>
                <w:color w:val="000000"/>
                <w:spacing w:val="-35"/>
                <w:w w:val="15"/>
                <w:shd w:val="solid" w:color="000000" w:fill="000000"/>
                <w:fitText w:val="30" w:id="-1280136695"/>
                <w14:textFill>
                  <w14:solidFill>
                    <w14:srgbClr w14:val="000000">
                      <w14:alpha w14:val="100000"/>
                    </w14:srgbClr>
                  </w14:solidFill>
                </w14:textFill>
              </w:rPr>
              <w:t xml:space="preserve">　</w:t>
            </w:r>
          </w:p>
        </w:tc>
        <w:tc>
          <w:tcPr>
            <w:tcW w:w="937" w:type="pct"/>
            <w:shd w:val="clear" w:color="auto" w:fill="auto"/>
          </w:tcPr>
          <w:p w14:paraId="7EE37864" w14:textId="3B14A9CD" w:rsidR="00F96762" w:rsidRPr="00855EF5" w:rsidRDefault="00F96762" w:rsidP="00EB33AD">
            <w:pPr>
              <w:pStyle w:val="TableText0"/>
              <w:jc w:val="center"/>
            </w:pPr>
            <w:r w:rsidRPr="00855EF5">
              <w:t>$</w:t>
            </w:r>
            <w:r w:rsidR="004755B7" w:rsidRPr="00157ED3">
              <w:rPr>
                <w:rFonts w:hint="eastAsia"/>
                <w:color w:val="000000"/>
                <w:w w:val="31"/>
                <w:shd w:val="solid" w:color="000000" w:fill="000000"/>
                <w:fitText w:val="140" w:id="-1280136694"/>
                <w14:textFill>
                  <w14:solidFill>
                    <w14:srgbClr w14:val="000000">
                      <w14:alpha w14:val="100000"/>
                    </w14:srgbClr>
                  </w14:solidFill>
                </w14:textFill>
              </w:rPr>
              <w:t xml:space="preserve">　</w:t>
            </w:r>
            <w:r w:rsidR="004755B7" w:rsidRPr="00157ED3">
              <w:rPr>
                <w:color w:val="000000"/>
                <w:w w:val="31"/>
                <w:shd w:val="solid" w:color="000000" w:fill="000000"/>
                <w:fitText w:val="140" w:id="-1280136694"/>
                <w14:textFill>
                  <w14:solidFill>
                    <w14:srgbClr w14:val="000000">
                      <w14:alpha w14:val="100000"/>
                    </w14:srgbClr>
                  </w14:solidFill>
                </w14:textFill>
              </w:rPr>
              <w:t>|</w:t>
            </w:r>
            <w:r w:rsidR="004755B7" w:rsidRPr="00157ED3">
              <w:rPr>
                <w:rFonts w:hint="eastAsia"/>
                <w:color w:val="000000"/>
                <w:w w:val="31"/>
                <w:shd w:val="solid" w:color="000000" w:fill="000000"/>
                <w:fitText w:val="140" w:id="-1280136694"/>
                <w14:textFill>
                  <w14:solidFill>
                    <w14:srgbClr w14:val="000000">
                      <w14:alpha w14:val="100000"/>
                    </w14:srgbClr>
                  </w14:solidFill>
                </w14:textFill>
              </w:rPr>
              <w:t xml:space="preserve">　</w:t>
            </w:r>
          </w:p>
        </w:tc>
      </w:tr>
      <w:tr w:rsidR="00F96762" w:rsidRPr="00855EF5" w14:paraId="2484364A" w14:textId="77777777" w:rsidTr="00EB33AD">
        <w:trPr>
          <w:cantSplit/>
        </w:trPr>
        <w:tc>
          <w:tcPr>
            <w:tcW w:w="1952" w:type="pct"/>
            <w:shd w:val="clear" w:color="auto" w:fill="auto"/>
          </w:tcPr>
          <w:p w14:paraId="320AAC91" w14:textId="77777777" w:rsidR="00F96762" w:rsidRPr="00855EF5" w:rsidRDefault="00F96762" w:rsidP="00EB33AD">
            <w:pPr>
              <w:pStyle w:val="TableText0"/>
            </w:pPr>
            <w:r w:rsidRPr="00855EF5">
              <w:t>Drug administration costs</w:t>
            </w:r>
          </w:p>
        </w:tc>
        <w:tc>
          <w:tcPr>
            <w:tcW w:w="1055" w:type="pct"/>
            <w:shd w:val="clear" w:color="auto" w:fill="auto"/>
            <w:vAlign w:val="center"/>
          </w:tcPr>
          <w:p w14:paraId="5E8B1383" w14:textId="77777777" w:rsidR="00F96762" w:rsidRPr="00855EF5" w:rsidRDefault="00F96762" w:rsidP="00EB33AD">
            <w:pPr>
              <w:pStyle w:val="TableText0"/>
              <w:jc w:val="center"/>
            </w:pPr>
            <w:r w:rsidRPr="00855EF5">
              <w:t>$39.10</w:t>
            </w:r>
          </w:p>
        </w:tc>
        <w:tc>
          <w:tcPr>
            <w:tcW w:w="1056" w:type="pct"/>
            <w:shd w:val="clear" w:color="auto" w:fill="auto"/>
            <w:vAlign w:val="center"/>
          </w:tcPr>
          <w:p w14:paraId="18786474" w14:textId="77777777" w:rsidR="00F96762" w:rsidRPr="00855EF5" w:rsidRDefault="00F96762" w:rsidP="00EB33AD">
            <w:pPr>
              <w:pStyle w:val="TableText0"/>
              <w:jc w:val="center"/>
            </w:pPr>
            <w:r w:rsidRPr="00855EF5">
              <w:t>$0</w:t>
            </w:r>
          </w:p>
        </w:tc>
        <w:tc>
          <w:tcPr>
            <w:tcW w:w="937" w:type="pct"/>
            <w:shd w:val="clear" w:color="auto" w:fill="auto"/>
          </w:tcPr>
          <w:p w14:paraId="5DB28424" w14:textId="77777777" w:rsidR="00F96762" w:rsidRPr="00855EF5" w:rsidRDefault="00F96762" w:rsidP="00EB33AD">
            <w:pPr>
              <w:pStyle w:val="TableText0"/>
              <w:jc w:val="center"/>
            </w:pPr>
            <w:r w:rsidRPr="00855EF5">
              <w:t>$39.10</w:t>
            </w:r>
          </w:p>
        </w:tc>
      </w:tr>
      <w:tr w:rsidR="00F96762" w:rsidRPr="00855EF5" w14:paraId="1E644323" w14:textId="77777777" w:rsidTr="00EB33AD">
        <w:trPr>
          <w:cantSplit/>
        </w:trPr>
        <w:tc>
          <w:tcPr>
            <w:tcW w:w="1952" w:type="pct"/>
            <w:shd w:val="clear" w:color="auto" w:fill="auto"/>
          </w:tcPr>
          <w:p w14:paraId="7F238D38" w14:textId="77777777" w:rsidR="00F96762" w:rsidRPr="00855EF5" w:rsidRDefault="00F96762" w:rsidP="00EB33AD">
            <w:pPr>
              <w:pStyle w:val="TableText0"/>
            </w:pPr>
            <w:r w:rsidRPr="00855EF5">
              <w:t>Costs of symptom management</w:t>
            </w:r>
          </w:p>
        </w:tc>
        <w:tc>
          <w:tcPr>
            <w:tcW w:w="1055" w:type="pct"/>
            <w:shd w:val="clear" w:color="auto" w:fill="auto"/>
            <w:vAlign w:val="center"/>
          </w:tcPr>
          <w:p w14:paraId="11EDA378" w14:textId="72A8C981" w:rsidR="00F96762" w:rsidRPr="00855EF5" w:rsidRDefault="00F96762" w:rsidP="00EB33AD">
            <w:pPr>
              <w:pStyle w:val="TableText0"/>
              <w:jc w:val="center"/>
            </w:pPr>
            <w:r w:rsidRPr="00855EF5">
              <w:t>$</w:t>
            </w:r>
            <w:r w:rsidR="004755B7" w:rsidRPr="00157ED3">
              <w:rPr>
                <w:rFonts w:hint="eastAsia"/>
                <w:color w:val="000000"/>
                <w:w w:val="15"/>
                <w:shd w:val="solid" w:color="000000" w:fill="000000"/>
                <w:fitText w:val="30" w:id="-1280136693"/>
                <w14:textFill>
                  <w14:solidFill>
                    <w14:srgbClr w14:val="000000">
                      <w14:alpha w14:val="100000"/>
                    </w14:srgbClr>
                  </w14:solidFill>
                </w14:textFill>
              </w:rPr>
              <w:t xml:space="preserve">　</w:t>
            </w:r>
            <w:r w:rsidR="004755B7" w:rsidRPr="00157ED3">
              <w:rPr>
                <w:color w:val="000000"/>
                <w:w w:val="15"/>
                <w:shd w:val="solid" w:color="000000" w:fill="000000"/>
                <w:fitText w:val="30" w:id="-1280136693"/>
                <w14:textFill>
                  <w14:solidFill>
                    <w14:srgbClr w14:val="000000">
                      <w14:alpha w14:val="100000"/>
                    </w14:srgbClr>
                  </w14:solidFill>
                </w14:textFill>
              </w:rPr>
              <w:t>|</w:t>
            </w:r>
            <w:r w:rsidR="004755B7" w:rsidRPr="00157ED3">
              <w:rPr>
                <w:rFonts w:hint="eastAsia"/>
                <w:color w:val="000000"/>
                <w:spacing w:val="-35"/>
                <w:w w:val="15"/>
                <w:shd w:val="solid" w:color="000000" w:fill="000000"/>
                <w:fitText w:val="30" w:id="-1280136693"/>
                <w14:textFill>
                  <w14:solidFill>
                    <w14:srgbClr w14:val="000000">
                      <w14:alpha w14:val="100000"/>
                    </w14:srgbClr>
                  </w14:solidFill>
                </w14:textFill>
              </w:rPr>
              <w:t xml:space="preserve">　</w:t>
            </w:r>
          </w:p>
        </w:tc>
        <w:tc>
          <w:tcPr>
            <w:tcW w:w="1056" w:type="pct"/>
            <w:shd w:val="clear" w:color="auto" w:fill="auto"/>
            <w:vAlign w:val="center"/>
          </w:tcPr>
          <w:p w14:paraId="64A4EB76" w14:textId="1C1863FA" w:rsidR="00F96762" w:rsidRPr="00855EF5" w:rsidRDefault="00083DC4" w:rsidP="00EB33AD">
            <w:pPr>
              <w:pStyle w:val="TableText0"/>
              <w:jc w:val="center"/>
            </w:pPr>
            <w:r>
              <w:t>$</w:t>
            </w:r>
            <w:r w:rsidR="004755B7" w:rsidRPr="00157ED3">
              <w:rPr>
                <w:rFonts w:hint="eastAsia"/>
                <w:color w:val="000000"/>
                <w:w w:val="15"/>
                <w:shd w:val="solid" w:color="000000" w:fill="000000"/>
                <w:fitText w:val="30" w:id="-1280136692"/>
                <w14:textFill>
                  <w14:solidFill>
                    <w14:srgbClr w14:val="000000">
                      <w14:alpha w14:val="100000"/>
                    </w14:srgbClr>
                  </w14:solidFill>
                </w14:textFill>
              </w:rPr>
              <w:t xml:space="preserve">　</w:t>
            </w:r>
            <w:r w:rsidR="004755B7" w:rsidRPr="00157ED3">
              <w:rPr>
                <w:color w:val="000000"/>
                <w:w w:val="15"/>
                <w:shd w:val="solid" w:color="000000" w:fill="000000"/>
                <w:fitText w:val="30" w:id="-1280136692"/>
                <w14:textFill>
                  <w14:solidFill>
                    <w14:srgbClr w14:val="000000">
                      <w14:alpha w14:val="100000"/>
                    </w14:srgbClr>
                  </w14:solidFill>
                </w14:textFill>
              </w:rPr>
              <w:t>|</w:t>
            </w:r>
            <w:r w:rsidR="004755B7" w:rsidRPr="00157ED3">
              <w:rPr>
                <w:rFonts w:hint="eastAsia"/>
                <w:color w:val="000000"/>
                <w:spacing w:val="-35"/>
                <w:w w:val="15"/>
                <w:shd w:val="solid" w:color="000000" w:fill="000000"/>
                <w:fitText w:val="30" w:id="-1280136692"/>
                <w14:textFill>
                  <w14:solidFill>
                    <w14:srgbClr w14:val="000000">
                      <w14:alpha w14:val="100000"/>
                    </w14:srgbClr>
                  </w14:solidFill>
                </w14:textFill>
              </w:rPr>
              <w:t xml:space="preserve">　</w:t>
            </w:r>
          </w:p>
        </w:tc>
        <w:tc>
          <w:tcPr>
            <w:tcW w:w="937" w:type="pct"/>
            <w:shd w:val="clear" w:color="auto" w:fill="auto"/>
            <w:vAlign w:val="center"/>
          </w:tcPr>
          <w:p w14:paraId="25EA08E7" w14:textId="4D95579B" w:rsidR="00F96762" w:rsidRPr="00855EF5" w:rsidRDefault="00F96762" w:rsidP="00EB33AD">
            <w:pPr>
              <w:pStyle w:val="TableText0"/>
              <w:jc w:val="center"/>
            </w:pPr>
            <m:oMath>
              <m:r>
                <m:rPr>
                  <m:sty m:val="p"/>
                </m:rPr>
                <w:rPr>
                  <w:rFonts w:ascii="Cambria Math" w:hAnsi="Cambria Math"/>
                </w:rPr>
                <m:t>-</m:t>
              </m:r>
            </m:oMath>
            <w:r w:rsidRPr="00855EF5">
              <w:t>$</w:t>
            </w:r>
            <w:r w:rsidR="004755B7" w:rsidRPr="00157ED3">
              <w:rPr>
                <w:color w:val="000000"/>
                <w:spacing w:val="114"/>
                <w:shd w:val="solid" w:color="000000" w:fill="000000"/>
                <w:fitText w:val="200" w:id="-1280136691"/>
                <w14:textFill>
                  <w14:solidFill>
                    <w14:srgbClr w14:val="000000">
                      <w14:alpha w14:val="100000"/>
                    </w14:srgbClr>
                  </w14:solidFill>
                </w14:textFill>
              </w:rPr>
              <w:t>|</w:t>
            </w:r>
            <w:r w:rsidR="004755B7" w:rsidRPr="00157ED3">
              <w:rPr>
                <w:color w:val="000000"/>
                <w:shd w:val="solid" w:color="000000" w:fill="000000"/>
                <w:fitText w:val="200" w:id="-1280136691"/>
                <w14:textFill>
                  <w14:solidFill>
                    <w14:srgbClr w14:val="000000">
                      <w14:alpha w14:val="100000"/>
                    </w14:srgbClr>
                  </w14:solidFill>
                </w14:textFill>
              </w:rPr>
              <w:t>|</w:t>
            </w:r>
          </w:p>
        </w:tc>
      </w:tr>
      <w:tr w:rsidR="00F96762" w:rsidRPr="00855EF5" w14:paraId="05E4FD2A" w14:textId="77777777" w:rsidTr="00EB33AD">
        <w:trPr>
          <w:cantSplit/>
        </w:trPr>
        <w:tc>
          <w:tcPr>
            <w:tcW w:w="1952" w:type="pct"/>
            <w:shd w:val="clear" w:color="auto" w:fill="auto"/>
          </w:tcPr>
          <w:p w14:paraId="0770588E" w14:textId="77777777" w:rsidR="00F96762" w:rsidRPr="00855EF5" w:rsidRDefault="00F96762" w:rsidP="00EB33AD">
            <w:pPr>
              <w:pStyle w:val="TableText0"/>
            </w:pPr>
            <w:r w:rsidRPr="00855EF5">
              <w:t>Costs of hospitalisation (excluding ICU care)</w:t>
            </w:r>
          </w:p>
        </w:tc>
        <w:tc>
          <w:tcPr>
            <w:tcW w:w="1055" w:type="pct"/>
            <w:shd w:val="clear" w:color="auto" w:fill="auto"/>
            <w:vAlign w:val="center"/>
          </w:tcPr>
          <w:p w14:paraId="7C01F3F5" w14:textId="43E52191" w:rsidR="00F96762" w:rsidRPr="00855EF5" w:rsidRDefault="00F96762" w:rsidP="00EB33AD">
            <w:pPr>
              <w:pStyle w:val="TableText0"/>
              <w:jc w:val="center"/>
            </w:pPr>
            <w:r w:rsidRPr="00855EF5">
              <w:t>$</w:t>
            </w:r>
            <w:r w:rsidR="004755B7" w:rsidRPr="00157ED3">
              <w:rPr>
                <w:rFonts w:hint="eastAsia"/>
                <w:color w:val="000000"/>
                <w:w w:val="15"/>
                <w:shd w:val="solid" w:color="000000" w:fill="000000"/>
                <w:fitText w:val="30" w:id="-1280136690"/>
                <w14:textFill>
                  <w14:solidFill>
                    <w14:srgbClr w14:val="000000">
                      <w14:alpha w14:val="100000"/>
                    </w14:srgbClr>
                  </w14:solidFill>
                </w14:textFill>
              </w:rPr>
              <w:t xml:space="preserve">　</w:t>
            </w:r>
            <w:r w:rsidR="004755B7" w:rsidRPr="00157ED3">
              <w:rPr>
                <w:color w:val="000000"/>
                <w:w w:val="15"/>
                <w:shd w:val="solid" w:color="000000" w:fill="000000"/>
                <w:fitText w:val="30" w:id="-1280136690"/>
                <w14:textFill>
                  <w14:solidFill>
                    <w14:srgbClr w14:val="000000">
                      <w14:alpha w14:val="100000"/>
                    </w14:srgbClr>
                  </w14:solidFill>
                </w14:textFill>
              </w:rPr>
              <w:t>|</w:t>
            </w:r>
            <w:r w:rsidR="004755B7" w:rsidRPr="00157ED3">
              <w:rPr>
                <w:rFonts w:hint="eastAsia"/>
                <w:color w:val="000000"/>
                <w:spacing w:val="-35"/>
                <w:w w:val="15"/>
                <w:shd w:val="solid" w:color="000000" w:fill="000000"/>
                <w:fitText w:val="30" w:id="-1280136690"/>
                <w14:textFill>
                  <w14:solidFill>
                    <w14:srgbClr w14:val="000000">
                      <w14:alpha w14:val="100000"/>
                    </w14:srgbClr>
                  </w14:solidFill>
                </w14:textFill>
              </w:rPr>
              <w:t xml:space="preserve">　</w:t>
            </w:r>
          </w:p>
        </w:tc>
        <w:tc>
          <w:tcPr>
            <w:tcW w:w="1056" w:type="pct"/>
            <w:shd w:val="clear" w:color="auto" w:fill="auto"/>
            <w:vAlign w:val="center"/>
          </w:tcPr>
          <w:p w14:paraId="71F8FCEE" w14:textId="33C12A8B" w:rsidR="00F96762" w:rsidRPr="00855EF5" w:rsidRDefault="00F96762" w:rsidP="00EB33AD">
            <w:pPr>
              <w:pStyle w:val="TableText0"/>
              <w:jc w:val="center"/>
            </w:pPr>
            <w:r w:rsidRPr="00855EF5">
              <w:t>$</w:t>
            </w:r>
            <w:r w:rsidR="004755B7" w:rsidRPr="00157ED3">
              <w:rPr>
                <w:rFonts w:hint="eastAsia"/>
                <w:color w:val="000000"/>
                <w:w w:val="15"/>
                <w:shd w:val="solid" w:color="000000" w:fill="000000"/>
                <w:fitText w:val="30" w:id="-1280136689"/>
                <w14:textFill>
                  <w14:solidFill>
                    <w14:srgbClr w14:val="000000">
                      <w14:alpha w14:val="100000"/>
                    </w14:srgbClr>
                  </w14:solidFill>
                </w14:textFill>
              </w:rPr>
              <w:t xml:space="preserve">　</w:t>
            </w:r>
            <w:r w:rsidR="004755B7" w:rsidRPr="00157ED3">
              <w:rPr>
                <w:color w:val="000000"/>
                <w:w w:val="15"/>
                <w:shd w:val="solid" w:color="000000" w:fill="000000"/>
                <w:fitText w:val="30" w:id="-1280136689"/>
                <w14:textFill>
                  <w14:solidFill>
                    <w14:srgbClr w14:val="000000">
                      <w14:alpha w14:val="100000"/>
                    </w14:srgbClr>
                  </w14:solidFill>
                </w14:textFill>
              </w:rPr>
              <w:t>|</w:t>
            </w:r>
            <w:r w:rsidR="004755B7" w:rsidRPr="00157ED3">
              <w:rPr>
                <w:rFonts w:hint="eastAsia"/>
                <w:color w:val="000000"/>
                <w:spacing w:val="-35"/>
                <w:w w:val="15"/>
                <w:shd w:val="solid" w:color="000000" w:fill="000000"/>
                <w:fitText w:val="30" w:id="-1280136689"/>
                <w14:textFill>
                  <w14:solidFill>
                    <w14:srgbClr w14:val="000000">
                      <w14:alpha w14:val="100000"/>
                    </w14:srgbClr>
                  </w14:solidFill>
                </w14:textFill>
              </w:rPr>
              <w:t xml:space="preserve">　</w:t>
            </w:r>
          </w:p>
        </w:tc>
        <w:tc>
          <w:tcPr>
            <w:tcW w:w="937" w:type="pct"/>
            <w:shd w:val="clear" w:color="auto" w:fill="auto"/>
            <w:vAlign w:val="center"/>
          </w:tcPr>
          <w:p w14:paraId="780C2B45" w14:textId="69C754B7" w:rsidR="00F96762" w:rsidRPr="00855EF5" w:rsidRDefault="00F96762" w:rsidP="00EB33AD">
            <w:pPr>
              <w:pStyle w:val="TableText0"/>
              <w:jc w:val="center"/>
            </w:pPr>
            <m:oMath>
              <m:r>
                <m:rPr>
                  <m:sty m:val="p"/>
                </m:rPr>
                <w:rPr>
                  <w:rFonts w:ascii="Cambria Math" w:hAnsi="Cambria Math"/>
                </w:rPr>
                <m:t>-</m:t>
              </m:r>
            </m:oMath>
            <w:r w:rsidRPr="00855EF5">
              <w:t>$</w:t>
            </w:r>
            <w:r w:rsidR="004755B7" w:rsidRPr="00157ED3">
              <w:rPr>
                <w:color w:val="000000"/>
                <w:spacing w:val="114"/>
                <w:shd w:val="solid" w:color="000000" w:fill="000000"/>
                <w:fitText w:val="200" w:id="-1280136688"/>
                <w14:textFill>
                  <w14:solidFill>
                    <w14:srgbClr w14:val="000000">
                      <w14:alpha w14:val="100000"/>
                    </w14:srgbClr>
                  </w14:solidFill>
                </w14:textFill>
              </w:rPr>
              <w:t>|</w:t>
            </w:r>
            <w:r w:rsidR="004755B7" w:rsidRPr="00157ED3">
              <w:rPr>
                <w:color w:val="000000"/>
                <w:shd w:val="solid" w:color="000000" w:fill="000000"/>
                <w:fitText w:val="200" w:id="-1280136688"/>
                <w14:textFill>
                  <w14:solidFill>
                    <w14:srgbClr w14:val="000000">
                      <w14:alpha w14:val="100000"/>
                    </w14:srgbClr>
                  </w14:solidFill>
                </w14:textFill>
              </w:rPr>
              <w:t>|</w:t>
            </w:r>
          </w:p>
        </w:tc>
      </w:tr>
      <w:tr w:rsidR="00F96762" w:rsidRPr="00855EF5" w14:paraId="6A7581A5" w14:textId="77777777" w:rsidTr="00EB33AD">
        <w:trPr>
          <w:cantSplit/>
        </w:trPr>
        <w:tc>
          <w:tcPr>
            <w:tcW w:w="1952" w:type="pct"/>
            <w:shd w:val="clear" w:color="auto" w:fill="auto"/>
          </w:tcPr>
          <w:p w14:paraId="3CD0FAEA" w14:textId="77777777" w:rsidR="00F96762" w:rsidRPr="00855EF5" w:rsidRDefault="00F96762" w:rsidP="00EB33AD">
            <w:pPr>
              <w:pStyle w:val="TableText0"/>
            </w:pPr>
            <w:r w:rsidRPr="00855EF5">
              <w:t>Costs of ICU care</w:t>
            </w:r>
          </w:p>
        </w:tc>
        <w:tc>
          <w:tcPr>
            <w:tcW w:w="1055" w:type="pct"/>
            <w:shd w:val="clear" w:color="auto" w:fill="auto"/>
            <w:vAlign w:val="center"/>
          </w:tcPr>
          <w:p w14:paraId="3836C7DD" w14:textId="0A773FD7" w:rsidR="00F96762" w:rsidRPr="00855EF5" w:rsidRDefault="00F96762" w:rsidP="00EB33AD">
            <w:pPr>
              <w:pStyle w:val="TableText0"/>
              <w:jc w:val="center"/>
            </w:pPr>
            <w:r w:rsidRPr="00855EF5">
              <w:t>$</w:t>
            </w:r>
            <w:r w:rsidR="004755B7" w:rsidRPr="00157ED3">
              <w:rPr>
                <w:rFonts w:hint="eastAsia"/>
                <w:color w:val="000000"/>
                <w:w w:val="15"/>
                <w:shd w:val="solid" w:color="000000" w:fill="000000"/>
                <w:fitText w:val="30" w:id="-1280136704"/>
                <w14:textFill>
                  <w14:solidFill>
                    <w14:srgbClr w14:val="000000">
                      <w14:alpha w14:val="100000"/>
                    </w14:srgbClr>
                  </w14:solidFill>
                </w14:textFill>
              </w:rPr>
              <w:t xml:space="preserve">　</w:t>
            </w:r>
            <w:r w:rsidR="004755B7" w:rsidRPr="00157ED3">
              <w:rPr>
                <w:color w:val="000000"/>
                <w:w w:val="15"/>
                <w:shd w:val="solid" w:color="000000" w:fill="000000"/>
                <w:fitText w:val="30" w:id="-1280136704"/>
                <w14:textFill>
                  <w14:solidFill>
                    <w14:srgbClr w14:val="000000">
                      <w14:alpha w14:val="100000"/>
                    </w14:srgbClr>
                  </w14:solidFill>
                </w14:textFill>
              </w:rPr>
              <w:t>|</w:t>
            </w:r>
            <w:r w:rsidR="004755B7" w:rsidRPr="00157ED3">
              <w:rPr>
                <w:rFonts w:hint="eastAsia"/>
                <w:color w:val="000000"/>
                <w:spacing w:val="-35"/>
                <w:w w:val="15"/>
                <w:shd w:val="solid" w:color="000000" w:fill="000000"/>
                <w:fitText w:val="30" w:id="-1280136704"/>
                <w14:textFill>
                  <w14:solidFill>
                    <w14:srgbClr w14:val="000000">
                      <w14:alpha w14:val="100000"/>
                    </w14:srgbClr>
                  </w14:solidFill>
                </w14:textFill>
              </w:rPr>
              <w:t xml:space="preserve">　</w:t>
            </w:r>
          </w:p>
        </w:tc>
        <w:tc>
          <w:tcPr>
            <w:tcW w:w="1056" w:type="pct"/>
            <w:shd w:val="clear" w:color="auto" w:fill="auto"/>
            <w:vAlign w:val="center"/>
          </w:tcPr>
          <w:p w14:paraId="289E2F7F" w14:textId="31095EF2" w:rsidR="00F96762" w:rsidRPr="00855EF5" w:rsidRDefault="00F96762" w:rsidP="00EB33AD">
            <w:pPr>
              <w:pStyle w:val="TableText0"/>
              <w:jc w:val="center"/>
            </w:pPr>
            <w:r w:rsidRPr="00855EF5">
              <w:t>$</w:t>
            </w:r>
            <w:r w:rsidR="004755B7" w:rsidRPr="00157ED3">
              <w:rPr>
                <w:rFonts w:hint="eastAsia"/>
                <w:color w:val="000000"/>
                <w:w w:val="15"/>
                <w:shd w:val="solid" w:color="000000" w:fill="000000"/>
                <w:fitText w:val="30" w:id="-1280136703"/>
                <w14:textFill>
                  <w14:solidFill>
                    <w14:srgbClr w14:val="000000">
                      <w14:alpha w14:val="100000"/>
                    </w14:srgbClr>
                  </w14:solidFill>
                </w14:textFill>
              </w:rPr>
              <w:t xml:space="preserve">　</w:t>
            </w:r>
            <w:r w:rsidR="004755B7" w:rsidRPr="00157ED3">
              <w:rPr>
                <w:color w:val="000000"/>
                <w:w w:val="15"/>
                <w:shd w:val="solid" w:color="000000" w:fill="000000"/>
                <w:fitText w:val="30" w:id="-1280136703"/>
                <w14:textFill>
                  <w14:solidFill>
                    <w14:srgbClr w14:val="000000">
                      <w14:alpha w14:val="100000"/>
                    </w14:srgbClr>
                  </w14:solidFill>
                </w14:textFill>
              </w:rPr>
              <w:t>|</w:t>
            </w:r>
            <w:r w:rsidR="004755B7" w:rsidRPr="00157ED3">
              <w:rPr>
                <w:rFonts w:hint="eastAsia"/>
                <w:color w:val="000000"/>
                <w:spacing w:val="-35"/>
                <w:w w:val="15"/>
                <w:shd w:val="solid" w:color="000000" w:fill="000000"/>
                <w:fitText w:val="30" w:id="-1280136703"/>
                <w14:textFill>
                  <w14:solidFill>
                    <w14:srgbClr w14:val="000000">
                      <w14:alpha w14:val="100000"/>
                    </w14:srgbClr>
                  </w14:solidFill>
                </w14:textFill>
              </w:rPr>
              <w:t xml:space="preserve">　</w:t>
            </w:r>
          </w:p>
        </w:tc>
        <w:tc>
          <w:tcPr>
            <w:tcW w:w="937" w:type="pct"/>
            <w:shd w:val="clear" w:color="auto" w:fill="auto"/>
            <w:vAlign w:val="center"/>
          </w:tcPr>
          <w:p w14:paraId="5790D62E" w14:textId="4BD86B25" w:rsidR="00F96762" w:rsidRPr="00855EF5" w:rsidRDefault="00F96762" w:rsidP="00EB33AD">
            <w:pPr>
              <w:pStyle w:val="TableText0"/>
              <w:jc w:val="center"/>
            </w:pPr>
            <m:oMath>
              <m:r>
                <m:rPr>
                  <m:sty m:val="p"/>
                </m:rPr>
                <w:rPr>
                  <w:rFonts w:ascii="Cambria Math" w:hAnsi="Cambria Math"/>
                </w:rPr>
                <m:t>-</m:t>
              </m:r>
            </m:oMath>
            <w:r w:rsidRPr="00855EF5">
              <w:t>$</w:t>
            </w:r>
            <w:r w:rsidR="004755B7" w:rsidRPr="00157ED3">
              <w:rPr>
                <w:color w:val="000000"/>
                <w:spacing w:val="114"/>
                <w:shd w:val="solid" w:color="000000" w:fill="000000"/>
                <w:fitText w:val="200" w:id="-1280136702"/>
                <w14:textFill>
                  <w14:solidFill>
                    <w14:srgbClr w14:val="000000">
                      <w14:alpha w14:val="100000"/>
                    </w14:srgbClr>
                  </w14:solidFill>
                </w14:textFill>
              </w:rPr>
              <w:t>|</w:t>
            </w:r>
            <w:r w:rsidR="004755B7" w:rsidRPr="00157ED3">
              <w:rPr>
                <w:color w:val="000000"/>
                <w:shd w:val="solid" w:color="000000" w:fill="000000"/>
                <w:fitText w:val="200" w:id="-1280136702"/>
                <w14:textFill>
                  <w14:solidFill>
                    <w14:srgbClr w14:val="000000">
                      <w14:alpha w14:val="100000"/>
                    </w14:srgbClr>
                  </w14:solidFill>
                </w14:textFill>
              </w:rPr>
              <w:t>|</w:t>
            </w:r>
          </w:p>
        </w:tc>
      </w:tr>
      <w:tr w:rsidR="00F96762" w:rsidRPr="00855EF5" w14:paraId="6397952D" w14:textId="77777777" w:rsidTr="00EB33AD">
        <w:trPr>
          <w:cantSplit/>
        </w:trPr>
        <w:tc>
          <w:tcPr>
            <w:tcW w:w="1952" w:type="pct"/>
            <w:shd w:val="clear" w:color="auto" w:fill="auto"/>
          </w:tcPr>
          <w:p w14:paraId="38FB761A" w14:textId="77777777" w:rsidR="00F96762" w:rsidRPr="00855EF5" w:rsidRDefault="00F96762" w:rsidP="00EB33AD">
            <w:pPr>
              <w:pStyle w:val="TableText0"/>
              <w:jc w:val="right"/>
              <w:rPr>
                <w:b/>
                <w:bCs w:val="0"/>
              </w:rPr>
            </w:pPr>
            <w:r w:rsidRPr="00855EF5">
              <w:rPr>
                <w:b/>
                <w:bCs w:val="0"/>
              </w:rPr>
              <w:t>Total costs</w:t>
            </w:r>
          </w:p>
        </w:tc>
        <w:tc>
          <w:tcPr>
            <w:tcW w:w="1055" w:type="pct"/>
            <w:shd w:val="clear" w:color="auto" w:fill="auto"/>
            <w:vAlign w:val="center"/>
          </w:tcPr>
          <w:p w14:paraId="21EE9126" w14:textId="7F2D9E7E" w:rsidR="00F96762" w:rsidRPr="00855EF5" w:rsidRDefault="00F96762" w:rsidP="00EB33AD">
            <w:pPr>
              <w:pStyle w:val="TableText0"/>
              <w:jc w:val="center"/>
            </w:pPr>
            <w:r w:rsidRPr="00855EF5">
              <w:t>$</w:t>
            </w:r>
            <w:r w:rsidR="004755B7" w:rsidRPr="00157ED3">
              <w:rPr>
                <w:rFonts w:hint="eastAsia"/>
                <w:color w:val="000000"/>
                <w:w w:val="15"/>
                <w:shd w:val="solid" w:color="000000" w:fill="000000"/>
                <w:fitText w:val="30" w:id="-1280136701"/>
                <w14:textFill>
                  <w14:solidFill>
                    <w14:srgbClr w14:val="000000">
                      <w14:alpha w14:val="100000"/>
                    </w14:srgbClr>
                  </w14:solidFill>
                </w14:textFill>
              </w:rPr>
              <w:t xml:space="preserve">　</w:t>
            </w:r>
            <w:r w:rsidR="004755B7" w:rsidRPr="00157ED3">
              <w:rPr>
                <w:color w:val="000000"/>
                <w:w w:val="15"/>
                <w:shd w:val="solid" w:color="000000" w:fill="000000"/>
                <w:fitText w:val="30" w:id="-1280136701"/>
                <w14:textFill>
                  <w14:solidFill>
                    <w14:srgbClr w14:val="000000">
                      <w14:alpha w14:val="100000"/>
                    </w14:srgbClr>
                  </w14:solidFill>
                </w14:textFill>
              </w:rPr>
              <w:t>|</w:t>
            </w:r>
            <w:r w:rsidR="004755B7" w:rsidRPr="00157ED3">
              <w:rPr>
                <w:rFonts w:hint="eastAsia"/>
                <w:color w:val="000000"/>
                <w:spacing w:val="-35"/>
                <w:w w:val="15"/>
                <w:shd w:val="solid" w:color="000000" w:fill="000000"/>
                <w:fitText w:val="30" w:id="-1280136701"/>
                <w14:textFill>
                  <w14:solidFill>
                    <w14:srgbClr w14:val="000000">
                      <w14:alpha w14:val="100000"/>
                    </w14:srgbClr>
                  </w14:solidFill>
                </w14:textFill>
              </w:rPr>
              <w:t xml:space="preserve">　</w:t>
            </w:r>
          </w:p>
        </w:tc>
        <w:tc>
          <w:tcPr>
            <w:tcW w:w="1056" w:type="pct"/>
            <w:shd w:val="clear" w:color="auto" w:fill="auto"/>
            <w:vAlign w:val="center"/>
          </w:tcPr>
          <w:p w14:paraId="58432024" w14:textId="11157FFD" w:rsidR="00F96762" w:rsidRPr="00855EF5" w:rsidRDefault="00F96762" w:rsidP="00EB33AD">
            <w:pPr>
              <w:pStyle w:val="TableText0"/>
              <w:jc w:val="center"/>
            </w:pPr>
            <w:r w:rsidRPr="00855EF5">
              <w:t>$</w:t>
            </w:r>
            <w:r w:rsidR="004755B7" w:rsidRPr="00157ED3">
              <w:rPr>
                <w:rFonts w:hint="eastAsia"/>
                <w:color w:val="000000"/>
                <w:w w:val="15"/>
                <w:shd w:val="solid" w:color="000000" w:fill="000000"/>
                <w:fitText w:val="30" w:id="-1280136700"/>
                <w14:textFill>
                  <w14:solidFill>
                    <w14:srgbClr w14:val="000000">
                      <w14:alpha w14:val="100000"/>
                    </w14:srgbClr>
                  </w14:solidFill>
                </w14:textFill>
              </w:rPr>
              <w:t xml:space="preserve">　</w:t>
            </w:r>
            <w:r w:rsidR="004755B7" w:rsidRPr="00157ED3">
              <w:rPr>
                <w:color w:val="000000"/>
                <w:w w:val="15"/>
                <w:shd w:val="solid" w:color="000000" w:fill="000000"/>
                <w:fitText w:val="30" w:id="-1280136700"/>
                <w14:textFill>
                  <w14:solidFill>
                    <w14:srgbClr w14:val="000000">
                      <w14:alpha w14:val="100000"/>
                    </w14:srgbClr>
                  </w14:solidFill>
                </w14:textFill>
              </w:rPr>
              <w:t>|</w:t>
            </w:r>
            <w:r w:rsidR="004755B7" w:rsidRPr="00157ED3">
              <w:rPr>
                <w:rFonts w:hint="eastAsia"/>
                <w:color w:val="000000"/>
                <w:spacing w:val="-35"/>
                <w:w w:val="15"/>
                <w:shd w:val="solid" w:color="000000" w:fill="000000"/>
                <w:fitText w:val="30" w:id="-1280136700"/>
                <w14:textFill>
                  <w14:solidFill>
                    <w14:srgbClr w14:val="000000">
                      <w14:alpha w14:val="100000"/>
                    </w14:srgbClr>
                  </w14:solidFill>
                </w14:textFill>
              </w:rPr>
              <w:t xml:space="preserve">　</w:t>
            </w:r>
          </w:p>
        </w:tc>
        <w:tc>
          <w:tcPr>
            <w:tcW w:w="937" w:type="pct"/>
            <w:shd w:val="clear" w:color="auto" w:fill="auto"/>
            <w:vAlign w:val="center"/>
          </w:tcPr>
          <w:p w14:paraId="2234EDE8" w14:textId="1DD88729" w:rsidR="00F96762" w:rsidRPr="00855EF5" w:rsidRDefault="00F96762" w:rsidP="00EB33AD">
            <w:pPr>
              <w:pStyle w:val="TableText0"/>
              <w:jc w:val="center"/>
            </w:pPr>
            <w:r w:rsidRPr="00855EF5">
              <w:t>$</w:t>
            </w:r>
            <w:r w:rsidR="004755B7" w:rsidRPr="00157ED3">
              <w:rPr>
                <w:rFonts w:hint="eastAsia"/>
                <w:color w:val="000000"/>
                <w:w w:val="31"/>
                <w:shd w:val="solid" w:color="000000" w:fill="000000"/>
                <w:fitText w:val="140" w:id="-1280136699"/>
                <w14:textFill>
                  <w14:solidFill>
                    <w14:srgbClr w14:val="000000">
                      <w14:alpha w14:val="100000"/>
                    </w14:srgbClr>
                  </w14:solidFill>
                </w14:textFill>
              </w:rPr>
              <w:t xml:space="preserve">　</w:t>
            </w:r>
            <w:r w:rsidR="004755B7" w:rsidRPr="00157ED3">
              <w:rPr>
                <w:color w:val="000000"/>
                <w:w w:val="31"/>
                <w:shd w:val="solid" w:color="000000" w:fill="000000"/>
                <w:fitText w:val="140" w:id="-1280136699"/>
                <w14:textFill>
                  <w14:solidFill>
                    <w14:srgbClr w14:val="000000">
                      <w14:alpha w14:val="100000"/>
                    </w14:srgbClr>
                  </w14:solidFill>
                </w14:textFill>
              </w:rPr>
              <w:t>|</w:t>
            </w:r>
            <w:r w:rsidR="004755B7" w:rsidRPr="00157ED3">
              <w:rPr>
                <w:rFonts w:hint="eastAsia"/>
                <w:color w:val="000000"/>
                <w:w w:val="31"/>
                <w:shd w:val="solid" w:color="000000" w:fill="000000"/>
                <w:fitText w:val="140" w:id="-1280136699"/>
                <w14:textFill>
                  <w14:solidFill>
                    <w14:srgbClr w14:val="000000">
                      <w14:alpha w14:val="100000"/>
                    </w14:srgbClr>
                  </w14:solidFill>
                </w14:textFill>
              </w:rPr>
              <w:t xml:space="preserve">　</w:t>
            </w:r>
          </w:p>
        </w:tc>
      </w:tr>
      <w:tr w:rsidR="00F96762" w:rsidRPr="00855EF5" w14:paraId="3468DC16" w14:textId="77777777" w:rsidTr="00EB33AD">
        <w:trPr>
          <w:cantSplit/>
        </w:trPr>
        <w:tc>
          <w:tcPr>
            <w:tcW w:w="1952" w:type="pct"/>
            <w:shd w:val="clear" w:color="auto" w:fill="auto"/>
          </w:tcPr>
          <w:p w14:paraId="4942CC85" w14:textId="77777777" w:rsidR="00F96762" w:rsidRPr="00855EF5" w:rsidRDefault="00F96762" w:rsidP="00EB33AD">
            <w:pPr>
              <w:pStyle w:val="TableText0"/>
            </w:pPr>
            <w:r w:rsidRPr="00855EF5">
              <w:t>QALYs (discounted)</w:t>
            </w:r>
          </w:p>
        </w:tc>
        <w:tc>
          <w:tcPr>
            <w:tcW w:w="1055" w:type="pct"/>
            <w:shd w:val="clear" w:color="auto" w:fill="auto"/>
            <w:vAlign w:val="center"/>
          </w:tcPr>
          <w:p w14:paraId="22ACD6BF" w14:textId="77777777" w:rsidR="00F96762" w:rsidRPr="00855EF5" w:rsidRDefault="00F96762" w:rsidP="00EB33AD">
            <w:pPr>
              <w:pStyle w:val="TableText0"/>
              <w:jc w:val="center"/>
            </w:pPr>
            <w:r w:rsidRPr="00855EF5">
              <w:t>0.4293</w:t>
            </w:r>
          </w:p>
        </w:tc>
        <w:tc>
          <w:tcPr>
            <w:tcW w:w="1056" w:type="pct"/>
            <w:shd w:val="clear" w:color="auto" w:fill="auto"/>
            <w:vAlign w:val="center"/>
          </w:tcPr>
          <w:p w14:paraId="5BB71B5A" w14:textId="77777777" w:rsidR="00F96762" w:rsidRPr="00855EF5" w:rsidRDefault="00F96762" w:rsidP="00EB33AD">
            <w:pPr>
              <w:pStyle w:val="TableText0"/>
              <w:jc w:val="center"/>
            </w:pPr>
            <w:r w:rsidRPr="00855EF5">
              <w:t>0.4220</w:t>
            </w:r>
          </w:p>
        </w:tc>
        <w:tc>
          <w:tcPr>
            <w:tcW w:w="937" w:type="pct"/>
            <w:shd w:val="clear" w:color="auto" w:fill="auto"/>
          </w:tcPr>
          <w:p w14:paraId="1AA12DDB" w14:textId="77777777" w:rsidR="00F96762" w:rsidRPr="00855EF5" w:rsidRDefault="00F96762" w:rsidP="00EB33AD">
            <w:pPr>
              <w:pStyle w:val="TableText0"/>
              <w:jc w:val="center"/>
            </w:pPr>
            <w:r w:rsidRPr="00855EF5">
              <w:t>0.0073</w:t>
            </w:r>
          </w:p>
        </w:tc>
      </w:tr>
      <w:tr w:rsidR="00F96762" w:rsidRPr="00855EF5" w14:paraId="615B7481" w14:textId="77777777" w:rsidTr="00EB33AD">
        <w:trPr>
          <w:cantSplit/>
        </w:trPr>
        <w:tc>
          <w:tcPr>
            <w:tcW w:w="4063" w:type="pct"/>
            <w:gridSpan w:val="3"/>
            <w:tcBorders>
              <w:right w:val="single" w:sz="4" w:space="0" w:color="000000"/>
            </w:tcBorders>
            <w:shd w:val="clear" w:color="auto" w:fill="auto"/>
          </w:tcPr>
          <w:p w14:paraId="35D0144E" w14:textId="77777777" w:rsidR="00F96762" w:rsidRPr="00855EF5" w:rsidRDefault="00F96762" w:rsidP="00EB33AD">
            <w:pPr>
              <w:pStyle w:val="In-tableHeading"/>
              <w:jc w:val="right"/>
              <w:rPr>
                <w:lang w:val="en-AU"/>
              </w:rPr>
            </w:pPr>
            <w:r w:rsidRPr="00855EF5">
              <w:rPr>
                <w:lang w:val="en-AU"/>
              </w:rPr>
              <w:t>Incremental cost per discounted QALY gained</w:t>
            </w:r>
          </w:p>
        </w:tc>
        <w:tc>
          <w:tcPr>
            <w:tcW w:w="937" w:type="pct"/>
            <w:tcBorders>
              <w:left w:val="single" w:sz="4" w:space="0" w:color="000000"/>
            </w:tcBorders>
            <w:shd w:val="clear" w:color="auto" w:fill="auto"/>
          </w:tcPr>
          <w:p w14:paraId="0AA7C5C9" w14:textId="663F135B" w:rsidR="00F96762" w:rsidRPr="00083DC4" w:rsidRDefault="00F96762" w:rsidP="00EB33AD">
            <w:pPr>
              <w:keepNext/>
              <w:keepLines/>
              <w:jc w:val="center"/>
              <w:rPr>
                <w:rFonts w:ascii="Arial Narrow" w:eastAsia="Calibri" w:hAnsi="Arial Narrow"/>
                <w:bCs/>
                <w:sz w:val="20"/>
                <w:szCs w:val="20"/>
                <w:vertAlign w:val="superscript"/>
              </w:rPr>
            </w:pPr>
            <w:r w:rsidRPr="00855EF5">
              <w:rPr>
                <w:rFonts w:ascii="Arial Narrow" w:eastAsia="Calibri" w:hAnsi="Arial Narrow"/>
                <w:b/>
                <w:sz w:val="20"/>
                <w:szCs w:val="20"/>
              </w:rPr>
              <w:t>$</w:t>
            </w:r>
            <w:r w:rsidR="004755B7" w:rsidRPr="00157ED3">
              <w:rPr>
                <w:rFonts w:ascii="Arial Narrow" w:eastAsia="Calibri" w:hAnsi="Arial Narrow" w:hint="eastAsia"/>
                <w:b/>
                <w:color w:val="000000"/>
                <w:w w:val="29"/>
                <w:sz w:val="20"/>
                <w:szCs w:val="20"/>
                <w:shd w:val="solid" w:color="000000" w:fill="000000"/>
                <w:fitText w:val="130" w:id="-1280136698"/>
                <w14:textFill>
                  <w14:solidFill>
                    <w14:srgbClr w14:val="000000">
                      <w14:alpha w14:val="100000"/>
                    </w14:srgbClr>
                  </w14:solidFill>
                </w14:textFill>
              </w:rPr>
              <w:t xml:space="preserve">　</w:t>
            </w:r>
            <w:r w:rsidR="004755B7" w:rsidRPr="00157ED3">
              <w:rPr>
                <w:rFonts w:ascii="Arial Narrow" w:eastAsia="Calibri" w:hAnsi="Arial Narrow"/>
                <w:b/>
                <w:color w:val="000000"/>
                <w:w w:val="29"/>
                <w:sz w:val="20"/>
                <w:szCs w:val="20"/>
                <w:shd w:val="solid" w:color="000000" w:fill="000000"/>
                <w:fitText w:val="130" w:id="-1280136698"/>
                <w14:textFill>
                  <w14:solidFill>
                    <w14:srgbClr w14:val="000000">
                      <w14:alpha w14:val="100000"/>
                    </w14:srgbClr>
                  </w14:solidFill>
                </w14:textFill>
              </w:rPr>
              <w:t>|</w:t>
            </w:r>
            <w:r w:rsidR="004755B7" w:rsidRPr="00157ED3">
              <w:rPr>
                <w:rFonts w:ascii="Arial Narrow" w:eastAsia="Calibri" w:hAnsi="Arial Narrow" w:hint="eastAsia"/>
                <w:b/>
                <w:color w:val="000000"/>
                <w:w w:val="29"/>
                <w:sz w:val="20"/>
                <w:szCs w:val="20"/>
                <w:shd w:val="solid" w:color="000000" w:fill="000000"/>
                <w:fitText w:val="130" w:id="-1280136698"/>
                <w14:textFill>
                  <w14:solidFill>
                    <w14:srgbClr w14:val="000000">
                      <w14:alpha w14:val="100000"/>
                    </w14:srgbClr>
                  </w14:solidFill>
                </w14:textFill>
              </w:rPr>
              <w:t xml:space="preserve">　</w:t>
            </w:r>
            <w:r w:rsidR="00083DC4">
              <w:rPr>
                <w:rFonts w:ascii="Arial Narrow" w:eastAsia="Calibri" w:hAnsi="Arial Narrow"/>
                <w:bCs/>
                <w:sz w:val="20"/>
                <w:szCs w:val="20"/>
                <w:vertAlign w:val="superscript"/>
              </w:rPr>
              <w:t>1</w:t>
            </w:r>
          </w:p>
        </w:tc>
      </w:tr>
    </w:tbl>
    <w:p w14:paraId="0C915374" w14:textId="4045AB90" w:rsidR="00F96762" w:rsidRPr="00F300A6" w:rsidRDefault="00F96762" w:rsidP="00F96762">
      <w:pPr>
        <w:pStyle w:val="3-BodyText"/>
        <w:numPr>
          <w:ilvl w:val="0"/>
          <w:numId w:val="0"/>
        </w:numPr>
        <w:snapToGrid w:val="0"/>
        <w:spacing w:after="0"/>
        <w:rPr>
          <w:rFonts w:ascii="Arial Narrow" w:hAnsi="Arial Narrow"/>
          <w:sz w:val="18"/>
          <w:szCs w:val="18"/>
        </w:rPr>
      </w:pPr>
      <w:r w:rsidRPr="00F300A6">
        <w:rPr>
          <w:rFonts w:ascii="Arial Narrow" w:hAnsi="Arial Narrow"/>
          <w:sz w:val="18"/>
          <w:szCs w:val="18"/>
        </w:rPr>
        <w:t>Source: Table 11 of the commentary.</w:t>
      </w:r>
    </w:p>
    <w:p w14:paraId="648107F5" w14:textId="77777777" w:rsidR="00083DC4" w:rsidRPr="009A6D58" w:rsidRDefault="00083DC4" w:rsidP="00083DC4">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417460AD" w14:textId="1C204945" w:rsidR="00083DC4" w:rsidRPr="00083DC4" w:rsidRDefault="00083DC4" w:rsidP="00083DC4">
      <w:pPr>
        <w:ind w:right="147"/>
        <w:rPr>
          <w:rFonts w:ascii="Arial Narrow" w:hAnsi="Arial Narrow"/>
          <w:i/>
          <w:iCs/>
          <w:color w:val="333333"/>
          <w:sz w:val="18"/>
          <w:szCs w:val="18"/>
        </w:rPr>
      </w:pPr>
      <w:r w:rsidRPr="00083DC4">
        <w:rPr>
          <w:rFonts w:ascii="Arial Narrow" w:hAnsi="Arial Narrow"/>
          <w:i/>
          <w:iCs/>
          <w:color w:val="333333"/>
          <w:sz w:val="18"/>
          <w:szCs w:val="18"/>
          <w:vertAlign w:val="superscript"/>
        </w:rPr>
        <w:t>1</w:t>
      </w:r>
      <w:r w:rsidRPr="00083DC4">
        <w:rPr>
          <w:rFonts w:ascii="Arial Narrow" w:hAnsi="Arial Narrow"/>
          <w:i/>
          <w:iCs/>
          <w:color w:val="333333"/>
          <w:sz w:val="18"/>
          <w:szCs w:val="18"/>
        </w:rPr>
        <w:t>$75,000 to &lt; $95,000</w:t>
      </w:r>
    </w:p>
    <w:p w14:paraId="4BD38249" w14:textId="77777777" w:rsidR="00083DC4" w:rsidRPr="00855EF5" w:rsidRDefault="00083DC4" w:rsidP="00F96762">
      <w:pPr>
        <w:pStyle w:val="3-BodyText"/>
        <w:numPr>
          <w:ilvl w:val="0"/>
          <w:numId w:val="0"/>
        </w:numPr>
        <w:snapToGrid w:val="0"/>
        <w:spacing w:after="0"/>
        <w:rPr>
          <w:rFonts w:ascii="Arial Narrow" w:hAnsi="Arial Narrow"/>
          <w:sz w:val="20"/>
          <w:szCs w:val="20"/>
        </w:rPr>
      </w:pPr>
    </w:p>
    <w:p w14:paraId="1C27D9A7" w14:textId="17BEA383" w:rsidR="003634A7" w:rsidRDefault="00F96762" w:rsidP="00F96762">
      <w:pPr>
        <w:pStyle w:val="3-BodyText"/>
        <w:rPr>
          <w:rFonts w:cstheme="minorHAnsi"/>
        </w:rPr>
      </w:pPr>
      <w:bookmarkStart w:id="130" w:name="_Hlk121754656"/>
      <w:r w:rsidRPr="00855EF5">
        <w:rPr>
          <w:rFonts w:cstheme="minorHAnsi"/>
        </w:rPr>
        <w:t>The PBAC did not accept the new evidence presented by the resubmission sufficiently supported the change in duration of effect (see paragraph</w:t>
      </w:r>
      <w:r w:rsidR="003B1F96">
        <w:rPr>
          <w:rFonts w:cstheme="minorHAnsi"/>
        </w:rPr>
        <w:t xml:space="preserve"> 11.12</w:t>
      </w:r>
      <w:r w:rsidRPr="00855EF5">
        <w:rPr>
          <w:rFonts w:cstheme="minorHAnsi"/>
        </w:rPr>
        <w:t>) or application of components of the composite endpoint (infection, hospitalisation and all-cause mortality) in the base case economic analysis</w:t>
      </w:r>
      <w:r w:rsidR="003634A7">
        <w:rPr>
          <w:rFonts w:cstheme="minorHAnsi"/>
        </w:rPr>
        <w:t>.</w:t>
      </w:r>
    </w:p>
    <w:p w14:paraId="58F79B24" w14:textId="07938A0C" w:rsidR="00F96762" w:rsidRPr="00855EF5" w:rsidRDefault="00F96762" w:rsidP="00F96762">
      <w:pPr>
        <w:pStyle w:val="3-BodyText"/>
        <w:rPr>
          <w:rFonts w:cstheme="minorHAnsi"/>
        </w:rPr>
      </w:pPr>
      <w:r w:rsidRPr="00855EF5">
        <w:rPr>
          <w:rFonts w:cstheme="minorHAnsi"/>
        </w:rPr>
        <w:t>The PBAC noted the modelled cost-effectiveness analyses presented in Tables 2</w:t>
      </w:r>
      <w:r>
        <w:rPr>
          <w:rFonts w:cstheme="minorHAnsi"/>
        </w:rPr>
        <w:t>3</w:t>
      </w:r>
      <w:r w:rsidRPr="00855EF5">
        <w:rPr>
          <w:rFonts w:cstheme="minorHAnsi"/>
        </w:rPr>
        <w:t xml:space="preserve"> and 2</w:t>
      </w:r>
      <w:r>
        <w:rPr>
          <w:rFonts w:cstheme="minorHAnsi"/>
        </w:rPr>
        <w:t>4</w:t>
      </w:r>
      <w:r w:rsidRPr="00855EF5">
        <w:rPr>
          <w:rFonts w:cstheme="minorHAnsi"/>
        </w:rPr>
        <w:t xml:space="preserve"> do not include any adjustments for potential resistance of the newer Omicron strains to tixagevimab and cilgavimab.</w:t>
      </w:r>
      <w:r w:rsidR="003634A7">
        <w:rPr>
          <w:rFonts w:cstheme="minorHAnsi"/>
        </w:rPr>
        <w:t xml:space="preserve"> </w:t>
      </w:r>
      <w:r w:rsidRPr="00855EF5">
        <w:rPr>
          <w:rFonts w:cstheme="minorHAnsi"/>
        </w:rPr>
        <w:t>However, the impact of this was examined in two sensitivity analyses within the Commentary (Figures 11 and 12).</w:t>
      </w:r>
    </w:p>
    <w:p w14:paraId="2E07A958" w14:textId="77777777" w:rsidR="00F96762" w:rsidRPr="00855EF5" w:rsidRDefault="00F96762" w:rsidP="00F96762">
      <w:pPr>
        <w:pStyle w:val="Caption"/>
      </w:pPr>
      <w:bookmarkStart w:id="131" w:name="_Ref120013677"/>
      <w:bookmarkEnd w:id="130"/>
      <w:r w:rsidRPr="00855EF5">
        <w:lastRenderedPageBreak/>
        <w:t xml:space="preserve">Figure </w:t>
      </w:r>
      <w:bookmarkEnd w:id="131"/>
      <w:r w:rsidRPr="00855EF5">
        <w:t xml:space="preserve">11: Results of sensitivity analysis around the PBAC respecified base case varying the effectiveness of </w:t>
      </w:r>
      <w:r w:rsidRPr="00855EF5">
        <w:rPr>
          <w:color w:val="000000" w:themeColor="text1"/>
        </w:rPr>
        <w:t>tixagevimab and cilgavimab to account for the prospect that a significant fraction of circulating SARS-CoV-2 could be resistant to tixagevimab and cilgavimab</w:t>
      </w:r>
    </w:p>
    <w:p w14:paraId="76F852B5" w14:textId="77777777" w:rsidR="00F96762" w:rsidRPr="00855EF5" w:rsidRDefault="00F96762" w:rsidP="000D32A9">
      <w:pPr>
        <w:pStyle w:val="3-BodyText"/>
        <w:numPr>
          <w:ilvl w:val="0"/>
          <w:numId w:val="0"/>
        </w:numPr>
        <w:snapToGrid w:val="0"/>
        <w:spacing w:after="0"/>
      </w:pPr>
      <w:r w:rsidRPr="00855EF5">
        <w:rPr>
          <w:noProof/>
        </w:rPr>
        <w:drawing>
          <wp:inline distT="0" distB="0" distL="0" distR="0" wp14:anchorId="6D540D41" wp14:editId="4C8D655B">
            <wp:extent cx="5480102" cy="3290020"/>
            <wp:effectExtent l="0" t="0" r="635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83560" cy="3292096"/>
                    </a:xfrm>
                    <a:prstGeom prst="rect">
                      <a:avLst/>
                    </a:prstGeom>
                    <a:noFill/>
                  </pic:spPr>
                </pic:pic>
              </a:graphicData>
            </a:graphic>
          </wp:inline>
        </w:drawing>
      </w:r>
    </w:p>
    <w:p w14:paraId="2F89DD5F" w14:textId="77777777" w:rsidR="00F96762" w:rsidRPr="0029562A" w:rsidRDefault="00F96762" w:rsidP="00F96762">
      <w:pPr>
        <w:pStyle w:val="3-BodyText"/>
        <w:numPr>
          <w:ilvl w:val="0"/>
          <w:numId w:val="0"/>
        </w:numPr>
        <w:snapToGrid w:val="0"/>
        <w:spacing w:after="0"/>
        <w:rPr>
          <w:rFonts w:ascii="Arial Narrow" w:hAnsi="Arial Narrow"/>
          <w:sz w:val="18"/>
          <w:szCs w:val="18"/>
        </w:rPr>
      </w:pPr>
      <w:r w:rsidRPr="0029562A">
        <w:rPr>
          <w:rFonts w:ascii="Arial Narrow" w:hAnsi="Arial Narrow"/>
          <w:sz w:val="18"/>
          <w:szCs w:val="18"/>
        </w:rPr>
        <w:t>Source: Figure 6 of the commentary.</w:t>
      </w:r>
    </w:p>
    <w:p w14:paraId="56FE437A" w14:textId="77777777" w:rsidR="00F96762" w:rsidRPr="00855EF5" w:rsidRDefault="00F96762" w:rsidP="00F96762">
      <w:pPr>
        <w:pStyle w:val="3-BodyText"/>
        <w:numPr>
          <w:ilvl w:val="0"/>
          <w:numId w:val="0"/>
        </w:numPr>
        <w:snapToGrid w:val="0"/>
        <w:ind w:left="720"/>
      </w:pPr>
    </w:p>
    <w:p w14:paraId="736F8179" w14:textId="77777777" w:rsidR="00F96762" w:rsidRPr="00855EF5" w:rsidRDefault="00F96762" w:rsidP="00F96762">
      <w:pPr>
        <w:pStyle w:val="Caption"/>
      </w:pPr>
      <w:bookmarkStart w:id="132" w:name="_Ref120045304"/>
      <w:r w:rsidRPr="00855EF5">
        <w:lastRenderedPageBreak/>
        <w:t>Figure 12</w:t>
      </w:r>
      <w:bookmarkEnd w:id="132"/>
      <w:r w:rsidRPr="00855EF5">
        <w:t xml:space="preserve">: Results of sensitivity analysis around the submitted resubmission base case varying the effectiveness of </w:t>
      </w:r>
      <w:r w:rsidRPr="00855EF5">
        <w:rPr>
          <w:color w:val="000000" w:themeColor="text1"/>
        </w:rPr>
        <w:t>tixagevimab and cilgavimab to account for the prospect that a significant fraction of circulating SARS-CoV-2 could be resistant to tixagevimab and cilgavimab</w:t>
      </w:r>
    </w:p>
    <w:p w14:paraId="17C6FD37" w14:textId="77777777" w:rsidR="00F96762" w:rsidRPr="00855EF5" w:rsidRDefault="00F96762" w:rsidP="000D32A9">
      <w:pPr>
        <w:pStyle w:val="3-BodyText"/>
        <w:numPr>
          <w:ilvl w:val="0"/>
          <w:numId w:val="0"/>
        </w:numPr>
        <w:snapToGrid w:val="0"/>
        <w:spacing w:after="0"/>
      </w:pPr>
      <w:r w:rsidRPr="00855EF5">
        <w:rPr>
          <w:noProof/>
        </w:rPr>
        <w:drawing>
          <wp:inline distT="0" distB="0" distL="0" distR="0" wp14:anchorId="67763FE1" wp14:editId="3E7D8330">
            <wp:extent cx="5632132" cy="3385820"/>
            <wp:effectExtent l="0" t="0" r="698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34601" cy="3387304"/>
                    </a:xfrm>
                    <a:prstGeom prst="rect">
                      <a:avLst/>
                    </a:prstGeom>
                    <a:noFill/>
                  </pic:spPr>
                </pic:pic>
              </a:graphicData>
            </a:graphic>
          </wp:inline>
        </w:drawing>
      </w:r>
    </w:p>
    <w:p w14:paraId="64E747C7" w14:textId="42239D57" w:rsidR="00F96762" w:rsidRPr="00855EF5" w:rsidRDefault="00F96762" w:rsidP="00F300A6">
      <w:pPr>
        <w:pStyle w:val="3-BodyText"/>
        <w:numPr>
          <w:ilvl w:val="0"/>
          <w:numId w:val="0"/>
        </w:numPr>
        <w:snapToGrid w:val="0"/>
      </w:pPr>
      <w:r w:rsidRPr="00F300A6">
        <w:rPr>
          <w:rFonts w:ascii="Arial Narrow" w:hAnsi="Arial Narrow"/>
          <w:sz w:val="18"/>
          <w:szCs w:val="18"/>
        </w:rPr>
        <w:t>Source: Figure 7 of the commentary.</w:t>
      </w:r>
    </w:p>
    <w:p w14:paraId="17B98406" w14:textId="6B57E82C" w:rsidR="00F96762" w:rsidRPr="00855EF5" w:rsidRDefault="00F96762" w:rsidP="00F96762">
      <w:pPr>
        <w:pStyle w:val="3-BodyText"/>
        <w:rPr>
          <w:rFonts w:cstheme="minorHAnsi"/>
        </w:rPr>
      </w:pPr>
      <w:bookmarkStart w:id="133" w:name="_Hlk121754679"/>
      <w:r w:rsidRPr="00855EF5">
        <w:rPr>
          <w:rFonts w:cstheme="minorHAnsi"/>
        </w:rPr>
        <w:t>The PBAC noted the respecified base case it requested in September was conservative but considered this appropriate in the context of the very limited available evidence for the effectiveness of tixagevimab and cilgavimab against the Omicron variant of SARS-COV-2.</w:t>
      </w:r>
      <w:r w:rsidR="003634A7">
        <w:rPr>
          <w:rFonts w:cstheme="minorHAnsi"/>
        </w:rPr>
        <w:t xml:space="preserve"> </w:t>
      </w:r>
      <w:r w:rsidRPr="00855EF5">
        <w:rPr>
          <w:rFonts w:cstheme="minorHAnsi"/>
        </w:rPr>
        <w:t>The PBAC also considered the fraction of circulating SARS-CoV-2 stains that are likely resistant to tixagevimab and cilgavimab are relevant for the estimates of efficacy of tixagevimab and cilgavimab for PrEP and the economic analysis needs to be adjusted to account for this. The PBAC noted the ICER per QALY increases significantly when potential resistance is accounted for.</w:t>
      </w:r>
    </w:p>
    <w:bookmarkEnd w:id="133"/>
    <w:p w14:paraId="430A8EC8" w14:textId="77777777" w:rsidR="00F96762" w:rsidRPr="00855EF5" w:rsidRDefault="00F96762" w:rsidP="00F96762">
      <w:pPr>
        <w:pStyle w:val="4-SubsectionHeading"/>
      </w:pPr>
      <w:r w:rsidRPr="00855EF5">
        <w:t>Cost Estimates and Risk Sharing</w:t>
      </w:r>
    </w:p>
    <w:p w14:paraId="071455C4" w14:textId="77777777" w:rsidR="00F96762" w:rsidRPr="00855EF5" w:rsidRDefault="00F96762" w:rsidP="00F96762">
      <w:pPr>
        <w:pStyle w:val="3-BodyText"/>
        <w:rPr>
          <w:rFonts w:cstheme="minorHAnsi"/>
        </w:rPr>
      </w:pPr>
      <w:r w:rsidRPr="00855EF5">
        <w:rPr>
          <w:rFonts w:cstheme="minorHAnsi"/>
        </w:rPr>
        <w:t>The resubmission’s estimates of the total eligible population are presented in Table 2</w:t>
      </w:r>
      <w:r>
        <w:rPr>
          <w:rFonts w:cstheme="minorHAnsi"/>
        </w:rPr>
        <w:t>5</w:t>
      </w:r>
      <w:r w:rsidRPr="00855EF5">
        <w:rPr>
          <w:rFonts w:cstheme="minorHAnsi"/>
        </w:rPr>
        <w:t>. This table also provides the Department’s proposed revisions to these estimates. The reasons for the large differences in the estimates of the high dose systemic corticosteroid or conventional DMARDs populations were not able to be established in the context of the expedited consideration of this listing application.</w:t>
      </w:r>
    </w:p>
    <w:p w14:paraId="7361D22A" w14:textId="77777777" w:rsidR="000D32A9" w:rsidRDefault="000D32A9">
      <w:pPr>
        <w:jc w:val="left"/>
        <w:rPr>
          <w:rFonts w:ascii="Arial Narrow" w:eastAsiaTheme="majorEastAsia" w:hAnsi="Arial Narrow" w:cstheme="majorBidi"/>
          <w:b/>
          <w:sz w:val="20"/>
        </w:rPr>
      </w:pPr>
      <w:r>
        <w:br w:type="page"/>
      </w:r>
    </w:p>
    <w:p w14:paraId="322B0224" w14:textId="5ED02D2C" w:rsidR="00F96762" w:rsidRPr="00855EF5" w:rsidRDefault="00F96762" w:rsidP="0070659A">
      <w:pPr>
        <w:pStyle w:val="TableFigureHeading"/>
      </w:pPr>
      <w:r w:rsidRPr="00855EF5">
        <w:lastRenderedPageBreak/>
        <w:t>Table 2</w:t>
      </w:r>
      <w:r>
        <w:t>5</w:t>
      </w:r>
      <w:r w:rsidRPr="00855EF5">
        <w:t>: Eligible population estimates for the base year (2021) without adjustment for age or comorbidity</w:t>
      </w:r>
    </w:p>
    <w:tbl>
      <w:tblPr>
        <w:tblW w:w="9209" w:type="dxa"/>
        <w:tblLook w:val="04A0" w:firstRow="1" w:lastRow="0" w:firstColumn="1" w:lastColumn="0" w:noHBand="0" w:noVBand="1"/>
        <w:tblCaption w:val="Table 25: Eligible population estimates for the base year (2021) without adjustment for age or comorbidity"/>
      </w:tblPr>
      <w:tblGrid>
        <w:gridCol w:w="353"/>
        <w:gridCol w:w="4462"/>
        <w:gridCol w:w="1984"/>
        <w:gridCol w:w="2410"/>
      </w:tblGrid>
      <w:tr w:rsidR="00F96762" w:rsidRPr="00855EF5" w14:paraId="5C566522" w14:textId="77777777" w:rsidTr="00EB33AD">
        <w:trPr>
          <w:trHeight w:val="290"/>
        </w:trPr>
        <w:tc>
          <w:tcPr>
            <w:tcW w:w="4815"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FDF2EC" w14:textId="77777777" w:rsidR="00F96762" w:rsidRPr="00855EF5" w:rsidRDefault="00F96762" w:rsidP="00EB33AD">
            <w:pPr>
              <w:keepNext/>
              <w:jc w:val="left"/>
              <w:rPr>
                <w:rFonts w:ascii="Arial Narrow" w:hAnsi="Arial Narrow" w:cs="Calibri"/>
                <w:b/>
                <w:bCs/>
                <w:color w:val="000000"/>
                <w:sz w:val="20"/>
                <w:szCs w:val="20"/>
              </w:rPr>
            </w:pPr>
            <w:r w:rsidRPr="00855EF5">
              <w:rPr>
                <w:rFonts w:ascii="Arial Narrow" w:hAnsi="Arial Narrow" w:cs="Calibri"/>
                <w:b/>
                <w:bCs/>
                <w:color w:val="000000"/>
                <w:sz w:val="20"/>
                <w:szCs w:val="20"/>
              </w:rPr>
              <w:t xml:space="preserve">Population categories </w:t>
            </w:r>
          </w:p>
        </w:tc>
        <w:tc>
          <w:tcPr>
            <w:tcW w:w="4394" w:type="dxa"/>
            <w:gridSpan w:val="2"/>
            <w:tcBorders>
              <w:top w:val="single" w:sz="4" w:space="0" w:color="auto"/>
              <w:left w:val="nil"/>
              <w:bottom w:val="single" w:sz="4" w:space="0" w:color="auto"/>
              <w:right w:val="single" w:sz="4" w:space="0" w:color="auto"/>
            </w:tcBorders>
            <w:shd w:val="clear" w:color="auto" w:fill="auto"/>
            <w:noWrap/>
            <w:vAlign w:val="bottom"/>
            <w:hideMark/>
          </w:tcPr>
          <w:p w14:paraId="475D2B64" w14:textId="77777777" w:rsidR="00F96762" w:rsidRPr="00855EF5" w:rsidRDefault="00F96762" w:rsidP="00EB33AD">
            <w:pPr>
              <w:keepNext/>
              <w:jc w:val="center"/>
              <w:rPr>
                <w:rFonts w:ascii="Arial Narrow" w:hAnsi="Arial Narrow" w:cs="Calibri"/>
                <w:b/>
                <w:bCs/>
                <w:color w:val="000000"/>
                <w:sz w:val="20"/>
                <w:szCs w:val="20"/>
              </w:rPr>
            </w:pPr>
            <w:r w:rsidRPr="00855EF5">
              <w:rPr>
                <w:rFonts w:ascii="Arial Narrow" w:hAnsi="Arial Narrow" w:cs="Calibri"/>
                <w:b/>
                <w:bCs/>
                <w:color w:val="000000"/>
                <w:sz w:val="20"/>
                <w:szCs w:val="20"/>
              </w:rPr>
              <w:t>Base eligible population estimates</w:t>
            </w:r>
          </w:p>
        </w:tc>
      </w:tr>
      <w:tr w:rsidR="00F96762" w:rsidRPr="00855EF5" w14:paraId="047D1AB6" w14:textId="77777777" w:rsidTr="00EB33AD">
        <w:trPr>
          <w:trHeight w:val="290"/>
        </w:trPr>
        <w:tc>
          <w:tcPr>
            <w:tcW w:w="4815" w:type="dxa"/>
            <w:gridSpan w:val="2"/>
            <w:vMerge/>
            <w:tcBorders>
              <w:top w:val="single" w:sz="4" w:space="0" w:color="auto"/>
              <w:left w:val="single" w:sz="4" w:space="0" w:color="auto"/>
              <w:bottom w:val="single" w:sz="4" w:space="0" w:color="auto"/>
              <w:right w:val="single" w:sz="4" w:space="0" w:color="auto"/>
            </w:tcBorders>
            <w:vAlign w:val="center"/>
            <w:hideMark/>
          </w:tcPr>
          <w:p w14:paraId="79729FF7" w14:textId="77777777" w:rsidR="00F96762" w:rsidRPr="00855EF5" w:rsidRDefault="00F96762" w:rsidP="00EB33AD">
            <w:pPr>
              <w:keepNext/>
              <w:jc w:val="left"/>
              <w:rPr>
                <w:rFonts w:ascii="Arial Narrow" w:hAnsi="Arial Narrow" w:cs="Calibri"/>
                <w:b/>
                <w:bCs/>
                <w:color w:val="000000"/>
                <w:sz w:val="20"/>
                <w:szCs w:val="20"/>
              </w:rPr>
            </w:pPr>
          </w:p>
        </w:tc>
        <w:tc>
          <w:tcPr>
            <w:tcW w:w="1984" w:type="dxa"/>
            <w:tcBorders>
              <w:top w:val="nil"/>
              <w:left w:val="nil"/>
              <w:bottom w:val="nil"/>
              <w:right w:val="single" w:sz="4" w:space="0" w:color="auto"/>
            </w:tcBorders>
            <w:shd w:val="clear" w:color="auto" w:fill="auto"/>
            <w:noWrap/>
            <w:vAlign w:val="bottom"/>
            <w:hideMark/>
          </w:tcPr>
          <w:p w14:paraId="3D6FC609" w14:textId="5B68FD14" w:rsidR="00F96762" w:rsidRPr="00855EF5" w:rsidRDefault="00F96762" w:rsidP="00EB33AD">
            <w:pPr>
              <w:keepNext/>
              <w:jc w:val="center"/>
              <w:rPr>
                <w:rFonts w:ascii="Arial Narrow" w:hAnsi="Arial Narrow" w:cs="Calibri"/>
                <w:b/>
                <w:bCs/>
                <w:color w:val="000000"/>
                <w:sz w:val="20"/>
                <w:szCs w:val="20"/>
                <w:vertAlign w:val="superscript"/>
              </w:rPr>
            </w:pPr>
            <w:r w:rsidRPr="00855EF5">
              <w:rPr>
                <w:rFonts w:ascii="Arial Narrow" w:hAnsi="Arial Narrow" w:cs="Calibri"/>
                <w:b/>
                <w:bCs/>
                <w:color w:val="000000"/>
                <w:sz w:val="20"/>
                <w:szCs w:val="20"/>
              </w:rPr>
              <w:t>Resubmission</w:t>
            </w:r>
            <w:r w:rsidR="00083DC4">
              <w:rPr>
                <w:rFonts w:ascii="Arial Narrow" w:hAnsi="Arial Narrow" w:cs="Calibri"/>
                <w:b/>
                <w:bCs/>
                <w:color w:val="000000"/>
                <w:sz w:val="20"/>
                <w:szCs w:val="20"/>
                <w:vertAlign w:val="superscript"/>
              </w:rPr>
              <w:t>*</w:t>
            </w:r>
          </w:p>
        </w:tc>
        <w:tc>
          <w:tcPr>
            <w:tcW w:w="2410" w:type="dxa"/>
            <w:tcBorders>
              <w:top w:val="nil"/>
              <w:left w:val="nil"/>
              <w:bottom w:val="single" w:sz="4" w:space="0" w:color="auto"/>
              <w:right w:val="single" w:sz="4" w:space="0" w:color="auto"/>
            </w:tcBorders>
            <w:shd w:val="clear" w:color="auto" w:fill="auto"/>
            <w:noWrap/>
            <w:vAlign w:val="bottom"/>
            <w:hideMark/>
          </w:tcPr>
          <w:p w14:paraId="040D1220" w14:textId="65C1CDF1" w:rsidR="00F96762" w:rsidRPr="00855EF5" w:rsidRDefault="00F96762" w:rsidP="00EB33AD">
            <w:pPr>
              <w:keepNext/>
              <w:jc w:val="center"/>
              <w:rPr>
                <w:rFonts w:ascii="Arial Narrow" w:hAnsi="Arial Narrow" w:cs="Calibri"/>
                <w:b/>
                <w:bCs/>
                <w:color w:val="000000"/>
                <w:sz w:val="20"/>
                <w:szCs w:val="20"/>
                <w:vertAlign w:val="superscript"/>
              </w:rPr>
            </w:pPr>
            <w:r w:rsidRPr="00855EF5">
              <w:rPr>
                <w:rFonts w:ascii="Arial Narrow" w:hAnsi="Arial Narrow" w:cs="Calibri"/>
                <w:b/>
                <w:bCs/>
                <w:color w:val="000000"/>
                <w:sz w:val="20"/>
                <w:szCs w:val="20"/>
              </w:rPr>
              <w:t>DUSC Secretariat analysis</w:t>
            </w:r>
            <w:r w:rsidR="00083DC4">
              <w:rPr>
                <w:rFonts w:ascii="Arial Narrow" w:hAnsi="Arial Narrow" w:cs="Calibri"/>
                <w:b/>
                <w:bCs/>
                <w:color w:val="000000"/>
                <w:sz w:val="20"/>
                <w:szCs w:val="20"/>
                <w:vertAlign w:val="superscript"/>
              </w:rPr>
              <w:t>#</w:t>
            </w:r>
          </w:p>
        </w:tc>
      </w:tr>
      <w:tr w:rsidR="00F96762" w:rsidRPr="00855EF5" w14:paraId="32C21898" w14:textId="77777777" w:rsidTr="00EB33AD">
        <w:trPr>
          <w:trHeight w:val="290"/>
        </w:trPr>
        <w:tc>
          <w:tcPr>
            <w:tcW w:w="9209" w:type="dxa"/>
            <w:gridSpan w:val="4"/>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4E767DBA" w14:textId="77777777" w:rsidR="00F96762" w:rsidRPr="00855EF5" w:rsidRDefault="00F96762" w:rsidP="00EB33AD">
            <w:pPr>
              <w:jc w:val="left"/>
              <w:rPr>
                <w:rFonts w:ascii="Arial Narrow" w:hAnsi="Arial Narrow" w:cs="Calibri"/>
                <w:b/>
                <w:bCs/>
                <w:color w:val="000000"/>
                <w:sz w:val="20"/>
                <w:szCs w:val="20"/>
              </w:rPr>
            </w:pPr>
            <w:r w:rsidRPr="00855EF5">
              <w:rPr>
                <w:rFonts w:ascii="Arial Narrow" w:hAnsi="Arial Narrow" w:cs="Calibri"/>
                <w:b/>
                <w:bCs/>
                <w:color w:val="000000"/>
                <w:sz w:val="20"/>
                <w:szCs w:val="20"/>
              </w:rPr>
              <w:t>Population 1</w:t>
            </w:r>
          </w:p>
        </w:tc>
      </w:tr>
      <w:tr w:rsidR="00F96762" w:rsidRPr="00855EF5" w14:paraId="6C64AF77" w14:textId="77777777" w:rsidTr="00EB33AD">
        <w:trPr>
          <w:trHeight w:val="290"/>
        </w:trPr>
        <w:tc>
          <w:tcPr>
            <w:tcW w:w="353" w:type="dxa"/>
            <w:tcBorders>
              <w:top w:val="nil"/>
              <w:left w:val="single" w:sz="4" w:space="0" w:color="auto"/>
              <w:bottom w:val="single" w:sz="4" w:space="0" w:color="auto"/>
              <w:right w:val="single" w:sz="4" w:space="0" w:color="auto"/>
            </w:tcBorders>
            <w:shd w:val="clear" w:color="000000" w:fill="FFFFFF"/>
            <w:noWrap/>
            <w:vAlign w:val="center"/>
            <w:hideMark/>
          </w:tcPr>
          <w:p w14:paraId="5B3658C2" w14:textId="77777777" w:rsidR="00F96762" w:rsidRPr="00855EF5" w:rsidRDefault="00F96762" w:rsidP="00EB33AD">
            <w:pPr>
              <w:jc w:val="left"/>
              <w:rPr>
                <w:rFonts w:ascii="Arial Narrow" w:hAnsi="Arial Narrow" w:cs="Calibri"/>
                <w:color w:val="000000"/>
                <w:sz w:val="20"/>
                <w:szCs w:val="20"/>
              </w:rPr>
            </w:pPr>
            <w:r w:rsidRPr="00855EF5">
              <w:rPr>
                <w:rFonts w:ascii="Arial Narrow" w:hAnsi="Arial Narrow" w:cs="Calibri"/>
                <w:color w:val="000000"/>
                <w:sz w:val="20"/>
                <w:szCs w:val="20"/>
              </w:rPr>
              <w:t>A</w:t>
            </w:r>
          </w:p>
        </w:tc>
        <w:tc>
          <w:tcPr>
            <w:tcW w:w="4462" w:type="dxa"/>
            <w:tcBorders>
              <w:top w:val="nil"/>
              <w:left w:val="nil"/>
              <w:bottom w:val="single" w:sz="4" w:space="0" w:color="auto"/>
              <w:right w:val="single" w:sz="4" w:space="0" w:color="auto"/>
            </w:tcBorders>
            <w:shd w:val="clear" w:color="000000" w:fill="FFFFFF"/>
            <w:noWrap/>
            <w:vAlign w:val="center"/>
            <w:hideMark/>
          </w:tcPr>
          <w:p w14:paraId="4EF7E6A3" w14:textId="77777777" w:rsidR="00F96762" w:rsidRPr="00855EF5" w:rsidRDefault="00F96762" w:rsidP="00EB33AD">
            <w:pPr>
              <w:jc w:val="left"/>
              <w:rPr>
                <w:rFonts w:ascii="Arial Narrow" w:hAnsi="Arial Narrow" w:cs="Calibri"/>
                <w:color w:val="000000"/>
                <w:sz w:val="20"/>
                <w:szCs w:val="20"/>
              </w:rPr>
            </w:pPr>
            <w:r w:rsidRPr="00855EF5">
              <w:rPr>
                <w:rFonts w:ascii="Arial Narrow" w:hAnsi="Arial Narrow" w:cs="Calibri"/>
                <w:color w:val="000000"/>
                <w:sz w:val="20"/>
                <w:szCs w:val="20"/>
              </w:rPr>
              <w:t>Organ transplant on treatment</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1757E517" w14:textId="40215DAC" w:rsidR="00F96762" w:rsidRPr="00083DC4" w:rsidRDefault="004755B7" w:rsidP="00EB33AD">
            <w:pPr>
              <w:jc w:val="center"/>
              <w:rPr>
                <w:rFonts w:ascii="Arial Narrow" w:hAnsi="Arial Narrow" w:cs="Calibri"/>
                <w:color w:val="000000"/>
                <w:sz w:val="20"/>
                <w:szCs w:val="20"/>
                <w:vertAlign w:val="superscript"/>
              </w:rPr>
            </w:pPr>
            <w:r w:rsidRPr="004755B7">
              <w:rPr>
                <w:rFonts w:ascii="Arial Narrow" w:hAnsi="Arial Narrow" w:cs="Calibri"/>
                <w:color w:val="000000"/>
                <w:sz w:val="20"/>
                <w:szCs w:val="20"/>
                <w:shd w:val="solid" w:color="000000" w:fill="000000"/>
                <w14:textFill>
                  <w14:solidFill>
                    <w14:srgbClr w14:val="000000">
                      <w14:alpha w14:val="100000"/>
                    </w14:srgbClr>
                  </w14:solidFill>
                </w14:textFill>
              </w:rPr>
              <w:t>|</w:t>
            </w:r>
            <w:r w:rsidR="00083DC4">
              <w:rPr>
                <w:rFonts w:ascii="Arial Narrow" w:hAnsi="Arial Narrow" w:cs="Calibri"/>
                <w:sz w:val="20"/>
                <w:szCs w:val="20"/>
                <w:vertAlign w:val="superscript"/>
              </w:rPr>
              <w:t>1</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21FC7016" w14:textId="390C535D" w:rsidR="00F96762" w:rsidRPr="00083DC4" w:rsidRDefault="004755B7" w:rsidP="00EB33AD">
            <w:pPr>
              <w:jc w:val="right"/>
              <w:rPr>
                <w:rFonts w:ascii="Arial Narrow" w:hAnsi="Arial Narrow" w:cs="Calibri"/>
                <w:color w:val="000000"/>
                <w:sz w:val="20"/>
                <w:szCs w:val="20"/>
                <w:vertAlign w:val="superscript"/>
              </w:rPr>
            </w:pPr>
            <w:r w:rsidRPr="004755B7">
              <w:rPr>
                <w:rFonts w:ascii="Arial Narrow" w:hAnsi="Arial Narrow" w:cs="Calibri"/>
                <w:color w:val="000000"/>
                <w:sz w:val="20"/>
                <w:szCs w:val="20"/>
                <w:shd w:val="solid" w:color="000000" w:fill="000000"/>
                <w14:textFill>
                  <w14:solidFill>
                    <w14:srgbClr w14:val="000000">
                      <w14:alpha w14:val="100000"/>
                    </w14:srgbClr>
                  </w14:solidFill>
                </w14:textFill>
              </w:rPr>
              <w:t>|</w:t>
            </w:r>
            <w:r w:rsidR="00083DC4">
              <w:rPr>
                <w:rFonts w:ascii="Arial Narrow" w:hAnsi="Arial Narrow" w:cs="Calibri"/>
                <w:color w:val="000000"/>
                <w:sz w:val="20"/>
                <w:szCs w:val="20"/>
                <w:vertAlign w:val="superscript"/>
              </w:rPr>
              <w:t>1</w:t>
            </w:r>
          </w:p>
        </w:tc>
      </w:tr>
      <w:tr w:rsidR="00F96762" w:rsidRPr="00855EF5" w14:paraId="57DD9165" w14:textId="77777777" w:rsidTr="00EB33AD">
        <w:trPr>
          <w:trHeight w:val="290"/>
        </w:trPr>
        <w:tc>
          <w:tcPr>
            <w:tcW w:w="353" w:type="dxa"/>
            <w:tcBorders>
              <w:top w:val="nil"/>
              <w:left w:val="single" w:sz="4" w:space="0" w:color="auto"/>
              <w:bottom w:val="single" w:sz="4" w:space="0" w:color="auto"/>
              <w:right w:val="single" w:sz="4" w:space="0" w:color="auto"/>
            </w:tcBorders>
            <w:shd w:val="clear" w:color="000000" w:fill="FFFFFF"/>
            <w:noWrap/>
            <w:vAlign w:val="center"/>
            <w:hideMark/>
          </w:tcPr>
          <w:p w14:paraId="6DAC6043" w14:textId="77777777" w:rsidR="00F96762" w:rsidRPr="00855EF5" w:rsidRDefault="00F96762" w:rsidP="00EB33AD">
            <w:pPr>
              <w:jc w:val="left"/>
              <w:rPr>
                <w:rFonts w:ascii="Arial Narrow" w:hAnsi="Arial Narrow" w:cs="Calibri"/>
                <w:color w:val="000000"/>
                <w:sz w:val="20"/>
                <w:szCs w:val="20"/>
              </w:rPr>
            </w:pPr>
            <w:r w:rsidRPr="00855EF5">
              <w:rPr>
                <w:rFonts w:ascii="Arial Narrow" w:hAnsi="Arial Narrow" w:cs="Calibri"/>
                <w:color w:val="000000"/>
                <w:sz w:val="20"/>
                <w:szCs w:val="20"/>
              </w:rPr>
              <w:t>B</w:t>
            </w:r>
          </w:p>
        </w:tc>
        <w:tc>
          <w:tcPr>
            <w:tcW w:w="4462" w:type="dxa"/>
            <w:tcBorders>
              <w:top w:val="nil"/>
              <w:left w:val="nil"/>
              <w:bottom w:val="single" w:sz="4" w:space="0" w:color="auto"/>
              <w:right w:val="single" w:sz="4" w:space="0" w:color="auto"/>
            </w:tcBorders>
            <w:shd w:val="clear" w:color="000000" w:fill="FFFFFF"/>
            <w:noWrap/>
            <w:vAlign w:val="center"/>
            <w:hideMark/>
          </w:tcPr>
          <w:p w14:paraId="08F5EA3F" w14:textId="77777777" w:rsidR="00F96762" w:rsidRPr="00855EF5" w:rsidRDefault="00F96762" w:rsidP="00EB33AD">
            <w:pPr>
              <w:jc w:val="left"/>
              <w:rPr>
                <w:rFonts w:ascii="Arial Narrow" w:hAnsi="Arial Narrow" w:cs="Calibri"/>
                <w:color w:val="000000"/>
                <w:sz w:val="20"/>
                <w:szCs w:val="20"/>
              </w:rPr>
            </w:pPr>
            <w:r w:rsidRPr="00855EF5">
              <w:rPr>
                <w:rFonts w:ascii="Arial Narrow" w:hAnsi="Arial Narrow" w:cs="Calibri"/>
                <w:color w:val="000000"/>
                <w:sz w:val="20"/>
                <w:szCs w:val="20"/>
              </w:rPr>
              <w:t>HSCT transplant last 2 years</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D2828C2" w14:textId="5180EDE9" w:rsidR="00F96762" w:rsidRPr="00083DC4" w:rsidRDefault="004755B7" w:rsidP="00EB33AD">
            <w:pPr>
              <w:jc w:val="center"/>
              <w:rPr>
                <w:rFonts w:ascii="Arial Narrow" w:hAnsi="Arial Narrow" w:cs="Calibri"/>
                <w:color w:val="000000"/>
                <w:sz w:val="20"/>
                <w:szCs w:val="20"/>
                <w:vertAlign w:val="superscript"/>
              </w:rPr>
            </w:pPr>
            <w:r w:rsidRPr="004755B7">
              <w:rPr>
                <w:rFonts w:ascii="Arial Narrow" w:hAnsi="Arial Narrow" w:cs="Calibri"/>
                <w:color w:val="000000"/>
                <w:sz w:val="20"/>
                <w:szCs w:val="20"/>
                <w:shd w:val="solid" w:color="000000" w:fill="000000"/>
                <w14:textFill>
                  <w14:solidFill>
                    <w14:srgbClr w14:val="000000">
                      <w14:alpha w14:val="100000"/>
                    </w14:srgbClr>
                  </w14:solidFill>
                </w14:textFill>
              </w:rPr>
              <w:t>|</w:t>
            </w:r>
            <w:r w:rsidR="00083DC4">
              <w:rPr>
                <w:rFonts w:ascii="Arial Narrow" w:hAnsi="Arial Narrow" w:cs="Calibri"/>
                <w:sz w:val="20"/>
                <w:szCs w:val="20"/>
                <w:vertAlign w:val="superscript"/>
              </w:rPr>
              <w:t>2</w:t>
            </w:r>
          </w:p>
        </w:tc>
        <w:tc>
          <w:tcPr>
            <w:tcW w:w="241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68B08B51" w14:textId="77777777" w:rsidR="00F96762" w:rsidRPr="00855EF5" w:rsidRDefault="00F96762" w:rsidP="00EB33AD">
            <w:pPr>
              <w:jc w:val="left"/>
              <w:rPr>
                <w:rFonts w:ascii="Arial Narrow" w:hAnsi="Arial Narrow" w:cs="Calibri"/>
                <w:color w:val="000000"/>
                <w:sz w:val="20"/>
                <w:szCs w:val="20"/>
              </w:rPr>
            </w:pPr>
            <w:r w:rsidRPr="00855EF5">
              <w:rPr>
                <w:rFonts w:ascii="Arial Narrow" w:hAnsi="Arial Narrow" w:cs="Calibri"/>
                <w:color w:val="000000"/>
                <w:sz w:val="20"/>
                <w:szCs w:val="20"/>
              </w:rPr>
              <w:t> </w:t>
            </w:r>
          </w:p>
        </w:tc>
      </w:tr>
      <w:tr w:rsidR="00F96762" w:rsidRPr="00855EF5" w14:paraId="5787A393" w14:textId="77777777" w:rsidTr="00EB33AD">
        <w:trPr>
          <w:trHeight w:val="290"/>
        </w:trPr>
        <w:tc>
          <w:tcPr>
            <w:tcW w:w="353" w:type="dxa"/>
            <w:tcBorders>
              <w:top w:val="nil"/>
              <w:left w:val="single" w:sz="4" w:space="0" w:color="auto"/>
              <w:bottom w:val="single" w:sz="4" w:space="0" w:color="auto"/>
              <w:right w:val="single" w:sz="4" w:space="0" w:color="auto"/>
            </w:tcBorders>
            <w:shd w:val="clear" w:color="000000" w:fill="FFFFFF"/>
            <w:noWrap/>
            <w:vAlign w:val="center"/>
            <w:hideMark/>
          </w:tcPr>
          <w:p w14:paraId="6A1FA9E7" w14:textId="77777777" w:rsidR="00F96762" w:rsidRPr="00855EF5" w:rsidRDefault="00F96762" w:rsidP="00EB33AD">
            <w:pPr>
              <w:jc w:val="left"/>
              <w:rPr>
                <w:rFonts w:ascii="Arial Narrow" w:hAnsi="Arial Narrow" w:cs="Calibri"/>
                <w:color w:val="000000"/>
                <w:sz w:val="20"/>
                <w:szCs w:val="20"/>
              </w:rPr>
            </w:pPr>
            <w:r w:rsidRPr="00855EF5">
              <w:rPr>
                <w:rFonts w:ascii="Arial Narrow" w:hAnsi="Arial Narrow" w:cs="Calibri"/>
                <w:color w:val="000000"/>
                <w:sz w:val="20"/>
                <w:szCs w:val="20"/>
              </w:rPr>
              <w:t>C</w:t>
            </w:r>
          </w:p>
        </w:tc>
        <w:tc>
          <w:tcPr>
            <w:tcW w:w="4462" w:type="dxa"/>
            <w:tcBorders>
              <w:top w:val="nil"/>
              <w:left w:val="nil"/>
              <w:bottom w:val="single" w:sz="4" w:space="0" w:color="auto"/>
              <w:right w:val="single" w:sz="4" w:space="0" w:color="auto"/>
            </w:tcBorders>
            <w:shd w:val="clear" w:color="000000" w:fill="FFFFFF"/>
            <w:noWrap/>
            <w:vAlign w:val="center"/>
            <w:hideMark/>
          </w:tcPr>
          <w:p w14:paraId="5BC5F76E" w14:textId="77777777" w:rsidR="00F96762" w:rsidRPr="00855EF5" w:rsidRDefault="00F96762" w:rsidP="00EB33AD">
            <w:pPr>
              <w:jc w:val="left"/>
              <w:rPr>
                <w:rFonts w:ascii="Arial Narrow" w:hAnsi="Arial Narrow" w:cs="Calibri"/>
                <w:color w:val="000000"/>
                <w:sz w:val="20"/>
                <w:szCs w:val="20"/>
              </w:rPr>
            </w:pPr>
            <w:r w:rsidRPr="00855EF5">
              <w:rPr>
                <w:rFonts w:ascii="Arial Narrow" w:hAnsi="Arial Narrow" w:cs="Calibri"/>
                <w:color w:val="000000"/>
                <w:sz w:val="20"/>
                <w:szCs w:val="20"/>
              </w:rPr>
              <w:t>Haematologic malignancies on treatment &amp; CLL patients</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4B2221C" w14:textId="5C2DD5D9" w:rsidR="00F96762" w:rsidRPr="003461AA" w:rsidRDefault="004755B7" w:rsidP="00EB33AD">
            <w:pPr>
              <w:jc w:val="center"/>
              <w:rPr>
                <w:rFonts w:ascii="Arial Narrow" w:hAnsi="Arial Narrow" w:cs="Calibri"/>
                <w:color w:val="000000"/>
                <w:sz w:val="20"/>
                <w:szCs w:val="20"/>
                <w:vertAlign w:val="superscript"/>
              </w:rPr>
            </w:pPr>
            <w:r w:rsidRPr="004755B7">
              <w:rPr>
                <w:rFonts w:ascii="Arial Narrow" w:hAnsi="Arial Narrow" w:cs="Calibri"/>
                <w:color w:val="000000"/>
                <w:sz w:val="20"/>
                <w:szCs w:val="20"/>
                <w:shd w:val="solid" w:color="000000" w:fill="000000"/>
                <w14:textFill>
                  <w14:solidFill>
                    <w14:srgbClr w14:val="000000">
                      <w14:alpha w14:val="100000"/>
                    </w14:srgbClr>
                  </w14:solidFill>
                </w14:textFill>
              </w:rPr>
              <w:t>|</w:t>
            </w:r>
            <w:r w:rsidR="003461AA">
              <w:rPr>
                <w:rFonts w:ascii="Arial Narrow" w:hAnsi="Arial Narrow" w:cs="Calibri"/>
                <w:sz w:val="20"/>
                <w:szCs w:val="20"/>
                <w:vertAlign w:val="superscript"/>
              </w:rPr>
              <w:t>3</w:t>
            </w:r>
          </w:p>
        </w:tc>
        <w:tc>
          <w:tcPr>
            <w:tcW w:w="2410" w:type="dxa"/>
            <w:tcBorders>
              <w:top w:val="nil"/>
              <w:left w:val="nil"/>
              <w:bottom w:val="single" w:sz="4" w:space="0" w:color="auto"/>
              <w:right w:val="single" w:sz="4" w:space="0" w:color="auto"/>
            </w:tcBorders>
            <w:shd w:val="clear" w:color="auto" w:fill="auto"/>
            <w:noWrap/>
            <w:vAlign w:val="bottom"/>
            <w:hideMark/>
          </w:tcPr>
          <w:p w14:paraId="50D35C45" w14:textId="45409CAC" w:rsidR="00F96762" w:rsidRPr="003461AA" w:rsidRDefault="004755B7" w:rsidP="00EB33AD">
            <w:pPr>
              <w:jc w:val="right"/>
              <w:rPr>
                <w:rFonts w:ascii="Arial Narrow" w:hAnsi="Arial Narrow" w:cs="Calibri"/>
                <w:color w:val="000000"/>
                <w:sz w:val="20"/>
                <w:szCs w:val="20"/>
                <w:vertAlign w:val="superscript"/>
              </w:rPr>
            </w:pPr>
            <w:r w:rsidRPr="004755B7">
              <w:rPr>
                <w:rFonts w:ascii="Arial Narrow" w:hAnsi="Arial Narrow" w:cs="Calibri"/>
                <w:color w:val="000000"/>
                <w:sz w:val="20"/>
                <w:szCs w:val="20"/>
                <w:shd w:val="solid" w:color="000000" w:fill="000000"/>
                <w14:textFill>
                  <w14:solidFill>
                    <w14:srgbClr w14:val="000000">
                      <w14:alpha w14:val="100000"/>
                    </w14:srgbClr>
                  </w14:solidFill>
                </w14:textFill>
              </w:rPr>
              <w:t>|</w:t>
            </w:r>
            <w:r w:rsidR="003461AA">
              <w:rPr>
                <w:rFonts w:ascii="Arial Narrow" w:hAnsi="Arial Narrow" w:cs="Calibri"/>
                <w:color w:val="000000"/>
                <w:sz w:val="20"/>
                <w:szCs w:val="20"/>
                <w:vertAlign w:val="superscript"/>
              </w:rPr>
              <w:t>3</w:t>
            </w:r>
          </w:p>
        </w:tc>
      </w:tr>
      <w:tr w:rsidR="00F96762" w:rsidRPr="00855EF5" w14:paraId="365FDA76" w14:textId="77777777" w:rsidTr="00EB33AD">
        <w:trPr>
          <w:trHeight w:val="290"/>
        </w:trPr>
        <w:tc>
          <w:tcPr>
            <w:tcW w:w="353" w:type="dxa"/>
            <w:tcBorders>
              <w:top w:val="nil"/>
              <w:left w:val="single" w:sz="4" w:space="0" w:color="auto"/>
              <w:bottom w:val="single" w:sz="4" w:space="0" w:color="auto"/>
              <w:right w:val="single" w:sz="4" w:space="0" w:color="auto"/>
            </w:tcBorders>
            <w:shd w:val="clear" w:color="000000" w:fill="FFFFFF"/>
            <w:noWrap/>
            <w:vAlign w:val="center"/>
            <w:hideMark/>
          </w:tcPr>
          <w:p w14:paraId="099B1672" w14:textId="77777777" w:rsidR="00F96762" w:rsidRPr="00855EF5" w:rsidRDefault="00F96762" w:rsidP="00EB33AD">
            <w:pPr>
              <w:jc w:val="left"/>
              <w:rPr>
                <w:rFonts w:ascii="Arial Narrow" w:hAnsi="Arial Narrow" w:cs="Calibri"/>
                <w:color w:val="000000"/>
                <w:sz w:val="20"/>
                <w:szCs w:val="20"/>
              </w:rPr>
            </w:pPr>
            <w:r w:rsidRPr="00855EF5">
              <w:rPr>
                <w:rFonts w:ascii="Arial Narrow" w:hAnsi="Arial Narrow" w:cs="Calibri"/>
                <w:color w:val="000000"/>
                <w:sz w:val="20"/>
                <w:szCs w:val="20"/>
              </w:rPr>
              <w:t>D</w:t>
            </w:r>
          </w:p>
        </w:tc>
        <w:tc>
          <w:tcPr>
            <w:tcW w:w="4462" w:type="dxa"/>
            <w:tcBorders>
              <w:top w:val="nil"/>
              <w:left w:val="nil"/>
              <w:bottom w:val="single" w:sz="4" w:space="0" w:color="auto"/>
              <w:right w:val="single" w:sz="4" w:space="0" w:color="auto"/>
            </w:tcBorders>
            <w:shd w:val="clear" w:color="000000" w:fill="FFFFFF"/>
            <w:noWrap/>
            <w:vAlign w:val="center"/>
            <w:hideMark/>
          </w:tcPr>
          <w:p w14:paraId="1DB8D74D" w14:textId="77777777" w:rsidR="00F96762" w:rsidRPr="00855EF5" w:rsidRDefault="00F96762" w:rsidP="00EB33AD">
            <w:pPr>
              <w:jc w:val="left"/>
              <w:rPr>
                <w:rFonts w:ascii="Arial Narrow" w:hAnsi="Arial Narrow" w:cs="Calibri"/>
                <w:color w:val="000000"/>
                <w:sz w:val="20"/>
                <w:szCs w:val="20"/>
              </w:rPr>
            </w:pPr>
            <w:r w:rsidRPr="00855EF5">
              <w:rPr>
                <w:rFonts w:ascii="Arial Narrow" w:hAnsi="Arial Narrow" w:cs="Calibri"/>
                <w:color w:val="000000"/>
                <w:sz w:val="20"/>
                <w:szCs w:val="20"/>
              </w:rPr>
              <w:t>Anti-CD20- non haematological indications</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7286E2D" w14:textId="6544BA15" w:rsidR="00F96762" w:rsidRPr="003461AA" w:rsidRDefault="004755B7" w:rsidP="00EB33AD">
            <w:pPr>
              <w:jc w:val="center"/>
              <w:rPr>
                <w:rFonts w:ascii="Arial Narrow" w:hAnsi="Arial Narrow" w:cs="Calibri"/>
                <w:color w:val="000000"/>
                <w:sz w:val="20"/>
                <w:szCs w:val="20"/>
                <w:vertAlign w:val="superscript"/>
              </w:rPr>
            </w:pPr>
            <w:r w:rsidRPr="004755B7">
              <w:rPr>
                <w:rFonts w:ascii="Arial Narrow" w:hAnsi="Arial Narrow" w:cs="Calibri"/>
                <w:color w:val="000000"/>
                <w:sz w:val="20"/>
                <w:szCs w:val="20"/>
                <w:shd w:val="solid" w:color="000000" w:fill="000000"/>
                <w14:textFill>
                  <w14:solidFill>
                    <w14:srgbClr w14:val="000000">
                      <w14:alpha w14:val="100000"/>
                    </w14:srgbClr>
                  </w14:solidFill>
                </w14:textFill>
              </w:rPr>
              <w:t>|</w:t>
            </w:r>
            <w:r w:rsidR="003461AA">
              <w:rPr>
                <w:rFonts w:ascii="Arial Narrow" w:hAnsi="Arial Narrow" w:cs="Calibri"/>
                <w:sz w:val="20"/>
                <w:szCs w:val="20"/>
                <w:vertAlign w:val="superscript"/>
              </w:rPr>
              <w:t>4</w:t>
            </w:r>
          </w:p>
        </w:tc>
        <w:tc>
          <w:tcPr>
            <w:tcW w:w="2410" w:type="dxa"/>
            <w:tcBorders>
              <w:top w:val="nil"/>
              <w:left w:val="nil"/>
              <w:bottom w:val="single" w:sz="4" w:space="0" w:color="auto"/>
              <w:right w:val="single" w:sz="4" w:space="0" w:color="auto"/>
            </w:tcBorders>
            <w:shd w:val="clear" w:color="auto" w:fill="auto"/>
            <w:noWrap/>
            <w:vAlign w:val="bottom"/>
            <w:hideMark/>
          </w:tcPr>
          <w:p w14:paraId="45179FF2" w14:textId="5BCB231A" w:rsidR="00F96762" w:rsidRPr="003461AA" w:rsidRDefault="004755B7" w:rsidP="00EB33AD">
            <w:pPr>
              <w:jc w:val="right"/>
              <w:rPr>
                <w:rFonts w:ascii="Arial Narrow" w:hAnsi="Arial Narrow" w:cs="Calibri"/>
                <w:color w:val="000000"/>
                <w:sz w:val="20"/>
                <w:szCs w:val="20"/>
                <w:vertAlign w:val="superscript"/>
              </w:rPr>
            </w:pPr>
            <w:r w:rsidRPr="004755B7">
              <w:rPr>
                <w:rFonts w:ascii="Arial Narrow" w:hAnsi="Arial Narrow" w:cs="Calibri"/>
                <w:color w:val="000000"/>
                <w:sz w:val="20"/>
                <w:szCs w:val="20"/>
                <w:shd w:val="solid" w:color="000000" w:fill="000000"/>
                <w14:textFill>
                  <w14:solidFill>
                    <w14:srgbClr w14:val="000000">
                      <w14:alpha w14:val="100000"/>
                    </w14:srgbClr>
                  </w14:solidFill>
                </w14:textFill>
              </w:rPr>
              <w:t>|</w:t>
            </w:r>
            <w:r w:rsidR="003461AA">
              <w:rPr>
                <w:rFonts w:ascii="Arial Narrow" w:hAnsi="Arial Narrow" w:cs="Calibri"/>
                <w:color w:val="000000"/>
                <w:sz w:val="20"/>
                <w:szCs w:val="20"/>
                <w:vertAlign w:val="superscript"/>
              </w:rPr>
              <w:t>5</w:t>
            </w:r>
          </w:p>
        </w:tc>
      </w:tr>
      <w:tr w:rsidR="00F96762" w:rsidRPr="00855EF5" w14:paraId="1FCCCF8B" w14:textId="77777777" w:rsidTr="00EB33AD">
        <w:trPr>
          <w:trHeight w:val="290"/>
        </w:trPr>
        <w:tc>
          <w:tcPr>
            <w:tcW w:w="353" w:type="dxa"/>
            <w:tcBorders>
              <w:top w:val="nil"/>
              <w:left w:val="single" w:sz="4" w:space="0" w:color="auto"/>
              <w:bottom w:val="single" w:sz="4" w:space="0" w:color="auto"/>
              <w:right w:val="single" w:sz="4" w:space="0" w:color="auto"/>
            </w:tcBorders>
            <w:shd w:val="clear" w:color="000000" w:fill="FFFFFF"/>
            <w:noWrap/>
            <w:vAlign w:val="center"/>
            <w:hideMark/>
          </w:tcPr>
          <w:p w14:paraId="164CA8A7" w14:textId="77777777" w:rsidR="00F96762" w:rsidRPr="00855EF5" w:rsidRDefault="00F96762" w:rsidP="00EB33AD">
            <w:pPr>
              <w:jc w:val="left"/>
              <w:rPr>
                <w:rFonts w:ascii="Arial Narrow" w:hAnsi="Arial Narrow" w:cs="Calibri"/>
                <w:color w:val="000000"/>
                <w:sz w:val="20"/>
                <w:szCs w:val="20"/>
              </w:rPr>
            </w:pPr>
            <w:r w:rsidRPr="00855EF5">
              <w:rPr>
                <w:rFonts w:ascii="Arial Narrow" w:hAnsi="Arial Narrow" w:cs="Calibri"/>
                <w:color w:val="000000"/>
                <w:sz w:val="20"/>
                <w:szCs w:val="20"/>
              </w:rPr>
              <w:t>E</w:t>
            </w:r>
          </w:p>
        </w:tc>
        <w:tc>
          <w:tcPr>
            <w:tcW w:w="4462" w:type="dxa"/>
            <w:tcBorders>
              <w:top w:val="nil"/>
              <w:left w:val="nil"/>
              <w:bottom w:val="single" w:sz="4" w:space="0" w:color="auto"/>
              <w:right w:val="single" w:sz="4" w:space="0" w:color="auto"/>
            </w:tcBorders>
            <w:shd w:val="clear" w:color="000000" w:fill="FFFFFF"/>
            <w:noWrap/>
            <w:vAlign w:val="center"/>
            <w:hideMark/>
          </w:tcPr>
          <w:p w14:paraId="15EEC299" w14:textId="77777777" w:rsidR="00F96762" w:rsidRPr="00855EF5" w:rsidRDefault="00F96762" w:rsidP="00EB33AD">
            <w:pPr>
              <w:jc w:val="left"/>
              <w:rPr>
                <w:rFonts w:ascii="Arial Narrow" w:hAnsi="Arial Narrow" w:cs="Calibri"/>
                <w:color w:val="000000"/>
                <w:sz w:val="20"/>
                <w:szCs w:val="20"/>
              </w:rPr>
            </w:pPr>
            <w:r w:rsidRPr="00855EF5">
              <w:rPr>
                <w:rFonts w:ascii="Arial Narrow" w:hAnsi="Arial Narrow" w:cs="Calibri"/>
                <w:color w:val="000000"/>
                <w:sz w:val="20"/>
                <w:szCs w:val="20"/>
              </w:rPr>
              <w:t>Primary immunodeficiency</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3AC1657" w14:textId="7F436432" w:rsidR="00F96762" w:rsidRPr="003461AA" w:rsidRDefault="004755B7" w:rsidP="00EB33AD">
            <w:pPr>
              <w:jc w:val="center"/>
              <w:rPr>
                <w:rFonts w:ascii="Arial Narrow" w:hAnsi="Arial Narrow" w:cs="Calibri"/>
                <w:color w:val="000000"/>
                <w:sz w:val="20"/>
                <w:szCs w:val="20"/>
                <w:vertAlign w:val="superscript"/>
              </w:rPr>
            </w:pPr>
            <w:r w:rsidRPr="004755B7">
              <w:rPr>
                <w:rFonts w:ascii="Arial Narrow" w:hAnsi="Arial Narrow" w:cs="Calibri"/>
                <w:color w:val="000000"/>
                <w:sz w:val="20"/>
                <w:szCs w:val="20"/>
                <w:shd w:val="solid" w:color="000000" w:fill="000000"/>
                <w14:textFill>
                  <w14:solidFill>
                    <w14:srgbClr w14:val="000000">
                      <w14:alpha w14:val="100000"/>
                    </w14:srgbClr>
                  </w14:solidFill>
                </w14:textFill>
              </w:rPr>
              <w:t>|</w:t>
            </w:r>
            <w:r w:rsidR="003461AA">
              <w:rPr>
                <w:rFonts w:ascii="Arial Narrow" w:hAnsi="Arial Narrow" w:cs="Calibri"/>
                <w:sz w:val="20"/>
                <w:szCs w:val="20"/>
                <w:vertAlign w:val="superscript"/>
              </w:rPr>
              <w:t>2</w:t>
            </w:r>
          </w:p>
        </w:tc>
        <w:tc>
          <w:tcPr>
            <w:tcW w:w="2410" w:type="dxa"/>
            <w:tcBorders>
              <w:top w:val="nil"/>
              <w:left w:val="nil"/>
              <w:bottom w:val="single" w:sz="4" w:space="0" w:color="auto"/>
              <w:right w:val="single" w:sz="4" w:space="0" w:color="auto"/>
            </w:tcBorders>
            <w:shd w:val="clear" w:color="auto" w:fill="D9D9D9" w:themeFill="background1" w:themeFillShade="D9"/>
            <w:noWrap/>
            <w:vAlign w:val="bottom"/>
            <w:hideMark/>
          </w:tcPr>
          <w:p w14:paraId="7BE1C844" w14:textId="77777777" w:rsidR="00F96762" w:rsidRPr="00855EF5" w:rsidRDefault="00F96762" w:rsidP="00EB33AD">
            <w:pPr>
              <w:jc w:val="left"/>
              <w:rPr>
                <w:rFonts w:ascii="Arial Narrow" w:hAnsi="Arial Narrow" w:cs="Calibri"/>
                <w:color w:val="000000"/>
                <w:sz w:val="20"/>
                <w:szCs w:val="20"/>
              </w:rPr>
            </w:pPr>
            <w:r w:rsidRPr="00855EF5">
              <w:rPr>
                <w:rFonts w:ascii="Arial Narrow" w:hAnsi="Arial Narrow" w:cs="Calibri"/>
                <w:color w:val="000000"/>
                <w:sz w:val="20"/>
                <w:szCs w:val="20"/>
              </w:rPr>
              <w:t> </w:t>
            </w:r>
          </w:p>
        </w:tc>
      </w:tr>
      <w:tr w:rsidR="00F96762" w:rsidRPr="00855EF5" w14:paraId="464E2738" w14:textId="77777777" w:rsidTr="00EB33AD">
        <w:trPr>
          <w:trHeight w:val="290"/>
        </w:trPr>
        <w:tc>
          <w:tcPr>
            <w:tcW w:w="353" w:type="dxa"/>
            <w:tcBorders>
              <w:top w:val="nil"/>
              <w:left w:val="single" w:sz="4" w:space="0" w:color="auto"/>
              <w:bottom w:val="single" w:sz="4" w:space="0" w:color="auto"/>
              <w:right w:val="single" w:sz="4" w:space="0" w:color="auto"/>
            </w:tcBorders>
            <w:shd w:val="clear" w:color="000000" w:fill="FFFFFF"/>
            <w:noWrap/>
            <w:vAlign w:val="center"/>
            <w:hideMark/>
          </w:tcPr>
          <w:p w14:paraId="0F42BE46" w14:textId="77777777" w:rsidR="00F96762" w:rsidRPr="00855EF5" w:rsidRDefault="00F96762" w:rsidP="00EB33AD">
            <w:pPr>
              <w:jc w:val="left"/>
              <w:rPr>
                <w:rFonts w:ascii="Arial Narrow" w:hAnsi="Arial Narrow" w:cs="Calibri"/>
                <w:color w:val="000000"/>
                <w:sz w:val="20"/>
                <w:szCs w:val="20"/>
              </w:rPr>
            </w:pPr>
            <w:r w:rsidRPr="00855EF5">
              <w:rPr>
                <w:rFonts w:ascii="Arial Narrow" w:hAnsi="Arial Narrow" w:cs="Calibri"/>
                <w:color w:val="000000"/>
                <w:sz w:val="20"/>
                <w:szCs w:val="20"/>
              </w:rPr>
              <w:t>F</w:t>
            </w:r>
          </w:p>
        </w:tc>
        <w:tc>
          <w:tcPr>
            <w:tcW w:w="4462" w:type="dxa"/>
            <w:tcBorders>
              <w:top w:val="nil"/>
              <w:left w:val="nil"/>
              <w:bottom w:val="single" w:sz="4" w:space="0" w:color="auto"/>
              <w:right w:val="single" w:sz="4" w:space="0" w:color="auto"/>
            </w:tcBorders>
            <w:shd w:val="clear" w:color="000000" w:fill="FFFFFF"/>
            <w:noWrap/>
            <w:vAlign w:val="center"/>
            <w:hideMark/>
          </w:tcPr>
          <w:p w14:paraId="0E8A2E71" w14:textId="77777777" w:rsidR="00F96762" w:rsidRPr="00855EF5" w:rsidRDefault="00F96762" w:rsidP="00EB33AD">
            <w:pPr>
              <w:jc w:val="left"/>
              <w:rPr>
                <w:rFonts w:ascii="Arial Narrow" w:hAnsi="Arial Narrow" w:cs="Calibri"/>
                <w:color w:val="000000"/>
                <w:sz w:val="20"/>
                <w:szCs w:val="20"/>
              </w:rPr>
            </w:pPr>
            <w:r w:rsidRPr="00855EF5">
              <w:rPr>
                <w:rFonts w:ascii="Arial Narrow" w:hAnsi="Arial Narrow" w:cs="Calibri"/>
                <w:color w:val="000000"/>
                <w:sz w:val="20"/>
                <w:szCs w:val="20"/>
              </w:rPr>
              <w:t>HIV/AIDS -3% resistant to anti-retroviral therapy</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66246291" w14:textId="2B698F3C" w:rsidR="00F96762" w:rsidRPr="003461AA" w:rsidRDefault="004755B7" w:rsidP="00EB33AD">
            <w:pPr>
              <w:jc w:val="center"/>
              <w:rPr>
                <w:rFonts w:ascii="Arial Narrow" w:hAnsi="Arial Narrow" w:cs="Calibri"/>
                <w:color w:val="000000"/>
                <w:sz w:val="20"/>
                <w:szCs w:val="20"/>
                <w:vertAlign w:val="superscript"/>
              </w:rPr>
            </w:pPr>
            <w:r w:rsidRPr="004755B7">
              <w:rPr>
                <w:rFonts w:ascii="Arial Narrow" w:hAnsi="Arial Narrow" w:cs="Calibri"/>
                <w:color w:val="000000"/>
                <w:sz w:val="20"/>
                <w:szCs w:val="20"/>
                <w:shd w:val="solid" w:color="000000" w:fill="000000"/>
                <w14:textFill>
                  <w14:solidFill>
                    <w14:srgbClr w14:val="000000">
                      <w14:alpha w14:val="100000"/>
                    </w14:srgbClr>
                  </w14:solidFill>
                </w14:textFill>
              </w:rPr>
              <w:t>|</w:t>
            </w:r>
            <w:r w:rsidR="003461AA">
              <w:rPr>
                <w:rFonts w:ascii="Arial Narrow" w:hAnsi="Arial Narrow" w:cs="Calibri"/>
                <w:sz w:val="20"/>
                <w:szCs w:val="20"/>
                <w:vertAlign w:val="superscript"/>
              </w:rPr>
              <w:t>2</w:t>
            </w:r>
          </w:p>
        </w:tc>
        <w:tc>
          <w:tcPr>
            <w:tcW w:w="2410" w:type="dxa"/>
            <w:tcBorders>
              <w:top w:val="nil"/>
              <w:left w:val="nil"/>
              <w:bottom w:val="single" w:sz="4" w:space="0" w:color="auto"/>
              <w:right w:val="single" w:sz="4" w:space="0" w:color="auto"/>
            </w:tcBorders>
            <w:shd w:val="clear" w:color="auto" w:fill="D9D9D9" w:themeFill="background1" w:themeFillShade="D9"/>
            <w:noWrap/>
            <w:vAlign w:val="bottom"/>
            <w:hideMark/>
          </w:tcPr>
          <w:p w14:paraId="1CE63363" w14:textId="77777777" w:rsidR="00F96762" w:rsidRPr="00855EF5" w:rsidRDefault="00F96762" w:rsidP="00EB33AD">
            <w:pPr>
              <w:jc w:val="left"/>
              <w:rPr>
                <w:rFonts w:ascii="Arial Narrow" w:hAnsi="Arial Narrow" w:cs="Calibri"/>
                <w:color w:val="000000"/>
                <w:sz w:val="20"/>
                <w:szCs w:val="20"/>
              </w:rPr>
            </w:pPr>
            <w:r w:rsidRPr="00855EF5">
              <w:rPr>
                <w:rFonts w:ascii="Arial Narrow" w:hAnsi="Arial Narrow" w:cs="Calibri"/>
                <w:color w:val="000000"/>
                <w:sz w:val="20"/>
                <w:szCs w:val="20"/>
              </w:rPr>
              <w:t> </w:t>
            </w:r>
          </w:p>
        </w:tc>
      </w:tr>
      <w:tr w:rsidR="00F96762" w:rsidRPr="00855EF5" w14:paraId="1EF19D41" w14:textId="77777777" w:rsidTr="00EB33AD">
        <w:trPr>
          <w:trHeight w:val="290"/>
        </w:trPr>
        <w:tc>
          <w:tcPr>
            <w:tcW w:w="353" w:type="dxa"/>
            <w:tcBorders>
              <w:top w:val="nil"/>
              <w:left w:val="single" w:sz="4" w:space="0" w:color="auto"/>
              <w:bottom w:val="single" w:sz="4" w:space="0" w:color="auto"/>
              <w:right w:val="single" w:sz="4" w:space="0" w:color="auto"/>
            </w:tcBorders>
            <w:shd w:val="clear" w:color="000000" w:fill="FFFFFF"/>
            <w:noWrap/>
            <w:vAlign w:val="center"/>
            <w:hideMark/>
          </w:tcPr>
          <w:p w14:paraId="3F436968" w14:textId="77777777" w:rsidR="00F96762" w:rsidRPr="00855EF5" w:rsidRDefault="00F96762" w:rsidP="00EB33AD">
            <w:pPr>
              <w:jc w:val="left"/>
              <w:rPr>
                <w:rFonts w:ascii="Arial Narrow" w:hAnsi="Arial Narrow" w:cs="Calibri"/>
                <w:color w:val="000000"/>
                <w:sz w:val="20"/>
                <w:szCs w:val="20"/>
              </w:rPr>
            </w:pPr>
            <w:r w:rsidRPr="00855EF5">
              <w:rPr>
                <w:rFonts w:ascii="Arial Narrow" w:hAnsi="Arial Narrow" w:cs="Calibri"/>
                <w:color w:val="000000"/>
                <w:sz w:val="20"/>
                <w:szCs w:val="20"/>
              </w:rPr>
              <w:t>G</w:t>
            </w:r>
          </w:p>
        </w:tc>
        <w:tc>
          <w:tcPr>
            <w:tcW w:w="4462" w:type="dxa"/>
            <w:tcBorders>
              <w:top w:val="nil"/>
              <w:left w:val="nil"/>
              <w:bottom w:val="single" w:sz="4" w:space="0" w:color="auto"/>
              <w:right w:val="single" w:sz="4" w:space="0" w:color="auto"/>
            </w:tcBorders>
            <w:shd w:val="clear" w:color="000000" w:fill="FFFFFF"/>
            <w:noWrap/>
            <w:vAlign w:val="center"/>
            <w:hideMark/>
          </w:tcPr>
          <w:p w14:paraId="182FA15C" w14:textId="77777777" w:rsidR="00F96762" w:rsidRPr="00855EF5" w:rsidRDefault="00F96762" w:rsidP="00EB33AD">
            <w:pPr>
              <w:jc w:val="left"/>
              <w:rPr>
                <w:rFonts w:ascii="Arial Narrow" w:hAnsi="Arial Narrow" w:cs="Calibri"/>
                <w:color w:val="000000"/>
                <w:sz w:val="20"/>
                <w:szCs w:val="20"/>
              </w:rPr>
            </w:pPr>
            <w:r w:rsidRPr="00855EF5">
              <w:rPr>
                <w:rFonts w:ascii="Arial Narrow" w:hAnsi="Arial Narrow" w:cs="Calibri"/>
                <w:color w:val="000000"/>
                <w:sz w:val="20"/>
                <w:szCs w:val="20"/>
              </w:rPr>
              <w:t>Dialysis</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64E1372" w14:textId="2A6CBC19" w:rsidR="00F96762" w:rsidRPr="003461AA" w:rsidRDefault="004755B7" w:rsidP="00EB33AD">
            <w:pPr>
              <w:jc w:val="center"/>
              <w:rPr>
                <w:rFonts w:ascii="Arial Narrow" w:hAnsi="Arial Narrow" w:cs="Calibri"/>
                <w:color w:val="000000"/>
                <w:sz w:val="20"/>
                <w:szCs w:val="20"/>
                <w:vertAlign w:val="superscript"/>
              </w:rPr>
            </w:pPr>
            <w:r w:rsidRPr="004755B7">
              <w:rPr>
                <w:rFonts w:ascii="Arial Narrow" w:hAnsi="Arial Narrow" w:cs="Calibri"/>
                <w:color w:val="000000"/>
                <w:sz w:val="20"/>
                <w:szCs w:val="20"/>
                <w:shd w:val="solid" w:color="000000" w:fill="000000"/>
                <w14:textFill>
                  <w14:solidFill>
                    <w14:srgbClr w14:val="000000">
                      <w14:alpha w14:val="100000"/>
                    </w14:srgbClr>
                  </w14:solidFill>
                </w14:textFill>
              </w:rPr>
              <w:t>|</w:t>
            </w:r>
            <w:r w:rsidR="003461AA">
              <w:rPr>
                <w:rFonts w:ascii="Arial Narrow" w:hAnsi="Arial Narrow" w:cs="Calibri"/>
                <w:sz w:val="20"/>
                <w:szCs w:val="20"/>
                <w:vertAlign w:val="superscript"/>
              </w:rPr>
              <w:t>5</w:t>
            </w:r>
          </w:p>
        </w:tc>
        <w:tc>
          <w:tcPr>
            <w:tcW w:w="2410" w:type="dxa"/>
            <w:tcBorders>
              <w:top w:val="nil"/>
              <w:left w:val="nil"/>
              <w:bottom w:val="single" w:sz="4" w:space="0" w:color="auto"/>
              <w:right w:val="single" w:sz="4" w:space="0" w:color="auto"/>
            </w:tcBorders>
            <w:shd w:val="clear" w:color="auto" w:fill="D9D9D9" w:themeFill="background1" w:themeFillShade="D9"/>
            <w:noWrap/>
            <w:vAlign w:val="bottom"/>
            <w:hideMark/>
          </w:tcPr>
          <w:p w14:paraId="2C4CF221" w14:textId="77777777" w:rsidR="00F96762" w:rsidRPr="00855EF5" w:rsidRDefault="00F96762" w:rsidP="00EB33AD">
            <w:pPr>
              <w:jc w:val="left"/>
              <w:rPr>
                <w:rFonts w:ascii="Arial Narrow" w:hAnsi="Arial Narrow" w:cs="Calibri"/>
                <w:color w:val="000000"/>
                <w:sz w:val="20"/>
                <w:szCs w:val="20"/>
              </w:rPr>
            </w:pPr>
            <w:r w:rsidRPr="00855EF5">
              <w:rPr>
                <w:rFonts w:ascii="Arial Narrow" w:hAnsi="Arial Narrow" w:cs="Calibri"/>
                <w:color w:val="000000"/>
                <w:sz w:val="20"/>
                <w:szCs w:val="20"/>
              </w:rPr>
              <w:t> </w:t>
            </w:r>
          </w:p>
        </w:tc>
      </w:tr>
      <w:tr w:rsidR="00F96762" w:rsidRPr="00855EF5" w14:paraId="17CE2831" w14:textId="77777777" w:rsidTr="00EB33AD">
        <w:trPr>
          <w:trHeight w:val="290"/>
        </w:trPr>
        <w:tc>
          <w:tcPr>
            <w:tcW w:w="9209" w:type="dxa"/>
            <w:gridSpan w:val="4"/>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362A821B" w14:textId="77777777" w:rsidR="00F96762" w:rsidRPr="00855EF5" w:rsidRDefault="00F96762" w:rsidP="00EB33AD">
            <w:pPr>
              <w:jc w:val="left"/>
              <w:rPr>
                <w:rFonts w:ascii="Arial Narrow" w:hAnsi="Arial Narrow" w:cs="Calibri"/>
                <w:b/>
                <w:bCs/>
                <w:color w:val="000000"/>
                <w:sz w:val="20"/>
                <w:szCs w:val="20"/>
                <w:vertAlign w:val="superscript"/>
              </w:rPr>
            </w:pPr>
            <w:r w:rsidRPr="00855EF5">
              <w:rPr>
                <w:rFonts w:ascii="Arial Narrow" w:hAnsi="Arial Narrow" w:cs="Calibri"/>
                <w:b/>
                <w:bCs/>
                <w:color w:val="000000"/>
                <w:sz w:val="20"/>
                <w:szCs w:val="20"/>
              </w:rPr>
              <w:t>Population 2 - ≥70 years and one other comorbidity</w:t>
            </w:r>
            <w:r w:rsidRPr="00855EF5">
              <w:rPr>
                <w:rFonts w:ascii="Arial Narrow" w:hAnsi="Arial Narrow" w:cs="Calibri"/>
                <w:b/>
                <w:bCs/>
                <w:color w:val="000000"/>
                <w:sz w:val="20"/>
                <w:szCs w:val="20"/>
                <w:vertAlign w:val="superscript"/>
              </w:rPr>
              <w:t>b</w:t>
            </w:r>
          </w:p>
        </w:tc>
      </w:tr>
      <w:tr w:rsidR="00F96762" w:rsidRPr="00855EF5" w14:paraId="2CCAF505" w14:textId="77777777" w:rsidTr="00EB33AD">
        <w:trPr>
          <w:trHeight w:val="290"/>
        </w:trPr>
        <w:tc>
          <w:tcPr>
            <w:tcW w:w="353" w:type="dxa"/>
            <w:tcBorders>
              <w:top w:val="nil"/>
              <w:left w:val="single" w:sz="4" w:space="0" w:color="auto"/>
              <w:bottom w:val="single" w:sz="4" w:space="0" w:color="auto"/>
              <w:right w:val="single" w:sz="4" w:space="0" w:color="auto"/>
            </w:tcBorders>
            <w:shd w:val="clear" w:color="000000" w:fill="FFFFFF"/>
            <w:noWrap/>
            <w:vAlign w:val="center"/>
            <w:hideMark/>
          </w:tcPr>
          <w:p w14:paraId="5AE8A63B" w14:textId="77777777" w:rsidR="00F96762" w:rsidRPr="00855EF5" w:rsidRDefault="00F96762" w:rsidP="00EB33AD">
            <w:pPr>
              <w:jc w:val="left"/>
              <w:rPr>
                <w:rFonts w:ascii="Arial Narrow" w:hAnsi="Arial Narrow" w:cs="Calibri"/>
                <w:color w:val="000000"/>
                <w:sz w:val="20"/>
                <w:szCs w:val="20"/>
              </w:rPr>
            </w:pPr>
            <w:r w:rsidRPr="00855EF5">
              <w:rPr>
                <w:rFonts w:ascii="Arial Narrow" w:hAnsi="Arial Narrow" w:cs="Calibri"/>
                <w:color w:val="000000"/>
                <w:sz w:val="20"/>
                <w:szCs w:val="20"/>
              </w:rPr>
              <w:t>H</w:t>
            </w:r>
          </w:p>
        </w:tc>
        <w:tc>
          <w:tcPr>
            <w:tcW w:w="4462" w:type="dxa"/>
            <w:tcBorders>
              <w:top w:val="nil"/>
              <w:left w:val="nil"/>
              <w:bottom w:val="single" w:sz="4" w:space="0" w:color="auto"/>
              <w:right w:val="single" w:sz="4" w:space="0" w:color="auto"/>
            </w:tcBorders>
            <w:shd w:val="clear" w:color="000000" w:fill="FFFFFF"/>
            <w:noWrap/>
            <w:vAlign w:val="center"/>
            <w:hideMark/>
          </w:tcPr>
          <w:p w14:paraId="2A3E1BBF" w14:textId="77777777" w:rsidR="00F96762" w:rsidRPr="00855EF5" w:rsidRDefault="00F96762" w:rsidP="00EB33AD">
            <w:pPr>
              <w:jc w:val="left"/>
              <w:rPr>
                <w:rFonts w:ascii="Arial Narrow" w:hAnsi="Arial Narrow" w:cs="Calibri"/>
                <w:color w:val="000000"/>
                <w:sz w:val="20"/>
                <w:szCs w:val="20"/>
              </w:rPr>
            </w:pPr>
            <w:r w:rsidRPr="00855EF5">
              <w:rPr>
                <w:rFonts w:ascii="Arial Narrow" w:hAnsi="Arial Narrow" w:cs="Calibri"/>
                <w:color w:val="000000"/>
                <w:sz w:val="20"/>
                <w:szCs w:val="20"/>
              </w:rPr>
              <w:t>High dose corticosteroids, 6+ scripts</w:t>
            </w:r>
          </w:p>
        </w:tc>
        <w:tc>
          <w:tcPr>
            <w:tcW w:w="1984" w:type="dxa"/>
            <w:tcBorders>
              <w:top w:val="nil"/>
              <w:left w:val="nil"/>
              <w:bottom w:val="single" w:sz="4" w:space="0" w:color="auto"/>
              <w:right w:val="single" w:sz="4" w:space="0" w:color="auto"/>
            </w:tcBorders>
            <w:shd w:val="clear" w:color="000000" w:fill="FFFFFF"/>
            <w:noWrap/>
            <w:vAlign w:val="center"/>
            <w:hideMark/>
          </w:tcPr>
          <w:p w14:paraId="2BBB40F6" w14:textId="46DAE346" w:rsidR="00F96762" w:rsidRPr="003461AA" w:rsidRDefault="004755B7" w:rsidP="00EB33AD">
            <w:pPr>
              <w:jc w:val="center"/>
              <w:rPr>
                <w:rFonts w:ascii="Arial Narrow" w:hAnsi="Arial Narrow" w:cs="Calibri"/>
                <w:color w:val="000000"/>
                <w:sz w:val="20"/>
                <w:szCs w:val="20"/>
                <w:vertAlign w:val="superscript"/>
              </w:rPr>
            </w:pPr>
            <w:r w:rsidRPr="004755B7">
              <w:rPr>
                <w:rFonts w:ascii="Arial Narrow" w:hAnsi="Arial Narrow" w:cs="Calibri"/>
                <w:color w:val="000000"/>
                <w:sz w:val="20"/>
                <w:szCs w:val="20"/>
                <w:shd w:val="solid" w:color="000000" w:fill="000000"/>
                <w14:textFill>
                  <w14:solidFill>
                    <w14:srgbClr w14:val="000000">
                      <w14:alpha w14:val="100000"/>
                    </w14:srgbClr>
                  </w14:solidFill>
                </w14:textFill>
              </w:rPr>
              <w:t>|</w:t>
            </w:r>
            <w:r w:rsidR="003461AA">
              <w:rPr>
                <w:rFonts w:ascii="Arial Narrow" w:hAnsi="Arial Narrow" w:cs="Calibri"/>
                <w:color w:val="000000"/>
                <w:sz w:val="20"/>
                <w:szCs w:val="20"/>
                <w:vertAlign w:val="superscript"/>
              </w:rPr>
              <w:t>6</w:t>
            </w:r>
          </w:p>
        </w:tc>
        <w:tc>
          <w:tcPr>
            <w:tcW w:w="2410" w:type="dxa"/>
            <w:tcBorders>
              <w:top w:val="nil"/>
              <w:left w:val="nil"/>
              <w:bottom w:val="single" w:sz="4" w:space="0" w:color="auto"/>
              <w:right w:val="single" w:sz="4" w:space="0" w:color="auto"/>
            </w:tcBorders>
            <w:shd w:val="clear" w:color="auto" w:fill="auto"/>
            <w:noWrap/>
            <w:vAlign w:val="bottom"/>
            <w:hideMark/>
          </w:tcPr>
          <w:p w14:paraId="49B7D749" w14:textId="32AD04FB" w:rsidR="00F96762" w:rsidRPr="003461AA" w:rsidRDefault="004755B7" w:rsidP="00EB33AD">
            <w:pPr>
              <w:jc w:val="right"/>
              <w:rPr>
                <w:rFonts w:ascii="Arial Narrow" w:hAnsi="Arial Narrow" w:cs="Calibri"/>
                <w:color w:val="000000"/>
                <w:sz w:val="20"/>
                <w:szCs w:val="20"/>
                <w:vertAlign w:val="superscript"/>
              </w:rPr>
            </w:pPr>
            <w:r w:rsidRPr="004755B7">
              <w:rPr>
                <w:rFonts w:ascii="Arial Narrow" w:hAnsi="Arial Narrow" w:cs="Calibri"/>
                <w:color w:val="000000"/>
                <w:sz w:val="20"/>
                <w:szCs w:val="20"/>
                <w:shd w:val="solid" w:color="000000" w:fill="000000"/>
                <w14:textFill>
                  <w14:solidFill>
                    <w14:srgbClr w14:val="000000">
                      <w14:alpha w14:val="100000"/>
                    </w14:srgbClr>
                  </w14:solidFill>
                </w14:textFill>
              </w:rPr>
              <w:t>|</w:t>
            </w:r>
            <w:r w:rsidR="003461AA">
              <w:rPr>
                <w:rFonts w:ascii="Arial Narrow" w:hAnsi="Arial Narrow" w:cs="Calibri"/>
                <w:color w:val="000000"/>
                <w:sz w:val="20"/>
                <w:szCs w:val="20"/>
                <w:vertAlign w:val="superscript"/>
              </w:rPr>
              <w:t>1</w:t>
            </w:r>
          </w:p>
        </w:tc>
      </w:tr>
      <w:tr w:rsidR="00F96762" w:rsidRPr="00855EF5" w14:paraId="335E46D6" w14:textId="77777777" w:rsidTr="00EB33AD">
        <w:trPr>
          <w:trHeight w:val="290"/>
        </w:trPr>
        <w:tc>
          <w:tcPr>
            <w:tcW w:w="353" w:type="dxa"/>
            <w:tcBorders>
              <w:top w:val="nil"/>
              <w:left w:val="single" w:sz="4" w:space="0" w:color="auto"/>
              <w:bottom w:val="single" w:sz="4" w:space="0" w:color="auto"/>
              <w:right w:val="single" w:sz="4" w:space="0" w:color="auto"/>
            </w:tcBorders>
            <w:shd w:val="clear" w:color="000000" w:fill="FFFFFF"/>
            <w:noWrap/>
            <w:vAlign w:val="center"/>
            <w:hideMark/>
          </w:tcPr>
          <w:p w14:paraId="01269112" w14:textId="77777777" w:rsidR="00F96762" w:rsidRPr="00855EF5" w:rsidRDefault="00F96762" w:rsidP="00EB33AD">
            <w:pPr>
              <w:jc w:val="left"/>
              <w:rPr>
                <w:rFonts w:ascii="Arial Narrow" w:hAnsi="Arial Narrow" w:cs="Calibri"/>
                <w:color w:val="000000"/>
                <w:sz w:val="20"/>
                <w:szCs w:val="20"/>
              </w:rPr>
            </w:pPr>
            <w:r w:rsidRPr="00855EF5">
              <w:rPr>
                <w:rFonts w:ascii="Arial Narrow" w:hAnsi="Arial Narrow" w:cs="Calibri"/>
                <w:color w:val="000000"/>
                <w:sz w:val="20"/>
                <w:szCs w:val="20"/>
              </w:rPr>
              <w:t>I</w:t>
            </w:r>
          </w:p>
        </w:tc>
        <w:tc>
          <w:tcPr>
            <w:tcW w:w="4462" w:type="dxa"/>
            <w:tcBorders>
              <w:top w:val="nil"/>
              <w:left w:val="nil"/>
              <w:bottom w:val="single" w:sz="4" w:space="0" w:color="auto"/>
              <w:right w:val="single" w:sz="4" w:space="0" w:color="auto"/>
            </w:tcBorders>
            <w:shd w:val="clear" w:color="000000" w:fill="FFFFFF"/>
            <w:noWrap/>
            <w:vAlign w:val="center"/>
            <w:hideMark/>
          </w:tcPr>
          <w:p w14:paraId="3F980142" w14:textId="77777777" w:rsidR="00F96762" w:rsidRPr="00855EF5" w:rsidRDefault="00F96762" w:rsidP="00EB33AD">
            <w:pPr>
              <w:jc w:val="left"/>
              <w:rPr>
                <w:rFonts w:ascii="Arial Narrow" w:hAnsi="Arial Narrow" w:cs="Calibri"/>
                <w:color w:val="000000"/>
                <w:sz w:val="20"/>
                <w:szCs w:val="20"/>
              </w:rPr>
            </w:pPr>
            <w:r w:rsidRPr="00855EF5">
              <w:rPr>
                <w:rFonts w:ascii="Arial Narrow" w:hAnsi="Arial Narrow" w:cs="Calibri"/>
                <w:color w:val="000000"/>
                <w:sz w:val="20"/>
                <w:szCs w:val="20"/>
              </w:rPr>
              <w:t>Solid malignancies on treatment</w:t>
            </w:r>
          </w:p>
        </w:tc>
        <w:tc>
          <w:tcPr>
            <w:tcW w:w="1984" w:type="dxa"/>
            <w:tcBorders>
              <w:top w:val="nil"/>
              <w:left w:val="nil"/>
              <w:bottom w:val="single" w:sz="4" w:space="0" w:color="auto"/>
              <w:right w:val="single" w:sz="4" w:space="0" w:color="auto"/>
            </w:tcBorders>
            <w:shd w:val="clear" w:color="000000" w:fill="FFFFFF"/>
            <w:noWrap/>
            <w:vAlign w:val="center"/>
            <w:hideMark/>
          </w:tcPr>
          <w:p w14:paraId="457510C7" w14:textId="65875C26" w:rsidR="00F96762" w:rsidRPr="003461AA" w:rsidRDefault="004755B7" w:rsidP="00EB33AD">
            <w:pPr>
              <w:jc w:val="center"/>
              <w:rPr>
                <w:rFonts w:ascii="Arial Narrow" w:hAnsi="Arial Narrow" w:cs="Calibri"/>
                <w:color w:val="000000"/>
                <w:sz w:val="20"/>
                <w:szCs w:val="20"/>
                <w:vertAlign w:val="superscript"/>
              </w:rPr>
            </w:pPr>
            <w:r w:rsidRPr="004755B7">
              <w:rPr>
                <w:rFonts w:ascii="Arial Narrow" w:hAnsi="Arial Narrow" w:cs="Calibri"/>
                <w:color w:val="000000"/>
                <w:sz w:val="20"/>
                <w:szCs w:val="20"/>
                <w:shd w:val="solid" w:color="000000" w:fill="000000"/>
                <w14:textFill>
                  <w14:solidFill>
                    <w14:srgbClr w14:val="000000">
                      <w14:alpha w14:val="100000"/>
                    </w14:srgbClr>
                  </w14:solidFill>
                </w14:textFill>
              </w:rPr>
              <w:t>|</w:t>
            </w:r>
            <w:r w:rsidR="003461AA">
              <w:rPr>
                <w:rFonts w:ascii="Arial Narrow" w:hAnsi="Arial Narrow" w:cs="Calibri"/>
                <w:color w:val="000000"/>
                <w:sz w:val="20"/>
                <w:szCs w:val="20"/>
                <w:vertAlign w:val="superscript"/>
              </w:rPr>
              <w:t>1</w:t>
            </w:r>
          </w:p>
        </w:tc>
        <w:tc>
          <w:tcPr>
            <w:tcW w:w="2410" w:type="dxa"/>
            <w:tcBorders>
              <w:top w:val="nil"/>
              <w:left w:val="nil"/>
              <w:bottom w:val="single" w:sz="4" w:space="0" w:color="auto"/>
              <w:right w:val="single" w:sz="4" w:space="0" w:color="auto"/>
            </w:tcBorders>
            <w:shd w:val="clear" w:color="auto" w:fill="auto"/>
            <w:noWrap/>
            <w:vAlign w:val="bottom"/>
            <w:hideMark/>
          </w:tcPr>
          <w:p w14:paraId="37117264" w14:textId="18CC73ED" w:rsidR="00F96762" w:rsidRPr="003461AA" w:rsidRDefault="004755B7" w:rsidP="00EB33AD">
            <w:pPr>
              <w:jc w:val="right"/>
              <w:rPr>
                <w:rFonts w:ascii="Arial Narrow" w:hAnsi="Arial Narrow" w:cs="Calibri"/>
                <w:color w:val="000000"/>
                <w:sz w:val="20"/>
                <w:szCs w:val="20"/>
                <w:vertAlign w:val="superscript"/>
              </w:rPr>
            </w:pPr>
            <w:r w:rsidRPr="004755B7">
              <w:rPr>
                <w:rFonts w:ascii="Arial Narrow" w:hAnsi="Arial Narrow" w:cs="Calibri"/>
                <w:color w:val="000000"/>
                <w:sz w:val="20"/>
                <w:szCs w:val="20"/>
                <w:shd w:val="solid" w:color="000000" w:fill="000000"/>
                <w14:textFill>
                  <w14:solidFill>
                    <w14:srgbClr w14:val="000000">
                      <w14:alpha w14:val="100000"/>
                    </w14:srgbClr>
                  </w14:solidFill>
                </w14:textFill>
              </w:rPr>
              <w:t>|</w:t>
            </w:r>
            <w:r w:rsidR="003461AA">
              <w:rPr>
                <w:rFonts w:ascii="Arial Narrow" w:hAnsi="Arial Narrow" w:cs="Calibri"/>
                <w:color w:val="000000"/>
                <w:sz w:val="20"/>
                <w:szCs w:val="20"/>
                <w:vertAlign w:val="superscript"/>
              </w:rPr>
              <w:t>6</w:t>
            </w:r>
          </w:p>
        </w:tc>
      </w:tr>
      <w:tr w:rsidR="00F96762" w:rsidRPr="00855EF5" w14:paraId="5684337C" w14:textId="77777777" w:rsidTr="00EB33AD">
        <w:trPr>
          <w:trHeight w:val="290"/>
        </w:trPr>
        <w:tc>
          <w:tcPr>
            <w:tcW w:w="353" w:type="dxa"/>
            <w:tcBorders>
              <w:top w:val="nil"/>
              <w:left w:val="single" w:sz="4" w:space="0" w:color="auto"/>
              <w:bottom w:val="single" w:sz="4" w:space="0" w:color="auto"/>
              <w:right w:val="single" w:sz="4" w:space="0" w:color="auto"/>
            </w:tcBorders>
            <w:shd w:val="clear" w:color="000000" w:fill="FFFFFF"/>
            <w:noWrap/>
            <w:vAlign w:val="center"/>
            <w:hideMark/>
          </w:tcPr>
          <w:p w14:paraId="42D057C8" w14:textId="77777777" w:rsidR="00F96762" w:rsidRPr="00855EF5" w:rsidRDefault="00F96762" w:rsidP="00EB33AD">
            <w:pPr>
              <w:jc w:val="left"/>
              <w:rPr>
                <w:rFonts w:ascii="Arial Narrow" w:hAnsi="Arial Narrow" w:cs="Calibri"/>
                <w:color w:val="000000"/>
                <w:sz w:val="20"/>
                <w:szCs w:val="20"/>
              </w:rPr>
            </w:pPr>
            <w:r w:rsidRPr="00855EF5">
              <w:rPr>
                <w:rFonts w:ascii="Arial Narrow" w:hAnsi="Arial Narrow" w:cs="Calibri"/>
                <w:color w:val="000000"/>
                <w:sz w:val="20"/>
                <w:szCs w:val="20"/>
              </w:rPr>
              <w:t>J</w:t>
            </w:r>
          </w:p>
        </w:tc>
        <w:tc>
          <w:tcPr>
            <w:tcW w:w="4462" w:type="dxa"/>
            <w:tcBorders>
              <w:top w:val="nil"/>
              <w:left w:val="nil"/>
              <w:bottom w:val="single" w:sz="4" w:space="0" w:color="auto"/>
              <w:right w:val="single" w:sz="4" w:space="0" w:color="auto"/>
            </w:tcBorders>
            <w:shd w:val="clear" w:color="000000" w:fill="FFFFFF"/>
            <w:noWrap/>
            <w:vAlign w:val="center"/>
            <w:hideMark/>
          </w:tcPr>
          <w:p w14:paraId="4DC47DE7" w14:textId="77777777" w:rsidR="00F96762" w:rsidRPr="00855EF5" w:rsidRDefault="00F96762" w:rsidP="00EB33AD">
            <w:pPr>
              <w:jc w:val="left"/>
              <w:rPr>
                <w:rFonts w:ascii="Arial Narrow" w:hAnsi="Arial Narrow" w:cs="Calibri"/>
                <w:color w:val="000000"/>
                <w:sz w:val="20"/>
                <w:szCs w:val="20"/>
              </w:rPr>
            </w:pPr>
            <w:r w:rsidRPr="00855EF5">
              <w:rPr>
                <w:rFonts w:ascii="Arial Narrow" w:hAnsi="Arial Narrow" w:cs="Calibri"/>
                <w:color w:val="000000"/>
                <w:sz w:val="20"/>
                <w:szCs w:val="20"/>
              </w:rPr>
              <w:t>CD52 antibodies +Anti-complement antibodies</w:t>
            </w:r>
          </w:p>
        </w:tc>
        <w:tc>
          <w:tcPr>
            <w:tcW w:w="1984" w:type="dxa"/>
            <w:tcBorders>
              <w:top w:val="nil"/>
              <w:left w:val="nil"/>
              <w:bottom w:val="single" w:sz="4" w:space="0" w:color="auto"/>
              <w:right w:val="single" w:sz="4" w:space="0" w:color="auto"/>
            </w:tcBorders>
            <w:shd w:val="clear" w:color="000000" w:fill="FFFFFF"/>
            <w:noWrap/>
            <w:vAlign w:val="center"/>
            <w:hideMark/>
          </w:tcPr>
          <w:p w14:paraId="061EF67D" w14:textId="29874DD2" w:rsidR="00F96762" w:rsidRPr="003461AA" w:rsidRDefault="004755B7" w:rsidP="00EB33AD">
            <w:pPr>
              <w:jc w:val="center"/>
              <w:rPr>
                <w:rFonts w:ascii="Arial Narrow" w:hAnsi="Arial Narrow" w:cs="Calibri"/>
                <w:color w:val="000000"/>
                <w:sz w:val="20"/>
                <w:szCs w:val="20"/>
                <w:vertAlign w:val="superscript"/>
              </w:rPr>
            </w:pPr>
            <w:r w:rsidRPr="004755B7">
              <w:rPr>
                <w:rFonts w:ascii="Arial Narrow" w:hAnsi="Arial Narrow" w:cs="Calibri"/>
                <w:color w:val="000000"/>
                <w:sz w:val="20"/>
                <w:szCs w:val="20"/>
                <w:shd w:val="solid" w:color="000000" w:fill="000000"/>
                <w14:textFill>
                  <w14:solidFill>
                    <w14:srgbClr w14:val="000000">
                      <w14:alpha w14:val="100000"/>
                    </w14:srgbClr>
                  </w14:solidFill>
                </w14:textFill>
              </w:rPr>
              <w:t>|</w:t>
            </w:r>
            <w:r w:rsidR="003461AA">
              <w:rPr>
                <w:rFonts w:ascii="Arial Narrow" w:hAnsi="Arial Narrow" w:cs="Calibri"/>
                <w:color w:val="000000"/>
                <w:sz w:val="20"/>
                <w:szCs w:val="20"/>
                <w:vertAlign w:val="superscript"/>
              </w:rPr>
              <w:t>7</w:t>
            </w:r>
          </w:p>
        </w:tc>
        <w:tc>
          <w:tcPr>
            <w:tcW w:w="2410" w:type="dxa"/>
            <w:tcBorders>
              <w:top w:val="nil"/>
              <w:left w:val="nil"/>
              <w:bottom w:val="single" w:sz="4" w:space="0" w:color="auto"/>
              <w:right w:val="single" w:sz="4" w:space="0" w:color="auto"/>
            </w:tcBorders>
            <w:shd w:val="clear" w:color="auto" w:fill="auto"/>
            <w:noWrap/>
            <w:vAlign w:val="bottom"/>
            <w:hideMark/>
          </w:tcPr>
          <w:p w14:paraId="6CE2DEA4" w14:textId="1AE6B4A8" w:rsidR="00F96762" w:rsidRPr="003461AA" w:rsidRDefault="004755B7" w:rsidP="00EB33AD">
            <w:pPr>
              <w:jc w:val="right"/>
              <w:rPr>
                <w:rFonts w:ascii="Arial Narrow" w:hAnsi="Arial Narrow" w:cs="Calibri"/>
                <w:color w:val="000000"/>
                <w:sz w:val="20"/>
                <w:szCs w:val="20"/>
                <w:vertAlign w:val="superscript"/>
              </w:rPr>
            </w:pPr>
            <w:r w:rsidRPr="004755B7">
              <w:rPr>
                <w:rFonts w:ascii="Arial Narrow" w:hAnsi="Arial Narrow" w:cs="Calibri"/>
                <w:color w:val="000000"/>
                <w:sz w:val="20"/>
                <w:szCs w:val="20"/>
                <w:shd w:val="solid" w:color="000000" w:fill="000000"/>
                <w14:textFill>
                  <w14:solidFill>
                    <w14:srgbClr w14:val="000000">
                      <w14:alpha w14:val="100000"/>
                    </w14:srgbClr>
                  </w14:solidFill>
                </w14:textFill>
              </w:rPr>
              <w:t>|</w:t>
            </w:r>
            <w:r w:rsidR="003461AA">
              <w:rPr>
                <w:rFonts w:ascii="Arial Narrow" w:hAnsi="Arial Narrow" w:cs="Calibri"/>
                <w:color w:val="000000"/>
                <w:sz w:val="20"/>
                <w:szCs w:val="20"/>
                <w:vertAlign w:val="superscript"/>
              </w:rPr>
              <w:t>7</w:t>
            </w:r>
          </w:p>
        </w:tc>
      </w:tr>
      <w:tr w:rsidR="00F96762" w:rsidRPr="00855EF5" w14:paraId="63373663" w14:textId="77777777" w:rsidTr="00EB33AD">
        <w:trPr>
          <w:trHeight w:val="290"/>
        </w:trPr>
        <w:tc>
          <w:tcPr>
            <w:tcW w:w="353" w:type="dxa"/>
            <w:tcBorders>
              <w:top w:val="nil"/>
              <w:left w:val="single" w:sz="4" w:space="0" w:color="auto"/>
              <w:bottom w:val="single" w:sz="4" w:space="0" w:color="auto"/>
              <w:right w:val="single" w:sz="4" w:space="0" w:color="auto"/>
            </w:tcBorders>
            <w:shd w:val="clear" w:color="000000" w:fill="FFFFFF"/>
            <w:noWrap/>
            <w:vAlign w:val="center"/>
            <w:hideMark/>
          </w:tcPr>
          <w:p w14:paraId="28B80A45" w14:textId="77777777" w:rsidR="00F96762" w:rsidRPr="00855EF5" w:rsidRDefault="00F96762" w:rsidP="00EB33AD">
            <w:pPr>
              <w:jc w:val="left"/>
              <w:rPr>
                <w:rFonts w:ascii="Arial Narrow" w:hAnsi="Arial Narrow" w:cs="Calibri"/>
                <w:color w:val="000000"/>
                <w:sz w:val="20"/>
                <w:szCs w:val="20"/>
              </w:rPr>
            </w:pPr>
            <w:r w:rsidRPr="00855EF5">
              <w:rPr>
                <w:rFonts w:ascii="Arial Narrow" w:hAnsi="Arial Narrow" w:cs="Calibri"/>
                <w:color w:val="000000"/>
                <w:sz w:val="20"/>
                <w:szCs w:val="20"/>
              </w:rPr>
              <w:t>K</w:t>
            </w:r>
          </w:p>
        </w:tc>
        <w:tc>
          <w:tcPr>
            <w:tcW w:w="4462" w:type="dxa"/>
            <w:tcBorders>
              <w:top w:val="nil"/>
              <w:left w:val="nil"/>
              <w:bottom w:val="single" w:sz="4" w:space="0" w:color="auto"/>
              <w:right w:val="single" w:sz="4" w:space="0" w:color="auto"/>
            </w:tcBorders>
            <w:shd w:val="clear" w:color="000000" w:fill="FFFFFF"/>
            <w:noWrap/>
            <w:vAlign w:val="center"/>
            <w:hideMark/>
          </w:tcPr>
          <w:p w14:paraId="376EB3F6" w14:textId="77777777" w:rsidR="00F96762" w:rsidRPr="00855EF5" w:rsidRDefault="00F96762" w:rsidP="00EB33AD">
            <w:pPr>
              <w:jc w:val="left"/>
              <w:rPr>
                <w:rFonts w:ascii="Arial Narrow" w:hAnsi="Arial Narrow" w:cs="Calibri"/>
                <w:color w:val="000000"/>
                <w:sz w:val="20"/>
                <w:szCs w:val="20"/>
              </w:rPr>
            </w:pPr>
            <w:r w:rsidRPr="00855EF5">
              <w:rPr>
                <w:rFonts w:ascii="Arial Narrow" w:hAnsi="Arial Narrow" w:cs="Calibri"/>
                <w:color w:val="000000"/>
                <w:sz w:val="20"/>
                <w:szCs w:val="20"/>
              </w:rPr>
              <w:t>S1-PRM</w:t>
            </w:r>
          </w:p>
        </w:tc>
        <w:tc>
          <w:tcPr>
            <w:tcW w:w="1984" w:type="dxa"/>
            <w:tcBorders>
              <w:top w:val="nil"/>
              <w:left w:val="nil"/>
              <w:bottom w:val="single" w:sz="4" w:space="0" w:color="auto"/>
              <w:right w:val="single" w:sz="4" w:space="0" w:color="auto"/>
            </w:tcBorders>
            <w:shd w:val="clear" w:color="000000" w:fill="FFFFFF"/>
            <w:noWrap/>
            <w:vAlign w:val="center"/>
            <w:hideMark/>
          </w:tcPr>
          <w:p w14:paraId="2CFAB55E" w14:textId="1DA85B64" w:rsidR="00F96762" w:rsidRPr="003461AA" w:rsidRDefault="004755B7" w:rsidP="00EB33AD">
            <w:pPr>
              <w:jc w:val="center"/>
              <w:rPr>
                <w:rFonts w:ascii="Arial Narrow" w:hAnsi="Arial Narrow" w:cs="Calibri"/>
                <w:color w:val="000000"/>
                <w:sz w:val="20"/>
                <w:szCs w:val="20"/>
                <w:vertAlign w:val="superscript"/>
              </w:rPr>
            </w:pPr>
            <w:r w:rsidRPr="004755B7">
              <w:rPr>
                <w:rFonts w:ascii="Arial Narrow" w:hAnsi="Arial Narrow" w:cs="Calibri"/>
                <w:color w:val="000000"/>
                <w:sz w:val="20"/>
                <w:szCs w:val="20"/>
                <w:shd w:val="solid" w:color="000000" w:fill="000000"/>
                <w14:textFill>
                  <w14:solidFill>
                    <w14:srgbClr w14:val="000000">
                      <w14:alpha w14:val="100000"/>
                    </w14:srgbClr>
                  </w14:solidFill>
                </w14:textFill>
              </w:rPr>
              <w:t>|</w:t>
            </w:r>
            <w:r w:rsidR="003461AA">
              <w:rPr>
                <w:rFonts w:ascii="Arial Narrow" w:hAnsi="Arial Narrow" w:cs="Calibri"/>
                <w:color w:val="000000"/>
                <w:sz w:val="20"/>
                <w:szCs w:val="20"/>
                <w:vertAlign w:val="superscript"/>
              </w:rPr>
              <w:t>7</w:t>
            </w:r>
          </w:p>
        </w:tc>
        <w:tc>
          <w:tcPr>
            <w:tcW w:w="2410" w:type="dxa"/>
            <w:tcBorders>
              <w:top w:val="nil"/>
              <w:left w:val="nil"/>
              <w:bottom w:val="single" w:sz="4" w:space="0" w:color="auto"/>
              <w:right w:val="single" w:sz="4" w:space="0" w:color="auto"/>
            </w:tcBorders>
            <w:shd w:val="clear" w:color="auto" w:fill="auto"/>
            <w:noWrap/>
            <w:vAlign w:val="bottom"/>
            <w:hideMark/>
          </w:tcPr>
          <w:p w14:paraId="290C9830" w14:textId="1C322428" w:rsidR="00F96762" w:rsidRPr="003461AA" w:rsidRDefault="004755B7" w:rsidP="00EB33AD">
            <w:pPr>
              <w:jc w:val="right"/>
              <w:rPr>
                <w:rFonts w:ascii="Arial Narrow" w:hAnsi="Arial Narrow" w:cs="Calibri"/>
                <w:color w:val="000000"/>
                <w:sz w:val="20"/>
                <w:szCs w:val="20"/>
                <w:vertAlign w:val="superscript"/>
              </w:rPr>
            </w:pPr>
            <w:r w:rsidRPr="004755B7">
              <w:rPr>
                <w:rFonts w:ascii="Arial Narrow" w:hAnsi="Arial Narrow" w:cs="Calibri"/>
                <w:color w:val="000000"/>
                <w:sz w:val="20"/>
                <w:szCs w:val="20"/>
                <w:shd w:val="solid" w:color="000000" w:fill="000000"/>
                <w14:textFill>
                  <w14:solidFill>
                    <w14:srgbClr w14:val="000000">
                      <w14:alpha w14:val="100000"/>
                    </w14:srgbClr>
                  </w14:solidFill>
                </w14:textFill>
              </w:rPr>
              <w:t>|</w:t>
            </w:r>
            <w:r w:rsidR="003461AA">
              <w:rPr>
                <w:rFonts w:ascii="Arial Narrow" w:hAnsi="Arial Narrow" w:cs="Calibri"/>
                <w:color w:val="000000"/>
                <w:sz w:val="20"/>
                <w:szCs w:val="20"/>
                <w:vertAlign w:val="superscript"/>
              </w:rPr>
              <w:t>7</w:t>
            </w:r>
          </w:p>
        </w:tc>
      </w:tr>
      <w:tr w:rsidR="00F96762" w:rsidRPr="00855EF5" w14:paraId="697A6DD4" w14:textId="77777777" w:rsidTr="00EB33AD">
        <w:trPr>
          <w:trHeight w:val="290"/>
        </w:trPr>
        <w:tc>
          <w:tcPr>
            <w:tcW w:w="353" w:type="dxa"/>
            <w:tcBorders>
              <w:top w:val="nil"/>
              <w:left w:val="single" w:sz="4" w:space="0" w:color="auto"/>
              <w:bottom w:val="single" w:sz="4" w:space="0" w:color="auto"/>
              <w:right w:val="single" w:sz="4" w:space="0" w:color="auto"/>
            </w:tcBorders>
            <w:shd w:val="clear" w:color="000000" w:fill="FFFFFF"/>
            <w:noWrap/>
            <w:vAlign w:val="center"/>
            <w:hideMark/>
          </w:tcPr>
          <w:p w14:paraId="582E62B5" w14:textId="77777777" w:rsidR="00F96762" w:rsidRPr="00855EF5" w:rsidRDefault="00F96762" w:rsidP="00EB33AD">
            <w:pPr>
              <w:jc w:val="left"/>
              <w:rPr>
                <w:rFonts w:ascii="Arial Narrow" w:hAnsi="Arial Narrow" w:cs="Calibri"/>
                <w:color w:val="000000"/>
                <w:sz w:val="20"/>
                <w:szCs w:val="20"/>
              </w:rPr>
            </w:pPr>
            <w:r w:rsidRPr="00855EF5">
              <w:rPr>
                <w:rFonts w:ascii="Arial Narrow" w:hAnsi="Arial Narrow" w:cs="Calibri"/>
                <w:color w:val="000000"/>
                <w:sz w:val="20"/>
                <w:szCs w:val="20"/>
              </w:rPr>
              <w:t>L</w:t>
            </w:r>
          </w:p>
        </w:tc>
        <w:tc>
          <w:tcPr>
            <w:tcW w:w="4462" w:type="dxa"/>
            <w:tcBorders>
              <w:top w:val="nil"/>
              <w:left w:val="nil"/>
              <w:bottom w:val="single" w:sz="4" w:space="0" w:color="auto"/>
              <w:right w:val="single" w:sz="4" w:space="0" w:color="auto"/>
            </w:tcBorders>
            <w:shd w:val="clear" w:color="000000" w:fill="FFFFFF"/>
            <w:noWrap/>
            <w:vAlign w:val="center"/>
            <w:hideMark/>
          </w:tcPr>
          <w:p w14:paraId="068DA56E" w14:textId="77777777" w:rsidR="00F96762" w:rsidRPr="00855EF5" w:rsidRDefault="00F96762" w:rsidP="00EB33AD">
            <w:pPr>
              <w:jc w:val="left"/>
              <w:rPr>
                <w:rFonts w:ascii="Arial Narrow" w:hAnsi="Arial Narrow" w:cs="Calibri"/>
                <w:color w:val="000000"/>
                <w:sz w:val="20"/>
                <w:szCs w:val="20"/>
              </w:rPr>
            </w:pPr>
            <w:r w:rsidRPr="00855EF5">
              <w:rPr>
                <w:rFonts w:ascii="Arial Narrow" w:hAnsi="Arial Narrow" w:cs="Calibri"/>
                <w:color w:val="000000"/>
                <w:sz w:val="20"/>
                <w:szCs w:val="20"/>
              </w:rPr>
              <w:t>Jak-Inhibitors</w:t>
            </w:r>
          </w:p>
        </w:tc>
        <w:tc>
          <w:tcPr>
            <w:tcW w:w="1984" w:type="dxa"/>
            <w:tcBorders>
              <w:top w:val="nil"/>
              <w:left w:val="nil"/>
              <w:bottom w:val="single" w:sz="4" w:space="0" w:color="auto"/>
              <w:right w:val="single" w:sz="4" w:space="0" w:color="auto"/>
            </w:tcBorders>
            <w:shd w:val="clear" w:color="000000" w:fill="FFFFFF"/>
            <w:noWrap/>
            <w:vAlign w:val="center"/>
            <w:hideMark/>
          </w:tcPr>
          <w:p w14:paraId="0310211D" w14:textId="7ADE4A6D" w:rsidR="00F96762" w:rsidRPr="003461AA" w:rsidRDefault="004755B7" w:rsidP="00EB33AD">
            <w:pPr>
              <w:jc w:val="center"/>
              <w:rPr>
                <w:rFonts w:ascii="Arial Narrow" w:hAnsi="Arial Narrow" w:cs="Calibri"/>
                <w:color w:val="000000"/>
                <w:sz w:val="20"/>
                <w:szCs w:val="20"/>
                <w:vertAlign w:val="superscript"/>
              </w:rPr>
            </w:pPr>
            <w:r w:rsidRPr="004755B7">
              <w:rPr>
                <w:rFonts w:ascii="Arial Narrow" w:hAnsi="Arial Narrow" w:cs="Calibri"/>
                <w:color w:val="000000"/>
                <w:sz w:val="20"/>
                <w:szCs w:val="20"/>
                <w:shd w:val="solid" w:color="000000" w:fill="000000"/>
                <w14:textFill>
                  <w14:solidFill>
                    <w14:srgbClr w14:val="000000">
                      <w14:alpha w14:val="100000"/>
                    </w14:srgbClr>
                  </w14:solidFill>
                </w14:textFill>
              </w:rPr>
              <w:t>|</w:t>
            </w:r>
            <w:r w:rsidR="003461AA">
              <w:rPr>
                <w:rFonts w:ascii="Arial Narrow" w:hAnsi="Arial Narrow" w:cs="Calibri"/>
                <w:color w:val="000000"/>
                <w:sz w:val="20"/>
                <w:szCs w:val="20"/>
                <w:vertAlign w:val="superscript"/>
              </w:rPr>
              <w:t>2</w:t>
            </w:r>
          </w:p>
        </w:tc>
        <w:tc>
          <w:tcPr>
            <w:tcW w:w="2410" w:type="dxa"/>
            <w:tcBorders>
              <w:top w:val="nil"/>
              <w:left w:val="nil"/>
              <w:bottom w:val="single" w:sz="4" w:space="0" w:color="auto"/>
              <w:right w:val="single" w:sz="4" w:space="0" w:color="auto"/>
            </w:tcBorders>
            <w:shd w:val="clear" w:color="auto" w:fill="auto"/>
            <w:noWrap/>
            <w:vAlign w:val="bottom"/>
            <w:hideMark/>
          </w:tcPr>
          <w:p w14:paraId="1CD31933" w14:textId="1D18C3E5" w:rsidR="00F96762" w:rsidRPr="003461AA" w:rsidRDefault="004755B7" w:rsidP="00EB33AD">
            <w:pPr>
              <w:jc w:val="right"/>
              <w:rPr>
                <w:rFonts w:ascii="Arial Narrow" w:hAnsi="Arial Narrow" w:cs="Calibri"/>
                <w:color w:val="000000"/>
                <w:sz w:val="20"/>
                <w:szCs w:val="20"/>
                <w:vertAlign w:val="superscript"/>
              </w:rPr>
            </w:pPr>
            <w:r w:rsidRPr="004755B7">
              <w:rPr>
                <w:rFonts w:ascii="Arial Narrow" w:hAnsi="Arial Narrow" w:cs="Calibri"/>
                <w:color w:val="000000"/>
                <w:sz w:val="20"/>
                <w:szCs w:val="20"/>
                <w:shd w:val="solid" w:color="000000" w:fill="000000"/>
                <w14:textFill>
                  <w14:solidFill>
                    <w14:srgbClr w14:val="000000">
                      <w14:alpha w14:val="100000"/>
                    </w14:srgbClr>
                  </w14:solidFill>
                </w14:textFill>
              </w:rPr>
              <w:t>|</w:t>
            </w:r>
            <w:r w:rsidR="003461AA">
              <w:rPr>
                <w:rFonts w:ascii="Arial Narrow" w:hAnsi="Arial Narrow" w:cs="Calibri"/>
                <w:color w:val="000000"/>
                <w:sz w:val="20"/>
                <w:szCs w:val="20"/>
                <w:vertAlign w:val="superscript"/>
              </w:rPr>
              <w:t>2</w:t>
            </w:r>
          </w:p>
        </w:tc>
      </w:tr>
      <w:tr w:rsidR="00F96762" w:rsidRPr="00855EF5" w14:paraId="52B4C12F" w14:textId="77777777" w:rsidTr="00EB33AD">
        <w:trPr>
          <w:trHeight w:val="290"/>
        </w:trPr>
        <w:tc>
          <w:tcPr>
            <w:tcW w:w="353" w:type="dxa"/>
            <w:tcBorders>
              <w:top w:val="nil"/>
              <w:left w:val="single" w:sz="4" w:space="0" w:color="auto"/>
              <w:bottom w:val="single" w:sz="4" w:space="0" w:color="auto"/>
              <w:right w:val="single" w:sz="4" w:space="0" w:color="auto"/>
            </w:tcBorders>
            <w:shd w:val="clear" w:color="000000" w:fill="FFFFFF"/>
            <w:noWrap/>
            <w:vAlign w:val="center"/>
            <w:hideMark/>
          </w:tcPr>
          <w:p w14:paraId="18D4469E" w14:textId="77777777" w:rsidR="00F96762" w:rsidRPr="00855EF5" w:rsidRDefault="00F96762" w:rsidP="00EB33AD">
            <w:pPr>
              <w:jc w:val="left"/>
              <w:rPr>
                <w:rFonts w:ascii="Arial Narrow" w:hAnsi="Arial Narrow" w:cs="Calibri"/>
                <w:color w:val="000000"/>
                <w:sz w:val="20"/>
                <w:szCs w:val="20"/>
              </w:rPr>
            </w:pPr>
            <w:r w:rsidRPr="00855EF5">
              <w:rPr>
                <w:rFonts w:ascii="Arial Narrow" w:hAnsi="Arial Narrow" w:cs="Calibri"/>
                <w:color w:val="000000"/>
                <w:sz w:val="20"/>
                <w:szCs w:val="20"/>
              </w:rPr>
              <w:t>M</w:t>
            </w:r>
          </w:p>
        </w:tc>
        <w:tc>
          <w:tcPr>
            <w:tcW w:w="4462" w:type="dxa"/>
            <w:tcBorders>
              <w:top w:val="nil"/>
              <w:left w:val="nil"/>
              <w:bottom w:val="single" w:sz="4" w:space="0" w:color="auto"/>
              <w:right w:val="single" w:sz="4" w:space="0" w:color="auto"/>
            </w:tcBorders>
            <w:shd w:val="clear" w:color="000000" w:fill="FFFFFF"/>
            <w:noWrap/>
            <w:vAlign w:val="center"/>
            <w:hideMark/>
          </w:tcPr>
          <w:p w14:paraId="22A5E4C1" w14:textId="77777777" w:rsidR="00F96762" w:rsidRPr="00855EF5" w:rsidRDefault="00F96762" w:rsidP="00EB33AD">
            <w:pPr>
              <w:jc w:val="left"/>
              <w:rPr>
                <w:rFonts w:ascii="Arial Narrow" w:hAnsi="Arial Narrow" w:cs="Calibri"/>
                <w:color w:val="000000"/>
                <w:sz w:val="20"/>
                <w:szCs w:val="20"/>
              </w:rPr>
            </w:pPr>
            <w:r w:rsidRPr="00855EF5">
              <w:rPr>
                <w:rFonts w:ascii="Arial Narrow" w:hAnsi="Arial Narrow" w:cs="Calibri"/>
                <w:color w:val="000000"/>
                <w:sz w:val="20"/>
                <w:szCs w:val="20"/>
              </w:rPr>
              <w:t>csDMARDs other indications</w:t>
            </w:r>
          </w:p>
        </w:tc>
        <w:tc>
          <w:tcPr>
            <w:tcW w:w="1984" w:type="dxa"/>
            <w:tcBorders>
              <w:top w:val="nil"/>
              <w:left w:val="nil"/>
              <w:bottom w:val="single" w:sz="4" w:space="0" w:color="auto"/>
              <w:right w:val="single" w:sz="4" w:space="0" w:color="auto"/>
            </w:tcBorders>
            <w:shd w:val="clear" w:color="000000" w:fill="FFFFFF"/>
            <w:noWrap/>
            <w:vAlign w:val="center"/>
            <w:hideMark/>
          </w:tcPr>
          <w:p w14:paraId="51459348" w14:textId="7FC5549D" w:rsidR="00F96762" w:rsidRPr="003461AA" w:rsidRDefault="004755B7" w:rsidP="00EB33AD">
            <w:pPr>
              <w:jc w:val="center"/>
              <w:rPr>
                <w:rFonts w:ascii="Arial Narrow" w:hAnsi="Arial Narrow" w:cs="Calibri"/>
                <w:color w:val="000000"/>
                <w:sz w:val="20"/>
                <w:szCs w:val="20"/>
                <w:vertAlign w:val="superscript"/>
              </w:rPr>
            </w:pPr>
            <w:r w:rsidRPr="004755B7">
              <w:rPr>
                <w:rFonts w:ascii="Arial Narrow" w:hAnsi="Arial Narrow" w:cs="Calibri"/>
                <w:color w:val="000000"/>
                <w:sz w:val="20"/>
                <w:szCs w:val="20"/>
                <w:shd w:val="solid" w:color="000000" w:fill="000000"/>
                <w14:textFill>
                  <w14:solidFill>
                    <w14:srgbClr w14:val="000000">
                      <w14:alpha w14:val="100000"/>
                    </w14:srgbClr>
                  </w14:solidFill>
                </w14:textFill>
              </w:rPr>
              <w:t>|</w:t>
            </w:r>
            <w:r w:rsidR="003461AA">
              <w:rPr>
                <w:rFonts w:ascii="Arial Narrow" w:hAnsi="Arial Narrow" w:cs="Calibri"/>
                <w:color w:val="000000"/>
                <w:sz w:val="20"/>
                <w:szCs w:val="20"/>
                <w:vertAlign w:val="superscript"/>
              </w:rPr>
              <w:t>6</w:t>
            </w:r>
          </w:p>
        </w:tc>
        <w:tc>
          <w:tcPr>
            <w:tcW w:w="2410" w:type="dxa"/>
            <w:tcBorders>
              <w:top w:val="nil"/>
              <w:left w:val="nil"/>
              <w:bottom w:val="single" w:sz="4" w:space="0" w:color="auto"/>
              <w:right w:val="single" w:sz="4" w:space="0" w:color="auto"/>
            </w:tcBorders>
            <w:shd w:val="clear" w:color="auto" w:fill="auto"/>
            <w:noWrap/>
            <w:vAlign w:val="bottom"/>
            <w:hideMark/>
          </w:tcPr>
          <w:p w14:paraId="753022D2" w14:textId="5967FD68" w:rsidR="00F96762" w:rsidRPr="003461AA" w:rsidRDefault="004755B7" w:rsidP="00EB33AD">
            <w:pPr>
              <w:jc w:val="right"/>
              <w:rPr>
                <w:rFonts w:ascii="Arial Narrow" w:hAnsi="Arial Narrow" w:cs="Calibri"/>
                <w:color w:val="000000"/>
                <w:sz w:val="20"/>
                <w:szCs w:val="20"/>
                <w:vertAlign w:val="superscript"/>
              </w:rPr>
            </w:pPr>
            <w:r w:rsidRPr="004755B7">
              <w:rPr>
                <w:rFonts w:ascii="Arial Narrow" w:hAnsi="Arial Narrow" w:cs="Calibri"/>
                <w:color w:val="000000"/>
                <w:sz w:val="20"/>
                <w:szCs w:val="20"/>
                <w:shd w:val="solid" w:color="000000" w:fill="000000"/>
                <w14:textFill>
                  <w14:solidFill>
                    <w14:srgbClr w14:val="000000">
                      <w14:alpha w14:val="100000"/>
                    </w14:srgbClr>
                  </w14:solidFill>
                </w14:textFill>
              </w:rPr>
              <w:t>|</w:t>
            </w:r>
            <w:r w:rsidR="003461AA">
              <w:rPr>
                <w:rFonts w:ascii="Arial Narrow" w:hAnsi="Arial Narrow" w:cs="Calibri"/>
                <w:color w:val="000000"/>
                <w:sz w:val="20"/>
                <w:szCs w:val="20"/>
                <w:vertAlign w:val="superscript"/>
              </w:rPr>
              <w:t>5</w:t>
            </w:r>
          </w:p>
        </w:tc>
      </w:tr>
      <w:tr w:rsidR="00F96762" w:rsidRPr="00855EF5" w14:paraId="64D73346" w14:textId="77777777" w:rsidTr="00EB33AD">
        <w:trPr>
          <w:trHeight w:val="290"/>
        </w:trPr>
        <w:tc>
          <w:tcPr>
            <w:tcW w:w="353" w:type="dxa"/>
            <w:tcBorders>
              <w:top w:val="nil"/>
              <w:left w:val="nil"/>
              <w:bottom w:val="nil"/>
              <w:right w:val="nil"/>
            </w:tcBorders>
            <w:shd w:val="clear" w:color="auto" w:fill="auto"/>
            <w:noWrap/>
            <w:vAlign w:val="bottom"/>
            <w:hideMark/>
          </w:tcPr>
          <w:p w14:paraId="7B63FB51" w14:textId="77777777" w:rsidR="00F96762" w:rsidRPr="00855EF5" w:rsidRDefault="00F96762" w:rsidP="00EB33AD">
            <w:pPr>
              <w:jc w:val="right"/>
              <w:rPr>
                <w:rFonts w:ascii="Arial Narrow" w:hAnsi="Arial Narrow" w:cs="Calibri"/>
                <w:color w:val="000000"/>
                <w:sz w:val="20"/>
                <w:szCs w:val="20"/>
              </w:rPr>
            </w:pPr>
          </w:p>
        </w:tc>
        <w:tc>
          <w:tcPr>
            <w:tcW w:w="4462" w:type="dxa"/>
            <w:tcBorders>
              <w:top w:val="nil"/>
              <w:left w:val="single" w:sz="4" w:space="0" w:color="auto"/>
              <w:bottom w:val="single" w:sz="4" w:space="0" w:color="auto"/>
              <w:right w:val="single" w:sz="4" w:space="0" w:color="auto"/>
            </w:tcBorders>
            <w:shd w:val="clear" w:color="000000" w:fill="FFFFFF"/>
            <w:noWrap/>
            <w:vAlign w:val="center"/>
            <w:hideMark/>
          </w:tcPr>
          <w:p w14:paraId="45AD4B0F" w14:textId="77777777" w:rsidR="00F96762" w:rsidRPr="00855EF5" w:rsidRDefault="00F96762" w:rsidP="00EB33AD">
            <w:pPr>
              <w:jc w:val="left"/>
              <w:rPr>
                <w:rFonts w:ascii="Arial Narrow" w:hAnsi="Arial Narrow" w:cs="Calibri"/>
                <w:color w:val="000000"/>
                <w:sz w:val="20"/>
                <w:szCs w:val="20"/>
              </w:rPr>
            </w:pPr>
            <w:r w:rsidRPr="00855EF5">
              <w:rPr>
                <w:rFonts w:ascii="Arial Narrow" w:hAnsi="Arial Narrow" w:cs="Calibri"/>
                <w:color w:val="000000"/>
                <w:sz w:val="20"/>
                <w:szCs w:val="20"/>
              </w:rPr>
              <w:t>Total eligible patient count (with duplicates)</w:t>
            </w:r>
          </w:p>
        </w:tc>
        <w:tc>
          <w:tcPr>
            <w:tcW w:w="1984" w:type="dxa"/>
            <w:tcBorders>
              <w:top w:val="nil"/>
              <w:left w:val="nil"/>
              <w:bottom w:val="single" w:sz="4" w:space="0" w:color="auto"/>
              <w:right w:val="single" w:sz="4" w:space="0" w:color="auto"/>
            </w:tcBorders>
            <w:shd w:val="clear" w:color="000000" w:fill="FFFFFF"/>
            <w:vAlign w:val="center"/>
            <w:hideMark/>
          </w:tcPr>
          <w:p w14:paraId="39CB5EDB" w14:textId="4561D298" w:rsidR="00116581" w:rsidRPr="00116581" w:rsidRDefault="004755B7" w:rsidP="00EB33AD">
            <w:pPr>
              <w:jc w:val="center"/>
              <w:rPr>
                <w:rFonts w:ascii="Arial Narrow" w:hAnsi="Arial Narrow" w:cs="Calibri"/>
                <w:sz w:val="20"/>
                <w:szCs w:val="20"/>
                <w:vertAlign w:val="superscript"/>
              </w:rPr>
            </w:pPr>
            <w:r w:rsidRPr="004755B7">
              <w:rPr>
                <w:rFonts w:ascii="Arial Narrow" w:hAnsi="Arial Narrow" w:cs="Calibri"/>
                <w:b/>
                <w:bCs/>
                <w:color w:val="000000"/>
                <w:sz w:val="20"/>
                <w:szCs w:val="20"/>
                <w:shd w:val="solid" w:color="000000" w:fill="000000"/>
                <w14:textFill>
                  <w14:solidFill>
                    <w14:srgbClr w14:val="000000">
                      <w14:alpha w14:val="100000"/>
                    </w14:srgbClr>
                  </w14:solidFill>
                </w14:textFill>
              </w:rPr>
              <w:t>|</w:t>
            </w:r>
            <w:r w:rsidR="003461AA" w:rsidRPr="003461AA">
              <w:rPr>
                <w:rFonts w:ascii="Arial Narrow" w:hAnsi="Arial Narrow" w:cs="Calibri"/>
                <w:color w:val="000000"/>
                <w:sz w:val="20"/>
                <w:szCs w:val="20"/>
                <w:vertAlign w:val="superscript"/>
              </w:rPr>
              <w:t>8</w:t>
            </w:r>
          </w:p>
          <w:p w14:paraId="4A484311" w14:textId="0B8C8A1C" w:rsidR="00F96762" w:rsidRPr="003461AA" w:rsidRDefault="004755B7" w:rsidP="00EB33AD">
            <w:pPr>
              <w:jc w:val="center"/>
              <w:rPr>
                <w:rFonts w:ascii="Arial Narrow" w:hAnsi="Arial Narrow" w:cs="Calibri"/>
                <w:color w:val="000000"/>
                <w:sz w:val="20"/>
                <w:szCs w:val="20"/>
                <w:vertAlign w:val="superscript"/>
              </w:rPr>
            </w:pPr>
            <w:r w:rsidRPr="004755B7">
              <w:rPr>
                <w:rFonts w:ascii="Arial Narrow" w:hAnsi="Arial Narrow" w:cs="Calibri"/>
                <w:b/>
                <w:bCs/>
                <w:color w:val="000000"/>
                <w:sz w:val="20"/>
                <w:szCs w:val="20"/>
                <w:shd w:val="solid" w:color="000000" w:fill="000000"/>
                <w14:textFill>
                  <w14:solidFill>
                    <w14:srgbClr w14:val="000000">
                      <w14:alpha w14:val="100000"/>
                    </w14:srgbClr>
                  </w14:solidFill>
                </w14:textFill>
              </w:rPr>
              <w:t>|</w:t>
            </w:r>
            <w:r w:rsidR="003461AA">
              <w:rPr>
                <w:rFonts w:ascii="Arial Narrow" w:hAnsi="Arial Narrow" w:cs="Calibri"/>
                <w:color w:val="000000"/>
                <w:sz w:val="20"/>
                <w:szCs w:val="20"/>
                <w:vertAlign w:val="superscript"/>
              </w:rPr>
              <w:t>8</w:t>
            </w:r>
          </w:p>
        </w:tc>
        <w:tc>
          <w:tcPr>
            <w:tcW w:w="2410" w:type="dxa"/>
            <w:tcBorders>
              <w:top w:val="nil"/>
              <w:left w:val="nil"/>
              <w:bottom w:val="single" w:sz="4" w:space="0" w:color="auto"/>
              <w:right w:val="single" w:sz="4" w:space="0" w:color="auto"/>
            </w:tcBorders>
            <w:shd w:val="clear" w:color="auto" w:fill="auto"/>
            <w:noWrap/>
            <w:vAlign w:val="bottom"/>
            <w:hideMark/>
          </w:tcPr>
          <w:p w14:paraId="5141D00C" w14:textId="2BCC687A" w:rsidR="00F96762" w:rsidRPr="00855EF5" w:rsidRDefault="004755B7" w:rsidP="00EB33AD">
            <w:pPr>
              <w:jc w:val="right"/>
              <w:rPr>
                <w:rFonts w:ascii="Arial Narrow" w:hAnsi="Arial Narrow" w:cs="Calibri"/>
                <w:b/>
                <w:bCs/>
                <w:color w:val="000000"/>
                <w:sz w:val="20"/>
                <w:szCs w:val="20"/>
              </w:rPr>
            </w:pPr>
            <w:r w:rsidRPr="004755B7">
              <w:rPr>
                <w:rFonts w:ascii="Arial Narrow" w:hAnsi="Arial Narrow" w:cs="Calibri"/>
                <w:b/>
                <w:bCs/>
                <w:color w:val="000000"/>
                <w:sz w:val="20"/>
                <w:szCs w:val="20"/>
                <w:shd w:val="solid" w:color="000000" w:fill="000000"/>
                <w14:textFill>
                  <w14:solidFill>
                    <w14:srgbClr w14:val="000000">
                      <w14:alpha w14:val="100000"/>
                    </w14:srgbClr>
                  </w14:solidFill>
                </w14:textFill>
              </w:rPr>
              <w:t>|</w:t>
            </w:r>
            <w:r w:rsidR="003461AA">
              <w:rPr>
                <w:rFonts w:ascii="Arial Narrow" w:hAnsi="Arial Narrow" w:cs="Calibri"/>
                <w:color w:val="000000"/>
                <w:sz w:val="20"/>
                <w:szCs w:val="20"/>
                <w:vertAlign w:val="superscript"/>
              </w:rPr>
              <w:t>8</w:t>
            </w:r>
            <w:r w:rsidR="00F96762" w:rsidRPr="00855EF5">
              <w:rPr>
                <w:rFonts w:ascii="Arial Narrow" w:hAnsi="Arial Narrow" w:cs="Calibri"/>
                <w:b/>
                <w:bCs/>
                <w:color w:val="000000"/>
                <w:sz w:val="20"/>
                <w:szCs w:val="20"/>
                <w:vertAlign w:val="superscript"/>
              </w:rPr>
              <w:t xml:space="preserve"> a</w:t>
            </w:r>
          </w:p>
        </w:tc>
      </w:tr>
      <w:tr w:rsidR="00F96762" w:rsidRPr="00855EF5" w14:paraId="067C64E0" w14:textId="77777777" w:rsidTr="00EB33AD">
        <w:trPr>
          <w:trHeight w:val="290"/>
        </w:trPr>
        <w:tc>
          <w:tcPr>
            <w:tcW w:w="353" w:type="dxa"/>
            <w:tcBorders>
              <w:top w:val="nil"/>
              <w:left w:val="nil"/>
              <w:bottom w:val="nil"/>
              <w:right w:val="nil"/>
            </w:tcBorders>
            <w:shd w:val="clear" w:color="auto" w:fill="auto"/>
            <w:noWrap/>
            <w:vAlign w:val="bottom"/>
            <w:hideMark/>
          </w:tcPr>
          <w:p w14:paraId="2ED6F93F" w14:textId="77777777" w:rsidR="00F96762" w:rsidRPr="00855EF5" w:rsidRDefault="00F96762" w:rsidP="00EB33AD">
            <w:pPr>
              <w:jc w:val="right"/>
              <w:rPr>
                <w:rFonts w:ascii="Arial Narrow" w:hAnsi="Arial Narrow" w:cs="Calibri"/>
                <w:b/>
                <w:bCs/>
                <w:color w:val="000000"/>
                <w:sz w:val="20"/>
                <w:szCs w:val="20"/>
              </w:rPr>
            </w:pPr>
          </w:p>
        </w:tc>
        <w:tc>
          <w:tcPr>
            <w:tcW w:w="4462" w:type="dxa"/>
            <w:tcBorders>
              <w:top w:val="nil"/>
              <w:left w:val="single" w:sz="4" w:space="0" w:color="auto"/>
              <w:bottom w:val="single" w:sz="4" w:space="0" w:color="auto"/>
              <w:right w:val="single" w:sz="4" w:space="0" w:color="auto"/>
            </w:tcBorders>
            <w:shd w:val="clear" w:color="000000" w:fill="FFFFFF"/>
            <w:noWrap/>
            <w:vAlign w:val="center"/>
            <w:hideMark/>
          </w:tcPr>
          <w:p w14:paraId="0824A02F" w14:textId="77777777" w:rsidR="00F96762" w:rsidRPr="00855EF5" w:rsidRDefault="00F96762" w:rsidP="00EB33AD">
            <w:pPr>
              <w:jc w:val="left"/>
              <w:rPr>
                <w:rFonts w:ascii="Arial Narrow" w:hAnsi="Arial Narrow" w:cs="Calibri"/>
                <w:color w:val="000000"/>
                <w:sz w:val="20"/>
                <w:szCs w:val="20"/>
              </w:rPr>
            </w:pPr>
            <w:r w:rsidRPr="00855EF5">
              <w:rPr>
                <w:rFonts w:ascii="Arial Narrow" w:hAnsi="Arial Narrow" w:cs="Calibri"/>
                <w:color w:val="000000"/>
                <w:sz w:val="20"/>
                <w:szCs w:val="20"/>
              </w:rPr>
              <w:t>Total eligible patient count (unique count no duplicates)</w:t>
            </w:r>
          </w:p>
        </w:tc>
        <w:tc>
          <w:tcPr>
            <w:tcW w:w="1984" w:type="dxa"/>
            <w:tcBorders>
              <w:top w:val="nil"/>
              <w:left w:val="nil"/>
              <w:bottom w:val="single" w:sz="4" w:space="0" w:color="auto"/>
              <w:right w:val="single" w:sz="4" w:space="0" w:color="auto"/>
            </w:tcBorders>
            <w:shd w:val="clear" w:color="000000" w:fill="FFFFFF"/>
            <w:vAlign w:val="center"/>
            <w:hideMark/>
          </w:tcPr>
          <w:p w14:paraId="0021EAB1" w14:textId="2916B847" w:rsidR="00F96762" w:rsidRPr="003461AA" w:rsidRDefault="004755B7" w:rsidP="00EB33AD">
            <w:pPr>
              <w:jc w:val="center"/>
              <w:rPr>
                <w:rFonts w:ascii="Arial Narrow" w:hAnsi="Arial Narrow" w:cs="Calibri"/>
                <w:color w:val="000000"/>
                <w:sz w:val="20"/>
                <w:szCs w:val="20"/>
                <w:vertAlign w:val="superscript"/>
              </w:rPr>
            </w:pPr>
            <w:r w:rsidRPr="004755B7">
              <w:rPr>
                <w:rFonts w:ascii="Arial Narrow" w:hAnsi="Arial Narrow" w:cs="Calibri"/>
                <w:b/>
                <w:bCs/>
                <w:color w:val="000000"/>
                <w:sz w:val="20"/>
                <w:szCs w:val="20"/>
                <w:shd w:val="solid" w:color="000000" w:fill="000000"/>
                <w14:textFill>
                  <w14:solidFill>
                    <w14:srgbClr w14:val="000000">
                      <w14:alpha w14:val="100000"/>
                    </w14:srgbClr>
                  </w14:solidFill>
                </w14:textFill>
              </w:rPr>
              <w:t>|</w:t>
            </w:r>
            <w:r w:rsidR="003461AA">
              <w:rPr>
                <w:rFonts w:ascii="Arial Narrow" w:hAnsi="Arial Narrow" w:cs="Calibri"/>
                <w:color w:val="000000"/>
                <w:sz w:val="20"/>
                <w:szCs w:val="20"/>
                <w:vertAlign w:val="superscript"/>
              </w:rPr>
              <w:t>9</w:t>
            </w:r>
          </w:p>
        </w:tc>
        <w:tc>
          <w:tcPr>
            <w:tcW w:w="2410" w:type="dxa"/>
            <w:tcBorders>
              <w:top w:val="nil"/>
              <w:left w:val="nil"/>
              <w:bottom w:val="single" w:sz="4" w:space="0" w:color="auto"/>
              <w:right w:val="single" w:sz="4" w:space="0" w:color="auto"/>
            </w:tcBorders>
            <w:shd w:val="clear" w:color="auto" w:fill="auto"/>
            <w:noWrap/>
            <w:vAlign w:val="bottom"/>
            <w:hideMark/>
          </w:tcPr>
          <w:p w14:paraId="303543F2" w14:textId="247D4013" w:rsidR="00F96762" w:rsidRPr="00855EF5" w:rsidRDefault="004755B7" w:rsidP="00EB33AD">
            <w:pPr>
              <w:jc w:val="right"/>
              <w:rPr>
                <w:rFonts w:ascii="Arial Narrow" w:hAnsi="Arial Narrow" w:cs="Calibri"/>
                <w:b/>
                <w:bCs/>
                <w:color w:val="000000"/>
                <w:sz w:val="20"/>
                <w:szCs w:val="20"/>
                <w:vertAlign w:val="superscript"/>
              </w:rPr>
            </w:pPr>
            <w:r w:rsidRPr="004755B7">
              <w:rPr>
                <w:rFonts w:ascii="Arial Narrow" w:hAnsi="Arial Narrow" w:cs="Calibri"/>
                <w:b/>
                <w:bCs/>
                <w:color w:val="000000"/>
                <w:sz w:val="20"/>
                <w:szCs w:val="20"/>
                <w:shd w:val="solid" w:color="000000" w:fill="000000"/>
                <w14:textFill>
                  <w14:solidFill>
                    <w14:srgbClr w14:val="000000">
                      <w14:alpha w14:val="100000"/>
                    </w14:srgbClr>
                  </w14:solidFill>
                </w14:textFill>
              </w:rPr>
              <w:t>|</w:t>
            </w:r>
            <w:r w:rsidR="003461AA">
              <w:rPr>
                <w:rFonts w:ascii="Arial Narrow" w:hAnsi="Arial Narrow" w:cs="Calibri"/>
                <w:color w:val="000000"/>
                <w:sz w:val="20"/>
                <w:szCs w:val="20"/>
                <w:vertAlign w:val="superscript"/>
              </w:rPr>
              <w:t>9</w:t>
            </w:r>
            <w:r w:rsidR="003461AA">
              <w:rPr>
                <w:rFonts w:ascii="Arial Narrow" w:hAnsi="Arial Narrow" w:cs="Calibri"/>
                <w:b/>
                <w:bCs/>
                <w:color w:val="000000"/>
                <w:sz w:val="20"/>
                <w:szCs w:val="20"/>
              </w:rPr>
              <w:t xml:space="preserve"> </w:t>
            </w:r>
            <w:r w:rsidR="00F96762" w:rsidRPr="00855EF5">
              <w:rPr>
                <w:rFonts w:ascii="Arial Narrow" w:hAnsi="Arial Narrow" w:cs="Calibri"/>
                <w:b/>
                <w:bCs/>
                <w:color w:val="000000"/>
                <w:sz w:val="20"/>
                <w:szCs w:val="20"/>
                <w:vertAlign w:val="superscript"/>
              </w:rPr>
              <w:t>a</w:t>
            </w:r>
          </w:p>
        </w:tc>
      </w:tr>
    </w:tbl>
    <w:p w14:paraId="6D368B96" w14:textId="77777777" w:rsidR="00F96762" w:rsidRPr="003634A7" w:rsidRDefault="00F96762" w:rsidP="00F96762">
      <w:pPr>
        <w:pStyle w:val="2-SectionHeading"/>
        <w:numPr>
          <w:ilvl w:val="0"/>
          <w:numId w:val="0"/>
        </w:numPr>
        <w:spacing w:before="0" w:after="0"/>
        <w:ind w:left="142" w:hanging="142"/>
        <w:contextualSpacing/>
        <w:outlineLvl w:val="9"/>
        <w:rPr>
          <w:rFonts w:ascii="Arial Narrow" w:hAnsi="Arial Narrow"/>
          <w:b w:val="0"/>
          <w:bCs/>
          <w:sz w:val="18"/>
          <w:szCs w:val="18"/>
        </w:rPr>
      </w:pPr>
      <w:r w:rsidRPr="003634A7">
        <w:rPr>
          <w:rFonts w:ascii="Arial Narrow" w:hAnsi="Arial Narrow"/>
          <w:b w:val="0"/>
          <w:bCs/>
          <w:sz w:val="18"/>
          <w:szCs w:val="18"/>
          <w:u w:val="single"/>
        </w:rPr>
        <w:t>Source</w:t>
      </w:r>
      <w:r w:rsidRPr="003634A7">
        <w:rPr>
          <w:rFonts w:ascii="Arial Narrow" w:hAnsi="Arial Narrow"/>
          <w:b w:val="0"/>
          <w:bCs/>
          <w:sz w:val="18"/>
          <w:szCs w:val="18"/>
        </w:rPr>
        <w:t>:</w:t>
      </w:r>
    </w:p>
    <w:p w14:paraId="6095EBC2" w14:textId="3E3D57EA" w:rsidR="00F96762" w:rsidRPr="003634A7" w:rsidRDefault="00083DC4" w:rsidP="00F96762">
      <w:pPr>
        <w:pStyle w:val="2-SectionHeading"/>
        <w:numPr>
          <w:ilvl w:val="0"/>
          <w:numId w:val="0"/>
        </w:numPr>
        <w:spacing w:before="0" w:after="0"/>
        <w:ind w:left="142" w:hanging="142"/>
        <w:contextualSpacing/>
        <w:outlineLvl w:val="9"/>
        <w:rPr>
          <w:rFonts w:ascii="Arial Narrow" w:hAnsi="Arial Narrow"/>
          <w:b w:val="0"/>
          <w:bCs/>
          <w:sz w:val="18"/>
          <w:szCs w:val="18"/>
        </w:rPr>
      </w:pPr>
      <w:r w:rsidRPr="003634A7">
        <w:rPr>
          <w:rFonts w:ascii="Arial Narrow" w:hAnsi="Arial Narrow"/>
          <w:b w:val="0"/>
          <w:bCs/>
          <w:sz w:val="18"/>
          <w:szCs w:val="18"/>
          <w:vertAlign w:val="superscript"/>
        </w:rPr>
        <w:t>*</w:t>
      </w:r>
      <w:r w:rsidR="00F96762" w:rsidRPr="003634A7">
        <w:rPr>
          <w:rFonts w:ascii="Arial Narrow" w:hAnsi="Arial Narrow"/>
          <w:b w:val="0"/>
          <w:bCs/>
          <w:sz w:val="18"/>
          <w:szCs w:val="18"/>
        </w:rPr>
        <w:t xml:space="preserve"> Table 16 from the main resubmission.</w:t>
      </w:r>
    </w:p>
    <w:p w14:paraId="72824B76" w14:textId="5262919C" w:rsidR="00F96762" w:rsidRPr="003634A7" w:rsidRDefault="00083DC4" w:rsidP="00F96762">
      <w:pPr>
        <w:pStyle w:val="2-SectionHeading"/>
        <w:numPr>
          <w:ilvl w:val="0"/>
          <w:numId w:val="0"/>
        </w:numPr>
        <w:spacing w:before="0" w:after="0"/>
        <w:ind w:left="142" w:hanging="142"/>
        <w:contextualSpacing/>
        <w:outlineLvl w:val="9"/>
        <w:rPr>
          <w:rFonts w:ascii="Arial Narrow" w:hAnsi="Arial Narrow"/>
          <w:b w:val="0"/>
          <w:bCs/>
          <w:sz w:val="18"/>
          <w:szCs w:val="18"/>
        </w:rPr>
      </w:pPr>
      <w:r w:rsidRPr="003634A7">
        <w:rPr>
          <w:rFonts w:ascii="Arial Narrow" w:hAnsi="Arial Narrow"/>
          <w:b w:val="0"/>
          <w:bCs/>
          <w:sz w:val="18"/>
          <w:szCs w:val="18"/>
          <w:vertAlign w:val="superscript"/>
        </w:rPr>
        <w:t>#</w:t>
      </w:r>
      <w:r w:rsidR="00F96762" w:rsidRPr="003634A7">
        <w:rPr>
          <w:rFonts w:ascii="Arial Narrow" w:hAnsi="Arial Narrow"/>
          <w:b w:val="0"/>
          <w:bCs/>
          <w:sz w:val="18"/>
          <w:szCs w:val="18"/>
        </w:rPr>
        <w:t xml:space="preserve"> 100% R/PBS data was used for populations A,C and D. Due to the large number of PBS listings included in the analysis of patients with a comorbidity, a 10% PBS sample was used for populations H</w:t>
      </w:r>
      <w:r w:rsidR="00F96762" w:rsidRPr="003634A7">
        <w:rPr>
          <w:rFonts w:ascii="Arial Narrow" w:hAnsi="Arial Narrow"/>
          <w:b w:val="0"/>
          <w:bCs/>
          <w:sz w:val="18"/>
          <w:szCs w:val="18"/>
        </w:rPr>
        <w:noBreakHyphen/>
        <w:t>M.</w:t>
      </w:r>
    </w:p>
    <w:p w14:paraId="0B95F3D8" w14:textId="77777777" w:rsidR="00F96762" w:rsidRPr="003634A7" w:rsidRDefault="00F96762" w:rsidP="00F96762">
      <w:pPr>
        <w:pStyle w:val="2-SectionHeading"/>
        <w:numPr>
          <w:ilvl w:val="0"/>
          <w:numId w:val="0"/>
        </w:numPr>
        <w:spacing w:before="0" w:after="0"/>
        <w:ind w:left="142" w:hanging="142"/>
        <w:contextualSpacing/>
        <w:outlineLvl w:val="9"/>
        <w:rPr>
          <w:rFonts w:ascii="Arial Narrow" w:hAnsi="Arial Narrow"/>
          <w:b w:val="0"/>
          <w:bCs/>
          <w:sz w:val="18"/>
          <w:szCs w:val="18"/>
        </w:rPr>
      </w:pPr>
      <w:r w:rsidRPr="003634A7">
        <w:rPr>
          <w:rFonts w:ascii="Arial Narrow" w:hAnsi="Arial Narrow"/>
          <w:b w:val="0"/>
          <w:bCs/>
          <w:sz w:val="18"/>
          <w:szCs w:val="18"/>
          <w:u w:val="single"/>
        </w:rPr>
        <w:t>Note</w:t>
      </w:r>
      <w:r w:rsidRPr="003634A7">
        <w:rPr>
          <w:rFonts w:ascii="Arial Narrow" w:hAnsi="Arial Narrow"/>
          <w:b w:val="0"/>
          <w:bCs/>
          <w:sz w:val="18"/>
          <w:szCs w:val="18"/>
        </w:rPr>
        <w:t>:</w:t>
      </w:r>
    </w:p>
    <w:p w14:paraId="12B85042" w14:textId="77777777" w:rsidR="00F96762" w:rsidRPr="003634A7" w:rsidRDefault="00F96762" w:rsidP="00F96762">
      <w:pPr>
        <w:pStyle w:val="2-SectionHeading"/>
        <w:numPr>
          <w:ilvl w:val="0"/>
          <w:numId w:val="0"/>
        </w:numPr>
        <w:spacing w:before="0" w:after="0"/>
        <w:ind w:left="142" w:hanging="142"/>
        <w:contextualSpacing/>
        <w:outlineLvl w:val="9"/>
        <w:rPr>
          <w:rFonts w:ascii="Arial Narrow" w:hAnsi="Arial Narrow"/>
          <w:b w:val="0"/>
          <w:bCs/>
          <w:sz w:val="18"/>
          <w:szCs w:val="18"/>
        </w:rPr>
      </w:pPr>
      <w:r w:rsidRPr="003634A7">
        <w:rPr>
          <w:rFonts w:ascii="Arial Narrow" w:hAnsi="Arial Narrow" w:cs="Calibri"/>
          <w:b w:val="0"/>
          <w:bCs/>
          <w:color w:val="000000"/>
          <w:sz w:val="18"/>
          <w:szCs w:val="18"/>
          <w:vertAlign w:val="superscript"/>
        </w:rPr>
        <w:t>a</w:t>
      </w:r>
      <w:r w:rsidRPr="003634A7">
        <w:rPr>
          <w:rFonts w:ascii="Arial Narrow" w:hAnsi="Arial Narrow" w:cs="Calibri"/>
          <w:b w:val="0"/>
          <w:bCs/>
          <w:color w:val="000000"/>
          <w:sz w:val="18"/>
          <w:szCs w:val="18"/>
        </w:rPr>
        <w:t xml:space="preserve"> </w:t>
      </w:r>
      <w:r w:rsidRPr="003634A7">
        <w:rPr>
          <w:rFonts w:ascii="Arial Narrow" w:hAnsi="Arial Narrow"/>
          <w:b w:val="0"/>
          <w:bCs/>
          <w:sz w:val="18"/>
          <w:szCs w:val="18"/>
        </w:rPr>
        <w:t>Includes estimates for all sub-populations A-M.</w:t>
      </w:r>
    </w:p>
    <w:p w14:paraId="43EB9C96" w14:textId="335E2822" w:rsidR="00F96762" w:rsidRPr="003634A7" w:rsidRDefault="00F96762" w:rsidP="00F96762">
      <w:pPr>
        <w:pStyle w:val="2-SectionHeading"/>
        <w:numPr>
          <w:ilvl w:val="0"/>
          <w:numId w:val="0"/>
        </w:numPr>
        <w:spacing w:before="0" w:after="0"/>
        <w:ind w:left="142" w:hanging="142"/>
        <w:contextualSpacing/>
        <w:outlineLvl w:val="9"/>
        <w:rPr>
          <w:rFonts w:ascii="Arial Narrow" w:hAnsi="Arial Narrow" w:cstheme="minorHAnsi"/>
          <w:b w:val="0"/>
          <w:bCs/>
          <w:sz w:val="18"/>
          <w:szCs w:val="18"/>
          <w:lang w:eastAsia="en-US"/>
        </w:rPr>
      </w:pPr>
      <w:r w:rsidRPr="003634A7">
        <w:rPr>
          <w:rFonts w:ascii="Arial Narrow" w:hAnsi="Arial Narrow" w:cstheme="minorHAnsi"/>
          <w:b w:val="0"/>
          <w:bCs/>
          <w:sz w:val="18"/>
          <w:szCs w:val="18"/>
          <w:vertAlign w:val="superscript"/>
          <w:lang w:eastAsia="en-US"/>
        </w:rPr>
        <w:t>b</w:t>
      </w:r>
      <w:r w:rsidRPr="003634A7">
        <w:rPr>
          <w:rFonts w:ascii="Arial Narrow" w:hAnsi="Arial Narrow" w:cstheme="minorHAnsi"/>
          <w:b w:val="0"/>
          <w:bCs/>
          <w:sz w:val="18"/>
          <w:szCs w:val="18"/>
          <w:lang w:eastAsia="en-US"/>
        </w:rPr>
        <w:t xml:space="preserve"> Details of PBS listings used to identify a comorbidity, based on information provided in Attachment 1 of the resubmission, ‘Evusheld PBS analysis methodology’, Table 4.</w:t>
      </w:r>
    </w:p>
    <w:p w14:paraId="1774DA65" w14:textId="77777777" w:rsidR="00083DC4" w:rsidRDefault="00083DC4" w:rsidP="00083DC4">
      <w:pPr>
        <w:rPr>
          <w:rFonts w:ascii="Arial Narrow" w:hAnsi="Arial Narrow"/>
          <w:i/>
          <w:sz w:val="18"/>
          <w:szCs w:val="18"/>
        </w:rPr>
      </w:pPr>
    </w:p>
    <w:p w14:paraId="08E21FF3" w14:textId="3A638868" w:rsidR="00083DC4" w:rsidRPr="003461AA" w:rsidRDefault="00083DC4" w:rsidP="00083DC4">
      <w:pPr>
        <w:rPr>
          <w:rFonts w:ascii="Arial Narrow" w:hAnsi="Arial Narrow"/>
          <w:i/>
          <w:sz w:val="18"/>
          <w:szCs w:val="18"/>
        </w:rPr>
      </w:pPr>
      <w:r w:rsidRPr="003461AA">
        <w:rPr>
          <w:rFonts w:ascii="Arial Narrow" w:hAnsi="Arial Narrow"/>
          <w:i/>
          <w:sz w:val="18"/>
          <w:szCs w:val="18"/>
        </w:rPr>
        <w:t xml:space="preserve">The redacted values correspond to the following ranges: </w:t>
      </w:r>
    </w:p>
    <w:p w14:paraId="39FE415C" w14:textId="5DE716C8" w:rsidR="00083DC4" w:rsidRPr="003461AA" w:rsidRDefault="00083DC4" w:rsidP="00083DC4">
      <w:pPr>
        <w:ind w:right="147"/>
        <w:rPr>
          <w:rFonts w:ascii="Arial Narrow" w:hAnsi="Arial Narrow"/>
          <w:i/>
          <w:color w:val="333333"/>
          <w:sz w:val="18"/>
          <w:szCs w:val="18"/>
        </w:rPr>
      </w:pPr>
      <w:r w:rsidRPr="003461AA">
        <w:rPr>
          <w:rFonts w:ascii="Arial Narrow" w:hAnsi="Arial Narrow"/>
          <w:i/>
          <w:color w:val="333333"/>
          <w:sz w:val="18"/>
          <w:szCs w:val="18"/>
          <w:vertAlign w:val="superscript"/>
        </w:rPr>
        <w:t>1</w:t>
      </w:r>
      <w:r w:rsidRPr="003461AA">
        <w:rPr>
          <w:rFonts w:ascii="Arial Narrow" w:hAnsi="Arial Narrow"/>
          <w:i/>
          <w:color w:val="333333"/>
          <w:sz w:val="18"/>
          <w:szCs w:val="18"/>
        </w:rPr>
        <w:t>20,000 to &lt; 30,000</w:t>
      </w:r>
    </w:p>
    <w:p w14:paraId="3E366489" w14:textId="3E3A0784" w:rsidR="00083DC4" w:rsidRPr="003461AA" w:rsidRDefault="00083DC4" w:rsidP="00F96762">
      <w:pPr>
        <w:pStyle w:val="2-SectionHeading"/>
        <w:numPr>
          <w:ilvl w:val="0"/>
          <w:numId w:val="0"/>
        </w:numPr>
        <w:spacing w:before="0" w:after="0"/>
        <w:ind w:left="142" w:hanging="142"/>
        <w:contextualSpacing/>
        <w:outlineLvl w:val="9"/>
        <w:rPr>
          <w:rFonts w:ascii="Arial Narrow" w:hAnsi="Arial Narrow" w:cstheme="minorHAnsi"/>
          <w:b w:val="0"/>
          <w:bCs/>
          <w:i/>
          <w:sz w:val="18"/>
          <w:szCs w:val="18"/>
          <w:lang w:eastAsia="en-US"/>
        </w:rPr>
      </w:pPr>
      <w:r w:rsidRPr="003461AA">
        <w:rPr>
          <w:rFonts w:ascii="Arial Narrow" w:hAnsi="Arial Narrow" w:cstheme="minorHAnsi"/>
          <w:b w:val="0"/>
          <w:bCs/>
          <w:i/>
          <w:sz w:val="18"/>
          <w:szCs w:val="18"/>
          <w:vertAlign w:val="superscript"/>
          <w:lang w:eastAsia="en-US"/>
        </w:rPr>
        <w:t>2</w:t>
      </w:r>
      <w:r w:rsidRPr="003461AA">
        <w:rPr>
          <w:rFonts w:ascii="Arial Narrow" w:hAnsi="Arial Narrow" w:cstheme="minorHAnsi"/>
          <w:b w:val="0"/>
          <w:bCs/>
          <w:i/>
          <w:sz w:val="18"/>
          <w:szCs w:val="18"/>
          <w:lang w:eastAsia="en-US"/>
        </w:rPr>
        <w:t>500 to &lt; 5,000</w:t>
      </w:r>
    </w:p>
    <w:p w14:paraId="38F12191" w14:textId="3F4D6A92" w:rsidR="003461AA" w:rsidRPr="003461AA" w:rsidRDefault="003461AA" w:rsidP="003461AA">
      <w:pPr>
        <w:ind w:right="147"/>
        <w:rPr>
          <w:rFonts w:ascii="Arial Narrow" w:hAnsi="Arial Narrow"/>
          <w:i/>
          <w:color w:val="333333"/>
          <w:sz w:val="18"/>
          <w:szCs w:val="18"/>
        </w:rPr>
      </w:pPr>
      <w:r w:rsidRPr="003461AA">
        <w:rPr>
          <w:rFonts w:ascii="Arial Narrow" w:hAnsi="Arial Narrow"/>
          <w:i/>
          <w:color w:val="333333"/>
          <w:sz w:val="18"/>
          <w:szCs w:val="18"/>
          <w:vertAlign w:val="superscript"/>
        </w:rPr>
        <w:t>3</w:t>
      </w:r>
      <w:r w:rsidRPr="003461AA">
        <w:rPr>
          <w:rFonts w:ascii="Arial Narrow" w:hAnsi="Arial Narrow"/>
          <w:i/>
          <w:color w:val="333333"/>
          <w:sz w:val="18"/>
          <w:szCs w:val="18"/>
        </w:rPr>
        <w:t>50,000 to &lt; 60,000</w:t>
      </w:r>
    </w:p>
    <w:p w14:paraId="373FB293" w14:textId="1B6028DF" w:rsidR="003461AA" w:rsidRPr="003461AA" w:rsidRDefault="003461AA" w:rsidP="003461AA">
      <w:pPr>
        <w:ind w:right="147"/>
        <w:rPr>
          <w:rFonts w:ascii="Arial Narrow" w:hAnsi="Arial Narrow"/>
          <w:i/>
          <w:color w:val="333333"/>
          <w:sz w:val="18"/>
          <w:szCs w:val="18"/>
        </w:rPr>
      </w:pPr>
      <w:r w:rsidRPr="003461AA">
        <w:rPr>
          <w:rFonts w:ascii="Arial Narrow" w:hAnsi="Arial Narrow"/>
          <w:i/>
          <w:color w:val="333333"/>
          <w:sz w:val="18"/>
          <w:szCs w:val="18"/>
          <w:vertAlign w:val="superscript"/>
        </w:rPr>
        <w:t>4</w:t>
      </w:r>
      <w:r w:rsidRPr="003461AA">
        <w:rPr>
          <w:rFonts w:ascii="Arial Narrow" w:hAnsi="Arial Narrow"/>
          <w:i/>
          <w:color w:val="333333"/>
          <w:sz w:val="18"/>
          <w:szCs w:val="18"/>
        </w:rPr>
        <w:t>5,000 to &lt; 10,000</w:t>
      </w:r>
    </w:p>
    <w:p w14:paraId="5B7AAA1B" w14:textId="40EF3B03" w:rsidR="003461AA" w:rsidRPr="003461AA" w:rsidRDefault="003461AA" w:rsidP="003461AA">
      <w:pPr>
        <w:ind w:right="147"/>
        <w:rPr>
          <w:rFonts w:ascii="Arial Narrow" w:hAnsi="Arial Narrow"/>
          <w:i/>
          <w:color w:val="333333"/>
          <w:sz w:val="18"/>
          <w:szCs w:val="18"/>
        </w:rPr>
      </w:pPr>
      <w:r w:rsidRPr="003461AA">
        <w:rPr>
          <w:rFonts w:ascii="Arial Narrow" w:hAnsi="Arial Narrow"/>
          <w:i/>
          <w:color w:val="333333"/>
          <w:sz w:val="18"/>
          <w:szCs w:val="18"/>
          <w:vertAlign w:val="superscript"/>
        </w:rPr>
        <w:t>5</w:t>
      </w:r>
      <w:r w:rsidRPr="003461AA">
        <w:rPr>
          <w:rFonts w:ascii="Arial Narrow" w:hAnsi="Arial Narrow"/>
          <w:i/>
          <w:color w:val="333333"/>
          <w:sz w:val="18"/>
          <w:szCs w:val="18"/>
        </w:rPr>
        <w:t>10,000 to &lt; 20,000</w:t>
      </w:r>
    </w:p>
    <w:p w14:paraId="2E6B09B9" w14:textId="6E0FE771" w:rsidR="003461AA" w:rsidRPr="003461AA" w:rsidRDefault="003461AA" w:rsidP="003461AA">
      <w:pPr>
        <w:ind w:right="147"/>
        <w:rPr>
          <w:rFonts w:ascii="Arial Narrow" w:hAnsi="Arial Narrow"/>
          <w:i/>
          <w:color w:val="333333"/>
          <w:sz w:val="18"/>
          <w:szCs w:val="18"/>
        </w:rPr>
      </w:pPr>
      <w:r w:rsidRPr="003461AA">
        <w:rPr>
          <w:rFonts w:ascii="Arial Narrow" w:hAnsi="Arial Narrow"/>
          <w:i/>
          <w:color w:val="333333"/>
          <w:sz w:val="18"/>
          <w:szCs w:val="18"/>
          <w:vertAlign w:val="superscript"/>
        </w:rPr>
        <w:t>6</w:t>
      </w:r>
      <w:r w:rsidRPr="003461AA">
        <w:rPr>
          <w:rFonts w:ascii="Arial Narrow" w:hAnsi="Arial Narrow"/>
          <w:i/>
          <w:color w:val="333333"/>
          <w:sz w:val="18"/>
          <w:szCs w:val="18"/>
        </w:rPr>
        <w:t>30,000 to &lt; 40,000</w:t>
      </w:r>
    </w:p>
    <w:p w14:paraId="59860D27" w14:textId="2F5A131E" w:rsidR="003461AA" w:rsidRPr="003461AA" w:rsidRDefault="003461AA" w:rsidP="003461AA">
      <w:pPr>
        <w:ind w:right="147"/>
        <w:rPr>
          <w:rFonts w:ascii="Arial Narrow" w:hAnsi="Arial Narrow"/>
          <w:b/>
          <w:bCs/>
          <w:i/>
          <w:color w:val="333333"/>
          <w:sz w:val="18"/>
          <w:szCs w:val="18"/>
        </w:rPr>
      </w:pPr>
      <w:r w:rsidRPr="003461AA">
        <w:rPr>
          <w:rFonts w:ascii="Arial Narrow" w:hAnsi="Arial Narrow"/>
          <w:i/>
          <w:color w:val="333333"/>
          <w:sz w:val="18"/>
          <w:szCs w:val="18"/>
          <w:vertAlign w:val="superscript"/>
        </w:rPr>
        <w:t>7</w:t>
      </w:r>
      <w:r w:rsidRPr="003461AA">
        <w:rPr>
          <w:rFonts w:ascii="Arial Narrow" w:hAnsi="Arial Narrow"/>
          <w:i/>
          <w:color w:val="333333"/>
          <w:sz w:val="18"/>
          <w:szCs w:val="18"/>
        </w:rPr>
        <w:t>&lt; 500</w:t>
      </w:r>
    </w:p>
    <w:p w14:paraId="2D9C2A9C" w14:textId="38342626" w:rsidR="003461AA" w:rsidRPr="003461AA" w:rsidRDefault="003461AA" w:rsidP="003461AA">
      <w:pPr>
        <w:ind w:right="147"/>
        <w:rPr>
          <w:rFonts w:ascii="Arial Narrow" w:hAnsi="Arial Narrow"/>
          <w:i/>
          <w:color w:val="333333"/>
          <w:sz w:val="18"/>
          <w:szCs w:val="18"/>
        </w:rPr>
      </w:pPr>
      <w:r w:rsidRPr="003461AA">
        <w:rPr>
          <w:rFonts w:ascii="Arial Narrow" w:hAnsi="Arial Narrow"/>
          <w:i/>
          <w:color w:val="333333"/>
          <w:sz w:val="18"/>
          <w:szCs w:val="18"/>
          <w:vertAlign w:val="superscript"/>
        </w:rPr>
        <w:t>8</w:t>
      </w:r>
      <w:r w:rsidRPr="003461AA">
        <w:rPr>
          <w:rFonts w:ascii="Arial Narrow" w:hAnsi="Arial Narrow"/>
          <w:i/>
          <w:color w:val="333333"/>
          <w:sz w:val="18"/>
          <w:szCs w:val="18"/>
        </w:rPr>
        <w:t>200,000 to &lt; 300,000</w:t>
      </w:r>
    </w:p>
    <w:p w14:paraId="40E31191" w14:textId="2A78F334" w:rsidR="00F96762" w:rsidRPr="00855EF5" w:rsidRDefault="003461AA" w:rsidP="003634A7">
      <w:pPr>
        <w:spacing w:after="120"/>
        <w:ind w:right="147"/>
      </w:pPr>
      <w:r w:rsidRPr="003461AA">
        <w:rPr>
          <w:rFonts w:ascii="Arial Narrow" w:hAnsi="Arial Narrow"/>
          <w:i/>
          <w:color w:val="333333"/>
          <w:sz w:val="18"/>
          <w:szCs w:val="18"/>
          <w:vertAlign w:val="superscript"/>
        </w:rPr>
        <w:t>9</w:t>
      </w:r>
      <w:r w:rsidRPr="003461AA">
        <w:rPr>
          <w:rFonts w:ascii="Arial Narrow" w:hAnsi="Arial Narrow"/>
          <w:i/>
          <w:color w:val="333333"/>
          <w:sz w:val="18"/>
          <w:szCs w:val="18"/>
        </w:rPr>
        <w:t>100,000 to &lt; 200,000</w:t>
      </w:r>
    </w:p>
    <w:p w14:paraId="53AA6ECD" w14:textId="179499A0" w:rsidR="003634A7" w:rsidRDefault="00F96762" w:rsidP="00F96762">
      <w:pPr>
        <w:pStyle w:val="3-BodyText"/>
        <w:rPr>
          <w:rFonts w:cstheme="minorHAnsi"/>
        </w:rPr>
      </w:pPr>
      <w:bookmarkStart w:id="134" w:name="_Hlk121754711"/>
      <w:r w:rsidRPr="00855EF5">
        <w:rPr>
          <w:rFonts w:cstheme="minorHAnsi"/>
        </w:rPr>
        <w:t xml:space="preserve">The PBAC noted the resubmission estimated the total cost of listing tixagevimab with cilgavimab over 2 years as </w:t>
      </w:r>
      <w:r w:rsidR="003461AA" w:rsidRPr="003461AA">
        <w:rPr>
          <w:rFonts w:cstheme="minorHAnsi"/>
        </w:rPr>
        <w:t>$100 million to &lt; $200 million</w:t>
      </w:r>
      <w:r w:rsidR="003461AA">
        <w:rPr>
          <w:rFonts w:cstheme="minorHAnsi"/>
        </w:rPr>
        <w:t xml:space="preserve"> </w:t>
      </w:r>
      <w:r w:rsidRPr="00855EF5">
        <w:rPr>
          <w:rFonts w:cstheme="minorHAnsi"/>
        </w:rPr>
        <w:t xml:space="preserve">by assuming that 50% of the total eligible population would receive one dose of tixagevimab and cilgavimab in each listing year. If this same assumption was applied to the Department’s population estimate, the total cost of the listing reduces to </w:t>
      </w:r>
      <w:r w:rsidR="003461AA" w:rsidRPr="003461AA">
        <w:rPr>
          <w:rFonts w:cstheme="minorHAnsi"/>
        </w:rPr>
        <w:t>$100 million to &lt; $200 million</w:t>
      </w:r>
      <w:bookmarkEnd w:id="134"/>
      <w:r w:rsidR="003634A7">
        <w:rPr>
          <w:rFonts w:cstheme="minorHAnsi"/>
        </w:rPr>
        <w:t>.</w:t>
      </w:r>
    </w:p>
    <w:p w14:paraId="060FA608" w14:textId="4BF63AE3" w:rsidR="003634A7" w:rsidRDefault="00F96762" w:rsidP="00F96762">
      <w:pPr>
        <w:pStyle w:val="3-BodyText"/>
        <w:rPr>
          <w:rFonts w:cstheme="minorHAnsi"/>
        </w:rPr>
      </w:pPr>
      <w:r w:rsidRPr="00855EF5">
        <w:rPr>
          <w:rFonts w:cstheme="minorHAnsi"/>
        </w:rPr>
        <w:t xml:space="preserve">The PBAC noted the pre-PBAC response proposed the uptake estimates be changed to 50%-80% in Population 1 and 10%-25% in Population 2. The pre-PBAC response </w:t>
      </w:r>
      <w:r w:rsidRPr="00855EF5">
        <w:rPr>
          <w:rFonts w:cstheme="minorHAnsi"/>
        </w:rPr>
        <w:lastRenderedPageBreak/>
        <w:t>noted the financial estimates in the resubmission are based on a single dose per year, and indicated that in the event that the PBAC approves repeat dosing, it is expected that the uptake rate for the repeat dose will be 80% in Population 1 and 50% in Population 2, with the higher uptake of a repeat dose expected in Population 1 because these patients are more likely to have chronic immunosuppression compared to Population 2. The pre-PBAC response did not provide an estimate of the total cost of the listing under these revised assumptions</w:t>
      </w:r>
      <w:r w:rsidR="003634A7">
        <w:rPr>
          <w:rFonts w:cstheme="minorHAnsi"/>
        </w:rPr>
        <w:t>.</w:t>
      </w:r>
    </w:p>
    <w:p w14:paraId="2A5EBE7F" w14:textId="25FBD232" w:rsidR="003634A7" w:rsidRDefault="00F96762" w:rsidP="00F96762">
      <w:pPr>
        <w:pStyle w:val="3-BodyText"/>
        <w:rPr>
          <w:rFonts w:cstheme="minorHAnsi"/>
        </w:rPr>
      </w:pPr>
      <w:r w:rsidRPr="00855EF5">
        <w:rPr>
          <w:rFonts w:cstheme="minorHAnsi"/>
        </w:rPr>
        <w:t>The pre-PBAC response acknowledged there is a significant amount of uncertainty related to the use and ongoing effectiveness of tixagevimab and cilgavimab because of the changing nature of the COVID-19 virus. The pre-PBAC response restated that the resubmission proposed a 2 year listing, based on the PBAC’s recommendation to time-limit the PBS subsidy period to manage this risk. The pre-PBAC response reiterated the sponsor’s suggestion of a review of the cost-effectiveness of tixagevimab and cilgavimab be conducted to determine ongoing listing beyond this 2 years. The pre-PBAC response noted the evaluation had suggest several additional measures to manage the risks with regards to patient safety and public health and indicated the sponsor was open to collaborating with Government and Key Stakeholders to understand the most appropriate and feasible approach to managing this risk</w:t>
      </w:r>
      <w:r w:rsidR="003634A7">
        <w:rPr>
          <w:rFonts w:cstheme="minorHAnsi"/>
        </w:rPr>
        <w:t>.</w:t>
      </w:r>
    </w:p>
    <w:p w14:paraId="1630EE77" w14:textId="5EBEEF01" w:rsidR="003634A7" w:rsidRDefault="00F96762" w:rsidP="00F96762">
      <w:pPr>
        <w:pStyle w:val="3-BodyText"/>
      </w:pPr>
      <w:r w:rsidRPr="00855EF5">
        <w:t>The pre-PBAC response did not comment on the evaluation’s proposals to manage the financial risks to Government and taxpayers arising from the uncertainty relating to the use and ongoing effectiveness of tixagevimab and cilgavimab because of the changing nature of the COVID-19 virus</w:t>
      </w:r>
      <w:r w:rsidR="003634A7">
        <w:t>.</w:t>
      </w:r>
    </w:p>
    <w:p w14:paraId="7E67CC2D" w14:textId="77777777" w:rsidR="00F96762" w:rsidRPr="00855EF5" w:rsidRDefault="00F96762" w:rsidP="00F96762">
      <w:pPr>
        <w:pStyle w:val="2-SectionHeading"/>
      </w:pPr>
      <w:r w:rsidRPr="00855EF5">
        <w:t>PBAC Outcome</w:t>
      </w:r>
    </w:p>
    <w:p w14:paraId="6F10C412" w14:textId="5DE3D526" w:rsidR="00F96762" w:rsidRPr="00855EF5" w:rsidRDefault="00F96762" w:rsidP="00F96762">
      <w:pPr>
        <w:pStyle w:val="ListParagraph"/>
        <w:widowControl w:val="0"/>
        <w:numPr>
          <w:ilvl w:val="1"/>
          <w:numId w:val="1"/>
        </w:numPr>
        <w:contextualSpacing/>
      </w:pPr>
      <w:r w:rsidRPr="00855EF5">
        <w:t xml:space="preserve">The PBAC did not recommend PBS listing of tixagevimab and cilgavimab for </w:t>
      </w:r>
      <w:r w:rsidRPr="00855EF5">
        <w:rPr>
          <w:rFonts w:cstheme="minorHAnsi"/>
        </w:rPr>
        <w:t>use as pre</w:t>
      </w:r>
      <w:r w:rsidRPr="00855EF5">
        <w:rPr>
          <w:rFonts w:cstheme="minorHAnsi"/>
        </w:rPr>
        <w:noBreakHyphen/>
        <w:t>exposure prophylaxis against COVID-19 infection.</w:t>
      </w:r>
      <w:r w:rsidR="003634A7">
        <w:rPr>
          <w:rFonts w:cstheme="minorHAnsi"/>
        </w:rPr>
        <w:t xml:space="preserve"> </w:t>
      </w:r>
      <w:r w:rsidRPr="00855EF5">
        <w:rPr>
          <w:rFonts w:cstheme="minorHAnsi"/>
        </w:rPr>
        <w:t>The PBAC considered there was a limited clinical place for Evusheld in the current therapeutic landscape. The PBAC considered that the resubmission had not adequately addressed the clinical, economic, financial and risk management issues that had been raised in its September 2022 consideration. Moreover, the emergence and growing prevalence of strains of virus that are likely to be resistant to tixagevimab and cilgavimab since then, increased the uncertainty about the future effectiveness of this treatment for PrEP.</w:t>
      </w:r>
    </w:p>
    <w:p w14:paraId="713ECBC4" w14:textId="77777777" w:rsidR="00F96762" w:rsidRPr="00855EF5" w:rsidRDefault="00F96762" w:rsidP="00F96762">
      <w:pPr>
        <w:pStyle w:val="3-BodyText"/>
      </w:pPr>
      <w:r w:rsidRPr="00855EF5">
        <w:t xml:space="preserve">The PBAC acknowledged the need for effective preventative strategies for those at highest risk of severe COVID-19, especially where vaccination </w:t>
      </w:r>
      <w:r>
        <w:t>may be ineffective in the group of patients who are unable to mount an effective immune response to vaccination.</w:t>
      </w:r>
    </w:p>
    <w:p w14:paraId="64C18A96" w14:textId="023D20E4" w:rsidR="003634A7" w:rsidRDefault="00F96762" w:rsidP="00F96762">
      <w:pPr>
        <w:pStyle w:val="3-BodyText"/>
      </w:pPr>
      <w:r w:rsidRPr="00855EF5">
        <w:t>The PBAC noted the advice from the sponsor’s clinical expert panel and at the hearing on the most appropriate target population (Population 1) and that this population aligns with targeted high-risk populations in other jurisdictions.</w:t>
      </w:r>
      <w:r w:rsidR="003634A7">
        <w:t xml:space="preserve"> </w:t>
      </w:r>
      <w:r w:rsidRPr="00855EF5">
        <w:t xml:space="preserve">The PBAC noted the </w:t>
      </w:r>
      <w:r w:rsidRPr="00855EF5">
        <w:lastRenderedPageBreak/>
        <w:t>evidence presented in support of Population 2 did not clearly demonstrate this group represents a population at uniquely high risk who are unlikely to benefit from vaccination</w:t>
      </w:r>
      <w:r w:rsidR="003634A7">
        <w:t>.</w:t>
      </w:r>
    </w:p>
    <w:p w14:paraId="3F91E40D" w14:textId="762297F3" w:rsidR="003634A7" w:rsidRDefault="00F96762" w:rsidP="00F96762">
      <w:pPr>
        <w:pStyle w:val="3-BodyText"/>
        <w:rPr>
          <w:rFonts w:cstheme="minorHAnsi"/>
        </w:rPr>
      </w:pPr>
      <w:r w:rsidRPr="00855EF5">
        <w:rPr>
          <w:rFonts w:cstheme="minorHAnsi"/>
        </w:rPr>
        <w:t>The PBAC noted the additional 3 months of follow-up data from the study reported by Al Jurdi 2022 (paragraph</w:t>
      </w:r>
      <w:r w:rsidR="003B1F96">
        <w:rPr>
          <w:rFonts w:cstheme="minorHAnsi"/>
        </w:rPr>
        <w:t xml:space="preserve"> 11.4</w:t>
      </w:r>
      <w:r w:rsidRPr="00855EF5">
        <w:rPr>
          <w:rFonts w:cstheme="minorHAnsi"/>
        </w:rPr>
        <w:t>) and additional publication by Moon 2022 (paragraph</w:t>
      </w:r>
      <w:r w:rsidR="003B1F96">
        <w:rPr>
          <w:rFonts w:cstheme="minorHAnsi"/>
        </w:rPr>
        <w:t xml:space="preserve"> 11.5</w:t>
      </w:r>
      <w:r w:rsidRPr="00855EF5">
        <w:rPr>
          <w:rFonts w:cstheme="minorHAnsi"/>
        </w:rPr>
        <w:t xml:space="preserve">), however considered that the resubmission did not adequately address the clinical issues the Committee had raised in its September 2022 consideration (see paragraph </w:t>
      </w:r>
      <w:r w:rsidRPr="00855EF5">
        <w:rPr>
          <w:rFonts w:cstheme="minorHAnsi"/>
        </w:rPr>
        <w:fldChar w:fldCharType="begin" w:fldLock="1"/>
      </w:r>
      <w:r w:rsidRPr="00855EF5">
        <w:rPr>
          <w:rFonts w:cstheme="minorHAnsi"/>
        </w:rPr>
        <w:instrText xml:space="preserve"> REF _Ref121497509 \r \h </w:instrText>
      </w:r>
      <w:r w:rsidRPr="00855EF5">
        <w:rPr>
          <w:rFonts w:cstheme="minorHAnsi"/>
        </w:rPr>
      </w:r>
      <w:r w:rsidRPr="00855EF5">
        <w:rPr>
          <w:rFonts w:cstheme="minorHAnsi"/>
        </w:rPr>
        <w:fldChar w:fldCharType="separate"/>
      </w:r>
      <w:r w:rsidRPr="00855EF5">
        <w:rPr>
          <w:rFonts w:cstheme="minorHAnsi"/>
        </w:rPr>
        <w:t>7.15</w:t>
      </w:r>
      <w:r w:rsidRPr="00855EF5">
        <w:rPr>
          <w:rFonts w:cstheme="minorHAnsi"/>
        </w:rPr>
        <w:fldChar w:fldCharType="end"/>
      </w:r>
      <w:r w:rsidRPr="00855EF5">
        <w:rPr>
          <w:rFonts w:cstheme="minorHAnsi"/>
        </w:rPr>
        <w:t>)</w:t>
      </w:r>
      <w:r w:rsidR="003634A7">
        <w:rPr>
          <w:rFonts w:cstheme="minorHAnsi"/>
        </w:rPr>
        <w:t>.</w:t>
      </w:r>
    </w:p>
    <w:p w14:paraId="123EAE14" w14:textId="46D9A131" w:rsidR="00F96762" w:rsidRPr="00855EF5" w:rsidRDefault="00F96762" w:rsidP="00F96762">
      <w:pPr>
        <w:widowControl w:val="0"/>
        <w:numPr>
          <w:ilvl w:val="1"/>
          <w:numId w:val="1"/>
        </w:numPr>
        <w:spacing w:after="120"/>
        <w:rPr>
          <w:rFonts w:asciiTheme="minorHAnsi" w:hAnsiTheme="minorHAnsi"/>
          <w:snapToGrid w:val="0"/>
          <w:szCs w:val="20"/>
        </w:rPr>
      </w:pPr>
      <w:r w:rsidRPr="00855EF5">
        <w:t>The resubmission claimed that tixagevimab and cilgavimab provides up to 6 months effectiveness in a vaccinated, immunocompromised cohort.</w:t>
      </w:r>
      <w:r w:rsidR="003634A7">
        <w:t xml:space="preserve"> </w:t>
      </w:r>
      <w:r w:rsidRPr="00855EF5">
        <w:t>The resubmission did not make any explicit claim in regard to safety.</w:t>
      </w:r>
      <w:r w:rsidR="003634A7">
        <w:t xml:space="preserve"> </w:t>
      </w:r>
      <w:r w:rsidRPr="00855EF5">
        <w:t>Consistent with the September 2022 meeting, the PBAC considered that safety and effectiveness of the proposed dosing regimen tixagevimab 300 mg and cilgavimab 300 mg every 6 months had not been established. The PBAC did not accept that new evidence presented by the resubmission sufficiently supported a 6 month duration of effect.</w:t>
      </w:r>
    </w:p>
    <w:p w14:paraId="09A8FF39" w14:textId="662D24C1" w:rsidR="00F96762" w:rsidRPr="00855EF5" w:rsidRDefault="00F96762" w:rsidP="00F96762">
      <w:pPr>
        <w:pStyle w:val="3-BodyText"/>
      </w:pPr>
      <w:r w:rsidRPr="00855EF5">
        <w:t>The PBAC recalled it had proposed in September 2022 that the high uncertainty regarding the future cost-effectiveness of tixagevimab and cilgavimab might be able to be managed through targeting access to those at greatest need, a lower price, and reasonable assumptions regarding future effectiveness and duration of protection.</w:t>
      </w:r>
      <w:r w:rsidR="003634A7">
        <w:t xml:space="preserve"> </w:t>
      </w:r>
    </w:p>
    <w:p w14:paraId="79A6E381" w14:textId="6CE7DD66" w:rsidR="003634A7" w:rsidRDefault="00F96762" w:rsidP="00F96762">
      <w:pPr>
        <w:pStyle w:val="3-BodyText"/>
      </w:pPr>
      <w:r w:rsidRPr="00855EF5">
        <w:t>The PBAC noted the sponsor’s advice in its hearing before the PBAC that it had made its best possible price offer in the resubmission.</w:t>
      </w:r>
      <w:r w:rsidR="003634A7">
        <w:t xml:space="preserve"> </w:t>
      </w:r>
      <w:r w:rsidRPr="00855EF5">
        <w:t xml:space="preserve">However, the PBAC considered the resubmission’s assumptions regarding future effectiveness and duration of the future average protective effect to be overly optimistic, with the result that the resubmission’s estimate of the incremental cost-effectiveness ratio per quality adjusted life-year (ICER per QALY) estimated was unrealistically low at this price. The PBAC considered its respecified base case ICER per QALY of approximately </w:t>
      </w:r>
      <w:r w:rsidR="003461AA" w:rsidRPr="003461AA">
        <w:t>$75,000 to &lt; $95,000</w:t>
      </w:r>
      <w:r w:rsidR="003461AA" w:rsidRPr="003461AA" w:rsidDel="003461AA">
        <w:t xml:space="preserve"> </w:t>
      </w:r>
      <w:r w:rsidRPr="00855EF5">
        <w:t>(Table 2</w:t>
      </w:r>
      <w:r>
        <w:t>4</w:t>
      </w:r>
      <w:r w:rsidRPr="00855EF5">
        <w:t>) provides a better estimate of the cost-effectiveness of using this therapy for PrEP, but without taking account of the recent emergence of resistant strains of the virus</w:t>
      </w:r>
      <w:r w:rsidR="003634A7">
        <w:t>.</w:t>
      </w:r>
    </w:p>
    <w:p w14:paraId="752A71EF" w14:textId="357AD86C" w:rsidR="003634A7" w:rsidRDefault="00F96762" w:rsidP="00F96762">
      <w:pPr>
        <w:pStyle w:val="3-BodyText"/>
      </w:pPr>
      <w:r w:rsidRPr="00855EF5">
        <w:t>The PBAC further noted the emergence and growing prevalence of strains of virus that are likely to be resistant to tixagevimab and cilgavimab since it first considered tixagevimab and cilgavimab for PBS listing in September 2022. This compounds the uncertainty about the transmission and pathogenicity of future COVID-19 strains. The PBAC noted the sensitivity analyses in Figures 11 and 12 demonstrate the ICER per QALY increases dramatically when resistance is taken into account</w:t>
      </w:r>
      <w:r w:rsidR="003634A7">
        <w:t>.</w:t>
      </w:r>
    </w:p>
    <w:p w14:paraId="704E487D" w14:textId="1BB51DE1" w:rsidR="003634A7" w:rsidRDefault="00F96762" w:rsidP="00F96762">
      <w:pPr>
        <w:pStyle w:val="3-BodyText"/>
      </w:pPr>
      <w:r w:rsidRPr="00855EF5">
        <w:t>The PBAC noted the risks to individuals who have received, or are considering receiving, tixagevimab and cilgavimab for PrEP, arising from the potential resistance of some COVID-19 strains to this therapy and acknowledged the sponsor’s commitment to working with Government and stakeholders to manage this risk</w:t>
      </w:r>
      <w:r w:rsidR="003634A7">
        <w:t>.</w:t>
      </w:r>
    </w:p>
    <w:p w14:paraId="041B2685" w14:textId="790C182D" w:rsidR="00F96762" w:rsidRPr="00855EF5" w:rsidRDefault="00F96762" w:rsidP="00F96762">
      <w:pPr>
        <w:pStyle w:val="3-BodyText"/>
      </w:pPr>
      <w:r w:rsidRPr="00855EF5">
        <w:lastRenderedPageBreak/>
        <w:t>The PBAC however considered the sponsor’s risk management proposal insufficient to address the very significant risks to Government that arise from the uncertainty about the expected size and duration of the future average protective effect of tixagevimab and cilgavimab. The PBAC considered it will not be possible to begin to devise an approach to managing these risks without the sponsor changing its stated position on price.</w:t>
      </w:r>
      <w:r w:rsidR="003634A7">
        <w:t xml:space="preserve">  </w:t>
      </w:r>
    </w:p>
    <w:p w14:paraId="20A15CD6" w14:textId="77777777" w:rsidR="00F96762" w:rsidRPr="00855EF5" w:rsidRDefault="00F96762" w:rsidP="00F96762">
      <w:pPr>
        <w:widowControl w:val="0"/>
        <w:numPr>
          <w:ilvl w:val="1"/>
          <w:numId w:val="1"/>
        </w:numPr>
        <w:spacing w:after="120"/>
        <w:rPr>
          <w:rFonts w:asciiTheme="minorHAnsi" w:hAnsiTheme="minorHAnsi"/>
          <w:bCs/>
          <w:snapToGrid w:val="0"/>
        </w:rPr>
      </w:pPr>
      <w:r w:rsidRPr="00855EF5">
        <w:rPr>
          <w:rFonts w:asciiTheme="minorHAnsi" w:hAnsiTheme="minorHAnsi"/>
          <w:bCs/>
          <w:snapToGrid w:val="0"/>
        </w:rPr>
        <w:t>The PBAC noted that this submission is eligible for an Independent Review.</w:t>
      </w:r>
    </w:p>
    <w:p w14:paraId="07FC8BED" w14:textId="77777777" w:rsidR="00F96762" w:rsidRPr="00855EF5" w:rsidRDefault="00F96762" w:rsidP="00F96762">
      <w:pPr>
        <w:rPr>
          <w:b/>
          <w:bCs/>
        </w:rPr>
      </w:pPr>
      <w:r w:rsidRPr="00855EF5">
        <w:rPr>
          <w:b/>
          <w:bCs/>
        </w:rPr>
        <w:t>Outcome</w:t>
      </w:r>
    </w:p>
    <w:p w14:paraId="12066813" w14:textId="60086CE2" w:rsidR="00F96762" w:rsidRPr="00855EF5" w:rsidRDefault="00F96762" w:rsidP="00F96762">
      <w:r w:rsidRPr="00855EF5">
        <w:t>Not recommended</w:t>
      </w:r>
    </w:p>
    <w:p w14:paraId="1AD368C3" w14:textId="77777777" w:rsidR="00F96762" w:rsidRPr="00855EF5" w:rsidRDefault="00F96762" w:rsidP="00F96762">
      <w:pPr>
        <w:pStyle w:val="2-SectionHeading"/>
      </w:pPr>
      <w:r w:rsidRPr="00855EF5">
        <w:t>Corrigendum</w:t>
      </w:r>
    </w:p>
    <w:p w14:paraId="02A86187" w14:textId="3FDA2E21" w:rsidR="00F96762" w:rsidRDefault="00F96762" w:rsidP="003634A7">
      <w:pPr>
        <w:pStyle w:val="3-BodyText"/>
        <w:numPr>
          <w:ilvl w:val="0"/>
          <w:numId w:val="0"/>
        </w:numPr>
        <w:ind w:left="720"/>
      </w:pPr>
      <w:r w:rsidRPr="00855EF5">
        <w:t xml:space="preserve">Paragraph 7.23 of the </w:t>
      </w:r>
      <w:r w:rsidR="005B28E0">
        <w:t>PSD</w:t>
      </w:r>
      <w:r w:rsidR="005B28E0" w:rsidRPr="00855EF5">
        <w:t xml:space="preserve"> </w:t>
      </w:r>
      <w:r w:rsidRPr="00855EF5">
        <w:t xml:space="preserve">incorrectly states “Assume no more than 15% annual risk of hospitalization over a 6 month period”. This statement should read “Assume no more than a 15% risk of infection over a 6 month period.” </w:t>
      </w:r>
    </w:p>
    <w:p w14:paraId="67E98B4A" w14:textId="6B94C6E3" w:rsidR="00DD7C27" w:rsidRDefault="00DD7C27" w:rsidP="00DD7C27">
      <w:pPr>
        <w:pStyle w:val="2-SectionHeading"/>
        <w:rPr>
          <w:bCs/>
          <w:lang w:val="en-GB"/>
        </w:rPr>
      </w:pPr>
      <w:r w:rsidRPr="00C07617">
        <w:t>Context for Decision</w:t>
      </w:r>
    </w:p>
    <w:p w14:paraId="05918B00" w14:textId="77777777" w:rsidR="00DD7C27" w:rsidRPr="007129F2" w:rsidRDefault="00DD7C27" w:rsidP="00DD7C27">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B8E2ECE" w14:textId="77194CF9" w:rsidR="00DD7C27" w:rsidRPr="00C07617" w:rsidRDefault="00DD7C27" w:rsidP="00DD7C27">
      <w:pPr>
        <w:pStyle w:val="2-SectionHeading"/>
      </w:pPr>
      <w:r>
        <w:t>Sponsor’s Comment</w:t>
      </w:r>
    </w:p>
    <w:p w14:paraId="4BF7439C" w14:textId="3028826E" w:rsidR="00DD7C27" w:rsidRPr="00C068F4" w:rsidRDefault="00DD7C27" w:rsidP="003634A7">
      <w:pPr>
        <w:spacing w:after="120"/>
        <w:ind w:left="426" w:firstLine="294"/>
      </w:pPr>
      <w:r w:rsidRPr="00C07617">
        <w:rPr>
          <w:rFonts w:asciiTheme="minorHAnsi" w:hAnsiTheme="minorHAnsi"/>
          <w:bCs/>
        </w:rPr>
        <w:t>The sponsor had no comment.</w:t>
      </w:r>
    </w:p>
    <w:sectPr w:rsidR="00DD7C27" w:rsidRPr="00C068F4" w:rsidSect="00294CAB">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ECBEC" w14:textId="77777777" w:rsidR="00DB0B3A" w:rsidRDefault="00DB0B3A" w:rsidP="00124A51">
      <w:r>
        <w:separator/>
      </w:r>
    </w:p>
    <w:p w14:paraId="225201D1" w14:textId="77777777" w:rsidR="00DB0B3A" w:rsidRDefault="00DB0B3A"/>
  </w:endnote>
  <w:endnote w:type="continuationSeparator" w:id="0">
    <w:p w14:paraId="3F28B8E4" w14:textId="77777777" w:rsidR="00DB0B3A" w:rsidRDefault="00DB0B3A" w:rsidP="00124A51">
      <w:r>
        <w:continuationSeparator/>
      </w:r>
    </w:p>
    <w:p w14:paraId="1849E2E4" w14:textId="77777777" w:rsidR="00DB0B3A" w:rsidRDefault="00DB0B3A"/>
  </w:endnote>
  <w:endnote w:type="continuationNotice" w:id="1">
    <w:p w14:paraId="2B266310" w14:textId="77777777" w:rsidR="00DB0B3A" w:rsidRDefault="00DB0B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1D913603" w:rsidR="00E362A7" w:rsidRDefault="00E362A7" w:rsidP="00753B29">
    <w:pPr>
      <w:pStyle w:val="Footer"/>
      <w:jc w:val="center"/>
    </w:pPr>
  </w:p>
  <w:bookmarkStart w:id="91" w:name="_Hlk76375156"/>
  <w:p w14:paraId="66D1C83C" w14:textId="744E8AC5" w:rsidR="00615473" w:rsidRPr="00615473" w:rsidRDefault="00615473" w:rsidP="00615473">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bookmarkEnd w:id="9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A34D5" w14:textId="77777777" w:rsidR="00DB0B3A" w:rsidRDefault="00DB0B3A" w:rsidP="00124A51">
      <w:r>
        <w:separator/>
      </w:r>
    </w:p>
    <w:p w14:paraId="69E9AA44" w14:textId="77777777" w:rsidR="00DB0B3A" w:rsidRDefault="00DB0B3A"/>
  </w:footnote>
  <w:footnote w:type="continuationSeparator" w:id="0">
    <w:p w14:paraId="60DA8C4F" w14:textId="77777777" w:rsidR="00DB0B3A" w:rsidRDefault="00DB0B3A" w:rsidP="00124A51">
      <w:r>
        <w:continuationSeparator/>
      </w:r>
    </w:p>
    <w:p w14:paraId="3B45AC89" w14:textId="77777777" w:rsidR="00DB0B3A" w:rsidRDefault="00DB0B3A"/>
  </w:footnote>
  <w:footnote w:type="continuationNotice" w:id="1">
    <w:p w14:paraId="349A668A" w14:textId="77777777" w:rsidR="00DB0B3A" w:rsidRDefault="00DB0B3A"/>
  </w:footnote>
  <w:footnote w:id="2">
    <w:p w14:paraId="7E620A1C" w14:textId="77777777" w:rsidR="007D3267" w:rsidRDefault="007D3267" w:rsidP="007D3267">
      <w:pPr>
        <w:pStyle w:val="FootnoteText"/>
        <w:ind w:left="284" w:hanging="284"/>
        <w:jc w:val="left"/>
      </w:pPr>
      <w:r w:rsidRPr="00817813">
        <w:rPr>
          <w:rStyle w:val="FootnoteReference"/>
        </w:rPr>
        <w:footnoteRef/>
      </w:r>
      <w:r>
        <w:t xml:space="preserve"> </w:t>
      </w:r>
      <w:r>
        <w:tab/>
      </w:r>
      <w:r w:rsidRPr="00F52456">
        <w:rPr>
          <w:rFonts w:ascii="Arial Narrow" w:hAnsi="Arial Narrow"/>
        </w:rPr>
        <w:t xml:space="preserve">AstraZeneca. Update to Evusheld recommended dosage regimen for pre-exposure prophylaxis of COVID-19. Available at </w:t>
      </w:r>
      <w:hyperlink r:id="rId1" w:history="1">
        <w:r w:rsidRPr="006B1CDE">
          <w:rPr>
            <w:rStyle w:val="Hyperlink"/>
            <w:rFonts w:ascii="Arial Narrow" w:hAnsi="Arial Narrow"/>
          </w:rPr>
          <w:t>https://www.astrazeneca.com/media-centre/statements/2022/update-to-evusheld-recommended-dosage-regimen-for-pre-exposure-prophylaxis-of-covid-19.html</w:t>
        </w:r>
      </w:hyperlink>
      <w:r>
        <w:rPr>
          <w:rFonts w:ascii="Arial Narrow" w:hAnsi="Arial Narrow"/>
        </w:rPr>
        <w:t xml:space="preserve"> [Accessed: 22 Jul 2022]</w:t>
      </w:r>
    </w:p>
  </w:footnote>
  <w:footnote w:id="3">
    <w:p w14:paraId="291276D6" w14:textId="309A725A" w:rsidR="00321A5F" w:rsidRDefault="00321A5F" w:rsidP="00321A5F">
      <w:pPr>
        <w:pStyle w:val="FootnoteText"/>
      </w:pPr>
      <w:r>
        <w:rPr>
          <w:rStyle w:val="FootnoteReference"/>
        </w:rPr>
        <w:footnoteRef/>
      </w:r>
      <w:r>
        <w:t xml:space="preserve"> </w:t>
      </w:r>
      <w:r>
        <w:rPr>
          <w:rFonts w:ascii="Arial Narrow" w:hAnsi="Arial Narrow"/>
        </w:rPr>
        <w:tab/>
      </w:r>
      <w:r w:rsidRPr="00F52456">
        <w:rPr>
          <w:rFonts w:ascii="Arial Narrow" w:hAnsi="Arial Narrow"/>
        </w:rPr>
        <w:t>ATAGI (2022</w:t>
      </w:r>
      <w:r w:rsidRPr="007D5C1F">
        <w:rPr>
          <w:rFonts w:ascii="Arial Narrow" w:hAnsi="Arial Narrow"/>
        </w:rPr>
        <w:t>). Version 2.5, 7 July 2022.</w:t>
      </w:r>
      <w:r>
        <w:rPr>
          <w:rFonts w:ascii="Arial Narrow" w:hAnsi="Arial Narrow"/>
        </w:rPr>
        <w:t xml:space="preserve"> </w:t>
      </w:r>
      <w:r w:rsidRPr="00F52456">
        <w:rPr>
          <w:rFonts w:ascii="Arial Narrow" w:hAnsi="Arial Narrow"/>
        </w:rPr>
        <w:t xml:space="preserve">Recommendations on the use of a 3rd primary dose of COVID-19 vaccine in individuals who are severely immunocompromised. </w:t>
      </w:r>
      <w:hyperlink r:id="rId2" w:history="1">
        <w:r w:rsidRPr="00F52456">
          <w:rPr>
            <w:rStyle w:val="Hyperlink"/>
            <w:rFonts w:ascii="Arial Narrow" w:hAnsi="Arial Narrow"/>
          </w:rPr>
          <w:t>https://www.health.gov.au/resources/publications/atagi-recommendations-on-the-use-of-a-third-primary-dose-of-covid-19-vaccine-in-individuals-who-are-severely-immunocompromised</w:t>
        </w:r>
      </w:hyperlink>
      <w:r w:rsidRPr="00F52456">
        <w:rPr>
          <w:rFonts w:ascii="Arial Narrow" w:hAnsi="Arial Narrow"/>
        </w:rPr>
        <w:t xml:space="preserve"> [Accessed: </w:t>
      </w:r>
      <w:r>
        <w:rPr>
          <w:rFonts w:ascii="Arial Narrow" w:hAnsi="Arial Narrow"/>
        </w:rPr>
        <w:t>12 Aug</w:t>
      </w:r>
      <w:r w:rsidRPr="00F52456">
        <w:rPr>
          <w:rFonts w:ascii="Arial Narrow" w:hAnsi="Arial Narrow"/>
        </w:rPr>
        <w:t xml:space="preserve"> 2022]</w:t>
      </w:r>
    </w:p>
  </w:footnote>
  <w:footnote w:id="4">
    <w:p w14:paraId="4D6D3405" w14:textId="77777777" w:rsidR="0094564F" w:rsidRDefault="0094564F" w:rsidP="0094564F">
      <w:pPr>
        <w:pStyle w:val="FootnoteText"/>
      </w:pPr>
      <w:r>
        <w:rPr>
          <w:rStyle w:val="FootnoteReference"/>
        </w:rPr>
        <w:footnoteRef/>
      </w:r>
      <w:r>
        <w:t xml:space="preserve"> </w:t>
      </w:r>
      <w:hyperlink r:id="rId3" w:history="1">
        <w:r w:rsidRPr="00F01EB0">
          <w:rPr>
            <w:rStyle w:val="Hyperlink"/>
          </w:rPr>
          <w:t>https://www.fda.gov/media/154701/download</w:t>
        </w:r>
      </w:hyperlink>
      <w:r>
        <w:t xml:space="preserve"> [accessed 15-Aug-2022]</w:t>
      </w:r>
    </w:p>
  </w:footnote>
  <w:footnote w:id="5">
    <w:p w14:paraId="32D4766E" w14:textId="77777777" w:rsidR="00E362A7" w:rsidRPr="00CC3B64" w:rsidRDefault="00E362A7" w:rsidP="00204306">
      <w:pPr>
        <w:pStyle w:val="FootnoteText"/>
        <w:ind w:left="284" w:hanging="284"/>
        <w:jc w:val="left"/>
        <w:rPr>
          <w:rFonts w:ascii="Arial Narrow" w:hAnsi="Arial Narrow"/>
        </w:rPr>
      </w:pPr>
      <w:r w:rsidRPr="00817813">
        <w:rPr>
          <w:rStyle w:val="FootnoteReference"/>
        </w:rPr>
        <w:footnoteRef/>
      </w:r>
      <w:r w:rsidRPr="00CC3B64">
        <w:rPr>
          <w:rFonts w:ascii="Arial Narrow" w:hAnsi="Arial Narrow"/>
        </w:rPr>
        <w:t xml:space="preserve"> </w:t>
      </w:r>
      <w:r w:rsidRPr="00CC3B64">
        <w:rPr>
          <w:rFonts w:ascii="Arial Narrow" w:hAnsi="Arial Narrow"/>
        </w:rPr>
        <w:tab/>
        <w:t>Siddiqi, H. K., Libby, P., &amp; Ridker, P. M. (2021). COVID-19 – A vascular disease. Trends in Cardiovascular Medicine, 31(1), 1–5. https://doi.org/10.1016/j.tcm.2020.10.005</w:t>
      </w:r>
    </w:p>
  </w:footnote>
  <w:footnote w:id="6">
    <w:p w14:paraId="29F96C48" w14:textId="69B4B24D" w:rsidR="00E362A7" w:rsidRPr="00CC3B64" w:rsidRDefault="00E362A7" w:rsidP="00CC3B64">
      <w:pPr>
        <w:pStyle w:val="FootnoteText"/>
        <w:ind w:left="284" w:hanging="284"/>
        <w:jc w:val="left"/>
        <w:rPr>
          <w:rFonts w:ascii="Arial Narrow" w:hAnsi="Arial Narrow"/>
        </w:rPr>
      </w:pPr>
      <w:r w:rsidRPr="00817813">
        <w:rPr>
          <w:rStyle w:val="FootnoteReference"/>
        </w:rPr>
        <w:footnoteRef/>
      </w:r>
      <w:r w:rsidRPr="00CC3B64">
        <w:rPr>
          <w:rFonts w:ascii="Arial Narrow" w:hAnsi="Arial Narrow"/>
        </w:rPr>
        <w:t xml:space="preserve"> </w:t>
      </w:r>
      <w:r w:rsidRPr="00CC3B64">
        <w:rPr>
          <w:rFonts w:ascii="Arial Narrow" w:hAnsi="Arial Narrow"/>
        </w:rPr>
        <w:tab/>
        <w:t xml:space="preserve">Dept of Health and Aged Care. COVID-19 vaccines. Available at: </w:t>
      </w:r>
      <w:hyperlink r:id="rId4" w:history="1">
        <w:r w:rsidRPr="00CC3B64">
          <w:rPr>
            <w:rStyle w:val="Hyperlink"/>
            <w:rFonts w:ascii="Arial Narrow" w:hAnsi="Arial Narrow"/>
          </w:rPr>
          <w:t>https://www.health.gov.au/initiatives-and-programs/covid-19-vaccines</w:t>
        </w:r>
      </w:hyperlink>
      <w:r w:rsidRPr="00CC3B64">
        <w:rPr>
          <w:rFonts w:ascii="Arial Narrow" w:hAnsi="Arial Narrow"/>
        </w:rPr>
        <w:t xml:space="preserve"> [Accessed: </w:t>
      </w:r>
      <w:r>
        <w:rPr>
          <w:rFonts w:ascii="Arial Narrow" w:hAnsi="Arial Narrow"/>
        </w:rPr>
        <w:t>13 Aug</w:t>
      </w:r>
      <w:r w:rsidRPr="00CC3B64">
        <w:rPr>
          <w:rFonts w:ascii="Arial Narrow" w:hAnsi="Arial Narrow"/>
        </w:rPr>
        <w:t xml:space="preserve"> 2022]</w:t>
      </w:r>
    </w:p>
  </w:footnote>
  <w:footnote w:id="7">
    <w:p w14:paraId="7B5E25BE" w14:textId="2B6F9186" w:rsidR="00E362A7" w:rsidRPr="00CC3B64" w:rsidRDefault="00E362A7" w:rsidP="00CC3B64">
      <w:pPr>
        <w:pStyle w:val="FootnoteText"/>
        <w:ind w:left="284" w:hanging="284"/>
        <w:jc w:val="left"/>
        <w:rPr>
          <w:rFonts w:ascii="Arial Narrow" w:hAnsi="Arial Narrow"/>
        </w:rPr>
      </w:pPr>
      <w:r w:rsidRPr="00817813">
        <w:rPr>
          <w:rStyle w:val="FootnoteReference"/>
        </w:rPr>
        <w:footnoteRef/>
      </w:r>
      <w:r w:rsidRPr="00CC3B64">
        <w:rPr>
          <w:rFonts w:ascii="Arial Narrow" w:hAnsi="Arial Narrow"/>
        </w:rPr>
        <w:t xml:space="preserve"> </w:t>
      </w:r>
      <w:r w:rsidRPr="00CC3B64">
        <w:rPr>
          <w:rFonts w:ascii="Arial Narrow" w:hAnsi="Arial Narrow"/>
        </w:rPr>
        <w:tab/>
        <w:t xml:space="preserve">CDGN (2022, July 18). Variants of concern - Jul 2022. Available at: </w:t>
      </w:r>
      <w:hyperlink r:id="rId5" w:history="1">
        <w:r w:rsidRPr="001060C0">
          <w:rPr>
            <w:rStyle w:val="Hyperlink"/>
            <w:rFonts w:ascii="Arial Narrow" w:hAnsi="Arial Narrow"/>
          </w:rPr>
          <w:t>https://web.archive.org/web/20220724072138/https://www.cdgn.org.au/variants-of-concern</w:t>
        </w:r>
      </w:hyperlink>
      <w:r>
        <w:t xml:space="preserve"> </w:t>
      </w:r>
      <w:r w:rsidRPr="00CC3B64">
        <w:rPr>
          <w:rFonts w:ascii="Arial Narrow" w:hAnsi="Arial Narrow"/>
        </w:rPr>
        <w:t>[Accessed: 24 Jul 2022]</w:t>
      </w:r>
    </w:p>
  </w:footnote>
  <w:footnote w:id="8">
    <w:p w14:paraId="3B117BEA" w14:textId="653CFAD7" w:rsidR="00E362A7" w:rsidRPr="00CC3B64" w:rsidRDefault="00E362A7" w:rsidP="00CC3B64">
      <w:pPr>
        <w:pStyle w:val="FootnoteText"/>
        <w:ind w:left="284" w:hanging="284"/>
        <w:jc w:val="left"/>
        <w:rPr>
          <w:rFonts w:ascii="Arial Narrow" w:hAnsi="Arial Narrow"/>
        </w:rPr>
      </w:pPr>
      <w:r w:rsidRPr="00817813">
        <w:rPr>
          <w:rStyle w:val="FootnoteReference"/>
        </w:rPr>
        <w:footnoteRef/>
      </w:r>
      <w:r w:rsidRPr="00CC3B64">
        <w:rPr>
          <w:rFonts w:ascii="Arial Narrow" w:hAnsi="Arial Narrow"/>
        </w:rPr>
        <w:t xml:space="preserve"> </w:t>
      </w:r>
      <w:r w:rsidRPr="00CC3B64">
        <w:rPr>
          <w:rFonts w:ascii="Arial Narrow" w:hAnsi="Arial Narrow"/>
        </w:rPr>
        <w:tab/>
        <w:t xml:space="preserve">CDGN. (2022, June 20). Variants of concern - Jun 2022. Available at: </w:t>
      </w:r>
      <w:hyperlink r:id="rId6" w:history="1">
        <w:r w:rsidRPr="00CC3B64">
          <w:rPr>
            <w:rStyle w:val="Hyperlink"/>
            <w:rFonts w:ascii="Arial Narrow" w:hAnsi="Arial Narrow"/>
          </w:rPr>
          <w:t>https://web.archive.org/web/20220624134327/https://www.cdgn.org.au/variants-of-concern</w:t>
        </w:r>
      </w:hyperlink>
      <w:r w:rsidRPr="00CC3B64">
        <w:rPr>
          <w:rFonts w:ascii="Arial Narrow" w:hAnsi="Arial Narrow"/>
        </w:rPr>
        <w:t xml:space="preserve"> [Accessed: 24 Jul 2022]</w:t>
      </w:r>
    </w:p>
  </w:footnote>
  <w:footnote w:id="9">
    <w:p w14:paraId="20022A36" w14:textId="38C971C3" w:rsidR="00E362A7" w:rsidRPr="005B325B" w:rsidRDefault="00E362A7" w:rsidP="001D119F">
      <w:pPr>
        <w:pStyle w:val="FootnoteText"/>
        <w:ind w:left="284" w:hanging="284"/>
        <w:jc w:val="left"/>
        <w:rPr>
          <w:rFonts w:ascii="Arial Narrow" w:hAnsi="Arial Narrow"/>
        </w:rPr>
      </w:pPr>
      <w:r w:rsidRPr="00817813">
        <w:rPr>
          <w:rStyle w:val="FootnoteReference"/>
        </w:rPr>
        <w:footnoteRef/>
      </w:r>
      <w:r w:rsidRPr="001D119F">
        <w:rPr>
          <w:rFonts w:ascii="Arial Narrow" w:hAnsi="Arial Narrow"/>
        </w:rPr>
        <w:t xml:space="preserve"> </w:t>
      </w:r>
      <w:r w:rsidRPr="005B325B">
        <w:rPr>
          <w:rFonts w:ascii="Arial Narrow" w:hAnsi="Arial Narrow"/>
        </w:rPr>
        <w:tab/>
        <w:t xml:space="preserve">CDGN (2022, July 25). Variants of concern - Jul 2022. Available at: </w:t>
      </w:r>
      <w:hyperlink r:id="rId7" w:history="1">
        <w:r w:rsidRPr="005B325B">
          <w:rPr>
            <w:rStyle w:val="Hyperlink"/>
            <w:rFonts w:ascii="Arial Narrow" w:hAnsi="Arial Narrow"/>
          </w:rPr>
          <w:t>https://web.archive.org/web/20220730101402/https://www.cdgn.org.au/variants-of-concern</w:t>
        </w:r>
      </w:hyperlink>
      <w:r w:rsidRPr="005B325B">
        <w:rPr>
          <w:rFonts w:ascii="Arial Narrow" w:hAnsi="Arial Narrow"/>
        </w:rPr>
        <w:t xml:space="preserve"> [Accessed 30 Jul 2022]</w:t>
      </w:r>
    </w:p>
  </w:footnote>
  <w:footnote w:id="10">
    <w:p w14:paraId="3DE4E98B" w14:textId="072F138B" w:rsidR="001A596F" w:rsidRPr="005B325B" w:rsidRDefault="001A596F" w:rsidP="005B325B">
      <w:pPr>
        <w:pStyle w:val="FootnoteText"/>
        <w:ind w:left="284" w:hanging="284"/>
        <w:jc w:val="left"/>
        <w:rPr>
          <w:rFonts w:ascii="Arial Narrow" w:hAnsi="Arial Narrow"/>
        </w:rPr>
      </w:pPr>
      <w:r w:rsidRPr="005B325B">
        <w:rPr>
          <w:rFonts w:ascii="Arial Narrow" w:hAnsi="Arial Narrow"/>
          <w:vertAlign w:val="superscript"/>
        </w:rPr>
        <w:footnoteRef/>
      </w:r>
      <w:r w:rsidRPr="005B325B">
        <w:rPr>
          <w:rFonts w:ascii="Arial Narrow" w:hAnsi="Arial Narrow"/>
        </w:rPr>
        <w:t xml:space="preserve"> </w:t>
      </w:r>
      <w:r w:rsidR="005B325B">
        <w:rPr>
          <w:rFonts w:ascii="Arial Narrow" w:hAnsi="Arial Narrow"/>
        </w:rPr>
        <w:tab/>
      </w:r>
      <w:hyperlink r:id="rId8" w:history="1">
        <w:r w:rsidRPr="005B325B">
          <w:rPr>
            <w:rFonts w:ascii="Arial Narrow" w:hAnsi="Arial Narrow"/>
          </w:rPr>
          <w:t>Communicable Diseases Intelligence - COVID-19 Australia: Epidemiology Report 63</w:t>
        </w:r>
        <w:r w:rsidR="00861F07">
          <w:rPr>
            <w:rFonts w:ascii="Arial Narrow" w:hAnsi="Arial Narrow"/>
          </w:rPr>
          <w:t xml:space="preserve"> </w:t>
        </w:r>
        <w:r w:rsidRPr="005B325B">
          <w:rPr>
            <w:rFonts w:ascii="Arial Narrow" w:hAnsi="Arial Narrow"/>
          </w:rPr>
          <w:t>COVID-19 Australia: Epidemiology Report 63 - Reporting period ending 3 July 2022 (health.gov.au)</w:t>
        </w:r>
      </w:hyperlink>
    </w:p>
  </w:footnote>
  <w:footnote w:id="11">
    <w:p w14:paraId="11E05D4E" w14:textId="7FDF451E" w:rsidR="001A596F" w:rsidRPr="005B325B" w:rsidRDefault="001A596F" w:rsidP="005B325B">
      <w:pPr>
        <w:pStyle w:val="FootnoteText"/>
        <w:ind w:left="284" w:hanging="284"/>
        <w:jc w:val="left"/>
        <w:rPr>
          <w:rFonts w:ascii="Arial Narrow" w:hAnsi="Arial Narrow"/>
        </w:rPr>
      </w:pPr>
      <w:r w:rsidRPr="005B325B">
        <w:rPr>
          <w:rFonts w:ascii="Arial Narrow" w:hAnsi="Arial Narrow"/>
          <w:vertAlign w:val="superscript"/>
        </w:rPr>
        <w:footnoteRef/>
      </w:r>
      <w:r w:rsidR="005B325B">
        <w:rPr>
          <w:rFonts w:ascii="Arial Narrow" w:hAnsi="Arial Narrow"/>
        </w:rPr>
        <w:t xml:space="preserve"> </w:t>
      </w:r>
      <w:r w:rsidR="005B325B">
        <w:rPr>
          <w:rFonts w:ascii="Arial Narrow" w:hAnsi="Arial Narrow"/>
        </w:rPr>
        <w:tab/>
      </w:r>
      <w:r w:rsidRPr="005B325B">
        <w:rPr>
          <w:rFonts w:ascii="Arial Narrow" w:hAnsi="Arial Narrow"/>
        </w:rPr>
        <w:t xml:space="preserve">Table 7, </w:t>
      </w:r>
      <w:hyperlink r:id="rId9" w:history="1">
        <w:r w:rsidRPr="005B325B">
          <w:rPr>
            <w:rFonts w:ascii="Arial Narrow" w:hAnsi="Arial Narrow"/>
          </w:rPr>
          <w:t>Communicable Diseases Intelligence - COVID-19 Australia: Epidemiology Report 63</w:t>
        </w:r>
        <w:r w:rsidR="00861F07">
          <w:rPr>
            <w:rFonts w:ascii="Arial Narrow" w:hAnsi="Arial Narrow"/>
          </w:rPr>
          <w:t xml:space="preserve"> </w:t>
        </w:r>
        <w:r w:rsidRPr="005B325B">
          <w:rPr>
            <w:rFonts w:ascii="Arial Narrow" w:hAnsi="Arial Narrow"/>
          </w:rPr>
          <w:t>COVID-19 Australia: Epidemiology Report 63 - Reporting period ending 3 July 2022 (health.gov.au)</w:t>
        </w:r>
      </w:hyperlink>
    </w:p>
    <w:p w14:paraId="67682AB6" w14:textId="77777777" w:rsidR="001A596F" w:rsidRDefault="001A596F" w:rsidP="001A596F">
      <w:pPr>
        <w:pStyle w:val="FootnoteText"/>
      </w:pPr>
    </w:p>
  </w:footnote>
  <w:footnote w:id="12">
    <w:p w14:paraId="383A77BB" w14:textId="53EC0FFB" w:rsidR="00E362A7" w:rsidRPr="00337964" w:rsidRDefault="00E362A7" w:rsidP="00337964">
      <w:pPr>
        <w:pStyle w:val="FootnoteText"/>
        <w:ind w:left="284" w:hanging="284"/>
        <w:jc w:val="left"/>
        <w:rPr>
          <w:rFonts w:ascii="Arial Narrow" w:hAnsi="Arial Narrow"/>
        </w:rPr>
      </w:pPr>
      <w:r w:rsidRPr="00817813">
        <w:rPr>
          <w:rStyle w:val="FootnoteReference"/>
        </w:rPr>
        <w:footnoteRef/>
      </w:r>
      <w:r w:rsidRPr="00337964">
        <w:rPr>
          <w:rFonts w:ascii="Arial Narrow" w:hAnsi="Arial Narrow"/>
        </w:rPr>
        <w:t xml:space="preserve"> </w:t>
      </w:r>
      <w:r w:rsidRPr="00337964">
        <w:rPr>
          <w:rFonts w:ascii="Arial Narrow" w:hAnsi="Arial Narrow"/>
        </w:rPr>
        <w:tab/>
        <w:t xml:space="preserve">Lamb, E. J., Levey, A. S., &amp; Stevens, P. E. (2013). The Kidney Disease Improving Global Outcomes (KDIGO) Guideline Update for Chronic Kidney Disease: Evolution not Revolution. </w:t>
      </w:r>
      <w:r w:rsidRPr="00337964">
        <w:rPr>
          <w:rFonts w:ascii="Arial Narrow" w:hAnsi="Arial Narrow"/>
          <w:i/>
          <w:iCs/>
        </w:rPr>
        <w:t>Clinical Chemistry</w:t>
      </w:r>
      <w:r w:rsidRPr="00337964">
        <w:rPr>
          <w:rFonts w:ascii="Arial Narrow" w:hAnsi="Arial Narrow"/>
        </w:rPr>
        <w:t>, 59(3), 462–465. https://doi.org/10.1373/clinchem.2012.184259</w:t>
      </w:r>
    </w:p>
  </w:footnote>
  <w:footnote w:id="13">
    <w:p w14:paraId="73B63AED" w14:textId="2B2C3E55" w:rsidR="00E362A7" w:rsidRPr="000341BB" w:rsidRDefault="00E362A7" w:rsidP="0052639B">
      <w:pPr>
        <w:pStyle w:val="FootnoteText"/>
        <w:rPr>
          <w:rFonts w:ascii="Arial Narrow" w:hAnsi="Arial Narrow"/>
        </w:rPr>
      </w:pPr>
      <w:r w:rsidRPr="00817813">
        <w:rPr>
          <w:rStyle w:val="FootnoteReference"/>
        </w:rPr>
        <w:footnoteRef/>
      </w:r>
      <w:r w:rsidRPr="000341BB">
        <w:rPr>
          <w:rFonts w:ascii="Arial Narrow" w:hAnsi="Arial Narrow"/>
        </w:rPr>
        <w:t xml:space="preserve"> </w:t>
      </w:r>
      <w:r w:rsidR="0052639B">
        <w:rPr>
          <w:rFonts w:ascii="Arial Narrow" w:hAnsi="Arial Narrow"/>
        </w:rPr>
        <w:t xml:space="preserve">  </w:t>
      </w:r>
      <w:r w:rsidRPr="000341BB">
        <w:rPr>
          <w:rFonts w:ascii="Arial Narrow" w:hAnsi="Arial Narrow"/>
        </w:rPr>
        <w:t xml:space="preserve">ENDURE study. </w:t>
      </w:r>
      <w:hyperlink r:id="rId10" w:history="1">
        <w:r w:rsidRPr="000341BB">
          <w:rPr>
            <w:rStyle w:val="Hyperlink"/>
            <w:rFonts w:ascii="Arial Narrow" w:hAnsi="Arial Narrow"/>
          </w:rPr>
          <w:t>https://clinicaltrials.gov/ct2/show/NCT05375760</w:t>
        </w:r>
      </w:hyperlink>
      <w:r w:rsidRPr="000341BB">
        <w:rPr>
          <w:rFonts w:ascii="Arial Narrow" w:hAnsi="Arial Narrow"/>
          <w:color w:val="000000" w:themeColor="text1"/>
        </w:rPr>
        <w:t xml:space="preserve"> [Accessed: 6 Aug 2022]</w:t>
      </w:r>
    </w:p>
  </w:footnote>
  <w:footnote w:id="14">
    <w:p w14:paraId="77C7E0D9" w14:textId="0F40B2C8" w:rsidR="00E362A7" w:rsidRPr="00894F37" w:rsidRDefault="00E362A7" w:rsidP="0052639B">
      <w:pPr>
        <w:pStyle w:val="FootnoteText"/>
        <w:ind w:left="284" w:hanging="284"/>
        <w:jc w:val="left"/>
        <w:rPr>
          <w:rFonts w:ascii="Arial Narrow" w:hAnsi="Arial Narrow"/>
        </w:rPr>
      </w:pPr>
      <w:r w:rsidRPr="00817813">
        <w:rPr>
          <w:rStyle w:val="FootnoteReference"/>
        </w:rPr>
        <w:footnoteRef/>
      </w:r>
      <w:r w:rsidRPr="00894F37">
        <w:rPr>
          <w:rFonts w:ascii="Arial Narrow" w:hAnsi="Arial Narrow"/>
        </w:rPr>
        <w:t xml:space="preserve"> </w:t>
      </w:r>
      <w:r>
        <w:rPr>
          <w:rFonts w:ascii="Arial Narrow" w:hAnsi="Arial Narrow"/>
        </w:rPr>
        <w:tab/>
      </w:r>
      <w:r w:rsidRPr="00320717">
        <w:rPr>
          <w:rFonts w:ascii="Arial Narrow" w:hAnsi="Arial Narrow"/>
        </w:rPr>
        <w:t xml:space="preserve">Young-Xu, Y., Epstein, L., et al. (2022). Tixagevimab/Cilgavimab for Prevention of COVID-19 during the Omicron Surge: Retrospective Analysis of National VA Electronic Data. </w:t>
      </w:r>
      <w:r w:rsidRPr="00320717">
        <w:rPr>
          <w:rFonts w:ascii="Arial Narrow" w:hAnsi="Arial Narrow"/>
          <w:i/>
          <w:iCs/>
        </w:rPr>
        <w:t xml:space="preserve">medRxiv. </w:t>
      </w:r>
      <w:hyperlink r:id="rId11" w:history="1">
        <w:r w:rsidRPr="00A75782">
          <w:rPr>
            <w:rStyle w:val="Hyperlink"/>
            <w:rFonts w:ascii="Arial Narrow" w:hAnsi="Arial Narrow"/>
          </w:rPr>
          <w:t>https://doi.org/10.1101/2022.05.28.22275716</w:t>
        </w:r>
      </w:hyperlink>
    </w:p>
  </w:footnote>
  <w:footnote w:id="15">
    <w:p w14:paraId="3AAB84AD" w14:textId="5BE575C9" w:rsidR="00E362A7" w:rsidRPr="002A5214" w:rsidRDefault="00E362A7" w:rsidP="0052639B">
      <w:pPr>
        <w:pStyle w:val="FootnoteText"/>
        <w:ind w:left="284" w:hanging="284"/>
        <w:jc w:val="left"/>
        <w:rPr>
          <w:rFonts w:ascii="Arial Narrow" w:hAnsi="Arial Narrow"/>
        </w:rPr>
      </w:pPr>
      <w:r w:rsidRPr="00817813">
        <w:rPr>
          <w:rStyle w:val="FootnoteReference"/>
        </w:rPr>
        <w:footnoteRef/>
      </w:r>
      <w:r w:rsidRPr="002A5214">
        <w:rPr>
          <w:rFonts w:ascii="Arial Narrow" w:hAnsi="Arial Narrow"/>
        </w:rPr>
        <w:t xml:space="preserve"> </w:t>
      </w:r>
      <w:r>
        <w:rPr>
          <w:rFonts w:ascii="Arial Narrow" w:hAnsi="Arial Narrow"/>
        </w:rPr>
        <w:tab/>
      </w:r>
      <w:r w:rsidRPr="002A5214">
        <w:rPr>
          <w:rFonts w:ascii="Arial Narrow" w:hAnsi="Arial Narrow"/>
        </w:rPr>
        <w:t>Al Jurdi, A., Morena, L., et al. (2022). Tixagevimab/cilgavimab pre</w:t>
      </w:r>
      <w:r w:rsidRPr="002A5214">
        <w:rPr>
          <w:rFonts w:ascii="Cambria Math" w:hAnsi="Cambria Math" w:cs="Cambria Math"/>
        </w:rPr>
        <w:t>‐</w:t>
      </w:r>
      <w:r w:rsidRPr="002A5214">
        <w:rPr>
          <w:rFonts w:ascii="Arial Narrow" w:hAnsi="Arial Narrow"/>
        </w:rPr>
        <w:t xml:space="preserve">exposure prophylaxis is associated with lower breakthrough infection risk in vaccinated solid organ transplant recipients during the omicron wave. </w:t>
      </w:r>
      <w:r w:rsidRPr="00CF7717">
        <w:rPr>
          <w:rFonts w:ascii="Arial Narrow" w:hAnsi="Arial Narrow"/>
          <w:i/>
          <w:iCs/>
        </w:rPr>
        <w:t>American Journal of Transplantation</w:t>
      </w:r>
      <w:r w:rsidRPr="002A5214">
        <w:rPr>
          <w:rFonts w:ascii="Arial Narrow" w:hAnsi="Arial Narrow"/>
        </w:rPr>
        <w:t xml:space="preserve">, ajt.17128. </w:t>
      </w:r>
      <w:hyperlink r:id="rId12" w:history="1">
        <w:r w:rsidRPr="00A75782">
          <w:rPr>
            <w:rStyle w:val="Hyperlink"/>
            <w:rFonts w:ascii="Arial Narrow" w:hAnsi="Arial Narrow"/>
          </w:rPr>
          <w:t>https://doi.org/10.1111/ajt.17128</w:t>
        </w:r>
      </w:hyperlink>
    </w:p>
  </w:footnote>
  <w:footnote w:id="16">
    <w:p w14:paraId="159FBB8E" w14:textId="38FAA6DB" w:rsidR="00E362A7" w:rsidRPr="00E82C12" w:rsidRDefault="00E362A7" w:rsidP="0052639B">
      <w:pPr>
        <w:pStyle w:val="FootnoteText"/>
        <w:ind w:left="284" w:hanging="284"/>
        <w:jc w:val="left"/>
        <w:rPr>
          <w:rFonts w:ascii="Arial Narrow" w:hAnsi="Arial Narrow"/>
        </w:rPr>
      </w:pPr>
      <w:r w:rsidRPr="00817813">
        <w:rPr>
          <w:rStyle w:val="FootnoteReference"/>
        </w:rPr>
        <w:footnoteRef/>
      </w:r>
      <w:r w:rsidRPr="00E82C12">
        <w:rPr>
          <w:rFonts w:ascii="Arial Narrow" w:hAnsi="Arial Narrow"/>
        </w:rPr>
        <w:t xml:space="preserve"> </w:t>
      </w:r>
      <w:r>
        <w:rPr>
          <w:rFonts w:ascii="Arial Narrow" w:hAnsi="Arial Narrow"/>
        </w:rPr>
        <w:tab/>
      </w:r>
      <w:r w:rsidRPr="00E82C12">
        <w:rPr>
          <w:rFonts w:ascii="Arial Narrow" w:hAnsi="Arial Narrow"/>
        </w:rPr>
        <w:t xml:space="preserve">Kertes, J., David, S. S. B., et al. (2022). Association between AZD7442 (tixagevimab-cilgavimab) administration and SARS-CoV-2 infection, hospitalization and mortality. </w:t>
      </w:r>
      <w:r w:rsidRPr="00CF7717">
        <w:rPr>
          <w:rFonts w:ascii="Arial Narrow" w:hAnsi="Arial Narrow"/>
          <w:i/>
          <w:iCs/>
        </w:rPr>
        <w:t>Clinical Infectious Diseases</w:t>
      </w:r>
      <w:r w:rsidRPr="00E82C12">
        <w:rPr>
          <w:rFonts w:ascii="Arial Narrow" w:hAnsi="Arial Narrow"/>
        </w:rPr>
        <w:t xml:space="preserve">, </w:t>
      </w:r>
      <w:r>
        <w:rPr>
          <w:rFonts w:ascii="Arial Narrow" w:hAnsi="Arial Narrow"/>
        </w:rPr>
        <w:t>Accepted manuscript.</w:t>
      </w:r>
      <w:r w:rsidRPr="00E82C12">
        <w:rPr>
          <w:rFonts w:ascii="Arial Narrow" w:hAnsi="Arial Narrow"/>
        </w:rPr>
        <w:t xml:space="preserve"> </w:t>
      </w:r>
      <w:hyperlink r:id="rId13" w:history="1">
        <w:r w:rsidRPr="00A211F6">
          <w:rPr>
            <w:rStyle w:val="Hyperlink"/>
            <w:rFonts w:ascii="Arial Narrow" w:hAnsi="Arial Narrow"/>
          </w:rPr>
          <w:t>https://doi.org/10.1093/cid/ciac625</w:t>
        </w:r>
      </w:hyperlink>
    </w:p>
  </w:footnote>
  <w:footnote w:id="17">
    <w:p w14:paraId="60CCB915" w14:textId="77777777" w:rsidR="00287C72" w:rsidRDefault="00E362A7" w:rsidP="00C54068">
      <w:pPr>
        <w:pStyle w:val="FootnoteText"/>
        <w:ind w:left="284" w:hanging="284"/>
        <w:jc w:val="left"/>
        <w:rPr>
          <w:rFonts w:ascii="Arial Narrow" w:hAnsi="Arial Narrow"/>
        </w:rPr>
      </w:pPr>
      <w:r w:rsidRPr="00817813">
        <w:rPr>
          <w:rStyle w:val="FootnoteReference"/>
        </w:rPr>
        <w:footnoteRef/>
      </w:r>
      <w:r w:rsidRPr="00C54068">
        <w:rPr>
          <w:rFonts w:ascii="Arial Narrow" w:hAnsi="Arial Narrow"/>
        </w:rPr>
        <w:t xml:space="preserve"> </w:t>
      </w:r>
      <w:r>
        <w:rPr>
          <w:rFonts w:ascii="Arial Narrow" w:hAnsi="Arial Narrow"/>
        </w:rPr>
        <w:tab/>
      </w:r>
      <w:r w:rsidRPr="00C54068">
        <w:rPr>
          <w:rFonts w:ascii="Arial Narrow" w:hAnsi="Arial Narrow"/>
        </w:rPr>
        <w:t xml:space="preserve">Nguyen, Y., Flahault, A., et al. (2022). Pre-exposure prophylaxis with tixagevimab and cilgavimab (Evusheld©) for COVID-19 among 1112 severely immunocompromised patients. </w:t>
      </w:r>
      <w:r w:rsidRPr="00C54068">
        <w:rPr>
          <w:rFonts w:ascii="Arial Narrow" w:hAnsi="Arial Narrow"/>
          <w:i/>
          <w:iCs/>
        </w:rPr>
        <w:t>Clinical Microbiology and Infection</w:t>
      </w:r>
      <w:r w:rsidRPr="00C54068">
        <w:rPr>
          <w:rFonts w:ascii="Arial Narrow" w:hAnsi="Arial Narrow"/>
        </w:rPr>
        <w:t xml:space="preserve">, </w:t>
      </w:r>
      <w:r>
        <w:rPr>
          <w:rFonts w:ascii="Arial Narrow" w:hAnsi="Arial Narrow"/>
        </w:rPr>
        <w:t>Pre-proof</w:t>
      </w:r>
      <w:r w:rsidRPr="00C54068">
        <w:rPr>
          <w:rFonts w:ascii="Arial Narrow" w:hAnsi="Arial Narrow"/>
        </w:rPr>
        <w:t xml:space="preserve">. </w:t>
      </w:r>
      <w:hyperlink r:id="rId14" w:history="1">
        <w:r w:rsidRPr="00A211F6">
          <w:rPr>
            <w:rStyle w:val="Hyperlink"/>
            <w:rFonts w:ascii="Arial Narrow" w:hAnsi="Arial Narrow"/>
          </w:rPr>
          <w:t>https://doi.org/10.1016/j.cmi.2022.07.015</w:t>
        </w:r>
      </w:hyperlink>
    </w:p>
    <w:p w14:paraId="7B1D05ED" w14:textId="4D24CA34" w:rsidR="00E362A7" w:rsidRPr="00C54068" w:rsidRDefault="00E362A7" w:rsidP="00C54068">
      <w:pPr>
        <w:pStyle w:val="FootnoteText"/>
        <w:ind w:left="284" w:hanging="284"/>
        <w:jc w:val="left"/>
        <w:rPr>
          <w:rFonts w:ascii="Arial Narrow" w:hAnsi="Arial Narrow"/>
        </w:rPr>
      </w:pPr>
      <w:r>
        <w:rPr>
          <w:rFonts w:ascii="Arial Narrow" w:hAnsi="Arial Narrow"/>
        </w:rPr>
        <w:t xml:space="preserve"> </w:t>
      </w:r>
    </w:p>
  </w:footnote>
  <w:footnote w:id="18">
    <w:p w14:paraId="3E25BDAC" w14:textId="77777777" w:rsidR="00E362A7" w:rsidRPr="009830CF" w:rsidRDefault="00E362A7" w:rsidP="00E840D3">
      <w:pPr>
        <w:pStyle w:val="FootnoteText"/>
        <w:ind w:left="284" w:right="-187" w:hanging="284"/>
        <w:jc w:val="left"/>
        <w:rPr>
          <w:rFonts w:ascii="Arial Narrow" w:hAnsi="Arial Narrow"/>
        </w:rPr>
      </w:pPr>
      <w:r w:rsidRPr="00817813">
        <w:rPr>
          <w:rStyle w:val="FootnoteReference"/>
        </w:rPr>
        <w:footnoteRef/>
      </w:r>
      <w:r w:rsidRPr="009830CF">
        <w:rPr>
          <w:rFonts w:ascii="Arial Narrow" w:hAnsi="Arial Narrow"/>
        </w:rPr>
        <w:t xml:space="preserve"> </w:t>
      </w:r>
      <w:r>
        <w:rPr>
          <w:rFonts w:ascii="Arial Narrow" w:hAnsi="Arial Narrow"/>
        </w:rPr>
        <w:tab/>
      </w:r>
      <w:r w:rsidRPr="009830CF">
        <w:rPr>
          <w:rFonts w:ascii="Arial Narrow" w:hAnsi="Arial Narrow"/>
        </w:rPr>
        <w:t xml:space="preserve">Tuekprakhon, A., </w:t>
      </w:r>
      <w:r w:rsidRPr="009830CF">
        <w:rPr>
          <w:rFonts w:ascii="Arial Narrow" w:hAnsi="Arial Narrow"/>
        </w:rPr>
        <w:t xml:space="preserve">Huo, J., et al. (2022). Further antibody escape by Omicron BA.4 and BA.5 from vaccine and BA.1 serum [Preprint]. </w:t>
      </w:r>
      <w:r w:rsidRPr="00F30A0B">
        <w:rPr>
          <w:rFonts w:ascii="Arial Narrow" w:hAnsi="Arial Narrow"/>
          <w:i/>
          <w:iCs/>
        </w:rPr>
        <w:t>Microbiology.</w:t>
      </w:r>
      <w:r w:rsidRPr="009830CF">
        <w:rPr>
          <w:rFonts w:ascii="Arial Narrow" w:hAnsi="Arial Narrow"/>
        </w:rPr>
        <w:t xml:space="preserve"> </w:t>
      </w:r>
      <w:hyperlink r:id="rId15" w:history="1">
        <w:r w:rsidRPr="00A75782">
          <w:rPr>
            <w:rStyle w:val="Hyperlink"/>
            <w:rFonts w:ascii="Arial Narrow" w:hAnsi="Arial Narrow"/>
          </w:rPr>
          <w:t>https://doi.org/10.1101/2022.05.21.492554</w:t>
        </w:r>
      </w:hyperlink>
      <w:r>
        <w:rPr>
          <w:rFonts w:ascii="Arial Narrow" w:hAnsi="Arial Narrow"/>
        </w:rPr>
        <w:t xml:space="preserve"> (supplementary table 1B)</w:t>
      </w:r>
    </w:p>
  </w:footnote>
  <w:footnote w:id="19">
    <w:p w14:paraId="48EA35EB" w14:textId="74950247" w:rsidR="00E362A7" w:rsidRPr="009830CF" w:rsidRDefault="00E362A7" w:rsidP="0052639B">
      <w:pPr>
        <w:pStyle w:val="FootnoteText"/>
        <w:ind w:left="284" w:right="-187" w:hanging="284"/>
        <w:jc w:val="left"/>
        <w:rPr>
          <w:rFonts w:ascii="Arial Narrow" w:hAnsi="Arial Narrow"/>
        </w:rPr>
      </w:pPr>
      <w:r w:rsidRPr="00817813">
        <w:rPr>
          <w:rStyle w:val="FootnoteReference"/>
        </w:rPr>
        <w:footnoteRef/>
      </w:r>
      <w:r w:rsidRPr="009830CF">
        <w:rPr>
          <w:rFonts w:ascii="Arial Narrow" w:hAnsi="Arial Narrow"/>
        </w:rPr>
        <w:t xml:space="preserve"> </w:t>
      </w:r>
      <w:r>
        <w:rPr>
          <w:rFonts w:ascii="Arial Narrow" w:hAnsi="Arial Narrow"/>
        </w:rPr>
        <w:tab/>
      </w:r>
      <w:r w:rsidRPr="009830CF">
        <w:rPr>
          <w:rFonts w:ascii="Arial Narrow" w:hAnsi="Arial Narrow"/>
        </w:rPr>
        <w:t xml:space="preserve">Yamasoba, D., Kosugi, Y., et al. (2022). Neutralisation sensitivity of SARS-CoV-2 omicron subvariants to therapeutic monoclonal antibodies. </w:t>
      </w:r>
      <w:r w:rsidRPr="00BE44B5">
        <w:rPr>
          <w:rFonts w:ascii="Arial Narrow" w:hAnsi="Arial Narrow"/>
          <w:i/>
          <w:iCs/>
        </w:rPr>
        <w:t>The Lancet Infectious Diseases</w:t>
      </w:r>
      <w:r w:rsidRPr="009830CF">
        <w:rPr>
          <w:rFonts w:ascii="Arial Narrow" w:hAnsi="Arial Narrow"/>
        </w:rPr>
        <w:t xml:space="preserve">, 22(7), 942–943. </w:t>
      </w:r>
      <w:hyperlink r:id="rId16" w:history="1">
        <w:r w:rsidRPr="00A75782">
          <w:rPr>
            <w:rStyle w:val="Hyperlink"/>
            <w:rFonts w:ascii="Arial Narrow" w:hAnsi="Arial Narrow"/>
          </w:rPr>
          <w:t>https://doi.org/10.1016/S1473-3099(22)00365-6</w:t>
        </w:r>
      </w:hyperlink>
    </w:p>
  </w:footnote>
  <w:footnote w:id="20">
    <w:p w14:paraId="5C234851" w14:textId="7CFE2231" w:rsidR="00E362A7" w:rsidRPr="009830CF" w:rsidRDefault="00E362A7" w:rsidP="0052639B">
      <w:pPr>
        <w:pStyle w:val="FootnoteText"/>
        <w:ind w:left="284" w:right="-187" w:hanging="284"/>
        <w:jc w:val="left"/>
        <w:rPr>
          <w:rFonts w:ascii="Arial Narrow" w:hAnsi="Arial Narrow"/>
        </w:rPr>
      </w:pPr>
      <w:r w:rsidRPr="00817813">
        <w:rPr>
          <w:rStyle w:val="FootnoteReference"/>
        </w:rPr>
        <w:footnoteRef/>
      </w:r>
      <w:r w:rsidRPr="009830CF">
        <w:rPr>
          <w:rFonts w:ascii="Arial Narrow" w:hAnsi="Arial Narrow"/>
        </w:rPr>
        <w:t xml:space="preserve"> </w:t>
      </w:r>
      <w:r>
        <w:rPr>
          <w:rFonts w:ascii="Arial Narrow" w:hAnsi="Arial Narrow"/>
        </w:rPr>
        <w:tab/>
      </w:r>
      <w:r w:rsidRPr="009830CF">
        <w:rPr>
          <w:rFonts w:ascii="Arial Narrow" w:hAnsi="Arial Narrow"/>
        </w:rPr>
        <w:t xml:space="preserve">Cao, Y., Yisimayi, A., et al. (2022). BA.2.12.1, BA.4 and BA.5 escape antibodies elicited by Omicron infection. </w:t>
      </w:r>
      <w:r w:rsidRPr="00BE44B5">
        <w:rPr>
          <w:rFonts w:ascii="Arial Narrow" w:hAnsi="Arial Narrow"/>
          <w:i/>
          <w:iCs/>
        </w:rPr>
        <w:t>Nature.</w:t>
      </w:r>
      <w:r w:rsidRPr="009830CF">
        <w:rPr>
          <w:rFonts w:ascii="Arial Narrow" w:hAnsi="Arial Narrow"/>
        </w:rPr>
        <w:t xml:space="preserve"> </w:t>
      </w:r>
      <w:hyperlink r:id="rId17" w:history="1">
        <w:r w:rsidRPr="00A75782">
          <w:rPr>
            <w:rStyle w:val="Hyperlink"/>
            <w:rFonts w:ascii="Arial Narrow" w:hAnsi="Arial Narrow"/>
          </w:rPr>
          <w:t>https://doi.org/10.1038/s41586-022-04980-y</w:t>
        </w:r>
      </w:hyperlink>
    </w:p>
  </w:footnote>
  <w:footnote w:id="21">
    <w:p w14:paraId="1A8DF8C0" w14:textId="77777777" w:rsidR="00287C72" w:rsidRDefault="00E362A7" w:rsidP="00E840D3">
      <w:pPr>
        <w:pStyle w:val="FootnoteText"/>
        <w:ind w:left="284" w:right="-187" w:hanging="284"/>
        <w:jc w:val="left"/>
        <w:rPr>
          <w:rFonts w:ascii="Arial Narrow" w:hAnsi="Arial Narrow"/>
        </w:rPr>
      </w:pPr>
      <w:r w:rsidRPr="00817813">
        <w:rPr>
          <w:rStyle w:val="FootnoteReference"/>
        </w:rPr>
        <w:footnoteRef/>
      </w:r>
      <w:r w:rsidRPr="009830CF">
        <w:rPr>
          <w:rFonts w:ascii="Arial Narrow" w:hAnsi="Arial Narrow"/>
        </w:rPr>
        <w:t xml:space="preserve"> </w:t>
      </w:r>
      <w:r>
        <w:rPr>
          <w:rFonts w:ascii="Arial Narrow" w:hAnsi="Arial Narrow"/>
        </w:rPr>
        <w:tab/>
      </w:r>
      <w:r w:rsidRPr="009830CF">
        <w:rPr>
          <w:rFonts w:ascii="Arial Narrow" w:hAnsi="Arial Narrow"/>
        </w:rPr>
        <w:t xml:space="preserve">Takashita, E., Yamayoshi, S., et al. (2022). Efficacy of Antibodies and Antiviral Drugs against Omicron BA.2.12.1, BA.4, and BA.5 Subvariants. </w:t>
      </w:r>
      <w:r w:rsidRPr="00383B2F">
        <w:rPr>
          <w:rFonts w:ascii="Arial Narrow" w:hAnsi="Arial Narrow"/>
          <w:i/>
          <w:iCs/>
        </w:rPr>
        <w:t>New England Journal of Medicine,</w:t>
      </w:r>
      <w:r w:rsidRPr="009830CF">
        <w:rPr>
          <w:rFonts w:ascii="Arial Narrow" w:hAnsi="Arial Narrow"/>
        </w:rPr>
        <w:t xml:space="preserve"> NEJMc2207519. </w:t>
      </w:r>
      <w:hyperlink r:id="rId18" w:history="1">
        <w:r w:rsidRPr="00A75782">
          <w:rPr>
            <w:rStyle w:val="Hyperlink"/>
            <w:rFonts w:ascii="Arial Narrow" w:hAnsi="Arial Narrow"/>
          </w:rPr>
          <w:t>https://doi.org/10.1056/NEJMc2207519</w:t>
        </w:r>
      </w:hyperlink>
    </w:p>
    <w:p w14:paraId="509A445C" w14:textId="77777777" w:rsidR="00E362A7" w:rsidRPr="009830CF" w:rsidRDefault="00E362A7" w:rsidP="00E840D3">
      <w:pPr>
        <w:pStyle w:val="FootnoteText"/>
        <w:ind w:left="284" w:right="-187" w:hanging="284"/>
        <w:jc w:val="left"/>
        <w:rPr>
          <w:rFonts w:ascii="Arial Narrow" w:hAnsi="Arial Narrow"/>
        </w:rPr>
      </w:pPr>
      <w:r>
        <w:rPr>
          <w:rFonts w:ascii="Arial Narrow" w:hAnsi="Arial Narrow"/>
        </w:rPr>
        <w:t xml:space="preserve"> </w:t>
      </w:r>
    </w:p>
  </w:footnote>
  <w:footnote w:id="22">
    <w:p w14:paraId="538C9CC4" w14:textId="77777777" w:rsidR="00287C72" w:rsidRDefault="00E362A7" w:rsidP="000F5325">
      <w:pPr>
        <w:pStyle w:val="FootnoteText"/>
        <w:ind w:left="284" w:hanging="284"/>
        <w:rPr>
          <w:rFonts w:ascii="Arial Narrow" w:hAnsi="Arial Narrow"/>
        </w:rPr>
      </w:pPr>
      <w:r w:rsidRPr="00817813">
        <w:rPr>
          <w:rStyle w:val="FootnoteReference"/>
        </w:rPr>
        <w:footnoteRef/>
      </w:r>
      <w:r w:rsidRPr="000F5325">
        <w:rPr>
          <w:rFonts w:ascii="Arial Narrow" w:hAnsi="Arial Narrow"/>
        </w:rPr>
        <w:t xml:space="preserve"> </w:t>
      </w:r>
      <w:r>
        <w:rPr>
          <w:rFonts w:ascii="Arial Narrow" w:hAnsi="Arial Narrow"/>
        </w:rPr>
        <w:tab/>
      </w:r>
      <w:r w:rsidRPr="000F5325">
        <w:rPr>
          <w:rFonts w:ascii="Arial Narrow" w:hAnsi="Arial Narrow"/>
        </w:rPr>
        <w:t xml:space="preserve">Montgomery, H., Hobbs, F. D. R., et al. (2022). Efficacy and safety of intramuscular administration of tixagevimab–cilgavimab for early outpatient treatment of COVID-19 (TACKLE): a phase 3, randomised, double-blind, placebo-controlled trial. </w:t>
      </w:r>
      <w:r w:rsidRPr="000F5325">
        <w:rPr>
          <w:rFonts w:ascii="Arial Narrow" w:hAnsi="Arial Narrow"/>
          <w:i/>
          <w:iCs/>
        </w:rPr>
        <w:t xml:space="preserve">The Lancet Respiratory Medicine, </w:t>
      </w:r>
      <w:r>
        <w:rPr>
          <w:rFonts w:ascii="Arial Narrow" w:hAnsi="Arial Narrow"/>
        </w:rPr>
        <w:t>P</w:t>
      </w:r>
      <w:r w:rsidRPr="006D61C0">
        <w:rPr>
          <w:rFonts w:ascii="Arial Narrow" w:hAnsi="Arial Narrow"/>
        </w:rPr>
        <w:t xml:space="preserve">ublished online </w:t>
      </w:r>
      <w:r>
        <w:rPr>
          <w:rFonts w:ascii="Arial Narrow" w:hAnsi="Arial Narrow"/>
        </w:rPr>
        <w:t xml:space="preserve">7 </w:t>
      </w:r>
      <w:r w:rsidRPr="006D61C0">
        <w:rPr>
          <w:rFonts w:ascii="Arial Narrow" w:hAnsi="Arial Narrow"/>
        </w:rPr>
        <w:t>Jun 2022</w:t>
      </w:r>
      <w:r w:rsidRPr="000F5325">
        <w:rPr>
          <w:rFonts w:ascii="Arial Narrow" w:hAnsi="Arial Narrow"/>
        </w:rPr>
        <w:t xml:space="preserve">. </w:t>
      </w:r>
      <w:hyperlink r:id="rId19" w:history="1">
        <w:r w:rsidRPr="00A211F6">
          <w:rPr>
            <w:rStyle w:val="Hyperlink"/>
            <w:rFonts w:ascii="Arial Narrow" w:hAnsi="Arial Narrow"/>
          </w:rPr>
          <w:t>https://doi.org/10.1016/S2213-2600(22)00180-1</w:t>
        </w:r>
      </w:hyperlink>
    </w:p>
    <w:p w14:paraId="1F2952D2" w14:textId="72DA725F" w:rsidR="00E362A7" w:rsidRPr="000F5325" w:rsidRDefault="00E362A7" w:rsidP="000F5325">
      <w:pPr>
        <w:pStyle w:val="FootnoteText"/>
        <w:ind w:left="284" w:hanging="284"/>
        <w:rPr>
          <w:rFonts w:ascii="Arial Narrow" w:hAnsi="Arial Narrow"/>
        </w:rPr>
      </w:pPr>
      <w:r>
        <w:rPr>
          <w:rFonts w:ascii="Arial Narrow" w:hAnsi="Arial Narrow"/>
        </w:rPr>
        <w:t xml:space="preserve"> </w:t>
      </w:r>
    </w:p>
  </w:footnote>
  <w:footnote w:id="23">
    <w:p w14:paraId="600B28E1" w14:textId="10B08A6E" w:rsidR="00E362A7" w:rsidRPr="008F27A2" w:rsidRDefault="00E362A7" w:rsidP="008F27A2">
      <w:pPr>
        <w:pStyle w:val="FootnoteText"/>
        <w:ind w:left="284" w:hanging="284"/>
        <w:jc w:val="left"/>
        <w:rPr>
          <w:rFonts w:ascii="Arial Narrow" w:hAnsi="Arial Narrow"/>
        </w:rPr>
      </w:pPr>
      <w:r w:rsidRPr="00817813">
        <w:rPr>
          <w:rStyle w:val="FootnoteReference"/>
        </w:rPr>
        <w:footnoteRef/>
      </w:r>
      <w:r w:rsidRPr="008F27A2">
        <w:rPr>
          <w:rFonts w:ascii="Arial Narrow" w:hAnsi="Arial Narrow"/>
        </w:rPr>
        <w:t xml:space="preserve"> </w:t>
      </w:r>
      <w:r>
        <w:rPr>
          <w:rFonts w:ascii="Arial Narrow" w:hAnsi="Arial Narrow"/>
        </w:rPr>
        <w:tab/>
      </w:r>
      <w:hyperlink r:id="rId20" w:history="1">
        <w:r w:rsidRPr="0089706B">
          <w:rPr>
            <w:rStyle w:val="Hyperlink"/>
            <w:rFonts w:ascii="Arial Narrow" w:hAnsi="Arial Narrow"/>
          </w:rPr>
          <w:t>https://www.adelaidenow.com.au/news/how-sas-lung-transplant-team-defied-global-fatality-rates-during-covid/news-story/ac53da34cd20ee57a83b9f810391ca3f</w:t>
        </w:r>
      </w:hyperlink>
      <w:r>
        <w:rPr>
          <w:rFonts w:ascii="Arial Narrow" w:hAnsi="Arial Narrow"/>
        </w:rPr>
        <w:t xml:space="preserve"> [Accessed: 7 Aug 2022]</w:t>
      </w:r>
    </w:p>
  </w:footnote>
  <w:footnote w:id="24">
    <w:p w14:paraId="5466EA31" w14:textId="77777777" w:rsidR="00287C72" w:rsidRDefault="00E362A7" w:rsidP="00195F18">
      <w:pPr>
        <w:pStyle w:val="FootnoteText"/>
        <w:ind w:left="284" w:hanging="284"/>
        <w:jc w:val="left"/>
        <w:rPr>
          <w:rFonts w:ascii="Arial Narrow" w:hAnsi="Arial Narrow"/>
        </w:rPr>
      </w:pPr>
      <w:r w:rsidRPr="00817813">
        <w:rPr>
          <w:rStyle w:val="FootnoteReference"/>
        </w:rPr>
        <w:footnoteRef/>
      </w:r>
      <w:r w:rsidRPr="00195F18">
        <w:rPr>
          <w:rFonts w:ascii="Arial Narrow" w:hAnsi="Arial Narrow"/>
        </w:rPr>
        <w:t xml:space="preserve"> </w:t>
      </w:r>
      <w:r w:rsidRPr="00195F18">
        <w:rPr>
          <w:rFonts w:ascii="Arial Narrow" w:hAnsi="Arial Narrow"/>
        </w:rPr>
        <w:tab/>
        <w:t xml:space="preserve">Fan, Y., Li, X., et al. (2022). SARS-CoV-2 Omicron variant: recent progress and future perspectives. </w:t>
      </w:r>
      <w:r w:rsidRPr="00195F18">
        <w:rPr>
          <w:rFonts w:ascii="Arial Narrow" w:hAnsi="Arial Narrow"/>
          <w:i/>
          <w:iCs/>
        </w:rPr>
        <w:t>Signal Transduction and Targeted Therapy</w:t>
      </w:r>
      <w:r w:rsidRPr="00195F18">
        <w:rPr>
          <w:rFonts w:ascii="Arial Narrow" w:hAnsi="Arial Narrow"/>
        </w:rPr>
        <w:t xml:space="preserve">, 7(1). </w:t>
      </w:r>
      <w:hyperlink r:id="rId21" w:history="1">
        <w:r w:rsidRPr="0089706B">
          <w:rPr>
            <w:rStyle w:val="Hyperlink"/>
            <w:rFonts w:ascii="Arial Narrow" w:hAnsi="Arial Narrow"/>
          </w:rPr>
          <w:t>https://doi.org/10.1038/s41392-022-00997-x</w:t>
        </w:r>
      </w:hyperlink>
    </w:p>
    <w:p w14:paraId="0B8F46C0" w14:textId="563F0888" w:rsidR="00E362A7" w:rsidRPr="00195F18" w:rsidRDefault="00E362A7" w:rsidP="00195F18">
      <w:pPr>
        <w:pStyle w:val="FootnoteText"/>
        <w:ind w:left="284" w:hanging="284"/>
        <w:jc w:val="left"/>
        <w:rPr>
          <w:rFonts w:ascii="Arial Narrow" w:hAnsi="Arial Narrow"/>
        </w:rPr>
      </w:pPr>
      <w:r>
        <w:rPr>
          <w:rFonts w:ascii="Arial Narrow" w:hAnsi="Arial Narrow"/>
        </w:rPr>
        <w:t xml:space="preserve"> </w:t>
      </w:r>
    </w:p>
  </w:footnote>
  <w:footnote w:id="25">
    <w:p w14:paraId="0B3347CD" w14:textId="77777777" w:rsidR="00287C72" w:rsidRDefault="00E362A7" w:rsidP="006148ED">
      <w:pPr>
        <w:pStyle w:val="FootnoteText"/>
        <w:ind w:left="284" w:hanging="284"/>
        <w:jc w:val="left"/>
        <w:rPr>
          <w:rFonts w:ascii="Arial Narrow" w:hAnsi="Arial Narrow"/>
        </w:rPr>
      </w:pPr>
      <w:r w:rsidRPr="00817813">
        <w:rPr>
          <w:rStyle w:val="FootnoteReference"/>
        </w:rPr>
        <w:footnoteRef/>
      </w:r>
      <w:r w:rsidRPr="001F3574">
        <w:rPr>
          <w:rFonts w:ascii="Arial Narrow" w:hAnsi="Arial Narrow"/>
        </w:rPr>
        <w:t xml:space="preserve"> </w:t>
      </w:r>
      <w:r>
        <w:rPr>
          <w:rFonts w:ascii="Arial Narrow" w:hAnsi="Arial Narrow"/>
        </w:rPr>
        <w:tab/>
      </w:r>
      <w:r w:rsidRPr="001F3574">
        <w:rPr>
          <w:rFonts w:ascii="Arial Narrow" w:hAnsi="Arial Narrow"/>
        </w:rPr>
        <w:t xml:space="preserve">Table 9, COVID-19 National Incident Room Surveillance Team. (2022). COVID-19 Australia: Epidemiology Report 63 Reporting period ending 3 Jul 2022. Communicable Diseases Intelligence, 46. Available at: </w:t>
      </w:r>
      <w:hyperlink r:id="rId22" w:history="1">
        <w:r w:rsidRPr="0089706B">
          <w:rPr>
            <w:rStyle w:val="Hyperlink"/>
            <w:rFonts w:ascii="Arial Narrow" w:hAnsi="Arial Narrow"/>
          </w:rPr>
          <w:t>https://www1.health.gov.au/internet/main/publishing.nsf/Content/C50CAE02452A48A7CA2587320081F7BF/$File/covid_19_australia_epidemiology_report_63_reporting_period_ending_3_july_2022.pdf</w:t>
        </w:r>
      </w:hyperlink>
    </w:p>
    <w:p w14:paraId="7FEE3CEF" w14:textId="77777777" w:rsidR="00E362A7" w:rsidRPr="001F3574" w:rsidRDefault="00E362A7" w:rsidP="006148ED">
      <w:pPr>
        <w:pStyle w:val="FootnoteText"/>
        <w:ind w:left="284" w:hanging="284"/>
        <w:jc w:val="left"/>
        <w:rPr>
          <w:rFonts w:ascii="Arial Narrow" w:hAnsi="Arial Narrow"/>
        </w:rPr>
      </w:pPr>
      <w:r>
        <w:rPr>
          <w:rFonts w:ascii="Arial Narrow" w:hAnsi="Arial Narrow"/>
        </w:rPr>
        <w:t xml:space="preserve"> </w:t>
      </w:r>
    </w:p>
  </w:footnote>
  <w:footnote w:id="26">
    <w:p w14:paraId="028BEFD6" w14:textId="77777777" w:rsidR="00E362A7" w:rsidRDefault="00E362A7" w:rsidP="00C32D0F">
      <w:pPr>
        <w:pStyle w:val="FootnoteText"/>
      </w:pPr>
      <w:r>
        <w:rPr>
          <w:rStyle w:val="FootnoteReference"/>
        </w:rPr>
        <w:footnoteRef/>
      </w:r>
      <w:r>
        <w:t xml:space="preserve"> </w:t>
      </w:r>
      <w:hyperlink r:id="rId23" w:history="1">
        <w:r w:rsidRPr="0052639B">
          <w:rPr>
            <w:rStyle w:val="Hyperlink"/>
            <w:rFonts w:ascii="Arial Narrow" w:hAnsi="Arial Narrow"/>
          </w:rPr>
          <w:t>ATAGI recommendations on the use of a third primary dose of COVID-19 vaccine in individuals who are severely immunocompromised | Australian Government Department of Health and Aged Care</w:t>
        </w:r>
      </w:hyperlink>
      <w:r w:rsidRPr="0052639B">
        <w:rPr>
          <w:rFonts w:ascii="Arial Narrow" w:hAnsi="Arial Narrow"/>
        </w:rPr>
        <w:t>; accessed 9 August 2022.</w:t>
      </w:r>
    </w:p>
  </w:footnote>
  <w:footnote w:id="27">
    <w:p w14:paraId="098CDC01" w14:textId="6DB9B9DB" w:rsidR="00E362A7" w:rsidRPr="0052639B" w:rsidRDefault="00E362A7">
      <w:pPr>
        <w:pStyle w:val="FootnoteText"/>
        <w:rPr>
          <w:rFonts w:ascii="Arial Narrow" w:hAnsi="Arial Narrow"/>
        </w:rPr>
      </w:pPr>
      <w:r w:rsidRPr="0052639B">
        <w:rPr>
          <w:rStyle w:val="FootnoteReference"/>
          <w:rFonts w:ascii="Arial Narrow" w:hAnsi="Arial Narrow"/>
        </w:rPr>
        <w:footnoteRef/>
      </w:r>
      <w:r w:rsidRPr="0052639B">
        <w:rPr>
          <w:rFonts w:ascii="Arial Narrow" w:hAnsi="Arial Narrow"/>
        </w:rPr>
        <w:t xml:space="preserve"> Derived using PBS/RPBS data for Paxlovid (12996B) and </w:t>
      </w:r>
      <w:r w:rsidRPr="0052639B">
        <w:rPr>
          <w:rFonts w:ascii="Arial Narrow" w:hAnsi="Arial Narrow"/>
        </w:rPr>
        <w:t xml:space="preserve">Lagevrio (12910L) for 1 March 2022 – 30 June 2022, </w:t>
      </w:r>
      <w:hyperlink r:id="rId24" w:history="1">
        <w:r w:rsidRPr="0052639B">
          <w:rPr>
            <w:rStyle w:val="Hyperlink"/>
            <w:rFonts w:ascii="Arial Narrow" w:hAnsi="Arial Narrow"/>
          </w:rPr>
          <w:t>Services Australia - Statistics - Pharmaceutical Benefits Schedule Item Statistics (humanservices.gov.au)</w:t>
        </w:r>
      </w:hyperlink>
      <w:r w:rsidRPr="0052639B">
        <w:rPr>
          <w:rFonts w:ascii="Arial Narrow" w:hAnsi="Arial Narrow"/>
        </w:rPr>
        <w:t>; accessed 16 August 2022.</w:t>
      </w:r>
    </w:p>
  </w:footnote>
  <w:footnote w:id="28">
    <w:p w14:paraId="4EE26FBE" w14:textId="77777777" w:rsidR="003E60E4" w:rsidRPr="0052639B" w:rsidRDefault="003E60E4" w:rsidP="003E60E4">
      <w:pPr>
        <w:pStyle w:val="FootnoteText"/>
        <w:rPr>
          <w:rFonts w:ascii="Arial Narrow" w:hAnsi="Arial Narrow"/>
        </w:rPr>
      </w:pPr>
      <w:r w:rsidRPr="0052639B">
        <w:rPr>
          <w:rStyle w:val="FootnoteReference"/>
          <w:rFonts w:ascii="Arial Narrow" w:hAnsi="Arial Narrow"/>
        </w:rPr>
        <w:footnoteRef/>
      </w:r>
      <w:r w:rsidRPr="0052639B">
        <w:rPr>
          <w:rFonts w:ascii="Arial Narrow" w:hAnsi="Arial Narrow"/>
        </w:rPr>
        <w:t xml:space="preserve"> </w:t>
      </w:r>
      <w:hyperlink r:id="rId25" w:history="1">
        <w:r w:rsidRPr="0052639B">
          <w:rPr>
            <w:rStyle w:val="Hyperlink"/>
            <w:rFonts w:ascii="Arial Narrow" w:hAnsi="Arial Narrow"/>
          </w:rPr>
          <w:t>Communicable Diseases Intelligence - COVID-19 Australia: Epidemiology Report 63COVID-19 Australia: Epidemiology Report 63 - Reporting period ending 3 July 2022 (health.gov.au)</w:t>
        </w:r>
      </w:hyperlink>
    </w:p>
  </w:footnote>
  <w:footnote w:id="29">
    <w:p w14:paraId="5FE59F91" w14:textId="77777777" w:rsidR="003E60E4" w:rsidRPr="0052639B" w:rsidRDefault="003E60E4" w:rsidP="003E60E4">
      <w:pPr>
        <w:pStyle w:val="FootnoteText"/>
        <w:rPr>
          <w:rFonts w:ascii="Arial Narrow" w:hAnsi="Arial Narrow"/>
        </w:rPr>
      </w:pPr>
      <w:r w:rsidRPr="0052639B">
        <w:rPr>
          <w:rStyle w:val="FootnoteReference"/>
          <w:rFonts w:ascii="Arial Narrow" w:hAnsi="Arial Narrow"/>
        </w:rPr>
        <w:footnoteRef/>
      </w:r>
      <w:r w:rsidRPr="0052639B">
        <w:rPr>
          <w:rFonts w:ascii="Arial Narrow" w:hAnsi="Arial Narrow"/>
        </w:rPr>
        <w:t xml:space="preserve"> Table 7, </w:t>
      </w:r>
      <w:hyperlink r:id="rId26" w:history="1">
        <w:r w:rsidRPr="0052639B">
          <w:rPr>
            <w:rStyle w:val="Hyperlink"/>
            <w:rFonts w:ascii="Arial Narrow" w:hAnsi="Arial Narrow"/>
          </w:rPr>
          <w:t>Communicable Diseases Intelligence - COVID-19 Australia: Epidemiology Report 63COVID-19 Australia: Epidemiology Report 63 - Reporting period ending 3 July 2022 (health.gov.au)</w:t>
        </w:r>
      </w:hyperlink>
    </w:p>
    <w:p w14:paraId="07276BD3" w14:textId="77777777" w:rsidR="003E60E4" w:rsidRDefault="003E60E4" w:rsidP="003E60E4">
      <w:pPr>
        <w:pStyle w:val="FootnoteText"/>
      </w:pPr>
    </w:p>
  </w:footnote>
  <w:footnote w:id="30">
    <w:p w14:paraId="701EAA37" w14:textId="77777777" w:rsidR="00F96762" w:rsidRDefault="00F96762" w:rsidP="00F96762">
      <w:pPr>
        <w:pStyle w:val="FootnoteText"/>
        <w:jc w:val="left"/>
      </w:pPr>
      <w:r>
        <w:rPr>
          <w:rStyle w:val="FootnoteReference"/>
        </w:rPr>
        <w:footnoteRef/>
      </w:r>
      <w:r w:rsidRPr="008902EC">
        <w:rPr>
          <w:rFonts w:ascii="Arial Narrow" w:hAnsi="Arial Narrow"/>
        </w:rPr>
        <w:t xml:space="preserve"> </w:t>
      </w:r>
      <w:r>
        <w:rPr>
          <w:rFonts w:ascii="Arial Narrow" w:hAnsi="Arial Narrow"/>
        </w:rPr>
        <w:t xml:space="preserve">Ontario Health Information about Evusheld (Tixagevimab and Cilgavimab) </w:t>
      </w:r>
      <w:r w:rsidRPr="008902EC">
        <w:rPr>
          <w:rFonts w:ascii="Arial Narrow" w:hAnsi="Arial Narrow"/>
        </w:rPr>
        <w:t>Reference for health care providers who may be prescribing or administering Evusheld</w:t>
      </w:r>
      <w:r>
        <w:rPr>
          <w:rFonts w:ascii="Arial Narrow" w:hAnsi="Arial Narrow"/>
        </w:rPr>
        <w:t xml:space="preserve">. </w:t>
      </w:r>
      <w:r w:rsidRPr="008902EC">
        <w:rPr>
          <w:rFonts w:ascii="Arial Narrow" w:hAnsi="Arial Narrow"/>
        </w:rPr>
        <w:t>Last updated: October 3, 2022</w:t>
      </w:r>
      <w:r>
        <w:rPr>
          <w:rFonts w:ascii="Arial Narrow" w:hAnsi="Arial Narrow"/>
        </w:rPr>
        <w:t>.  Available at:</w:t>
      </w:r>
      <w:r w:rsidRPr="008902EC">
        <w:rPr>
          <w:rFonts w:ascii="Arial Narrow" w:hAnsi="Arial Narrow"/>
        </w:rPr>
        <w:t xml:space="preserve"> </w:t>
      </w:r>
      <w:hyperlink r:id="rId27" w:history="1">
        <w:r w:rsidRPr="008902EC">
          <w:rPr>
            <w:rFonts w:ascii="Arial Narrow" w:hAnsi="Arial Narrow"/>
          </w:rPr>
          <w:t>https://www.ontariohealth.ca/sites/ontariohealth/files/2022-05/Information%20for%20health%20care%20providers%20-%20Evusheld.pdf</w:t>
        </w:r>
      </w:hyperlink>
      <w:r>
        <w:rPr>
          <w:rFonts w:ascii="Arial Narrow" w:hAnsi="Arial Narrow"/>
        </w:rPr>
        <w:t xml:space="preserve"> </w:t>
      </w:r>
    </w:p>
  </w:footnote>
  <w:footnote w:id="31">
    <w:p w14:paraId="637501C1" w14:textId="77777777" w:rsidR="00F96762" w:rsidRPr="0052639B" w:rsidRDefault="00F96762" w:rsidP="00F96762">
      <w:pPr>
        <w:pStyle w:val="FootnoteText"/>
        <w:rPr>
          <w:rFonts w:ascii="Arial Narrow" w:hAnsi="Arial Narrow"/>
        </w:rPr>
      </w:pPr>
      <w:r w:rsidRPr="0052639B">
        <w:rPr>
          <w:rStyle w:val="FootnoteReference"/>
          <w:rFonts w:ascii="Arial Narrow" w:hAnsi="Arial Narrow"/>
        </w:rPr>
        <w:footnoteRef/>
      </w:r>
      <w:r w:rsidRPr="0052639B">
        <w:rPr>
          <w:rFonts w:ascii="Arial Narrow" w:hAnsi="Arial Narrow"/>
        </w:rPr>
        <w:t xml:space="preserve"> The resubmission presented results of an interim analysis provided to AstraZeneca by the investigators from the Jurdi et al. 2022 study.</w:t>
      </w:r>
    </w:p>
  </w:footnote>
  <w:footnote w:id="32">
    <w:p w14:paraId="1AD13A08" w14:textId="77777777" w:rsidR="00F96762" w:rsidRPr="00695689" w:rsidRDefault="00F96762" w:rsidP="00F96762">
      <w:pPr>
        <w:rPr>
          <w:rFonts w:asciiTheme="minorHAnsi" w:hAnsiTheme="minorHAnsi" w:cstheme="minorHAnsi"/>
          <w:sz w:val="20"/>
          <w:szCs w:val="20"/>
        </w:rPr>
      </w:pPr>
      <w:r w:rsidRPr="0052639B">
        <w:rPr>
          <w:rFonts w:ascii="Arial Narrow" w:hAnsi="Arial Narrow" w:cstheme="minorHAnsi"/>
          <w:sz w:val="20"/>
          <w:szCs w:val="20"/>
          <w:vertAlign w:val="superscript"/>
        </w:rPr>
        <w:footnoteRef/>
      </w:r>
      <w:r w:rsidRPr="0052639B">
        <w:rPr>
          <w:rFonts w:ascii="Arial Narrow" w:hAnsi="Arial Narrow" w:cstheme="minorHAnsi"/>
          <w:sz w:val="20"/>
          <w:szCs w:val="20"/>
        </w:rPr>
        <w:t xml:space="preserve"> Moon, RH. et al. Safety and Efficacy of Intramuscular Tixagevimab-Cilgavimab in Prevention of COVID-19 in Immunocompromised Patients. Preprint available at SSRN: https://ssrn.com/abstract=4248012.</w:t>
      </w:r>
    </w:p>
  </w:footnote>
  <w:footnote w:id="33">
    <w:p w14:paraId="67AC147A" w14:textId="77777777" w:rsidR="00F96762" w:rsidRPr="0052639B" w:rsidRDefault="00F96762" w:rsidP="00F96762">
      <w:pPr>
        <w:pStyle w:val="FootnoteText"/>
        <w:jc w:val="left"/>
        <w:rPr>
          <w:rFonts w:ascii="Arial Narrow" w:hAnsi="Arial Narrow"/>
        </w:rPr>
      </w:pPr>
      <w:r w:rsidRPr="0052639B">
        <w:rPr>
          <w:rStyle w:val="FootnoteReference"/>
          <w:rFonts w:ascii="Arial Narrow" w:hAnsi="Arial Narrow"/>
        </w:rPr>
        <w:footnoteRef/>
      </w:r>
      <w:r w:rsidRPr="0052639B">
        <w:rPr>
          <w:rFonts w:ascii="Arial Narrow" w:hAnsi="Arial Narrow"/>
        </w:rPr>
        <w:t xml:space="preserve"> PBAC – Outcome Statement Item 14.04 - COVID-19 Antiviral Restrictions, PBAC November 2022. Available at: https://www.pbs.gov.au/industry/listing/elements/pbac-meetings/pbac-outcomes/2022-11/covid-19-oral-treatments-outcome-nov-2022.pdf</w:t>
      </w:r>
    </w:p>
  </w:footnote>
  <w:footnote w:id="34">
    <w:p w14:paraId="4F9A88C7" w14:textId="77777777" w:rsidR="00F96762" w:rsidRPr="0052639B" w:rsidRDefault="00F96762" w:rsidP="00F96762">
      <w:pPr>
        <w:pStyle w:val="FootnoteText"/>
        <w:rPr>
          <w:rFonts w:ascii="Arial Narrow" w:hAnsi="Arial Narrow"/>
        </w:rPr>
      </w:pPr>
      <w:r w:rsidRPr="0052639B">
        <w:rPr>
          <w:rStyle w:val="FootnoteReference"/>
          <w:rFonts w:ascii="Arial Narrow" w:hAnsi="Arial Narrow"/>
        </w:rPr>
        <w:footnoteRef/>
      </w:r>
      <w:r w:rsidRPr="0052639B">
        <w:rPr>
          <w:rFonts w:ascii="Arial Narrow" w:hAnsi="Arial Narrow"/>
        </w:rPr>
        <w:t xml:space="preserve"> The model runs for 6 months while the risk reduction is applied over 3 months.</w:t>
      </w:r>
    </w:p>
  </w:footnote>
  <w:footnote w:id="35">
    <w:p w14:paraId="767E08D1" w14:textId="77777777" w:rsidR="00F96762" w:rsidRDefault="00F96762" w:rsidP="00F96762">
      <w:pPr>
        <w:pStyle w:val="FootnoteText"/>
      </w:pPr>
      <w:r w:rsidRPr="0052639B">
        <w:rPr>
          <w:rStyle w:val="FootnoteReference"/>
          <w:rFonts w:ascii="Arial Narrow" w:hAnsi="Arial Narrow"/>
        </w:rPr>
        <w:footnoteRef/>
      </w:r>
      <w:r w:rsidRPr="0052639B">
        <w:rPr>
          <w:rFonts w:ascii="Arial Narrow" w:hAnsi="Arial Narrow"/>
        </w:rPr>
        <w:t xml:space="preserve"> The model runs for 6 months while the risk reduction is applied over 3 months.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F8811" w14:textId="147986D6" w:rsidR="00615473" w:rsidRPr="00056684" w:rsidRDefault="007527BA" w:rsidP="00615473">
    <w:pPr>
      <w:pStyle w:val="Header"/>
      <w:ind w:left="360"/>
      <w:rPr>
        <w:rFonts w:asciiTheme="minorHAnsi" w:hAnsiTheme="minorHAnsi"/>
        <w:i/>
        <w:color w:val="808080"/>
      </w:rPr>
    </w:pPr>
    <w:bookmarkStart w:id="90" w:name="_Hlk76375146"/>
    <w:r>
      <w:rPr>
        <w:rFonts w:asciiTheme="minorHAnsi" w:hAnsiTheme="minorHAnsi"/>
        <w:i/>
        <w:color w:val="808080"/>
      </w:rPr>
      <w:t>Public Summary Document</w:t>
    </w:r>
    <w:r w:rsidR="00615473" w:rsidRPr="00056684">
      <w:rPr>
        <w:rFonts w:asciiTheme="minorHAnsi" w:hAnsiTheme="minorHAnsi"/>
        <w:i/>
        <w:color w:val="808080"/>
      </w:rPr>
      <w:t xml:space="preserve"> – </w:t>
    </w:r>
    <w:r w:rsidR="00615473">
      <w:rPr>
        <w:rFonts w:asciiTheme="minorHAnsi" w:hAnsiTheme="minorHAnsi"/>
        <w:i/>
        <w:color w:val="808080"/>
      </w:rPr>
      <w:t>September 2022</w:t>
    </w:r>
    <w:r w:rsidR="00615473" w:rsidRPr="00056684">
      <w:rPr>
        <w:rFonts w:asciiTheme="minorHAnsi" w:hAnsiTheme="minorHAnsi"/>
        <w:i/>
        <w:color w:val="808080"/>
      </w:rPr>
      <w:t xml:space="preserve"> PBAC</w:t>
    </w:r>
    <w:r>
      <w:rPr>
        <w:rFonts w:asciiTheme="minorHAnsi" w:hAnsiTheme="minorHAnsi"/>
        <w:i/>
        <w:color w:val="808080"/>
      </w:rPr>
      <w:t xml:space="preserve"> Intracycle</w:t>
    </w:r>
    <w:r w:rsidR="00615473" w:rsidRPr="00056684">
      <w:rPr>
        <w:rFonts w:asciiTheme="minorHAnsi" w:hAnsiTheme="minorHAnsi"/>
        <w:i/>
        <w:color w:val="808080"/>
      </w:rPr>
      <w:t xml:space="preserve"> Meeting</w:t>
    </w:r>
    <w:r w:rsidR="00F96762">
      <w:rPr>
        <w:rFonts w:asciiTheme="minorHAnsi" w:hAnsiTheme="minorHAnsi"/>
        <w:i/>
        <w:color w:val="808080"/>
      </w:rPr>
      <w:t xml:space="preserve"> with Corrigendum and Addendum December 2022</w:t>
    </w:r>
  </w:p>
  <w:bookmarkEnd w:id="90"/>
  <w:p w14:paraId="03AF943B" w14:textId="77777777" w:rsidR="00E362A7" w:rsidRPr="008C7ECB" w:rsidRDefault="00E362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9CE343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EF2609"/>
    <w:multiLevelType w:val="hybridMultilevel"/>
    <w:tmpl w:val="ACAAA3D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8247BF5"/>
    <w:multiLevelType w:val="hybridMultilevel"/>
    <w:tmpl w:val="88E88D76"/>
    <w:lvl w:ilvl="0" w:tplc="EFA42BE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4551E6"/>
    <w:multiLevelType w:val="hybridMultilevel"/>
    <w:tmpl w:val="3312AC2E"/>
    <w:lvl w:ilvl="0" w:tplc="FFFFFFFF">
      <w:start w:val="1"/>
      <w:numFmt w:val="bullet"/>
      <w:lvlText w:val=""/>
      <w:lvlJc w:val="left"/>
      <w:pPr>
        <w:ind w:left="720" w:hanging="360"/>
      </w:pPr>
      <w:rPr>
        <w:rFonts w:ascii="Symbol" w:hAnsi="Symbol" w:hint="default"/>
      </w:rPr>
    </w:lvl>
    <w:lvl w:ilvl="1" w:tplc="FFFFFFFF">
      <w:numFmt w:val="bullet"/>
      <w:lvlText w:val="•"/>
      <w:lvlJc w:val="left"/>
      <w:pPr>
        <w:ind w:left="1800" w:hanging="720"/>
      </w:pPr>
      <w:rPr>
        <w:rFonts w:ascii="Arial Narrow" w:eastAsiaTheme="majorEastAsia" w:hAnsi="Arial Narrow" w:cstheme="majorBidi" w:hint="default"/>
      </w:rPr>
    </w:lvl>
    <w:lvl w:ilvl="2" w:tplc="0C090003">
      <w:start w:val="1"/>
      <w:numFmt w:val="bullet"/>
      <w:lvlText w:val="o"/>
      <w:lvlJc w:val="left"/>
      <w:pPr>
        <w:ind w:left="2160" w:hanging="360"/>
      </w:pPr>
      <w:rPr>
        <w:rFonts w:ascii="Courier New" w:hAnsi="Courier New" w:cs="Courier New" w:hint="default"/>
      </w:rPr>
    </w:lvl>
    <w:lvl w:ilvl="3" w:tplc="0C090005">
      <w:start w:val="1"/>
      <w:numFmt w:val="bullet"/>
      <w:lvlText w:val=""/>
      <w:lvlJc w:val="left"/>
      <w:pPr>
        <w:ind w:left="2880" w:hanging="360"/>
      </w:pPr>
      <w:rPr>
        <w:rFonts w:ascii="Wingdings" w:hAnsi="Wingding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F740758"/>
    <w:multiLevelType w:val="hybridMultilevel"/>
    <w:tmpl w:val="C1265E2E"/>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800" w:hanging="72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0BE0791"/>
    <w:multiLevelType w:val="hybridMultilevel"/>
    <w:tmpl w:val="F118C70A"/>
    <w:lvl w:ilvl="0" w:tplc="B63C898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223022F"/>
    <w:multiLevelType w:val="multilevel"/>
    <w:tmpl w:val="0824AE6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6B370D"/>
    <w:multiLevelType w:val="hybridMultilevel"/>
    <w:tmpl w:val="5080C4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BB15301"/>
    <w:multiLevelType w:val="multilevel"/>
    <w:tmpl w:val="1E5884F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8D67A6"/>
    <w:multiLevelType w:val="hybridMultilevel"/>
    <w:tmpl w:val="51CA1480"/>
    <w:lvl w:ilvl="0" w:tplc="04090001">
      <w:start w:val="1"/>
      <w:numFmt w:val="bullet"/>
      <w:pStyle w:val="ListParagraph"/>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7026534"/>
    <w:multiLevelType w:val="hybridMultilevel"/>
    <w:tmpl w:val="9D86BB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3" w15:restartNumberingAfterBreak="0">
    <w:nsid w:val="5DAC5FFD"/>
    <w:multiLevelType w:val="multilevel"/>
    <w:tmpl w:val="4E743DFE"/>
    <w:lvl w:ilvl="0">
      <w:start w:val="1"/>
      <w:numFmt w:val="decimal"/>
      <w:lvlText w:val="%1"/>
      <w:lvlJc w:val="left"/>
      <w:pPr>
        <w:ind w:left="720" w:hanging="720"/>
      </w:pPr>
      <w:rPr>
        <w:rFonts w:hint="default"/>
      </w:rPr>
    </w:lvl>
    <w:lvl w:ilvl="1">
      <w:start w:val="9"/>
      <w:numFmt w:val="decimal"/>
      <w:lvlText w:val="%1.%2"/>
      <w:lvlJc w:val="left"/>
      <w:pPr>
        <w:ind w:left="720" w:hanging="720"/>
      </w:pPr>
      <w:rPr>
        <w:rFonts w:hint="default"/>
        <w:i w:val="0"/>
        <w:iCs/>
        <w:color w:val="auto"/>
      </w:rPr>
    </w:lvl>
    <w:lvl w:ilvl="2">
      <w:start w:val="1"/>
      <w:numFmt w:val="bullet"/>
      <w:lvlText w:val=""/>
      <w:lvlJc w:val="left"/>
      <w:pPr>
        <w:ind w:left="2517" w:hanging="177"/>
      </w:pPr>
      <w:rPr>
        <w:rFonts w:ascii="Symbol" w:hAnsi="Symbol" w:hint="default"/>
      </w:rPr>
    </w:lvl>
    <w:lvl w:ilvl="3">
      <w:start w:val="1"/>
      <w:numFmt w:val="bullet"/>
      <w:lvlText w:val="o"/>
      <w:lvlJc w:val="left"/>
      <w:pPr>
        <w:ind w:left="3240" w:hanging="360"/>
      </w:pPr>
      <w:rPr>
        <w:rFonts w:ascii="Courier New" w:hAnsi="Courier New" w:cs="Times New Roman" w:hint="default"/>
      </w:rPr>
    </w:lvl>
    <w:lvl w:ilvl="4">
      <w:start w:val="1"/>
      <w:numFmt w:val="bullet"/>
      <w:lvlText w:val=""/>
      <w:lvlJc w:val="left"/>
      <w:pPr>
        <w:ind w:left="3960" w:hanging="360"/>
      </w:pPr>
      <w:rPr>
        <w:rFonts w:ascii="Wingdings" w:hAnsi="Wingding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4" w15:restartNumberingAfterBreak="0">
    <w:nsid w:val="5DCD5636"/>
    <w:multiLevelType w:val="multilevel"/>
    <w:tmpl w:val="385EE02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34E7DB8"/>
    <w:multiLevelType w:val="hybridMultilevel"/>
    <w:tmpl w:val="C3D0A97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15:restartNumberingAfterBreak="0">
    <w:nsid w:val="664E0D0D"/>
    <w:multiLevelType w:val="hybridMultilevel"/>
    <w:tmpl w:val="CD30606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67C6741F"/>
    <w:multiLevelType w:val="multilevel"/>
    <w:tmpl w:val="1114A024"/>
    <w:lvl w:ilvl="0">
      <w:start w:val="1"/>
      <w:numFmt w:val="decimal"/>
      <w:lvlText w:val="%1"/>
      <w:lvlJc w:val="left"/>
      <w:pPr>
        <w:ind w:left="720" w:hanging="720"/>
      </w:pPr>
    </w:lvl>
    <w:lvl w:ilvl="1">
      <w:start w:val="1"/>
      <w:numFmt w:val="decimal"/>
      <w:lvlText w:val="%1.%2"/>
      <w:lvlJc w:val="left"/>
      <w:pPr>
        <w:ind w:left="720" w:hanging="720"/>
      </w:pPr>
      <w:rPr>
        <w:i w:val="0"/>
        <w:iCs/>
        <w:color w:val="auto"/>
      </w:rPr>
    </w:lvl>
    <w:lvl w:ilvl="2">
      <w:start w:val="1"/>
      <w:numFmt w:val="bullet"/>
      <w:lvlText w:val=""/>
      <w:lvlJc w:val="left"/>
      <w:pPr>
        <w:ind w:left="2517" w:hanging="177"/>
      </w:pPr>
      <w:rPr>
        <w:rFonts w:ascii="Symbol" w:hAnsi="Symbol" w:hint="default"/>
      </w:rPr>
    </w:lvl>
    <w:lvl w:ilvl="3">
      <w:start w:val="1"/>
      <w:numFmt w:val="bullet"/>
      <w:lvlText w:val="o"/>
      <w:lvlJc w:val="left"/>
      <w:pPr>
        <w:ind w:left="3240" w:hanging="360"/>
      </w:pPr>
      <w:rPr>
        <w:rFonts w:ascii="Courier New" w:hAnsi="Courier New" w:cs="Times New Roman" w:hint="default"/>
      </w:r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6A191E06"/>
    <w:multiLevelType w:val="hybridMultilevel"/>
    <w:tmpl w:val="342CF118"/>
    <w:lvl w:ilvl="0" w:tplc="2CC4D01C">
      <w:start w:val="1"/>
      <w:numFmt w:val="bullet"/>
      <w:lvlText w:val=""/>
      <w:lvlJc w:val="left"/>
      <w:pPr>
        <w:ind w:left="360" w:hanging="360"/>
      </w:pPr>
      <w:rPr>
        <w:rFonts w:ascii="Symbol" w:hAnsi="Symbol" w:hint="default"/>
      </w:rPr>
    </w:lvl>
    <w:lvl w:ilvl="1" w:tplc="3C0869BA" w:tentative="1">
      <w:start w:val="1"/>
      <w:numFmt w:val="bullet"/>
      <w:lvlText w:val="o"/>
      <w:lvlJc w:val="left"/>
      <w:pPr>
        <w:ind w:left="1080" w:hanging="360"/>
      </w:pPr>
      <w:rPr>
        <w:rFonts w:ascii="Courier New" w:hAnsi="Courier New" w:cs="Courier New" w:hint="default"/>
      </w:rPr>
    </w:lvl>
    <w:lvl w:ilvl="2" w:tplc="7D603948" w:tentative="1">
      <w:start w:val="1"/>
      <w:numFmt w:val="bullet"/>
      <w:lvlText w:val=""/>
      <w:lvlJc w:val="left"/>
      <w:pPr>
        <w:ind w:left="1800" w:hanging="360"/>
      </w:pPr>
      <w:rPr>
        <w:rFonts w:ascii="Wingdings" w:hAnsi="Wingdings" w:hint="default"/>
      </w:rPr>
    </w:lvl>
    <w:lvl w:ilvl="3" w:tplc="E108A70E" w:tentative="1">
      <w:start w:val="1"/>
      <w:numFmt w:val="bullet"/>
      <w:lvlText w:val=""/>
      <w:lvlJc w:val="left"/>
      <w:pPr>
        <w:ind w:left="2520" w:hanging="360"/>
      </w:pPr>
      <w:rPr>
        <w:rFonts w:ascii="Symbol" w:hAnsi="Symbol" w:hint="default"/>
      </w:rPr>
    </w:lvl>
    <w:lvl w:ilvl="4" w:tplc="6A0A9636" w:tentative="1">
      <w:start w:val="1"/>
      <w:numFmt w:val="bullet"/>
      <w:lvlText w:val="o"/>
      <w:lvlJc w:val="left"/>
      <w:pPr>
        <w:ind w:left="3240" w:hanging="360"/>
      </w:pPr>
      <w:rPr>
        <w:rFonts w:ascii="Courier New" w:hAnsi="Courier New" w:cs="Courier New" w:hint="default"/>
      </w:rPr>
    </w:lvl>
    <w:lvl w:ilvl="5" w:tplc="3816F412" w:tentative="1">
      <w:start w:val="1"/>
      <w:numFmt w:val="bullet"/>
      <w:lvlText w:val=""/>
      <w:lvlJc w:val="left"/>
      <w:pPr>
        <w:ind w:left="3960" w:hanging="360"/>
      </w:pPr>
      <w:rPr>
        <w:rFonts w:ascii="Wingdings" w:hAnsi="Wingdings" w:hint="default"/>
      </w:rPr>
    </w:lvl>
    <w:lvl w:ilvl="6" w:tplc="FF82C50C" w:tentative="1">
      <w:start w:val="1"/>
      <w:numFmt w:val="bullet"/>
      <w:lvlText w:val=""/>
      <w:lvlJc w:val="left"/>
      <w:pPr>
        <w:ind w:left="4680" w:hanging="360"/>
      </w:pPr>
      <w:rPr>
        <w:rFonts w:ascii="Symbol" w:hAnsi="Symbol" w:hint="default"/>
      </w:rPr>
    </w:lvl>
    <w:lvl w:ilvl="7" w:tplc="F4C02730" w:tentative="1">
      <w:start w:val="1"/>
      <w:numFmt w:val="bullet"/>
      <w:lvlText w:val="o"/>
      <w:lvlJc w:val="left"/>
      <w:pPr>
        <w:ind w:left="5400" w:hanging="360"/>
      </w:pPr>
      <w:rPr>
        <w:rFonts w:ascii="Courier New" w:hAnsi="Courier New" w:cs="Courier New" w:hint="default"/>
      </w:rPr>
    </w:lvl>
    <w:lvl w:ilvl="8" w:tplc="A59E18F6" w:tentative="1">
      <w:start w:val="1"/>
      <w:numFmt w:val="bullet"/>
      <w:lvlText w:val=""/>
      <w:lvlJc w:val="left"/>
      <w:pPr>
        <w:ind w:left="6120" w:hanging="360"/>
      </w:pPr>
      <w:rPr>
        <w:rFonts w:ascii="Wingdings" w:hAnsi="Wingdings" w:hint="default"/>
      </w:rPr>
    </w:lvl>
  </w:abstractNum>
  <w:abstractNum w:abstractNumId="20" w15:restartNumberingAfterBreak="0">
    <w:nsid w:val="6AEF2C19"/>
    <w:multiLevelType w:val="multilevel"/>
    <w:tmpl w:val="E306E9C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BD6403F"/>
    <w:multiLevelType w:val="hybridMultilevel"/>
    <w:tmpl w:val="19F8A5DC"/>
    <w:lvl w:ilvl="0" w:tplc="F8928F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E9C1ADF"/>
    <w:multiLevelType w:val="multilevel"/>
    <w:tmpl w:val="0824AE6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3CE683D"/>
    <w:multiLevelType w:val="hybridMultilevel"/>
    <w:tmpl w:val="88E88D76"/>
    <w:lvl w:ilvl="0" w:tplc="EFA42BE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7776A3E"/>
    <w:multiLevelType w:val="hybridMultilevel"/>
    <w:tmpl w:val="5A409D6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784D033C"/>
    <w:multiLevelType w:val="multilevel"/>
    <w:tmpl w:val="9ADC7F04"/>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F151D3D"/>
    <w:multiLevelType w:val="hybridMultilevel"/>
    <w:tmpl w:val="DE200D5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25"/>
  </w:num>
  <w:num w:numId="2">
    <w:abstractNumId w:val="9"/>
  </w:num>
  <w:num w:numId="3">
    <w:abstractNumId w:val="10"/>
  </w:num>
  <w:num w:numId="4">
    <w:abstractNumId w:val="0"/>
  </w:num>
  <w:num w:numId="5">
    <w:abstractNumId w:val="16"/>
  </w:num>
  <w:num w:numId="6">
    <w:abstractNumId w:val="22"/>
  </w:num>
  <w:num w:numId="7">
    <w:abstractNumId w:val="14"/>
  </w:num>
  <w:num w:numId="8">
    <w:abstractNumId w:val="1"/>
  </w:num>
  <w:num w:numId="9">
    <w:abstractNumId w:val="4"/>
  </w:num>
  <w:num w:numId="10">
    <w:abstractNumId w:val="3"/>
  </w:num>
  <w:num w:numId="11">
    <w:abstractNumId w:val="17"/>
  </w:num>
  <w:num w:numId="12">
    <w:abstractNumId w:val="24"/>
  </w:num>
  <w:num w:numId="13">
    <w:abstractNumId w:val="23"/>
  </w:num>
  <w:num w:numId="14">
    <w:abstractNumId w:val="2"/>
  </w:num>
  <w:num w:numId="15">
    <w:abstractNumId w:val="21"/>
  </w:num>
  <w:num w:numId="16">
    <w:abstractNumId w:val="11"/>
  </w:num>
  <w:num w:numId="17">
    <w:abstractNumId w:val="26"/>
  </w:num>
  <w:num w:numId="18">
    <w:abstractNumId w:val="20"/>
  </w:num>
  <w:num w:numId="19">
    <w:abstractNumId w:val="6"/>
  </w:num>
  <w:num w:numId="20">
    <w:abstractNumId w:val="15"/>
  </w:num>
  <w:num w:numId="21">
    <w:abstractNumId w:val="5"/>
  </w:num>
  <w:num w:numId="22">
    <w:abstractNumId w:val="25"/>
  </w:num>
  <w:num w:numId="23">
    <w:abstractNumId w:val="19"/>
  </w:num>
  <w:num w:numId="24">
    <w:abstractNumId w:val="8"/>
  </w:num>
  <w:num w:numId="25">
    <w:abstractNumId w:val="13"/>
  </w:num>
  <w:num w:numId="26">
    <w:abstractNumId w:val="18"/>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I3tzQ2MDU0NDIwMDNQ0lEKTi0uzszPAykwMqwFACkNUTEtAAAA"/>
  </w:docVars>
  <w:rsids>
    <w:rsidRoot w:val="00E65E79"/>
    <w:rsid w:val="00000350"/>
    <w:rsid w:val="00000790"/>
    <w:rsid w:val="0000110B"/>
    <w:rsid w:val="000013C6"/>
    <w:rsid w:val="000017EC"/>
    <w:rsid w:val="00001B0D"/>
    <w:rsid w:val="00002272"/>
    <w:rsid w:val="000029AC"/>
    <w:rsid w:val="00003047"/>
    <w:rsid w:val="00003499"/>
    <w:rsid w:val="000039B7"/>
    <w:rsid w:val="0000444D"/>
    <w:rsid w:val="000045C5"/>
    <w:rsid w:val="00004F05"/>
    <w:rsid w:val="000056B9"/>
    <w:rsid w:val="0000576F"/>
    <w:rsid w:val="00005AD0"/>
    <w:rsid w:val="0000639A"/>
    <w:rsid w:val="00006C89"/>
    <w:rsid w:val="00006CF1"/>
    <w:rsid w:val="00006FCE"/>
    <w:rsid w:val="0000742E"/>
    <w:rsid w:val="00007698"/>
    <w:rsid w:val="00007B3B"/>
    <w:rsid w:val="00007B84"/>
    <w:rsid w:val="00010070"/>
    <w:rsid w:val="00010FB1"/>
    <w:rsid w:val="00011DC7"/>
    <w:rsid w:val="0001201D"/>
    <w:rsid w:val="0001293B"/>
    <w:rsid w:val="00012EE1"/>
    <w:rsid w:val="000131EB"/>
    <w:rsid w:val="00013247"/>
    <w:rsid w:val="00013286"/>
    <w:rsid w:val="000135AF"/>
    <w:rsid w:val="0001380E"/>
    <w:rsid w:val="00013A99"/>
    <w:rsid w:val="00014308"/>
    <w:rsid w:val="00014338"/>
    <w:rsid w:val="00014339"/>
    <w:rsid w:val="00014F5C"/>
    <w:rsid w:val="00014F71"/>
    <w:rsid w:val="00015886"/>
    <w:rsid w:val="00015F5A"/>
    <w:rsid w:val="00016002"/>
    <w:rsid w:val="000162EF"/>
    <w:rsid w:val="00016BA2"/>
    <w:rsid w:val="00016BB7"/>
    <w:rsid w:val="00016BC3"/>
    <w:rsid w:val="00016BCC"/>
    <w:rsid w:val="00016CB1"/>
    <w:rsid w:val="00017643"/>
    <w:rsid w:val="00017F3F"/>
    <w:rsid w:val="000200E8"/>
    <w:rsid w:val="0002068D"/>
    <w:rsid w:val="000207C9"/>
    <w:rsid w:val="00021E59"/>
    <w:rsid w:val="0002225F"/>
    <w:rsid w:val="00022881"/>
    <w:rsid w:val="00023012"/>
    <w:rsid w:val="000235FA"/>
    <w:rsid w:val="00023763"/>
    <w:rsid w:val="00024EB5"/>
    <w:rsid w:val="00026261"/>
    <w:rsid w:val="000269BA"/>
    <w:rsid w:val="00026A11"/>
    <w:rsid w:val="00026F29"/>
    <w:rsid w:val="000274B8"/>
    <w:rsid w:val="00030602"/>
    <w:rsid w:val="00030696"/>
    <w:rsid w:val="00030721"/>
    <w:rsid w:val="00030FD3"/>
    <w:rsid w:val="000313A9"/>
    <w:rsid w:val="000322E8"/>
    <w:rsid w:val="00032430"/>
    <w:rsid w:val="00032A13"/>
    <w:rsid w:val="0003333A"/>
    <w:rsid w:val="000334C3"/>
    <w:rsid w:val="00033824"/>
    <w:rsid w:val="00033863"/>
    <w:rsid w:val="00033976"/>
    <w:rsid w:val="000340E5"/>
    <w:rsid w:val="000341BB"/>
    <w:rsid w:val="0003505F"/>
    <w:rsid w:val="00035180"/>
    <w:rsid w:val="00035CD4"/>
    <w:rsid w:val="00035DC0"/>
    <w:rsid w:val="0003681E"/>
    <w:rsid w:val="00036829"/>
    <w:rsid w:val="00036BFC"/>
    <w:rsid w:val="000370CA"/>
    <w:rsid w:val="00037372"/>
    <w:rsid w:val="000373DA"/>
    <w:rsid w:val="00037ACE"/>
    <w:rsid w:val="000405DC"/>
    <w:rsid w:val="00040895"/>
    <w:rsid w:val="00040B02"/>
    <w:rsid w:val="00040CF9"/>
    <w:rsid w:val="000410A0"/>
    <w:rsid w:val="000413B0"/>
    <w:rsid w:val="0004145C"/>
    <w:rsid w:val="0004276B"/>
    <w:rsid w:val="000427ED"/>
    <w:rsid w:val="000435C7"/>
    <w:rsid w:val="000435EE"/>
    <w:rsid w:val="00043C37"/>
    <w:rsid w:val="00043F37"/>
    <w:rsid w:val="000449B7"/>
    <w:rsid w:val="00044E36"/>
    <w:rsid w:val="00045017"/>
    <w:rsid w:val="0004505E"/>
    <w:rsid w:val="00045A2B"/>
    <w:rsid w:val="000461EF"/>
    <w:rsid w:val="0004662B"/>
    <w:rsid w:val="0004698F"/>
    <w:rsid w:val="00046A82"/>
    <w:rsid w:val="00046AC6"/>
    <w:rsid w:val="00046D64"/>
    <w:rsid w:val="0004792D"/>
    <w:rsid w:val="00047D60"/>
    <w:rsid w:val="000502C8"/>
    <w:rsid w:val="000508C2"/>
    <w:rsid w:val="00050B07"/>
    <w:rsid w:val="000539D0"/>
    <w:rsid w:val="00053D67"/>
    <w:rsid w:val="00054621"/>
    <w:rsid w:val="000546D7"/>
    <w:rsid w:val="00054A8D"/>
    <w:rsid w:val="000552D3"/>
    <w:rsid w:val="00055990"/>
    <w:rsid w:val="00056120"/>
    <w:rsid w:val="00056651"/>
    <w:rsid w:val="000566B0"/>
    <w:rsid w:val="00056BDD"/>
    <w:rsid w:val="00056CF9"/>
    <w:rsid w:val="00056ECF"/>
    <w:rsid w:val="00057146"/>
    <w:rsid w:val="000577BF"/>
    <w:rsid w:val="00057BDF"/>
    <w:rsid w:val="000604DF"/>
    <w:rsid w:val="000604E7"/>
    <w:rsid w:val="00060B08"/>
    <w:rsid w:val="00061ACB"/>
    <w:rsid w:val="00061CF1"/>
    <w:rsid w:val="00062324"/>
    <w:rsid w:val="000624DA"/>
    <w:rsid w:val="000629EA"/>
    <w:rsid w:val="00062A18"/>
    <w:rsid w:val="00062AEF"/>
    <w:rsid w:val="00062D25"/>
    <w:rsid w:val="000636CC"/>
    <w:rsid w:val="0006378B"/>
    <w:rsid w:val="000643AF"/>
    <w:rsid w:val="000643D9"/>
    <w:rsid w:val="0006485B"/>
    <w:rsid w:val="000653B5"/>
    <w:rsid w:val="00066360"/>
    <w:rsid w:val="00066775"/>
    <w:rsid w:val="00066864"/>
    <w:rsid w:val="00066AF8"/>
    <w:rsid w:val="00067407"/>
    <w:rsid w:val="00067D12"/>
    <w:rsid w:val="0007099E"/>
    <w:rsid w:val="00070F4E"/>
    <w:rsid w:val="00071248"/>
    <w:rsid w:val="00071F48"/>
    <w:rsid w:val="00072086"/>
    <w:rsid w:val="000720B9"/>
    <w:rsid w:val="00073081"/>
    <w:rsid w:val="00073665"/>
    <w:rsid w:val="000737F7"/>
    <w:rsid w:val="000751D2"/>
    <w:rsid w:val="000753B5"/>
    <w:rsid w:val="00075673"/>
    <w:rsid w:val="00075974"/>
    <w:rsid w:val="00075E8F"/>
    <w:rsid w:val="0007603B"/>
    <w:rsid w:val="0007649C"/>
    <w:rsid w:val="0007662A"/>
    <w:rsid w:val="0007672F"/>
    <w:rsid w:val="00076B54"/>
    <w:rsid w:val="000774F0"/>
    <w:rsid w:val="00077B54"/>
    <w:rsid w:val="00077D13"/>
    <w:rsid w:val="0008079D"/>
    <w:rsid w:val="00080909"/>
    <w:rsid w:val="00080B5A"/>
    <w:rsid w:val="000812CA"/>
    <w:rsid w:val="00081B14"/>
    <w:rsid w:val="00081E63"/>
    <w:rsid w:val="00082461"/>
    <w:rsid w:val="0008258D"/>
    <w:rsid w:val="00082AC1"/>
    <w:rsid w:val="000832D8"/>
    <w:rsid w:val="0008366D"/>
    <w:rsid w:val="0008369F"/>
    <w:rsid w:val="00083DC4"/>
    <w:rsid w:val="00083E99"/>
    <w:rsid w:val="000846E8"/>
    <w:rsid w:val="00084DE6"/>
    <w:rsid w:val="00084E08"/>
    <w:rsid w:val="00084FA8"/>
    <w:rsid w:val="000856C5"/>
    <w:rsid w:val="000857AA"/>
    <w:rsid w:val="000858F5"/>
    <w:rsid w:val="00085C31"/>
    <w:rsid w:val="0008634C"/>
    <w:rsid w:val="0008648F"/>
    <w:rsid w:val="00087A6A"/>
    <w:rsid w:val="000902D9"/>
    <w:rsid w:val="00090C7E"/>
    <w:rsid w:val="000910CE"/>
    <w:rsid w:val="000911AC"/>
    <w:rsid w:val="0009132B"/>
    <w:rsid w:val="000916D5"/>
    <w:rsid w:val="00092600"/>
    <w:rsid w:val="0009262B"/>
    <w:rsid w:val="00092842"/>
    <w:rsid w:val="0009325F"/>
    <w:rsid w:val="00093310"/>
    <w:rsid w:val="00093340"/>
    <w:rsid w:val="0009345C"/>
    <w:rsid w:val="0009381E"/>
    <w:rsid w:val="00093BDA"/>
    <w:rsid w:val="00093C73"/>
    <w:rsid w:val="00093D13"/>
    <w:rsid w:val="0009445B"/>
    <w:rsid w:val="0009445C"/>
    <w:rsid w:val="0009495D"/>
    <w:rsid w:val="00095200"/>
    <w:rsid w:val="000956D8"/>
    <w:rsid w:val="00095B96"/>
    <w:rsid w:val="00095FE5"/>
    <w:rsid w:val="000960BF"/>
    <w:rsid w:val="00096284"/>
    <w:rsid w:val="0009746C"/>
    <w:rsid w:val="0009771E"/>
    <w:rsid w:val="000A0057"/>
    <w:rsid w:val="000A0552"/>
    <w:rsid w:val="000A0BCE"/>
    <w:rsid w:val="000A1186"/>
    <w:rsid w:val="000A183D"/>
    <w:rsid w:val="000A1BC0"/>
    <w:rsid w:val="000A1CB1"/>
    <w:rsid w:val="000A21A3"/>
    <w:rsid w:val="000A2501"/>
    <w:rsid w:val="000A265E"/>
    <w:rsid w:val="000A2A05"/>
    <w:rsid w:val="000A2F9E"/>
    <w:rsid w:val="000A32A1"/>
    <w:rsid w:val="000A351F"/>
    <w:rsid w:val="000A36FB"/>
    <w:rsid w:val="000A3816"/>
    <w:rsid w:val="000A3E47"/>
    <w:rsid w:val="000A3F61"/>
    <w:rsid w:val="000A3FCA"/>
    <w:rsid w:val="000A4774"/>
    <w:rsid w:val="000A504A"/>
    <w:rsid w:val="000A5147"/>
    <w:rsid w:val="000A522B"/>
    <w:rsid w:val="000A554A"/>
    <w:rsid w:val="000A561E"/>
    <w:rsid w:val="000A5DBA"/>
    <w:rsid w:val="000A5DBD"/>
    <w:rsid w:val="000A6039"/>
    <w:rsid w:val="000A6190"/>
    <w:rsid w:val="000A7057"/>
    <w:rsid w:val="000A7453"/>
    <w:rsid w:val="000A7687"/>
    <w:rsid w:val="000A7891"/>
    <w:rsid w:val="000A7A7D"/>
    <w:rsid w:val="000A7D08"/>
    <w:rsid w:val="000A7D59"/>
    <w:rsid w:val="000B0121"/>
    <w:rsid w:val="000B0670"/>
    <w:rsid w:val="000B0E75"/>
    <w:rsid w:val="000B1FCA"/>
    <w:rsid w:val="000B2253"/>
    <w:rsid w:val="000B23E7"/>
    <w:rsid w:val="000B2DCB"/>
    <w:rsid w:val="000B367D"/>
    <w:rsid w:val="000B3DA1"/>
    <w:rsid w:val="000B4AB8"/>
    <w:rsid w:val="000B56C1"/>
    <w:rsid w:val="000B572A"/>
    <w:rsid w:val="000B5C1F"/>
    <w:rsid w:val="000B5CE0"/>
    <w:rsid w:val="000B6CAC"/>
    <w:rsid w:val="000B724E"/>
    <w:rsid w:val="000B7612"/>
    <w:rsid w:val="000B76D2"/>
    <w:rsid w:val="000B77A7"/>
    <w:rsid w:val="000B786E"/>
    <w:rsid w:val="000B78AE"/>
    <w:rsid w:val="000B7ACB"/>
    <w:rsid w:val="000B7F01"/>
    <w:rsid w:val="000C0387"/>
    <w:rsid w:val="000C0DB0"/>
    <w:rsid w:val="000C0DBE"/>
    <w:rsid w:val="000C217E"/>
    <w:rsid w:val="000C2516"/>
    <w:rsid w:val="000C2779"/>
    <w:rsid w:val="000C2B91"/>
    <w:rsid w:val="000C35F6"/>
    <w:rsid w:val="000C37AB"/>
    <w:rsid w:val="000C3D19"/>
    <w:rsid w:val="000C3DF9"/>
    <w:rsid w:val="000C4080"/>
    <w:rsid w:val="000C4CF2"/>
    <w:rsid w:val="000C5068"/>
    <w:rsid w:val="000C6713"/>
    <w:rsid w:val="000C7A39"/>
    <w:rsid w:val="000C7CDA"/>
    <w:rsid w:val="000D171F"/>
    <w:rsid w:val="000D1BFC"/>
    <w:rsid w:val="000D1D5D"/>
    <w:rsid w:val="000D1DA6"/>
    <w:rsid w:val="000D2739"/>
    <w:rsid w:val="000D281A"/>
    <w:rsid w:val="000D2848"/>
    <w:rsid w:val="000D28CB"/>
    <w:rsid w:val="000D2C1D"/>
    <w:rsid w:val="000D3155"/>
    <w:rsid w:val="000D326A"/>
    <w:rsid w:val="000D32A9"/>
    <w:rsid w:val="000D42A4"/>
    <w:rsid w:val="000D4490"/>
    <w:rsid w:val="000D4C0F"/>
    <w:rsid w:val="000D51FB"/>
    <w:rsid w:val="000D58E8"/>
    <w:rsid w:val="000D5DF8"/>
    <w:rsid w:val="000D6030"/>
    <w:rsid w:val="000D675B"/>
    <w:rsid w:val="000D7125"/>
    <w:rsid w:val="000D73B5"/>
    <w:rsid w:val="000D7CF8"/>
    <w:rsid w:val="000D7F4C"/>
    <w:rsid w:val="000E0640"/>
    <w:rsid w:val="000E0656"/>
    <w:rsid w:val="000E06CA"/>
    <w:rsid w:val="000E12C0"/>
    <w:rsid w:val="000E135D"/>
    <w:rsid w:val="000E2545"/>
    <w:rsid w:val="000E378E"/>
    <w:rsid w:val="000E42EA"/>
    <w:rsid w:val="000E4422"/>
    <w:rsid w:val="000E49D2"/>
    <w:rsid w:val="000E5537"/>
    <w:rsid w:val="000E576F"/>
    <w:rsid w:val="000E5DB6"/>
    <w:rsid w:val="000E5FE9"/>
    <w:rsid w:val="000E6210"/>
    <w:rsid w:val="000E669B"/>
    <w:rsid w:val="000E6A81"/>
    <w:rsid w:val="000E7194"/>
    <w:rsid w:val="000F00BA"/>
    <w:rsid w:val="000F0F46"/>
    <w:rsid w:val="000F14F0"/>
    <w:rsid w:val="000F316A"/>
    <w:rsid w:val="000F39AE"/>
    <w:rsid w:val="000F3C74"/>
    <w:rsid w:val="000F3D6D"/>
    <w:rsid w:val="000F4179"/>
    <w:rsid w:val="000F4867"/>
    <w:rsid w:val="000F4B4F"/>
    <w:rsid w:val="000F4BB8"/>
    <w:rsid w:val="000F4FA9"/>
    <w:rsid w:val="000F5325"/>
    <w:rsid w:val="000F53FB"/>
    <w:rsid w:val="000F5859"/>
    <w:rsid w:val="000F6A97"/>
    <w:rsid w:val="000F7127"/>
    <w:rsid w:val="000F75D2"/>
    <w:rsid w:val="000F7745"/>
    <w:rsid w:val="000F7B54"/>
    <w:rsid w:val="000F7EE8"/>
    <w:rsid w:val="001000B3"/>
    <w:rsid w:val="001005F5"/>
    <w:rsid w:val="00100F8A"/>
    <w:rsid w:val="00100F91"/>
    <w:rsid w:val="0010195E"/>
    <w:rsid w:val="00101A58"/>
    <w:rsid w:val="00102816"/>
    <w:rsid w:val="00102BC7"/>
    <w:rsid w:val="00102BD5"/>
    <w:rsid w:val="001037B6"/>
    <w:rsid w:val="00103D0A"/>
    <w:rsid w:val="00103EC1"/>
    <w:rsid w:val="0010452E"/>
    <w:rsid w:val="0010463C"/>
    <w:rsid w:val="0010468A"/>
    <w:rsid w:val="00104ABF"/>
    <w:rsid w:val="00104E2E"/>
    <w:rsid w:val="00104E94"/>
    <w:rsid w:val="0010546C"/>
    <w:rsid w:val="001057AA"/>
    <w:rsid w:val="00105AE2"/>
    <w:rsid w:val="00105F48"/>
    <w:rsid w:val="001060C0"/>
    <w:rsid w:val="001060C6"/>
    <w:rsid w:val="00106447"/>
    <w:rsid w:val="00106B80"/>
    <w:rsid w:val="00110221"/>
    <w:rsid w:val="001102A8"/>
    <w:rsid w:val="0011032E"/>
    <w:rsid w:val="001106D4"/>
    <w:rsid w:val="00110904"/>
    <w:rsid w:val="0011094C"/>
    <w:rsid w:val="00110ACA"/>
    <w:rsid w:val="00110B30"/>
    <w:rsid w:val="00110D3D"/>
    <w:rsid w:val="00111BCA"/>
    <w:rsid w:val="0011235B"/>
    <w:rsid w:val="00112E2B"/>
    <w:rsid w:val="00112FDE"/>
    <w:rsid w:val="00113293"/>
    <w:rsid w:val="0011348B"/>
    <w:rsid w:val="0011396E"/>
    <w:rsid w:val="001143ED"/>
    <w:rsid w:val="00114F8B"/>
    <w:rsid w:val="001150B8"/>
    <w:rsid w:val="00115982"/>
    <w:rsid w:val="00115D63"/>
    <w:rsid w:val="00116581"/>
    <w:rsid w:val="00116C53"/>
    <w:rsid w:val="001170FF"/>
    <w:rsid w:val="001203A3"/>
    <w:rsid w:val="00120830"/>
    <w:rsid w:val="00121747"/>
    <w:rsid w:val="00121799"/>
    <w:rsid w:val="00121CC8"/>
    <w:rsid w:val="001222FC"/>
    <w:rsid w:val="001229D0"/>
    <w:rsid w:val="00122A47"/>
    <w:rsid w:val="00122CFF"/>
    <w:rsid w:val="001235B9"/>
    <w:rsid w:val="00123902"/>
    <w:rsid w:val="00124589"/>
    <w:rsid w:val="00124A51"/>
    <w:rsid w:val="001255E3"/>
    <w:rsid w:val="00125EF8"/>
    <w:rsid w:val="00126621"/>
    <w:rsid w:val="00126665"/>
    <w:rsid w:val="00126B1D"/>
    <w:rsid w:val="001273B2"/>
    <w:rsid w:val="0012792E"/>
    <w:rsid w:val="00127CD2"/>
    <w:rsid w:val="001301E9"/>
    <w:rsid w:val="001305D4"/>
    <w:rsid w:val="00130713"/>
    <w:rsid w:val="001314AD"/>
    <w:rsid w:val="001314DD"/>
    <w:rsid w:val="00131770"/>
    <w:rsid w:val="00131D82"/>
    <w:rsid w:val="00132B22"/>
    <w:rsid w:val="00132DB4"/>
    <w:rsid w:val="0013347B"/>
    <w:rsid w:val="00133BEB"/>
    <w:rsid w:val="00133D36"/>
    <w:rsid w:val="00133F0D"/>
    <w:rsid w:val="0013492B"/>
    <w:rsid w:val="001361F6"/>
    <w:rsid w:val="00136723"/>
    <w:rsid w:val="0013678D"/>
    <w:rsid w:val="00136F0E"/>
    <w:rsid w:val="00136FD0"/>
    <w:rsid w:val="0013700B"/>
    <w:rsid w:val="00137645"/>
    <w:rsid w:val="00140086"/>
    <w:rsid w:val="0014015A"/>
    <w:rsid w:val="0014066C"/>
    <w:rsid w:val="001408F1"/>
    <w:rsid w:val="001409D1"/>
    <w:rsid w:val="00140B26"/>
    <w:rsid w:val="00140CE0"/>
    <w:rsid w:val="00140CFB"/>
    <w:rsid w:val="00140E99"/>
    <w:rsid w:val="00141A26"/>
    <w:rsid w:val="00141ED9"/>
    <w:rsid w:val="00143868"/>
    <w:rsid w:val="00143F67"/>
    <w:rsid w:val="001444EE"/>
    <w:rsid w:val="0014459C"/>
    <w:rsid w:val="00145234"/>
    <w:rsid w:val="001452D8"/>
    <w:rsid w:val="00145540"/>
    <w:rsid w:val="001456B0"/>
    <w:rsid w:val="00146D9F"/>
    <w:rsid w:val="001472C0"/>
    <w:rsid w:val="001476B7"/>
    <w:rsid w:val="00151CB2"/>
    <w:rsid w:val="001521C0"/>
    <w:rsid w:val="00152DA4"/>
    <w:rsid w:val="00154071"/>
    <w:rsid w:val="001547AB"/>
    <w:rsid w:val="00154875"/>
    <w:rsid w:val="00154971"/>
    <w:rsid w:val="00156147"/>
    <w:rsid w:val="00156AD5"/>
    <w:rsid w:val="00156AEC"/>
    <w:rsid w:val="00156E93"/>
    <w:rsid w:val="00156F8F"/>
    <w:rsid w:val="00157130"/>
    <w:rsid w:val="00157350"/>
    <w:rsid w:val="001576B1"/>
    <w:rsid w:val="00157ED3"/>
    <w:rsid w:val="0016047B"/>
    <w:rsid w:val="00160A4C"/>
    <w:rsid w:val="00160AF0"/>
    <w:rsid w:val="0016124D"/>
    <w:rsid w:val="00161738"/>
    <w:rsid w:val="00161752"/>
    <w:rsid w:val="00161EC4"/>
    <w:rsid w:val="00162913"/>
    <w:rsid w:val="00162C55"/>
    <w:rsid w:val="00163243"/>
    <w:rsid w:val="00163EFF"/>
    <w:rsid w:val="00163F66"/>
    <w:rsid w:val="0016478E"/>
    <w:rsid w:val="00164827"/>
    <w:rsid w:val="001649F9"/>
    <w:rsid w:val="00165EC4"/>
    <w:rsid w:val="001661FB"/>
    <w:rsid w:val="00166980"/>
    <w:rsid w:val="00166AAE"/>
    <w:rsid w:val="00166CBE"/>
    <w:rsid w:val="001671A0"/>
    <w:rsid w:val="001671FD"/>
    <w:rsid w:val="0016767F"/>
    <w:rsid w:val="00171305"/>
    <w:rsid w:val="00171822"/>
    <w:rsid w:val="001725C1"/>
    <w:rsid w:val="001727BA"/>
    <w:rsid w:val="00172FC2"/>
    <w:rsid w:val="00173565"/>
    <w:rsid w:val="00173B07"/>
    <w:rsid w:val="00174081"/>
    <w:rsid w:val="001747B2"/>
    <w:rsid w:val="00174EE0"/>
    <w:rsid w:val="001751FA"/>
    <w:rsid w:val="00175729"/>
    <w:rsid w:val="00176818"/>
    <w:rsid w:val="00176BBC"/>
    <w:rsid w:val="001777F4"/>
    <w:rsid w:val="00177B11"/>
    <w:rsid w:val="0018056C"/>
    <w:rsid w:val="0018128C"/>
    <w:rsid w:val="001813CD"/>
    <w:rsid w:val="00181C10"/>
    <w:rsid w:val="00181D9C"/>
    <w:rsid w:val="00181ECB"/>
    <w:rsid w:val="001827B5"/>
    <w:rsid w:val="001837FF"/>
    <w:rsid w:val="00183B21"/>
    <w:rsid w:val="00183BE1"/>
    <w:rsid w:val="00184343"/>
    <w:rsid w:val="00184740"/>
    <w:rsid w:val="00184B0E"/>
    <w:rsid w:val="00185329"/>
    <w:rsid w:val="001865CC"/>
    <w:rsid w:val="00186817"/>
    <w:rsid w:val="00186C70"/>
    <w:rsid w:val="001873FC"/>
    <w:rsid w:val="0018752F"/>
    <w:rsid w:val="00187569"/>
    <w:rsid w:val="00187580"/>
    <w:rsid w:val="00187836"/>
    <w:rsid w:val="00187BD1"/>
    <w:rsid w:val="0019007A"/>
    <w:rsid w:val="00190F21"/>
    <w:rsid w:val="00191343"/>
    <w:rsid w:val="00191B8D"/>
    <w:rsid w:val="00191CBB"/>
    <w:rsid w:val="00192F03"/>
    <w:rsid w:val="00192F4F"/>
    <w:rsid w:val="0019305A"/>
    <w:rsid w:val="0019317D"/>
    <w:rsid w:val="001937E3"/>
    <w:rsid w:val="00193838"/>
    <w:rsid w:val="00193BB8"/>
    <w:rsid w:val="00193D31"/>
    <w:rsid w:val="001946B3"/>
    <w:rsid w:val="00194912"/>
    <w:rsid w:val="00194AD8"/>
    <w:rsid w:val="00195222"/>
    <w:rsid w:val="001953E9"/>
    <w:rsid w:val="00195452"/>
    <w:rsid w:val="00195DD1"/>
    <w:rsid w:val="00195F18"/>
    <w:rsid w:val="0019677B"/>
    <w:rsid w:val="00197585"/>
    <w:rsid w:val="001975B4"/>
    <w:rsid w:val="001975D8"/>
    <w:rsid w:val="001A06DD"/>
    <w:rsid w:val="001A178E"/>
    <w:rsid w:val="001A1ABE"/>
    <w:rsid w:val="001A225C"/>
    <w:rsid w:val="001A3349"/>
    <w:rsid w:val="001A3C12"/>
    <w:rsid w:val="001A43FA"/>
    <w:rsid w:val="001A47C5"/>
    <w:rsid w:val="001A48BA"/>
    <w:rsid w:val="001A4A92"/>
    <w:rsid w:val="001A4AF9"/>
    <w:rsid w:val="001A596F"/>
    <w:rsid w:val="001A59FB"/>
    <w:rsid w:val="001A5E9E"/>
    <w:rsid w:val="001A6354"/>
    <w:rsid w:val="001A6366"/>
    <w:rsid w:val="001A688E"/>
    <w:rsid w:val="001A69CB"/>
    <w:rsid w:val="001A6A64"/>
    <w:rsid w:val="001A6DE1"/>
    <w:rsid w:val="001A7971"/>
    <w:rsid w:val="001A7AE8"/>
    <w:rsid w:val="001B035F"/>
    <w:rsid w:val="001B0784"/>
    <w:rsid w:val="001B0D10"/>
    <w:rsid w:val="001B1150"/>
    <w:rsid w:val="001B128D"/>
    <w:rsid w:val="001B1871"/>
    <w:rsid w:val="001B19C1"/>
    <w:rsid w:val="001B2001"/>
    <w:rsid w:val="001B204E"/>
    <w:rsid w:val="001B20F6"/>
    <w:rsid w:val="001B2372"/>
    <w:rsid w:val="001B24D0"/>
    <w:rsid w:val="001B3443"/>
    <w:rsid w:val="001B3E50"/>
    <w:rsid w:val="001B423D"/>
    <w:rsid w:val="001B4520"/>
    <w:rsid w:val="001B4578"/>
    <w:rsid w:val="001B4D20"/>
    <w:rsid w:val="001B4E5B"/>
    <w:rsid w:val="001B4F01"/>
    <w:rsid w:val="001B5918"/>
    <w:rsid w:val="001B60B3"/>
    <w:rsid w:val="001B623E"/>
    <w:rsid w:val="001B686C"/>
    <w:rsid w:val="001B6FF1"/>
    <w:rsid w:val="001B7067"/>
    <w:rsid w:val="001B7339"/>
    <w:rsid w:val="001B7F84"/>
    <w:rsid w:val="001C0750"/>
    <w:rsid w:val="001C09C9"/>
    <w:rsid w:val="001C0D6E"/>
    <w:rsid w:val="001C120E"/>
    <w:rsid w:val="001C12F6"/>
    <w:rsid w:val="001C1874"/>
    <w:rsid w:val="001C1A2E"/>
    <w:rsid w:val="001C2A9B"/>
    <w:rsid w:val="001C3DD6"/>
    <w:rsid w:val="001C4299"/>
    <w:rsid w:val="001C4874"/>
    <w:rsid w:val="001C4B9A"/>
    <w:rsid w:val="001C504C"/>
    <w:rsid w:val="001C531D"/>
    <w:rsid w:val="001C53F1"/>
    <w:rsid w:val="001C5B82"/>
    <w:rsid w:val="001C5F94"/>
    <w:rsid w:val="001C60FF"/>
    <w:rsid w:val="001C6E66"/>
    <w:rsid w:val="001C6F8B"/>
    <w:rsid w:val="001C7EF9"/>
    <w:rsid w:val="001C7F22"/>
    <w:rsid w:val="001D0F7E"/>
    <w:rsid w:val="001D0F8A"/>
    <w:rsid w:val="001D0F9E"/>
    <w:rsid w:val="001D1100"/>
    <w:rsid w:val="001D119F"/>
    <w:rsid w:val="001D1391"/>
    <w:rsid w:val="001D1E34"/>
    <w:rsid w:val="001D25D7"/>
    <w:rsid w:val="001D28A7"/>
    <w:rsid w:val="001D2BA3"/>
    <w:rsid w:val="001D2D61"/>
    <w:rsid w:val="001D33C7"/>
    <w:rsid w:val="001D3457"/>
    <w:rsid w:val="001D40DD"/>
    <w:rsid w:val="001D4585"/>
    <w:rsid w:val="001D483F"/>
    <w:rsid w:val="001D4A72"/>
    <w:rsid w:val="001D50B2"/>
    <w:rsid w:val="001D517C"/>
    <w:rsid w:val="001D56EF"/>
    <w:rsid w:val="001D60C1"/>
    <w:rsid w:val="001D613C"/>
    <w:rsid w:val="001D646B"/>
    <w:rsid w:val="001D68BF"/>
    <w:rsid w:val="001D6AE5"/>
    <w:rsid w:val="001D6B32"/>
    <w:rsid w:val="001D71F4"/>
    <w:rsid w:val="001D73B0"/>
    <w:rsid w:val="001D7645"/>
    <w:rsid w:val="001D7EC3"/>
    <w:rsid w:val="001E12C9"/>
    <w:rsid w:val="001E18E2"/>
    <w:rsid w:val="001E1C4B"/>
    <w:rsid w:val="001E1E86"/>
    <w:rsid w:val="001E238E"/>
    <w:rsid w:val="001E2483"/>
    <w:rsid w:val="001E2B1E"/>
    <w:rsid w:val="001E2B42"/>
    <w:rsid w:val="001E2CFF"/>
    <w:rsid w:val="001E2F24"/>
    <w:rsid w:val="001E2F44"/>
    <w:rsid w:val="001E30D4"/>
    <w:rsid w:val="001E34DF"/>
    <w:rsid w:val="001E52EB"/>
    <w:rsid w:val="001E52F1"/>
    <w:rsid w:val="001E61D2"/>
    <w:rsid w:val="001E68A9"/>
    <w:rsid w:val="001E6A03"/>
    <w:rsid w:val="001E740B"/>
    <w:rsid w:val="001E740C"/>
    <w:rsid w:val="001E793D"/>
    <w:rsid w:val="001F04EF"/>
    <w:rsid w:val="001F086D"/>
    <w:rsid w:val="001F0D29"/>
    <w:rsid w:val="001F0EA1"/>
    <w:rsid w:val="001F1235"/>
    <w:rsid w:val="001F1CB3"/>
    <w:rsid w:val="001F2749"/>
    <w:rsid w:val="001F2E14"/>
    <w:rsid w:val="001F2EAC"/>
    <w:rsid w:val="001F2EFC"/>
    <w:rsid w:val="001F30A7"/>
    <w:rsid w:val="001F3574"/>
    <w:rsid w:val="001F3643"/>
    <w:rsid w:val="001F37A1"/>
    <w:rsid w:val="001F38B5"/>
    <w:rsid w:val="001F3DA3"/>
    <w:rsid w:val="001F4081"/>
    <w:rsid w:val="001F5049"/>
    <w:rsid w:val="001F5292"/>
    <w:rsid w:val="001F5BB0"/>
    <w:rsid w:val="001F6048"/>
    <w:rsid w:val="001F68A4"/>
    <w:rsid w:val="001F6E47"/>
    <w:rsid w:val="001F7361"/>
    <w:rsid w:val="002004E6"/>
    <w:rsid w:val="00200728"/>
    <w:rsid w:val="00200E90"/>
    <w:rsid w:val="002011B0"/>
    <w:rsid w:val="00201F1E"/>
    <w:rsid w:val="00202B52"/>
    <w:rsid w:val="00203181"/>
    <w:rsid w:val="002034AC"/>
    <w:rsid w:val="00203783"/>
    <w:rsid w:val="0020385F"/>
    <w:rsid w:val="00204306"/>
    <w:rsid w:val="00204B42"/>
    <w:rsid w:val="00204CA3"/>
    <w:rsid w:val="00205226"/>
    <w:rsid w:val="0020532E"/>
    <w:rsid w:val="00205B4C"/>
    <w:rsid w:val="002068A0"/>
    <w:rsid w:val="00206BAB"/>
    <w:rsid w:val="00207021"/>
    <w:rsid w:val="0020732F"/>
    <w:rsid w:val="0020741F"/>
    <w:rsid w:val="00207471"/>
    <w:rsid w:val="00207D00"/>
    <w:rsid w:val="002105C1"/>
    <w:rsid w:val="002105F8"/>
    <w:rsid w:val="002108D2"/>
    <w:rsid w:val="002111FD"/>
    <w:rsid w:val="002116FD"/>
    <w:rsid w:val="00211DF1"/>
    <w:rsid w:val="002135F6"/>
    <w:rsid w:val="00213EF5"/>
    <w:rsid w:val="00213FEB"/>
    <w:rsid w:val="0021480A"/>
    <w:rsid w:val="00214A6A"/>
    <w:rsid w:val="00214C60"/>
    <w:rsid w:val="0021513B"/>
    <w:rsid w:val="00215B8F"/>
    <w:rsid w:val="0021669E"/>
    <w:rsid w:val="00216BF5"/>
    <w:rsid w:val="002170F6"/>
    <w:rsid w:val="00217854"/>
    <w:rsid w:val="00217A6E"/>
    <w:rsid w:val="00220206"/>
    <w:rsid w:val="00220EA2"/>
    <w:rsid w:val="00220F13"/>
    <w:rsid w:val="002217A9"/>
    <w:rsid w:val="002222CA"/>
    <w:rsid w:val="0022268C"/>
    <w:rsid w:val="00222949"/>
    <w:rsid w:val="00223ACD"/>
    <w:rsid w:val="00223B49"/>
    <w:rsid w:val="00223D5A"/>
    <w:rsid w:val="00224A66"/>
    <w:rsid w:val="00224A9D"/>
    <w:rsid w:val="00224DD4"/>
    <w:rsid w:val="00225B23"/>
    <w:rsid w:val="0022688A"/>
    <w:rsid w:val="002269CA"/>
    <w:rsid w:val="00226A0E"/>
    <w:rsid w:val="00226EBD"/>
    <w:rsid w:val="00226F54"/>
    <w:rsid w:val="002278A0"/>
    <w:rsid w:val="002309CC"/>
    <w:rsid w:val="002309FF"/>
    <w:rsid w:val="00231594"/>
    <w:rsid w:val="00231B9B"/>
    <w:rsid w:val="00231BA9"/>
    <w:rsid w:val="0023209F"/>
    <w:rsid w:val="00232A79"/>
    <w:rsid w:val="00232BE9"/>
    <w:rsid w:val="0023307B"/>
    <w:rsid w:val="002333E3"/>
    <w:rsid w:val="00233983"/>
    <w:rsid w:val="00233C01"/>
    <w:rsid w:val="0023413C"/>
    <w:rsid w:val="00234219"/>
    <w:rsid w:val="002346F0"/>
    <w:rsid w:val="002347DC"/>
    <w:rsid w:val="002352EB"/>
    <w:rsid w:val="00235449"/>
    <w:rsid w:val="0023629D"/>
    <w:rsid w:val="00236DEC"/>
    <w:rsid w:val="00236F42"/>
    <w:rsid w:val="00237255"/>
    <w:rsid w:val="002376A5"/>
    <w:rsid w:val="00237701"/>
    <w:rsid w:val="0023789C"/>
    <w:rsid w:val="00237A48"/>
    <w:rsid w:val="002400D1"/>
    <w:rsid w:val="00240D90"/>
    <w:rsid w:val="00240DF9"/>
    <w:rsid w:val="0024115F"/>
    <w:rsid w:val="002414F8"/>
    <w:rsid w:val="00241CFB"/>
    <w:rsid w:val="00241D45"/>
    <w:rsid w:val="002424AF"/>
    <w:rsid w:val="00242E6C"/>
    <w:rsid w:val="002433D2"/>
    <w:rsid w:val="002439DC"/>
    <w:rsid w:val="00243F21"/>
    <w:rsid w:val="0024407D"/>
    <w:rsid w:val="002441D2"/>
    <w:rsid w:val="00244788"/>
    <w:rsid w:val="00244D8C"/>
    <w:rsid w:val="00244DC8"/>
    <w:rsid w:val="002458BA"/>
    <w:rsid w:val="00245A02"/>
    <w:rsid w:val="00245B54"/>
    <w:rsid w:val="00245CE9"/>
    <w:rsid w:val="0024632D"/>
    <w:rsid w:val="0024636C"/>
    <w:rsid w:val="00246C1A"/>
    <w:rsid w:val="0024731C"/>
    <w:rsid w:val="0024739A"/>
    <w:rsid w:val="002475AA"/>
    <w:rsid w:val="002478BA"/>
    <w:rsid w:val="00247925"/>
    <w:rsid w:val="00247C53"/>
    <w:rsid w:val="00247D49"/>
    <w:rsid w:val="00250817"/>
    <w:rsid w:val="002509A9"/>
    <w:rsid w:val="00250BA2"/>
    <w:rsid w:val="00250CDC"/>
    <w:rsid w:val="00251006"/>
    <w:rsid w:val="0025172D"/>
    <w:rsid w:val="00251958"/>
    <w:rsid w:val="002524D5"/>
    <w:rsid w:val="0025382C"/>
    <w:rsid w:val="00253B1D"/>
    <w:rsid w:val="002543C2"/>
    <w:rsid w:val="00254441"/>
    <w:rsid w:val="00254C30"/>
    <w:rsid w:val="00254DCF"/>
    <w:rsid w:val="00254F27"/>
    <w:rsid w:val="0025534B"/>
    <w:rsid w:val="00255991"/>
    <w:rsid w:val="00255BB7"/>
    <w:rsid w:val="00255CFC"/>
    <w:rsid w:val="00256931"/>
    <w:rsid w:val="00256A6A"/>
    <w:rsid w:val="00256CCE"/>
    <w:rsid w:val="002574E2"/>
    <w:rsid w:val="00257541"/>
    <w:rsid w:val="0025786A"/>
    <w:rsid w:val="00257A39"/>
    <w:rsid w:val="00257AC4"/>
    <w:rsid w:val="00257BBE"/>
    <w:rsid w:val="002602DE"/>
    <w:rsid w:val="00260948"/>
    <w:rsid w:val="00260C66"/>
    <w:rsid w:val="00261224"/>
    <w:rsid w:val="00261BBC"/>
    <w:rsid w:val="00261EEF"/>
    <w:rsid w:val="002627CF"/>
    <w:rsid w:val="00262A1A"/>
    <w:rsid w:val="00262A87"/>
    <w:rsid w:val="00262ECF"/>
    <w:rsid w:val="002633D8"/>
    <w:rsid w:val="00263959"/>
    <w:rsid w:val="00264526"/>
    <w:rsid w:val="00264843"/>
    <w:rsid w:val="00264D26"/>
    <w:rsid w:val="002650A8"/>
    <w:rsid w:val="00265239"/>
    <w:rsid w:val="002662AD"/>
    <w:rsid w:val="002668E0"/>
    <w:rsid w:val="00267642"/>
    <w:rsid w:val="00267A89"/>
    <w:rsid w:val="00267AEA"/>
    <w:rsid w:val="002700E6"/>
    <w:rsid w:val="00270564"/>
    <w:rsid w:val="002707AD"/>
    <w:rsid w:val="0027091E"/>
    <w:rsid w:val="0027294B"/>
    <w:rsid w:val="00272E19"/>
    <w:rsid w:val="00272FEF"/>
    <w:rsid w:val="0027364F"/>
    <w:rsid w:val="00273C79"/>
    <w:rsid w:val="00273EB4"/>
    <w:rsid w:val="00274035"/>
    <w:rsid w:val="002744CE"/>
    <w:rsid w:val="00274682"/>
    <w:rsid w:val="00274D24"/>
    <w:rsid w:val="00275158"/>
    <w:rsid w:val="0027528C"/>
    <w:rsid w:val="00275BCE"/>
    <w:rsid w:val="00275C5A"/>
    <w:rsid w:val="00276A17"/>
    <w:rsid w:val="00277985"/>
    <w:rsid w:val="00277BE5"/>
    <w:rsid w:val="00277E68"/>
    <w:rsid w:val="00280278"/>
    <w:rsid w:val="0028045F"/>
    <w:rsid w:val="00280A96"/>
    <w:rsid w:val="00281014"/>
    <w:rsid w:val="00281092"/>
    <w:rsid w:val="002812DD"/>
    <w:rsid w:val="002819F2"/>
    <w:rsid w:val="00281BAD"/>
    <w:rsid w:val="00281C10"/>
    <w:rsid w:val="0028287F"/>
    <w:rsid w:val="0028366F"/>
    <w:rsid w:val="0028385F"/>
    <w:rsid w:val="00283A53"/>
    <w:rsid w:val="00283D28"/>
    <w:rsid w:val="00284159"/>
    <w:rsid w:val="00284193"/>
    <w:rsid w:val="00284AD9"/>
    <w:rsid w:val="00285894"/>
    <w:rsid w:val="00285A6F"/>
    <w:rsid w:val="00285BCE"/>
    <w:rsid w:val="00285DF2"/>
    <w:rsid w:val="0028665D"/>
    <w:rsid w:val="0028670B"/>
    <w:rsid w:val="002868C8"/>
    <w:rsid w:val="00286B59"/>
    <w:rsid w:val="00286D57"/>
    <w:rsid w:val="00287C72"/>
    <w:rsid w:val="00287D2F"/>
    <w:rsid w:val="00290DD7"/>
    <w:rsid w:val="00290EC0"/>
    <w:rsid w:val="002911D0"/>
    <w:rsid w:val="0029201B"/>
    <w:rsid w:val="002921E1"/>
    <w:rsid w:val="00292E4A"/>
    <w:rsid w:val="00294359"/>
    <w:rsid w:val="00294CAB"/>
    <w:rsid w:val="00294F38"/>
    <w:rsid w:val="00295287"/>
    <w:rsid w:val="00295484"/>
    <w:rsid w:val="0029562A"/>
    <w:rsid w:val="002959FF"/>
    <w:rsid w:val="00295E69"/>
    <w:rsid w:val="002968D0"/>
    <w:rsid w:val="00296D89"/>
    <w:rsid w:val="00296E1C"/>
    <w:rsid w:val="002974FE"/>
    <w:rsid w:val="002975FF"/>
    <w:rsid w:val="002A0082"/>
    <w:rsid w:val="002A0425"/>
    <w:rsid w:val="002A14AB"/>
    <w:rsid w:val="002A1A89"/>
    <w:rsid w:val="002A1AE2"/>
    <w:rsid w:val="002A2895"/>
    <w:rsid w:val="002A2ADE"/>
    <w:rsid w:val="002A2BE7"/>
    <w:rsid w:val="002A2D42"/>
    <w:rsid w:val="002A2F50"/>
    <w:rsid w:val="002A397A"/>
    <w:rsid w:val="002A44A9"/>
    <w:rsid w:val="002A4792"/>
    <w:rsid w:val="002A4B6A"/>
    <w:rsid w:val="002A5214"/>
    <w:rsid w:val="002A6A25"/>
    <w:rsid w:val="002A6C47"/>
    <w:rsid w:val="002A7943"/>
    <w:rsid w:val="002A7F12"/>
    <w:rsid w:val="002B05A1"/>
    <w:rsid w:val="002B09A4"/>
    <w:rsid w:val="002B0A9D"/>
    <w:rsid w:val="002B1736"/>
    <w:rsid w:val="002B1C1F"/>
    <w:rsid w:val="002B1FCC"/>
    <w:rsid w:val="002B310C"/>
    <w:rsid w:val="002B3F39"/>
    <w:rsid w:val="002B432F"/>
    <w:rsid w:val="002B44AC"/>
    <w:rsid w:val="002B467C"/>
    <w:rsid w:val="002B492B"/>
    <w:rsid w:val="002B536A"/>
    <w:rsid w:val="002B62B3"/>
    <w:rsid w:val="002B65A7"/>
    <w:rsid w:val="002B6754"/>
    <w:rsid w:val="002B6CCE"/>
    <w:rsid w:val="002B7A15"/>
    <w:rsid w:val="002C0350"/>
    <w:rsid w:val="002C0A43"/>
    <w:rsid w:val="002C1A99"/>
    <w:rsid w:val="002C1E01"/>
    <w:rsid w:val="002C1F74"/>
    <w:rsid w:val="002C2510"/>
    <w:rsid w:val="002C2775"/>
    <w:rsid w:val="002C27C1"/>
    <w:rsid w:val="002C337A"/>
    <w:rsid w:val="002C36E3"/>
    <w:rsid w:val="002C3A9A"/>
    <w:rsid w:val="002C3D02"/>
    <w:rsid w:val="002C3F54"/>
    <w:rsid w:val="002C491F"/>
    <w:rsid w:val="002C4BFA"/>
    <w:rsid w:val="002C5099"/>
    <w:rsid w:val="002C50D0"/>
    <w:rsid w:val="002C57B1"/>
    <w:rsid w:val="002C5889"/>
    <w:rsid w:val="002C6C46"/>
    <w:rsid w:val="002C6F49"/>
    <w:rsid w:val="002C71CE"/>
    <w:rsid w:val="002C7CD0"/>
    <w:rsid w:val="002C7E07"/>
    <w:rsid w:val="002D08F8"/>
    <w:rsid w:val="002D11A6"/>
    <w:rsid w:val="002D1222"/>
    <w:rsid w:val="002D1642"/>
    <w:rsid w:val="002D16BB"/>
    <w:rsid w:val="002D19F7"/>
    <w:rsid w:val="002D1B5A"/>
    <w:rsid w:val="002D3951"/>
    <w:rsid w:val="002D4395"/>
    <w:rsid w:val="002D4936"/>
    <w:rsid w:val="002D577C"/>
    <w:rsid w:val="002D5A1F"/>
    <w:rsid w:val="002D6027"/>
    <w:rsid w:val="002D6762"/>
    <w:rsid w:val="002D6803"/>
    <w:rsid w:val="002D685D"/>
    <w:rsid w:val="002D75C2"/>
    <w:rsid w:val="002D7832"/>
    <w:rsid w:val="002D7B85"/>
    <w:rsid w:val="002E042D"/>
    <w:rsid w:val="002E059D"/>
    <w:rsid w:val="002E1071"/>
    <w:rsid w:val="002E15B9"/>
    <w:rsid w:val="002E1D67"/>
    <w:rsid w:val="002E2158"/>
    <w:rsid w:val="002E280C"/>
    <w:rsid w:val="002E2D10"/>
    <w:rsid w:val="002E2FEC"/>
    <w:rsid w:val="002E3974"/>
    <w:rsid w:val="002E4823"/>
    <w:rsid w:val="002E4DDA"/>
    <w:rsid w:val="002E4E02"/>
    <w:rsid w:val="002E4F02"/>
    <w:rsid w:val="002E50A8"/>
    <w:rsid w:val="002E54EA"/>
    <w:rsid w:val="002E5FE1"/>
    <w:rsid w:val="002E60CD"/>
    <w:rsid w:val="002E680F"/>
    <w:rsid w:val="002E7722"/>
    <w:rsid w:val="002E7C16"/>
    <w:rsid w:val="002F04E2"/>
    <w:rsid w:val="002F07BA"/>
    <w:rsid w:val="002F0AA6"/>
    <w:rsid w:val="002F0DA9"/>
    <w:rsid w:val="002F0DB3"/>
    <w:rsid w:val="002F1014"/>
    <w:rsid w:val="002F1E3B"/>
    <w:rsid w:val="002F2276"/>
    <w:rsid w:val="002F258C"/>
    <w:rsid w:val="002F2A45"/>
    <w:rsid w:val="002F403D"/>
    <w:rsid w:val="002F5055"/>
    <w:rsid w:val="002F51F7"/>
    <w:rsid w:val="002F56BA"/>
    <w:rsid w:val="002F643C"/>
    <w:rsid w:val="002F6446"/>
    <w:rsid w:val="002F71C0"/>
    <w:rsid w:val="002F73C9"/>
    <w:rsid w:val="002F74F1"/>
    <w:rsid w:val="002F78F3"/>
    <w:rsid w:val="002F7BDA"/>
    <w:rsid w:val="003002B6"/>
    <w:rsid w:val="00300923"/>
    <w:rsid w:val="00301017"/>
    <w:rsid w:val="003012C1"/>
    <w:rsid w:val="0030155F"/>
    <w:rsid w:val="00301C5F"/>
    <w:rsid w:val="00301E01"/>
    <w:rsid w:val="00302700"/>
    <w:rsid w:val="00302EC7"/>
    <w:rsid w:val="00302F5B"/>
    <w:rsid w:val="00303251"/>
    <w:rsid w:val="003035A1"/>
    <w:rsid w:val="00303714"/>
    <w:rsid w:val="003041BD"/>
    <w:rsid w:val="00305233"/>
    <w:rsid w:val="0030587B"/>
    <w:rsid w:val="00305BD2"/>
    <w:rsid w:val="00306146"/>
    <w:rsid w:val="003062B0"/>
    <w:rsid w:val="00306D98"/>
    <w:rsid w:val="00306DDC"/>
    <w:rsid w:val="003073E0"/>
    <w:rsid w:val="0030786C"/>
    <w:rsid w:val="00307971"/>
    <w:rsid w:val="0031031A"/>
    <w:rsid w:val="00310727"/>
    <w:rsid w:val="003107F3"/>
    <w:rsid w:val="00310981"/>
    <w:rsid w:val="00310DCA"/>
    <w:rsid w:val="00310F2E"/>
    <w:rsid w:val="00310FD8"/>
    <w:rsid w:val="0031124E"/>
    <w:rsid w:val="00311D9B"/>
    <w:rsid w:val="003124D9"/>
    <w:rsid w:val="00312594"/>
    <w:rsid w:val="0031281A"/>
    <w:rsid w:val="0031295F"/>
    <w:rsid w:val="00312D22"/>
    <w:rsid w:val="003138E6"/>
    <w:rsid w:val="00313B95"/>
    <w:rsid w:val="00313FEE"/>
    <w:rsid w:val="003147F8"/>
    <w:rsid w:val="00314AD2"/>
    <w:rsid w:val="00315498"/>
    <w:rsid w:val="00315B6F"/>
    <w:rsid w:val="00315C9F"/>
    <w:rsid w:val="00316281"/>
    <w:rsid w:val="00316474"/>
    <w:rsid w:val="00316A6F"/>
    <w:rsid w:val="00316ACF"/>
    <w:rsid w:val="003173E4"/>
    <w:rsid w:val="003178B0"/>
    <w:rsid w:val="003201B6"/>
    <w:rsid w:val="00320717"/>
    <w:rsid w:val="0032128E"/>
    <w:rsid w:val="00321986"/>
    <w:rsid w:val="00321A2F"/>
    <w:rsid w:val="00321A5F"/>
    <w:rsid w:val="00322107"/>
    <w:rsid w:val="00322330"/>
    <w:rsid w:val="00322355"/>
    <w:rsid w:val="00322846"/>
    <w:rsid w:val="003234B8"/>
    <w:rsid w:val="00323966"/>
    <w:rsid w:val="00323F07"/>
    <w:rsid w:val="00324244"/>
    <w:rsid w:val="00324ECA"/>
    <w:rsid w:val="003251DE"/>
    <w:rsid w:val="0032528E"/>
    <w:rsid w:val="003253F0"/>
    <w:rsid w:val="0032673A"/>
    <w:rsid w:val="00326B36"/>
    <w:rsid w:val="00326DA7"/>
    <w:rsid w:val="003270E4"/>
    <w:rsid w:val="0033010D"/>
    <w:rsid w:val="00330D64"/>
    <w:rsid w:val="00330DAA"/>
    <w:rsid w:val="00330F36"/>
    <w:rsid w:val="00330F5C"/>
    <w:rsid w:val="0033122B"/>
    <w:rsid w:val="00331394"/>
    <w:rsid w:val="00332080"/>
    <w:rsid w:val="00332689"/>
    <w:rsid w:val="00332E28"/>
    <w:rsid w:val="003335D8"/>
    <w:rsid w:val="00333667"/>
    <w:rsid w:val="00333989"/>
    <w:rsid w:val="00334831"/>
    <w:rsid w:val="003366C9"/>
    <w:rsid w:val="00336DD4"/>
    <w:rsid w:val="00336F8D"/>
    <w:rsid w:val="0033707D"/>
    <w:rsid w:val="003371B0"/>
    <w:rsid w:val="00337964"/>
    <w:rsid w:val="003400F3"/>
    <w:rsid w:val="00340168"/>
    <w:rsid w:val="00340A42"/>
    <w:rsid w:val="00340D41"/>
    <w:rsid w:val="00340DF1"/>
    <w:rsid w:val="003411E3"/>
    <w:rsid w:val="00341A43"/>
    <w:rsid w:val="00341C05"/>
    <w:rsid w:val="0034201A"/>
    <w:rsid w:val="00342E73"/>
    <w:rsid w:val="00343167"/>
    <w:rsid w:val="00343B0B"/>
    <w:rsid w:val="00343D6C"/>
    <w:rsid w:val="003442A4"/>
    <w:rsid w:val="003445E5"/>
    <w:rsid w:val="003455E8"/>
    <w:rsid w:val="00345904"/>
    <w:rsid w:val="00345EAC"/>
    <w:rsid w:val="003461AA"/>
    <w:rsid w:val="003467FA"/>
    <w:rsid w:val="00346B35"/>
    <w:rsid w:val="0034786D"/>
    <w:rsid w:val="00347BEC"/>
    <w:rsid w:val="00347CCF"/>
    <w:rsid w:val="00350409"/>
    <w:rsid w:val="00350DD9"/>
    <w:rsid w:val="003517F9"/>
    <w:rsid w:val="00351BA9"/>
    <w:rsid w:val="0035271B"/>
    <w:rsid w:val="003531A0"/>
    <w:rsid w:val="0035324A"/>
    <w:rsid w:val="0035342B"/>
    <w:rsid w:val="00353C20"/>
    <w:rsid w:val="0035451C"/>
    <w:rsid w:val="00354F64"/>
    <w:rsid w:val="00355FEA"/>
    <w:rsid w:val="00356078"/>
    <w:rsid w:val="0035620E"/>
    <w:rsid w:val="00356FED"/>
    <w:rsid w:val="00357132"/>
    <w:rsid w:val="003572F8"/>
    <w:rsid w:val="00357548"/>
    <w:rsid w:val="003575BE"/>
    <w:rsid w:val="00357601"/>
    <w:rsid w:val="00357670"/>
    <w:rsid w:val="00357954"/>
    <w:rsid w:val="00357DF5"/>
    <w:rsid w:val="00360345"/>
    <w:rsid w:val="003611F0"/>
    <w:rsid w:val="00361414"/>
    <w:rsid w:val="00361807"/>
    <w:rsid w:val="00361A05"/>
    <w:rsid w:val="00361EFE"/>
    <w:rsid w:val="00362487"/>
    <w:rsid w:val="003624C4"/>
    <w:rsid w:val="003634A7"/>
    <w:rsid w:val="003639D6"/>
    <w:rsid w:val="00363B00"/>
    <w:rsid w:val="00363B79"/>
    <w:rsid w:val="0036413A"/>
    <w:rsid w:val="003652C0"/>
    <w:rsid w:val="003654AC"/>
    <w:rsid w:val="003656E1"/>
    <w:rsid w:val="00365BB2"/>
    <w:rsid w:val="00365CCE"/>
    <w:rsid w:val="00366666"/>
    <w:rsid w:val="00366D12"/>
    <w:rsid w:val="00366F09"/>
    <w:rsid w:val="00367296"/>
    <w:rsid w:val="00367409"/>
    <w:rsid w:val="003678D9"/>
    <w:rsid w:val="00370B0E"/>
    <w:rsid w:val="003710CF"/>
    <w:rsid w:val="003714EC"/>
    <w:rsid w:val="00371747"/>
    <w:rsid w:val="003725CE"/>
    <w:rsid w:val="00372BED"/>
    <w:rsid w:val="003733A5"/>
    <w:rsid w:val="0037358A"/>
    <w:rsid w:val="00373C00"/>
    <w:rsid w:val="003750DC"/>
    <w:rsid w:val="003750F6"/>
    <w:rsid w:val="003751A0"/>
    <w:rsid w:val="00375322"/>
    <w:rsid w:val="003754C3"/>
    <w:rsid w:val="00375928"/>
    <w:rsid w:val="00375E3F"/>
    <w:rsid w:val="003760FC"/>
    <w:rsid w:val="00376DF9"/>
    <w:rsid w:val="00376F36"/>
    <w:rsid w:val="00376FD0"/>
    <w:rsid w:val="0037708C"/>
    <w:rsid w:val="0037741F"/>
    <w:rsid w:val="00377A46"/>
    <w:rsid w:val="00377B0D"/>
    <w:rsid w:val="00377D6E"/>
    <w:rsid w:val="003805F4"/>
    <w:rsid w:val="00380FDE"/>
    <w:rsid w:val="00381B21"/>
    <w:rsid w:val="00381C36"/>
    <w:rsid w:val="00381CDD"/>
    <w:rsid w:val="00381E3D"/>
    <w:rsid w:val="003820B5"/>
    <w:rsid w:val="0038223B"/>
    <w:rsid w:val="00382D66"/>
    <w:rsid w:val="0038365C"/>
    <w:rsid w:val="0038369B"/>
    <w:rsid w:val="00383B2F"/>
    <w:rsid w:val="00383B78"/>
    <w:rsid w:val="00383BF9"/>
    <w:rsid w:val="00384A3F"/>
    <w:rsid w:val="0038524A"/>
    <w:rsid w:val="003852B7"/>
    <w:rsid w:val="003854CB"/>
    <w:rsid w:val="0038578D"/>
    <w:rsid w:val="00385A9D"/>
    <w:rsid w:val="00386020"/>
    <w:rsid w:val="0038649E"/>
    <w:rsid w:val="00386BE3"/>
    <w:rsid w:val="003870B7"/>
    <w:rsid w:val="00387121"/>
    <w:rsid w:val="00387B74"/>
    <w:rsid w:val="003902B1"/>
    <w:rsid w:val="003905B3"/>
    <w:rsid w:val="0039087E"/>
    <w:rsid w:val="00390A7B"/>
    <w:rsid w:val="0039179C"/>
    <w:rsid w:val="00391A4D"/>
    <w:rsid w:val="003938A7"/>
    <w:rsid w:val="00393A5E"/>
    <w:rsid w:val="00393A74"/>
    <w:rsid w:val="00393C42"/>
    <w:rsid w:val="00393E15"/>
    <w:rsid w:val="00393E6B"/>
    <w:rsid w:val="00394A16"/>
    <w:rsid w:val="0039572E"/>
    <w:rsid w:val="003959B5"/>
    <w:rsid w:val="00395C16"/>
    <w:rsid w:val="0039652E"/>
    <w:rsid w:val="00396896"/>
    <w:rsid w:val="0039695B"/>
    <w:rsid w:val="00396DF9"/>
    <w:rsid w:val="00396E4E"/>
    <w:rsid w:val="00396F49"/>
    <w:rsid w:val="00396FD0"/>
    <w:rsid w:val="003A0210"/>
    <w:rsid w:val="003A0722"/>
    <w:rsid w:val="003A0AF3"/>
    <w:rsid w:val="003A129B"/>
    <w:rsid w:val="003A1451"/>
    <w:rsid w:val="003A1A7A"/>
    <w:rsid w:val="003A1C1B"/>
    <w:rsid w:val="003A1D1E"/>
    <w:rsid w:val="003A20E2"/>
    <w:rsid w:val="003A234F"/>
    <w:rsid w:val="003A2392"/>
    <w:rsid w:val="003A2831"/>
    <w:rsid w:val="003A2B94"/>
    <w:rsid w:val="003A2F69"/>
    <w:rsid w:val="003A3124"/>
    <w:rsid w:val="003A35C9"/>
    <w:rsid w:val="003A3CB6"/>
    <w:rsid w:val="003A3ED1"/>
    <w:rsid w:val="003A3F99"/>
    <w:rsid w:val="003A44DB"/>
    <w:rsid w:val="003A455A"/>
    <w:rsid w:val="003A4C14"/>
    <w:rsid w:val="003A56E1"/>
    <w:rsid w:val="003A5C2F"/>
    <w:rsid w:val="003A67E3"/>
    <w:rsid w:val="003A6D03"/>
    <w:rsid w:val="003A6D33"/>
    <w:rsid w:val="003A772B"/>
    <w:rsid w:val="003B12D8"/>
    <w:rsid w:val="003B1359"/>
    <w:rsid w:val="003B15EE"/>
    <w:rsid w:val="003B19AC"/>
    <w:rsid w:val="003B1A6E"/>
    <w:rsid w:val="003B1F96"/>
    <w:rsid w:val="003B20A0"/>
    <w:rsid w:val="003B20AB"/>
    <w:rsid w:val="003B254D"/>
    <w:rsid w:val="003B29DA"/>
    <w:rsid w:val="003B2FB1"/>
    <w:rsid w:val="003B35B5"/>
    <w:rsid w:val="003B3971"/>
    <w:rsid w:val="003B3EC3"/>
    <w:rsid w:val="003B48E9"/>
    <w:rsid w:val="003B4AB8"/>
    <w:rsid w:val="003B4E8F"/>
    <w:rsid w:val="003B53AE"/>
    <w:rsid w:val="003B55D1"/>
    <w:rsid w:val="003B5B61"/>
    <w:rsid w:val="003B62B3"/>
    <w:rsid w:val="003B7329"/>
    <w:rsid w:val="003C06F6"/>
    <w:rsid w:val="003C0A7C"/>
    <w:rsid w:val="003C1654"/>
    <w:rsid w:val="003C2380"/>
    <w:rsid w:val="003C3036"/>
    <w:rsid w:val="003C3393"/>
    <w:rsid w:val="003C348E"/>
    <w:rsid w:val="003C35E8"/>
    <w:rsid w:val="003C3747"/>
    <w:rsid w:val="003C38C9"/>
    <w:rsid w:val="003C3905"/>
    <w:rsid w:val="003C514F"/>
    <w:rsid w:val="003C5542"/>
    <w:rsid w:val="003C57AD"/>
    <w:rsid w:val="003C5ADB"/>
    <w:rsid w:val="003C60D6"/>
    <w:rsid w:val="003C6AEA"/>
    <w:rsid w:val="003C6E91"/>
    <w:rsid w:val="003C6ED3"/>
    <w:rsid w:val="003C707A"/>
    <w:rsid w:val="003C77E8"/>
    <w:rsid w:val="003C7C15"/>
    <w:rsid w:val="003C7D19"/>
    <w:rsid w:val="003C7D2F"/>
    <w:rsid w:val="003D0C5A"/>
    <w:rsid w:val="003D0E0D"/>
    <w:rsid w:val="003D12D3"/>
    <w:rsid w:val="003D1815"/>
    <w:rsid w:val="003D1828"/>
    <w:rsid w:val="003D1D4B"/>
    <w:rsid w:val="003D1DE4"/>
    <w:rsid w:val="003D1E0D"/>
    <w:rsid w:val="003D1E9A"/>
    <w:rsid w:val="003D201B"/>
    <w:rsid w:val="003D2034"/>
    <w:rsid w:val="003D2422"/>
    <w:rsid w:val="003D248D"/>
    <w:rsid w:val="003D2A12"/>
    <w:rsid w:val="003D2F6A"/>
    <w:rsid w:val="003D2FA3"/>
    <w:rsid w:val="003D31E3"/>
    <w:rsid w:val="003D39A1"/>
    <w:rsid w:val="003D3FB0"/>
    <w:rsid w:val="003D3FBF"/>
    <w:rsid w:val="003D47AB"/>
    <w:rsid w:val="003D4A30"/>
    <w:rsid w:val="003D53D6"/>
    <w:rsid w:val="003D5F60"/>
    <w:rsid w:val="003D71BB"/>
    <w:rsid w:val="003D72CC"/>
    <w:rsid w:val="003D7452"/>
    <w:rsid w:val="003D748E"/>
    <w:rsid w:val="003D79BB"/>
    <w:rsid w:val="003D7C98"/>
    <w:rsid w:val="003D7D9D"/>
    <w:rsid w:val="003D7FA0"/>
    <w:rsid w:val="003E0145"/>
    <w:rsid w:val="003E0266"/>
    <w:rsid w:val="003E02AC"/>
    <w:rsid w:val="003E0543"/>
    <w:rsid w:val="003E05FC"/>
    <w:rsid w:val="003E0DDD"/>
    <w:rsid w:val="003E1724"/>
    <w:rsid w:val="003E1B2F"/>
    <w:rsid w:val="003E1CA6"/>
    <w:rsid w:val="003E1F3D"/>
    <w:rsid w:val="003E26B1"/>
    <w:rsid w:val="003E2934"/>
    <w:rsid w:val="003E2BC8"/>
    <w:rsid w:val="003E2D4E"/>
    <w:rsid w:val="003E3B56"/>
    <w:rsid w:val="003E3CEE"/>
    <w:rsid w:val="003E4271"/>
    <w:rsid w:val="003E46A1"/>
    <w:rsid w:val="003E4DAB"/>
    <w:rsid w:val="003E501A"/>
    <w:rsid w:val="003E5603"/>
    <w:rsid w:val="003E5D2E"/>
    <w:rsid w:val="003E60E4"/>
    <w:rsid w:val="003E6E0D"/>
    <w:rsid w:val="003E71CF"/>
    <w:rsid w:val="003E7219"/>
    <w:rsid w:val="003E749E"/>
    <w:rsid w:val="003E75D7"/>
    <w:rsid w:val="003E7DED"/>
    <w:rsid w:val="003F0CDB"/>
    <w:rsid w:val="003F0D75"/>
    <w:rsid w:val="003F131A"/>
    <w:rsid w:val="003F201D"/>
    <w:rsid w:val="003F214A"/>
    <w:rsid w:val="003F2839"/>
    <w:rsid w:val="003F290D"/>
    <w:rsid w:val="003F2CBF"/>
    <w:rsid w:val="003F3564"/>
    <w:rsid w:val="003F4156"/>
    <w:rsid w:val="003F4C2B"/>
    <w:rsid w:val="003F526F"/>
    <w:rsid w:val="003F5ADF"/>
    <w:rsid w:val="003F5BB8"/>
    <w:rsid w:val="003F5BD9"/>
    <w:rsid w:val="003F67CC"/>
    <w:rsid w:val="003F6FF6"/>
    <w:rsid w:val="003F7238"/>
    <w:rsid w:val="003F735A"/>
    <w:rsid w:val="003F7455"/>
    <w:rsid w:val="003F7926"/>
    <w:rsid w:val="003F796E"/>
    <w:rsid w:val="003F79AD"/>
    <w:rsid w:val="003F7EEA"/>
    <w:rsid w:val="00400114"/>
    <w:rsid w:val="004005F5"/>
    <w:rsid w:val="00400859"/>
    <w:rsid w:val="00400B29"/>
    <w:rsid w:val="00400FBE"/>
    <w:rsid w:val="0040124B"/>
    <w:rsid w:val="004023FC"/>
    <w:rsid w:val="0040246D"/>
    <w:rsid w:val="00402611"/>
    <w:rsid w:val="00402812"/>
    <w:rsid w:val="00402AD3"/>
    <w:rsid w:val="00402CBE"/>
    <w:rsid w:val="0040341F"/>
    <w:rsid w:val="00403627"/>
    <w:rsid w:val="00403E54"/>
    <w:rsid w:val="004041E0"/>
    <w:rsid w:val="00404527"/>
    <w:rsid w:val="00404C7E"/>
    <w:rsid w:val="0040504B"/>
    <w:rsid w:val="004059F4"/>
    <w:rsid w:val="00405F1D"/>
    <w:rsid w:val="00407172"/>
    <w:rsid w:val="00407FE5"/>
    <w:rsid w:val="004101B0"/>
    <w:rsid w:val="00410326"/>
    <w:rsid w:val="00410708"/>
    <w:rsid w:val="00410EC7"/>
    <w:rsid w:val="00411B39"/>
    <w:rsid w:val="00411EDF"/>
    <w:rsid w:val="0041238B"/>
    <w:rsid w:val="004127A7"/>
    <w:rsid w:val="00412DBE"/>
    <w:rsid w:val="00413361"/>
    <w:rsid w:val="004135CF"/>
    <w:rsid w:val="00413A1E"/>
    <w:rsid w:val="00414198"/>
    <w:rsid w:val="00414476"/>
    <w:rsid w:val="00414C2E"/>
    <w:rsid w:val="004151CF"/>
    <w:rsid w:val="00416364"/>
    <w:rsid w:val="004167DF"/>
    <w:rsid w:val="00416FA9"/>
    <w:rsid w:val="0041786E"/>
    <w:rsid w:val="00417EAF"/>
    <w:rsid w:val="00420110"/>
    <w:rsid w:val="0042047F"/>
    <w:rsid w:val="0042080A"/>
    <w:rsid w:val="00420835"/>
    <w:rsid w:val="00420AA6"/>
    <w:rsid w:val="00420B9F"/>
    <w:rsid w:val="00420C59"/>
    <w:rsid w:val="00420E68"/>
    <w:rsid w:val="0042192C"/>
    <w:rsid w:val="00422260"/>
    <w:rsid w:val="0042273F"/>
    <w:rsid w:val="00422B0C"/>
    <w:rsid w:val="00422D5D"/>
    <w:rsid w:val="004232B6"/>
    <w:rsid w:val="00423F22"/>
    <w:rsid w:val="0042413F"/>
    <w:rsid w:val="0042438D"/>
    <w:rsid w:val="00425104"/>
    <w:rsid w:val="0042553A"/>
    <w:rsid w:val="004258B2"/>
    <w:rsid w:val="00426418"/>
    <w:rsid w:val="00427F4C"/>
    <w:rsid w:val="00427FD5"/>
    <w:rsid w:val="00430CBD"/>
    <w:rsid w:val="0043169A"/>
    <w:rsid w:val="004319F8"/>
    <w:rsid w:val="00431B2A"/>
    <w:rsid w:val="00431B43"/>
    <w:rsid w:val="00431E55"/>
    <w:rsid w:val="004321F6"/>
    <w:rsid w:val="00433044"/>
    <w:rsid w:val="004334BF"/>
    <w:rsid w:val="00433546"/>
    <w:rsid w:val="00433670"/>
    <w:rsid w:val="00433850"/>
    <w:rsid w:val="00433F2F"/>
    <w:rsid w:val="00434088"/>
    <w:rsid w:val="004353A0"/>
    <w:rsid w:val="004354BD"/>
    <w:rsid w:val="0043566C"/>
    <w:rsid w:val="00436046"/>
    <w:rsid w:val="0043625E"/>
    <w:rsid w:val="00436D2E"/>
    <w:rsid w:val="00437327"/>
    <w:rsid w:val="00437493"/>
    <w:rsid w:val="004375B9"/>
    <w:rsid w:val="00437C1F"/>
    <w:rsid w:val="004410FE"/>
    <w:rsid w:val="00441701"/>
    <w:rsid w:val="004426B6"/>
    <w:rsid w:val="004428D0"/>
    <w:rsid w:val="0044299B"/>
    <w:rsid w:val="0044339A"/>
    <w:rsid w:val="00443FD7"/>
    <w:rsid w:val="00444185"/>
    <w:rsid w:val="004443A7"/>
    <w:rsid w:val="0044442C"/>
    <w:rsid w:val="004444B3"/>
    <w:rsid w:val="004456AC"/>
    <w:rsid w:val="00445941"/>
    <w:rsid w:val="004461CA"/>
    <w:rsid w:val="004464EB"/>
    <w:rsid w:val="00446F4C"/>
    <w:rsid w:val="004474F5"/>
    <w:rsid w:val="00447C70"/>
    <w:rsid w:val="00447D26"/>
    <w:rsid w:val="00447DFC"/>
    <w:rsid w:val="00447E15"/>
    <w:rsid w:val="00450868"/>
    <w:rsid w:val="00452ACC"/>
    <w:rsid w:val="00452E71"/>
    <w:rsid w:val="00453177"/>
    <w:rsid w:val="0045352F"/>
    <w:rsid w:val="00453B72"/>
    <w:rsid w:val="0045427E"/>
    <w:rsid w:val="00454E6D"/>
    <w:rsid w:val="00455D45"/>
    <w:rsid w:val="00455E17"/>
    <w:rsid w:val="00456286"/>
    <w:rsid w:val="00456FE2"/>
    <w:rsid w:val="00457A1B"/>
    <w:rsid w:val="0046209B"/>
    <w:rsid w:val="00462310"/>
    <w:rsid w:val="00462893"/>
    <w:rsid w:val="004639FD"/>
    <w:rsid w:val="00463E54"/>
    <w:rsid w:val="00464595"/>
    <w:rsid w:val="004645AF"/>
    <w:rsid w:val="00464AD8"/>
    <w:rsid w:val="004658B5"/>
    <w:rsid w:val="00465DFB"/>
    <w:rsid w:val="0046616A"/>
    <w:rsid w:val="00466354"/>
    <w:rsid w:val="004665AA"/>
    <w:rsid w:val="004665F8"/>
    <w:rsid w:val="0046697D"/>
    <w:rsid w:val="00470C72"/>
    <w:rsid w:val="004718B6"/>
    <w:rsid w:val="00471EA5"/>
    <w:rsid w:val="00472530"/>
    <w:rsid w:val="0047262E"/>
    <w:rsid w:val="00472A79"/>
    <w:rsid w:val="00473F19"/>
    <w:rsid w:val="00474924"/>
    <w:rsid w:val="004755B7"/>
    <w:rsid w:val="004756AA"/>
    <w:rsid w:val="00475E22"/>
    <w:rsid w:val="00476890"/>
    <w:rsid w:val="00477AD2"/>
    <w:rsid w:val="00477E57"/>
    <w:rsid w:val="00477F1C"/>
    <w:rsid w:val="0048017F"/>
    <w:rsid w:val="0048072F"/>
    <w:rsid w:val="0048088E"/>
    <w:rsid w:val="00480A08"/>
    <w:rsid w:val="00480B50"/>
    <w:rsid w:val="00480F2B"/>
    <w:rsid w:val="00481067"/>
    <w:rsid w:val="00481362"/>
    <w:rsid w:val="004815C8"/>
    <w:rsid w:val="00481EFA"/>
    <w:rsid w:val="00482720"/>
    <w:rsid w:val="004831C5"/>
    <w:rsid w:val="004835E7"/>
    <w:rsid w:val="00483D59"/>
    <w:rsid w:val="0048406D"/>
    <w:rsid w:val="004844FE"/>
    <w:rsid w:val="00484C02"/>
    <w:rsid w:val="004858E8"/>
    <w:rsid w:val="004859A4"/>
    <w:rsid w:val="004859E1"/>
    <w:rsid w:val="00485BD3"/>
    <w:rsid w:val="00486012"/>
    <w:rsid w:val="004867B4"/>
    <w:rsid w:val="004867E2"/>
    <w:rsid w:val="00486991"/>
    <w:rsid w:val="00486B62"/>
    <w:rsid w:val="00487201"/>
    <w:rsid w:val="00487562"/>
    <w:rsid w:val="00487C43"/>
    <w:rsid w:val="00490113"/>
    <w:rsid w:val="00490A5B"/>
    <w:rsid w:val="00490B17"/>
    <w:rsid w:val="00491035"/>
    <w:rsid w:val="004916EB"/>
    <w:rsid w:val="004919A9"/>
    <w:rsid w:val="00491B3A"/>
    <w:rsid w:val="00491D8B"/>
    <w:rsid w:val="00492064"/>
    <w:rsid w:val="004923CD"/>
    <w:rsid w:val="004928FA"/>
    <w:rsid w:val="00492CFD"/>
    <w:rsid w:val="00494207"/>
    <w:rsid w:val="0049467E"/>
    <w:rsid w:val="00494DD5"/>
    <w:rsid w:val="00495046"/>
    <w:rsid w:val="004952D1"/>
    <w:rsid w:val="00495930"/>
    <w:rsid w:val="00495D36"/>
    <w:rsid w:val="004962D2"/>
    <w:rsid w:val="00496FAA"/>
    <w:rsid w:val="00497EC6"/>
    <w:rsid w:val="004A0240"/>
    <w:rsid w:val="004A0DA1"/>
    <w:rsid w:val="004A13D6"/>
    <w:rsid w:val="004A15FD"/>
    <w:rsid w:val="004A2697"/>
    <w:rsid w:val="004A2841"/>
    <w:rsid w:val="004A2CAF"/>
    <w:rsid w:val="004A389D"/>
    <w:rsid w:val="004A391F"/>
    <w:rsid w:val="004A3E97"/>
    <w:rsid w:val="004A4653"/>
    <w:rsid w:val="004A4F50"/>
    <w:rsid w:val="004A52E9"/>
    <w:rsid w:val="004A56E7"/>
    <w:rsid w:val="004A5D0F"/>
    <w:rsid w:val="004A5D40"/>
    <w:rsid w:val="004A6040"/>
    <w:rsid w:val="004A6597"/>
    <w:rsid w:val="004A74A4"/>
    <w:rsid w:val="004A7799"/>
    <w:rsid w:val="004A7848"/>
    <w:rsid w:val="004A793B"/>
    <w:rsid w:val="004B090E"/>
    <w:rsid w:val="004B0CA4"/>
    <w:rsid w:val="004B10E5"/>
    <w:rsid w:val="004B1511"/>
    <w:rsid w:val="004B153F"/>
    <w:rsid w:val="004B1CB4"/>
    <w:rsid w:val="004B2858"/>
    <w:rsid w:val="004B2D2D"/>
    <w:rsid w:val="004B2F18"/>
    <w:rsid w:val="004B2F7B"/>
    <w:rsid w:val="004B3C47"/>
    <w:rsid w:val="004B3D09"/>
    <w:rsid w:val="004B3DDB"/>
    <w:rsid w:val="004B44FD"/>
    <w:rsid w:val="004B4729"/>
    <w:rsid w:val="004B4A23"/>
    <w:rsid w:val="004B5A17"/>
    <w:rsid w:val="004B5CFC"/>
    <w:rsid w:val="004B63E3"/>
    <w:rsid w:val="004B64BD"/>
    <w:rsid w:val="004B6719"/>
    <w:rsid w:val="004B6D54"/>
    <w:rsid w:val="004B6F79"/>
    <w:rsid w:val="004B72F1"/>
    <w:rsid w:val="004B7449"/>
    <w:rsid w:val="004B7639"/>
    <w:rsid w:val="004B774D"/>
    <w:rsid w:val="004C02D9"/>
    <w:rsid w:val="004C0452"/>
    <w:rsid w:val="004C074B"/>
    <w:rsid w:val="004C0A5A"/>
    <w:rsid w:val="004C0DA7"/>
    <w:rsid w:val="004C1119"/>
    <w:rsid w:val="004C1FBD"/>
    <w:rsid w:val="004C27D1"/>
    <w:rsid w:val="004C282E"/>
    <w:rsid w:val="004C2AC2"/>
    <w:rsid w:val="004C2E54"/>
    <w:rsid w:val="004C2E69"/>
    <w:rsid w:val="004C2E84"/>
    <w:rsid w:val="004C33E4"/>
    <w:rsid w:val="004C34C2"/>
    <w:rsid w:val="004C43FF"/>
    <w:rsid w:val="004C4AED"/>
    <w:rsid w:val="004C4F98"/>
    <w:rsid w:val="004C4FD1"/>
    <w:rsid w:val="004C50E6"/>
    <w:rsid w:val="004C7EAC"/>
    <w:rsid w:val="004D03AB"/>
    <w:rsid w:val="004D0482"/>
    <w:rsid w:val="004D0CDE"/>
    <w:rsid w:val="004D169E"/>
    <w:rsid w:val="004D1BA0"/>
    <w:rsid w:val="004D20FF"/>
    <w:rsid w:val="004D2100"/>
    <w:rsid w:val="004D2C2D"/>
    <w:rsid w:val="004D2FD4"/>
    <w:rsid w:val="004D347D"/>
    <w:rsid w:val="004D368C"/>
    <w:rsid w:val="004D3ED5"/>
    <w:rsid w:val="004D57D8"/>
    <w:rsid w:val="004D59EF"/>
    <w:rsid w:val="004D5DC8"/>
    <w:rsid w:val="004D5FE5"/>
    <w:rsid w:val="004D6257"/>
    <w:rsid w:val="004D62C8"/>
    <w:rsid w:val="004D63A3"/>
    <w:rsid w:val="004D69B5"/>
    <w:rsid w:val="004D7227"/>
    <w:rsid w:val="004D7B5E"/>
    <w:rsid w:val="004D7D97"/>
    <w:rsid w:val="004E06CD"/>
    <w:rsid w:val="004E09F2"/>
    <w:rsid w:val="004E0A3B"/>
    <w:rsid w:val="004E0E7F"/>
    <w:rsid w:val="004E0EB8"/>
    <w:rsid w:val="004E16E1"/>
    <w:rsid w:val="004E18E9"/>
    <w:rsid w:val="004E2068"/>
    <w:rsid w:val="004E283A"/>
    <w:rsid w:val="004E2ADC"/>
    <w:rsid w:val="004E2DC5"/>
    <w:rsid w:val="004E3286"/>
    <w:rsid w:val="004E3FE2"/>
    <w:rsid w:val="004E43B2"/>
    <w:rsid w:val="004E4407"/>
    <w:rsid w:val="004E48B9"/>
    <w:rsid w:val="004E5C14"/>
    <w:rsid w:val="004E5CD2"/>
    <w:rsid w:val="004E6692"/>
    <w:rsid w:val="004E6B02"/>
    <w:rsid w:val="004E6C7F"/>
    <w:rsid w:val="004E762B"/>
    <w:rsid w:val="004E7C7B"/>
    <w:rsid w:val="004F0166"/>
    <w:rsid w:val="004F0D5C"/>
    <w:rsid w:val="004F16E3"/>
    <w:rsid w:val="004F1D02"/>
    <w:rsid w:val="004F2679"/>
    <w:rsid w:val="004F2F21"/>
    <w:rsid w:val="004F3DE5"/>
    <w:rsid w:val="004F40B9"/>
    <w:rsid w:val="004F421C"/>
    <w:rsid w:val="004F461F"/>
    <w:rsid w:val="004F54D6"/>
    <w:rsid w:val="004F580A"/>
    <w:rsid w:val="004F5D7C"/>
    <w:rsid w:val="004F628D"/>
    <w:rsid w:val="004F6746"/>
    <w:rsid w:val="004F6913"/>
    <w:rsid w:val="004F76C2"/>
    <w:rsid w:val="004F7865"/>
    <w:rsid w:val="004F7A27"/>
    <w:rsid w:val="0050047F"/>
    <w:rsid w:val="00500F84"/>
    <w:rsid w:val="005010E1"/>
    <w:rsid w:val="0050174E"/>
    <w:rsid w:val="00501854"/>
    <w:rsid w:val="0050219B"/>
    <w:rsid w:val="005031A4"/>
    <w:rsid w:val="00503F17"/>
    <w:rsid w:val="00503F3A"/>
    <w:rsid w:val="005045CF"/>
    <w:rsid w:val="00504DDA"/>
    <w:rsid w:val="00505067"/>
    <w:rsid w:val="005051A4"/>
    <w:rsid w:val="005059C1"/>
    <w:rsid w:val="0050629F"/>
    <w:rsid w:val="00506928"/>
    <w:rsid w:val="005077EF"/>
    <w:rsid w:val="00507F29"/>
    <w:rsid w:val="0051020D"/>
    <w:rsid w:val="005108A9"/>
    <w:rsid w:val="005113F4"/>
    <w:rsid w:val="0051191A"/>
    <w:rsid w:val="00511AD5"/>
    <w:rsid w:val="00511D31"/>
    <w:rsid w:val="00511DC7"/>
    <w:rsid w:val="00512362"/>
    <w:rsid w:val="00512680"/>
    <w:rsid w:val="005131B3"/>
    <w:rsid w:val="00513D39"/>
    <w:rsid w:val="005141AB"/>
    <w:rsid w:val="005142C5"/>
    <w:rsid w:val="0051501B"/>
    <w:rsid w:val="005152B5"/>
    <w:rsid w:val="00515566"/>
    <w:rsid w:val="00515886"/>
    <w:rsid w:val="005163C3"/>
    <w:rsid w:val="00516A3A"/>
    <w:rsid w:val="00516E8E"/>
    <w:rsid w:val="00520A9E"/>
    <w:rsid w:val="0052123C"/>
    <w:rsid w:val="00521319"/>
    <w:rsid w:val="00521647"/>
    <w:rsid w:val="00521923"/>
    <w:rsid w:val="00521BA8"/>
    <w:rsid w:val="00522BC8"/>
    <w:rsid w:val="00523890"/>
    <w:rsid w:val="00523BAA"/>
    <w:rsid w:val="00523C28"/>
    <w:rsid w:val="00524271"/>
    <w:rsid w:val="00524970"/>
    <w:rsid w:val="00525578"/>
    <w:rsid w:val="005256A5"/>
    <w:rsid w:val="00525765"/>
    <w:rsid w:val="005258CA"/>
    <w:rsid w:val="00525EFE"/>
    <w:rsid w:val="0052639B"/>
    <w:rsid w:val="005265A3"/>
    <w:rsid w:val="00527929"/>
    <w:rsid w:val="0053061F"/>
    <w:rsid w:val="00530D27"/>
    <w:rsid w:val="0053176B"/>
    <w:rsid w:val="00531FD4"/>
    <w:rsid w:val="0053230A"/>
    <w:rsid w:val="00532D56"/>
    <w:rsid w:val="00533666"/>
    <w:rsid w:val="00533FFE"/>
    <w:rsid w:val="0053404A"/>
    <w:rsid w:val="005341A5"/>
    <w:rsid w:val="005341B3"/>
    <w:rsid w:val="0053448F"/>
    <w:rsid w:val="005344DD"/>
    <w:rsid w:val="0053456F"/>
    <w:rsid w:val="005345D8"/>
    <w:rsid w:val="0053580A"/>
    <w:rsid w:val="00536B69"/>
    <w:rsid w:val="00536F42"/>
    <w:rsid w:val="00537123"/>
    <w:rsid w:val="00537182"/>
    <w:rsid w:val="005372C4"/>
    <w:rsid w:val="00537D6B"/>
    <w:rsid w:val="005405DD"/>
    <w:rsid w:val="00540605"/>
    <w:rsid w:val="0054063C"/>
    <w:rsid w:val="00541EDD"/>
    <w:rsid w:val="0054257C"/>
    <w:rsid w:val="00542743"/>
    <w:rsid w:val="005427E7"/>
    <w:rsid w:val="00542C2D"/>
    <w:rsid w:val="00542F44"/>
    <w:rsid w:val="00543126"/>
    <w:rsid w:val="0054330C"/>
    <w:rsid w:val="005433E6"/>
    <w:rsid w:val="00543B4F"/>
    <w:rsid w:val="00543B7F"/>
    <w:rsid w:val="005447D8"/>
    <w:rsid w:val="0054514B"/>
    <w:rsid w:val="0054524D"/>
    <w:rsid w:val="005458A2"/>
    <w:rsid w:val="00546535"/>
    <w:rsid w:val="005471C1"/>
    <w:rsid w:val="005471FD"/>
    <w:rsid w:val="005476DB"/>
    <w:rsid w:val="005478BD"/>
    <w:rsid w:val="00547977"/>
    <w:rsid w:val="005479E3"/>
    <w:rsid w:val="005500F0"/>
    <w:rsid w:val="00550168"/>
    <w:rsid w:val="0055028C"/>
    <w:rsid w:val="005503A2"/>
    <w:rsid w:val="0055112A"/>
    <w:rsid w:val="00551985"/>
    <w:rsid w:val="00552A66"/>
    <w:rsid w:val="00552BD3"/>
    <w:rsid w:val="005532A0"/>
    <w:rsid w:val="00553B56"/>
    <w:rsid w:val="0055457E"/>
    <w:rsid w:val="00554692"/>
    <w:rsid w:val="00554813"/>
    <w:rsid w:val="00555109"/>
    <w:rsid w:val="00555663"/>
    <w:rsid w:val="00555AA6"/>
    <w:rsid w:val="005566FB"/>
    <w:rsid w:val="00556B35"/>
    <w:rsid w:val="00556C05"/>
    <w:rsid w:val="00556CA1"/>
    <w:rsid w:val="0055741A"/>
    <w:rsid w:val="00560078"/>
    <w:rsid w:val="005608CE"/>
    <w:rsid w:val="005611B7"/>
    <w:rsid w:val="005614C6"/>
    <w:rsid w:val="005618D4"/>
    <w:rsid w:val="00561E58"/>
    <w:rsid w:val="00562A24"/>
    <w:rsid w:val="00562C57"/>
    <w:rsid w:val="0056364F"/>
    <w:rsid w:val="00564867"/>
    <w:rsid w:val="005655AD"/>
    <w:rsid w:val="00565C79"/>
    <w:rsid w:val="00565DF0"/>
    <w:rsid w:val="005663E0"/>
    <w:rsid w:val="0056696F"/>
    <w:rsid w:val="0056743F"/>
    <w:rsid w:val="00567AE5"/>
    <w:rsid w:val="00567CDD"/>
    <w:rsid w:val="0057009A"/>
    <w:rsid w:val="00570174"/>
    <w:rsid w:val="005708EF"/>
    <w:rsid w:val="00570F65"/>
    <w:rsid w:val="005718D5"/>
    <w:rsid w:val="00572269"/>
    <w:rsid w:val="0057244A"/>
    <w:rsid w:val="00572F26"/>
    <w:rsid w:val="005734DB"/>
    <w:rsid w:val="005735C9"/>
    <w:rsid w:val="005742BB"/>
    <w:rsid w:val="00574C05"/>
    <w:rsid w:val="005750C5"/>
    <w:rsid w:val="005752DE"/>
    <w:rsid w:val="005758D5"/>
    <w:rsid w:val="00575974"/>
    <w:rsid w:val="00575D60"/>
    <w:rsid w:val="00575D8D"/>
    <w:rsid w:val="00575FFA"/>
    <w:rsid w:val="00576662"/>
    <w:rsid w:val="00576972"/>
    <w:rsid w:val="005770F5"/>
    <w:rsid w:val="00577248"/>
    <w:rsid w:val="00577558"/>
    <w:rsid w:val="005777C8"/>
    <w:rsid w:val="00580264"/>
    <w:rsid w:val="0058082B"/>
    <w:rsid w:val="00580894"/>
    <w:rsid w:val="0058264B"/>
    <w:rsid w:val="0058283B"/>
    <w:rsid w:val="00582FB2"/>
    <w:rsid w:val="00583699"/>
    <w:rsid w:val="0058395B"/>
    <w:rsid w:val="005844BE"/>
    <w:rsid w:val="00584ACC"/>
    <w:rsid w:val="00584E16"/>
    <w:rsid w:val="005850B0"/>
    <w:rsid w:val="005851FE"/>
    <w:rsid w:val="00585CDD"/>
    <w:rsid w:val="00585DD9"/>
    <w:rsid w:val="00585EF5"/>
    <w:rsid w:val="005863AB"/>
    <w:rsid w:val="005865D3"/>
    <w:rsid w:val="00586C37"/>
    <w:rsid w:val="00587058"/>
    <w:rsid w:val="00587390"/>
    <w:rsid w:val="0058777F"/>
    <w:rsid w:val="00587BF6"/>
    <w:rsid w:val="0059050C"/>
    <w:rsid w:val="00590599"/>
    <w:rsid w:val="005908FA"/>
    <w:rsid w:val="00590B70"/>
    <w:rsid w:val="005910A8"/>
    <w:rsid w:val="00591957"/>
    <w:rsid w:val="00591E7D"/>
    <w:rsid w:val="00591E87"/>
    <w:rsid w:val="005933DD"/>
    <w:rsid w:val="005943AA"/>
    <w:rsid w:val="005944D4"/>
    <w:rsid w:val="00594F77"/>
    <w:rsid w:val="0059504D"/>
    <w:rsid w:val="00595574"/>
    <w:rsid w:val="0059565B"/>
    <w:rsid w:val="005957B8"/>
    <w:rsid w:val="005970B8"/>
    <w:rsid w:val="0059798D"/>
    <w:rsid w:val="00597BF9"/>
    <w:rsid w:val="005A09F7"/>
    <w:rsid w:val="005A0A3A"/>
    <w:rsid w:val="005A0C11"/>
    <w:rsid w:val="005A1161"/>
    <w:rsid w:val="005A1799"/>
    <w:rsid w:val="005A1EEA"/>
    <w:rsid w:val="005A209F"/>
    <w:rsid w:val="005A289D"/>
    <w:rsid w:val="005A309A"/>
    <w:rsid w:val="005A373D"/>
    <w:rsid w:val="005A3AF1"/>
    <w:rsid w:val="005A3C88"/>
    <w:rsid w:val="005A3D61"/>
    <w:rsid w:val="005A5CB0"/>
    <w:rsid w:val="005A65DB"/>
    <w:rsid w:val="005A7DB9"/>
    <w:rsid w:val="005B0330"/>
    <w:rsid w:val="005B067F"/>
    <w:rsid w:val="005B0B58"/>
    <w:rsid w:val="005B0EFE"/>
    <w:rsid w:val="005B1162"/>
    <w:rsid w:val="005B1728"/>
    <w:rsid w:val="005B1A3D"/>
    <w:rsid w:val="005B26C5"/>
    <w:rsid w:val="005B28E0"/>
    <w:rsid w:val="005B325B"/>
    <w:rsid w:val="005B3FE1"/>
    <w:rsid w:val="005B47E8"/>
    <w:rsid w:val="005B489D"/>
    <w:rsid w:val="005B4E53"/>
    <w:rsid w:val="005B570D"/>
    <w:rsid w:val="005B57CD"/>
    <w:rsid w:val="005B5857"/>
    <w:rsid w:val="005B5977"/>
    <w:rsid w:val="005B6035"/>
    <w:rsid w:val="005B62AA"/>
    <w:rsid w:val="005B657C"/>
    <w:rsid w:val="005B6886"/>
    <w:rsid w:val="005B7B4B"/>
    <w:rsid w:val="005C01A5"/>
    <w:rsid w:val="005C0923"/>
    <w:rsid w:val="005C13F8"/>
    <w:rsid w:val="005C14C7"/>
    <w:rsid w:val="005C1686"/>
    <w:rsid w:val="005C19C4"/>
    <w:rsid w:val="005C1B83"/>
    <w:rsid w:val="005C1CA7"/>
    <w:rsid w:val="005C25FF"/>
    <w:rsid w:val="005C2B48"/>
    <w:rsid w:val="005C2D55"/>
    <w:rsid w:val="005C33DE"/>
    <w:rsid w:val="005C346B"/>
    <w:rsid w:val="005C4A31"/>
    <w:rsid w:val="005C4E06"/>
    <w:rsid w:val="005C5228"/>
    <w:rsid w:val="005C554A"/>
    <w:rsid w:val="005C5643"/>
    <w:rsid w:val="005C57AB"/>
    <w:rsid w:val="005C58F1"/>
    <w:rsid w:val="005C5ABC"/>
    <w:rsid w:val="005C5D95"/>
    <w:rsid w:val="005C62D6"/>
    <w:rsid w:val="005C653A"/>
    <w:rsid w:val="005C6643"/>
    <w:rsid w:val="005C6A98"/>
    <w:rsid w:val="005C6B87"/>
    <w:rsid w:val="005C6B90"/>
    <w:rsid w:val="005C7F06"/>
    <w:rsid w:val="005D044D"/>
    <w:rsid w:val="005D0699"/>
    <w:rsid w:val="005D0940"/>
    <w:rsid w:val="005D0955"/>
    <w:rsid w:val="005D0ABD"/>
    <w:rsid w:val="005D112E"/>
    <w:rsid w:val="005D18AD"/>
    <w:rsid w:val="005D1950"/>
    <w:rsid w:val="005D1C82"/>
    <w:rsid w:val="005D225B"/>
    <w:rsid w:val="005D2498"/>
    <w:rsid w:val="005D26B4"/>
    <w:rsid w:val="005D2BE1"/>
    <w:rsid w:val="005D426C"/>
    <w:rsid w:val="005D4A7F"/>
    <w:rsid w:val="005D5C47"/>
    <w:rsid w:val="005D5DD6"/>
    <w:rsid w:val="005D61BC"/>
    <w:rsid w:val="005D6952"/>
    <w:rsid w:val="005D7A05"/>
    <w:rsid w:val="005E0098"/>
    <w:rsid w:val="005E1995"/>
    <w:rsid w:val="005E1C18"/>
    <w:rsid w:val="005E312B"/>
    <w:rsid w:val="005E498B"/>
    <w:rsid w:val="005E4A7D"/>
    <w:rsid w:val="005E5B24"/>
    <w:rsid w:val="005E5CCA"/>
    <w:rsid w:val="005E64F1"/>
    <w:rsid w:val="005E6A66"/>
    <w:rsid w:val="005E6CBC"/>
    <w:rsid w:val="005E72FF"/>
    <w:rsid w:val="005E73C0"/>
    <w:rsid w:val="005E7EF0"/>
    <w:rsid w:val="005F0704"/>
    <w:rsid w:val="005F07ED"/>
    <w:rsid w:val="005F1211"/>
    <w:rsid w:val="005F2374"/>
    <w:rsid w:val="005F2432"/>
    <w:rsid w:val="005F2506"/>
    <w:rsid w:val="005F260A"/>
    <w:rsid w:val="005F2706"/>
    <w:rsid w:val="005F2BBD"/>
    <w:rsid w:val="005F31EC"/>
    <w:rsid w:val="005F4687"/>
    <w:rsid w:val="005F4745"/>
    <w:rsid w:val="005F4C29"/>
    <w:rsid w:val="005F4D6D"/>
    <w:rsid w:val="005F5C4A"/>
    <w:rsid w:val="005F653A"/>
    <w:rsid w:val="005F6A8F"/>
    <w:rsid w:val="005F6BB7"/>
    <w:rsid w:val="005F6CD2"/>
    <w:rsid w:val="005F7183"/>
    <w:rsid w:val="005F7588"/>
    <w:rsid w:val="005F7F90"/>
    <w:rsid w:val="00600732"/>
    <w:rsid w:val="00600B75"/>
    <w:rsid w:val="0060112A"/>
    <w:rsid w:val="00601B56"/>
    <w:rsid w:val="0060221A"/>
    <w:rsid w:val="00602299"/>
    <w:rsid w:val="0060318B"/>
    <w:rsid w:val="00603795"/>
    <w:rsid w:val="00603DB9"/>
    <w:rsid w:val="00604B72"/>
    <w:rsid w:val="00604FB7"/>
    <w:rsid w:val="006057DC"/>
    <w:rsid w:val="0060599E"/>
    <w:rsid w:val="006067F3"/>
    <w:rsid w:val="00606FBA"/>
    <w:rsid w:val="00607669"/>
    <w:rsid w:val="006076F4"/>
    <w:rsid w:val="00607A47"/>
    <w:rsid w:val="00607AFD"/>
    <w:rsid w:val="006104C3"/>
    <w:rsid w:val="00610655"/>
    <w:rsid w:val="0061081D"/>
    <w:rsid w:val="00610EED"/>
    <w:rsid w:val="00610F62"/>
    <w:rsid w:val="00611022"/>
    <w:rsid w:val="0061128F"/>
    <w:rsid w:val="0061159F"/>
    <w:rsid w:val="00611A3C"/>
    <w:rsid w:val="00611B12"/>
    <w:rsid w:val="00612200"/>
    <w:rsid w:val="00612866"/>
    <w:rsid w:val="006128D7"/>
    <w:rsid w:val="00612950"/>
    <w:rsid w:val="00612F97"/>
    <w:rsid w:val="00613359"/>
    <w:rsid w:val="0061345D"/>
    <w:rsid w:val="006140BF"/>
    <w:rsid w:val="006148ED"/>
    <w:rsid w:val="00615473"/>
    <w:rsid w:val="0061549B"/>
    <w:rsid w:val="00616802"/>
    <w:rsid w:val="00616E10"/>
    <w:rsid w:val="006175A2"/>
    <w:rsid w:val="00617AD7"/>
    <w:rsid w:val="00617E12"/>
    <w:rsid w:val="006209B1"/>
    <w:rsid w:val="00620C25"/>
    <w:rsid w:val="00621477"/>
    <w:rsid w:val="00621ADA"/>
    <w:rsid w:val="00621D65"/>
    <w:rsid w:val="00622400"/>
    <w:rsid w:val="00622B44"/>
    <w:rsid w:val="00623568"/>
    <w:rsid w:val="00623936"/>
    <w:rsid w:val="00623B9B"/>
    <w:rsid w:val="00623F7B"/>
    <w:rsid w:val="00624020"/>
    <w:rsid w:val="006244AA"/>
    <w:rsid w:val="00624BD4"/>
    <w:rsid w:val="006253C4"/>
    <w:rsid w:val="00626C41"/>
    <w:rsid w:val="006272F5"/>
    <w:rsid w:val="00627839"/>
    <w:rsid w:val="0063158F"/>
    <w:rsid w:val="00631D6B"/>
    <w:rsid w:val="00632183"/>
    <w:rsid w:val="00632F59"/>
    <w:rsid w:val="006330A1"/>
    <w:rsid w:val="00633562"/>
    <w:rsid w:val="00633683"/>
    <w:rsid w:val="0063479F"/>
    <w:rsid w:val="00634870"/>
    <w:rsid w:val="00634DE8"/>
    <w:rsid w:val="00635047"/>
    <w:rsid w:val="006353F0"/>
    <w:rsid w:val="00635593"/>
    <w:rsid w:val="0063569C"/>
    <w:rsid w:val="006357B5"/>
    <w:rsid w:val="00635DA0"/>
    <w:rsid w:val="00635F75"/>
    <w:rsid w:val="006364A1"/>
    <w:rsid w:val="0063678E"/>
    <w:rsid w:val="00636864"/>
    <w:rsid w:val="006375E5"/>
    <w:rsid w:val="00637BFD"/>
    <w:rsid w:val="00637C5C"/>
    <w:rsid w:val="00637F36"/>
    <w:rsid w:val="006414D4"/>
    <w:rsid w:val="00641A39"/>
    <w:rsid w:val="00641C4E"/>
    <w:rsid w:val="00641D82"/>
    <w:rsid w:val="00641FB3"/>
    <w:rsid w:val="006421B1"/>
    <w:rsid w:val="006426B8"/>
    <w:rsid w:val="006426BF"/>
    <w:rsid w:val="00642A0D"/>
    <w:rsid w:val="006434E4"/>
    <w:rsid w:val="0064434C"/>
    <w:rsid w:val="00644868"/>
    <w:rsid w:val="00644ED6"/>
    <w:rsid w:val="0064512A"/>
    <w:rsid w:val="00645E96"/>
    <w:rsid w:val="006471CC"/>
    <w:rsid w:val="006472FE"/>
    <w:rsid w:val="00647A29"/>
    <w:rsid w:val="0065079F"/>
    <w:rsid w:val="00650A41"/>
    <w:rsid w:val="00650CCE"/>
    <w:rsid w:val="00650FC0"/>
    <w:rsid w:val="00652028"/>
    <w:rsid w:val="00652482"/>
    <w:rsid w:val="006525CF"/>
    <w:rsid w:val="00652A28"/>
    <w:rsid w:val="0065379F"/>
    <w:rsid w:val="0065391F"/>
    <w:rsid w:val="00653E7C"/>
    <w:rsid w:val="006540A3"/>
    <w:rsid w:val="00654345"/>
    <w:rsid w:val="00654CC3"/>
    <w:rsid w:val="00654CD6"/>
    <w:rsid w:val="00654F52"/>
    <w:rsid w:val="00656188"/>
    <w:rsid w:val="006568C7"/>
    <w:rsid w:val="00656D3E"/>
    <w:rsid w:val="0065715A"/>
    <w:rsid w:val="00660869"/>
    <w:rsid w:val="00660A13"/>
    <w:rsid w:val="006610F1"/>
    <w:rsid w:val="00661588"/>
    <w:rsid w:val="0066183B"/>
    <w:rsid w:val="00661C6B"/>
    <w:rsid w:val="006622EA"/>
    <w:rsid w:val="0066234C"/>
    <w:rsid w:val="00662A9A"/>
    <w:rsid w:val="00662D3E"/>
    <w:rsid w:val="006637D9"/>
    <w:rsid w:val="00664683"/>
    <w:rsid w:val="00664963"/>
    <w:rsid w:val="00664AD5"/>
    <w:rsid w:val="0066591C"/>
    <w:rsid w:val="00665EF6"/>
    <w:rsid w:val="006665BA"/>
    <w:rsid w:val="00666FED"/>
    <w:rsid w:val="00667BE3"/>
    <w:rsid w:val="00667D3B"/>
    <w:rsid w:val="0067048A"/>
    <w:rsid w:val="00670AB5"/>
    <w:rsid w:val="00670CA1"/>
    <w:rsid w:val="00671004"/>
    <w:rsid w:val="00671A9E"/>
    <w:rsid w:val="00671C5F"/>
    <w:rsid w:val="00671EBD"/>
    <w:rsid w:val="00672646"/>
    <w:rsid w:val="00672F0F"/>
    <w:rsid w:val="00673040"/>
    <w:rsid w:val="006730A8"/>
    <w:rsid w:val="00673257"/>
    <w:rsid w:val="00673282"/>
    <w:rsid w:val="00673B01"/>
    <w:rsid w:val="00674014"/>
    <w:rsid w:val="006746E0"/>
    <w:rsid w:val="00674E42"/>
    <w:rsid w:val="00675EBB"/>
    <w:rsid w:val="006760BD"/>
    <w:rsid w:val="00676563"/>
    <w:rsid w:val="006769B2"/>
    <w:rsid w:val="00676A2F"/>
    <w:rsid w:val="006779CC"/>
    <w:rsid w:val="00680439"/>
    <w:rsid w:val="006813F8"/>
    <w:rsid w:val="006819C0"/>
    <w:rsid w:val="00681F78"/>
    <w:rsid w:val="00682112"/>
    <w:rsid w:val="00682451"/>
    <w:rsid w:val="0068256C"/>
    <w:rsid w:val="00682BA6"/>
    <w:rsid w:val="006837CD"/>
    <w:rsid w:val="00684015"/>
    <w:rsid w:val="00684674"/>
    <w:rsid w:val="00685755"/>
    <w:rsid w:val="00685CDF"/>
    <w:rsid w:val="0068638C"/>
    <w:rsid w:val="006866FF"/>
    <w:rsid w:val="00686957"/>
    <w:rsid w:val="00686BD1"/>
    <w:rsid w:val="006872BA"/>
    <w:rsid w:val="006879FE"/>
    <w:rsid w:val="00687BC5"/>
    <w:rsid w:val="00687E8B"/>
    <w:rsid w:val="00690795"/>
    <w:rsid w:val="00691648"/>
    <w:rsid w:val="006916E7"/>
    <w:rsid w:val="006917D7"/>
    <w:rsid w:val="0069188C"/>
    <w:rsid w:val="00691AB2"/>
    <w:rsid w:val="00692807"/>
    <w:rsid w:val="00693CDD"/>
    <w:rsid w:val="0069434C"/>
    <w:rsid w:val="006949F3"/>
    <w:rsid w:val="00694B8B"/>
    <w:rsid w:val="00694F44"/>
    <w:rsid w:val="00694FAA"/>
    <w:rsid w:val="006953C7"/>
    <w:rsid w:val="00695689"/>
    <w:rsid w:val="00695A45"/>
    <w:rsid w:val="00696544"/>
    <w:rsid w:val="00696BCA"/>
    <w:rsid w:val="00696C1E"/>
    <w:rsid w:val="00696E50"/>
    <w:rsid w:val="00696ED6"/>
    <w:rsid w:val="00696EF9"/>
    <w:rsid w:val="00696F51"/>
    <w:rsid w:val="00697724"/>
    <w:rsid w:val="006977D4"/>
    <w:rsid w:val="006979A5"/>
    <w:rsid w:val="006A016F"/>
    <w:rsid w:val="006A0919"/>
    <w:rsid w:val="006A0DF7"/>
    <w:rsid w:val="006A1067"/>
    <w:rsid w:val="006A1243"/>
    <w:rsid w:val="006A180C"/>
    <w:rsid w:val="006A1CDE"/>
    <w:rsid w:val="006A1E93"/>
    <w:rsid w:val="006A1F8F"/>
    <w:rsid w:val="006A3278"/>
    <w:rsid w:val="006A3675"/>
    <w:rsid w:val="006A3719"/>
    <w:rsid w:val="006A3DAC"/>
    <w:rsid w:val="006A3E61"/>
    <w:rsid w:val="006A4321"/>
    <w:rsid w:val="006A43D9"/>
    <w:rsid w:val="006A4F10"/>
    <w:rsid w:val="006A5D10"/>
    <w:rsid w:val="006A5DFC"/>
    <w:rsid w:val="006A6202"/>
    <w:rsid w:val="006A685A"/>
    <w:rsid w:val="006A6941"/>
    <w:rsid w:val="006A6B99"/>
    <w:rsid w:val="006A6C06"/>
    <w:rsid w:val="006A6E3D"/>
    <w:rsid w:val="006A6EBD"/>
    <w:rsid w:val="006A7E5F"/>
    <w:rsid w:val="006B0510"/>
    <w:rsid w:val="006B09BF"/>
    <w:rsid w:val="006B0C47"/>
    <w:rsid w:val="006B0E86"/>
    <w:rsid w:val="006B1094"/>
    <w:rsid w:val="006B22E6"/>
    <w:rsid w:val="006B261B"/>
    <w:rsid w:val="006B2C90"/>
    <w:rsid w:val="006B2D70"/>
    <w:rsid w:val="006B2D7C"/>
    <w:rsid w:val="006B2ED4"/>
    <w:rsid w:val="006B303C"/>
    <w:rsid w:val="006B35E6"/>
    <w:rsid w:val="006B38D5"/>
    <w:rsid w:val="006B3A29"/>
    <w:rsid w:val="006B41AC"/>
    <w:rsid w:val="006B465A"/>
    <w:rsid w:val="006B4A78"/>
    <w:rsid w:val="006B4C4C"/>
    <w:rsid w:val="006B4CB3"/>
    <w:rsid w:val="006B5584"/>
    <w:rsid w:val="006B5665"/>
    <w:rsid w:val="006B5A9A"/>
    <w:rsid w:val="006B5C27"/>
    <w:rsid w:val="006B6DD0"/>
    <w:rsid w:val="006B73F1"/>
    <w:rsid w:val="006C0399"/>
    <w:rsid w:val="006C18B4"/>
    <w:rsid w:val="006C265F"/>
    <w:rsid w:val="006C2A3B"/>
    <w:rsid w:val="006C2A8E"/>
    <w:rsid w:val="006C2A98"/>
    <w:rsid w:val="006C2C6C"/>
    <w:rsid w:val="006C3255"/>
    <w:rsid w:val="006C34ED"/>
    <w:rsid w:val="006C36D2"/>
    <w:rsid w:val="006C3F26"/>
    <w:rsid w:val="006C4AA8"/>
    <w:rsid w:val="006C4AC4"/>
    <w:rsid w:val="006C6551"/>
    <w:rsid w:val="006C73D3"/>
    <w:rsid w:val="006C7851"/>
    <w:rsid w:val="006C7DA5"/>
    <w:rsid w:val="006D0D17"/>
    <w:rsid w:val="006D0DCB"/>
    <w:rsid w:val="006D1037"/>
    <w:rsid w:val="006D19FB"/>
    <w:rsid w:val="006D209D"/>
    <w:rsid w:val="006D27D2"/>
    <w:rsid w:val="006D2AF8"/>
    <w:rsid w:val="006D32B3"/>
    <w:rsid w:val="006D389C"/>
    <w:rsid w:val="006D3C7D"/>
    <w:rsid w:val="006D4659"/>
    <w:rsid w:val="006D46B9"/>
    <w:rsid w:val="006D474D"/>
    <w:rsid w:val="006D49F2"/>
    <w:rsid w:val="006D538F"/>
    <w:rsid w:val="006D597B"/>
    <w:rsid w:val="006D59CE"/>
    <w:rsid w:val="006D5D5F"/>
    <w:rsid w:val="006D61C0"/>
    <w:rsid w:val="006D648A"/>
    <w:rsid w:val="006D68FB"/>
    <w:rsid w:val="006D6947"/>
    <w:rsid w:val="006D7475"/>
    <w:rsid w:val="006D7867"/>
    <w:rsid w:val="006D7AF6"/>
    <w:rsid w:val="006D7CF1"/>
    <w:rsid w:val="006E074D"/>
    <w:rsid w:val="006E0BC3"/>
    <w:rsid w:val="006E0C56"/>
    <w:rsid w:val="006E12F6"/>
    <w:rsid w:val="006E1C65"/>
    <w:rsid w:val="006E2868"/>
    <w:rsid w:val="006E31F8"/>
    <w:rsid w:val="006E3C56"/>
    <w:rsid w:val="006E3E44"/>
    <w:rsid w:val="006E4939"/>
    <w:rsid w:val="006E4DF6"/>
    <w:rsid w:val="006E4F7C"/>
    <w:rsid w:val="006E5E7F"/>
    <w:rsid w:val="006E5EA0"/>
    <w:rsid w:val="006E63FF"/>
    <w:rsid w:val="006E68B3"/>
    <w:rsid w:val="006E74B2"/>
    <w:rsid w:val="006E7521"/>
    <w:rsid w:val="006E791F"/>
    <w:rsid w:val="006E7B00"/>
    <w:rsid w:val="006E7B3B"/>
    <w:rsid w:val="006F0077"/>
    <w:rsid w:val="006F05C7"/>
    <w:rsid w:val="006F0614"/>
    <w:rsid w:val="006F0F38"/>
    <w:rsid w:val="006F1357"/>
    <w:rsid w:val="006F28BA"/>
    <w:rsid w:val="006F306C"/>
    <w:rsid w:val="006F404F"/>
    <w:rsid w:val="006F47ED"/>
    <w:rsid w:val="006F4DE7"/>
    <w:rsid w:val="006F55A8"/>
    <w:rsid w:val="006F6102"/>
    <w:rsid w:val="006F63A5"/>
    <w:rsid w:val="006F6749"/>
    <w:rsid w:val="006F751F"/>
    <w:rsid w:val="0070064C"/>
    <w:rsid w:val="0070142B"/>
    <w:rsid w:val="00701662"/>
    <w:rsid w:val="007019F3"/>
    <w:rsid w:val="00702155"/>
    <w:rsid w:val="00702234"/>
    <w:rsid w:val="007025C8"/>
    <w:rsid w:val="0070276E"/>
    <w:rsid w:val="00702D39"/>
    <w:rsid w:val="00702F8F"/>
    <w:rsid w:val="00703F21"/>
    <w:rsid w:val="007050B1"/>
    <w:rsid w:val="00705413"/>
    <w:rsid w:val="00705E1A"/>
    <w:rsid w:val="0070659A"/>
    <w:rsid w:val="00706B30"/>
    <w:rsid w:val="007079FC"/>
    <w:rsid w:val="00710615"/>
    <w:rsid w:val="00711067"/>
    <w:rsid w:val="007114B2"/>
    <w:rsid w:val="00711A36"/>
    <w:rsid w:val="007125C3"/>
    <w:rsid w:val="007125D3"/>
    <w:rsid w:val="00712DD7"/>
    <w:rsid w:val="00713111"/>
    <w:rsid w:val="00713A67"/>
    <w:rsid w:val="00714AB3"/>
    <w:rsid w:val="00714C26"/>
    <w:rsid w:val="00714E23"/>
    <w:rsid w:val="007150C5"/>
    <w:rsid w:val="00715137"/>
    <w:rsid w:val="0071529C"/>
    <w:rsid w:val="00715D21"/>
    <w:rsid w:val="0071614F"/>
    <w:rsid w:val="007166B1"/>
    <w:rsid w:val="00716A26"/>
    <w:rsid w:val="00716F07"/>
    <w:rsid w:val="007170DA"/>
    <w:rsid w:val="00717274"/>
    <w:rsid w:val="007172AD"/>
    <w:rsid w:val="00717546"/>
    <w:rsid w:val="00717D59"/>
    <w:rsid w:val="00717F8E"/>
    <w:rsid w:val="007204A2"/>
    <w:rsid w:val="007207A1"/>
    <w:rsid w:val="00720801"/>
    <w:rsid w:val="00721158"/>
    <w:rsid w:val="0072119D"/>
    <w:rsid w:val="0072195D"/>
    <w:rsid w:val="00721C51"/>
    <w:rsid w:val="007220EE"/>
    <w:rsid w:val="0072219A"/>
    <w:rsid w:val="00722AA3"/>
    <w:rsid w:val="00722B1B"/>
    <w:rsid w:val="00722C2E"/>
    <w:rsid w:val="00723A5A"/>
    <w:rsid w:val="00723C78"/>
    <w:rsid w:val="0072416F"/>
    <w:rsid w:val="007247F1"/>
    <w:rsid w:val="00724A95"/>
    <w:rsid w:val="00724F66"/>
    <w:rsid w:val="00725395"/>
    <w:rsid w:val="007255A9"/>
    <w:rsid w:val="00726963"/>
    <w:rsid w:val="00726C0B"/>
    <w:rsid w:val="00727C94"/>
    <w:rsid w:val="00730302"/>
    <w:rsid w:val="007306B9"/>
    <w:rsid w:val="00730CF8"/>
    <w:rsid w:val="00731606"/>
    <w:rsid w:val="0073161B"/>
    <w:rsid w:val="00731B0A"/>
    <w:rsid w:val="00731E61"/>
    <w:rsid w:val="00731EAE"/>
    <w:rsid w:val="00731EED"/>
    <w:rsid w:val="00733073"/>
    <w:rsid w:val="007343E6"/>
    <w:rsid w:val="00734805"/>
    <w:rsid w:val="00734AB4"/>
    <w:rsid w:val="00734BCF"/>
    <w:rsid w:val="00735033"/>
    <w:rsid w:val="0073524D"/>
    <w:rsid w:val="0073529B"/>
    <w:rsid w:val="007352DE"/>
    <w:rsid w:val="00735328"/>
    <w:rsid w:val="007353EB"/>
    <w:rsid w:val="0073685B"/>
    <w:rsid w:val="00736B06"/>
    <w:rsid w:val="00737CEC"/>
    <w:rsid w:val="00737DD7"/>
    <w:rsid w:val="00737E47"/>
    <w:rsid w:val="007400A9"/>
    <w:rsid w:val="00740109"/>
    <w:rsid w:val="00740D9D"/>
    <w:rsid w:val="0074177A"/>
    <w:rsid w:val="007420DD"/>
    <w:rsid w:val="007424AD"/>
    <w:rsid w:val="00742C06"/>
    <w:rsid w:val="007449BF"/>
    <w:rsid w:val="007456A1"/>
    <w:rsid w:val="00745913"/>
    <w:rsid w:val="007463FE"/>
    <w:rsid w:val="00746984"/>
    <w:rsid w:val="00746A59"/>
    <w:rsid w:val="00746BC0"/>
    <w:rsid w:val="007475C6"/>
    <w:rsid w:val="0074770A"/>
    <w:rsid w:val="007478C6"/>
    <w:rsid w:val="007501A3"/>
    <w:rsid w:val="00750568"/>
    <w:rsid w:val="007506C3"/>
    <w:rsid w:val="007510B4"/>
    <w:rsid w:val="00752142"/>
    <w:rsid w:val="007523F9"/>
    <w:rsid w:val="007527BA"/>
    <w:rsid w:val="007528FC"/>
    <w:rsid w:val="0075351B"/>
    <w:rsid w:val="0075357E"/>
    <w:rsid w:val="00753B29"/>
    <w:rsid w:val="007540B1"/>
    <w:rsid w:val="00755146"/>
    <w:rsid w:val="007552AD"/>
    <w:rsid w:val="007553A3"/>
    <w:rsid w:val="00755443"/>
    <w:rsid w:val="00755654"/>
    <w:rsid w:val="00756546"/>
    <w:rsid w:val="00756F91"/>
    <w:rsid w:val="007573E8"/>
    <w:rsid w:val="0075748C"/>
    <w:rsid w:val="00760C4E"/>
    <w:rsid w:val="00760F37"/>
    <w:rsid w:val="00760F9E"/>
    <w:rsid w:val="007616E6"/>
    <w:rsid w:val="00761865"/>
    <w:rsid w:val="007623C9"/>
    <w:rsid w:val="007627BE"/>
    <w:rsid w:val="00762F98"/>
    <w:rsid w:val="00763360"/>
    <w:rsid w:val="00763BEB"/>
    <w:rsid w:val="0076438B"/>
    <w:rsid w:val="007643B5"/>
    <w:rsid w:val="00764F03"/>
    <w:rsid w:val="007654EF"/>
    <w:rsid w:val="007658BF"/>
    <w:rsid w:val="00765B1A"/>
    <w:rsid w:val="00765DC1"/>
    <w:rsid w:val="00765E3F"/>
    <w:rsid w:val="00765FEF"/>
    <w:rsid w:val="00766AAB"/>
    <w:rsid w:val="00766F7A"/>
    <w:rsid w:val="007677F4"/>
    <w:rsid w:val="00767978"/>
    <w:rsid w:val="007700BC"/>
    <w:rsid w:val="007702AA"/>
    <w:rsid w:val="007708A2"/>
    <w:rsid w:val="00770B7F"/>
    <w:rsid w:val="00770C69"/>
    <w:rsid w:val="00770D33"/>
    <w:rsid w:val="00771B70"/>
    <w:rsid w:val="00771D94"/>
    <w:rsid w:val="00771ED5"/>
    <w:rsid w:val="00771F74"/>
    <w:rsid w:val="00773172"/>
    <w:rsid w:val="0077354F"/>
    <w:rsid w:val="007740B1"/>
    <w:rsid w:val="0077454B"/>
    <w:rsid w:val="007756FC"/>
    <w:rsid w:val="00776496"/>
    <w:rsid w:val="007767F0"/>
    <w:rsid w:val="00776E57"/>
    <w:rsid w:val="007771FC"/>
    <w:rsid w:val="00777285"/>
    <w:rsid w:val="00777335"/>
    <w:rsid w:val="00780CFF"/>
    <w:rsid w:val="007812ED"/>
    <w:rsid w:val="00781C31"/>
    <w:rsid w:val="007822EA"/>
    <w:rsid w:val="00782891"/>
    <w:rsid w:val="007836A7"/>
    <w:rsid w:val="007843F2"/>
    <w:rsid w:val="007846FA"/>
    <w:rsid w:val="00784ECB"/>
    <w:rsid w:val="00784EF8"/>
    <w:rsid w:val="0078575A"/>
    <w:rsid w:val="00785A9F"/>
    <w:rsid w:val="00785F48"/>
    <w:rsid w:val="00786A3E"/>
    <w:rsid w:val="00786C85"/>
    <w:rsid w:val="00786EA9"/>
    <w:rsid w:val="00787F5D"/>
    <w:rsid w:val="00790169"/>
    <w:rsid w:val="00791DD5"/>
    <w:rsid w:val="007925DF"/>
    <w:rsid w:val="007926B4"/>
    <w:rsid w:val="007926C9"/>
    <w:rsid w:val="0079277F"/>
    <w:rsid w:val="007929B4"/>
    <w:rsid w:val="00794BEF"/>
    <w:rsid w:val="00794EE9"/>
    <w:rsid w:val="007963AB"/>
    <w:rsid w:val="0079748E"/>
    <w:rsid w:val="00797717"/>
    <w:rsid w:val="0079775E"/>
    <w:rsid w:val="007A03DB"/>
    <w:rsid w:val="007A08AA"/>
    <w:rsid w:val="007A0A12"/>
    <w:rsid w:val="007A0B32"/>
    <w:rsid w:val="007A132D"/>
    <w:rsid w:val="007A1345"/>
    <w:rsid w:val="007A1B47"/>
    <w:rsid w:val="007A2652"/>
    <w:rsid w:val="007A2DDB"/>
    <w:rsid w:val="007A419D"/>
    <w:rsid w:val="007A4A72"/>
    <w:rsid w:val="007A5FDF"/>
    <w:rsid w:val="007A70BA"/>
    <w:rsid w:val="007B025A"/>
    <w:rsid w:val="007B076D"/>
    <w:rsid w:val="007B0889"/>
    <w:rsid w:val="007B0C13"/>
    <w:rsid w:val="007B0D68"/>
    <w:rsid w:val="007B0FDC"/>
    <w:rsid w:val="007B15F7"/>
    <w:rsid w:val="007B1DBC"/>
    <w:rsid w:val="007B24CC"/>
    <w:rsid w:val="007B251D"/>
    <w:rsid w:val="007B3176"/>
    <w:rsid w:val="007B3533"/>
    <w:rsid w:val="007B3D0D"/>
    <w:rsid w:val="007B4387"/>
    <w:rsid w:val="007B4B86"/>
    <w:rsid w:val="007B4F58"/>
    <w:rsid w:val="007B528D"/>
    <w:rsid w:val="007B5CED"/>
    <w:rsid w:val="007B5D0A"/>
    <w:rsid w:val="007B62B6"/>
    <w:rsid w:val="007B63CA"/>
    <w:rsid w:val="007B6441"/>
    <w:rsid w:val="007B6DC0"/>
    <w:rsid w:val="007B77D1"/>
    <w:rsid w:val="007B77D4"/>
    <w:rsid w:val="007B7829"/>
    <w:rsid w:val="007B7C54"/>
    <w:rsid w:val="007C0118"/>
    <w:rsid w:val="007C0622"/>
    <w:rsid w:val="007C07C7"/>
    <w:rsid w:val="007C1561"/>
    <w:rsid w:val="007C1A7A"/>
    <w:rsid w:val="007C1B2B"/>
    <w:rsid w:val="007C1CD9"/>
    <w:rsid w:val="007C1D03"/>
    <w:rsid w:val="007C2514"/>
    <w:rsid w:val="007C32EF"/>
    <w:rsid w:val="007C355D"/>
    <w:rsid w:val="007C361D"/>
    <w:rsid w:val="007C36F2"/>
    <w:rsid w:val="007C3FDA"/>
    <w:rsid w:val="007C4B84"/>
    <w:rsid w:val="007C4D5C"/>
    <w:rsid w:val="007C524C"/>
    <w:rsid w:val="007C5D8B"/>
    <w:rsid w:val="007C5EFC"/>
    <w:rsid w:val="007C697D"/>
    <w:rsid w:val="007C6CC4"/>
    <w:rsid w:val="007C6EFD"/>
    <w:rsid w:val="007C6FC4"/>
    <w:rsid w:val="007C70FF"/>
    <w:rsid w:val="007C7353"/>
    <w:rsid w:val="007C746D"/>
    <w:rsid w:val="007C7531"/>
    <w:rsid w:val="007C76DF"/>
    <w:rsid w:val="007C7C25"/>
    <w:rsid w:val="007C7D7E"/>
    <w:rsid w:val="007D004F"/>
    <w:rsid w:val="007D035F"/>
    <w:rsid w:val="007D04F6"/>
    <w:rsid w:val="007D06B2"/>
    <w:rsid w:val="007D0B38"/>
    <w:rsid w:val="007D0EB3"/>
    <w:rsid w:val="007D1CDB"/>
    <w:rsid w:val="007D249A"/>
    <w:rsid w:val="007D24BA"/>
    <w:rsid w:val="007D2F1E"/>
    <w:rsid w:val="007D3267"/>
    <w:rsid w:val="007D398D"/>
    <w:rsid w:val="007D4741"/>
    <w:rsid w:val="007D5067"/>
    <w:rsid w:val="007D5440"/>
    <w:rsid w:val="007D55AB"/>
    <w:rsid w:val="007D5B81"/>
    <w:rsid w:val="007D5C89"/>
    <w:rsid w:val="007D6832"/>
    <w:rsid w:val="007D69EB"/>
    <w:rsid w:val="007D7C90"/>
    <w:rsid w:val="007D7DBD"/>
    <w:rsid w:val="007D7F4C"/>
    <w:rsid w:val="007E001B"/>
    <w:rsid w:val="007E090B"/>
    <w:rsid w:val="007E128F"/>
    <w:rsid w:val="007E2446"/>
    <w:rsid w:val="007E279C"/>
    <w:rsid w:val="007E2B99"/>
    <w:rsid w:val="007E43A2"/>
    <w:rsid w:val="007E49C3"/>
    <w:rsid w:val="007E50F6"/>
    <w:rsid w:val="007E68FC"/>
    <w:rsid w:val="007E6BDF"/>
    <w:rsid w:val="007E74ED"/>
    <w:rsid w:val="007E7B3D"/>
    <w:rsid w:val="007F04BB"/>
    <w:rsid w:val="007F0BE1"/>
    <w:rsid w:val="007F1017"/>
    <w:rsid w:val="007F13BD"/>
    <w:rsid w:val="007F2100"/>
    <w:rsid w:val="007F28C9"/>
    <w:rsid w:val="007F3373"/>
    <w:rsid w:val="007F3A76"/>
    <w:rsid w:val="007F48C9"/>
    <w:rsid w:val="007F4A3F"/>
    <w:rsid w:val="007F4A61"/>
    <w:rsid w:val="007F51B8"/>
    <w:rsid w:val="007F5255"/>
    <w:rsid w:val="007F56CC"/>
    <w:rsid w:val="007F61C2"/>
    <w:rsid w:val="007F63E4"/>
    <w:rsid w:val="007F6827"/>
    <w:rsid w:val="007F6B8C"/>
    <w:rsid w:val="007F6E11"/>
    <w:rsid w:val="007F788D"/>
    <w:rsid w:val="007F790B"/>
    <w:rsid w:val="007F7CA5"/>
    <w:rsid w:val="008009CB"/>
    <w:rsid w:val="00800C44"/>
    <w:rsid w:val="0080157A"/>
    <w:rsid w:val="008019A6"/>
    <w:rsid w:val="00801C66"/>
    <w:rsid w:val="008020ED"/>
    <w:rsid w:val="008022D6"/>
    <w:rsid w:val="00802A55"/>
    <w:rsid w:val="00802ED6"/>
    <w:rsid w:val="0080339A"/>
    <w:rsid w:val="00804469"/>
    <w:rsid w:val="00805142"/>
    <w:rsid w:val="00805437"/>
    <w:rsid w:val="008058D9"/>
    <w:rsid w:val="00805FCE"/>
    <w:rsid w:val="0080669D"/>
    <w:rsid w:val="00806D53"/>
    <w:rsid w:val="00806FA7"/>
    <w:rsid w:val="00807A8B"/>
    <w:rsid w:val="00807D26"/>
    <w:rsid w:val="00810AD2"/>
    <w:rsid w:val="00810BA4"/>
    <w:rsid w:val="00810C5B"/>
    <w:rsid w:val="00811383"/>
    <w:rsid w:val="00811579"/>
    <w:rsid w:val="00811C63"/>
    <w:rsid w:val="00812149"/>
    <w:rsid w:val="00812597"/>
    <w:rsid w:val="00812CAC"/>
    <w:rsid w:val="008132BF"/>
    <w:rsid w:val="008135A2"/>
    <w:rsid w:val="00813899"/>
    <w:rsid w:val="00813E0B"/>
    <w:rsid w:val="008145E1"/>
    <w:rsid w:val="00814B4A"/>
    <w:rsid w:val="00814EF5"/>
    <w:rsid w:val="00816361"/>
    <w:rsid w:val="008166CC"/>
    <w:rsid w:val="008166EF"/>
    <w:rsid w:val="008166F8"/>
    <w:rsid w:val="008167E9"/>
    <w:rsid w:val="00816FEF"/>
    <w:rsid w:val="0081718F"/>
    <w:rsid w:val="00817813"/>
    <w:rsid w:val="00820151"/>
    <w:rsid w:val="008206C3"/>
    <w:rsid w:val="00820A8C"/>
    <w:rsid w:val="00820D21"/>
    <w:rsid w:val="008212D2"/>
    <w:rsid w:val="008212E7"/>
    <w:rsid w:val="008215FB"/>
    <w:rsid w:val="0082188C"/>
    <w:rsid w:val="008220CC"/>
    <w:rsid w:val="00822228"/>
    <w:rsid w:val="0082259D"/>
    <w:rsid w:val="0082260C"/>
    <w:rsid w:val="00822DC4"/>
    <w:rsid w:val="00822FA7"/>
    <w:rsid w:val="00823174"/>
    <w:rsid w:val="0082394D"/>
    <w:rsid w:val="00824067"/>
    <w:rsid w:val="00824E49"/>
    <w:rsid w:val="00824F04"/>
    <w:rsid w:val="008256F1"/>
    <w:rsid w:val="00825751"/>
    <w:rsid w:val="00825FB4"/>
    <w:rsid w:val="00825FED"/>
    <w:rsid w:val="0082623D"/>
    <w:rsid w:val="0082637C"/>
    <w:rsid w:val="008264C3"/>
    <w:rsid w:val="008264EB"/>
    <w:rsid w:val="00826858"/>
    <w:rsid w:val="008268CE"/>
    <w:rsid w:val="00826C9E"/>
    <w:rsid w:val="00827414"/>
    <w:rsid w:val="00827C23"/>
    <w:rsid w:val="00827F77"/>
    <w:rsid w:val="00830A2B"/>
    <w:rsid w:val="00830E1F"/>
    <w:rsid w:val="008319DC"/>
    <w:rsid w:val="008323D9"/>
    <w:rsid w:val="008332C3"/>
    <w:rsid w:val="008336A0"/>
    <w:rsid w:val="00833747"/>
    <w:rsid w:val="00833B05"/>
    <w:rsid w:val="00833F8C"/>
    <w:rsid w:val="00834475"/>
    <w:rsid w:val="008348DB"/>
    <w:rsid w:val="00834DAB"/>
    <w:rsid w:val="00834EE4"/>
    <w:rsid w:val="0083566E"/>
    <w:rsid w:val="00835AED"/>
    <w:rsid w:val="008362B4"/>
    <w:rsid w:val="00836F0A"/>
    <w:rsid w:val="00836F73"/>
    <w:rsid w:val="008373E6"/>
    <w:rsid w:val="0083784B"/>
    <w:rsid w:val="00840662"/>
    <w:rsid w:val="00840899"/>
    <w:rsid w:val="00840CA2"/>
    <w:rsid w:val="00841716"/>
    <w:rsid w:val="008418FD"/>
    <w:rsid w:val="0084250A"/>
    <w:rsid w:val="00842774"/>
    <w:rsid w:val="00842966"/>
    <w:rsid w:val="00842C95"/>
    <w:rsid w:val="008431B2"/>
    <w:rsid w:val="0084340F"/>
    <w:rsid w:val="0084374F"/>
    <w:rsid w:val="00843AD6"/>
    <w:rsid w:val="0084407B"/>
    <w:rsid w:val="00844A22"/>
    <w:rsid w:val="00844A61"/>
    <w:rsid w:val="008454AC"/>
    <w:rsid w:val="0084622D"/>
    <w:rsid w:val="00846575"/>
    <w:rsid w:val="0084700A"/>
    <w:rsid w:val="00847070"/>
    <w:rsid w:val="00847703"/>
    <w:rsid w:val="008477C3"/>
    <w:rsid w:val="00847876"/>
    <w:rsid w:val="00847989"/>
    <w:rsid w:val="00847DF5"/>
    <w:rsid w:val="00850629"/>
    <w:rsid w:val="00851733"/>
    <w:rsid w:val="00851CBD"/>
    <w:rsid w:val="00851E90"/>
    <w:rsid w:val="008521EF"/>
    <w:rsid w:val="0085309D"/>
    <w:rsid w:val="00853159"/>
    <w:rsid w:val="008539BA"/>
    <w:rsid w:val="00854853"/>
    <w:rsid w:val="00854FE4"/>
    <w:rsid w:val="008550B4"/>
    <w:rsid w:val="00855C34"/>
    <w:rsid w:val="00856003"/>
    <w:rsid w:val="00856897"/>
    <w:rsid w:val="00856DAB"/>
    <w:rsid w:val="00856E9A"/>
    <w:rsid w:val="008578D2"/>
    <w:rsid w:val="00857A93"/>
    <w:rsid w:val="0086075D"/>
    <w:rsid w:val="00860868"/>
    <w:rsid w:val="00860D39"/>
    <w:rsid w:val="008615AA"/>
    <w:rsid w:val="00861F07"/>
    <w:rsid w:val="00861F41"/>
    <w:rsid w:val="00862502"/>
    <w:rsid w:val="00862697"/>
    <w:rsid w:val="00862A14"/>
    <w:rsid w:val="00862CC1"/>
    <w:rsid w:val="00864184"/>
    <w:rsid w:val="008642A7"/>
    <w:rsid w:val="00864763"/>
    <w:rsid w:val="00864A22"/>
    <w:rsid w:val="00864DB2"/>
    <w:rsid w:val="00865369"/>
    <w:rsid w:val="00865891"/>
    <w:rsid w:val="008660D4"/>
    <w:rsid w:val="00867A67"/>
    <w:rsid w:val="00867C6C"/>
    <w:rsid w:val="00871FA9"/>
    <w:rsid w:val="0087225A"/>
    <w:rsid w:val="00872668"/>
    <w:rsid w:val="00872804"/>
    <w:rsid w:val="008728C1"/>
    <w:rsid w:val="008728E9"/>
    <w:rsid w:val="00873656"/>
    <w:rsid w:val="00873B42"/>
    <w:rsid w:val="00875A4D"/>
    <w:rsid w:val="00875B7F"/>
    <w:rsid w:val="00875C0C"/>
    <w:rsid w:val="008772FD"/>
    <w:rsid w:val="008775CE"/>
    <w:rsid w:val="00877939"/>
    <w:rsid w:val="00877CAE"/>
    <w:rsid w:val="008802D1"/>
    <w:rsid w:val="008804D2"/>
    <w:rsid w:val="00880994"/>
    <w:rsid w:val="00880FDC"/>
    <w:rsid w:val="00881810"/>
    <w:rsid w:val="0088184F"/>
    <w:rsid w:val="00882874"/>
    <w:rsid w:val="00882E3C"/>
    <w:rsid w:val="0088308A"/>
    <w:rsid w:val="00883787"/>
    <w:rsid w:val="00884D5C"/>
    <w:rsid w:val="0088501F"/>
    <w:rsid w:val="008855E4"/>
    <w:rsid w:val="00886895"/>
    <w:rsid w:val="00886CD2"/>
    <w:rsid w:val="00887010"/>
    <w:rsid w:val="0088710C"/>
    <w:rsid w:val="00887B9A"/>
    <w:rsid w:val="008907B4"/>
    <w:rsid w:val="00891230"/>
    <w:rsid w:val="00891395"/>
    <w:rsid w:val="008914F2"/>
    <w:rsid w:val="00891DF9"/>
    <w:rsid w:val="00891E6F"/>
    <w:rsid w:val="00892500"/>
    <w:rsid w:val="0089262A"/>
    <w:rsid w:val="0089275D"/>
    <w:rsid w:val="00892A36"/>
    <w:rsid w:val="00892BEC"/>
    <w:rsid w:val="00893239"/>
    <w:rsid w:val="008934E0"/>
    <w:rsid w:val="0089401A"/>
    <w:rsid w:val="0089408A"/>
    <w:rsid w:val="00894489"/>
    <w:rsid w:val="00894568"/>
    <w:rsid w:val="00894CD6"/>
    <w:rsid w:val="00894F37"/>
    <w:rsid w:val="00895755"/>
    <w:rsid w:val="00895B81"/>
    <w:rsid w:val="00895EED"/>
    <w:rsid w:val="008962C4"/>
    <w:rsid w:val="00896333"/>
    <w:rsid w:val="008963A5"/>
    <w:rsid w:val="00896D5D"/>
    <w:rsid w:val="008977FB"/>
    <w:rsid w:val="008A0049"/>
    <w:rsid w:val="008A00BB"/>
    <w:rsid w:val="008A069F"/>
    <w:rsid w:val="008A0C33"/>
    <w:rsid w:val="008A23DD"/>
    <w:rsid w:val="008A240D"/>
    <w:rsid w:val="008A2733"/>
    <w:rsid w:val="008A3158"/>
    <w:rsid w:val="008A3363"/>
    <w:rsid w:val="008A3371"/>
    <w:rsid w:val="008A38BD"/>
    <w:rsid w:val="008A39AC"/>
    <w:rsid w:val="008A3C3E"/>
    <w:rsid w:val="008A3E67"/>
    <w:rsid w:val="008A489D"/>
    <w:rsid w:val="008A4BC0"/>
    <w:rsid w:val="008A4BFD"/>
    <w:rsid w:val="008A4C82"/>
    <w:rsid w:val="008A4CD6"/>
    <w:rsid w:val="008A4D27"/>
    <w:rsid w:val="008A4DD8"/>
    <w:rsid w:val="008A50DD"/>
    <w:rsid w:val="008A5389"/>
    <w:rsid w:val="008A5F45"/>
    <w:rsid w:val="008A663D"/>
    <w:rsid w:val="008A75F4"/>
    <w:rsid w:val="008A776E"/>
    <w:rsid w:val="008A79DE"/>
    <w:rsid w:val="008B0162"/>
    <w:rsid w:val="008B06AC"/>
    <w:rsid w:val="008B06F5"/>
    <w:rsid w:val="008B07C2"/>
    <w:rsid w:val="008B0D90"/>
    <w:rsid w:val="008B1757"/>
    <w:rsid w:val="008B18B9"/>
    <w:rsid w:val="008B1C33"/>
    <w:rsid w:val="008B1DAD"/>
    <w:rsid w:val="008B1F3F"/>
    <w:rsid w:val="008B2103"/>
    <w:rsid w:val="008B2F9D"/>
    <w:rsid w:val="008B317F"/>
    <w:rsid w:val="008B3545"/>
    <w:rsid w:val="008B3ADC"/>
    <w:rsid w:val="008B4801"/>
    <w:rsid w:val="008B4AD3"/>
    <w:rsid w:val="008B4B6F"/>
    <w:rsid w:val="008B509D"/>
    <w:rsid w:val="008B6919"/>
    <w:rsid w:val="008B6C41"/>
    <w:rsid w:val="008B6E37"/>
    <w:rsid w:val="008B7248"/>
    <w:rsid w:val="008B76B1"/>
    <w:rsid w:val="008B7992"/>
    <w:rsid w:val="008B7D7E"/>
    <w:rsid w:val="008C0234"/>
    <w:rsid w:val="008C0433"/>
    <w:rsid w:val="008C1008"/>
    <w:rsid w:val="008C1AD7"/>
    <w:rsid w:val="008C2535"/>
    <w:rsid w:val="008C273F"/>
    <w:rsid w:val="008C2908"/>
    <w:rsid w:val="008C3BF2"/>
    <w:rsid w:val="008C3C53"/>
    <w:rsid w:val="008C3CAF"/>
    <w:rsid w:val="008C51B3"/>
    <w:rsid w:val="008C5610"/>
    <w:rsid w:val="008C5739"/>
    <w:rsid w:val="008C5F23"/>
    <w:rsid w:val="008C6231"/>
    <w:rsid w:val="008C66EC"/>
    <w:rsid w:val="008C6E21"/>
    <w:rsid w:val="008C7282"/>
    <w:rsid w:val="008C72AB"/>
    <w:rsid w:val="008C7876"/>
    <w:rsid w:val="008C7ECB"/>
    <w:rsid w:val="008D011A"/>
    <w:rsid w:val="008D04D8"/>
    <w:rsid w:val="008D05DF"/>
    <w:rsid w:val="008D1A23"/>
    <w:rsid w:val="008D3921"/>
    <w:rsid w:val="008D3A1F"/>
    <w:rsid w:val="008D3B86"/>
    <w:rsid w:val="008D3E12"/>
    <w:rsid w:val="008D43FD"/>
    <w:rsid w:val="008D44C1"/>
    <w:rsid w:val="008D4755"/>
    <w:rsid w:val="008D4C3D"/>
    <w:rsid w:val="008D5312"/>
    <w:rsid w:val="008D5BA8"/>
    <w:rsid w:val="008D5C0B"/>
    <w:rsid w:val="008D5CBF"/>
    <w:rsid w:val="008D6171"/>
    <w:rsid w:val="008D6256"/>
    <w:rsid w:val="008D6841"/>
    <w:rsid w:val="008D6D66"/>
    <w:rsid w:val="008D6F4A"/>
    <w:rsid w:val="008D7090"/>
    <w:rsid w:val="008D743C"/>
    <w:rsid w:val="008E0561"/>
    <w:rsid w:val="008E07C1"/>
    <w:rsid w:val="008E0901"/>
    <w:rsid w:val="008E0D3C"/>
    <w:rsid w:val="008E1216"/>
    <w:rsid w:val="008E1612"/>
    <w:rsid w:val="008E1B9E"/>
    <w:rsid w:val="008E3536"/>
    <w:rsid w:val="008E3579"/>
    <w:rsid w:val="008E3E47"/>
    <w:rsid w:val="008E526D"/>
    <w:rsid w:val="008E55AB"/>
    <w:rsid w:val="008E57D1"/>
    <w:rsid w:val="008E6053"/>
    <w:rsid w:val="008E6208"/>
    <w:rsid w:val="008E6221"/>
    <w:rsid w:val="008E766A"/>
    <w:rsid w:val="008F0733"/>
    <w:rsid w:val="008F1205"/>
    <w:rsid w:val="008F120A"/>
    <w:rsid w:val="008F1690"/>
    <w:rsid w:val="008F27A2"/>
    <w:rsid w:val="008F27E0"/>
    <w:rsid w:val="008F3516"/>
    <w:rsid w:val="008F40DC"/>
    <w:rsid w:val="008F48EB"/>
    <w:rsid w:val="008F49BB"/>
    <w:rsid w:val="008F4B29"/>
    <w:rsid w:val="008F4F0B"/>
    <w:rsid w:val="008F5CDE"/>
    <w:rsid w:val="008F6298"/>
    <w:rsid w:val="008F792D"/>
    <w:rsid w:val="008F7968"/>
    <w:rsid w:val="008F7B3F"/>
    <w:rsid w:val="008F7BDE"/>
    <w:rsid w:val="00900DD3"/>
    <w:rsid w:val="00901634"/>
    <w:rsid w:val="00901664"/>
    <w:rsid w:val="009017F5"/>
    <w:rsid w:val="00901C0B"/>
    <w:rsid w:val="00902C4D"/>
    <w:rsid w:val="00902E38"/>
    <w:rsid w:val="00902E4C"/>
    <w:rsid w:val="00903677"/>
    <w:rsid w:val="00903807"/>
    <w:rsid w:val="00903C7F"/>
    <w:rsid w:val="00903F0F"/>
    <w:rsid w:val="009046C4"/>
    <w:rsid w:val="0090544C"/>
    <w:rsid w:val="00905B1A"/>
    <w:rsid w:val="00905BF0"/>
    <w:rsid w:val="00905EEA"/>
    <w:rsid w:val="00906026"/>
    <w:rsid w:val="00906243"/>
    <w:rsid w:val="009062A5"/>
    <w:rsid w:val="0090667A"/>
    <w:rsid w:val="00906FB3"/>
    <w:rsid w:val="00907699"/>
    <w:rsid w:val="009077A2"/>
    <w:rsid w:val="00907AA4"/>
    <w:rsid w:val="00907BB6"/>
    <w:rsid w:val="0091043B"/>
    <w:rsid w:val="00910FA7"/>
    <w:rsid w:val="00911272"/>
    <w:rsid w:val="00911339"/>
    <w:rsid w:val="00912A98"/>
    <w:rsid w:val="009135D6"/>
    <w:rsid w:val="00913981"/>
    <w:rsid w:val="00914C77"/>
    <w:rsid w:val="00914EEE"/>
    <w:rsid w:val="009164A2"/>
    <w:rsid w:val="00916CB2"/>
    <w:rsid w:val="00916CCC"/>
    <w:rsid w:val="00916FD6"/>
    <w:rsid w:val="009174C1"/>
    <w:rsid w:val="00921ACB"/>
    <w:rsid w:val="00921C42"/>
    <w:rsid w:val="00922FC7"/>
    <w:rsid w:val="0092369B"/>
    <w:rsid w:val="00924950"/>
    <w:rsid w:val="00925046"/>
    <w:rsid w:val="00926BBC"/>
    <w:rsid w:val="00926F10"/>
    <w:rsid w:val="00927457"/>
    <w:rsid w:val="00930200"/>
    <w:rsid w:val="009307D2"/>
    <w:rsid w:val="009319E4"/>
    <w:rsid w:val="00931B28"/>
    <w:rsid w:val="009328EC"/>
    <w:rsid w:val="00932A87"/>
    <w:rsid w:val="0093374A"/>
    <w:rsid w:val="00933B2F"/>
    <w:rsid w:val="00933B3C"/>
    <w:rsid w:val="00933D5D"/>
    <w:rsid w:val="00933EF7"/>
    <w:rsid w:val="00934988"/>
    <w:rsid w:val="00934D80"/>
    <w:rsid w:val="00935E11"/>
    <w:rsid w:val="0093694A"/>
    <w:rsid w:val="00937089"/>
    <w:rsid w:val="009371D6"/>
    <w:rsid w:val="0093745E"/>
    <w:rsid w:val="009377E3"/>
    <w:rsid w:val="00940700"/>
    <w:rsid w:val="0094140D"/>
    <w:rsid w:val="009418FF"/>
    <w:rsid w:val="00941D39"/>
    <w:rsid w:val="0094230F"/>
    <w:rsid w:val="0094239D"/>
    <w:rsid w:val="0094259E"/>
    <w:rsid w:val="00942DEC"/>
    <w:rsid w:val="00943132"/>
    <w:rsid w:val="00943827"/>
    <w:rsid w:val="009438F9"/>
    <w:rsid w:val="00943EA3"/>
    <w:rsid w:val="00944321"/>
    <w:rsid w:val="0094450B"/>
    <w:rsid w:val="0094454D"/>
    <w:rsid w:val="009445E0"/>
    <w:rsid w:val="009448A8"/>
    <w:rsid w:val="00944F8A"/>
    <w:rsid w:val="0094564F"/>
    <w:rsid w:val="0094597E"/>
    <w:rsid w:val="009461A9"/>
    <w:rsid w:val="0094640D"/>
    <w:rsid w:val="0094655F"/>
    <w:rsid w:val="009467C6"/>
    <w:rsid w:val="00947BF8"/>
    <w:rsid w:val="00947C27"/>
    <w:rsid w:val="00950D42"/>
    <w:rsid w:val="00950E84"/>
    <w:rsid w:val="00950F69"/>
    <w:rsid w:val="009510A2"/>
    <w:rsid w:val="00951BF9"/>
    <w:rsid w:val="00951C14"/>
    <w:rsid w:val="0095205F"/>
    <w:rsid w:val="00952BE3"/>
    <w:rsid w:val="00952FFF"/>
    <w:rsid w:val="00953257"/>
    <w:rsid w:val="00953340"/>
    <w:rsid w:val="009535DB"/>
    <w:rsid w:val="009541BA"/>
    <w:rsid w:val="0095474C"/>
    <w:rsid w:val="00954926"/>
    <w:rsid w:val="00955298"/>
    <w:rsid w:val="00956426"/>
    <w:rsid w:val="00956542"/>
    <w:rsid w:val="00956884"/>
    <w:rsid w:val="0095688D"/>
    <w:rsid w:val="00956A2B"/>
    <w:rsid w:val="00956A6B"/>
    <w:rsid w:val="00956B01"/>
    <w:rsid w:val="00956BA2"/>
    <w:rsid w:val="00957358"/>
    <w:rsid w:val="00957D92"/>
    <w:rsid w:val="00957F25"/>
    <w:rsid w:val="009623C4"/>
    <w:rsid w:val="00962CB9"/>
    <w:rsid w:val="009633BC"/>
    <w:rsid w:val="00964312"/>
    <w:rsid w:val="009651B7"/>
    <w:rsid w:val="0096574C"/>
    <w:rsid w:val="0096581E"/>
    <w:rsid w:val="00965B8A"/>
    <w:rsid w:val="00965FF2"/>
    <w:rsid w:val="00966F3D"/>
    <w:rsid w:val="00966F67"/>
    <w:rsid w:val="00966FB3"/>
    <w:rsid w:val="0097071F"/>
    <w:rsid w:val="00970B71"/>
    <w:rsid w:val="009717AC"/>
    <w:rsid w:val="00971820"/>
    <w:rsid w:val="00971AB4"/>
    <w:rsid w:val="00971FDA"/>
    <w:rsid w:val="0097239D"/>
    <w:rsid w:val="009739D2"/>
    <w:rsid w:val="009751C1"/>
    <w:rsid w:val="00975DE6"/>
    <w:rsid w:val="00976C76"/>
    <w:rsid w:val="00977DA0"/>
    <w:rsid w:val="00980578"/>
    <w:rsid w:val="0098097F"/>
    <w:rsid w:val="00980ECD"/>
    <w:rsid w:val="00980EF4"/>
    <w:rsid w:val="009811F1"/>
    <w:rsid w:val="009821C6"/>
    <w:rsid w:val="00982E9A"/>
    <w:rsid w:val="009830CF"/>
    <w:rsid w:val="00983E57"/>
    <w:rsid w:val="00984BBF"/>
    <w:rsid w:val="00984ECF"/>
    <w:rsid w:val="00985054"/>
    <w:rsid w:val="00985C39"/>
    <w:rsid w:val="00985DE2"/>
    <w:rsid w:val="009864B5"/>
    <w:rsid w:val="00986555"/>
    <w:rsid w:val="0098675D"/>
    <w:rsid w:val="00986AA7"/>
    <w:rsid w:val="00986D50"/>
    <w:rsid w:val="00987A91"/>
    <w:rsid w:val="00987BA4"/>
    <w:rsid w:val="009926E0"/>
    <w:rsid w:val="00992AD0"/>
    <w:rsid w:val="00993FA8"/>
    <w:rsid w:val="0099451E"/>
    <w:rsid w:val="00994986"/>
    <w:rsid w:val="0099518A"/>
    <w:rsid w:val="00995203"/>
    <w:rsid w:val="009956FC"/>
    <w:rsid w:val="00995855"/>
    <w:rsid w:val="00995D51"/>
    <w:rsid w:val="00996446"/>
    <w:rsid w:val="00996B1A"/>
    <w:rsid w:val="00997179"/>
    <w:rsid w:val="00997A61"/>
    <w:rsid w:val="009A0F4E"/>
    <w:rsid w:val="009A18A2"/>
    <w:rsid w:val="009A18F6"/>
    <w:rsid w:val="009A2130"/>
    <w:rsid w:val="009A2DCC"/>
    <w:rsid w:val="009A2F47"/>
    <w:rsid w:val="009A30AD"/>
    <w:rsid w:val="009A35D9"/>
    <w:rsid w:val="009A3A7F"/>
    <w:rsid w:val="009A3AF6"/>
    <w:rsid w:val="009A403D"/>
    <w:rsid w:val="009A407E"/>
    <w:rsid w:val="009A4479"/>
    <w:rsid w:val="009A4F68"/>
    <w:rsid w:val="009A521C"/>
    <w:rsid w:val="009A5ABC"/>
    <w:rsid w:val="009A7F10"/>
    <w:rsid w:val="009B1853"/>
    <w:rsid w:val="009B19EF"/>
    <w:rsid w:val="009B1AC1"/>
    <w:rsid w:val="009B1AF3"/>
    <w:rsid w:val="009B1ED5"/>
    <w:rsid w:val="009B2537"/>
    <w:rsid w:val="009B2E3F"/>
    <w:rsid w:val="009B35B7"/>
    <w:rsid w:val="009B3E26"/>
    <w:rsid w:val="009B40BB"/>
    <w:rsid w:val="009B42EF"/>
    <w:rsid w:val="009B42F5"/>
    <w:rsid w:val="009B483A"/>
    <w:rsid w:val="009B4A1F"/>
    <w:rsid w:val="009B4F37"/>
    <w:rsid w:val="009B5C67"/>
    <w:rsid w:val="009B5EAB"/>
    <w:rsid w:val="009B6202"/>
    <w:rsid w:val="009B64A6"/>
    <w:rsid w:val="009C00A5"/>
    <w:rsid w:val="009C03B5"/>
    <w:rsid w:val="009C068B"/>
    <w:rsid w:val="009C0C52"/>
    <w:rsid w:val="009C107C"/>
    <w:rsid w:val="009C1271"/>
    <w:rsid w:val="009C1C12"/>
    <w:rsid w:val="009C1C21"/>
    <w:rsid w:val="009C1E70"/>
    <w:rsid w:val="009C311F"/>
    <w:rsid w:val="009C334A"/>
    <w:rsid w:val="009C3706"/>
    <w:rsid w:val="009C3A3A"/>
    <w:rsid w:val="009C3B17"/>
    <w:rsid w:val="009C4D3B"/>
    <w:rsid w:val="009C5473"/>
    <w:rsid w:val="009C56BC"/>
    <w:rsid w:val="009C60AE"/>
    <w:rsid w:val="009C6352"/>
    <w:rsid w:val="009C648C"/>
    <w:rsid w:val="009C6CEA"/>
    <w:rsid w:val="009C7849"/>
    <w:rsid w:val="009C7984"/>
    <w:rsid w:val="009C7B85"/>
    <w:rsid w:val="009C7F76"/>
    <w:rsid w:val="009D016A"/>
    <w:rsid w:val="009D0254"/>
    <w:rsid w:val="009D0D08"/>
    <w:rsid w:val="009D1A64"/>
    <w:rsid w:val="009D1BCE"/>
    <w:rsid w:val="009D1EF7"/>
    <w:rsid w:val="009D3513"/>
    <w:rsid w:val="009D3B0E"/>
    <w:rsid w:val="009D3B41"/>
    <w:rsid w:val="009D3BB7"/>
    <w:rsid w:val="009D582D"/>
    <w:rsid w:val="009D5A99"/>
    <w:rsid w:val="009D5B91"/>
    <w:rsid w:val="009D6315"/>
    <w:rsid w:val="009D6DC7"/>
    <w:rsid w:val="009D7224"/>
    <w:rsid w:val="009D792E"/>
    <w:rsid w:val="009D7AF2"/>
    <w:rsid w:val="009E02D3"/>
    <w:rsid w:val="009E030D"/>
    <w:rsid w:val="009E0A2A"/>
    <w:rsid w:val="009E0DFE"/>
    <w:rsid w:val="009E1BA1"/>
    <w:rsid w:val="009E2D88"/>
    <w:rsid w:val="009E3192"/>
    <w:rsid w:val="009E31F6"/>
    <w:rsid w:val="009E41C7"/>
    <w:rsid w:val="009E4C07"/>
    <w:rsid w:val="009E4F29"/>
    <w:rsid w:val="009E545D"/>
    <w:rsid w:val="009E6179"/>
    <w:rsid w:val="009E7347"/>
    <w:rsid w:val="009E75B9"/>
    <w:rsid w:val="009E777F"/>
    <w:rsid w:val="009E7842"/>
    <w:rsid w:val="009F0B66"/>
    <w:rsid w:val="009F0F16"/>
    <w:rsid w:val="009F203C"/>
    <w:rsid w:val="009F3349"/>
    <w:rsid w:val="009F3E8E"/>
    <w:rsid w:val="009F4F5F"/>
    <w:rsid w:val="009F512C"/>
    <w:rsid w:val="009F6018"/>
    <w:rsid w:val="009F6120"/>
    <w:rsid w:val="009F6665"/>
    <w:rsid w:val="009F6BE5"/>
    <w:rsid w:val="009F75A7"/>
    <w:rsid w:val="009F762E"/>
    <w:rsid w:val="009F79E8"/>
    <w:rsid w:val="00A008C2"/>
    <w:rsid w:val="00A00D76"/>
    <w:rsid w:val="00A01184"/>
    <w:rsid w:val="00A01449"/>
    <w:rsid w:val="00A01BB6"/>
    <w:rsid w:val="00A01CD6"/>
    <w:rsid w:val="00A02929"/>
    <w:rsid w:val="00A029C7"/>
    <w:rsid w:val="00A037C2"/>
    <w:rsid w:val="00A03D43"/>
    <w:rsid w:val="00A03EA6"/>
    <w:rsid w:val="00A04380"/>
    <w:rsid w:val="00A043B4"/>
    <w:rsid w:val="00A04786"/>
    <w:rsid w:val="00A04872"/>
    <w:rsid w:val="00A04BDB"/>
    <w:rsid w:val="00A04EE9"/>
    <w:rsid w:val="00A05472"/>
    <w:rsid w:val="00A05715"/>
    <w:rsid w:val="00A05C32"/>
    <w:rsid w:val="00A064EC"/>
    <w:rsid w:val="00A06507"/>
    <w:rsid w:val="00A0653F"/>
    <w:rsid w:val="00A0751C"/>
    <w:rsid w:val="00A100D8"/>
    <w:rsid w:val="00A115B9"/>
    <w:rsid w:val="00A11CB6"/>
    <w:rsid w:val="00A11CD0"/>
    <w:rsid w:val="00A12037"/>
    <w:rsid w:val="00A12822"/>
    <w:rsid w:val="00A12B3B"/>
    <w:rsid w:val="00A131FB"/>
    <w:rsid w:val="00A138A7"/>
    <w:rsid w:val="00A13948"/>
    <w:rsid w:val="00A146EA"/>
    <w:rsid w:val="00A14E91"/>
    <w:rsid w:val="00A1555B"/>
    <w:rsid w:val="00A155C5"/>
    <w:rsid w:val="00A156C8"/>
    <w:rsid w:val="00A159F1"/>
    <w:rsid w:val="00A15E28"/>
    <w:rsid w:val="00A16739"/>
    <w:rsid w:val="00A16AD8"/>
    <w:rsid w:val="00A2021E"/>
    <w:rsid w:val="00A20EFC"/>
    <w:rsid w:val="00A21365"/>
    <w:rsid w:val="00A217A1"/>
    <w:rsid w:val="00A21913"/>
    <w:rsid w:val="00A21AC6"/>
    <w:rsid w:val="00A21C95"/>
    <w:rsid w:val="00A21CF3"/>
    <w:rsid w:val="00A21F9B"/>
    <w:rsid w:val="00A23BB8"/>
    <w:rsid w:val="00A23D2D"/>
    <w:rsid w:val="00A246A3"/>
    <w:rsid w:val="00A24813"/>
    <w:rsid w:val="00A24BE9"/>
    <w:rsid w:val="00A258D9"/>
    <w:rsid w:val="00A25A34"/>
    <w:rsid w:val="00A26027"/>
    <w:rsid w:val="00A26755"/>
    <w:rsid w:val="00A26CC4"/>
    <w:rsid w:val="00A26D5F"/>
    <w:rsid w:val="00A26FD8"/>
    <w:rsid w:val="00A273E8"/>
    <w:rsid w:val="00A27AEC"/>
    <w:rsid w:val="00A30887"/>
    <w:rsid w:val="00A30D8B"/>
    <w:rsid w:val="00A311C3"/>
    <w:rsid w:val="00A31E76"/>
    <w:rsid w:val="00A320DB"/>
    <w:rsid w:val="00A32E0E"/>
    <w:rsid w:val="00A33052"/>
    <w:rsid w:val="00A34A8C"/>
    <w:rsid w:val="00A35D16"/>
    <w:rsid w:val="00A35E88"/>
    <w:rsid w:val="00A3729B"/>
    <w:rsid w:val="00A3734F"/>
    <w:rsid w:val="00A37630"/>
    <w:rsid w:val="00A37753"/>
    <w:rsid w:val="00A37BCD"/>
    <w:rsid w:val="00A40B4B"/>
    <w:rsid w:val="00A410A5"/>
    <w:rsid w:val="00A4154B"/>
    <w:rsid w:val="00A41689"/>
    <w:rsid w:val="00A42592"/>
    <w:rsid w:val="00A42BC2"/>
    <w:rsid w:val="00A42EA5"/>
    <w:rsid w:val="00A43157"/>
    <w:rsid w:val="00A43C59"/>
    <w:rsid w:val="00A43D90"/>
    <w:rsid w:val="00A445B2"/>
    <w:rsid w:val="00A449EA"/>
    <w:rsid w:val="00A453B6"/>
    <w:rsid w:val="00A4572E"/>
    <w:rsid w:val="00A463A9"/>
    <w:rsid w:val="00A463BE"/>
    <w:rsid w:val="00A466FF"/>
    <w:rsid w:val="00A46F5F"/>
    <w:rsid w:val="00A4786E"/>
    <w:rsid w:val="00A47C3D"/>
    <w:rsid w:val="00A47D0D"/>
    <w:rsid w:val="00A47D99"/>
    <w:rsid w:val="00A47E1A"/>
    <w:rsid w:val="00A47F2E"/>
    <w:rsid w:val="00A50138"/>
    <w:rsid w:val="00A50795"/>
    <w:rsid w:val="00A50C3F"/>
    <w:rsid w:val="00A50ECD"/>
    <w:rsid w:val="00A518F3"/>
    <w:rsid w:val="00A51AF2"/>
    <w:rsid w:val="00A52729"/>
    <w:rsid w:val="00A52908"/>
    <w:rsid w:val="00A52D19"/>
    <w:rsid w:val="00A53392"/>
    <w:rsid w:val="00A534ED"/>
    <w:rsid w:val="00A53675"/>
    <w:rsid w:val="00A536C3"/>
    <w:rsid w:val="00A53700"/>
    <w:rsid w:val="00A53D2C"/>
    <w:rsid w:val="00A53D6B"/>
    <w:rsid w:val="00A53DBE"/>
    <w:rsid w:val="00A540B0"/>
    <w:rsid w:val="00A54B74"/>
    <w:rsid w:val="00A54DF9"/>
    <w:rsid w:val="00A54E19"/>
    <w:rsid w:val="00A553DB"/>
    <w:rsid w:val="00A55B49"/>
    <w:rsid w:val="00A55F0A"/>
    <w:rsid w:val="00A56252"/>
    <w:rsid w:val="00A564D7"/>
    <w:rsid w:val="00A56876"/>
    <w:rsid w:val="00A56B6A"/>
    <w:rsid w:val="00A56CC1"/>
    <w:rsid w:val="00A57476"/>
    <w:rsid w:val="00A578DC"/>
    <w:rsid w:val="00A57AB7"/>
    <w:rsid w:val="00A57B3F"/>
    <w:rsid w:val="00A6156E"/>
    <w:rsid w:val="00A622F3"/>
    <w:rsid w:val="00A625D0"/>
    <w:rsid w:val="00A62708"/>
    <w:rsid w:val="00A62828"/>
    <w:rsid w:val="00A62DC1"/>
    <w:rsid w:val="00A630B5"/>
    <w:rsid w:val="00A640E2"/>
    <w:rsid w:val="00A64C8A"/>
    <w:rsid w:val="00A64D65"/>
    <w:rsid w:val="00A6511A"/>
    <w:rsid w:val="00A652F3"/>
    <w:rsid w:val="00A6535F"/>
    <w:rsid w:val="00A6604D"/>
    <w:rsid w:val="00A6725B"/>
    <w:rsid w:val="00A67366"/>
    <w:rsid w:val="00A678D0"/>
    <w:rsid w:val="00A67CB6"/>
    <w:rsid w:val="00A67D63"/>
    <w:rsid w:val="00A70505"/>
    <w:rsid w:val="00A70605"/>
    <w:rsid w:val="00A70712"/>
    <w:rsid w:val="00A70BAD"/>
    <w:rsid w:val="00A71050"/>
    <w:rsid w:val="00A71539"/>
    <w:rsid w:val="00A71A16"/>
    <w:rsid w:val="00A721E4"/>
    <w:rsid w:val="00A72A93"/>
    <w:rsid w:val="00A72C0A"/>
    <w:rsid w:val="00A73134"/>
    <w:rsid w:val="00A7365A"/>
    <w:rsid w:val="00A737D3"/>
    <w:rsid w:val="00A74160"/>
    <w:rsid w:val="00A7550F"/>
    <w:rsid w:val="00A7558D"/>
    <w:rsid w:val="00A75DFB"/>
    <w:rsid w:val="00A76001"/>
    <w:rsid w:val="00A768AA"/>
    <w:rsid w:val="00A777B2"/>
    <w:rsid w:val="00A803CC"/>
    <w:rsid w:val="00A806E4"/>
    <w:rsid w:val="00A80C8B"/>
    <w:rsid w:val="00A80EC2"/>
    <w:rsid w:val="00A81736"/>
    <w:rsid w:val="00A81941"/>
    <w:rsid w:val="00A81B59"/>
    <w:rsid w:val="00A81C48"/>
    <w:rsid w:val="00A8214D"/>
    <w:rsid w:val="00A825D4"/>
    <w:rsid w:val="00A82769"/>
    <w:rsid w:val="00A828F6"/>
    <w:rsid w:val="00A829ED"/>
    <w:rsid w:val="00A82B73"/>
    <w:rsid w:val="00A83C71"/>
    <w:rsid w:val="00A84A45"/>
    <w:rsid w:val="00A851C6"/>
    <w:rsid w:val="00A85FB0"/>
    <w:rsid w:val="00A86118"/>
    <w:rsid w:val="00A86E8B"/>
    <w:rsid w:val="00A87164"/>
    <w:rsid w:val="00A871A9"/>
    <w:rsid w:val="00A871E8"/>
    <w:rsid w:val="00A8779B"/>
    <w:rsid w:val="00A87ADD"/>
    <w:rsid w:val="00A900AD"/>
    <w:rsid w:val="00A91E53"/>
    <w:rsid w:val="00A92ED9"/>
    <w:rsid w:val="00A93072"/>
    <w:rsid w:val="00A930C5"/>
    <w:rsid w:val="00A9345A"/>
    <w:rsid w:val="00A938BD"/>
    <w:rsid w:val="00A93953"/>
    <w:rsid w:val="00A93BE4"/>
    <w:rsid w:val="00A94013"/>
    <w:rsid w:val="00A94CA3"/>
    <w:rsid w:val="00A9524E"/>
    <w:rsid w:val="00A95680"/>
    <w:rsid w:val="00A959D8"/>
    <w:rsid w:val="00A95D1A"/>
    <w:rsid w:val="00A96626"/>
    <w:rsid w:val="00A9761B"/>
    <w:rsid w:val="00A976F3"/>
    <w:rsid w:val="00A977E5"/>
    <w:rsid w:val="00AA00AF"/>
    <w:rsid w:val="00AA05EA"/>
    <w:rsid w:val="00AA08DC"/>
    <w:rsid w:val="00AA113D"/>
    <w:rsid w:val="00AA20A2"/>
    <w:rsid w:val="00AA562A"/>
    <w:rsid w:val="00AA5A83"/>
    <w:rsid w:val="00AA5D02"/>
    <w:rsid w:val="00AA6611"/>
    <w:rsid w:val="00AA6BD5"/>
    <w:rsid w:val="00AA6BD8"/>
    <w:rsid w:val="00AA6C7D"/>
    <w:rsid w:val="00AA7088"/>
    <w:rsid w:val="00AA7795"/>
    <w:rsid w:val="00AA7991"/>
    <w:rsid w:val="00AA7A58"/>
    <w:rsid w:val="00AA7FD6"/>
    <w:rsid w:val="00AB03E1"/>
    <w:rsid w:val="00AB042A"/>
    <w:rsid w:val="00AB0849"/>
    <w:rsid w:val="00AB0A96"/>
    <w:rsid w:val="00AB0D12"/>
    <w:rsid w:val="00AB0D9D"/>
    <w:rsid w:val="00AB11AD"/>
    <w:rsid w:val="00AB19EF"/>
    <w:rsid w:val="00AB1C5A"/>
    <w:rsid w:val="00AB248C"/>
    <w:rsid w:val="00AB2495"/>
    <w:rsid w:val="00AB2607"/>
    <w:rsid w:val="00AB2998"/>
    <w:rsid w:val="00AB2D34"/>
    <w:rsid w:val="00AB3430"/>
    <w:rsid w:val="00AB37B9"/>
    <w:rsid w:val="00AB3C9E"/>
    <w:rsid w:val="00AB419B"/>
    <w:rsid w:val="00AB4967"/>
    <w:rsid w:val="00AB4AD1"/>
    <w:rsid w:val="00AB4AF7"/>
    <w:rsid w:val="00AB4B44"/>
    <w:rsid w:val="00AB5906"/>
    <w:rsid w:val="00AB5E07"/>
    <w:rsid w:val="00AB5EFD"/>
    <w:rsid w:val="00AB5FEB"/>
    <w:rsid w:val="00AB67FE"/>
    <w:rsid w:val="00AB6990"/>
    <w:rsid w:val="00AB6D62"/>
    <w:rsid w:val="00AB751C"/>
    <w:rsid w:val="00AB7A39"/>
    <w:rsid w:val="00AB7BC1"/>
    <w:rsid w:val="00AB7CC0"/>
    <w:rsid w:val="00AB7CFA"/>
    <w:rsid w:val="00AC03D2"/>
    <w:rsid w:val="00AC0547"/>
    <w:rsid w:val="00AC093A"/>
    <w:rsid w:val="00AC10A4"/>
    <w:rsid w:val="00AC143F"/>
    <w:rsid w:val="00AC1D11"/>
    <w:rsid w:val="00AC21BF"/>
    <w:rsid w:val="00AC2826"/>
    <w:rsid w:val="00AC3DCF"/>
    <w:rsid w:val="00AC4DE3"/>
    <w:rsid w:val="00AC513A"/>
    <w:rsid w:val="00AC5B38"/>
    <w:rsid w:val="00AC5B42"/>
    <w:rsid w:val="00AC5B48"/>
    <w:rsid w:val="00AC5B91"/>
    <w:rsid w:val="00AC5E26"/>
    <w:rsid w:val="00AC627E"/>
    <w:rsid w:val="00AC62A7"/>
    <w:rsid w:val="00AC6E72"/>
    <w:rsid w:val="00AC76F3"/>
    <w:rsid w:val="00AD0250"/>
    <w:rsid w:val="00AD07D4"/>
    <w:rsid w:val="00AD0BF3"/>
    <w:rsid w:val="00AD0DFF"/>
    <w:rsid w:val="00AD1450"/>
    <w:rsid w:val="00AD15E8"/>
    <w:rsid w:val="00AD27E1"/>
    <w:rsid w:val="00AD341D"/>
    <w:rsid w:val="00AD356D"/>
    <w:rsid w:val="00AD3A52"/>
    <w:rsid w:val="00AD43E0"/>
    <w:rsid w:val="00AD4550"/>
    <w:rsid w:val="00AD45EF"/>
    <w:rsid w:val="00AD5C99"/>
    <w:rsid w:val="00AD6397"/>
    <w:rsid w:val="00AD6502"/>
    <w:rsid w:val="00AD6756"/>
    <w:rsid w:val="00AD748E"/>
    <w:rsid w:val="00AE03E3"/>
    <w:rsid w:val="00AE0695"/>
    <w:rsid w:val="00AE0EA7"/>
    <w:rsid w:val="00AE13C1"/>
    <w:rsid w:val="00AE16AE"/>
    <w:rsid w:val="00AE1A8B"/>
    <w:rsid w:val="00AE209D"/>
    <w:rsid w:val="00AE24C2"/>
    <w:rsid w:val="00AE2C10"/>
    <w:rsid w:val="00AE304A"/>
    <w:rsid w:val="00AE3386"/>
    <w:rsid w:val="00AE3E7E"/>
    <w:rsid w:val="00AE48C8"/>
    <w:rsid w:val="00AE5CBD"/>
    <w:rsid w:val="00AE5D88"/>
    <w:rsid w:val="00AE6CC7"/>
    <w:rsid w:val="00AE7743"/>
    <w:rsid w:val="00AE7E53"/>
    <w:rsid w:val="00AF0CB6"/>
    <w:rsid w:val="00AF1315"/>
    <w:rsid w:val="00AF19BF"/>
    <w:rsid w:val="00AF1BB8"/>
    <w:rsid w:val="00AF1F28"/>
    <w:rsid w:val="00AF2099"/>
    <w:rsid w:val="00AF261A"/>
    <w:rsid w:val="00AF2CF3"/>
    <w:rsid w:val="00AF2DC3"/>
    <w:rsid w:val="00AF31B5"/>
    <w:rsid w:val="00AF3874"/>
    <w:rsid w:val="00AF400E"/>
    <w:rsid w:val="00AF429E"/>
    <w:rsid w:val="00AF4978"/>
    <w:rsid w:val="00AF4A84"/>
    <w:rsid w:val="00AF613A"/>
    <w:rsid w:val="00AF62FB"/>
    <w:rsid w:val="00AF6B89"/>
    <w:rsid w:val="00AF71F0"/>
    <w:rsid w:val="00AF724E"/>
    <w:rsid w:val="00AF7EE2"/>
    <w:rsid w:val="00B00790"/>
    <w:rsid w:val="00B0092B"/>
    <w:rsid w:val="00B00AD9"/>
    <w:rsid w:val="00B00E75"/>
    <w:rsid w:val="00B026D7"/>
    <w:rsid w:val="00B02F9D"/>
    <w:rsid w:val="00B033E5"/>
    <w:rsid w:val="00B03A63"/>
    <w:rsid w:val="00B03B6E"/>
    <w:rsid w:val="00B03D61"/>
    <w:rsid w:val="00B052BF"/>
    <w:rsid w:val="00B0561B"/>
    <w:rsid w:val="00B0583B"/>
    <w:rsid w:val="00B06BA3"/>
    <w:rsid w:val="00B07CCC"/>
    <w:rsid w:val="00B114CD"/>
    <w:rsid w:val="00B1171B"/>
    <w:rsid w:val="00B118BD"/>
    <w:rsid w:val="00B12078"/>
    <w:rsid w:val="00B129A4"/>
    <w:rsid w:val="00B1414C"/>
    <w:rsid w:val="00B144F9"/>
    <w:rsid w:val="00B1581F"/>
    <w:rsid w:val="00B15953"/>
    <w:rsid w:val="00B166C4"/>
    <w:rsid w:val="00B16F5B"/>
    <w:rsid w:val="00B172F3"/>
    <w:rsid w:val="00B1754E"/>
    <w:rsid w:val="00B178AA"/>
    <w:rsid w:val="00B17C2A"/>
    <w:rsid w:val="00B17EB9"/>
    <w:rsid w:val="00B200EB"/>
    <w:rsid w:val="00B201A4"/>
    <w:rsid w:val="00B201D1"/>
    <w:rsid w:val="00B20D4A"/>
    <w:rsid w:val="00B213A6"/>
    <w:rsid w:val="00B215DF"/>
    <w:rsid w:val="00B22320"/>
    <w:rsid w:val="00B2301D"/>
    <w:rsid w:val="00B2312B"/>
    <w:rsid w:val="00B235B0"/>
    <w:rsid w:val="00B24A28"/>
    <w:rsid w:val="00B24DF6"/>
    <w:rsid w:val="00B257DF"/>
    <w:rsid w:val="00B25C69"/>
    <w:rsid w:val="00B26484"/>
    <w:rsid w:val="00B2758C"/>
    <w:rsid w:val="00B277AF"/>
    <w:rsid w:val="00B278D9"/>
    <w:rsid w:val="00B27A61"/>
    <w:rsid w:val="00B27A84"/>
    <w:rsid w:val="00B306F7"/>
    <w:rsid w:val="00B310A9"/>
    <w:rsid w:val="00B312BE"/>
    <w:rsid w:val="00B3200E"/>
    <w:rsid w:val="00B320FA"/>
    <w:rsid w:val="00B333DB"/>
    <w:rsid w:val="00B34496"/>
    <w:rsid w:val="00B345F7"/>
    <w:rsid w:val="00B34C55"/>
    <w:rsid w:val="00B34FE2"/>
    <w:rsid w:val="00B3502F"/>
    <w:rsid w:val="00B35166"/>
    <w:rsid w:val="00B35191"/>
    <w:rsid w:val="00B352D6"/>
    <w:rsid w:val="00B3545D"/>
    <w:rsid w:val="00B357D8"/>
    <w:rsid w:val="00B3587A"/>
    <w:rsid w:val="00B360F4"/>
    <w:rsid w:val="00B36103"/>
    <w:rsid w:val="00B36A00"/>
    <w:rsid w:val="00B36BFF"/>
    <w:rsid w:val="00B36DCF"/>
    <w:rsid w:val="00B36ECE"/>
    <w:rsid w:val="00B377D7"/>
    <w:rsid w:val="00B3792B"/>
    <w:rsid w:val="00B37BFC"/>
    <w:rsid w:val="00B4009C"/>
    <w:rsid w:val="00B40358"/>
    <w:rsid w:val="00B4054D"/>
    <w:rsid w:val="00B408C4"/>
    <w:rsid w:val="00B4118D"/>
    <w:rsid w:val="00B41614"/>
    <w:rsid w:val="00B42851"/>
    <w:rsid w:val="00B42AC9"/>
    <w:rsid w:val="00B42F80"/>
    <w:rsid w:val="00B435CB"/>
    <w:rsid w:val="00B44D20"/>
    <w:rsid w:val="00B45DFE"/>
    <w:rsid w:val="00B465EC"/>
    <w:rsid w:val="00B46768"/>
    <w:rsid w:val="00B46FF6"/>
    <w:rsid w:val="00B471CE"/>
    <w:rsid w:val="00B4749C"/>
    <w:rsid w:val="00B50049"/>
    <w:rsid w:val="00B50537"/>
    <w:rsid w:val="00B505C8"/>
    <w:rsid w:val="00B50DB8"/>
    <w:rsid w:val="00B51178"/>
    <w:rsid w:val="00B5135B"/>
    <w:rsid w:val="00B51C6E"/>
    <w:rsid w:val="00B51D7D"/>
    <w:rsid w:val="00B52137"/>
    <w:rsid w:val="00B52BD1"/>
    <w:rsid w:val="00B52DB5"/>
    <w:rsid w:val="00B52F7D"/>
    <w:rsid w:val="00B53654"/>
    <w:rsid w:val="00B5368D"/>
    <w:rsid w:val="00B53905"/>
    <w:rsid w:val="00B53C78"/>
    <w:rsid w:val="00B53CAD"/>
    <w:rsid w:val="00B5419E"/>
    <w:rsid w:val="00B546DB"/>
    <w:rsid w:val="00B5493D"/>
    <w:rsid w:val="00B54B5B"/>
    <w:rsid w:val="00B54BF3"/>
    <w:rsid w:val="00B54ED6"/>
    <w:rsid w:val="00B55084"/>
    <w:rsid w:val="00B5562E"/>
    <w:rsid w:val="00B55862"/>
    <w:rsid w:val="00B55CF8"/>
    <w:rsid w:val="00B55D65"/>
    <w:rsid w:val="00B56305"/>
    <w:rsid w:val="00B56D83"/>
    <w:rsid w:val="00B57000"/>
    <w:rsid w:val="00B57D47"/>
    <w:rsid w:val="00B602C0"/>
    <w:rsid w:val="00B606D0"/>
    <w:rsid w:val="00B60939"/>
    <w:rsid w:val="00B60A4E"/>
    <w:rsid w:val="00B60AFD"/>
    <w:rsid w:val="00B60CDB"/>
    <w:rsid w:val="00B61F36"/>
    <w:rsid w:val="00B6216E"/>
    <w:rsid w:val="00B62447"/>
    <w:rsid w:val="00B62715"/>
    <w:rsid w:val="00B628AB"/>
    <w:rsid w:val="00B6345D"/>
    <w:rsid w:val="00B63CAA"/>
    <w:rsid w:val="00B6496E"/>
    <w:rsid w:val="00B65523"/>
    <w:rsid w:val="00B65611"/>
    <w:rsid w:val="00B665C5"/>
    <w:rsid w:val="00B67743"/>
    <w:rsid w:val="00B70C74"/>
    <w:rsid w:val="00B70E8E"/>
    <w:rsid w:val="00B71656"/>
    <w:rsid w:val="00B71D7E"/>
    <w:rsid w:val="00B72025"/>
    <w:rsid w:val="00B728C0"/>
    <w:rsid w:val="00B72EFA"/>
    <w:rsid w:val="00B74004"/>
    <w:rsid w:val="00B740F3"/>
    <w:rsid w:val="00B75DD2"/>
    <w:rsid w:val="00B76AF3"/>
    <w:rsid w:val="00B76C92"/>
    <w:rsid w:val="00B76EB6"/>
    <w:rsid w:val="00B77114"/>
    <w:rsid w:val="00B77FAC"/>
    <w:rsid w:val="00B77FB6"/>
    <w:rsid w:val="00B80CED"/>
    <w:rsid w:val="00B80EFD"/>
    <w:rsid w:val="00B817A7"/>
    <w:rsid w:val="00B818A4"/>
    <w:rsid w:val="00B81C2B"/>
    <w:rsid w:val="00B83515"/>
    <w:rsid w:val="00B83739"/>
    <w:rsid w:val="00B83903"/>
    <w:rsid w:val="00B83A89"/>
    <w:rsid w:val="00B83EA3"/>
    <w:rsid w:val="00B84117"/>
    <w:rsid w:val="00B84307"/>
    <w:rsid w:val="00B84C67"/>
    <w:rsid w:val="00B854C1"/>
    <w:rsid w:val="00B858F0"/>
    <w:rsid w:val="00B85AA2"/>
    <w:rsid w:val="00B8649C"/>
    <w:rsid w:val="00B8695D"/>
    <w:rsid w:val="00B86FB8"/>
    <w:rsid w:val="00B87F0A"/>
    <w:rsid w:val="00B87FA0"/>
    <w:rsid w:val="00B915B3"/>
    <w:rsid w:val="00B91EE4"/>
    <w:rsid w:val="00B92D0B"/>
    <w:rsid w:val="00B937F2"/>
    <w:rsid w:val="00B93D1A"/>
    <w:rsid w:val="00B9404E"/>
    <w:rsid w:val="00B9449D"/>
    <w:rsid w:val="00B94792"/>
    <w:rsid w:val="00B94945"/>
    <w:rsid w:val="00B94A53"/>
    <w:rsid w:val="00B94DD6"/>
    <w:rsid w:val="00B94FC0"/>
    <w:rsid w:val="00B95235"/>
    <w:rsid w:val="00BA0318"/>
    <w:rsid w:val="00BA0496"/>
    <w:rsid w:val="00BA07D1"/>
    <w:rsid w:val="00BA1139"/>
    <w:rsid w:val="00BA1674"/>
    <w:rsid w:val="00BA25FC"/>
    <w:rsid w:val="00BA28A9"/>
    <w:rsid w:val="00BA2A69"/>
    <w:rsid w:val="00BA2D78"/>
    <w:rsid w:val="00BA322D"/>
    <w:rsid w:val="00BA3691"/>
    <w:rsid w:val="00BA37BC"/>
    <w:rsid w:val="00BA3A2E"/>
    <w:rsid w:val="00BA3B3E"/>
    <w:rsid w:val="00BA40AF"/>
    <w:rsid w:val="00BA43AA"/>
    <w:rsid w:val="00BA4779"/>
    <w:rsid w:val="00BA4871"/>
    <w:rsid w:val="00BA4910"/>
    <w:rsid w:val="00BA50EE"/>
    <w:rsid w:val="00BA5203"/>
    <w:rsid w:val="00BA5E29"/>
    <w:rsid w:val="00BA63FA"/>
    <w:rsid w:val="00BA775F"/>
    <w:rsid w:val="00BB00B3"/>
    <w:rsid w:val="00BB0682"/>
    <w:rsid w:val="00BB0A31"/>
    <w:rsid w:val="00BB0BDD"/>
    <w:rsid w:val="00BB176C"/>
    <w:rsid w:val="00BB1F2D"/>
    <w:rsid w:val="00BB2984"/>
    <w:rsid w:val="00BB2A73"/>
    <w:rsid w:val="00BB2B01"/>
    <w:rsid w:val="00BB3A45"/>
    <w:rsid w:val="00BB3A83"/>
    <w:rsid w:val="00BB401D"/>
    <w:rsid w:val="00BB4122"/>
    <w:rsid w:val="00BB4ACC"/>
    <w:rsid w:val="00BB4C97"/>
    <w:rsid w:val="00BB4EF6"/>
    <w:rsid w:val="00BB51F7"/>
    <w:rsid w:val="00BB537F"/>
    <w:rsid w:val="00BB5CA0"/>
    <w:rsid w:val="00BB61B8"/>
    <w:rsid w:val="00BB6A59"/>
    <w:rsid w:val="00BB703E"/>
    <w:rsid w:val="00BB70A8"/>
    <w:rsid w:val="00BB732D"/>
    <w:rsid w:val="00BB7405"/>
    <w:rsid w:val="00BB7B36"/>
    <w:rsid w:val="00BB7EFA"/>
    <w:rsid w:val="00BC00A3"/>
    <w:rsid w:val="00BC0495"/>
    <w:rsid w:val="00BC0656"/>
    <w:rsid w:val="00BC07FC"/>
    <w:rsid w:val="00BC129F"/>
    <w:rsid w:val="00BC184D"/>
    <w:rsid w:val="00BC1BF5"/>
    <w:rsid w:val="00BC1E9F"/>
    <w:rsid w:val="00BC2984"/>
    <w:rsid w:val="00BC2AEF"/>
    <w:rsid w:val="00BC2D4B"/>
    <w:rsid w:val="00BC3631"/>
    <w:rsid w:val="00BC38E1"/>
    <w:rsid w:val="00BC43B7"/>
    <w:rsid w:val="00BC4892"/>
    <w:rsid w:val="00BC4B7E"/>
    <w:rsid w:val="00BC4E72"/>
    <w:rsid w:val="00BC520F"/>
    <w:rsid w:val="00BC53C3"/>
    <w:rsid w:val="00BC591F"/>
    <w:rsid w:val="00BC5F3D"/>
    <w:rsid w:val="00BC6562"/>
    <w:rsid w:val="00BC6622"/>
    <w:rsid w:val="00BC7002"/>
    <w:rsid w:val="00BC7ACF"/>
    <w:rsid w:val="00BC7D6D"/>
    <w:rsid w:val="00BC7DA8"/>
    <w:rsid w:val="00BD0A75"/>
    <w:rsid w:val="00BD1194"/>
    <w:rsid w:val="00BD1A2F"/>
    <w:rsid w:val="00BD1EEC"/>
    <w:rsid w:val="00BD2108"/>
    <w:rsid w:val="00BD2616"/>
    <w:rsid w:val="00BD288D"/>
    <w:rsid w:val="00BD2D24"/>
    <w:rsid w:val="00BD3121"/>
    <w:rsid w:val="00BD3ADD"/>
    <w:rsid w:val="00BD3E5B"/>
    <w:rsid w:val="00BD3F95"/>
    <w:rsid w:val="00BD409E"/>
    <w:rsid w:val="00BD4231"/>
    <w:rsid w:val="00BD4604"/>
    <w:rsid w:val="00BD487D"/>
    <w:rsid w:val="00BD4891"/>
    <w:rsid w:val="00BD4D9D"/>
    <w:rsid w:val="00BD5106"/>
    <w:rsid w:val="00BD547E"/>
    <w:rsid w:val="00BD5927"/>
    <w:rsid w:val="00BD5E4F"/>
    <w:rsid w:val="00BD64A4"/>
    <w:rsid w:val="00BD65BE"/>
    <w:rsid w:val="00BD6618"/>
    <w:rsid w:val="00BD67FD"/>
    <w:rsid w:val="00BD68A3"/>
    <w:rsid w:val="00BD6938"/>
    <w:rsid w:val="00BD6A24"/>
    <w:rsid w:val="00BD6CF3"/>
    <w:rsid w:val="00BD6EF1"/>
    <w:rsid w:val="00BD7711"/>
    <w:rsid w:val="00BD7EE8"/>
    <w:rsid w:val="00BD7F72"/>
    <w:rsid w:val="00BE03B1"/>
    <w:rsid w:val="00BE0C8D"/>
    <w:rsid w:val="00BE0ECA"/>
    <w:rsid w:val="00BE1471"/>
    <w:rsid w:val="00BE17F7"/>
    <w:rsid w:val="00BE1FF7"/>
    <w:rsid w:val="00BE2180"/>
    <w:rsid w:val="00BE21D5"/>
    <w:rsid w:val="00BE21F2"/>
    <w:rsid w:val="00BE27DE"/>
    <w:rsid w:val="00BE3848"/>
    <w:rsid w:val="00BE417E"/>
    <w:rsid w:val="00BE4275"/>
    <w:rsid w:val="00BE44B5"/>
    <w:rsid w:val="00BE459F"/>
    <w:rsid w:val="00BE4E72"/>
    <w:rsid w:val="00BE500B"/>
    <w:rsid w:val="00BE549A"/>
    <w:rsid w:val="00BE5624"/>
    <w:rsid w:val="00BE59BA"/>
    <w:rsid w:val="00BE6621"/>
    <w:rsid w:val="00BE6712"/>
    <w:rsid w:val="00BE6F11"/>
    <w:rsid w:val="00BE73A1"/>
    <w:rsid w:val="00BE7805"/>
    <w:rsid w:val="00BE7CB1"/>
    <w:rsid w:val="00BF0621"/>
    <w:rsid w:val="00BF06AE"/>
    <w:rsid w:val="00BF0785"/>
    <w:rsid w:val="00BF0B60"/>
    <w:rsid w:val="00BF0F95"/>
    <w:rsid w:val="00BF13D6"/>
    <w:rsid w:val="00BF2433"/>
    <w:rsid w:val="00BF2E49"/>
    <w:rsid w:val="00BF2E6E"/>
    <w:rsid w:val="00BF2F10"/>
    <w:rsid w:val="00BF306D"/>
    <w:rsid w:val="00BF307A"/>
    <w:rsid w:val="00BF4285"/>
    <w:rsid w:val="00BF5483"/>
    <w:rsid w:val="00BF55C1"/>
    <w:rsid w:val="00BF5F69"/>
    <w:rsid w:val="00BF61C9"/>
    <w:rsid w:val="00BF66C1"/>
    <w:rsid w:val="00BF68E8"/>
    <w:rsid w:val="00BF6C94"/>
    <w:rsid w:val="00BF6E5A"/>
    <w:rsid w:val="00BF79D8"/>
    <w:rsid w:val="00BF7AFD"/>
    <w:rsid w:val="00BF7E4E"/>
    <w:rsid w:val="00C003D9"/>
    <w:rsid w:val="00C00424"/>
    <w:rsid w:val="00C00BB0"/>
    <w:rsid w:val="00C00BD7"/>
    <w:rsid w:val="00C018FF"/>
    <w:rsid w:val="00C020C5"/>
    <w:rsid w:val="00C0249E"/>
    <w:rsid w:val="00C0334D"/>
    <w:rsid w:val="00C033CD"/>
    <w:rsid w:val="00C03F3A"/>
    <w:rsid w:val="00C04AD2"/>
    <w:rsid w:val="00C0544B"/>
    <w:rsid w:val="00C0583C"/>
    <w:rsid w:val="00C05C9C"/>
    <w:rsid w:val="00C06013"/>
    <w:rsid w:val="00C060B1"/>
    <w:rsid w:val="00C068F4"/>
    <w:rsid w:val="00C074AC"/>
    <w:rsid w:val="00C077A5"/>
    <w:rsid w:val="00C07BC7"/>
    <w:rsid w:val="00C10E76"/>
    <w:rsid w:val="00C1179F"/>
    <w:rsid w:val="00C117BD"/>
    <w:rsid w:val="00C11CA2"/>
    <w:rsid w:val="00C127B9"/>
    <w:rsid w:val="00C128FA"/>
    <w:rsid w:val="00C12C14"/>
    <w:rsid w:val="00C1411B"/>
    <w:rsid w:val="00C145C9"/>
    <w:rsid w:val="00C14B0C"/>
    <w:rsid w:val="00C14C8C"/>
    <w:rsid w:val="00C14CFB"/>
    <w:rsid w:val="00C155B8"/>
    <w:rsid w:val="00C15B72"/>
    <w:rsid w:val="00C15D16"/>
    <w:rsid w:val="00C15F04"/>
    <w:rsid w:val="00C1649F"/>
    <w:rsid w:val="00C16CDD"/>
    <w:rsid w:val="00C16E39"/>
    <w:rsid w:val="00C179B3"/>
    <w:rsid w:val="00C17B3D"/>
    <w:rsid w:val="00C17DA1"/>
    <w:rsid w:val="00C17E3F"/>
    <w:rsid w:val="00C200AA"/>
    <w:rsid w:val="00C20E7D"/>
    <w:rsid w:val="00C237ED"/>
    <w:rsid w:val="00C23832"/>
    <w:rsid w:val="00C23E5A"/>
    <w:rsid w:val="00C24632"/>
    <w:rsid w:val="00C24ACD"/>
    <w:rsid w:val="00C25418"/>
    <w:rsid w:val="00C2560F"/>
    <w:rsid w:val="00C25CB3"/>
    <w:rsid w:val="00C25D39"/>
    <w:rsid w:val="00C25D9C"/>
    <w:rsid w:val="00C26D44"/>
    <w:rsid w:val="00C2778B"/>
    <w:rsid w:val="00C277DA"/>
    <w:rsid w:val="00C27FBF"/>
    <w:rsid w:val="00C310B7"/>
    <w:rsid w:val="00C31649"/>
    <w:rsid w:val="00C32A85"/>
    <w:rsid w:val="00C32D0F"/>
    <w:rsid w:val="00C32F9D"/>
    <w:rsid w:val="00C33CE5"/>
    <w:rsid w:val="00C3434C"/>
    <w:rsid w:val="00C34690"/>
    <w:rsid w:val="00C3469C"/>
    <w:rsid w:val="00C34E30"/>
    <w:rsid w:val="00C35AB0"/>
    <w:rsid w:val="00C36499"/>
    <w:rsid w:val="00C36629"/>
    <w:rsid w:val="00C3683A"/>
    <w:rsid w:val="00C37A65"/>
    <w:rsid w:val="00C37D72"/>
    <w:rsid w:val="00C37FD1"/>
    <w:rsid w:val="00C40385"/>
    <w:rsid w:val="00C405D2"/>
    <w:rsid w:val="00C40AFE"/>
    <w:rsid w:val="00C412A6"/>
    <w:rsid w:val="00C41768"/>
    <w:rsid w:val="00C42576"/>
    <w:rsid w:val="00C431B8"/>
    <w:rsid w:val="00C43588"/>
    <w:rsid w:val="00C43847"/>
    <w:rsid w:val="00C43C0C"/>
    <w:rsid w:val="00C43D2A"/>
    <w:rsid w:val="00C44093"/>
    <w:rsid w:val="00C44824"/>
    <w:rsid w:val="00C44FA4"/>
    <w:rsid w:val="00C4638A"/>
    <w:rsid w:val="00C46ED2"/>
    <w:rsid w:val="00C475AA"/>
    <w:rsid w:val="00C476CE"/>
    <w:rsid w:val="00C50864"/>
    <w:rsid w:val="00C50974"/>
    <w:rsid w:val="00C52463"/>
    <w:rsid w:val="00C525BB"/>
    <w:rsid w:val="00C527C7"/>
    <w:rsid w:val="00C52C1B"/>
    <w:rsid w:val="00C52FDC"/>
    <w:rsid w:val="00C53B73"/>
    <w:rsid w:val="00C53C98"/>
    <w:rsid w:val="00C53CBB"/>
    <w:rsid w:val="00C53F85"/>
    <w:rsid w:val="00C54068"/>
    <w:rsid w:val="00C54072"/>
    <w:rsid w:val="00C5489B"/>
    <w:rsid w:val="00C553F6"/>
    <w:rsid w:val="00C56170"/>
    <w:rsid w:val="00C56FCF"/>
    <w:rsid w:val="00C57817"/>
    <w:rsid w:val="00C57854"/>
    <w:rsid w:val="00C579C3"/>
    <w:rsid w:val="00C57B6C"/>
    <w:rsid w:val="00C6003A"/>
    <w:rsid w:val="00C616ED"/>
    <w:rsid w:val="00C61A59"/>
    <w:rsid w:val="00C61D42"/>
    <w:rsid w:val="00C622CC"/>
    <w:rsid w:val="00C628A6"/>
    <w:rsid w:val="00C641CB"/>
    <w:rsid w:val="00C64344"/>
    <w:rsid w:val="00C6460C"/>
    <w:rsid w:val="00C64E35"/>
    <w:rsid w:val="00C64F0E"/>
    <w:rsid w:val="00C65108"/>
    <w:rsid w:val="00C65576"/>
    <w:rsid w:val="00C65880"/>
    <w:rsid w:val="00C65985"/>
    <w:rsid w:val="00C66165"/>
    <w:rsid w:val="00C668A4"/>
    <w:rsid w:val="00C66ACC"/>
    <w:rsid w:val="00C67183"/>
    <w:rsid w:val="00C67DC3"/>
    <w:rsid w:val="00C67FE2"/>
    <w:rsid w:val="00C7060A"/>
    <w:rsid w:val="00C7151A"/>
    <w:rsid w:val="00C717E3"/>
    <w:rsid w:val="00C71A49"/>
    <w:rsid w:val="00C71F60"/>
    <w:rsid w:val="00C72241"/>
    <w:rsid w:val="00C73115"/>
    <w:rsid w:val="00C73914"/>
    <w:rsid w:val="00C73DD6"/>
    <w:rsid w:val="00C74D02"/>
    <w:rsid w:val="00C750C8"/>
    <w:rsid w:val="00C7560F"/>
    <w:rsid w:val="00C75D88"/>
    <w:rsid w:val="00C768B0"/>
    <w:rsid w:val="00C76918"/>
    <w:rsid w:val="00C7695F"/>
    <w:rsid w:val="00C76BCD"/>
    <w:rsid w:val="00C7790D"/>
    <w:rsid w:val="00C77D48"/>
    <w:rsid w:val="00C77EA1"/>
    <w:rsid w:val="00C8079D"/>
    <w:rsid w:val="00C80A0E"/>
    <w:rsid w:val="00C8213F"/>
    <w:rsid w:val="00C82596"/>
    <w:rsid w:val="00C82A10"/>
    <w:rsid w:val="00C82BE9"/>
    <w:rsid w:val="00C8303F"/>
    <w:rsid w:val="00C83EDB"/>
    <w:rsid w:val="00C83F7D"/>
    <w:rsid w:val="00C83F80"/>
    <w:rsid w:val="00C8435D"/>
    <w:rsid w:val="00C8438B"/>
    <w:rsid w:val="00C843AF"/>
    <w:rsid w:val="00C84746"/>
    <w:rsid w:val="00C85154"/>
    <w:rsid w:val="00C85A70"/>
    <w:rsid w:val="00C875A1"/>
    <w:rsid w:val="00C8797A"/>
    <w:rsid w:val="00C900B8"/>
    <w:rsid w:val="00C900DC"/>
    <w:rsid w:val="00C90197"/>
    <w:rsid w:val="00C9062D"/>
    <w:rsid w:val="00C90C71"/>
    <w:rsid w:val="00C90FD0"/>
    <w:rsid w:val="00C910F2"/>
    <w:rsid w:val="00C917D8"/>
    <w:rsid w:val="00C91BC1"/>
    <w:rsid w:val="00C91FD1"/>
    <w:rsid w:val="00C929A3"/>
    <w:rsid w:val="00C92A40"/>
    <w:rsid w:val="00C92F94"/>
    <w:rsid w:val="00C931CF"/>
    <w:rsid w:val="00C938CF"/>
    <w:rsid w:val="00C939D9"/>
    <w:rsid w:val="00C94053"/>
    <w:rsid w:val="00C947EE"/>
    <w:rsid w:val="00C94821"/>
    <w:rsid w:val="00C9539C"/>
    <w:rsid w:val="00C95A53"/>
    <w:rsid w:val="00C95DA3"/>
    <w:rsid w:val="00C95DAD"/>
    <w:rsid w:val="00C960CB"/>
    <w:rsid w:val="00C9624D"/>
    <w:rsid w:val="00C969DA"/>
    <w:rsid w:val="00C96C63"/>
    <w:rsid w:val="00C96DE5"/>
    <w:rsid w:val="00C971D5"/>
    <w:rsid w:val="00C97C95"/>
    <w:rsid w:val="00CA0653"/>
    <w:rsid w:val="00CA07A5"/>
    <w:rsid w:val="00CA0FD5"/>
    <w:rsid w:val="00CA16CA"/>
    <w:rsid w:val="00CA18DD"/>
    <w:rsid w:val="00CA1B2B"/>
    <w:rsid w:val="00CA1FC3"/>
    <w:rsid w:val="00CA2545"/>
    <w:rsid w:val="00CA2B84"/>
    <w:rsid w:val="00CA2C77"/>
    <w:rsid w:val="00CA33FA"/>
    <w:rsid w:val="00CA3A4B"/>
    <w:rsid w:val="00CA3B04"/>
    <w:rsid w:val="00CA3F55"/>
    <w:rsid w:val="00CA42D3"/>
    <w:rsid w:val="00CA444F"/>
    <w:rsid w:val="00CA4873"/>
    <w:rsid w:val="00CA5245"/>
    <w:rsid w:val="00CA5509"/>
    <w:rsid w:val="00CA59A6"/>
    <w:rsid w:val="00CA626A"/>
    <w:rsid w:val="00CA635D"/>
    <w:rsid w:val="00CA6690"/>
    <w:rsid w:val="00CA71F4"/>
    <w:rsid w:val="00CA7B09"/>
    <w:rsid w:val="00CA7B4D"/>
    <w:rsid w:val="00CA7F70"/>
    <w:rsid w:val="00CB08DC"/>
    <w:rsid w:val="00CB11B3"/>
    <w:rsid w:val="00CB12A5"/>
    <w:rsid w:val="00CB1735"/>
    <w:rsid w:val="00CB1CAC"/>
    <w:rsid w:val="00CB208E"/>
    <w:rsid w:val="00CB2D66"/>
    <w:rsid w:val="00CB2F2A"/>
    <w:rsid w:val="00CB3325"/>
    <w:rsid w:val="00CB3451"/>
    <w:rsid w:val="00CB3BDD"/>
    <w:rsid w:val="00CB4A36"/>
    <w:rsid w:val="00CB5290"/>
    <w:rsid w:val="00CB5B1A"/>
    <w:rsid w:val="00CB6B22"/>
    <w:rsid w:val="00CB7538"/>
    <w:rsid w:val="00CB7961"/>
    <w:rsid w:val="00CB7992"/>
    <w:rsid w:val="00CB7CEF"/>
    <w:rsid w:val="00CB7D83"/>
    <w:rsid w:val="00CB7DE1"/>
    <w:rsid w:val="00CB7F5F"/>
    <w:rsid w:val="00CC05EB"/>
    <w:rsid w:val="00CC0641"/>
    <w:rsid w:val="00CC07D8"/>
    <w:rsid w:val="00CC0EFB"/>
    <w:rsid w:val="00CC1009"/>
    <w:rsid w:val="00CC1B39"/>
    <w:rsid w:val="00CC1BFA"/>
    <w:rsid w:val="00CC1F61"/>
    <w:rsid w:val="00CC2087"/>
    <w:rsid w:val="00CC2442"/>
    <w:rsid w:val="00CC2516"/>
    <w:rsid w:val="00CC291E"/>
    <w:rsid w:val="00CC2E9F"/>
    <w:rsid w:val="00CC2FA1"/>
    <w:rsid w:val="00CC2FE3"/>
    <w:rsid w:val="00CC35EA"/>
    <w:rsid w:val="00CC3848"/>
    <w:rsid w:val="00CC38BC"/>
    <w:rsid w:val="00CC3B64"/>
    <w:rsid w:val="00CC3DC3"/>
    <w:rsid w:val="00CC4651"/>
    <w:rsid w:val="00CC5273"/>
    <w:rsid w:val="00CC56C5"/>
    <w:rsid w:val="00CC5F96"/>
    <w:rsid w:val="00CC6149"/>
    <w:rsid w:val="00CC6457"/>
    <w:rsid w:val="00CC6CD8"/>
    <w:rsid w:val="00CC6D5E"/>
    <w:rsid w:val="00CC6D64"/>
    <w:rsid w:val="00CC7007"/>
    <w:rsid w:val="00CC7CAD"/>
    <w:rsid w:val="00CC7D59"/>
    <w:rsid w:val="00CD0200"/>
    <w:rsid w:val="00CD0594"/>
    <w:rsid w:val="00CD0AD7"/>
    <w:rsid w:val="00CD0BF3"/>
    <w:rsid w:val="00CD2F97"/>
    <w:rsid w:val="00CD3F77"/>
    <w:rsid w:val="00CD40CC"/>
    <w:rsid w:val="00CD46F2"/>
    <w:rsid w:val="00CD5380"/>
    <w:rsid w:val="00CD550F"/>
    <w:rsid w:val="00CD5AA7"/>
    <w:rsid w:val="00CD610A"/>
    <w:rsid w:val="00CD6114"/>
    <w:rsid w:val="00CD676E"/>
    <w:rsid w:val="00CD68DB"/>
    <w:rsid w:val="00CD6ADC"/>
    <w:rsid w:val="00CD7193"/>
    <w:rsid w:val="00CE055C"/>
    <w:rsid w:val="00CE076D"/>
    <w:rsid w:val="00CE0ECF"/>
    <w:rsid w:val="00CE12D5"/>
    <w:rsid w:val="00CE2160"/>
    <w:rsid w:val="00CE2553"/>
    <w:rsid w:val="00CE2881"/>
    <w:rsid w:val="00CE38C8"/>
    <w:rsid w:val="00CE3D4D"/>
    <w:rsid w:val="00CE3E06"/>
    <w:rsid w:val="00CE524F"/>
    <w:rsid w:val="00CE52B3"/>
    <w:rsid w:val="00CE58CC"/>
    <w:rsid w:val="00CE59A6"/>
    <w:rsid w:val="00CE6274"/>
    <w:rsid w:val="00CE6F0B"/>
    <w:rsid w:val="00CE7304"/>
    <w:rsid w:val="00CE77B6"/>
    <w:rsid w:val="00CE7F37"/>
    <w:rsid w:val="00CF10E2"/>
    <w:rsid w:val="00CF13BF"/>
    <w:rsid w:val="00CF206C"/>
    <w:rsid w:val="00CF2B8D"/>
    <w:rsid w:val="00CF2FAA"/>
    <w:rsid w:val="00CF331D"/>
    <w:rsid w:val="00CF3853"/>
    <w:rsid w:val="00CF3A1B"/>
    <w:rsid w:val="00CF410D"/>
    <w:rsid w:val="00CF456B"/>
    <w:rsid w:val="00CF5409"/>
    <w:rsid w:val="00CF5476"/>
    <w:rsid w:val="00CF5A22"/>
    <w:rsid w:val="00CF69FA"/>
    <w:rsid w:val="00CF7016"/>
    <w:rsid w:val="00CF7586"/>
    <w:rsid w:val="00CF7717"/>
    <w:rsid w:val="00D0006C"/>
    <w:rsid w:val="00D001A6"/>
    <w:rsid w:val="00D005C7"/>
    <w:rsid w:val="00D00E3B"/>
    <w:rsid w:val="00D01532"/>
    <w:rsid w:val="00D0159B"/>
    <w:rsid w:val="00D015EF"/>
    <w:rsid w:val="00D01D26"/>
    <w:rsid w:val="00D01DC4"/>
    <w:rsid w:val="00D01E64"/>
    <w:rsid w:val="00D01F29"/>
    <w:rsid w:val="00D01FC7"/>
    <w:rsid w:val="00D02361"/>
    <w:rsid w:val="00D0262E"/>
    <w:rsid w:val="00D03679"/>
    <w:rsid w:val="00D0467B"/>
    <w:rsid w:val="00D04E4E"/>
    <w:rsid w:val="00D053DE"/>
    <w:rsid w:val="00D05E3D"/>
    <w:rsid w:val="00D06139"/>
    <w:rsid w:val="00D06C20"/>
    <w:rsid w:val="00D07EE5"/>
    <w:rsid w:val="00D07FAC"/>
    <w:rsid w:val="00D106BC"/>
    <w:rsid w:val="00D10B33"/>
    <w:rsid w:val="00D110BD"/>
    <w:rsid w:val="00D11C4A"/>
    <w:rsid w:val="00D11E23"/>
    <w:rsid w:val="00D122D4"/>
    <w:rsid w:val="00D1288B"/>
    <w:rsid w:val="00D13557"/>
    <w:rsid w:val="00D13675"/>
    <w:rsid w:val="00D137C9"/>
    <w:rsid w:val="00D13804"/>
    <w:rsid w:val="00D141DC"/>
    <w:rsid w:val="00D141E1"/>
    <w:rsid w:val="00D1452D"/>
    <w:rsid w:val="00D147D5"/>
    <w:rsid w:val="00D14D01"/>
    <w:rsid w:val="00D14E94"/>
    <w:rsid w:val="00D150CB"/>
    <w:rsid w:val="00D15150"/>
    <w:rsid w:val="00D15314"/>
    <w:rsid w:val="00D153B5"/>
    <w:rsid w:val="00D15B48"/>
    <w:rsid w:val="00D15CA8"/>
    <w:rsid w:val="00D1629D"/>
    <w:rsid w:val="00D162F1"/>
    <w:rsid w:val="00D165E2"/>
    <w:rsid w:val="00D172B2"/>
    <w:rsid w:val="00D17774"/>
    <w:rsid w:val="00D17A18"/>
    <w:rsid w:val="00D17D6C"/>
    <w:rsid w:val="00D20D9C"/>
    <w:rsid w:val="00D21538"/>
    <w:rsid w:val="00D2155B"/>
    <w:rsid w:val="00D22360"/>
    <w:rsid w:val="00D23188"/>
    <w:rsid w:val="00D23B3E"/>
    <w:rsid w:val="00D23D11"/>
    <w:rsid w:val="00D23D16"/>
    <w:rsid w:val="00D23DDF"/>
    <w:rsid w:val="00D244B6"/>
    <w:rsid w:val="00D247ED"/>
    <w:rsid w:val="00D257DD"/>
    <w:rsid w:val="00D26FEF"/>
    <w:rsid w:val="00D270D3"/>
    <w:rsid w:val="00D27270"/>
    <w:rsid w:val="00D2754D"/>
    <w:rsid w:val="00D27B27"/>
    <w:rsid w:val="00D27D88"/>
    <w:rsid w:val="00D3014C"/>
    <w:rsid w:val="00D30D5B"/>
    <w:rsid w:val="00D31077"/>
    <w:rsid w:val="00D32262"/>
    <w:rsid w:val="00D32C34"/>
    <w:rsid w:val="00D332DA"/>
    <w:rsid w:val="00D339D8"/>
    <w:rsid w:val="00D33BE9"/>
    <w:rsid w:val="00D33CD6"/>
    <w:rsid w:val="00D33F93"/>
    <w:rsid w:val="00D34045"/>
    <w:rsid w:val="00D357E4"/>
    <w:rsid w:val="00D357FF"/>
    <w:rsid w:val="00D358D8"/>
    <w:rsid w:val="00D35E74"/>
    <w:rsid w:val="00D367C2"/>
    <w:rsid w:val="00D36B0C"/>
    <w:rsid w:val="00D3737A"/>
    <w:rsid w:val="00D37D23"/>
    <w:rsid w:val="00D37EC3"/>
    <w:rsid w:val="00D404B0"/>
    <w:rsid w:val="00D40869"/>
    <w:rsid w:val="00D409E2"/>
    <w:rsid w:val="00D417B7"/>
    <w:rsid w:val="00D419AD"/>
    <w:rsid w:val="00D41CF5"/>
    <w:rsid w:val="00D41E3D"/>
    <w:rsid w:val="00D41F09"/>
    <w:rsid w:val="00D41FD3"/>
    <w:rsid w:val="00D420A4"/>
    <w:rsid w:val="00D424C7"/>
    <w:rsid w:val="00D42714"/>
    <w:rsid w:val="00D42F08"/>
    <w:rsid w:val="00D43457"/>
    <w:rsid w:val="00D43B2A"/>
    <w:rsid w:val="00D43CF1"/>
    <w:rsid w:val="00D43D83"/>
    <w:rsid w:val="00D43DBB"/>
    <w:rsid w:val="00D44261"/>
    <w:rsid w:val="00D44FB4"/>
    <w:rsid w:val="00D45931"/>
    <w:rsid w:val="00D45943"/>
    <w:rsid w:val="00D45F63"/>
    <w:rsid w:val="00D4641E"/>
    <w:rsid w:val="00D47159"/>
    <w:rsid w:val="00D47575"/>
    <w:rsid w:val="00D51475"/>
    <w:rsid w:val="00D51661"/>
    <w:rsid w:val="00D5243B"/>
    <w:rsid w:val="00D527AB"/>
    <w:rsid w:val="00D533EC"/>
    <w:rsid w:val="00D53709"/>
    <w:rsid w:val="00D5379B"/>
    <w:rsid w:val="00D53963"/>
    <w:rsid w:val="00D55853"/>
    <w:rsid w:val="00D558F3"/>
    <w:rsid w:val="00D5678C"/>
    <w:rsid w:val="00D568D0"/>
    <w:rsid w:val="00D56A95"/>
    <w:rsid w:val="00D57FDB"/>
    <w:rsid w:val="00D60172"/>
    <w:rsid w:val="00D60511"/>
    <w:rsid w:val="00D60530"/>
    <w:rsid w:val="00D605D9"/>
    <w:rsid w:val="00D6076E"/>
    <w:rsid w:val="00D609E4"/>
    <w:rsid w:val="00D61370"/>
    <w:rsid w:val="00D61468"/>
    <w:rsid w:val="00D61525"/>
    <w:rsid w:val="00D631D4"/>
    <w:rsid w:val="00D63DBF"/>
    <w:rsid w:val="00D65B94"/>
    <w:rsid w:val="00D66562"/>
    <w:rsid w:val="00D66B21"/>
    <w:rsid w:val="00D676D0"/>
    <w:rsid w:val="00D677A6"/>
    <w:rsid w:val="00D70459"/>
    <w:rsid w:val="00D70F16"/>
    <w:rsid w:val="00D71185"/>
    <w:rsid w:val="00D7128E"/>
    <w:rsid w:val="00D71DB6"/>
    <w:rsid w:val="00D722A0"/>
    <w:rsid w:val="00D72617"/>
    <w:rsid w:val="00D72BDE"/>
    <w:rsid w:val="00D72D70"/>
    <w:rsid w:val="00D72F57"/>
    <w:rsid w:val="00D730F2"/>
    <w:rsid w:val="00D739A3"/>
    <w:rsid w:val="00D74EC9"/>
    <w:rsid w:val="00D7595E"/>
    <w:rsid w:val="00D75AF8"/>
    <w:rsid w:val="00D75D2C"/>
    <w:rsid w:val="00D76413"/>
    <w:rsid w:val="00D769C9"/>
    <w:rsid w:val="00D76A44"/>
    <w:rsid w:val="00D77BBA"/>
    <w:rsid w:val="00D77F79"/>
    <w:rsid w:val="00D80118"/>
    <w:rsid w:val="00D81091"/>
    <w:rsid w:val="00D8120C"/>
    <w:rsid w:val="00D815EF"/>
    <w:rsid w:val="00D8162C"/>
    <w:rsid w:val="00D81923"/>
    <w:rsid w:val="00D81949"/>
    <w:rsid w:val="00D81F26"/>
    <w:rsid w:val="00D81FC9"/>
    <w:rsid w:val="00D822E2"/>
    <w:rsid w:val="00D82427"/>
    <w:rsid w:val="00D82685"/>
    <w:rsid w:val="00D82693"/>
    <w:rsid w:val="00D83677"/>
    <w:rsid w:val="00D8377B"/>
    <w:rsid w:val="00D843B4"/>
    <w:rsid w:val="00D843F2"/>
    <w:rsid w:val="00D84749"/>
    <w:rsid w:val="00D8491E"/>
    <w:rsid w:val="00D84EB5"/>
    <w:rsid w:val="00D84F7B"/>
    <w:rsid w:val="00D858AB"/>
    <w:rsid w:val="00D85982"/>
    <w:rsid w:val="00D85CAC"/>
    <w:rsid w:val="00D86231"/>
    <w:rsid w:val="00D86A84"/>
    <w:rsid w:val="00D86B5B"/>
    <w:rsid w:val="00D90B7B"/>
    <w:rsid w:val="00D912AB"/>
    <w:rsid w:val="00D91923"/>
    <w:rsid w:val="00D930AE"/>
    <w:rsid w:val="00D932B0"/>
    <w:rsid w:val="00D93753"/>
    <w:rsid w:val="00D94249"/>
    <w:rsid w:val="00D94BC6"/>
    <w:rsid w:val="00D94F7C"/>
    <w:rsid w:val="00D9522D"/>
    <w:rsid w:val="00D95B43"/>
    <w:rsid w:val="00D96037"/>
    <w:rsid w:val="00D96B44"/>
    <w:rsid w:val="00D96EB5"/>
    <w:rsid w:val="00D970E4"/>
    <w:rsid w:val="00DA007A"/>
    <w:rsid w:val="00DA01D7"/>
    <w:rsid w:val="00DA11AE"/>
    <w:rsid w:val="00DA1564"/>
    <w:rsid w:val="00DA2005"/>
    <w:rsid w:val="00DA217B"/>
    <w:rsid w:val="00DA29E1"/>
    <w:rsid w:val="00DA2F8B"/>
    <w:rsid w:val="00DA3167"/>
    <w:rsid w:val="00DA3A94"/>
    <w:rsid w:val="00DA4DC3"/>
    <w:rsid w:val="00DA4EB3"/>
    <w:rsid w:val="00DA6255"/>
    <w:rsid w:val="00DA674A"/>
    <w:rsid w:val="00DA716E"/>
    <w:rsid w:val="00DA720D"/>
    <w:rsid w:val="00DA77A5"/>
    <w:rsid w:val="00DA79FF"/>
    <w:rsid w:val="00DA7AF0"/>
    <w:rsid w:val="00DB07FB"/>
    <w:rsid w:val="00DB0B3A"/>
    <w:rsid w:val="00DB0C86"/>
    <w:rsid w:val="00DB0E36"/>
    <w:rsid w:val="00DB10B3"/>
    <w:rsid w:val="00DB1256"/>
    <w:rsid w:val="00DB1337"/>
    <w:rsid w:val="00DB14E0"/>
    <w:rsid w:val="00DB16B8"/>
    <w:rsid w:val="00DB1DC2"/>
    <w:rsid w:val="00DB1EB8"/>
    <w:rsid w:val="00DB26E7"/>
    <w:rsid w:val="00DB3906"/>
    <w:rsid w:val="00DB3DBF"/>
    <w:rsid w:val="00DB484F"/>
    <w:rsid w:val="00DB4A4E"/>
    <w:rsid w:val="00DB53A3"/>
    <w:rsid w:val="00DB5553"/>
    <w:rsid w:val="00DB55EF"/>
    <w:rsid w:val="00DB55F2"/>
    <w:rsid w:val="00DB59A0"/>
    <w:rsid w:val="00DB5E66"/>
    <w:rsid w:val="00DB63FA"/>
    <w:rsid w:val="00DB65FF"/>
    <w:rsid w:val="00DB67F9"/>
    <w:rsid w:val="00DB6A51"/>
    <w:rsid w:val="00DC0199"/>
    <w:rsid w:val="00DC019B"/>
    <w:rsid w:val="00DC04F6"/>
    <w:rsid w:val="00DC0690"/>
    <w:rsid w:val="00DC101F"/>
    <w:rsid w:val="00DC123B"/>
    <w:rsid w:val="00DC1269"/>
    <w:rsid w:val="00DC1D65"/>
    <w:rsid w:val="00DC23F7"/>
    <w:rsid w:val="00DC2444"/>
    <w:rsid w:val="00DC2881"/>
    <w:rsid w:val="00DC2E69"/>
    <w:rsid w:val="00DC2F49"/>
    <w:rsid w:val="00DC30D7"/>
    <w:rsid w:val="00DC3C57"/>
    <w:rsid w:val="00DC4004"/>
    <w:rsid w:val="00DC489B"/>
    <w:rsid w:val="00DC4AB4"/>
    <w:rsid w:val="00DC4BE4"/>
    <w:rsid w:val="00DC5501"/>
    <w:rsid w:val="00DC5DE4"/>
    <w:rsid w:val="00DC7154"/>
    <w:rsid w:val="00DC74FD"/>
    <w:rsid w:val="00DC7B50"/>
    <w:rsid w:val="00DC7E8A"/>
    <w:rsid w:val="00DD0537"/>
    <w:rsid w:val="00DD0C3B"/>
    <w:rsid w:val="00DD0F78"/>
    <w:rsid w:val="00DD195F"/>
    <w:rsid w:val="00DD1E5D"/>
    <w:rsid w:val="00DD273C"/>
    <w:rsid w:val="00DD2B42"/>
    <w:rsid w:val="00DD32BC"/>
    <w:rsid w:val="00DD3F16"/>
    <w:rsid w:val="00DD3F28"/>
    <w:rsid w:val="00DD4446"/>
    <w:rsid w:val="00DD4537"/>
    <w:rsid w:val="00DD4CFE"/>
    <w:rsid w:val="00DD4E15"/>
    <w:rsid w:val="00DD533E"/>
    <w:rsid w:val="00DD7C27"/>
    <w:rsid w:val="00DD7DEF"/>
    <w:rsid w:val="00DE09D5"/>
    <w:rsid w:val="00DE197A"/>
    <w:rsid w:val="00DE1A84"/>
    <w:rsid w:val="00DE2304"/>
    <w:rsid w:val="00DE3138"/>
    <w:rsid w:val="00DE372E"/>
    <w:rsid w:val="00DE37F8"/>
    <w:rsid w:val="00DE3AA6"/>
    <w:rsid w:val="00DE420E"/>
    <w:rsid w:val="00DE4273"/>
    <w:rsid w:val="00DE437E"/>
    <w:rsid w:val="00DE43DB"/>
    <w:rsid w:val="00DE4430"/>
    <w:rsid w:val="00DE469A"/>
    <w:rsid w:val="00DE4FCB"/>
    <w:rsid w:val="00DE5193"/>
    <w:rsid w:val="00DE51D0"/>
    <w:rsid w:val="00DE5538"/>
    <w:rsid w:val="00DE57AB"/>
    <w:rsid w:val="00DE5D07"/>
    <w:rsid w:val="00DE5D2F"/>
    <w:rsid w:val="00DE5E55"/>
    <w:rsid w:val="00DE72A7"/>
    <w:rsid w:val="00DE7832"/>
    <w:rsid w:val="00DE7D1E"/>
    <w:rsid w:val="00DF02E9"/>
    <w:rsid w:val="00DF0EBA"/>
    <w:rsid w:val="00DF145E"/>
    <w:rsid w:val="00DF1859"/>
    <w:rsid w:val="00DF18FC"/>
    <w:rsid w:val="00DF2845"/>
    <w:rsid w:val="00DF2FBE"/>
    <w:rsid w:val="00DF3CAF"/>
    <w:rsid w:val="00DF400F"/>
    <w:rsid w:val="00DF432F"/>
    <w:rsid w:val="00DF49F2"/>
    <w:rsid w:val="00DF4CA9"/>
    <w:rsid w:val="00DF55C0"/>
    <w:rsid w:val="00DF5D2B"/>
    <w:rsid w:val="00DF6022"/>
    <w:rsid w:val="00DF6341"/>
    <w:rsid w:val="00DF69FA"/>
    <w:rsid w:val="00DF6EEF"/>
    <w:rsid w:val="00DF75C4"/>
    <w:rsid w:val="00DF7A04"/>
    <w:rsid w:val="00DF7D3E"/>
    <w:rsid w:val="00E00628"/>
    <w:rsid w:val="00E00982"/>
    <w:rsid w:val="00E00B68"/>
    <w:rsid w:val="00E00BC3"/>
    <w:rsid w:val="00E00E8E"/>
    <w:rsid w:val="00E00FE5"/>
    <w:rsid w:val="00E01150"/>
    <w:rsid w:val="00E0353D"/>
    <w:rsid w:val="00E03547"/>
    <w:rsid w:val="00E03B02"/>
    <w:rsid w:val="00E03C2F"/>
    <w:rsid w:val="00E0433A"/>
    <w:rsid w:val="00E0445F"/>
    <w:rsid w:val="00E046D8"/>
    <w:rsid w:val="00E048CE"/>
    <w:rsid w:val="00E05630"/>
    <w:rsid w:val="00E0594A"/>
    <w:rsid w:val="00E05E7B"/>
    <w:rsid w:val="00E05F7F"/>
    <w:rsid w:val="00E064CE"/>
    <w:rsid w:val="00E067E8"/>
    <w:rsid w:val="00E06DBB"/>
    <w:rsid w:val="00E07660"/>
    <w:rsid w:val="00E1008D"/>
    <w:rsid w:val="00E10149"/>
    <w:rsid w:val="00E1042C"/>
    <w:rsid w:val="00E10511"/>
    <w:rsid w:val="00E106BE"/>
    <w:rsid w:val="00E11340"/>
    <w:rsid w:val="00E122A1"/>
    <w:rsid w:val="00E122CA"/>
    <w:rsid w:val="00E126A0"/>
    <w:rsid w:val="00E12FA2"/>
    <w:rsid w:val="00E13113"/>
    <w:rsid w:val="00E1479A"/>
    <w:rsid w:val="00E1561A"/>
    <w:rsid w:val="00E1589D"/>
    <w:rsid w:val="00E15974"/>
    <w:rsid w:val="00E16372"/>
    <w:rsid w:val="00E168B2"/>
    <w:rsid w:val="00E16AD8"/>
    <w:rsid w:val="00E16C80"/>
    <w:rsid w:val="00E173B6"/>
    <w:rsid w:val="00E17FFA"/>
    <w:rsid w:val="00E200E2"/>
    <w:rsid w:val="00E2027F"/>
    <w:rsid w:val="00E2044C"/>
    <w:rsid w:val="00E20E4D"/>
    <w:rsid w:val="00E20ED6"/>
    <w:rsid w:val="00E21149"/>
    <w:rsid w:val="00E21358"/>
    <w:rsid w:val="00E2136A"/>
    <w:rsid w:val="00E214B7"/>
    <w:rsid w:val="00E2178D"/>
    <w:rsid w:val="00E219ED"/>
    <w:rsid w:val="00E2249B"/>
    <w:rsid w:val="00E22A0D"/>
    <w:rsid w:val="00E236F5"/>
    <w:rsid w:val="00E23BDF"/>
    <w:rsid w:val="00E241FE"/>
    <w:rsid w:val="00E244F6"/>
    <w:rsid w:val="00E255CE"/>
    <w:rsid w:val="00E25809"/>
    <w:rsid w:val="00E258DB"/>
    <w:rsid w:val="00E261E8"/>
    <w:rsid w:val="00E26B09"/>
    <w:rsid w:val="00E2771E"/>
    <w:rsid w:val="00E278C1"/>
    <w:rsid w:val="00E27D44"/>
    <w:rsid w:val="00E309F7"/>
    <w:rsid w:val="00E30BD9"/>
    <w:rsid w:val="00E311EF"/>
    <w:rsid w:val="00E32180"/>
    <w:rsid w:val="00E3238D"/>
    <w:rsid w:val="00E3267B"/>
    <w:rsid w:val="00E3304C"/>
    <w:rsid w:val="00E3386D"/>
    <w:rsid w:val="00E33CAF"/>
    <w:rsid w:val="00E34948"/>
    <w:rsid w:val="00E34A0A"/>
    <w:rsid w:val="00E355FE"/>
    <w:rsid w:val="00E3583F"/>
    <w:rsid w:val="00E362A7"/>
    <w:rsid w:val="00E36FEB"/>
    <w:rsid w:val="00E37569"/>
    <w:rsid w:val="00E401B2"/>
    <w:rsid w:val="00E4039C"/>
    <w:rsid w:val="00E40705"/>
    <w:rsid w:val="00E40718"/>
    <w:rsid w:val="00E40C04"/>
    <w:rsid w:val="00E41671"/>
    <w:rsid w:val="00E417A1"/>
    <w:rsid w:val="00E41E30"/>
    <w:rsid w:val="00E42540"/>
    <w:rsid w:val="00E428C4"/>
    <w:rsid w:val="00E4295B"/>
    <w:rsid w:val="00E42ABD"/>
    <w:rsid w:val="00E42F73"/>
    <w:rsid w:val="00E4383F"/>
    <w:rsid w:val="00E43D70"/>
    <w:rsid w:val="00E44557"/>
    <w:rsid w:val="00E448EF"/>
    <w:rsid w:val="00E44C00"/>
    <w:rsid w:val="00E45D8A"/>
    <w:rsid w:val="00E4653F"/>
    <w:rsid w:val="00E466F3"/>
    <w:rsid w:val="00E46BF1"/>
    <w:rsid w:val="00E47A70"/>
    <w:rsid w:val="00E47B2C"/>
    <w:rsid w:val="00E50654"/>
    <w:rsid w:val="00E5071B"/>
    <w:rsid w:val="00E5093E"/>
    <w:rsid w:val="00E5098C"/>
    <w:rsid w:val="00E50A90"/>
    <w:rsid w:val="00E51504"/>
    <w:rsid w:val="00E51560"/>
    <w:rsid w:val="00E5163C"/>
    <w:rsid w:val="00E517D8"/>
    <w:rsid w:val="00E51821"/>
    <w:rsid w:val="00E51AC1"/>
    <w:rsid w:val="00E51B61"/>
    <w:rsid w:val="00E5263D"/>
    <w:rsid w:val="00E5263E"/>
    <w:rsid w:val="00E528E3"/>
    <w:rsid w:val="00E52FF7"/>
    <w:rsid w:val="00E53640"/>
    <w:rsid w:val="00E53FC8"/>
    <w:rsid w:val="00E541E6"/>
    <w:rsid w:val="00E54347"/>
    <w:rsid w:val="00E54A64"/>
    <w:rsid w:val="00E54DC8"/>
    <w:rsid w:val="00E55424"/>
    <w:rsid w:val="00E55734"/>
    <w:rsid w:val="00E55915"/>
    <w:rsid w:val="00E55BB5"/>
    <w:rsid w:val="00E566DA"/>
    <w:rsid w:val="00E56978"/>
    <w:rsid w:val="00E57283"/>
    <w:rsid w:val="00E57A6E"/>
    <w:rsid w:val="00E60070"/>
    <w:rsid w:val="00E600B8"/>
    <w:rsid w:val="00E601EB"/>
    <w:rsid w:val="00E60661"/>
    <w:rsid w:val="00E60C26"/>
    <w:rsid w:val="00E60C92"/>
    <w:rsid w:val="00E60E5E"/>
    <w:rsid w:val="00E611DF"/>
    <w:rsid w:val="00E6295E"/>
    <w:rsid w:val="00E6409E"/>
    <w:rsid w:val="00E648B3"/>
    <w:rsid w:val="00E65894"/>
    <w:rsid w:val="00E65E79"/>
    <w:rsid w:val="00E662B6"/>
    <w:rsid w:val="00E66808"/>
    <w:rsid w:val="00E66BA2"/>
    <w:rsid w:val="00E66FA2"/>
    <w:rsid w:val="00E67416"/>
    <w:rsid w:val="00E67740"/>
    <w:rsid w:val="00E67BA9"/>
    <w:rsid w:val="00E67E25"/>
    <w:rsid w:val="00E70BCE"/>
    <w:rsid w:val="00E70ED3"/>
    <w:rsid w:val="00E70F6E"/>
    <w:rsid w:val="00E71670"/>
    <w:rsid w:val="00E718B6"/>
    <w:rsid w:val="00E719ED"/>
    <w:rsid w:val="00E723BA"/>
    <w:rsid w:val="00E72407"/>
    <w:rsid w:val="00E72632"/>
    <w:rsid w:val="00E72B0C"/>
    <w:rsid w:val="00E7325D"/>
    <w:rsid w:val="00E732B7"/>
    <w:rsid w:val="00E73581"/>
    <w:rsid w:val="00E74B63"/>
    <w:rsid w:val="00E74EC5"/>
    <w:rsid w:val="00E75CBF"/>
    <w:rsid w:val="00E76105"/>
    <w:rsid w:val="00E76DCC"/>
    <w:rsid w:val="00E775B6"/>
    <w:rsid w:val="00E77DF5"/>
    <w:rsid w:val="00E801DA"/>
    <w:rsid w:val="00E8074C"/>
    <w:rsid w:val="00E80D2E"/>
    <w:rsid w:val="00E80F53"/>
    <w:rsid w:val="00E82099"/>
    <w:rsid w:val="00E828B4"/>
    <w:rsid w:val="00E82C12"/>
    <w:rsid w:val="00E82C8E"/>
    <w:rsid w:val="00E833E9"/>
    <w:rsid w:val="00E833F7"/>
    <w:rsid w:val="00E83584"/>
    <w:rsid w:val="00E83BDF"/>
    <w:rsid w:val="00E840D3"/>
    <w:rsid w:val="00E8571E"/>
    <w:rsid w:val="00E86424"/>
    <w:rsid w:val="00E86636"/>
    <w:rsid w:val="00E86FCC"/>
    <w:rsid w:val="00E87543"/>
    <w:rsid w:val="00E87A1D"/>
    <w:rsid w:val="00E87CA3"/>
    <w:rsid w:val="00E900EC"/>
    <w:rsid w:val="00E9019B"/>
    <w:rsid w:val="00E9019E"/>
    <w:rsid w:val="00E9094A"/>
    <w:rsid w:val="00E9182A"/>
    <w:rsid w:val="00E918D9"/>
    <w:rsid w:val="00E91D35"/>
    <w:rsid w:val="00E926A5"/>
    <w:rsid w:val="00E92CEF"/>
    <w:rsid w:val="00E9460F"/>
    <w:rsid w:val="00E947C1"/>
    <w:rsid w:val="00E94C7C"/>
    <w:rsid w:val="00E95E04"/>
    <w:rsid w:val="00E960DA"/>
    <w:rsid w:val="00E962CC"/>
    <w:rsid w:val="00E9685E"/>
    <w:rsid w:val="00E97115"/>
    <w:rsid w:val="00E97D76"/>
    <w:rsid w:val="00EA00BD"/>
    <w:rsid w:val="00EA03AE"/>
    <w:rsid w:val="00EA0B41"/>
    <w:rsid w:val="00EA0F69"/>
    <w:rsid w:val="00EA17C3"/>
    <w:rsid w:val="00EA186E"/>
    <w:rsid w:val="00EA187C"/>
    <w:rsid w:val="00EA19BE"/>
    <w:rsid w:val="00EA1E09"/>
    <w:rsid w:val="00EA1F2E"/>
    <w:rsid w:val="00EA20DF"/>
    <w:rsid w:val="00EA2CAA"/>
    <w:rsid w:val="00EA3058"/>
    <w:rsid w:val="00EA3864"/>
    <w:rsid w:val="00EA4E65"/>
    <w:rsid w:val="00EA51FF"/>
    <w:rsid w:val="00EA527D"/>
    <w:rsid w:val="00EA60EB"/>
    <w:rsid w:val="00EA6219"/>
    <w:rsid w:val="00EA6688"/>
    <w:rsid w:val="00EA6EA4"/>
    <w:rsid w:val="00EA7967"/>
    <w:rsid w:val="00EA7A4C"/>
    <w:rsid w:val="00EA7AF6"/>
    <w:rsid w:val="00EA7F1C"/>
    <w:rsid w:val="00EA7F1D"/>
    <w:rsid w:val="00EB0763"/>
    <w:rsid w:val="00EB0E20"/>
    <w:rsid w:val="00EB1192"/>
    <w:rsid w:val="00EB1351"/>
    <w:rsid w:val="00EB15B6"/>
    <w:rsid w:val="00EB20BA"/>
    <w:rsid w:val="00EB20D8"/>
    <w:rsid w:val="00EB25AC"/>
    <w:rsid w:val="00EB263A"/>
    <w:rsid w:val="00EB2679"/>
    <w:rsid w:val="00EB28AD"/>
    <w:rsid w:val="00EB3C70"/>
    <w:rsid w:val="00EB3D06"/>
    <w:rsid w:val="00EB4111"/>
    <w:rsid w:val="00EB455A"/>
    <w:rsid w:val="00EB4916"/>
    <w:rsid w:val="00EB491D"/>
    <w:rsid w:val="00EB5EA0"/>
    <w:rsid w:val="00EB6205"/>
    <w:rsid w:val="00EB621D"/>
    <w:rsid w:val="00EB6A71"/>
    <w:rsid w:val="00EB6B00"/>
    <w:rsid w:val="00EB6F34"/>
    <w:rsid w:val="00EB7133"/>
    <w:rsid w:val="00EC00C9"/>
    <w:rsid w:val="00EC065A"/>
    <w:rsid w:val="00EC0BD4"/>
    <w:rsid w:val="00EC0CDB"/>
    <w:rsid w:val="00EC0D2E"/>
    <w:rsid w:val="00EC0DD9"/>
    <w:rsid w:val="00EC0EF2"/>
    <w:rsid w:val="00EC0F2D"/>
    <w:rsid w:val="00EC2649"/>
    <w:rsid w:val="00EC271B"/>
    <w:rsid w:val="00EC29D9"/>
    <w:rsid w:val="00EC2C67"/>
    <w:rsid w:val="00EC31ED"/>
    <w:rsid w:val="00EC3325"/>
    <w:rsid w:val="00EC3656"/>
    <w:rsid w:val="00EC5157"/>
    <w:rsid w:val="00EC5458"/>
    <w:rsid w:val="00EC5691"/>
    <w:rsid w:val="00EC5836"/>
    <w:rsid w:val="00EC5E8E"/>
    <w:rsid w:val="00EC688C"/>
    <w:rsid w:val="00EC712B"/>
    <w:rsid w:val="00EC71F2"/>
    <w:rsid w:val="00EC7BB8"/>
    <w:rsid w:val="00ED0728"/>
    <w:rsid w:val="00ED12E3"/>
    <w:rsid w:val="00ED16C0"/>
    <w:rsid w:val="00ED1C18"/>
    <w:rsid w:val="00ED1D4F"/>
    <w:rsid w:val="00ED1F7B"/>
    <w:rsid w:val="00ED1F8A"/>
    <w:rsid w:val="00ED2097"/>
    <w:rsid w:val="00ED20BA"/>
    <w:rsid w:val="00ED23CB"/>
    <w:rsid w:val="00ED2955"/>
    <w:rsid w:val="00ED333D"/>
    <w:rsid w:val="00ED4B04"/>
    <w:rsid w:val="00ED52C4"/>
    <w:rsid w:val="00ED5328"/>
    <w:rsid w:val="00ED57EA"/>
    <w:rsid w:val="00ED5BD4"/>
    <w:rsid w:val="00ED66B0"/>
    <w:rsid w:val="00ED67D5"/>
    <w:rsid w:val="00ED7889"/>
    <w:rsid w:val="00ED78BF"/>
    <w:rsid w:val="00ED790D"/>
    <w:rsid w:val="00EE07D3"/>
    <w:rsid w:val="00EE114E"/>
    <w:rsid w:val="00EE147B"/>
    <w:rsid w:val="00EE1996"/>
    <w:rsid w:val="00EE1C01"/>
    <w:rsid w:val="00EE1FB2"/>
    <w:rsid w:val="00EE22AF"/>
    <w:rsid w:val="00EE3729"/>
    <w:rsid w:val="00EE49AB"/>
    <w:rsid w:val="00EE5331"/>
    <w:rsid w:val="00EE69B5"/>
    <w:rsid w:val="00EE7EE7"/>
    <w:rsid w:val="00EF0171"/>
    <w:rsid w:val="00EF03BF"/>
    <w:rsid w:val="00EF072C"/>
    <w:rsid w:val="00EF07D9"/>
    <w:rsid w:val="00EF07F8"/>
    <w:rsid w:val="00EF13A2"/>
    <w:rsid w:val="00EF1B25"/>
    <w:rsid w:val="00EF1DA0"/>
    <w:rsid w:val="00EF2CF4"/>
    <w:rsid w:val="00EF3650"/>
    <w:rsid w:val="00EF4747"/>
    <w:rsid w:val="00EF4BF8"/>
    <w:rsid w:val="00EF649B"/>
    <w:rsid w:val="00EF716D"/>
    <w:rsid w:val="00EF759F"/>
    <w:rsid w:val="00EF7751"/>
    <w:rsid w:val="00F00155"/>
    <w:rsid w:val="00F0083D"/>
    <w:rsid w:val="00F01B75"/>
    <w:rsid w:val="00F02253"/>
    <w:rsid w:val="00F02350"/>
    <w:rsid w:val="00F03106"/>
    <w:rsid w:val="00F03C2E"/>
    <w:rsid w:val="00F04766"/>
    <w:rsid w:val="00F04A66"/>
    <w:rsid w:val="00F04B12"/>
    <w:rsid w:val="00F04B4B"/>
    <w:rsid w:val="00F0516C"/>
    <w:rsid w:val="00F052F0"/>
    <w:rsid w:val="00F0541D"/>
    <w:rsid w:val="00F06211"/>
    <w:rsid w:val="00F06514"/>
    <w:rsid w:val="00F06791"/>
    <w:rsid w:val="00F067A2"/>
    <w:rsid w:val="00F0745B"/>
    <w:rsid w:val="00F07B9E"/>
    <w:rsid w:val="00F07CD1"/>
    <w:rsid w:val="00F1116F"/>
    <w:rsid w:val="00F1157B"/>
    <w:rsid w:val="00F11748"/>
    <w:rsid w:val="00F11C4D"/>
    <w:rsid w:val="00F11F3D"/>
    <w:rsid w:val="00F11F70"/>
    <w:rsid w:val="00F12327"/>
    <w:rsid w:val="00F1263A"/>
    <w:rsid w:val="00F136A1"/>
    <w:rsid w:val="00F139C5"/>
    <w:rsid w:val="00F14470"/>
    <w:rsid w:val="00F148BC"/>
    <w:rsid w:val="00F15B77"/>
    <w:rsid w:val="00F16731"/>
    <w:rsid w:val="00F167E4"/>
    <w:rsid w:val="00F169D3"/>
    <w:rsid w:val="00F16F54"/>
    <w:rsid w:val="00F20550"/>
    <w:rsid w:val="00F205BC"/>
    <w:rsid w:val="00F20EC8"/>
    <w:rsid w:val="00F20F3A"/>
    <w:rsid w:val="00F21236"/>
    <w:rsid w:val="00F21516"/>
    <w:rsid w:val="00F21720"/>
    <w:rsid w:val="00F21889"/>
    <w:rsid w:val="00F21D53"/>
    <w:rsid w:val="00F21FF5"/>
    <w:rsid w:val="00F232C4"/>
    <w:rsid w:val="00F235D6"/>
    <w:rsid w:val="00F23651"/>
    <w:rsid w:val="00F239DF"/>
    <w:rsid w:val="00F247CE"/>
    <w:rsid w:val="00F24837"/>
    <w:rsid w:val="00F24934"/>
    <w:rsid w:val="00F2575F"/>
    <w:rsid w:val="00F25B16"/>
    <w:rsid w:val="00F25D05"/>
    <w:rsid w:val="00F26D45"/>
    <w:rsid w:val="00F26ECD"/>
    <w:rsid w:val="00F27565"/>
    <w:rsid w:val="00F27B95"/>
    <w:rsid w:val="00F300A6"/>
    <w:rsid w:val="00F30A0B"/>
    <w:rsid w:val="00F310D4"/>
    <w:rsid w:val="00F31C92"/>
    <w:rsid w:val="00F31CBB"/>
    <w:rsid w:val="00F31D5A"/>
    <w:rsid w:val="00F32BBF"/>
    <w:rsid w:val="00F330F3"/>
    <w:rsid w:val="00F33643"/>
    <w:rsid w:val="00F3389C"/>
    <w:rsid w:val="00F33975"/>
    <w:rsid w:val="00F33DE9"/>
    <w:rsid w:val="00F33E5D"/>
    <w:rsid w:val="00F34967"/>
    <w:rsid w:val="00F34CAD"/>
    <w:rsid w:val="00F34F8C"/>
    <w:rsid w:val="00F35A12"/>
    <w:rsid w:val="00F35E6D"/>
    <w:rsid w:val="00F35F62"/>
    <w:rsid w:val="00F3619A"/>
    <w:rsid w:val="00F36CD0"/>
    <w:rsid w:val="00F37533"/>
    <w:rsid w:val="00F37909"/>
    <w:rsid w:val="00F40608"/>
    <w:rsid w:val="00F40AAA"/>
    <w:rsid w:val="00F40BA7"/>
    <w:rsid w:val="00F40F9D"/>
    <w:rsid w:val="00F416A0"/>
    <w:rsid w:val="00F41731"/>
    <w:rsid w:val="00F41ACD"/>
    <w:rsid w:val="00F42444"/>
    <w:rsid w:val="00F42538"/>
    <w:rsid w:val="00F4297D"/>
    <w:rsid w:val="00F42C8E"/>
    <w:rsid w:val="00F43BA3"/>
    <w:rsid w:val="00F43D6A"/>
    <w:rsid w:val="00F44285"/>
    <w:rsid w:val="00F447EB"/>
    <w:rsid w:val="00F448F6"/>
    <w:rsid w:val="00F44BFB"/>
    <w:rsid w:val="00F44D27"/>
    <w:rsid w:val="00F44DC7"/>
    <w:rsid w:val="00F44F56"/>
    <w:rsid w:val="00F4523B"/>
    <w:rsid w:val="00F45C82"/>
    <w:rsid w:val="00F46709"/>
    <w:rsid w:val="00F4696A"/>
    <w:rsid w:val="00F46A79"/>
    <w:rsid w:val="00F46CB6"/>
    <w:rsid w:val="00F46D49"/>
    <w:rsid w:val="00F46FE3"/>
    <w:rsid w:val="00F4756D"/>
    <w:rsid w:val="00F47DE8"/>
    <w:rsid w:val="00F47E06"/>
    <w:rsid w:val="00F47E93"/>
    <w:rsid w:val="00F50218"/>
    <w:rsid w:val="00F505E2"/>
    <w:rsid w:val="00F50CB8"/>
    <w:rsid w:val="00F52456"/>
    <w:rsid w:val="00F52E07"/>
    <w:rsid w:val="00F537E4"/>
    <w:rsid w:val="00F541E6"/>
    <w:rsid w:val="00F542C1"/>
    <w:rsid w:val="00F544C2"/>
    <w:rsid w:val="00F550E3"/>
    <w:rsid w:val="00F550FE"/>
    <w:rsid w:val="00F55272"/>
    <w:rsid w:val="00F55E73"/>
    <w:rsid w:val="00F55EDA"/>
    <w:rsid w:val="00F56C80"/>
    <w:rsid w:val="00F571A4"/>
    <w:rsid w:val="00F571F5"/>
    <w:rsid w:val="00F57B89"/>
    <w:rsid w:val="00F60092"/>
    <w:rsid w:val="00F614AC"/>
    <w:rsid w:val="00F6169E"/>
    <w:rsid w:val="00F61C18"/>
    <w:rsid w:val="00F61E48"/>
    <w:rsid w:val="00F627CA"/>
    <w:rsid w:val="00F62BFC"/>
    <w:rsid w:val="00F6336A"/>
    <w:rsid w:val="00F63447"/>
    <w:rsid w:val="00F63CF1"/>
    <w:rsid w:val="00F648B9"/>
    <w:rsid w:val="00F64D40"/>
    <w:rsid w:val="00F65F4B"/>
    <w:rsid w:val="00F66548"/>
    <w:rsid w:val="00F67A69"/>
    <w:rsid w:val="00F70BFF"/>
    <w:rsid w:val="00F70C0C"/>
    <w:rsid w:val="00F70C2B"/>
    <w:rsid w:val="00F70C9D"/>
    <w:rsid w:val="00F7104A"/>
    <w:rsid w:val="00F711F0"/>
    <w:rsid w:val="00F71A0E"/>
    <w:rsid w:val="00F72661"/>
    <w:rsid w:val="00F7266C"/>
    <w:rsid w:val="00F72990"/>
    <w:rsid w:val="00F73295"/>
    <w:rsid w:val="00F7336A"/>
    <w:rsid w:val="00F7348C"/>
    <w:rsid w:val="00F73E08"/>
    <w:rsid w:val="00F74CD9"/>
    <w:rsid w:val="00F75672"/>
    <w:rsid w:val="00F75776"/>
    <w:rsid w:val="00F7628B"/>
    <w:rsid w:val="00F762EB"/>
    <w:rsid w:val="00F7635B"/>
    <w:rsid w:val="00F76B5F"/>
    <w:rsid w:val="00F775C9"/>
    <w:rsid w:val="00F80A7B"/>
    <w:rsid w:val="00F80E5D"/>
    <w:rsid w:val="00F8101F"/>
    <w:rsid w:val="00F811E7"/>
    <w:rsid w:val="00F81448"/>
    <w:rsid w:val="00F8159F"/>
    <w:rsid w:val="00F8192B"/>
    <w:rsid w:val="00F81E78"/>
    <w:rsid w:val="00F81EFF"/>
    <w:rsid w:val="00F837E1"/>
    <w:rsid w:val="00F8387C"/>
    <w:rsid w:val="00F83916"/>
    <w:rsid w:val="00F8415C"/>
    <w:rsid w:val="00F84901"/>
    <w:rsid w:val="00F84A60"/>
    <w:rsid w:val="00F85075"/>
    <w:rsid w:val="00F851CE"/>
    <w:rsid w:val="00F853F9"/>
    <w:rsid w:val="00F85BC8"/>
    <w:rsid w:val="00F870E9"/>
    <w:rsid w:val="00F90272"/>
    <w:rsid w:val="00F905CC"/>
    <w:rsid w:val="00F91048"/>
    <w:rsid w:val="00F91219"/>
    <w:rsid w:val="00F918A6"/>
    <w:rsid w:val="00F92444"/>
    <w:rsid w:val="00F92606"/>
    <w:rsid w:val="00F927D3"/>
    <w:rsid w:val="00F92EE0"/>
    <w:rsid w:val="00F9393E"/>
    <w:rsid w:val="00F93BC8"/>
    <w:rsid w:val="00F93F7F"/>
    <w:rsid w:val="00F942EA"/>
    <w:rsid w:val="00F951A1"/>
    <w:rsid w:val="00F96762"/>
    <w:rsid w:val="00F96A59"/>
    <w:rsid w:val="00F96E3B"/>
    <w:rsid w:val="00F96FD0"/>
    <w:rsid w:val="00F97A78"/>
    <w:rsid w:val="00FA0B20"/>
    <w:rsid w:val="00FA144D"/>
    <w:rsid w:val="00FA1DBD"/>
    <w:rsid w:val="00FA1E7F"/>
    <w:rsid w:val="00FA1FDD"/>
    <w:rsid w:val="00FA24E7"/>
    <w:rsid w:val="00FA2E06"/>
    <w:rsid w:val="00FA2E18"/>
    <w:rsid w:val="00FA3225"/>
    <w:rsid w:val="00FA358E"/>
    <w:rsid w:val="00FA4624"/>
    <w:rsid w:val="00FA4DBB"/>
    <w:rsid w:val="00FA5EE6"/>
    <w:rsid w:val="00FA6FB3"/>
    <w:rsid w:val="00FA70F7"/>
    <w:rsid w:val="00FA7956"/>
    <w:rsid w:val="00FA7973"/>
    <w:rsid w:val="00FA7EE0"/>
    <w:rsid w:val="00FB078E"/>
    <w:rsid w:val="00FB0824"/>
    <w:rsid w:val="00FB244C"/>
    <w:rsid w:val="00FB2EF4"/>
    <w:rsid w:val="00FB2FCB"/>
    <w:rsid w:val="00FB3F5F"/>
    <w:rsid w:val="00FB4110"/>
    <w:rsid w:val="00FB497D"/>
    <w:rsid w:val="00FB4C9C"/>
    <w:rsid w:val="00FB4F70"/>
    <w:rsid w:val="00FB5443"/>
    <w:rsid w:val="00FB5923"/>
    <w:rsid w:val="00FB6F38"/>
    <w:rsid w:val="00FB70BC"/>
    <w:rsid w:val="00FB7681"/>
    <w:rsid w:val="00FB7C55"/>
    <w:rsid w:val="00FC092C"/>
    <w:rsid w:val="00FC1074"/>
    <w:rsid w:val="00FC11EE"/>
    <w:rsid w:val="00FC1884"/>
    <w:rsid w:val="00FC19D5"/>
    <w:rsid w:val="00FC1BA5"/>
    <w:rsid w:val="00FC1E65"/>
    <w:rsid w:val="00FC2802"/>
    <w:rsid w:val="00FC2E80"/>
    <w:rsid w:val="00FC371D"/>
    <w:rsid w:val="00FC3C78"/>
    <w:rsid w:val="00FC4848"/>
    <w:rsid w:val="00FC5C97"/>
    <w:rsid w:val="00FC5F0B"/>
    <w:rsid w:val="00FC619B"/>
    <w:rsid w:val="00FC6C3E"/>
    <w:rsid w:val="00FC7802"/>
    <w:rsid w:val="00FD037B"/>
    <w:rsid w:val="00FD0621"/>
    <w:rsid w:val="00FD0628"/>
    <w:rsid w:val="00FD0FFA"/>
    <w:rsid w:val="00FD2100"/>
    <w:rsid w:val="00FD2E62"/>
    <w:rsid w:val="00FD352C"/>
    <w:rsid w:val="00FD3A02"/>
    <w:rsid w:val="00FD436C"/>
    <w:rsid w:val="00FD446D"/>
    <w:rsid w:val="00FD4F2C"/>
    <w:rsid w:val="00FD527F"/>
    <w:rsid w:val="00FD5507"/>
    <w:rsid w:val="00FD5A06"/>
    <w:rsid w:val="00FD5E02"/>
    <w:rsid w:val="00FD5E3E"/>
    <w:rsid w:val="00FD6394"/>
    <w:rsid w:val="00FD64F0"/>
    <w:rsid w:val="00FE00F2"/>
    <w:rsid w:val="00FE0E6C"/>
    <w:rsid w:val="00FE0FF7"/>
    <w:rsid w:val="00FE1CDC"/>
    <w:rsid w:val="00FE1D4D"/>
    <w:rsid w:val="00FE1DC1"/>
    <w:rsid w:val="00FE1DF5"/>
    <w:rsid w:val="00FE3F1F"/>
    <w:rsid w:val="00FE4E5E"/>
    <w:rsid w:val="00FE5E05"/>
    <w:rsid w:val="00FE5FA8"/>
    <w:rsid w:val="00FE6945"/>
    <w:rsid w:val="00FE6B8A"/>
    <w:rsid w:val="00FE70C3"/>
    <w:rsid w:val="00FE71CC"/>
    <w:rsid w:val="00FE73AE"/>
    <w:rsid w:val="00FE7D83"/>
    <w:rsid w:val="00FF0258"/>
    <w:rsid w:val="00FF0D7A"/>
    <w:rsid w:val="00FF1965"/>
    <w:rsid w:val="00FF1A8B"/>
    <w:rsid w:val="00FF1B55"/>
    <w:rsid w:val="00FF1EC6"/>
    <w:rsid w:val="00FF1FD2"/>
    <w:rsid w:val="00FF2AD9"/>
    <w:rsid w:val="00FF359F"/>
    <w:rsid w:val="00FF3951"/>
    <w:rsid w:val="00FF3DCF"/>
    <w:rsid w:val="00FF48C0"/>
    <w:rsid w:val="00FF492C"/>
    <w:rsid w:val="00FF4A21"/>
    <w:rsid w:val="00FF521F"/>
    <w:rsid w:val="00FF5AA3"/>
    <w:rsid w:val="00FF5AD8"/>
    <w:rsid w:val="00FF6503"/>
    <w:rsid w:val="00FF74E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7813"/>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Styl moj,Akapit z listą1,Akapit z listą11,Bullet List,Bullets Points,Bullet1,ES Paragraph,L,Bullet 1"/>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Styl moj Char,Akapit z listą1 Char,Bullet List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HTAtableplain,RTI AMCP Table,new sty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70659A"/>
    <w:pPr>
      <w:keepNext/>
      <w:keepLines/>
    </w:pPr>
    <w:rPr>
      <w:rFonts w:ascii="Arial Narrow" w:eastAsiaTheme="majorEastAsia" w:hAnsi="Arial Narrow" w:cstheme="majorBidi"/>
      <w:b/>
      <w:szCs w:val="24"/>
    </w:rPr>
  </w:style>
  <w:style w:type="character" w:customStyle="1" w:styleId="TableFigureHeadingChar">
    <w:name w:val="Table/Figure Heading Char"/>
    <w:basedOn w:val="DefaultParagraphFont"/>
    <w:link w:val="TableFigureHeading"/>
    <w:rsid w:val="0070659A"/>
    <w:rPr>
      <w:rFonts w:ascii="Arial Narrow" w:eastAsiaTheme="majorEastAsia" w:hAnsi="Arial Narrow" w:cstheme="majorBidi"/>
      <w:b/>
      <w:szCs w:val="24"/>
    </w:rPr>
  </w:style>
  <w:style w:type="paragraph" w:customStyle="1" w:styleId="3-BodyText">
    <w:name w:val="3-Body Text"/>
    <w:basedOn w:val="ListParagraph"/>
    <w:link w:val="3-BodyTextChar"/>
    <w:qFormat/>
    <w:rsid w:val="00521923"/>
    <w:pPr>
      <w:numPr>
        <w:ilvl w:val="1"/>
        <w:numId w:val="1"/>
      </w:numPr>
    </w:pPr>
  </w:style>
  <w:style w:type="character" w:customStyle="1" w:styleId="3-BodyTextChar">
    <w:name w:val="3-Body Text Char"/>
    <w:basedOn w:val="ListParagraphChar"/>
    <w:link w:val="3-BodyText"/>
    <w:rsid w:val="00521923"/>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qFormat/>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character" w:customStyle="1" w:styleId="Heading1Char">
    <w:name w:val="Heading 1 Char"/>
    <w:basedOn w:val="DefaultParagraphFont"/>
    <w:link w:val="Heading1"/>
    <w:uiPriority w:val="1"/>
    <w:rsid w:val="00EC065A"/>
    <w:rPr>
      <w:rFonts w:ascii="Calibri" w:hAnsi="Calibri" w:cs="Arial"/>
      <w:b/>
      <w:caps/>
      <w:sz w:val="32"/>
      <w:szCs w:val="24"/>
    </w:rPr>
  </w:style>
  <w:style w:type="paragraph" w:styleId="Bibliography">
    <w:name w:val="Bibliography"/>
    <w:basedOn w:val="Normal"/>
    <w:next w:val="Normal"/>
    <w:uiPriority w:val="37"/>
    <w:unhideWhenUsed/>
    <w:rsid w:val="00DF55C0"/>
    <w:pPr>
      <w:ind w:left="720" w:hanging="720"/>
    </w:pPr>
  </w:style>
  <w:style w:type="character" w:styleId="PlaceholderText">
    <w:name w:val="Placeholder Text"/>
    <w:basedOn w:val="DefaultParagraphFont"/>
    <w:uiPriority w:val="99"/>
    <w:semiHidden/>
    <w:rsid w:val="00977DA0"/>
    <w:rPr>
      <w:color w:val="808080"/>
    </w:rPr>
  </w:style>
  <w:style w:type="paragraph" w:styleId="FootnoteText">
    <w:name w:val="footnote text"/>
    <w:basedOn w:val="Normal"/>
    <w:link w:val="FootnoteTextChar"/>
    <w:unhideWhenUsed/>
    <w:rsid w:val="00CF69FA"/>
    <w:rPr>
      <w:sz w:val="20"/>
      <w:szCs w:val="20"/>
    </w:rPr>
  </w:style>
  <w:style w:type="character" w:customStyle="1" w:styleId="FootnoteTextChar">
    <w:name w:val="Footnote Text Char"/>
    <w:basedOn w:val="DefaultParagraphFont"/>
    <w:link w:val="FootnoteText"/>
    <w:rsid w:val="00CF69FA"/>
    <w:rPr>
      <w:rFonts w:ascii="Calibri" w:hAnsi="Calibri" w:cs="Arial"/>
    </w:rPr>
  </w:style>
  <w:style w:type="character" w:styleId="FootnoteReference">
    <w:name w:val="footnote reference"/>
    <w:basedOn w:val="DefaultParagraphFont"/>
    <w:unhideWhenUsed/>
    <w:rsid w:val="00CF69FA"/>
    <w:rPr>
      <w:vertAlign w:val="superscript"/>
    </w:rPr>
  </w:style>
  <w:style w:type="character" w:styleId="UnresolvedMention">
    <w:name w:val="Unresolved Mention"/>
    <w:basedOn w:val="DefaultParagraphFont"/>
    <w:uiPriority w:val="99"/>
    <w:semiHidden/>
    <w:unhideWhenUsed/>
    <w:rsid w:val="00FA7973"/>
    <w:rPr>
      <w:color w:val="605E5C"/>
      <w:shd w:val="clear" w:color="auto" w:fill="E1DFDD"/>
    </w:rPr>
  </w:style>
  <w:style w:type="character" w:customStyle="1" w:styleId="normaltextrun">
    <w:name w:val="normaltextrun"/>
    <w:basedOn w:val="DefaultParagraphFont"/>
    <w:rsid w:val="00231B9B"/>
  </w:style>
  <w:style w:type="character" w:styleId="EndnoteReference">
    <w:name w:val="endnote reference"/>
    <w:basedOn w:val="DefaultParagraphFont"/>
    <w:semiHidden/>
    <w:unhideWhenUsed/>
    <w:rsid w:val="00817813"/>
    <w:rPr>
      <w:vertAlign w:val="superscript"/>
    </w:rPr>
  </w:style>
  <w:style w:type="paragraph" w:customStyle="1" w:styleId="Paragraph">
    <w:name w:val="Paragraph"/>
    <w:link w:val="ParagraphChar"/>
    <w:qFormat/>
    <w:rsid w:val="00E1561A"/>
    <w:pPr>
      <w:spacing w:after="240"/>
    </w:pPr>
    <w:rPr>
      <w:sz w:val="24"/>
      <w:szCs w:val="24"/>
      <w:lang w:val="en-GB" w:eastAsia="en-US"/>
    </w:rPr>
  </w:style>
  <w:style w:type="character" w:customStyle="1" w:styleId="ParagraphChar">
    <w:name w:val="Paragraph Char"/>
    <w:basedOn w:val="DefaultParagraphFont"/>
    <w:link w:val="Paragraph"/>
    <w:rsid w:val="00E1561A"/>
    <w:rPr>
      <w:sz w:val="24"/>
      <w:szCs w:val="24"/>
      <w:lang w:val="en-GB" w:eastAsia="en-US"/>
    </w:rPr>
  </w:style>
  <w:style w:type="table" w:customStyle="1" w:styleId="TableGrid1">
    <w:name w:val="Table Grid1"/>
    <w:basedOn w:val="TableNormal"/>
    <w:next w:val="TableGrid"/>
    <w:uiPriority w:val="39"/>
    <w:rsid w:val="00391A4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SubsectionHeading">
    <w:name w:val="3-Subsection Heading"/>
    <w:basedOn w:val="Heading2"/>
    <w:next w:val="Normal"/>
    <w:link w:val="3-SubsectionHeadingChar"/>
    <w:qFormat/>
    <w:rsid w:val="007B0C13"/>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7B0C13"/>
    <w:rPr>
      <w:rFonts w:asciiTheme="minorHAnsi" w:eastAsiaTheme="majorEastAsia" w:hAnsiTheme="minorHAnsi" w:cstheme="majorBidi"/>
      <w:b/>
      <w:i/>
      <w:snapToGrid/>
      <w:spacing w:val="5"/>
      <w:kern w:val="28"/>
      <w:sz w:val="28"/>
      <w:szCs w:val="36"/>
      <w:lang w:eastAsia="en-US"/>
    </w:rPr>
  </w:style>
  <w:style w:type="character" w:customStyle="1" w:styleId="eop">
    <w:name w:val="eop"/>
    <w:basedOn w:val="DefaultParagraphFont"/>
    <w:rsid w:val="00140B26"/>
  </w:style>
  <w:style w:type="character" w:customStyle="1" w:styleId="fluidplugincopy">
    <w:name w:val="fluidplugincopy"/>
    <w:basedOn w:val="DefaultParagraphFont"/>
    <w:rsid w:val="00F967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4542811">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62766241">
      <w:bodyDiv w:val="1"/>
      <w:marLeft w:val="0"/>
      <w:marRight w:val="0"/>
      <w:marTop w:val="0"/>
      <w:marBottom w:val="0"/>
      <w:divBdr>
        <w:top w:val="none" w:sz="0" w:space="0" w:color="auto"/>
        <w:left w:val="none" w:sz="0" w:space="0" w:color="auto"/>
        <w:bottom w:val="none" w:sz="0" w:space="0" w:color="auto"/>
        <w:right w:val="none" w:sz="0" w:space="0" w:color="auto"/>
      </w:divBdr>
      <w:divsChild>
        <w:div w:id="415055273">
          <w:marLeft w:val="446"/>
          <w:marRight w:val="0"/>
          <w:marTop w:val="0"/>
          <w:marBottom w:val="0"/>
          <w:divBdr>
            <w:top w:val="none" w:sz="0" w:space="0" w:color="auto"/>
            <w:left w:val="none" w:sz="0" w:space="0" w:color="auto"/>
            <w:bottom w:val="none" w:sz="0" w:space="0" w:color="auto"/>
            <w:right w:val="none" w:sz="0" w:space="0" w:color="auto"/>
          </w:divBdr>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61827323">
      <w:bodyDiv w:val="1"/>
      <w:marLeft w:val="0"/>
      <w:marRight w:val="0"/>
      <w:marTop w:val="0"/>
      <w:marBottom w:val="0"/>
      <w:divBdr>
        <w:top w:val="none" w:sz="0" w:space="0" w:color="auto"/>
        <w:left w:val="none" w:sz="0" w:space="0" w:color="auto"/>
        <w:bottom w:val="none" w:sz="0" w:space="0" w:color="auto"/>
        <w:right w:val="none" w:sz="0" w:space="0" w:color="auto"/>
      </w:divBdr>
      <w:divsChild>
        <w:div w:id="369453624">
          <w:marLeft w:val="1080"/>
          <w:marRight w:val="0"/>
          <w:marTop w:val="0"/>
          <w:marBottom w:val="0"/>
          <w:divBdr>
            <w:top w:val="none" w:sz="0" w:space="0" w:color="auto"/>
            <w:left w:val="none" w:sz="0" w:space="0" w:color="auto"/>
            <w:bottom w:val="none" w:sz="0" w:space="0" w:color="auto"/>
            <w:right w:val="none" w:sz="0" w:space="0" w:color="auto"/>
          </w:divBdr>
        </w:div>
        <w:div w:id="614100823">
          <w:marLeft w:val="1080"/>
          <w:marRight w:val="0"/>
          <w:marTop w:val="0"/>
          <w:marBottom w:val="0"/>
          <w:divBdr>
            <w:top w:val="none" w:sz="0" w:space="0" w:color="auto"/>
            <w:left w:val="none" w:sz="0" w:space="0" w:color="auto"/>
            <w:bottom w:val="none" w:sz="0" w:space="0" w:color="auto"/>
            <w:right w:val="none" w:sz="0" w:space="0" w:color="auto"/>
          </w:divBdr>
        </w:div>
        <w:div w:id="1392076985">
          <w:marLeft w:val="360"/>
          <w:marRight w:val="0"/>
          <w:marTop w:val="0"/>
          <w:marBottom w:val="0"/>
          <w:divBdr>
            <w:top w:val="none" w:sz="0" w:space="0" w:color="auto"/>
            <w:left w:val="none" w:sz="0" w:space="0" w:color="auto"/>
            <w:bottom w:val="none" w:sz="0" w:space="0" w:color="auto"/>
            <w:right w:val="none" w:sz="0" w:space="0" w:color="auto"/>
          </w:divBdr>
        </w:div>
        <w:div w:id="1639262051">
          <w:marLeft w:val="1080"/>
          <w:marRight w:val="0"/>
          <w:marTop w:val="0"/>
          <w:marBottom w:val="0"/>
          <w:divBdr>
            <w:top w:val="none" w:sz="0" w:space="0" w:color="auto"/>
            <w:left w:val="none" w:sz="0" w:space="0" w:color="auto"/>
            <w:bottom w:val="none" w:sz="0" w:space="0" w:color="auto"/>
            <w:right w:val="none" w:sz="0" w:space="0" w:color="auto"/>
          </w:divBdr>
        </w:div>
        <w:div w:id="2009867220">
          <w:marLeft w:val="1080"/>
          <w:marRight w:val="0"/>
          <w:marTop w:val="0"/>
          <w:marBottom w:val="0"/>
          <w:divBdr>
            <w:top w:val="none" w:sz="0" w:space="0" w:color="auto"/>
            <w:left w:val="none" w:sz="0" w:space="0" w:color="auto"/>
            <w:bottom w:val="none" w:sz="0" w:space="0" w:color="auto"/>
            <w:right w:val="none" w:sz="0" w:space="0" w:color="auto"/>
          </w:divBdr>
        </w:div>
      </w:divsChild>
    </w:div>
    <w:div w:id="384766238">
      <w:bodyDiv w:val="1"/>
      <w:marLeft w:val="0"/>
      <w:marRight w:val="0"/>
      <w:marTop w:val="0"/>
      <w:marBottom w:val="0"/>
      <w:divBdr>
        <w:top w:val="none" w:sz="0" w:space="0" w:color="auto"/>
        <w:left w:val="none" w:sz="0" w:space="0" w:color="auto"/>
        <w:bottom w:val="none" w:sz="0" w:space="0" w:color="auto"/>
        <w:right w:val="none" w:sz="0" w:space="0" w:color="auto"/>
      </w:divBdr>
    </w:div>
    <w:div w:id="572543958">
      <w:bodyDiv w:val="1"/>
      <w:marLeft w:val="0"/>
      <w:marRight w:val="0"/>
      <w:marTop w:val="0"/>
      <w:marBottom w:val="0"/>
      <w:divBdr>
        <w:top w:val="none" w:sz="0" w:space="0" w:color="auto"/>
        <w:left w:val="none" w:sz="0" w:space="0" w:color="auto"/>
        <w:bottom w:val="none" w:sz="0" w:space="0" w:color="auto"/>
        <w:right w:val="none" w:sz="0" w:space="0" w:color="auto"/>
      </w:divBdr>
      <w:divsChild>
        <w:div w:id="115681351">
          <w:marLeft w:val="806"/>
          <w:marRight w:val="0"/>
          <w:marTop w:val="120"/>
          <w:marBottom w:val="0"/>
          <w:divBdr>
            <w:top w:val="none" w:sz="0" w:space="0" w:color="auto"/>
            <w:left w:val="none" w:sz="0" w:space="0" w:color="auto"/>
            <w:bottom w:val="none" w:sz="0" w:space="0" w:color="auto"/>
            <w:right w:val="none" w:sz="0" w:space="0" w:color="auto"/>
          </w:divBdr>
        </w:div>
        <w:div w:id="488595826">
          <w:marLeft w:val="1080"/>
          <w:marRight w:val="0"/>
          <w:marTop w:val="120"/>
          <w:marBottom w:val="0"/>
          <w:divBdr>
            <w:top w:val="none" w:sz="0" w:space="0" w:color="auto"/>
            <w:left w:val="none" w:sz="0" w:space="0" w:color="auto"/>
            <w:bottom w:val="none" w:sz="0" w:space="0" w:color="auto"/>
            <w:right w:val="none" w:sz="0" w:space="0" w:color="auto"/>
          </w:divBdr>
        </w:div>
        <w:div w:id="913466869">
          <w:marLeft w:val="806"/>
          <w:marRight w:val="0"/>
          <w:marTop w:val="120"/>
          <w:marBottom w:val="0"/>
          <w:divBdr>
            <w:top w:val="none" w:sz="0" w:space="0" w:color="auto"/>
            <w:left w:val="none" w:sz="0" w:space="0" w:color="auto"/>
            <w:bottom w:val="none" w:sz="0" w:space="0" w:color="auto"/>
            <w:right w:val="none" w:sz="0" w:space="0" w:color="auto"/>
          </w:divBdr>
        </w:div>
        <w:div w:id="1601984732">
          <w:marLeft w:val="1080"/>
          <w:marRight w:val="0"/>
          <w:marTop w:val="120"/>
          <w:marBottom w:val="0"/>
          <w:divBdr>
            <w:top w:val="none" w:sz="0" w:space="0" w:color="auto"/>
            <w:left w:val="none" w:sz="0" w:space="0" w:color="auto"/>
            <w:bottom w:val="none" w:sz="0" w:space="0" w:color="auto"/>
            <w:right w:val="none" w:sz="0" w:space="0" w:color="auto"/>
          </w:divBdr>
        </w:div>
      </w:divsChild>
    </w:div>
    <w:div w:id="591858121">
      <w:bodyDiv w:val="1"/>
      <w:marLeft w:val="0"/>
      <w:marRight w:val="0"/>
      <w:marTop w:val="0"/>
      <w:marBottom w:val="0"/>
      <w:divBdr>
        <w:top w:val="none" w:sz="0" w:space="0" w:color="auto"/>
        <w:left w:val="none" w:sz="0" w:space="0" w:color="auto"/>
        <w:bottom w:val="none" w:sz="0" w:space="0" w:color="auto"/>
        <w:right w:val="none" w:sz="0" w:space="0" w:color="auto"/>
      </w:divBdr>
      <w:divsChild>
        <w:div w:id="169687525">
          <w:marLeft w:val="360"/>
          <w:marRight w:val="0"/>
          <w:marTop w:val="200"/>
          <w:marBottom w:val="0"/>
          <w:divBdr>
            <w:top w:val="none" w:sz="0" w:space="0" w:color="auto"/>
            <w:left w:val="none" w:sz="0" w:space="0" w:color="auto"/>
            <w:bottom w:val="none" w:sz="0" w:space="0" w:color="auto"/>
            <w:right w:val="none" w:sz="0" w:space="0" w:color="auto"/>
          </w:divBdr>
        </w:div>
        <w:div w:id="1786658774">
          <w:marLeft w:val="360"/>
          <w:marRight w:val="0"/>
          <w:marTop w:val="200"/>
          <w:marBottom w:val="0"/>
          <w:divBdr>
            <w:top w:val="none" w:sz="0" w:space="0" w:color="auto"/>
            <w:left w:val="none" w:sz="0" w:space="0" w:color="auto"/>
            <w:bottom w:val="none" w:sz="0" w:space="0" w:color="auto"/>
            <w:right w:val="none" w:sz="0" w:space="0" w:color="auto"/>
          </w:divBdr>
        </w:div>
      </w:divsChild>
    </w:div>
    <w:div w:id="667901770">
      <w:bodyDiv w:val="1"/>
      <w:marLeft w:val="0"/>
      <w:marRight w:val="0"/>
      <w:marTop w:val="0"/>
      <w:marBottom w:val="0"/>
      <w:divBdr>
        <w:top w:val="none" w:sz="0" w:space="0" w:color="auto"/>
        <w:left w:val="none" w:sz="0" w:space="0" w:color="auto"/>
        <w:bottom w:val="none" w:sz="0" w:space="0" w:color="auto"/>
        <w:right w:val="none" w:sz="0" w:space="0" w:color="auto"/>
      </w:divBdr>
    </w:div>
    <w:div w:id="695544844">
      <w:bodyDiv w:val="1"/>
      <w:marLeft w:val="0"/>
      <w:marRight w:val="0"/>
      <w:marTop w:val="0"/>
      <w:marBottom w:val="0"/>
      <w:divBdr>
        <w:top w:val="none" w:sz="0" w:space="0" w:color="auto"/>
        <w:left w:val="none" w:sz="0" w:space="0" w:color="auto"/>
        <w:bottom w:val="none" w:sz="0" w:space="0" w:color="auto"/>
        <w:right w:val="none" w:sz="0" w:space="0" w:color="auto"/>
      </w:divBdr>
    </w:div>
    <w:div w:id="747767485">
      <w:bodyDiv w:val="1"/>
      <w:marLeft w:val="0"/>
      <w:marRight w:val="0"/>
      <w:marTop w:val="0"/>
      <w:marBottom w:val="0"/>
      <w:divBdr>
        <w:top w:val="none" w:sz="0" w:space="0" w:color="auto"/>
        <w:left w:val="none" w:sz="0" w:space="0" w:color="auto"/>
        <w:bottom w:val="none" w:sz="0" w:space="0" w:color="auto"/>
        <w:right w:val="none" w:sz="0" w:space="0" w:color="auto"/>
      </w:divBdr>
      <w:divsChild>
        <w:div w:id="707338010">
          <w:marLeft w:val="446"/>
          <w:marRight w:val="0"/>
          <w:marTop w:val="0"/>
          <w:marBottom w:val="0"/>
          <w:divBdr>
            <w:top w:val="none" w:sz="0" w:space="0" w:color="auto"/>
            <w:left w:val="none" w:sz="0" w:space="0" w:color="auto"/>
            <w:bottom w:val="none" w:sz="0" w:space="0" w:color="auto"/>
            <w:right w:val="none" w:sz="0" w:space="0" w:color="auto"/>
          </w:divBdr>
        </w:div>
        <w:div w:id="1103502496">
          <w:marLeft w:val="446"/>
          <w:marRight w:val="0"/>
          <w:marTop w:val="0"/>
          <w:marBottom w:val="0"/>
          <w:divBdr>
            <w:top w:val="none" w:sz="0" w:space="0" w:color="auto"/>
            <w:left w:val="none" w:sz="0" w:space="0" w:color="auto"/>
            <w:bottom w:val="none" w:sz="0" w:space="0" w:color="auto"/>
            <w:right w:val="none" w:sz="0" w:space="0" w:color="auto"/>
          </w:divBdr>
        </w:div>
        <w:div w:id="1812095161">
          <w:marLeft w:val="446"/>
          <w:marRight w:val="0"/>
          <w:marTop w:val="0"/>
          <w:marBottom w:val="0"/>
          <w:divBdr>
            <w:top w:val="none" w:sz="0" w:space="0" w:color="auto"/>
            <w:left w:val="none" w:sz="0" w:space="0" w:color="auto"/>
            <w:bottom w:val="none" w:sz="0" w:space="0" w:color="auto"/>
            <w:right w:val="none" w:sz="0" w:space="0" w:color="auto"/>
          </w:divBdr>
        </w:div>
      </w:divsChild>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42886150">
      <w:bodyDiv w:val="1"/>
      <w:marLeft w:val="0"/>
      <w:marRight w:val="0"/>
      <w:marTop w:val="0"/>
      <w:marBottom w:val="0"/>
      <w:divBdr>
        <w:top w:val="none" w:sz="0" w:space="0" w:color="auto"/>
        <w:left w:val="none" w:sz="0" w:space="0" w:color="auto"/>
        <w:bottom w:val="none" w:sz="0" w:space="0" w:color="auto"/>
        <w:right w:val="none" w:sz="0" w:space="0" w:color="auto"/>
      </w:divBdr>
      <w:divsChild>
        <w:div w:id="413673232">
          <w:marLeft w:val="446"/>
          <w:marRight w:val="0"/>
          <w:marTop w:val="0"/>
          <w:marBottom w:val="0"/>
          <w:divBdr>
            <w:top w:val="none" w:sz="0" w:space="0" w:color="auto"/>
            <w:left w:val="none" w:sz="0" w:space="0" w:color="auto"/>
            <w:bottom w:val="none" w:sz="0" w:space="0" w:color="auto"/>
            <w:right w:val="none" w:sz="0" w:space="0" w:color="auto"/>
          </w:divBdr>
        </w:div>
        <w:div w:id="627048865">
          <w:marLeft w:val="446"/>
          <w:marRight w:val="0"/>
          <w:marTop w:val="0"/>
          <w:marBottom w:val="0"/>
          <w:divBdr>
            <w:top w:val="none" w:sz="0" w:space="0" w:color="auto"/>
            <w:left w:val="none" w:sz="0" w:space="0" w:color="auto"/>
            <w:bottom w:val="none" w:sz="0" w:space="0" w:color="auto"/>
            <w:right w:val="none" w:sz="0" w:space="0" w:color="auto"/>
          </w:divBdr>
        </w:div>
        <w:div w:id="1141263016">
          <w:marLeft w:val="446"/>
          <w:marRight w:val="0"/>
          <w:marTop w:val="0"/>
          <w:marBottom w:val="0"/>
          <w:divBdr>
            <w:top w:val="none" w:sz="0" w:space="0" w:color="auto"/>
            <w:left w:val="none" w:sz="0" w:space="0" w:color="auto"/>
            <w:bottom w:val="none" w:sz="0" w:space="0" w:color="auto"/>
            <w:right w:val="none" w:sz="0" w:space="0" w:color="auto"/>
          </w:divBdr>
        </w:div>
      </w:divsChild>
    </w:div>
    <w:div w:id="1009913321">
      <w:bodyDiv w:val="1"/>
      <w:marLeft w:val="0"/>
      <w:marRight w:val="0"/>
      <w:marTop w:val="0"/>
      <w:marBottom w:val="0"/>
      <w:divBdr>
        <w:top w:val="none" w:sz="0" w:space="0" w:color="auto"/>
        <w:left w:val="none" w:sz="0" w:space="0" w:color="auto"/>
        <w:bottom w:val="none" w:sz="0" w:space="0" w:color="auto"/>
        <w:right w:val="none" w:sz="0" w:space="0" w:color="auto"/>
      </w:divBdr>
      <w:divsChild>
        <w:div w:id="797913514">
          <w:marLeft w:val="360"/>
          <w:marRight w:val="0"/>
          <w:marTop w:val="200"/>
          <w:marBottom w:val="0"/>
          <w:divBdr>
            <w:top w:val="none" w:sz="0" w:space="0" w:color="auto"/>
            <w:left w:val="none" w:sz="0" w:space="0" w:color="auto"/>
            <w:bottom w:val="none" w:sz="0" w:space="0" w:color="auto"/>
            <w:right w:val="none" w:sz="0" w:space="0" w:color="auto"/>
          </w:divBdr>
        </w:div>
        <w:div w:id="1313219016">
          <w:marLeft w:val="360"/>
          <w:marRight w:val="0"/>
          <w:marTop w:val="200"/>
          <w:marBottom w:val="0"/>
          <w:divBdr>
            <w:top w:val="none" w:sz="0" w:space="0" w:color="auto"/>
            <w:left w:val="none" w:sz="0" w:space="0" w:color="auto"/>
            <w:bottom w:val="none" w:sz="0" w:space="0" w:color="auto"/>
            <w:right w:val="none" w:sz="0" w:space="0" w:color="auto"/>
          </w:divBdr>
        </w:div>
        <w:div w:id="1399522572">
          <w:marLeft w:val="360"/>
          <w:marRight w:val="0"/>
          <w:marTop w:val="200"/>
          <w:marBottom w:val="0"/>
          <w:divBdr>
            <w:top w:val="none" w:sz="0" w:space="0" w:color="auto"/>
            <w:left w:val="none" w:sz="0" w:space="0" w:color="auto"/>
            <w:bottom w:val="none" w:sz="0" w:space="0" w:color="auto"/>
            <w:right w:val="none" w:sz="0" w:space="0" w:color="auto"/>
          </w:divBdr>
        </w:div>
        <w:div w:id="1420059263">
          <w:marLeft w:val="360"/>
          <w:marRight w:val="0"/>
          <w:marTop w:val="200"/>
          <w:marBottom w:val="0"/>
          <w:divBdr>
            <w:top w:val="none" w:sz="0" w:space="0" w:color="auto"/>
            <w:left w:val="none" w:sz="0" w:space="0" w:color="auto"/>
            <w:bottom w:val="none" w:sz="0" w:space="0" w:color="auto"/>
            <w:right w:val="none" w:sz="0" w:space="0" w:color="auto"/>
          </w:divBdr>
        </w:div>
        <w:div w:id="1431581938">
          <w:marLeft w:val="360"/>
          <w:marRight w:val="0"/>
          <w:marTop w:val="200"/>
          <w:marBottom w:val="0"/>
          <w:divBdr>
            <w:top w:val="none" w:sz="0" w:space="0" w:color="auto"/>
            <w:left w:val="none" w:sz="0" w:space="0" w:color="auto"/>
            <w:bottom w:val="none" w:sz="0" w:space="0" w:color="auto"/>
            <w:right w:val="none" w:sz="0" w:space="0" w:color="auto"/>
          </w:divBdr>
        </w:div>
        <w:div w:id="1488280801">
          <w:marLeft w:val="360"/>
          <w:marRight w:val="0"/>
          <w:marTop w:val="200"/>
          <w:marBottom w:val="0"/>
          <w:divBdr>
            <w:top w:val="none" w:sz="0" w:space="0" w:color="auto"/>
            <w:left w:val="none" w:sz="0" w:space="0" w:color="auto"/>
            <w:bottom w:val="none" w:sz="0" w:space="0" w:color="auto"/>
            <w:right w:val="none" w:sz="0" w:space="0" w:color="auto"/>
          </w:divBdr>
        </w:div>
      </w:divsChild>
    </w:div>
    <w:div w:id="1032148547">
      <w:bodyDiv w:val="1"/>
      <w:marLeft w:val="0"/>
      <w:marRight w:val="0"/>
      <w:marTop w:val="0"/>
      <w:marBottom w:val="0"/>
      <w:divBdr>
        <w:top w:val="none" w:sz="0" w:space="0" w:color="auto"/>
        <w:left w:val="none" w:sz="0" w:space="0" w:color="auto"/>
        <w:bottom w:val="none" w:sz="0" w:space="0" w:color="auto"/>
        <w:right w:val="none" w:sz="0" w:space="0" w:color="auto"/>
      </w:divBdr>
      <w:divsChild>
        <w:div w:id="1217352568">
          <w:marLeft w:val="446"/>
          <w:marRight w:val="0"/>
          <w:marTop w:val="0"/>
          <w:marBottom w:val="0"/>
          <w:divBdr>
            <w:top w:val="none" w:sz="0" w:space="0" w:color="auto"/>
            <w:left w:val="none" w:sz="0" w:space="0" w:color="auto"/>
            <w:bottom w:val="none" w:sz="0" w:space="0" w:color="auto"/>
            <w:right w:val="none" w:sz="0" w:space="0" w:color="auto"/>
          </w:divBdr>
        </w:div>
      </w:divsChild>
    </w:div>
    <w:div w:id="1051271081">
      <w:bodyDiv w:val="1"/>
      <w:marLeft w:val="0"/>
      <w:marRight w:val="0"/>
      <w:marTop w:val="0"/>
      <w:marBottom w:val="0"/>
      <w:divBdr>
        <w:top w:val="none" w:sz="0" w:space="0" w:color="auto"/>
        <w:left w:val="none" w:sz="0" w:space="0" w:color="auto"/>
        <w:bottom w:val="none" w:sz="0" w:space="0" w:color="auto"/>
        <w:right w:val="none" w:sz="0" w:space="0" w:color="auto"/>
      </w:divBdr>
    </w:div>
    <w:div w:id="1090929587">
      <w:bodyDiv w:val="1"/>
      <w:marLeft w:val="0"/>
      <w:marRight w:val="0"/>
      <w:marTop w:val="0"/>
      <w:marBottom w:val="0"/>
      <w:divBdr>
        <w:top w:val="none" w:sz="0" w:space="0" w:color="auto"/>
        <w:left w:val="none" w:sz="0" w:space="0" w:color="auto"/>
        <w:bottom w:val="none" w:sz="0" w:space="0" w:color="auto"/>
        <w:right w:val="none" w:sz="0" w:space="0" w:color="auto"/>
      </w:divBdr>
      <w:divsChild>
        <w:div w:id="98646369">
          <w:marLeft w:val="1080"/>
          <w:marRight w:val="0"/>
          <w:marTop w:val="100"/>
          <w:marBottom w:val="0"/>
          <w:divBdr>
            <w:top w:val="none" w:sz="0" w:space="0" w:color="auto"/>
            <w:left w:val="none" w:sz="0" w:space="0" w:color="auto"/>
            <w:bottom w:val="none" w:sz="0" w:space="0" w:color="auto"/>
            <w:right w:val="none" w:sz="0" w:space="0" w:color="auto"/>
          </w:divBdr>
        </w:div>
        <w:div w:id="328799268">
          <w:marLeft w:val="1080"/>
          <w:marRight w:val="0"/>
          <w:marTop w:val="100"/>
          <w:marBottom w:val="0"/>
          <w:divBdr>
            <w:top w:val="none" w:sz="0" w:space="0" w:color="auto"/>
            <w:left w:val="none" w:sz="0" w:space="0" w:color="auto"/>
            <w:bottom w:val="none" w:sz="0" w:space="0" w:color="auto"/>
            <w:right w:val="none" w:sz="0" w:space="0" w:color="auto"/>
          </w:divBdr>
        </w:div>
        <w:div w:id="452290726">
          <w:marLeft w:val="360"/>
          <w:marRight w:val="0"/>
          <w:marTop w:val="200"/>
          <w:marBottom w:val="0"/>
          <w:divBdr>
            <w:top w:val="none" w:sz="0" w:space="0" w:color="auto"/>
            <w:left w:val="none" w:sz="0" w:space="0" w:color="auto"/>
            <w:bottom w:val="none" w:sz="0" w:space="0" w:color="auto"/>
            <w:right w:val="none" w:sz="0" w:space="0" w:color="auto"/>
          </w:divBdr>
        </w:div>
        <w:div w:id="868302189">
          <w:marLeft w:val="1080"/>
          <w:marRight w:val="0"/>
          <w:marTop w:val="100"/>
          <w:marBottom w:val="0"/>
          <w:divBdr>
            <w:top w:val="none" w:sz="0" w:space="0" w:color="auto"/>
            <w:left w:val="none" w:sz="0" w:space="0" w:color="auto"/>
            <w:bottom w:val="none" w:sz="0" w:space="0" w:color="auto"/>
            <w:right w:val="none" w:sz="0" w:space="0" w:color="auto"/>
          </w:divBdr>
        </w:div>
        <w:div w:id="916789211">
          <w:marLeft w:val="1080"/>
          <w:marRight w:val="0"/>
          <w:marTop w:val="100"/>
          <w:marBottom w:val="0"/>
          <w:divBdr>
            <w:top w:val="none" w:sz="0" w:space="0" w:color="auto"/>
            <w:left w:val="none" w:sz="0" w:space="0" w:color="auto"/>
            <w:bottom w:val="none" w:sz="0" w:space="0" w:color="auto"/>
            <w:right w:val="none" w:sz="0" w:space="0" w:color="auto"/>
          </w:divBdr>
        </w:div>
        <w:div w:id="1001159517">
          <w:marLeft w:val="1080"/>
          <w:marRight w:val="0"/>
          <w:marTop w:val="100"/>
          <w:marBottom w:val="0"/>
          <w:divBdr>
            <w:top w:val="none" w:sz="0" w:space="0" w:color="auto"/>
            <w:left w:val="none" w:sz="0" w:space="0" w:color="auto"/>
            <w:bottom w:val="none" w:sz="0" w:space="0" w:color="auto"/>
            <w:right w:val="none" w:sz="0" w:space="0" w:color="auto"/>
          </w:divBdr>
        </w:div>
        <w:div w:id="1284456510">
          <w:marLeft w:val="1080"/>
          <w:marRight w:val="0"/>
          <w:marTop w:val="100"/>
          <w:marBottom w:val="0"/>
          <w:divBdr>
            <w:top w:val="none" w:sz="0" w:space="0" w:color="auto"/>
            <w:left w:val="none" w:sz="0" w:space="0" w:color="auto"/>
            <w:bottom w:val="none" w:sz="0" w:space="0" w:color="auto"/>
            <w:right w:val="none" w:sz="0" w:space="0" w:color="auto"/>
          </w:divBdr>
        </w:div>
        <w:div w:id="1416589160">
          <w:marLeft w:val="1080"/>
          <w:marRight w:val="0"/>
          <w:marTop w:val="100"/>
          <w:marBottom w:val="0"/>
          <w:divBdr>
            <w:top w:val="none" w:sz="0" w:space="0" w:color="auto"/>
            <w:left w:val="none" w:sz="0" w:space="0" w:color="auto"/>
            <w:bottom w:val="none" w:sz="0" w:space="0" w:color="auto"/>
            <w:right w:val="none" w:sz="0" w:space="0" w:color="auto"/>
          </w:divBdr>
        </w:div>
      </w:divsChild>
    </w:div>
    <w:div w:id="1115370667">
      <w:bodyDiv w:val="1"/>
      <w:marLeft w:val="0"/>
      <w:marRight w:val="0"/>
      <w:marTop w:val="0"/>
      <w:marBottom w:val="0"/>
      <w:divBdr>
        <w:top w:val="none" w:sz="0" w:space="0" w:color="auto"/>
        <w:left w:val="none" w:sz="0" w:space="0" w:color="auto"/>
        <w:bottom w:val="none" w:sz="0" w:space="0" w:color="auto"/>
        <w:right w:val="none" w:sz="0" w:space="0" w:color="auto"/>
      </w:divBdr>
      <w:divsChild>
        <w:div w:id="265505612">
          <w:marLeft w:val="1080"/>
          <w:marRight w:val="0"/>
          <w:marTop w:val="120"/>
          <w:marBottom w:val="0"/>
          <w:divBdr>
            <w:top w:val="none" w:sz="0" w:space="0" w:color="auto"/>
            <w:left w:val="none" w:sz="0" w:space="0" w:color="auto"/>
            <w:bottom w:val="none" w:sz="0" w:space="0" w:color="auto"/>
            <w:right w:val="none" w:sz="0" w:space="0" w:color="auto"/>
          </w:divBdr>
        </w:div>
        <w:div w:id="1203134380">
          <w:marLeft w:val="806"/>
          <w:marRight w:val="0"/>
          <w:marTop w:val="120"/>
          <w:marBottom w:val="0"/>
          <w:divBdr>
            <w:top w:val="none" w:sz="0" w:space="0" w:color="auto"/>
            <w:left w:val="none" w:sz="0" w:space="0" w:color="auto"/>
            <w:bottom w:val="none" w:sz="0" w:space="0" w:color="auto"/>
            <w:right w:val="none" w:sz="0" w:space="0" w:color="auto"/>
          </w:divBdr>
        </w:div>
        <w:div w:id="1511800712">
          <w:marLeft w:val="806"/>
          <w:marRight w:val="0"/>
          <w:marTop w:val="120"/>
          <w:marBottom w:val="0"/>
          <w:divBdr>
            <w:top w:val="none" w:sz="0" w:space="0" w:color="auto"/>
            <w:left w:val="none" w:sz="0" w:space="0" w:color="auto"/>
            <w:bottom w:val="none" w:sz="0" w:space="0" w:color="auto"/>
            <w:right w:val="none" w:sz="0" w:space="0" w:color="auto"/>
          </w:divBdr>
        </w:div>
        <w:div w:id="1547065875">
          <w:marLeft w:val="1080"/>
          <w:marRight w:val="0"/>
          <w:marTop w:val="12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05143321">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82035528">
      <w:bodyDiv w:val="1"/>
      <w:marLeft w:val="0"/>
      <w:marRight w:val="0"/>
      <w:marTop w:val="0"/>
      <w:marBottom w:val="0"/>
      <w:divBdr>
        <w:top w:val="none" w:sz="0" w:space="0" w:color="auto"/>
        <w:left w:val="none" w:sz="0" w:space="0" w:color="auto"/>
        <w:bottom w:val="none" w:sz="0" w:space="0" w:color="auto"/>
        <w:right w:val="none" w:sz="0" w:space="0" w:color="auto"/>
      </w:divBdr>
      <w:divsChild>
        <w:div w:id="1568877036">
          <w:marLeft w:val="360"/>
          <w:marRight w:val="0"/>
          <w:marTop w:val="200"/>
          <w:marBottom w:val="0"/>
          <w:divBdr>
            <w:top w:val="none" w:sz="0" w:space="0" w:color="auto"/>
            <w:left w:val="none" w:sz="0" w:space="0" w:color="auto"/>
            <w:bottom w:val="none" w:sz="0" w:space="0" w:color="auto"/>
            <w:right w:val="none" w:sz="0" w:space="0" w:color="auto"/>
          </w:divBdr>
        </w:div>
        <w:div w:id="2026133689">
          <w:marLeft w:val="360"/>
          <w:marRight w:val="0"/>
          <w:marTop w:val="200"/>
          <w:marBottom w:val="0"/>
          <w:divBdr>
            <w:top w:val="none" w:sz="0" w:space="0" w:color="auto"/>
            <w:left w:val="none" w:sz="0" w:space="0" w:color="auto"/>
            <w:bottom w:val="none" w:sz="0" w:space="0" w:color="auto"/>
            <w:right w:val="none" w:sz="0" w:space="0" w:color="auto"/>
          </w:divBdr>
        </w:div>
      </w:divsChild>
    </w:div>
    <w:div w:id="1438136920">
      <w:bodyDiv w:val="1"/>
      <w:marLeft w:val="0"/>
      <w:marRight w:val="0"/>
      <w:marTop w:val="0"/>
      <w:marBottom w:val="0"/>
      <w:divBdr>
        <w:top w:val="none" w:sz="0" w:space="0" w:color="auto"/>
        <w:left w:val="none" w:sz="0" w:space="0" w:color="auto"/>
        <w:bottom w:val="none" w:sz="0" w:space="0" w:color="auto"/>
        <w:right w:val="none" w:sz="0" w:space="0" w:color="auto"/>
      </w:divBdr>
      <w:divsChild>
        <w:div w:id="244531237">
          <w:marLeft w:val="1080"/>
          <w:marRight w:val="0"/>
          <w:marTop w:val="100"/>
          <w:marBottom w:val="0"/>
          <w:divBdr>
            <w:top w:val="none" w:sz="0" w:space="0" w:color="auto"/>
            <w:left w:val="none" w:sz="0" w:space="0" w:color="auto"/>
            <w:bottom w:val="none" w:sz="0" w:space="0" w:color="auto"/>
            <w:right w:val="none" w:sz="0" w:space="0" w:color="auto"/>
          </w:divBdr>
        </w:div>
        <w:div w:id="462885892">
          <w:marLeft w:val="1080"/>
          <w:marRight w:val="0"/>
          <w:marTop w:val="100"/>
          <w:marBottom w:val="0"/>
          <w:divBdr>
            <w:top w:val="none" w:sz="0" w:space="0" w:color="auto"/>
            <w:left w:val="none" w:sz="0" w:space="0" w:color="auto"/>
            <w:bottom w:val="none" w:sz="0" w:space="0" w:color="auto"/>
            <w:right w:val="none" w:sz="0" w:space="0" w:color="auto"/>
          </w:divBdr>
        </w:div>
        <w:div w:id="979270199">
          <w:marLeft w:val="1080"/>
          <w:marRight w:val="0"/>
          <w:marTop w:val="100"/>
          <w:marBottom w:val="0"/>
          <w:divBdr>
            <w:top w:val="none" w:sz="0" w:space="0" w:color="auto"/>
            <w:left w:val="none" w:sz="0" w:space="0" w:color="auto"/>
            <w:bottom w:val="none" w:sz="0" w:space="0" w:color="auto"/>
            <w:right w:val="none" w:sz="0" w:space="0" w:color="auto"/>
          </w:divBdr>
        </w:div>
        <w:div w:id="2062707075">
          <w:marLeft w:val="1080"/>
          <w:marRight w:val="0"/>
          <w:marTop w:val="100"/>
          <w:marBottom w:val="0"/>
          <w:divBdr>
            <w:top w:val="none" w:sz="0" w:space="0" w:color="auto"/>
            <w:left w:val="none" w:sz="0" w:space="0" w:color="auto"/>
            <w:bottom w:val="none" w:sz="0" w:space="0" w:color="auto"/>
            <w:right w:val="none" w:sz="0" w:space="0" w:color="auto"/>
          </w:divBdr>
        </w:div>
      </w:divsChild>
    </w:div>
    <w:div w:id="1552157016">
      <w:bodyDiv w:val="1"/>
      <w:marLeft w:val="0"/>
      <w:marRight w:val="0"/>
      <w:marTop w:val="0"/>
      <w:marBottom w:val="0"/>
      <w:divBdr>
        <w:top w:val="none" w:sz="0" w:space="0" w:color="auto"/>
        <w:left w:val="none" w:sz="0" w:space="0" w:color="auto"/>
        <w:bottom w:val="none" w:sz="0" w:space="0" w:color="auto"/>
        <w:right w:val="none" w:sz="0" w:space="0" w:color="auto"/>
      </w:divBdr>
    </w:div>
    <w:div w:id="1797065418">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45711685">
      <w:bodyDiv w:val="1"/>
      <w:marLeft w:val="0"/>
      <w:marRight w:val="0"/>
      <w:marTop w:val="0"/>
      <w:marBottom w:val="0"/>
      <w:divBdr>
        <w:top w:val="none" w:sz="0" w:space="0" w:color="auto"/>
        <w:left w:val="none" w:sz="0" w:space="0" w:color="auto"/>
        <w:bottom w:val="none" w:sz="0" w:space="0" w:color="auto"/>
        <w:right w:val="none" w:sz="0" w:space="0" w:color="auto"/>
      </w:divBdr>
    </w:div>
    <w:div w:id="2077584977">
      <w:bodyDiv w:val="1"/>
      <w:marLeft w:val="0"/>
      <w:marRight w:val="0"/>
      <w:marTop w:val="0"/>
      <w:marBottom w:val="0"/>
      <w:divBdr>
        <w:top w:val="none" w:sz="0" w:space="0" w:color="auto"/>
        <w:left w:val="none" w:sz="0" w:space="0" w:color="auto"/>
        <w:bottom w:val="none" w:sz="0" w:space="0" w:color="auto"/>
        <w:right w:val="none" w:sz="0" w:space="0" w:color="auto"/>
      </w:divBdr>
    </w:div>
    <w:div w:id="2096660240">
      <w:bodyDiv w:val="1"/>
      <w:marLeft w:val="0"/>
      <w:marRight w:val="0"/>
      <w:marTop w:val="0"/>
      <w:marBottom w:val="0"/>
      <w:divBdr>
        <w:top w:val="none" w:sz="0" w:space="0" w:color="auto"/>
        <w:left w:val="none" w:sz="0" w:space="0" w:color="auto"/>
        <w:bottom w:val="none" w:sz="0" w:space="0" w:color="auto"/>
        <w:right w:val="none" w:sz="0" w:space="0" w:color="auto"/>
      </w:divBdr>
      <w:divsChild>
        <w:div w:id="685328169">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fda.gov/media/159767/download"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2.png"/></Relationships>
</file>

<file path=word/_rels/footnotes.xml.rels><?xml version="1.0" encoding="UTF-8" standalone="yes"?>
<Relationships xmlns="http://schemas.openxmlformats.org/package/2006/relationships"><Relationship Id="rId8" Type="http://schemas.openxmlformats.org/officeDocument/2006/relationships/hyperlink" Target="https://www1.health.gov.au/internet/main/publishing.nsf/Content/C50CAE02452A48A7CA2587320081F7BF/$File/covid_19_australia_epidemiology_report_63_reporting_period_ending_3_july_2022.pdf" TargetMode="External"/><Relationship Id="rId13" Type="http://schemas.openxmlformats.org/officeDocument/2006/relationships/hyperlink" Target="https://doi.org/10.1093/cid/ciac625" TargetMode="External"/><Relationship Id="rId18" Type="http://schemas.openxmlformats.org/officeDocument/2006/relationships/hyperlink" Target="https://doi.org/10.1056/NEJMc2207519" TargetMode="External"/><Relationship Id="rId26" Type="http://schemas.openxmlformats.org/officeDocument/2006/relationships/hyperlink" Target="https://www1.health.gov.au/internet/main/publishing.nsf/Content/C50CAE02452A48A7CA2587320081F7BF/$File/covid_19_australia_epidemiology_report_63_reporting_period_ending_3_july_2022.pdf" TargetMode="External"/><Relationship Id="rId3" Type="http://schemas.openxmlformats.org/officeDocument/2006/relationships/hyperlink" Target="https://www.fda.gov/media/154701/download" TargetMode="External"/><Relationship Id="rId21" Type="http://schemas.openxmlformats.org/officeDocument/2006/relationships/hyperlink" Target="https://doi.org/10.1038/s41392-022-00997-x" TargetMode="External"/><Relationship Id="rId7" Type="http://schemas.openxmlformats.org/officeDocument/2006/relationships/hyperlink" Target="https://web.archive.org/web/20220730101402/https://www.cdgn.org.au/variants-of-concern" TargetMode="External"/><Relationship Id="rId12" Type="http://schemas.openxmlformats.org/officeDocument/2006/relationships/hyperlink" Target="https://doi.org/10.1111/ajt.17128" TargetMode="External"/><Relationship Id="rId17" Type="http://schemas.openxmlformats.org/officeDocument/2006/relationships/hyperlink" Target="https://doi.org/10.1038/s41586-022-04980-y" TargetMode="External"/><Relationship Id="rId25" Type="http://schemas.openxmlformats.org/officeDocument/2006/relationships/hyperlink" Target="https://www1.health.gov.au/internet/main/publishing.nsf/Content/C50CAE02452A48A7CA2587320081F7BF/$File/covid_19_australia_epidemiology_report_63_reporting_period_ending_3_july_2022.pdf" TargetMode="External"/><Relationship Id="rId2" Type="http://schemas.openxmlformats.org/officeDocument/2006/relationships/hyperlink" Target="https://www.health.gov.au/resources/publications/atagi-recommendations-on-the-use-of-a-third-primary-dose-of-covid-19-vaccine-in-individuals-who-are-severely-immunocompromised" TargetMode="External"/><Relationship Id="rId16" Type="http://schemas.openxmlformats.org/officeDocument/2006/relationships/hyperlink" Target="https://doi.org/10.1016/S1473-3099(22)00365-6" TargetMode="External"/><Relationship Id="rId20" Type="http://schemas.openxmlformats.org/officeDocument/2006/relationships/hyperlink" Target="https://www.adelaidenow.com.au/news/how-sas-lung-transplant-team-defied-global-fatality-rates-during-covid/news-story/ac53da34cd20ee57a83b9f810391ca3f" TargetMode="External"/><Relationship Id="rId1" Type="http://schemas.openxmlformats.org/officeDocument/2006/relationships/hyperlink" Target="https://www.astrazeneca.com/media-centre/statements/2022/update-to-evusheld-recommended-dosage-regimen-for-pre-exposure-prophylaxis-of-covid-19.html" TargetMode="External"/><Relationship Id="rId6" Type="http://schemas.openxmlformats.org/officeDocument/2006/relationships/hyperlink" Target="https://web.archive.org/web/20220624134327/https://www.cdgn.org.au/variants-of-concern" TargetMode="External"/><Relationship Id="rId11" Type="http://schemas.openxmlformats.org/officeDocument/2006/relationships/hyperlink" Target="https://doi.org/10.1101/2022.05.28.22275716" TargetMode="External"/><Relationship Id="rId24" Type="http://schemas.openxmlformats.org/officeDocument/2006/relationships/hyperlink" Target="http://medicarestatistics.humanservices.gov.au/statistics/pbs_item.jsp" TargetMode="External"/><Relationship Id="rId5" Type="http://schemas.openxmlformats.org/officeDocument/2006/relationships/hyperlink" Target="https://web.archive.org/web/20220724072138/https://www.cdgn.org.au/variants-of-concern" TargetMode="External"/><Relationship Id="rId15" Type="http://schemas.openxmlformats.org/officeDocument/2006/relationships/hyperlink" Target="https://doi.org/10.1101/2022.05.21.492554" TargetMode="External"/><Relationship Id="rId23" Type="http://schemas.openxmlformats.org/officeDocument/2006/relationships/hyperlink" Target="https://www.health.gov.au/resources/publications/atagi-recommendations-on-the-use-of-a-third-primary-dose-of-covid-19-vaccine-in-individuals-who-are-severely-immunocompromised" TargetMode="External"/><Relationship Id="rId10" Type="http://schemas.openxmlformats.org/officeDocument/2006/relationships/hyperlink" Target="https://clinicaltrials.gov/ct2/show/NCT05375760" TargetMode="External"/><Relationship Id="rId19" Type="http://schemas.openxmlformats.org/officeDocument/2006/relationships/hyperlink" Target="https://doi.org/10.1016/S2213-2600(22)00180-1" TargetMode="External"/><Relationship Id="rId4" Type="http://schemas.openxmlformats.org/officeDocument/2006/relationships/hyperlink" Target="https://www.health.gov.au/initiatives-and-programs/covid-19-vaccines" TargetMode="External"/><Relationship Id="rId9" Type="http://schemas.openxmlformats.org/officeDocument/2006/relationships/hyperlink" Target="https://www1.health.gov.au/internet/main/publishing.nsf/Content/C50CAE02452A48A7CA2587320081F7BF/$File/covid_19_australia_epidemiology_report_63_reporting_period_ending_3_july_2022.pdf" TargetMode="External"/><Relationship Id="rId14" Type="http://schemas.openxmlformats.org/officeDocument/2006/relationships/hyperlink" Target="https://doi.org/10.1016/j.cmi.2022.07.015" TargetMode="External"/><Relationship Id="rId22" Type="http://schemas.openxmlformats.org/officeDocument/2006/relationships/hyperlink" Target="https://www1.health.gov.au/internet/main/publishing.nsf/Content/C50CAE02452A48A7CA2587320081F7BF/$File/covid_19_australia_epidemiology_report_63_reporting_period_ending_3_july_2022.pdf" TargetMode="External"/><Relationship Id="rId27" Type="http://schemas.openxmlformats.org/officeDocument/2006/relationships/hyperlink" Target="https://www.ontariohealth.ca/sites/ontariohealth/files/2022-05/Information%20for%20health%20care%20providers%20-%20Evushel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23336</Words>
  <Characters>129978</Characters>
  <Application>Microsoft Office Word</Application>
  <DocSecurity>0</DocSecurity>
  <Lines>1083</Lines>
  <Paragraphs>306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153008</CharactersWithSpaces>
  <SharedDoc>false</SharedDoc>
  <HLinks>
    <vt:vector size="312" baseType="variant">
      <vt:variant>
        <vt:i4>4849729</vt:i4>
      </vt:variant>
      <vt:variant>
        <vt:i4>390</vt:i4>
      </vt:variant>
      <vt:variant>
        <vt:i4>0</vt:i4>
      </vt:variant>
      <vt:variant>
        <vt:i4>5</vt:i4>
      </vt:variant>
      <vt:variant>
        <vt:lpwstr>https://www.fda.gov/media/159767/download</vt:lpwstr>
      </vt:variant>
      <vt:variant>
        <vt:lpwstr/>
      </vt:variant>
      <vt:variant>
        <vt:i4>1048627</vt:i4>
      </vt:variant>
      <vt:variant>
        <vt:i4>152</vt:i4>
      </vt:variant>
      <vt:variant>
        <vt:i4>0</vt:i4>
      </vt:variant>
      <vt:variant>
        <vt:i4>5</vt:i4>
      </vt:variant>
      <vt:variant>
        <vt:lpwstr/>
      </vt:variant>
      <vt:variant>
        <vt:lpwstr>_Toc110809272</vt:lpwstr>
      </vt:variant>
      <vt:variant>
        <vt:i4>1048627</vt:i4>
      </vt:variant>
      <vt:variant>
        <vt:i4>146</vt:i4>
      </vt:variant>
      <vt:variant>
        <vt:i4>0</vt:i4>
      </vt:variant>
      <vt:variant>
        <vt:i4>5</vt:i4>
      </vt:variant>
      <vt:variant>
        <vt:lpwstr/>
      </vt:variant>
      <vt:variant>
        <vt:lpwstr>_Toc110809271</vt:lpwstr>
      </vt:variant>
      <vt:variant>
        <vt:i4>1048627</vt:i4>
      </vt:variant>
      <vt:variant>
        <vt:i4>140</vt:i4>
      </vt:variant>
      <vt:variant>
        <vt:i4>0</vt:i4>
      </vt:variant>
      <vt:variant>
        <vt:i4>5</vt:i4>
      </vt:variant>
      <vt:variant>
        <vt:lpwstr/>
      </vt:variant>
      <vt:variant>
        <vt:lpwstr>_Toc110809270</vt:lpwstr>
      </vt:variant>
      <vt:variant>
        <vt:i4>1114163</vt:i4>
      </vt:variant>
      <vt:variant>
        <vt:i4>134</vt:i4>
      </vt:variant>
      <vt:variant>
        <vt:i4>0</vt:i4>
      </vt:variant>
      <vt:variant>
        <vt:i4>5</vt:i4>
      </vt:variant>
      <vt:variant>
        <vt:lpwstr/>
      </vt:variant>
      <vt:variant>
        <vt:lpwstr>_Toc110809269</vt:lpwstr>
      </vt:variant>
      <vt:variant>
        <vt:i4>1114163</vt:i4>
      </vt:variant>
      <vt:variant>
        <vt:i4>128</vt:i4>
      </vt:variant>
      <vt:variant>
        <vt:i4>0</vt:i4>
      </vt:variant>
      <vt:variant>
        <vt:i4>5</vt:i4>
      </vt:variant>
      <vt:variant>
        <vt:lpwstr/>
      </vt:variant>
      <vt:variant>
        <vt:lpwstr>_Toc110809268</vt:lpwstr>
      </vt:variant>
      <vt:variant>
        <vt:i4>1114163</vt:i4>
      </vt:variant>
      <vt:variant>
        <vt:i4>122</vt:i4>
      </vt:variant>
      <vt:variant>
        <vt:i4>0</vt:i4>
      </vt:variant>
      <vt:variant>
        <vt:i4>5</vt:i4>
      </vt:variant>
      <vt:variant>
        <vt:lpwstr/>
      </vt:variant>
      <vt:variant>
        <vt:lpwstr>_Toc110809267</vt:lpwstr>
      </vt:variant>
      <vt:variant>
        <vt:i4>1114163</vt:i4>
      </vt:variant>
      <vt:variant>
        <vt:i4>116</vt:i4>
      </vt:variant>
      <vt:variant>
        <vt:i4>0</vt:i4>
      </vt:variant>
      <vt:variant>
        <vt:i4>5</vt:i4>
      </vt:variant>
      <vt:variant>
        <vt:lpwstr/>
      </vt:variant>
      <vt:variant>
        <vt:lpwstr>_Toc110809266</vt:lpwstr>
      </vt:variant>
      <vt:variant>
        <vt:i4>1114163</vt:i4>
      </vt:variant>
      <vt:variant>
        <vt:i4>110</vt:i4>
      </vt:variant>
      <vt:variant>
        <vt:i4>0</vt:i4>
      </vt:variant>
      <vt:variant>
        <vt:i4>5</vt:i4>
      </vt:variant>
      <vt:variant>
        <vt:lpwstr/>
      </vt:variant>
      <vt:variant>
        <vt:lpwstr>_Toc110809265</vt:lpwstr>
      </vt:variant>
      <vt:variant>
        <vt:i4>1114163</vt:i4>
      </vt:variant>
      <vt:variant>
        <vt:i4>104</vt:i4>
      </vt:variant>
      <vt:variant>
        <vt:i4>0</vt:i4>
      </vt:variant>
      <vt:variant>
        <vt:i4>5</vt:i4>
      </vt:variant>
      <vt:variant>
        <vt:lpwstr/>
      </vt:variant>
      <vt:variant>
        <vt:lpwstr>_Toc110809264</vt:lpwstr>
      </vt:variant>
      <vt:variant>
        <vt:i4>1114163</vt:i4>
      </vt:variant>
      <vt:variant>
        <vt:i4>98</vt:i4>
      </vt:variant>
      <vt:variant>
        <vt:i4>0</vt:i4>
      </vt:variant>
      <vt:variant>
        <vt:i4>5</vt:i4>
      </vt:variant>
      <vt:variant>
        <vt:lpwstr/>
      </vt:variant>
      <vt:variant>
        <vt:lpwstr>_Toc110809263</vt:lpwstr>
      </vt:variant>
      <vt:variant>
        <vt:i4>1114163</vt:i4>
      </vt:variant>
      <vt:variant>
        <vt:i4>92</vt:i4>
      </vt:variant>
      <vt:variant>
        <vt:i4>0</vt:i4>
      </vt:variant>
      <vt:variant>
        <vt:i4>5</vt:i4>
      </vt:variant>
      <vt:variant>
        <vt:lpwstr/>
      </vt:variant>
      <vt:variant>
        <vt:lpwstr>_Toc110809262</vt:lpwstr>
      </vt:variant>
      <vt:variant>
        <vt:i4>1114163</vt:i4>
      </vt:variant>
      <vt:variant>
        <vt:i4>86</vt:i4>
      </vt:variant>
      <vt:variant>
        <vt:i4>0</vt:i4>
      </vt:variant>
      <vt:variant>
        <vt:i4>5</vt:i4>
      </vt:variant>
      <vt:variant>
        <vt:lpwstr/>
      </vt:variant>
      <vt:variant>
        <vt:lpwstr>_Toc110809261</vt:lpwstr>
      </vt:variant>
      <vt:variant>
        <vt:i4>1114163</vt:i4>
      </vt:variant>
      <vt:variant>
        <vt:i4>80</vt:i4>
      </vt:variant>
      <vt:variant>
        <vt:i4>0</vt:i4>
      </vt:variant>
      <vt:variant>
        <vt:i4>5</vt:i4>
      </vt:variant>
      <vt:variant>
        <vt:lpwstr/>
      </vt:variant>
      <vt:variant>
        <vt:lpwstr>_Toc110809260</vt:lpwstr>
      </vt:variant>
      <vt:variant>
        <vt:i4>1179699</vt:i4>
      </vt:variant>
      <vt:variant>
        <vt:i4>74</vt:i4>
      </vt:variant>
      <vt:variant>
        <vt:i4>0</vt:i4>
      </vt:variant>
      <vt:variant>
        <vt:i4>5</vt:i4>
      </vt:variant>
      <vt:variant>
        <vt:lpwstr/>
      </vt:variant>
      <vt:variant>
        <vt:lpwstr>_Toc110809259</vt:lpwstr>
      </vt:variant>
      <vt:variant>
        <vt:i4>1179699</vt:i4>
      </vt:variant>
      <vt:variant>
        <vt:i4>68</vt:i4>
      </vt:variant>
      <vt:variant>
        <vt:i4>0</vt:i4>
      </vt:variant>
      <vt:variant>
        <vt:i4>5</vt:i4>
      </vt:variant>
      <vt:variant>
        <vt:lpwstr/>
      </vt:variant>
      <vt:variant>
        <vt:lpwstr>_Toc110809258</vt:lpwstr>
      </vt:variant>
      <vt:variant>
        <vt:i4>1179699</vt:i4>
      </vt:variant>
      <vt:variant>
        <vt:i4>62</vt:i4>
      </vt:variant>
      <vt:variant>
        <vt:i4>0</vt:i4>
      </vt:variant>
      <vt:variant>
        <vt:i4>5</vt:i4>
      </vt:variant>
      <vt:variant>
        <vt:lpwstr/>
      </vt:variant>
      <vt:variant>
        <vt:lpwstr>_Toc110809257</vt:lpwstr>
      </vt:variant>
      <vt:variant>
        <vt:i4>1179699</vt:i4>
      </vt:variant>
      <vt:variant>
        <vt:i4>56</vt:i4>
      </vt:variant>
      <vt:variant>
        <vt:i4>0</vt:i4>
      </vt:variant>
      <vt:variant>
        <vt:i4>5</vt:i4>
      </vt:variant>
      <vt:variant>
        <vt:lpwstr/>
      </vt:variant>
      <vt:variant>
        <vt:lpwstr>_Toc110809256</vt:lpwstr>
      </vt:variant>
      <vt:variant>
        <vt:i4>1179699</vt:i4>
      </vt:variant>
      <vt:variant>
        <vt:i4>50</vt:i4>
      </vt:variant>
      <vt:variant>
        <vt:i4>0</vt:i4>
      </vt:variant>
      <vt:variant>
        <vt:i4>5</vt:i4>
      </vt:variant>
      <vt:variant>
        <vt:lpwstr/>
      </vt:variant>
      <vt:variant>
        <vt:lpwstr>_Toc110809255</vt:lpwstr>
      </vt:variant>
      <vt:variant>
        <vt:i4>1179699</vt:i4>
      </vt:variant>
      <vt:variant>
        <vt:i4>44</vt:i4>
      </vt:variant>
      <vt:variant>
        <vt:i4>0</vt:i4>
      </vt:variant>
      <vt:variant>
        <vt:i4>5</vt:i4>
      </vt:variant>
      <vt:variant>
        <vt:lpwstr/>
      </vt:variant>
      <vt:variant>
        <vt:lpwstr>_Toc110809254</vt:lpwstr>
      </vt:variant>
      <vt:variant>
        <vt:i4>1179699</vt:i4>
      </vt:variant>
      <vt:variant>
        <vt:i4>38</vt:i4>
      </vt:variant>
      <vt:variant>
        <vt:i4>0</vt:i4>
      </vt:variant>
      <vt:variant>
        <vt:i4>5</vt:i4>
      </vt:variant>
      <vt:variant>
        <vt:lpwstr/>
      </vt:variant>
      <vt:variant>
        <vt:lpwstr>_Toc110809253</vt:lpwstr>
      </vt:variant>
      <vt:variant>
        <vt:i4>1179699</vt:i4>
      </vt:variant>
      <vt:variant>
        <vt:i4>32</vt:i4>
      </vt:variant>
      <vt:variant>
        <vt:i4>0</vt:i4>
      </vt:variant>
      <vt:variant>
        <vt:i4>5</vt:i4>
      </vt:variant>
      <vt:variant>
        <vt:lpwstr/>
      </vt:variant>
      <vt:variant>
        <vt:lpwstr>_Toc110809252</vt:lpwstr>
      </vt:variant>
      <vt:variant>
        <vt:i4>1179699</vt:i4>
      </vt:variant>
      <vt:variant>
        <vt:i4>26</vt:i4>
      </vt:variant>
      <vt:variant>
        <vt:i4>0</vt:i4>
      </vt:variant>
      <vt:variant>
        <vt:i4>5</vt:i4>
      </vt:variant>
      <vt:variant>
        <vt:lpwstr/>
      </vt:variant>
      <vt:variant>
        <vt:lpwstr>_Toc110809251</vt:lpwstr>
      </vt:variant>
      <vt:variant>
        <vt:i4>1179699</vt:i4>
      </vt:variant>
      <vt:variant>
        <vt:i4>20</vt:i4>
      </vt:variant>
      <vt:variant>
        <vt:i4>0</vt:i4>
      </vt:variant>
      <vt:variant>
        <vt:i4>5</vt:i4>
      </vt:variant>
      <vt:variant>
        <vt:lpwstr/>
      </vt:variant>
      <vt:variant>
        <vt:lpwstr>_Toc110809250</vt:lpwstr>
      </vt:variant>
      <vt:variant>
        <vt:i4>1245235</vt:i4>
      </vt:variant>
      <vt:variant>
        <vt:i4>14</vt:i4>
      </vt:variant>
      <vt:variant>
        <vt:i4>0</vt:i4>
      </vt:variant>
      <vt:variant>
        <vt:i4>5</vt:i4>
      </vt:variant>
      <vt:variant>
        <vt:lpwstr/>
      </vt:variant>
      <vt:variant>
        <vt:lpwstr>_Toc110809249</vt:lpwstr>
      </vt:variant>
      <vt:variant>
        <vt:i4>1245235</vt:i4>
      </vt:variant>
      <vt:variant>
        <vt:i4>8</vt:i4>
      </vt:variant>
      <vt:variant>
        <vt:i4>0</vt:i4>
      </vt:variant>
      <vt:variant>
        <vt:i4>5</vt:i4>
      </vt:variant>
      <vt:variant>
        <vt:lpwstr/>
      </vt:variant>
      <vt:variant>
        <vt:lpwstr>_Toc110809248</vt:lpwstr>
      </vt:variant>
      <vt:variant>
        <vt:i4>1245235</vt:i4>
      </vt:variant>
      <vt:variant>
        <vt:i4>2</vt:i4>
      </vt:variant>
      <vt:variant>
        <vt:i4>0</vt:i4>
      </vt:variant>
      <vt:variant>
        <vt:i4>5</vt:i4>
      </vt:variant>
      <vt:variant>
        <vt:lpwstr/>
      </vt:variant>
      <vt:variant>
        <vt:lpwstr>_Toc110809247</vt:lpwstr>
      </vt:variant>
      <vt:variant>
        <vt:i4>3866711</vt:i4>
      </vt:variant>
      <vt:variant>
        <vt:i4>72</vt:i4>
      </vt:variant>
      <vt:variant>
        <vt:i4>0</vt:i4>
      </vt:variant>
      <vt:variant>
        <vt:i4>5</vt:i4>
      </vt:variant>
      <vt:variant>
        <vt:lpwstr>https://www1.health.gov.au/internet/main/publishing.nsf/Content/C50CAE02452A48A7CA2587320081F7BF/$File/covid_19_australia_epidemiology_report_63_reporting_period_ending_3_july_2022.pdf</vt:lpwstr>
      </vt:variant>
      <vt:variant>
        <vt:lpwstr/>
      </vt:variant>
      <vt:variant>
        <vt:i4>6357055</vt:i4>
      </vt:variant>
      <vt:variant>
        <vt:i4>69</vt:i4>
      </vt:variant>
      <vt:variant>
        <vt:i4>0</vt:i4>
      </vt:variant>
      <vt:variant>
        <vt:i4>5</vt:i4>
      </vt:variant>
      <vt:variant>
        <vt:lpwstr>https://doi.org/10.1038/s41392-022-00997-x</vt:lpwstr>
      </vt:variant>
      <vt:variant>
        <vt:lpwstr/>
      </vt:variant>
      <vt:variant>
        <vt:i4>6815793</vt:i4>
      </vt:variant>
      <vt:variant>
        <vt:i4>66</vt:i4>
      </vt:variant>
      <vt:variant>
        <vt:i4>0</vt:i4>
      </vt:variant>
      <vt:variant>
        <vt:i4>5</vt:i4>
      </vt:variant>
      <vt:variant>
        <vt:lpwstr>https://www.adelaidenow.com.au/news/how-sas-lung-transplant-team-defied-global-fatality-rates-during-covid/news-story/ac53da34cd20ee57a83b9f810391ca3f</vt:lpwstr>
      </vt:variant>
      <vt:variant>
        <vt:lpwstr/>
      </vt:variant>
      <vt:variant>
        <vt:i4>262151</vt:i4>
      </vt:variant>
      <vt:variant>
        <vt:i4>63</vt:i4>
      </vt:variant>
      <vt:variant>
        <vt:i4>0</vt:i4>
      </vt:variant>
      <vt:variant>
        <vt:i4>5</vt:i4>
      </vt:variant>
      <vt:variant>
        <vt:lpwstr>https://doi.org/10.1016/S2213-2600(22)00180-1</vt:lpwstr>
      </vt:variant>
      <vt:variant>
        <vt:lpwstr/>
      </vt:variant>
      <vt:variant>
        <vt:i4>1048591</vt:i4>
      </vt:variant>
      <vt:variant>
        <vt:i4>60</vt:i4>
      </vt:variant>
      <vt:variant>
        <vt:i4>0</vt:i4>
      </vt:variant>
      <vt:variant>
        <vt:i4>5</vt:i4>
      </vt:variant>
      <vt:variant>
        <vt:lpwstr>https://doi.org/10.1056/NEJMc2207519</vt:lpwstr>
      </vt:variant>
      <vt:variant>
        <vt:lpwstr/>
      </vt:variant>
      <vt:variant>
        <vt:i4>6619195</vt:i4>
      </vt:variant>
      <vt:variant>
        <vt:i4>57</vt:i4>
      </vt:variant>
      <vt:variant>
        <vt:i4>0</vt:i4>
      </vt:variant>
      <vt:variant>
        <vt:i4>5</vt:i4>
      </vt:variant>
      <vt:variant>
        <vt:lpwstr>https://doi.org/10.1038/s41586-022-04980-y</vt:lpwstr>
      </vt:variant>
      <vt:variant>
        <vt:lpwstr/>
      </vt:variant>
      <vt:variant>
        <vt:i4>14</vt:i4>
      </vt:variant>
      <vt:variant>
        <vt:i4>54</vt:i4>
      </vt:variant>
      <vt:variant>
        <vt:i4>0</vt:i4>
      </vt:variant>
      <vt:variant>
        <vt:i4>5</vt:i4>
      </vt:variant>
      <vt:variant>
        <vt:lpwstr>https://doi.org/10.1016/S1473-3099(22)00365-6</vt:lpwstr>
      </vt:variant>
      <vt:variant>
        <vt:lpwstr/>
      </vt:variant>
      <vt:variant>
        <vt:i4>852049</vt:i4>
      </vt:variant>
      <vt:variant>
        <vt:i4>51</vt:i4>
      </vt:variant>
      <vt:variant>
        <vt:i4>0</vt:i4>
      </vt:variant>
      <vt:variant>
        <vt:i4>5</vt:i4>
      </vt:variant>
      <vt:variant>
        <vt:lpwstr>https://doi.org/10.1101/2022.05.21.492554</vt:lpwstr>
      </vt:variant>
      <vt:variant>
        <vt:lpwstr/>
      </vt:variant>
      <vt:variant>
        <vt:i4>5373973</vt:i4>
      </vt:variant>
      <vt:variant>
        <vt:i4>48</vt:i4>
      </vt:variant>
      <vt:variant>
        <vt:i4>0</vt:i4>
      </vt:variant>
      <vt:variant>
        <vt:i4>5</vt:i4>
      </vt:variant>
      <vt:variant>
        <vt:lpwstr>https://doi.org/10.1016/j.cmi.2022.07.015</vt:lpwstr>
      </vt:variant>
      <vt:variant>
        <vt:lpwstr/>
      </vt:variant>
      <vt:variant>
        <vt:i4>6553706</vt:i4>
      </vt:variant>
      <vt:variant>
        <vt:i4>45</vt:i4>
      </vt:variant>
      <vt:variant>
        <vt:i4>0</vt:i4>
      </vt:variant>
      <vt:variant>
        <vt:i4>5</vt:i4>
      </vt:variant>
      <vt:variant>
        <vt:lpwstr>https://doi.org/10.1093/cid/ciac625</vt:lpwstr>
      </vt:variant>
      <vt:variant>
        <vt:lpwstr/>
      </vt:variant>
      <vt:variant>
        <vt:i4>5439567</vt:i4>
      </vt:variant>
      <vt:variant>
        <vt:i4>42</vt:i4>
      </vt:variant>
      <vt:variant>
        <vt:i4>0</vt:i4>
      </vt:variant>
      <vt:variant>
        <vt:i4>5</vt:i4>
      </vt:variant>
      <vt:variant>
        <vt:lpwstr>https://doi.org/10.1111/ajt.17128</vt:lpwstr>
      </vt:variant>
      <vt:variant>
        <vt:lpwstr/>
      </vt:variant>
      <vt:variant>
        <vt:i4>3342447</vt:i4>
      </vt:variant>
      <vt:variant>
        <vt:i4>39</vt:i4>
      </vt:variant>
      <vt:variant>
        <vt:i4>0</vt:i4>
      </vt:variant>
      <vt:variant>
        <vt:i4>5</vt:i4>
      </vt:variant>
      <vt:variant>
        <vt:lpwstr>https://doi.org/10.1101/2022.05.28.22275716</vt:lpwstr>
      </vt:variant>
      <vt:variant>
        <vt:lpwstr/>
      </vt:variant>
      <vt:variant>
        <vt:i4>7077942</vt:i4>
      </vt:variant>
      <vt:variant>
        <vt:i4>36</vt:i4>
      </vt:variant>
      <vt:variant>
        <vt:i4>0</vt:i4>
      </vt:variant>
      <vt:variant>
        <vt:i4>5</vt:i4>
      </vt:variant>
      <vt:variant>
        <vt:lpwstr>https://clinicaltrials.gov/ct2/show/NCT05375760</vt:lpwstr>
      </vt:variant>
      <vt:variant>
        <vt:lpwstr/>
      </vt:variant>
      <vt:variant>
        <vt:i4>3866711</vt:i4>
      </vt:variant>
      <vt:variant>
        <vt:i4>33</vt:i4>
      </vt:variant>
      <vt:variant>
        <vt:i4>0</vt:i4>
      </vt:variant>
      <vt:variant>
        <vt:i4>5</vt:i4>
      </vt:variant>
      <vt:variant>
        <vt:lpwstr>https://www1.health.gov.au/internet/main/publishing.nsf/Content/C50CAE02452A48A7CA2587320081F7BF/$File/covid_19_australia_epidemiology_report_63_reporting_period_ending_3_july_2022.pdf</vt:lpwstr>
      </vt:variant>
      <vt:variant>
        <vt:lpwstr/>
      </vt:variant>
      <vt:variant>
        <vt:i4>2949158</vt:i4>
      </vt:variant>
      <vt:variant>
        <vt:i4>30</vt:i4>
      </vt:variant>
      <vt:variant>
        <vt:i4>0</vt:i4>
      </vt:variant>
      <vt:variant>
        <vt:i4>5</vt:i4>
      </vt:variant>
      <vt:variant>
        <vt:lpwstr>https://doi.org/10.33321/cdi.2022.46.39</vt:lpwstr>
      </vt:variant>
      <vt:variant>
        <vt:lpwstr/>
      </vt:variant>
      <vt:variant>
        <vt:i4>851983</vt:i4>
      </vt:variant>
      <vt:variant>
        <vt:i4>27</vt:i4>
      </vt:variant>
      <vt:variant>
        <vt:i4>0</vt:i4>
      </vt:variant>
      <vt:variant>
        <vt:i4>5</vt:i4>
      </vt:variant>
      <vt:variant>
        <vt:lpwstr>https://publish.viostream.com/play/bfxgwogdunmm8c</vt:lpwstr>
      </vt:variant>
      <vt:variant>
        <vt:lpwstr/>
      </vt:variant>
      <vt:variant>
        <vt:i4>2293879</vt:i4>
      </vt:variant>
      <vt:variant>
        <vt:i4>24</vt:i4>
      </vt:variant>
      <vt:variant>
        <vt:i4>0</vt:i4>
      </vt:variant>
      <vt:variant>
        <vt:i4>5</vt:i4>
      </vt:variant>
      <vt:variant>
        <vt:lpwstr>https://web.archive.org/web/20220730101402/https://www.cdgn.org.au/variants-of-concern</vt:lpwstr>
      </vt:variant>
      <vt:variant>
        <vt:lpwstr/>
      </vt:variant>
      <vt:variant>
        <vt:i4>2556017</vt:i4>
      </vt:variant>
      <vt:variant>
        <vt:i4>21</vt:i4>
      </vt:variant>
      <vt:variant>
        <vt:i4>0</vt:i4>
      </vt:variant>
      <vt:variant>
        <vt:i4>5</vt:i4>
      </vt:variant>
      <vt:variant>
        <vt:lpwstr>https://web.archive.org/web/20220624134327/https://www.cdgn.org.au/variants-of-concern</vt:lpwstr>
      </vt:variant>
      <vt:variant>
        <vt:lpwstr/>
      </vt:variant>
      <vt:variant>
        <vt:i4>3080311</vt:i4>
      </vt:variant>
      <vt:variant>
        <vt:i4>18</vt:i4>
      </vt:variant>
      <vt:variant>
        <vt:i4>0</vt:i4>
      </vt:variant>
      <vt:variant>
        <vt:i4>5</vt:i4>
      </vt:variant>
      <vt:variant>
        <vt:lpwstr>https://web.archive.org/web/20220724072138/https://www.cdgn.org.au/variants-of-concern</vt:lpwstr>
      </vt:variant>
      <vt:variant>
        <vt:lpwstr/>
      </vt:variant>
      <vt:variant>
        <vt:i4>1703966</vt:i4>
      </vt:variant>
      <vt:variant>
        <vt:i4>15</vt:i4>
      </vt:variant>
      <vt:variant>
        <vt:i4>0</vt:i4>
      </vt:variant>
      <vt:variant>
        <vt:i4>5</vt:i4>
      </vt:variant>
      <vt:variant>
        <vt:lpwstr>https://www.health.gov.au/initiatives-and-programs/covid-19-vaccines</vt:lpwstr>
      </vt:variant>
      <vt:variant>
        <vt:lpwstr/>
      </vt:variant>
      <vt:variant>
        <vt:i4>1704010</vt:i4>
      </vt:variant>
      <vt:variant>
        <vt:i4>12</vt:i4>
      </vt:variant>
      <vt:variant>
        <vt:i4>0</vt:i4>
      </vt:variant>
      <vt:variant>
        <vt:i4>5</vt:i4>
      </vt:variant>
      <vt:variant>
        <vt:lpwstr>https://www.astrazeneca.com/media-centre/statements/2022/update-to-evusheld-recommended-dosage-regimen-for-pre-exposure-prophylaxis-of-covid-19.html</vt:lpwstr>
      </vt:variant>
      <vt:variant>
        <vt:lpwstr/>
      </vt:variant>
      <vt:variant>
        <vt:i4>5242969</vt:i4>
      </vt:variant>
      <vt:variant>
        <vt:i4>9</vt:i4>
      </vt:variant>
      <vt:variant>
        <vt:i4>0</vt:i4>
      </vt:variant>
      <vt:variant>
        <vt:i4>5</vt:i4>
      </vt:variant>
      <vt:variant>
        <vt:lpwstr>https://www.health.gov.au/resources/publications/evusheld-fact-sheet-for-health-professionals</vt:lpwstr>
      </vt:variant>
      <vt:variant>
        <vt:lpwstr/>
      </vt:variant>
      <vt:variant>
        <vt:i4>1769475</vt:i4>
      </vt:variant>
      <vt:variant>
        <vt:i4>6</vt:i4>
      </vt:variant>
      <vt:variant>
        <vt:i4>0</vt:i4>
      </vt:variant>
      <vt:variant>
        <vt:i4>5</vt:i4>
      </vt:variant>
      <vt:variant>
        <vt:lpwstr>https://app.magicapp.org/</vt:lpwstr>
      </vt:variant>
      <vt:variant>
        <vt:lpwstr>/guideline/L4Q5An/section/j7Amwz</vt:lpwstr>
      </vt:variant>
      <vt:variant>
        <vt:i4>4128798</vt:i4>
      </vt:variant>
      <vt:variant>
        <vt:i4>3</vt:i4>
      </vt:variant>
      <vt:variant>
        <vt:i4>0</vt:i4>
      </vt:variant>
      <vt:variant>
        <vt:i4>5</vt:i4>
      </vt:variant>
      <vt:variant>
        <vt:lpwstr>https://www.google.com/url?sa=t&amp;rct=j&amp;q=&amp;esrc=s&amp;source=web&amp;cd=&amp;cad=rja&amp;uact=8&amp;ved=2ahUKEwiF35TAy5_5AhXjmeYKHXekBLQQFnoECAoQAQ&amp;url=https%3A%2F%2Fwww.fda.gov%2Fmedia%2F154701%2Fdownload&amp;usg=AOvVaw3QEOxq96fomnR8EesDMPYP</vt:lpwstr>
      </vt:variant>
      <vt:variant>
        <vt:lpwstr/>
      </vt:variant>
      <vt:variant>
        <vt:i4>4063273</vt:i4>
      </vt:variant>
      <vt:variant>
        <vt:i4>0</vt:i4>
      </vt:variant>
      <vt:variant>
        <vt:i4>0</vt:i4>
      </vt:variant>
      <vt:variant>
        <vt:i4>5</vt:i4>
      </vt:variant>
      <vt:variant>
        <vt:lpwstr>https://www.health.gov.au/resources/publications/atagi-recommendations-on-the-use-of-a-third-primary-dose-of-covid-19-vaccine-in-individuals-who-are-severely-immunocompromised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2023-04-03T06:45:00Z</dcterms:created>
  <dcterms:modified xsi:type="dcterms:W3CDTF">2023-04-03T08:39:00Z</dcterms:modified>
</cp:coreProperties>
</file>