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C2C1" w14:textId="17BF9416" w:rsidR="00B942E3" w:rsidRPr="0058641B" w:rsidRDefault="00F37735" w:rsidP="00B942E3">
      <w:pPr>
        <w:pStyle w:val="1-MainHeading"/>
        <w:spacing w:before="0" w:after="0"/>
        <w:ind w:left="0" w:firstLine="0"/>
      </w:pPr>
      <w:bookmarkStart w:id="0" w:name="_Toc101281131"/>
      <w:bookmarkStart w:id="1" w:name="_Hlk102135616"/>
      <w:r w:rsidRPr="0058641B">
        <w:t>6.01</w:t>
      </w:r>
      <w:r w:rsidR="00163F66" w:rsidRPr="0058641B">
        <w:tab/>
      </w:r>
      <w:r w:rsidR="003B64F1" w:rsidRPr="0058641B">
        <w:t>ATEZOLIZUMAB</w:t>
      </w:r>
      <w:r w:rsidR="00163F66" w:rsidRPr="0058641B">
        <w:t>,</w:t>
      </w:r>
    </w:p>
    <w:p w14:paraId="6CF4FDEE" w14:textId="78A3C739" w:rsidR="003566DF" w:rsidRPr="0058641B" w:rsidRDefault="003566DF" w:rsidP="00B942E3">
      <w:pPr>
        <w:pStyle w:val="1-MainHeading"/>
        <w:spacing w:before="0" w:after="0"/>
        <w:ind w:left="0" w:firstLine="426"/>
      </w:pPr>
      <w:r w:rsidRPr="0058641B">
        <w:t>Solution concentrate for I.V. infusion 840 mg in 14 mL</w:t>
      </w:r>
      <w:r w:rsidR="00B942E3" w:rsidRPr="0058641B">
        <w:t>,</w:t>
      </w:r>
    </w:p>
    <w:p w14:paraId="0DBE8102" w14:textId="38CC8A33" w:rsidR="003566DF" w:rsidRPr="0058641B" w:rsidRDefault="003566DF" w:rsidP="00B942E3">
      <w:pPr>
        <w:pStyle w:val="1-MainHeading"/>
        <w:spacing w:before="0" w:after="0"/>
        <w:ind w:left="0" w:firstLine="426"/>
      </w:pPr>
      <w:r w:rsidRPr="0058641B">
        <w:t>Solution concentrate for I.V. infusion 1</w:t>
      </w:r>
      <w:r w:rsidR="00E11F73">
        <w:t>,</w:t>
      </w:r>
      <w:r w:rsidRPr="0058641B">
        <w:t>200 mg in 20 mL</w:t>
      </w:r>
      <w:r w:rsidR="00B942E3" w:rsidRPr="0058641B">
        <w:t>,</w:t>
      </w:r>
    </w:p>
    <w:p w14:paraId="1BAEB0C1" w14:textId="77777777" w:rsidR="00B942E3" w:rsidRPr="0058641B" w:rsidRDefault="003B64F1" w:rsidP="00B942E3">
      <w:pPr>
        <w:pStyle w:val="1-MainHeading"/>
        <w:spacing w:before="0" w:after="0"/>
        <w:ind w:left="0" w:firstLine="426"/>
      </w:pPr>
      <w:proofErr w:type="spellStart"/>
      <w:r w:rsidRPr="0058641B">
        <w:t>Tecentriq</w:t>
      </w:r>
      <w:proofErr w:type="spellEnd"/>
      <w:r w:rsidRPr="0058641B">
        <w:t>®</w:t>
      </w:r>
      <w:r w:rsidR="004A6040" w:rsidRPr="0058641B">
        <w:t>,</w:t>
      </w:r>
    </w:p>
    <w:p w14:paraId="10F95236" w14:textId="75E2DFC0" w:rsidR="00B60939" w:rsidRPr="0058641B" w:rsidRDefault="003B64F1" w:rsidP="00B942E3">
      <w:pPr>
        <w:pStyle w:val="1-MainHeading"/>
        <w:spacing w:before="0" w:after="0"/>
        <w:ind w:left="0" w:firstLine="426"/>
      </w:pPr>
      <w:r w:rsidRPr="0058641B">
        <w:t>Roche Products Pty Ltd</w:t>
      </w:r>
      <w:r w:rsidR="00B60939" w:rsidRPr="0058641B">
        <w:t>.</w:t>
      </w:r>
      <w:bookmarkEnd w:id="0"/>
    </w:p>
    <w:p w14:paraId="45811267" w14:textId="77777777" w:rsidR="00B50DB8" w:rsidRPr="0058641B" w:rsidRDefault="00B50DB8" w:rsidP="004A6040">
      <w:pPr>
        <w:pStyle w:val="2-SectionHeading"/>
      </w:pPr>
      <w:bookmarkStart w:id="2" w:name="_Toc101281133"/>
      <w:bookmarkEnd w:id="1"/>
      <w:r w:rsidRPr="0058641B">
        <w:t xml:space="preserve">Purpose of </w:t>
      </w:r>
      <w:r w:rsidR="00CD7193" w:rsidRPr="0058641B">
        <w:t>s</w:t>
      </w:r>
      <w:r w:rsidR="00BB3A45" w:rsidRPr="0058641B">
        <w:t>ubmission</w:t>
      </w:r>
      <w:bookmarkEnd w:id="2"/>
    </w:p>
    <w:p w14:paraId="03ABDFB3" w14:textId="284E10EF" w:rsidR="002C2775" w:rsidRPr="0058641B" w:rsidRDefault="00B12F4A" w:rsidP="00453573">
      <w:pPr>
        <w:pStyle w:val="3-BodyText"/>
      </w:pPr>
      <w:r w:rsidRPr="0058641B">
        <w:t xml:space="preserve">The Category 2 submission requested </w:t>
      </w:r>
      <w:r w:rsidR="002C2B3C" w:rsidRPr="0058641B">
        <w:t xml:space="preserve">a Section 100 (Efficient Funding of Chemotherapy Program) </w:t>
      </w:r>
      <w:r w:rsidRPr="0058641B">
        <w:t xml:space="preserve">Authority Required </w:t>
      </w:r>
      <w:r w:rsidR="002C2B3C" w:rsidRPr="0058641B">
        <w:t xml:space="preserve">(STREAMLINED) </w:t>
      </w:r>
      <w:r w:rsidRPr="0058641B">
        <w:t xml:space="preserve">listing of </w:t>
      </w:r>
      <w:r w:rsidR="00453573" w:rsidRPr="0058641B">
        <w:t>atezolizumab (ATZ)</w:t>
      </w:r>
      <w:r w:rsidRPr="0058641B">
        <w:t xml:space="preserve"> </w:t>
      </w:r>
      <w:r w:rsidR="002C2B3C" w:rsidRPr="0058641B">
        <w:t>as</w:t>
      </w:r>
      <w:r w:rsidR="00453573" w:rsidRPr="0058641B">
        <w:t xml:space="preserve"> adjuvant treatment </w:t>
      </w:r>
      <w:r w:rsidR="002C2B3C" w:rsidRPr="0058641B">
        <w:t>in</w:t>
      </w:r>
      <w:r w:rsidR="00453573" w:rsidRPr="0058641B">
        <w:t xml:space="preserve"> patients with Stage II-IIIA </w:t>
      </w:r>
      <w:r w:rsidR="002C2B3C" w:rsidRPr="0058641B">
        <w:t xml:space="preserve">programmed cell death Ligand-1 (PD-L1) positive </w:t>
      </w:r>
      <w:r w:rsidR="00453573" w:rsidRPr="0058641B">
        <w:t>non-small cell lung cancer (NSCLC) following complete resection and platinum-based chemotherapy</w:t>
      </w:r>
      <w:r w:rsidRPr="0058641B">
        <w:t>.</w:t>
      </w:r>
      <w:r w:rsidR="00453573" w:rsidRPr="0058641B">
        <w:t xml:space="preserve"> The submission noted that the PD-L1 expression threshold proposed for the target PBS population (</w:t>
      </w:r>
      <w:r w:rsidR="00B54752" w:rsidRPr="0058641B">
        <w:t>PD-L1 ≥ 1%</w:t>
      </w:r>
      <w:r w:rsidR="00453573" w:rsidRPr="0058641B">
        <w:t xml:space="preserve"> or </w:t>
      </w:r>
      <w:r w:rsidR="00B54752" w:rsidRPr="0058641B">
        <w:t>PD-L1 ≥ 50%</w:t>
      </w:r>
      <w:r w:rsidR="00453573" w:rsidRPr="0058641B">
        <w:t>) would ultimately depend on the threshold specified in the final approved Therapeutic Goods Administration (TGA) indication.</w:t>
      </w:r>
    </w:p>
    <w:p w14:paraId="73B1872D" w14:textId="77777777" w:rsidR="00C2778B" w:rsidRPr="0058641B" w:rsidRDefault="005750C5" w:rsidP="004E18E9">
      <w:pPr>
        <w:pStyle w:val="3-BodyText"/>
      </w:pPr>
      <w:r w:rsidRPr="0058641B">
        <w:t xml:space="preserve">Listing was requested on the basis of a cost-effectiveness analysis versus </w:t>
      </w:r>
      <w:r w:rsidR="00453573" w:rsidRPr="0058641B">
        <w:t xml:space="preserve">observation </w:t>
      </w:r>
      <w:r w:rsidR="0019120E" w:rsidRPr="0058641B">
        <w:t>(</w:t>
      </w:r>
      <w:r w:rsidR="00E3289D" w:rsidRPr="0058641B">
        <w:t xml:space="preserve">referred to herein as </w:t>
      </w:r>
      <w:r w:rsidR="0019120E" w:rsidRPr="0058641B">
        <w:t xml:space="preserve">best supportive care, BSC) </w:t>
      </w:r>
      <w:r w:rsidR="00453573" w:rsidRPr="0058641B">
        <w:t>alone</w:t>
      </w:r>
      <w:r w:rsidRPr="0058641B">
        <w:t xml:space="preserve">. </w:t>
      </w:r>
      <w:r w:rsidR="00453573" w:rsidRPr="0058641B">
        <w:t>The key components of the clini</w:t>
      </w:r>
      <w:r w:rsidR="003B59B4" w:rsidRPr="0058641B">
        <w:t>cal issue are summarised below.</w:t>
      </w:r>
    </w:p>
    <w:p w14:paraId="7C9BCF8A" w14:textId="02054D86" w:rsidR="00453573" w:rsidRPr="0058641B" w:rsidRDefault="00FA08B5" w:rsidP="00FA08B5">
      <w:pPr>
        <w:pStyle w:val="TableFigureHeading"/>
      </w:pPr>
      <w:r w:rsidRPr="0058641B">
        <w:t xml:space="preserve">Table </w:t>
      </w:r>
      <w:fldSimple w:instr=" SEQ Table \* ARABIC ">
        <w:r w:rsidR="0043151A">
          <w:rPr>
            <w:noProof/>
          </w:rPr>
          <w:t>1</w:t>
        </w:r>
      </w:fldSimple>
      <w:r w:rsidRPr="0058641B">
        <w:t xml:space="preserve">: </w:t>
      </w:r>
      <w:r w:rsidR="00453573" w:rsidRPr="0058641B">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2"/>
      </w:tblGrid>
      <w:tr w:rsidR="00453573" w:rsidRPr="0058641B" w14:paraId="2C07AD57" w14:textId="77777777" w:rsidTr="00EA56B9">
        <w:tc>
          <w:tcPr>
            <w:tcW w:w="1555" w:type="dxa"/>
            <w:vAlign w:val="center"/>
          </w:tcPr>
          <w:p w14:paraId="0075EDA1" w14:textId="77777777" w:rsidR="00453573" w:rsidRPr="0058641B" w:rsidRDefault="00453573" w:rsidP="00EA7439">
            <w:pPr>
              <w:keepNext/>
              <w:jc w:val="left"/>
              <w:rPr>
                <w:rFonts w:ascii="Arial Narrow" w:eastAsiaTheme="majorEastAsia" w:hAnsi="Arial Narrow" w:cs="Times New Roman"/>
                <w:b/>
                <w:sz w:val="20"/>
              </w:rPr>
            </w:pPr>
            <w:r w:rsidRPr="0058641B">
              <w:rPr>
                <w:rFonts w:ascii="Arial Narrow" w:eastAsiaTheme="majorEastAsia" w:hAnsi="Arial Narrow" w:cs="Times New Roman"/>
                <w:b/>
                <w:sz w:val="20"/>
              </w:rPr>
              <w:t>Component</w:t>
            </w:r>
          </w:p>
        </w:tc>
        <w:tc>
          <w:tcPr>
            <w:tcW w:w="7462" w:type="dxa"/>
            <w:vAlign w:val="center"/>
          </w:tcPr>
          <w:p w14:paraId="4729DCC8" w14:textId="77777777" w:rsidR="00453573" w:rsidRPr="0058641B" w:rsidRDefault="00453573" w:rsidP="00EA7439">
            <w:pPr>
              <w:keepNext/>
              <w:jc w:val="left"/>
              <w:rPr>
                <w:rFonts w:ascii="Arial Narrow" w:eastAsiaTheme="majorEastAsia" w:hAnsi="Arial Narrow" w:cs="Times New Roman"/>
                <w:b/>
                <w:sz w:val="20"/>
              </w:rPr>
            </w:pPr>
            <w:r w:rsidRPr="0058641B">
              <w:rPr>
                <w:rFonts w:ascii="Arial Narrow" w:eastAsiaTheme="majorEastAsia" w:hAnsi="Arial Narrow" w:cs="Times New Roman"/>
                <w:b/>
                <w:sz w:val="20"/>
              </w:rPr>
              <w:t>Description</w:t>
            </w:r>
          </w:p>
        </w:tc>
      </w:tr>
      <w:tr w:rsidR="00453573" w:rsidRPr="0058641B" w14:paraId="2AA5B6EC" w14:textId="77777777" w:rsidTr="00EA56B9">
        <w:tc>
          <w:tcPr>
            <w:tcW w:w="1555" w:type="dxa"/>
            <w:vAlign w:val="center"/>
          </w:tcPr>
          <w:p w14:paraId="3D91A8E4" w14:textId="77777777" w:rsidR="00453573" w:rsidRPr="0058641B" w:rsidRDefault="0045357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rPr>
              <w:t>Population</w:t>
            </w:r>
          </w:p>
        </w:tc>
        <w:tc>
          <w:tcPr>
            <w:tcW w:w="7462" w:type="dxa"/>
          </w:tcPr>
          <w:p w14:paraId="1808F4D8" w14:textId="7E51E320" w:rsidR="00453573" w:rsidRPr="0058641B" w:rsidRDefault="0062194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lang w:eastAsia="en-US"/>
              </w:rPr>
              <w:t>Patients with Stage II-IIIA NSCLC whose tumours express PD-L1 ≥ 1% or PD-L1 ≥ 50%</w:t>
            </w:r>
            <w:r w:rsidRPr="0058641B">
              <w:rPr>
                <w:rFonts w:ascii="Arial Narrow" w:eastAsiaTheme="majorEastAsia" w:hAnsi="Arial Narrow" w:cstheme="majorBidi"/>
                <w:bCs/>
                <w:sz w:val="20"/>
                <w:vertAlign w:val="superscript"/>
                <w:lang w:eastAsia="en-US"/>
              </w:rPr>
              <w:t>a</w:t>
            </w:r>
            <w:r w:rsidRPr="0058641B">
              <w:rPr>
                <w:rFonts w:ascii="Arial Narrow" w:eastAsiaTheme="majorEastAsia" w:hAnsi="Arial Narrow" w:cstheme="majorBidi"/>
                <w:bCs/>
                <w:sz w:val="20"/>
                <w:lang w:eastAsia="en-US"/>
              </w:rPr>
              <w:t xml:space="preserve"> who had received complete resection and platinum-based adjuvant chemotherapy</w:t>
            </w:r>
          </w:p>
        </w:tc>
      </w:tr>
      <w:tr w:rsidR="00453573" w:rsidRPr="0058641B" w14:paraId="1AE4EBF7" w14:textId="77777777" w:rsidTr="00EA56B9">
        <w:tc>
          <w:tcPr>
            <w:tcW w:w="1555" w:type="dxa"/>
            <w:vAlign w:val="center"/>
          </w:tcPr>
          <w:p w14:paraId="326734E8" w14:textId="77777777" w:rsidR="00453573" w:rsidRPr="0058641B" w:rsidRDefault="0045357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rPr>
              <w:t>Intervention</w:t>
            </w:r>
          </w:p>
        </w:tc>
        <w:tc>
          <w:tcPr>
            <w:tcW w:w="7462" w:type="dxa"/>
          </w:tcPr>
          <w:p w14:paraId="3C657276" w14:textId="031E3B38" w:rsidR="00453573" w:rsidRPr="0058641B" w:rsidRDefault="00453573" w:rsidP="00621943">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 xml:space="preserve">Atezolizumab </w:t>
            </w:r>
            <w:r w:rsidR="00621943" w:rsidRPr="0058641B">
              <w:rPr>
                <w:rFonts w:ascii="Arial Narrow" w:eastAsiaTheme="majorEastAsia" w:hAnsi="Arial Narrow" w:cstheme="majorBidi"/>
                <w:bCs/>
                <w:sz w:val="20"/>
                <w:lang w:eastAsia="en-US"/>
              </w:rPr>
              <w:t xml:space="preserve">as adjuvant </w:t>
            </w:r>
            <w:r w:rsidRPr="0058641B">
              <w:rPr>
                <w:rFonts w:ascii="Arial Narrow" w:eastAsiaTheme="majorEastAsia" w:hAnsi="Arial Narrow" w:cstheme="majorBidi"/>
                <w:bCs/>
                <w:sz w:val="20"/>
                <w:lang w:eastAsia="en-US"/>
              </w:rPr>
              <w:t>therapy (1,200 mg IV Q3W or 1,680 mg IV Q4W</w:t>
            </w:r>
            <w:r w:rsidR="0019120E" w:rsidRPr="0058641B">
              <w:rPr>
                <w:rFonts w:ascii="Arial Narrow" w:eastAsiaTheme="majorEastAsia" w:hAnsi="Arial Narrow" w:cstheme="majorBidi"/>
                <w:bCs/>
                <w:sz w:val="20"/>
                <w:lang w:eastAsia="en-US"/>
              </w:rPr>
              <w:t>)</w:t>
            </w:r>
            <w:r w:rsidRPr="0058641B">
              <w:rPr>
                <w:rFonts w:ascii="Arial Narrow" w:eastAsiaTheme="majorEastAsia" w:hAnsi="Arial Narrow" w:cstheme="majorBidi"/>
                <w:bCs/>
                <w:sz w:val="20"/>
                <w:lang w:eastAsia="en-US"/>
              </w:rPr>
              <w:t xml:space="preserve"> for up to one year unless there was disease recurrence or unacceptable toxicity.</w:t>
            </w:r>
          </w:p>
        </w:tc>
      </w:tr>
      <w:tr w:rsidR="00453573" w:rsidRPr="0058641B" w14:paraId="189E2EE4" w14:textId="77777777" w:rsidTr="00EA56B9">
        <w:tc>
          <w:tcPr>
            <w:tcW w:w="1555" w:type="dxa"/>
            <w:vAlign w:val="center"/>
          </w:tcPr>
          <w:p w14:paraId="5B3D2710" w14:textId="77777777" w:rsidR="00453573" w:rsidRPr="0058641B" w:rsidRDefault="0045357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rPr>
              <w:t>Comparator</w:t>
            </w:r>
          </w:p>
        </w:tc>
        <w:tc>
          <w:tcPr>
            <w:tcW w:w="7462" w:type="dxa"/>
          </w:tcPr>
          <w:p w14:paraId="541083D4" w14:textId="77777777" w:rsidR="00453573" w:rsidRPr="0058641B" w:rsidRDefault="00453573" w:rsidP="00EA7439">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Observation (BSC)</w:t>
            </w:r>
          </w:p>
        </w:tc>
      </w:tr>
      <w:tr w:rsidR="00453573" w:rsidRPr="0058641B" w14:paraId="40145674" w14:textId="77777777" w:rsidTr="00EA56B9">
        <w:tc>
          <w:tcPr>
            <w:tcW w:w="1555" w:type="dxa"/>
            <w:vAlign w:val="center"/>
          </w:tcPr>
          <w:p w14:paraId="07799043" w14:textId="77777777" w:rsidR="00453573" w:rsidRPr="0058641B" w:rsidRDefault="0045357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rPr>
              <w:t>Outcomes</w:t>
            </w:r>
          </w:p>
        </w:tc>
        <w:tc>
          <w:tcPr>
            <w:tcW w:w="7462" w:type="dxa"/>
          </w:tcPr>
          <w:p w14:paraId="5DA00CFD" w14:textId="77777777" w:rsidR="00453573" w:rsidRPr="0058641B" w:rsidRDefault="00453573" w:rsidP="00EA7439">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Disease-free survival</w:t>
            </w:r>
          </w:p>
          <w:p w14:paraId="601F3E05" w14:textId="77777777" w:rsidR="00453573" w:rsidRPr="0058641B" w:rsidRDefault="00453573" w:rsidP="00EA7439">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Overall survival</w:t>
            </w:r>
          </w:p>
          <w:p w14:paraId="299B262D" w14:textId="77777777" w:rsidR="00453573" w:rsidRPr="0058641B" w:rsidRDefault="00453573" w:rsidP="00EA7439">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Safety</w:t>
            </w:r>
          </w:p>
        </w:tc>
      </w:tr>
      <w:tr w:rsidR="00453573" w:rsidRPr="0058641B" w14:paraId="1428608D" w14:textId="77777777" w:rsidTr="00EA56B9">
        <w:tc>
          <w:tcPr>
            <w:tcW w:w="1555" w:type="dxa"/>
            <w:vAlign w:val="center"/>
          </w:tcPr>
          <w:p w14:paraId="67456C44" w14:textId="77777777" w:rsidR="00453573" w:rsidRPr="0058641B" w:rsidRDefault="00453573" w:rsidP="00EA7439">
            <w:pPr>
              <w:keepNext/>
              <w:jc w:val="left"/>
              <w:rPr>
                <w:rFonts w:ascii="Arial Narrow" w:eastAsiaTheme="majorEastAsia" w:hAnsi="Arial Narrow" w:cstheme="majorBidi"/>
                <w:bCs/>
                <w:sz w:val="20"/>
              </w:rPr>
            </w:pPr>
            <w:r w:rsidRPr="0058641B">
              <w:rPr>
                <w:rFonts w:ascii="Arial Narrow" w:eastAsiaTheme="majorEastAsia" w:hAnsi="Arial Narrow" w:cstheme="majorBidi"/>
                <w:bCs/>
                <w:sz w:val="20"/>
              </w:rPr>
              <w:t>Clinical claim</w:t>
            </w:r>
          </w:p>
        </w:tc>
        <w:tc>
          <w:tcPr>
            <w:tcW w:w="7462" w:type="dxa"/>
          </w:tcPr>
          <w:p w14:paraId="4B5EEFF5" w14:textId="77704B3B" w:rsidR="00453573" w:rsidRPr="0058641B" w:rsidRDefault="00453573" w:rsidP="00621943">
            <w:pPr>
              <w:keepNext/>
              <w:jc w:val="left"/>
              <w:rPr>
                <w:rFonts w:ascii="Arial Narrow" w:eastAsiaTheme="majorEastAsia" w:hAnsi="Arial Narrow" w:cstheme="majorBidi"/>
                <w:bCs/>
                <w:sz w:val="20"/>
                <w:lang w:eastAsia="en-US"/>
              </w:rPr>
            </w:pPr>
            <w:r w:rsidRPr="0058641B">
              <w:rPr>
                <w:rFonts w:ascii="Arial Narrow" w:eastAsiaTheme="majorEastAsia" w:hAnsi="Arial Narrow" w:cstheme="majorBidi"/>
                <w:bCs/>
                <w:sz w:val="20"/>
                <w:lang w:eastAsia="en-US"/>
              </w:rPr>
              <w:t xml:space="preserve">In patients with PD-L1 positive stage II-IIIA NSCLC, adjuvant treatment with atezolizumab, following complete resection and adjuvant platinum-based chemotherapy, is </w:t>
            </w:r>
            <w:r w:rsidR="00621943" w:rsidRPr="0058641B">
              <w:rPr>
                <w:rFonts w:ascii="Arial Narrow" w:eastAsiaTheme="majorEastAsia" w:hAnsi="Arial Narrow" w:cstheme="majorBidi"/>
                <w:bCs/>
                <w:sz w:val="20"/>
                <w:lang w:eastAsia="en-US"/>
              </w:rPr>
              <w:t>superior</w:t>
            </w:r>
            <w:r w:rsidRPr="0058641B">
              <w:rPr>
                <w:rFonts w:ascii="Arial Narrow" w:eastAsiaTheme="majorEastAsia" w:hAnsi="Arial Narrow" w:cstheme="majorBidi"/>
                <w:bCs/>
                <w:sz w:val="20"/>
                <w:lang w:eastAsia="en-US"/>
              </w:rPr>
              <w:t xml:space="preserve"> in </w:t>
            </w:r>
            <w:r w:rsidR="00621943" w:rsidRPr="0058641B">
              <w:rPr>
                <w:rFonts w:ascii="Arial Narrow" w:eastAsiaTheme="majorEastAsia" w:hAnsi="Arial Narrow" w:cstheme="majorBidi"/>
                <w:bCs/>
                <w:sz w:val="20"/>
                <w:lang w:eastAsia="en-US"/>
              </w:rPr>
              <w:t>effectiveness and inferior in safety compared with o</w:t>
            </w:r>
            <w:r w:rsidRPr="0058641B">
              <w:rPr>
                <w:rFonts w:ascii="Arial Narrow" w:eastAsiaTheme="majorEastAsia" w:hAnsi="Arial Narrow" w:cstheme="majorBidi"/>
                <w:bCs/>
                <w:sz w:val="20"/>
                <w:lang w:eastAsia="en-US"/>
              </w:rPr>
              <w:t xml:space="preserve">bservation </w:t>
            </w:r>
            <w:r w:rsidR="00621943" w:rsidRPr="0058641B">
              <w:rPr>
                <w:rFonts w:ascii="Arial Narrow" w:eastAsiaTheme="majorEastAsia" w:hAnsi="Arial Narrow" w:cstheme="majorBidi"/>
                <w:bCs/>
                <w:sz w:val="20"/>
                <w:lang w:eastAsia="en-US"/>
              </w:rPr>
              <w:t>(</w:t>
            </w:r>
            <w:r w:rsidRPr="0058641B">
              <w:rPr>
                <w:rFonts w:ascii="Arial Narrow" w:eastAsiaTheme="majorEastAsia" w:hAnsi="Arial Narrow" w:cstheme="majorBidi"/>
                <w:bCs/>
                <w:sz w:val="20"/>
                <w:lang w:eastAsia="en-US"/>
              </w:rPr>
              <w:t>BSC</w:t>
            </w:r>
            <w:r w:rsidR="00621943" w:rsidRPr="0058641B">
              <w:rPr>
                <w:rFonts w:ascii="Arial Narrow" w:eastAsiaTheme="majorEastAsia" w:hAnsi="Arial Narrow" w:cstheme="majorBidi"/>
                <w:bCs/>
                <w:sz w:val="20"/>
                <w:lang w:eastAsia="en-US"/>
              </w:rPr>
              <w:t>).</w:t>
            </w:r>
          </w:p>
        </w:tc>
      </w:tr>
    </w:tbl>
    <w:p w14:paraId="6C0CACD4" w14:textId="77777777" w:rsidR="00453573" w:rsidRPr="0058641B" w:rsidRDefault="00453573" w:rsidP="00FA08B5">
      <w:pPr>
        <w:pStyle w:val="TableFooter"/>
      </w:pPr>
      <w:r w:rsidRPr="0058641B">
        <w:t>Source: Table 1.1, p3 of the submission.</w:t>
      </w:r>
    </w:p>
    <w:p w14:paraId="3FAE8110" w14:textId="77777777" w:rsidR="00ED4DBB" w:rsidRPr="0058641B" w:rsidRDefault="00ED4DBB" w:rsidP="00FA08B5">
      <w:pPr>
        <w:pStyle w:val="TableFooter"/>
      </w:pPr>
      <w:r w:rsidRPr="0058641B">
        <w:t>BSC = best supportive care; PD-L1=programmed cell death-ligand 1; NSCLC = non-small cell lung cancer; Q3W or Q4W = every 3 weeks or every 4 weeks; IV = intravenous</w:t>
      </w:r>
    </w:p>
    <w:p w14:paraId="22E225F9" w14:textId="19DEA1B8" w:rsidR="004E43B2" w:rsidRPr="00EA56B9" w:rsidRDefault="00ED4DBB" w:rsidP="00FA08B5">
      <w:pPr>
        <w:pStyle w:val="TableFooter"/>
      </w:pPr>
      <w:r w:rsidRPr="0058641B">
        <w:rPr>
          <w:vertAlign w:val="superscript"/>
        </w:rPr>
        <w:t xml:space="preserve"> </w:t>
      </w:r>
      <w:r w:rsidR="00453573" w:rsidRPr="0058641B">
        <w:rPr>
          <w:vertAlign w:val="superscript"/>
        </w:rPr>
        <w:t>a</w:t>
      </w:r>
      <w:r w:rsidR="00E11F73">
        <w:rPr>
          <w:vertAlign w:val="superscript"/>
        </w:rPr>
        <w:t xml:space="preserve"> </w:t>
      </w:r>
      <w:r w:rsidR="00453573" w:rsidRPr="0058641B">
        <w:t>The submission noted that the PD-L1 expression threshold proposed for the target PBS population (</w:t>
      </w:r>
      <w:r w:rsidR="00B54752" w:rsidRPr="0058641B">
        <w:t>PD-L1 ≥ 1%</w:t>
      </w:r>
      <w:r w:rsidR="00453573" w:rsidRPr="0058641B">
        <w:t xml:space="preserve"> or </w:t>
      </w:r>
      <w:r w:rsidR="00B54752" w:rsidRPr="0058641B">
        <w:t>PD-L1 ≥ 50%</w:t>
      </w:r>
      <w:r w:rsidR="00453573" w:rsidRPr="0058641B">
        <w:t>) would ultimately depend on the threshold specified in the final approved Therapeutic Goods Administration (TGA) indication.</w:t>
      </w:r>
    </w:p>
    <w:p w14:paraId="58D795AD" w14:textId="77777777" w:rsidR="005C25FF" w:rsidRPr="0058641B" w:rsidRDefault="005C25FF" w:rsidP="004A6040">
      <w:pPr>
        <w:pStyle w:val="2-SectionHeading"/>
      </w:pPr>
      <w:bookmarkStart w:id="3" w:name="_Toc101281134"/>
      <w:r w:rsidRPr="0058641B">
        <w:t>Background</w:t>
      </w:r>
      <w:bookmarkEnd w:id="3"/>
    </w:p>
    <w:p w14:paraId="6195EDFB" w14:textId="77777777" w:rsidR="005C25FF" w:rsidRPr="0058641B" w:rsidRDefault="005C25FF" w:rsidP="004A6040">
      <w:pPr>
        <w:pStyle w:val="4-SubsectionHeading"/>
      </w:pPr>
      <w:bookmarkStart w:id="4" w:name="_Toc22897638"/>
      <w:bookmarkStart w:id="5" w:name="_Toc101281135"/>
      <w:r w:rsidRPr="0058641B">
        <w:t>Registration status</w:t>
      </w:r>
      <w:bookmarkEnd w:id="4"/>
      <w:bookmarkEnd w:id="5"/>
    </w:p>
    <w:p w14:paraId="4FD791BF" w14:textId="254FC172" w:rsidR="005C25FF" w:rsidRPr="008D652D" w:rsidRDefault="005C25FF" w:rsidP="00616E55">
      <w:pPr>
        <w:pStyle w:val="3-BodyText"/>
        <w:autoSpaceDE w:val="0"/>
        <w:autoSpaceDN w:val="0"/>
        <w:adjustRightInd w:val="0"/>
      </w:pPr>
      <w:r w:rsidRPr="008D652D">
        <w:t xml:space="preserve">The submission was made under </w:t>
      </w:r>
      <w:r w:rsidR="00E244F6" w:rsidRPr="008D652D">
        <w:t xml:space="preserve">the </w:t>
      </w:r>
      <w:r w:rsidRPr="008D652D">
        <w:t>TGA/PBAC Parallel Process.</w:t>
      </w:r>
      <w:r w:rsidR="00E947C8" w:rsidRPr="008D652D">
        <w:t xml:space="preserve"> </w:t>
      </w:r>
      <w:r w:rsidR="00616E55">
        <w:t xml:space="preserve">The TGA Delegate’s Overview was received prior to ESC consideration </w:t>
      </w:r>
      <w:r w:rsidR="0014039E">
        <w:t>and the Delegate proposed to approve atezolizumab for the following indication:</w:t>
      </w:r>
    </w:p>
    <w:p w14:paraId="76B537BA" w14:textId="77777777" w:rsidR="00E947C8" w:rsidRPr="00616E55" w:rsidRDefault="00E947C8" w:rsidP="0014039E">
      <w:pPr>
        <w:pStyle w:val="3-BodyText"/>
        <w:numPr>
          <w:ilvl w:val="0"/>
          <w:numId w:val="0"/>
        </w:numPr>
        <w:autoSpaceDE w:val="0"/>
        <w:autoSpaceDN w:val="0"/>
        <w:adjustRightInd w:val="0"/>
        <w:ind w:left="720"/>
      </w:pPr>
      <w:r w:rsidRPr="00616E55">
        <w:lastRenderedPageBreak/>
        <w:t xml:space="preserve">TECENTRIQ as monotherapy, is indicated as adjuvant treatment following complete resection and no progression after platinum-based adjuvant chemotherapy for adult patients with Stage II to IIIA* NSCLC whose tumours have PD-L1 expression on ≥ 50% of tumour cells. </w:t>
      </w:r>
    </w:p>
    <w:p w14:paraId="1ED2F878" w14:textId="2127D90D" w:rsidR="00E947C8" w:rsidRPr="003F35E9" w:rsidRDefault="00E947C8" w:rsidP="00E947C8">
      <w:pPr>
        <w:pStyle w:val="3-BodyText"/>
        <w:numPr>
          <w:ilvl w:val="0"/>
          <w:numId w:val="0"/>
        </w:numPr>
        <w:ind w:left="720"/>
      </w:pPr>
      <w:r w:rsidRPr="003F35E9">
        <w:t>*According to American Joint Committee on Cancer, 7th edition.</w:t>
      </w:r>
    </w:p>
    <w:p w14:paraId="1BFF24E1" w14:textId="263F96A0" w:rsidR="00341211" w:rsidRPr="0058641B" w:rsidRDefault="00341211" w:rsidP="004E18E9">
      <w:pPr>
        <w:pStyle w:val="3-BodyText"/>
      </w:pPr>
      <w:r w:rsidRPr="0058641B">
        <w:t>ATZ is currently registered for advanced NSCLC</w:t>
      </w:r>
      <w:r w:rsidRPr="0058641B">
        <w:rPr>
          <w:rStyle w:val="FootnoteReference"/>
        </w:rPr>
        <w:footnoteReference w:id="1"/>
      </w:r>
      <w:r w:rsidRPr="0058641B">
        <w:t>, small cell lung cancer, urothelial cancer, triple negative breast cancer and hepatocellular cancer.</w:t>
      </w:r>
    </w:p>
    <w:p w14:paraId="3676A716" w14:textId="77777777" w:rsidR="008E2499" w:rsidRPr="0058641B" w:rsidRDefault="008E2499" w:rsidP="008E2499">
      <w:pPr>
        <w:pStyle w:val="4-SubsectionHeading"/>
      </w:pPr>
      <w:bookmarkStart w:id="6" w:name="_Toc93502897"/>
      <w:bookmarkStart w:id="7" w:name="_Toc101281136"/>
      <w:r w:rsidRPr="0058641B">
        <w:t>Previous PBAC consideration</w:t>
      </w:r>
      <w:bookmarkEnd w:id="6"/>
      <w:bookmarkEnd w:id="7"/>
    </w:p>
    <w:p w14:paraId="00F4B569" w14:textId="44DCC529" w:rsidR="00341211" w:rsidRDefault="008E2499" w:rsidP="00635E4D">
      <w:pPr>
        <w:pStyle w:val="3-BodyText"/>
      </w:pPr>
      <w:r w:rsidRPr="0058641B">
        <w:t xml:space="preserve">The PBAC </w:t>
      </w:r>
      <w:r w:rsidR="004C47E7" w:rsidRPr="0058641B">
        <w:t xml:space="preserve">had </w:t>
      </w:r>
      <w:r w:rsidRPr="0058641B">
        <w:t xml:space="preserve">not previously considered ATZ </w:t>
      </w:r>
      <w:r w:rsidR="003B59B4" w:rsidRPr="0058641B">
        <w:t xml:space="preserve">as an adjuvant treatment </w:t>
      </w:r>
      <w:r w:rsidR="00942616" w:rsidRPr="0058641B">
        <w:t>for</w:t>
      </w:r>
      <w:r w:rsidR="003B59B4" w:rsidRPr="0058641B">
        <w:t xml:space="preserve"> </w:t>
      </w:r>
      <w:proofErr w:type="gramStart"/>
      <w:r w:rsidR="003B59B4" w:rsidRPr="0058641B">
        <w:t>early stage</w:t>
      </w:r>
      <w:proofErr w:type="gramEnd"/>
      <w:r w:rsidR="003B59B4" w:rsidRPr="0058641B">
        <w:t xml:space="preserve"> NSCLC.</w:t>
      </w:r>
      <w:r w:rsidR="001F719A" w:rsidRPr="0058641B">
        <w:t xml:space="preserve"> ATZ is PBS listed for the </w:t>
      </w:r>
      <w:proofErr w:type="gramStart"/>
      <w:r w:rsidR="001F719A" w:rsidRPr="0058641B">
        <w:t>first and second line</w:t>
      </w:r>
      <w:proofErr w:type="gramEnd"/>
      <w:r w:rsidR="001F719A" w:rsidRPr="0058641B">
        <w:t xml:space="preserve"> treatment of advanced or metastatic NSCLC. </w:t>
      </w:r>
    </w:p>
    <w:p w14:paraId="46E03C62" w14:textId="77777777" w:rsidR="00B60939" w:rsidRPr="0058641B" w:rsidRDefault="00B50DB8" w:rsidP="004E18E9">
      <w:pPr>
        <w:pStyle w:val="2-SectionHeading"/>
      </w:pPr>
      <w:bookmarkStart w:id="8" w:name="_Toc101281137"/>
      <w:r w:rsidRPr="0058641B">
        <w:t>Requested listing</w:t>
      </w:r>
      <w:bookmarkEnd w:id="8"/>
    </w:p>
    <w:p w14:paraId="54E8EF10" w14:textId="0D6D2643" w:rsidR="00A27D74" w:rsidRPr="00A27D74" w:rsidRDefault="00A27D74" w:rsidP="00A27D74">
      <w:pPr>
        <w:pStyle w:val="3-BodyText"/>
        <w:rPr>
          <w:i/>
          <w:iCs/>
        </w:rPr>
      </w:pPr>
      <w:r w:rsidRPr="00A27D74">
        <w:t xml:space="preserve">The requested listing and suggested </w:t>
      </w:r>
      <w:r w:rsidR="0014039E">
        <w:t xml:space="preserve">changes </w:t>
      </w:r>
      <w:r w:rsidRPr="00A27D74">
        <w:t xml:space="preserve">proposed by the Secretariat (additions are in italics, deletions in strikethrough) </w:t>
      </w:r>
      <w:r w:rsidR="0014039E">
        <w:t>are</w:t>
      </w:r>
      <w:r w:rsidRPr="00A27D74">
        <w:t xml:space="preserve"> presented below</w:t>
      </w:r>
      <w:r w:rsidRPr="00A27D74">
        <w:rPr>
          <w:i/>
          <w:iCs/>
        </w:rPr>
        <w:t xml:space="preserve">. </w:t>
      </w:r>
    </w:p>
    <w:p w14:paraId="23796122" w14:textId="4846AA49" w:rsidR="00D9177C" w:rsidRPr="0058641B" w:rsidRDefault="00D9177C" w:rsidP="008365D3">
      <w:pPr>
        <w:pStyle w:val="TableFigureHeading"/>
        <w:keepNext w:val="0"/>
        <w:widowControl w:val="0"/>
      </w:pPr>
    </w:p>
    <w:tbl>
      <w:tblPr>
        <w:tblStyle w:val="TableGrid"/>
        <w:tblW w:w="5000" w:type="pct"/>
        <w:tblLook w:val="0020" w:firstRow="1" w:lastRow="0" w:firstColumn="0" w:lastColumn="0" w:noHBand="0" w:noVBand="0"/>
      </w:tblPr>
      <w:tblGrid>
        <w:gridCol w:w="2406"/>
        <w:gridCol w:w="1133"/>
        <w:gridCol w:w="1017"/>
        <w:gridCol w:w="2245"/>
        <w:gridCol w:w="2216"/>
      </w:tblGrid>
      <w:tr w:rsidR="00D9177C" w:rsidRPr="0058641B" w14:paraId="376C29BB" w14:textId="77777777" w:rsidTr="0035625B">
        <w:trPr>
          <w:trHeight w:val="463"/>
        </w:trPr>
        <w:tc>
          <w:tcPr>
            <w:tcW w:w="1334" w:type="pct"/>
          </w:tcPr>
          <w:p w14:paraId="02901904" w14:textId="77777777" w:rsidR="00D9177C" w:rsidRPr="0058641B" w:rsidRDefault="00D9177C" w:rsidP="008365D3">
            <w:pPr>
              <w:widowControl w:val="0"/>
              <w:jc w:val="left"/>
              <w:rPr>
                <w:rFonts w:ascii="Arial Narrow" w:hAnsi="Arial Narrow"/>
                <w:b/>
                <w:sz w:val="20"/>
              </w:rPr>
            </w:pPr>
            <w:bookmarkStart w:id="9" w:name="_Hlk102142972"/>
            <w:r w:rsidRPr="0058641B">
              <w:rPr>
                <w:rFonts w:ascii="Arial Narrow" w:hAnsi="Arial Narrow"/>
                <w:b/>
                <w:sz w:val="20"/>
              </w:rPr>
              <w:t>Name, Restriction,</w:t>
            </w:r>
          </w:p>
          <w:p w14:paraId="6D1C62C0" w14:textId="77777777" w:rsidR="00D9177C" w:rsidRPr="0058641B" w:rsidRDefault="00D9177C" w:rsidP="008365D3">
            <w:pPr>
              <w:widowControl w:val="0"/>
              <w:jc w:val="left"/>
              <w:rPr>
                <w:rFonts w:ascii="Arial Narrow" w:hAnsi="Arial Narrow"/>
                <w:b/>
                <w:sz w:val="20"/>
              </w:rPr>
            </w:pPr>
            <w:r w:rsidRPr="0058641B">
              <w:rPr>
                <w:rFonts w:ascii="Arial Narrow" w:hAnsi="Arial Narrow"/>
                <w:b/>
                <w:sz w:val="20"/>
              </w:rPr>
              <w:t>Manner of administration and form</w:t>
            </w:r>
          </w:p>
        </w:tc>
        <w:tc>
          <w:tcPr>
            <w:tcW w:w="628" w:type="pct"/>
          </w:tcPr>
          <w:p w14:paraId="750557B6" w14:textId="77777777" w:rsidR="00D9177C" w:rsidRPr="0058641B" w:rsidRDefault="00D9177C" w:rsidP="008365D3">
            <w:pPr>
              <w:widowControl w:val="0"/>
              <w:jc w:val="center"/>
              <w:rPr>
                <w:rFonts w:ascii="Arial Narrow" w:hAnsi="Arial Narrow"/>
                <w:b/>
                <w:sz w:val="20"/>
              </w:rPr>
            </w:pPr>
            <w:r w:rsidRPr="0058641B">
              <w:rPr>
                <w:rFonts w:ascii="Arial Narrow" w:hAnsi="Arial Narrow"/>
                <w:b/>
                <w:sz w:val="20"/>
              </w:rPr>
              <w:t>Max.</w:t>
            </w:r>
          </w:p>
          <w:p w14:paraId="6902CA8A" w14:textId="77777777" w:rsidR="00D9177C" w:rsidRPr="0058641B" w:rsidRDefault="00D9177C" w:rsidP="008365D3">
            <w:pPr>
              <w:widowControl w:val="0"/>
              <w:jc w:val="center"/>
              <w:rPr>
                <w:rFonts w:ascii="Arial Narrow" w:hAnsi="Arial Narrow"/>
                <w:b/>
                <w:sz w:val="20"/>
              </w:rPr>
            </w:pPr>
            <w:r w:rsidRPr="0058641B">
              <w:rPr>
                <w:rFonts w:ascii="Arial Narrow" w:hAnsi="Arial Narrow"/>
                <w:b/>
                <w:sz w:val="20"/>
              </w:rPr>
              <w:t>Amt</w:t>
            </w:r>
          </w:p>
        </w:tc>
        <w:tc>
          <w:tcPr>
            <w:tcW w:w="564" w:type="pct"/>
          </w:tcPr>
          <w:p w14:paraId="2B20FFDA" w14:textId="77777777" w:rsidR="00D9177C" w:rsidRPr="0058641B" w:rsidRDefault="00D9177C" w:rsidP="008365D3">
            <w:pPr>
              <w:widowControl w:val="0"/>
              <w:jc w:val="center"/>
              <w:rPr>
                <w:rFonts w:ascii="Arial Narrow" w:hAnsi="Arial Narrow"/>
                <w:b/>
                <w:sz w:val="20"/>
              </w:rPr>
            </w:pPr>
            <w:r w:rsidRPr="0058641B">
              <w:rPr>
                <w:rFonts w:ascii="Arial Narrow" w:hAnsi="Arial Narrow" w:cs="Times New Roman"/>
                <w:b/>
                <w:sz w:val="20"/>
              </w:rPr>
              <w:t>№</w:t>
            </w:r>
            <w:r w:rsidRPr="0058641B">
              <w:rPr>
                <w:rFonts w:ascii="Arial Narrow" w:hAnsi="Arial Narrow"/>
                <w:b/>
                <w:sz w:val="20"/>
              </w:rPr>
              <w:t>.of</w:t>
            </w:r>
          </w:p>
          <w:p w14:paraId="2C04215E" w14:textId="77777777" w:rsidR="00D9177C" w:rsidRPr="0058641B" w:rsidRDefault="00D9177C" w:rsidP="008365D3">
            <w:pPr>
              <w:widowControl w:val="0"/>
              <w:jc w:val="center"/>
              <w:rPr>
                <w:rFonts w:ascii="Arial Narrow" w:hAnsi="Arial Narrow"/>
                <w:b/>
                <w:sz w:val="20"/>
              </w:rPr>
            </w:pPr>
            <w:proofErr w:type="spellStart"/>
            <w:r w:rsidRPr="0058641B">
              <w:rPr>
                <w:rFonts w:ascii="Arial Narrow" w:hAnsi="Arial Narrow"/>
                <w:b/>
                <w:sz w:val="20"/>
              </w:rPr>
              <w:t>Rpts</w:t>
            </w:r>
            <w:proofErr w:type="spellEnd"/>
          </w:p>
        </w:tc>
        <w:tc>
          <w:tcPr>
            <w:tcW w:w="1245" w:type="pct"/>
          </w:tcPr>
          <w:p w14:paraId="3580DE74" w14:textId="77777777" w:rsidR="00D9177C" w:rsidRPr="0058641B" w:rsidRDefault="00D9177C" w:rsidP="008365D3">
            <w:pPr>
              <w:widowControl w:val="0"/>
              <w:jc w:val="center"/>
              <w:rPr>
                <w:rFonts w:ascii="Arial Narrow" w:hAnsi="Arial Narrow"/>
                <w:b/>
                <w:sz w:val="20"/>
              </w:rPr>
            </w:pPr>
            <w:r w:rsidRPr="0058641B">
              <w:rPr>
                <w:rFonts w:ascii="Arial Narrow" w:hAnsi="Arial Narrow"/>
                <w:b/>
                <w:sz w:val="20"/>
              </w:rPr>
              <w:t>Dispensed Price Max Amt</w:t>
            </w:r>
          </w:p>
        </w:tc>
        <w:tc>
          <w:tcPr>
            <w:tcW w:w="1229" w:type="pct"/>
          </w:tcPr>
          <w:p w14:paraId="2BE2D0AC" w14:textId="77777777" w:rsidR="00D9177C" w:rsidRPr="0058641B" w:rsidRDefault="00D9177C" w:rsidP="008365D3">
            <w:pPr>
              <w:widowControl w:val="0"/>
              <w:jc w:val="center"/>
              <w:rPr>
                <w:rFonts w:ascii="Arial Narrow" w:hAnsi="Arial Narrow"/>
                <w:b/>
                <w:sz w:val="20"/>
              </w:rPr>
            </w:pPr>
            <w:r w:rsidRPr="0058641B">
              <w:rPr>
                <w:rFonts w:ascii="Arial Narrow" w:hAnsi="Arial Narrow"/>
                <w:b/>
                <w:sz w:val="20"/>
              </w:rPr>
              <w:t>Proprietary Name and Manufacturer</w:t>
            </w:r>
          </w:p>
        </w:tc>
      </w:tr>
      <w:tr w:rsidR="00D9177C" w:rsidRPr="0058641B" w14:paraId="2D993562" w14:textId="77777777" w:rsidTr="0035625B">
        <w:trPr>
          <w:trHeight w:val="567"/>
        </w:trPr>
        <w:tc>
          <w:tcPr>
            <w:tcW w:w="1334" w:type="pct"/>
          </w:tcPr>
          <w:p w14:paraId="4B89BD34" w14:textId="77777777" w:rsidR="00D9177C" w:rsidRPr="0058641B" w:rsidRDefault="00D9177C" w:rsidP="008365D3">
            <w:pPr>
              <w:widowControl w:val="0"/>
              <w:jc w:val="left"/>
              <w:rPr>
                <w:rFonts w:ascii="Arial Narrow" w:hAnsi="Arial Narrow"/>
                <w:smallCaps/>
                <w:sz w:val="20"/>
              </w:rPr>
            </w:pPr>
            <w:r w:rsidRPr="0058641B">
              <w:rPr>
                <w:rFonts w:ascii="Arial Narrow" w:hAnsi="Arial Narrow"/>
                <w:smallCaps/>
                <w:sz w:val="20"/>
              </w:rPr>
              <w:t>Atezolizumab</w:t>
            </w:r>
          </w:p>
          <w:p w14:paraId="7E2C5EA9" w14:textId="77777777" w:rsidR="00D9177C" w:rsidRPr="0058641B" w:rsidRDefault="00D9177C" w:rsidP="008365D3">
            <w:pPr>
              <w:widowControl w:val="0"/>
              <w:jc w:val="left"/>
              <w:rPr>
                <w:rFonts w:ascii="Arial Narrow" w:hAnsi="Arial Narrow"/>
                <w:sz w:val="20"/>
              </w:rPr>
            </w:pPr>
            <w:r w:rsidRPr="0058641B">
              <w:rPr>
                <w:rFonts w:ascii="Arial Narrow" w:hAnsi="Arial Narrow"/>
                <w:sz w:val="20"/>
              </w:rPr>
              <w:t>Solution for IV infusion</w:t>
            </w:r>
            <w:r w:rsidRPr="0058641B">
              <w:rPr>
                <w:rFonts w:ascii="Arial Narrow" w:hAnsi="Arial Narrow"/>
                <w:sz w:val="20"/>
              </w:rPr>
              <w:br/>
              <w:t>1200 mg in 20 mL vial, 1 unit</w:t>
            </w:r>
          </w:p>
        </w:tc>
        <w:tc>
          <w:tcPr>
            <w:tcW w:w="628" w:type="pct"/>
          </w:tcPr>
          <w:p w14:paraId="07387362" w14:textId="7924ECB6" w:rsidR="00D9177C" w:rsidRPr="0058641B" w:rsidRDefault="00D9177C" w:rsidP="008365D3">
            <w:pPr>
              <w:widowControl w:val="0"/>
              <w:jc w:val="center"/>
              <w:rPr>
                <w:rFonts w:ascii="Arial Narrow" w:hAnsi="Arial Narrow"/>
                <w:sz w:val="20"/>
              </w:rPr>
            </w:pPr>
            <w:r w:rsidRPr="00FF2826">
              <w:rPr>
                <w:rFonts w:ascii="Arial Narrow" w:hAnsi="Arial Narrow"/>
                <w:strike/>
                <w:sz w:val="20"/>
              </w:rPr>
              <w:t>1</w:t>
            </w:r>
            <w:r w:rsidR="0037696B" w:rsidRPr="00FF2826">
              <w:rPr>
                <w:rFonts w:ascii="Arial Narrow" w:hAnsi="Arial Narrow"/>
                <w:strike/>
                <w:sz w:val="20"/>
              </w:rPr>
              <w:t>,680</w:t>
            </w:r>
            <w:r w:rsidR="00FF2826">
              <w:rPr>
                <w:rFonts w:ascii="Arial Narrow" w:hAnsi="Arial Narrow"/>
                <w:sz w:val="20"/>
              </w:rPr>
              <w:t xml:space="preserve"> </w:t>
            </w:r>
            <w:r w:rsidR="00FF2826" w:rsidRPr="00FF2826">
              <w:rPr>
                <w:rFonts w:ascii="Arial Narrow" w:hAnsi="Arial Narrow"/>
                <w:i/>
                <w:iCs/>
                <w:sz w:val="20"/>
              </w:rPr>
              <w:t>1,200</w:t>
            </w:r>
            <w:r w:rsidRPr="0058641B">
              <w:rPr>
                <w:rFonts w:ascii="Arial Narrow" w:hAnsi="Arial Narrow"/>
                <w:sz w:val="20"/>
              </w:rPr>
              <w:t xml:space="preserve"> mg</w:t>
            </w:r>
          </w:p>
        </w:tc>
        <w:tc>
          <w:tcPr>
            <w:tcW w:w="564" w:type="pct"/>
          </w:tcPr>
          <w:p w14:paraId="1BAF1EFE" w14:textId="639AA0AD" w:rsidR="00D9177C" w:rsidRPr="0058641B" w:rsidRDefault="00FF2826" w:rsidP="008365D3">
            <w:pPr>
              <w:widowControl w:val="0"/>
              <w:jc w:val="center"/>
              <w:rPr>
                <w:rFonts w:ascii="Arial Narrow" w:hAnsi="Arial Narrow"/>
                <w:sz w:val="20"/>
              </w:rPr>
            </w:pPr>
            <w:r w:rsidRPr="00FF2826">
              <w:rPr>
                <w:rFonts w:ascii="Arial Narrow" w:hAnsi="Arial Narrow"/>
                <w:i/>
                <w:iCs/>
                <w:strike/>
                <w:sz w:val="20"/>
              </w:rPr>
              <w:t>15</w:t>
            </w:r>
            <w:r>
              <w:rPr>
                <w:rFonts w:ascii="Arial Narrow" w:hAnsi="Arial Narrow"/>
                <w:i/>
                <w:iCs/>
                <w:sz w:val="20"/>
              </w:rPr>
              <w:t xml:space="preserve"> 8</w:t>
            </w:r>
          </w:p>
        </w:tc>
        <w:tc>
          <w:tcPr>
            <w:tcW w:w="1245" w:type="pct"/>
          </w:tcPr>
          <w:p w14:paraId="2844A614" w14:textId="77777777" w:rsidR="00D9177C" w:rsidRPr="0058641B" w:rsidRDefault="00D9177C" w:rsidP="008365D3">
            <w:pPr>
              <w:widowControl w:val="0"/>
              <w:jc w:val="center"/>
              <w:rPr>
                <w:rFonts w:ascii="Arial Narrow" w:hAnsi="Arial Narrow"/>
                <w:sz w:val="20"/>
                <w:u w:val="single"/>
                <w:vertAlign w:val="superscript"/>
              </w:rPr>
            </w:pPr>
            <w:r w:rsidRPr="0058641B">
              <w:rPr>
                <w:rFonts w:ascii="Arial Narrow" w:hAnsi="Arial Narrow"/>
                <w:sz w:val="20"/>
                <w:u w:val="single"/>
              </w:rPr>
              <w:t>Published price</w:t>
            </w:r>
          </w:p>
          <w:p w14:paraId="6CA422C2" w14:textId="77777777" w:rsidR="00D9177C" w:rsidRPr="0058641B" w:rsidRDefault="00D9177C" w:rsidP="008365D3">
            <w:pPr>
              <w:widowControl w:val="0"/>
              <w:jc w:val="center"/>
              <w:rPr>
                <w:rFonts w:ascii="Arial Narrow" w:hAnsi="Arial Narrow"/>
                <w:sz w:val="20"/>
              </w:rPr>
            </w:pPr>
            <w:r w:rsidRPr="0058641B">
              <w:rPr>
                <w:rFonts w:ascii="Arial Narrow" w:hAnsi="Arial Narrow"/>
                <w:sz w:val="20"/>
              </w:rPr>
              <w:t>$7,188.77 (public)</w:t>
            </w:r>
          </w:p>
          <w:p w14:paraId="6FD64FFB" w14:textId="77777777" w:rsidR="00D9177C" w:rsidRPr="0058641B" w:rsidRDefault="00D9177C" w:rsidP="008365D3">
            <w:pPr>
              <w:widowControl w:val="0"/>
              <w:jc w:val="center"/>
              <w:rPr>
                <w:rFonts w:ascii="Arial Narrow" w:hAnsi="Arial Narrow"/>
                <w:sz w:val="20"/>
              </w:rPr>
            </w:pPr>
            <w:r w:rsidRPr="0058641B">
              <w:rPr>
                <w:rFonts w:ascii="Arial Narrow" w:hAnsi="Arial Narrow"/>
                <w:sz w:val="20"/>
              </w:rPr>
              <w:t>$7,329.23 (private)</w:t>
            </w:r>
          </w:p>
          <w:p w14:paraId="0BC7326B" w14:textId="77777777" w:rsidR="00D9177C" w:rsidRPr="0058641B" w:rsidRDefault="00D9177C" w:rsidP="008365D3">
            <w:pPr>
              <w:widowControl w:val="0"/>
              <w:jc w:val="center"/>
              <w:rPr>
                <w:rFonts w:ascii="Arial Narrow" w:hAnsi="Arial Narrow"/>
                <w:sz w:val="20"/>
                <w:u w:val="single"/>
                <w:vertAlign w:val="superscript"/>
              </w:rPr>
            </w:pPr>
            <w:r w:rsidRPr="0058641B">
              <w:rPr>
                <w:rFonts w:ascii="Arial Narrow" w:hAnsi="Arial Narrow"/>
                <w:sz w:val="20"/>
                <w:u w:val="single"/>
              </w:rPr>
              <w:t>Effective price</w:t>
            </w:r>
          </w:p>
          <w:p w14:paraId="73E5EB70" w14:textId="7E00AB41" w:rsidR="00D9177C" w:rsidRPr="0058641B" w:rsidRDefault="00D9177C" w:rsidP="008365D3">
            <w:pPr>
              <w:widowControl w:val="0"/>
              <w:jc w:val="center"/>
              <w:rPr>
                <w:rFonts w:ascii="Arial Narrow" w:hAnsi="Arial Narrow"/>
                <w:sz w:val="20"/>
              </w:rPr>
            </w:pPr>
            <w:r w:rsidRPr="0058641B">
              <w:rPr>
                <w:rFonts w:ascii="Arial Narrow" w:hAnsi="Arial Narrow"/>
                <w:sz w:val="20"/>
              </w:rPr>
              <w:t>$</w:t>
            </w:r>
            <w:r w:rsidR="00A8021D" w:rsidRPr="00A8021D">
              <w:rPr>
                <w:rFonts w:ascii="Arial Narrow" w:hAnsi="Arial Narrow"/>
                <w:color w:val="000000"/>
                <w:sz w:val="20"/>
                <w:shd w:val="solid" w:color="000000" w:fill="000000"/>
                <w14:textFill>
                  <w14:solidFill>
                    <w14:srgbClr w14:val="000000">
                      <w14:alpha w14:val="100000"/>
                    </w14:srgbClr>
                  </w14:solidFill>
                </w14:textFill>
              </w:rPr>
              <w:t>|</w:t>
            </w:r>
            <w:r w:rsidRPr="0058641B">
              <w:rPr>
                <w:rFonts w:ascii="Arial Narrow" w:hAnsi="Arial Narrow"/>
                <w:sz w:val="20"/>
                <w:vertAlign w:val="superscript"/>
              </w:rPr>
              <w:t xml:space="preserve"> </w:t>
            </w:r>
            <w:r w:rsidRPr="0058641B">
              <w:rPr>
                <w:rFonts w:ascii="Arial Narrow" w:hAnsi="Arial Narrow"/>
                <w:sz w:val="20"/>
              </w:rPr>
              <w:t>(public)</w:t>
            </w:r>
          </w:p>
          <w:p w14:paraId="56862D35" w14:textId="02000ECA" w:rsidR="00D9177C" w:rsidRPr="0058641B" w:rsidRDefault="00D9177C" w:rsidP="008365D3">
            <w:pPr>
              <w:widowControl w:val="0"/>
              <w:jc w:val="center"/>
              <w:rPr>
                <w:rFonts w:ascii="Arial Narrow" w:hAnsi="Arial Narrow"/>
                <w:sz w:val="20"/>
              </w:rPr>
            </w:pPr>
            <w:r w:rsidRPr="0058641B">
              <w:rPr>
                <w:rFonts w:ascii="Arial Narrow" w:hAnsi="Arial Narrow"/>
                <w:sz w:val="20"/>
              </w:rPr>
              <w:t>$</w:t>
            </w:r>
            <w:r w:rsidR="00A8021D" w:rsidRPr="00A8021D">
              <w:rPr>
                <w:rFonts w:ascii="Arial Narrow" w:hAnsi="Arial Narrow"/>
                <w:color w:val="000000"/>
                <w:sz w:val="20"/>
                <w:shd w:val="solid" w:color="000000" w:fill="000000"/>
                <w14:textFill>
                  <w14:solidFill>
                    <w14:srgbClr w14:val="000000">
                      <w14:alpha w14:val="100000"/>
                    </w14:srgbClr>
                  </w14:solidFill>
                </w14:textFill>
              </w:rPr>
              <w:t>|</w:t>
            </w:r>
            <w:r w:rsidRPr="0058641B">
              <w:rPr>
                <w:rFonts w:ascii="Arial Narrow" w:hAnsi="Arial Narrow"/>
                <w:sz w:val="20"/>
              </w:rPr>
              <w:t xml:space="preserve"> (private)</w:t>
            </w:r>
          </w:p>
        </w:tc>
        <w:tc>
          <w:tcPr>
            <w:tcW w:w="1229" w:type="pct"/>
            <w:vMerge w:val="restart"/>
          </w:tcPr>
          <w:p w14:paraId="74813E77" w14:textId="77777777" w:rsidR="00D9177C" w:rsidRPr="0058641B" w:rsidRDefault="00D9177C" w:rsidP="008365D3">
            <w:pPr>
              <w:widowControl w:val="0"/>
              <w:jc w:val="center"/>
              <w:rPr>
                <w:rFonts w:ascii="Arial Narrow" w:hAnsi="Arial Narrow"/>
                <w:smallCaps/>
                <w:sz w:val="20"/>
                <w:vertAlign w:val="superscript"/>
              </w:rPr>
            </w:pPr>
            <w:r w:rsidRPr="0058641B">
              <w:rPr>
                <w:rFonts w:ascii="Arial Narrow" w:hAnsi="Arial Narrow"/>
                <w:smallCaps/>
                <w:sz w:val="20"/>
              </w:rPr>
              <w:t>TECENTRIQ</w:t>
            </w:r>
            <w:r w:rsidRPr="0058641B">
              <w:rPr>
                <w:rFonts w:ascii="Arial Narrow" w:hAnsi="Arial Narrow"/>
                <w:smallCaps/>
                <w:sz w:val="20"/>
                <w:vertAlign w:val="superscript"/>
              </w:rPr>
              <w:t>®</w:t>
            </w:r>
          </w:p>
          <w:p w14:paraId="1D4650DF" w14:textId="77777777" w:rsidR="00D9177C" w:rsidRPr="0058641B" w:rsidRDefault="00D9177C" w:rsidP="008365D3">
            <w:pPr>
              <w:widowControl w:val="0"/>
              <w:jc w:val="center"/>
              <w:rPr>
                <w:rFonts w:ascii="Arial Narrow" w:hAnsi="Arial Narrow"/>
                <w:sz w:val="20"/>
              </w:rPr>
            </w:pPr>
            <w:r w:rsidRPr="0058641B">
              <w:rPr>
                <w:rFonts w:ascii="Arial Narrow" w:hAnsi="Arial Narrow"/>
                <w:sz w:val="20"/>
              </w:rPr>
              <w:t>Roche Products Pty Ltd</w:t>
            </w:r>
          </w:p>
        </w:tc>
      </w:tr>
      <w:tr w:rsidR="00D9177C" w:rsidRPr="0058641B" w14:paraId="7FC5C90C" w14:textId="77777777" w:rsidTr="0035625B">
        <w:trPr>
          <w:trHeight w:val="567"/>
        </w:trPr>
        <w:tc>
          <w:tcPr>
            <w:tcW w:w="1334" w:type="pct"/>
          </w:tcPr>
          <w:p w14:paraId="69A1B72F" w14:textId="77777777" w:rsidR="00D9177C" w:rsidRPr="0058641B" w:rsidRDefault="00D9177C" w:rsidP="008365D3">
            <w:pPr>
              <w:widowControl w:val="0"/>
              <w:jc w:val="left"/>
              <w:rPr>
                <w:rFonts w:ascii="Arial Narrow" w:hAnsi="Arial Narrow"/>
                <w:smallCaps/>
                <w:sz w:val="20"/>
              </w:rPr>
            </w:pPr>
            <w:r w:rsidRPr="0058641B">
              <w:rPr>
                <w:rFonts w:ascii="Arial Narrow" w:hAnsi="Arial Narrow"/>
                <w:smallCaps/>
                <w:sz w:val="20"/>
              </w:rPr>
              <w:t>Atezolizumab</w:t>
            </w:r>
          </w:p>
          <w:p w14:paraId="7BFD63F5" w14:textId="77777777" w:rsidR="00D9177C" w:rsidRPr="0058641B" w:rsidRDefault="00D9177C" w:rsidP="008365D3">
            <w:pPr>
              <w:widowControl w:val="0"/>
              <w:jc w:val="left"/>
              <w:rPr>
                <w:rFonts w:ascii="Arial Narrow" w:hAnsi="Arial Narrow"/>
                <w:smallCaps/>
                <w:sz w:val="20"/>
              </w:rPr>
            </w:pPr>
            <w:r w:rsidRPr="0058641B">
              <w:rPr>
                <w:rFonts w:ascii="Arial Narrow" w:hAnsi="Arial Narrow"/>
                <w:sz w:val="20"/>
              </w:rPr>
              <w:t>Solution for IV infusion</w:t>
            </w:r>
            <w:r w:rsidRPr="0058641B">
              <w:rPr>
                <w:rFonts w:ascii="Arial Narrow" w:hAnsi="Arial Narrow"/>
                <w:sz w:val="20"/>
              </w:rPr>
              <w:br/>
              <w:t>840 mg in 14 mL vial, 2 units</w:t>
            </w:r>
          </w:p>
        </w:tc>
        <w:tc>
          <w:tcPr>
            <w:tcW w:w="628" w:type="pct"/>
          </w:tcPr>
          <w:p w14:paraId="42F09EB2" w14:textId="14A274B6" w:rsidR="00D9177C" w:rsidRPr="0058641B" w:rsidRDefault="00D9177C" w:rsidP="008365D3">
            <w:pPr>
              <w:widowControl w:val="0"/>
              <w:jc w:val="center"/>
              <w:rPr>
                <w:rFonts w:ascii="Arial Narrow" w:hAnsi="Arial Narrow"/>
                <w:sz w:val="20"/>
              </w:rPr>
            </w:pPr>
            <w:r w:rsidRPr="0058641B">
              <w:rPr>
                <w:rFonts w:ascii="Arial Narrow" w:hAnsi="Arial Narrow"/>
                <w:sz w:val="20"/>
              </w:rPr>
              <w:t>1</w:t>
            </w:r>
            <w:r w:rsidR="0037696B">
              <w:rPr>
                <w:rFonts w:ascii="Arial Narrow" w:hAnsi="Arial Narrow"/>
                <w:sz w:val="20"/>
              </w:rPr>
              <w:t>,</w:t>
            </w:r>
            <w:r w:rsidRPr="0058641B">
              <w:rPr>
                <w:rFonts w:ascii="Arial Narrow" w:hAnsi="Arial Narrow"/>
                <w:sz w:val="20"/>
              </w:rPr>
              <w:t>680 mg</w:t>
            </w:r>
          </w:p>
        </w:tc>
        <w:tc>
          <w:tcPr>
            <w:tcW w:w="564" w:type="pct"/>
          </w:tcPr>
          <w:p w14:paraId="2404F3B3" w14:textId="554281A7" w:rsidR="00D9177C" w:rsidRPr="0058641B" w:rsidRDefault="00FF2826" w:rsidP="008365D3">
            <w:pPr>
              <w:widowControl w:val="0"/>
              <w:jc w:val="center"/>
              <w:rPr>
                <w:rFonts w:ascii="Arial Narrow" w:hAnsi="Arial Narrow"/>
                <w:sz w:val="20"/>
              </w:rPr>
            </w:pPr>
            <w:r w:rsidRPr="00FF2826">
              <w:rPr>
                <w:rFonts w:ascii="Arial Narrow" w:hAnsi="Arial Narrow"/>
                <w:i/>
                <w:iCs/>
                <w:strike/>
                <w:sz w:val="20"/>
              </w:rPr>
              <w:t>11</w:t>
            </w:r>
            <w:r w:rsidRPr="00FF2826">
              <w:rPr>
                <w:rFonts w:ascii="Arial Narrow" w:hAnsi="Arial Narrow"/>
                <w:sz w:val="20"/>
              </w:rPr>
              <w:t xml:space="preserve"> </w:t>
            </w:r>
            <w:r w:rsidR="0037696B" w:rsidRPr="0037696B">
              <w:rPr>
                <w:rFonts w:ascii="Arial Narrow" w:hAnsi="Arial Narrow"/>
                <w:i/>
                <w:iCs/>
                <w:sz w:val="20"/>
              </w:rPr>
              <w:t>5</w:t>
            </w:r>
          </w:p>
        </w:tc>
        <w:tc>
          <w:tcPr>
            <w:tcW w:w="1245" w:type="pct"/>
          </w:tcPr>
          <w:p w14:paraId="6D05D61E" w14:textId="77777777" w:rsidR="00D9177C" w:rsidRPr="0058641B" w:rsidRDefault="00D9177C" w:rsidP="008365D3">
            <w:pPr>
              <w:widowControl w:val="0"/>
              <w:jc w:val="center"/>
              <w:rPr>
                <w:rFonts w:ascii="Arial Narrow" w:hAnsi="Arial Narrow"/>
                <w:sz w:val="20"/>
                <w:u w:val="single"/>
                <w:vertAlign w:val="superscript"/>
              </w:rPr>
            </w:pPr>
            <w:r w:rsidRPr="0058641B">
              <w:rPr>
                <w:rFonts w:ascii="Arial Narrow" w:hAnsi="Arial Narrow"/>
                <w:sz w:val="20"/>
                <w:u w:val="single"/>
              </w:rPr>
              <w:t>Published price</w:t>
            </w:r>
          </w:p>
          <w:p w14:paraId="13F430AA" w14:textId="77777777" w:rsidR="00D9177C" w:rsidRPr="0058641B" w:rsidRDefault="00D9177C" w:rsidP="008365D3">
            <w:pPr>
              <w:widowControl w:val="0"/>
              <w:jc w:val="center"/>
              <w:rPr>
                <w:rFonts w:ascii="Arial Narrow" w:hAnsi="Arial Narrow"/>
                <w:sz w:val="20"/>
              </w:rPr>
            </w:pPr>
            <w:r w:rsidRPr="0058641B">
              <w:rPr>
                <w:rFonts w:ascii="Arial Narrow" w:hAnsi="Arial Narrow"/>
                <w:sz w:val="20"/>
              </w:rPr>
              <w:t>$10,029.76 (public)</w:t>
            </w:r>
          </w:p>
          <w:p w14:paraId="19FBB5AA" w14:textId="77777777" w:rsidR="00D9177C" w:rsidRPr="0058641B" w:rsidRDefault="00D9177C" w:rsidP="008365D3">
            <w:pPr>
              <w:widowControl w:val="0"/>
              <w:jc w:val="center"/>
              <w:rPr>
                <w:rFonts w:ascii="Arial Narrow" w:hAnsi="Arial Narrow"/>
                <w:sz w:val="20"/>
              </w:rPr>
            </w:pPr>
            <w:r w:rsidRPr="0058641B">
              <w:rPr>
                <w:rFonts w:ascii="Arial Narrow" w:hAnsi="Arial Narrow"/>
                <w:sz w:val="20"/>
              </w:rPr>
              <w:t>$10,210.00 (private)</w:t>
            </w:r>
          </w:p>
          <w:p w14:paraId="6874EE4E" w14:textId="77777777" w:rsidR="00D9177C" w:rsidRPr="0058641B" w:rsidRDefault="00D9177C" w:rsidP="008365D3">
            <w:pPr>
              <w:widowControl w:val="0"/>
              <w:jc w:val="center"/>
              <w:rPr>
                <w:rFonts w:ascii="Arial Narrow" w:hAnsi="Arial Narrow"/>
                <w:sz w:val="20"/>
                <w:u w:val="single"/>
                <w:vertAlign w:val="superscript"/>
              </w:rPr>
            </w:pPr>
            <w:r w:rsidRPr="0058641B">
              <w:rPr>
                <w:rFonts w:ascii="Arial Narrow" w:hAnsi="Arial Narrow"/>
                <w:sz w:val="20"/>
                <w:u w:val="single"/>
              </w:rPr>
              <w:t>Effective price</w:t>
            </w:r>
          </w:p>
          <w:p w14:paraId="68E72556" w14:textId="0F5FDF5A" w:rsidR="00D9177C" w:rsidRPr="0058641B" w:rsidRDefault="00D9177C" w:rsidP="008365D3">
            <w:pPr>
              <w:widowControl w:val="0"/>
              <w:jc w:val="center"/>
              <w:rPr>
                <w:rFonts w:ascii="Arial Narrow" w:hAnsi="Arial Narrow"/>
                <w:sz w:val="20"/>
              </w:rPr>
            </w:pPr>
            <w:r w:rsidRPr="0058641B">
              <w:rPr>
                <w:rFonts w:ascii="Arial Narrow" w:hAnsi="Arial Narrow"/>
                <w:sz w:val="20"/>
              </w:rPr>
              <w:t>$</w:t>
            </w:r>
            <w:r w:rsidR="00A8021D" w:rsidRPr="00A8021D">
              <w:rPr>
                <w:rFonts w:ascii="Arial Narrow" w:hAnsi="Arial Narrow"/>
                <w:color w:val="000000"/>
                <w:sz w:val="20"/>
                <w:shd w:val="solid" w:color="000000" w:fill="000000"/>
                <w14:textFill>
                  <w14:solidFill>
                    <w14:srgbClr w14:val="000000">
                      <w14:alpha w14:val="100000"/>
                    </w14:srgbClr>
                  </w14:solidFill>
                </w14:textFill>
              </w:rPr>
              <w:t>|</w:t>
            </w:r>
            <w:r w:rsidRPr="0058641B">
              <w:rPr>
                <w:rFonts w:ascii="Arial Narrow" w:hAnsi="Arial Narrow"/>
                <w:sz w:val="20"/>
                <w:vertAlign w:val="superscript"/>
              </w:rPr>
              <w:t xml:space="preserve"> </w:t>
            </w:r>
            <w:r w:rsidRPr="0058641B">
              <w:rPr>
                <w:rFonts w:ascii="Arial Narrow" w:hAnsi="Arial Narrow"/>
                <w:sz w:val="20"/>
              </w:rPr>
              <w:t>(public)</w:t>
            </w:r>
          </w:p>
          <w:p w14:paraId="06904FE1" w14:textId="348EB7F7" w:rsidR="00D9177C" w:rsidRPr="0058641B" w:rsidRDefault="00D9177C" w:rsidP="008365D3">
            <w:pPr>
              <w:widowControl w:val="0"/>
              <w:jc w:val="center"/>
              <w:rPr>
                <w:rFonts w:ascii="Arial Narrow" w:hAnsi="Arial Narrow"/>
                <w:sz w:val="20"/>
              </w:rPr>
            </w:pPr>
            <w:r w:rsidRPr="0058641B">
              <w:rPr>
                <w:rFonts w:ascii="Arial Narrow" w:hAnsi="Arial Narrow"/>
                <w:sz w:val="20"/>
              </w:rPr>
              <w:t>$</w:t>
            </w:r>
            <w:r w:rsidR="00A8021D" w:rsidRPr="00A8021D">
              <w:rPr>
                <w:rFonts w:ascii="Arial Narrow" w:hAnsi="Arial Narrow"/>
                <w:color w:val="000000"/>
                <w:sz w:val="20"/>
                <w:shd w:val="solid" w:color="000000" w:fill="000000"/>
                <w14:textFill>
                  <w14:solidFill>
                    <w14:srgbClr w14:val="000000">
                      <w14:alpha w14:val="100000"/>
                    </w14:srgbClr>
                  </w14:solidFill>
                </w14:textFill>
              </w:rPr>
              <w:t>|</w:t>
            </w:r>
            <w:r w:rsidRPr="0058641B">
              <w:rPr>
                <w:rFonts w:ascii="Arial Narrow" w:hAnsi="Arial Narrow"/>
                <w:sz w:val="20"/>
              </w:rPr>
              <w:t xml:space="preserve"> (private)</w:t>
            </w:r>
          </w:p>
        </w:tc>
        <w:tc>
          <w:tcPr>
            <w:tcW w:w="1229" w:type="pct"/>
            <w:vMerge/>
          </w:tcPr>
          <w:p w14:paraId="695512F9" w14:textId="77777777" w:rsidR="00D9177C" w:rsidRPr="0058641B" w:rsidRDefault="00D9177C" w:rsidP="008365D3">
            <w:pPr>
              <w:widowControl w:val="0"/>
              <w:jc w:val="center"/>
              <w:rPr>
                <w:rFonts w:ascii="Arial Narrow" w:hAnsi="Arial Narrow"/>
                <w:sz w:val="20"/>
              </w:rPr>
            </w:pPr>
          </w:p>
        </w:tc>
      </w:tr>
    </w:tbl>
    <w:tbl>
      <w:tblPr>
        <w:tblW w:w="5006" w:type="pct"/>
        <w:tblInd w:w="-5" w:type="dxa"/>
        <w:tblLook w:val="0000" w:firstRow="0" w:lastRow="0" w:firstColumn="0" w:lastColumn="0" w:noHBand="0" w:noVBand="0"/>
      </w:tblPr>
      <w:tblGrid>
        <w:gridCol w:w="1844"/>
        <w:gridCol w:w="7184"/>
      </w:tblGrid>
      <w:tr w:rsidR="00D9177C" w:rsidRPr="0058641B" w14:paraId="096C2465"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61BED575" w14:textId="77777777" w:rsidR="00D9177C" w:rsidRPr="0058641B" w:rsidRDefault="00D9177C" w:rsidP="00E11F73">
            <w:pPr>
              <w:widowControl w:val="0"/>
              <w:rPr>
                <w:rFonts w:ascii="Arial Narrow" w:hAnsi="Arial Narrow"/>
                <w:b/>
                <w:sz w:val="20"/>
                <w:szCs w:val="20"/>
              </w:rPr>
            </w:pPr>
            <w:bookmarkStart w:id="10" w:name="_Hlk102143025"/>
            <w:bookmarkEnd w:id="9"/>
            <w:r w:rsidRPr="0058641B">
              <w:rPr>
                <w:rFonts w:ascii="Arial Narrow" w:hAnsi="Arial Narrow"/>
                <w:b/>
                <w:sz w:val="20"/>
                <w:szCs w:val="20"/>
              </w:rPr>
              <w:t>Category / Program</w:t>
            </w:r>
          </w:p>
        </w:tc>
        <w:tc>
          <w:tcPr>
            <w:tcW w:w="3979" w:type="pct"/>
            <w:tcBorders>
              <w:top w:val="single" w:sz="4" w:space="0" w:color="auto"/>
              <w:left w:val="single" w:sz="4" w:space="0" w:color="auto"/>
              <w:bottom w:val="single" w:sz="4" w:space="0" w:color="auto"/>
              <w:right w:val="single" w:sz="4" w:space="0" w:color="auto"/>
            </w:tcBorders>
          </w:tcPr>
          <w:p w14:paraId="710FCC55"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Section 100 – Efficient funding of Chemotherapy</w:t>
            </w:r>
          </w:p>
          <w:p w14:paraId="061EC920"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Private Hospital/Private Clinic Authority Required</w:t>
            </w:r>
          </w:p>
          <w:p w14:paraId="661687FF"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Public Hospital Authority Required</w:t>
            </w:r>
          </w:p>
        </w:tc>
      </w:tr>
      <w:tr w:rsidR="00D9177C" w:rsidRPr="0058641B" w14:paraId="01A8F037" w14:textId="77777777" w:rsidTr="00EA56B9">
        <w:trPr>
          <w:cantSplit/>
          <w:trHeight w:val="111"/>
        </w:trPr>
        <w:tc>
          <w:tcPr>
            <w:tcW w:w="1021" w:type="pct"/>
            <w:tcBorders>
              <w:top w:val="single" w:sz="4" w:space="0" w:color="auto"/>
              <w:left w:val="single" w:sz="4" w:space="0" w:color="auto"/>
              <w:bottom w:val="single" w:sz="4" w:space="0" w:color="auto"/>
              <w:right w:val="single" w:sz="4" w:space="0" w:color="auto"/>
            </w:tcBorders>
          </w:tcPr>
          <w:p w14:paraId="14BCF99B"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Prescriber type:</w:t>
            </w:r>
          </w:p>
        </w:tc>
        <w:tc>
          <w:tcPr>
            <w:tcW w:w="3979" w:type="pct"/>
            <w:tcBorders>
              <w:top w:val="single" w:sz="4" w:space="0" w:color="auto"/>
              <w:left w:val="single" w:sz="4" w:space="0" w:color="auto"/>
              <w:bottom w:val="single" w:sz="4" w:space="0" w:color="auto"/>
              <w:right w:val="single" w:sz="4" w:space="0" w:color="auto"/>
            </w:tcBorders>
          </w:tcPr>
          <w:p w14:paraId="60C85D1C" w14:textId="10613B7F"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fldChar w:fldCharType="begin">
                <w:ffData>
                  <w:name w:val="Check1"/>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 xml:space="preserve">Dental  </w:t>
            </w:r>
            <w:r w:rsidRPr="0058641B">
              <w:rPr>
                <w:rFonts w:ascii="Arial Narrow" w:hAnsi="Arial Narrow"/>
                <w:sz w:val="20"/>
                <w:szCs w:val="20"/>
              </w:rPr>
              <w:fldChar w:fldCharType="begin">
                <w:ffData>
                  <w:name w:val=""/>
                  <w:enabled/>
                  <w:calcOnExit w:val="0"/>
                  <w:checkBox>
                    <w:sizeAuto/>
                    <w:default w:val="1"/>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 xml:space="preserve">Medical Practitioners  </w:t>
            </w:r>
            <w:r w:rsidRPr="0058641B">
              <w:rPr>
                <w:rFonts w:ascii="Arial Narrow" w:hAnsi="Arial Narrow"/>
                <w:sz w:val="20"/>
                <w:szCs w:val="20"/>
              </w:rPr>
              <w:fldChar w:fldCharType="begin">
                <w:ffData>
                  <w:name w:val="Check3"/>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 xml:space="preserve">Nurse practitioners  </w:t>
            </w:r>
            <w:r w:rsidRPr="0058641B">
              <w:rPr>
                <w:rFonts w:ascii="Arial Narrow" w:hAnsi="Arial Narrow"/>
                <w:sz w:val="20"/>
                <w:szCs w:val="20"/>
              </w:rPr>
              <w:fldChar w:fldCharType="begin">
                <w:ffData>
                  <w:name w:val=""/>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Optometrists</w:t>
            </w:r>
            <w:r w:rsidR="00EA56B9">
              <w:rPr>
                <w:rFonts w:ascii="Arial Narrow" w:hAnsi="Arial Narrow"/>
                <w:sz w:val="20"/>
                <w:szCs w:val="20"/>
              </w:rPr>
              <w:t xml:space="preserve"> </w:t>
            </w:r>
            <w:r w:rsidRPr="0058641B">
              <w:rPr>
                <w:rFonts w:ascii="Arial Narrow" w:hAnsi="Arial Narrow"/>
                <w:sz w:val="20"/>
                <w:szCs w:val="20"/>
              </w:rPr>
              <w:fldChar w:fldCharType="begin">
                <w:ffData>
                  <w:name w:val="Check5"/>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Midwives</w:t>
            </w:r>
          </w:p>
        </w:tc>
      </w:tr>
      <w:tr w:rsidR="00D9177C" w:rsidRPr="0058641B" w14:paraId="279281BB" w14:textId="77777777" w:rsidTr="00EA56B9">
        <w:trPr>
          <w:cantSplit/>
          <w:trHeight w:val="218"/>
        </w:trPr>
        <w:tc>
          <w:tcPr>
            <w:tcW w:w="1021" w:type="pct"/>
            <w:tcBorders>
              <w:top w:val="single" w:sz="4" w:space="0" w:color="auto"/>
              <w:left w:val="single" w:sz="4" w:space="0" w:color="auto"/>
              <w:bottom w:val="single" w:sz="4" w:space="0" w:color="auto"/>
              <w:right w:val="single" w:sz="4" w:space="0" w:color="auto"/>
            </w:tcBorders>
          </w:tcPr>
          <w:p w14:paraId="491416D1"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Severity:</w:t>
            </w:r>
          </w:p>
        </w:tc>
        <w:tc>
          <w:tcPr>
            <w:tcW w:w="3979" w:type="pct"/>
            <w:tcBorders>
              <w:top w:val="single" w:sz="4" w:space="0" w:color="auto"/>
              <w:left w:val="single" w:sz="4" w:space="0" w:color="auto"/>
              <w:bottom w:val="single" w:sz="4" w:space="0" w:color="auto"/>
              <w:right w:val="single" w:sz="4" w:space="0" w:color="auto"/>
            </w:tcBorders>
          </w:tcPr>
          <w:p w14:paraId="22BC298B" w14:textId="497D2F9C" w:rsidR="00D9177C" w:rsidRPr="0058641B" w:rsidRDefault="00D9177C" w:rsidP="00E11F73">
            <w:pPr>
              <w:widowControl w:val="0"/>
              <w:rPr>
                <w:rFonts w:ascii="Arial Narrow" w:hAnsi="Arial Narrow"/>
                <w:i/>
                <w:sz w:val="20"/>
                <w:szCs w:val="20"/>
              </w:rPr>
            </w:pPr>
            <w:r w:rsidRPr="0058641B">
              <w:rPr>
                <w:rFonts w:ascii="Arial Narrow" w:hAnsi="Arial Narrow"/>
                <w:sz w:val="20"/>
                <w:szCs w:val="20"/>
              </w:rPr>
              <w:t xml:space="preserve">Resected </w:t>
            </w:r>
            <w:r w:rsidR="00A27D74">
              <w:rPr>
                <w:rFonts w:ascii="Arial Narrow" w:hAnsi="Arial Narrow"/>
                <w:i/>
                <w:iCs/>
                <w:sz w:val="20"/>
                <w:szCs w:val="20"/>
              </w:rPr>
              <w:t xml:space="preserve">early </w:t>
            </w:r>
            <w:r w:rsidRPr="0058641B">
              <w:rPr>
                <w:rFonts w:ascii="Arial Narrow" w:hAnsi="Arial Narrow"/>
                <w:sz w:val="20"/>
                <w:szCs w:val="20"/>
              </w:rPr>
              <w:t xml:space="preserve">stage </w:t>
            </w:r>
            <w:r w:rsidR="00A27D74">
              <w:rPr>
                <w:rFonts w:ascii="Arial Narrow" w:hAnsi="Arial Narrow"/>
                <w:sz w:val="20"/>
                <w:szCs w:val="20"/>
              </w:rPr>
              <w:t xml:space="preserve">(Stage II to IIIA) </w:t>
            </w:r>
            <w:r w:rsidRPr="00A27D74">
              <w:rPr>
                <w:rFonts w:ascii="Arial Narrow" w:hAnsi="Arial Narrow"/>
                <w:strike/>
                <w:sz w:val="20"/>
                <w:szCs w:val="20"/>
              </w:rPr>
              <w:t>II-IIIA</w:t>
            </w:r>
          </w:p>
        </w:tc>
      </w:tr>
      <w:tr w:rsidR="00D9177C" w:rsidRPr="0058641B" w14:paraId="0FF9ACA2" w14:textId="77777777" w:rsidTr="00EA56B9">
        <w:trPr>
          <w:cantSplit/>
          <w:trHeight w:val="123"/>
        </w:trPr>
        <w:tc>
          <w:tcPr>
            <w:tcW w:w="1021" w:type="pct"/>
            <w:tcBorders>
              <w:top w:val="single" w:sz="4" w:space="0" w:color="auto"/>
              <w:left w:val="single" w:sz="4" w:space="0" w:color="auto"/>
              <w:bottom w:val="single" w:sz="4" w:space="0" w:color="auto"/>
              <w:right w:val="single" w:sz="4" w:space="0" w:color="auto"/>
            </w:tcBorders>
          </w:tcPr>
          <w:p w14:paraId="3A879A4E"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Condition:</w:t>
            </w:r>
          </w:p>
        </w:tc>
        <w:tc>
          <w:tcPr>
            <w:tcW w:w="3979" w:type="pct"/>
            <w:tcBorders>
              <w:top w:val="single" w:sz="4" w:space="0" w:color="auto"/>
              <w:left w:val="single" w:sz="4" w:space="0" w:color="auto"/>
              <w:bottom w:val="single" w:sz="4" w:space="0" w:color="auto"/>
              <w:right w:val="single" w:sz="4" w:space="0" w:color="auto"/>
            </w:tcBorders>
          </w:tcPr>
          <w:p w14:paraId="7F378517"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 xml:space="preserve">Non-small cell lung cancer </w:t>
            </w:r>
            <w:r w:rsidRPr="00A27D74">
              <w:rPr>
                <w:rFonts w:ascii="Arial Narrow" w:hAnsi="Arial Narrow"/>
                <w:strike/>
                <w:sz w:val="20"/>
                <w:szCs w:val="20"/>
              </w:rPr>
              <w:t>(NSCLC)</w:t>
            </w:r>
          </w:p>
        </w:tc>
      </w:tr>
      <w:tr w:rsidR="00D9177C" w:rsidRPr="0058641B" w14:paraId="26C1513D" w14:textId="77777777" w:rsidTr="00EA56B9">
        <w:trPr>
          <w:cantSplit/>
          <w:trHeight w:val="185"/>
        </w:trPr>
        <w:tc>
          <w:tcPr>
            <w:tcW w:w="1021" w:type="pct"/>
            <w:tcBorders>
              <w:top w:val="single" w:sz="4" w:space="0" w:color="auto"/>
              <w:left w:val="single" w:sz="4" w:space="0" w:color="auto"/>
              <w:bottom w:val="single" w:sz="4" w:space="0" w:color="auto"/>
              <w:right w:val="single" w:sz="4" w:space="0" w:color="auto"/>
            </w:tcBorders>
          </w:tcPr>
          <w:p w14:paraId="78607E44"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lastRenderedPageBreak/>
              <w:t>PBS Indication:</w:t>
            </w:r>
          </w:p>
        </w:tc>
        <w:tc>
          <w:tcPr>
            <w:tcW w:w="3979" w:type="pct"/>
            <w:tcBorders>
              <w:top w:val="single" w:sz="4" w:space="0" w:color="auto"/>
              <w:left w:val="single" w:sz="4" w:space="0" w:color="auto"/>
              <w:bottom w:val="single" w:sz="4" w:space="0" w:color="auto"/>
              <w:right w:val="single" w:sz="4" w:space="0" w:color="auto"/>
            </w:tcBorders>
          </w:tcPr>
          <w:p w14:paraId="28D8F87B" w14:textId="6A72EB58"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 xml:space="preserve">Resected </w:t>
            </w:r>
            <w:r w:rsidR="00A27D74" w:rsidRPr="00A27D74">
              <w:rPr>
                <w:rFonts w:ascii="Arial Narrow" w:hAnsi="Arial Narrow"/>
                <w:i/>
                <w:iCs/>
                <w:sz w:val="20"/>
                <w:szCs w:val="20"/>
              </w:rPr>
              <w:t>early stage (Stage II to IIIA) non-small cell lung cancer</w:t>
            </w:r>
            <w:r w:rsidR="00A27D74" w:rsidRPr="00A27D74">
              <w:rPr>
                <w:rFonts w:ascii="Arial Narrow" w:hAnsi="Arial Narrow"/>
                <w:sz w:val="20"/>
                <w:szCs w:val="20"/>
              </w:rPr>
              <w:t xml:space="preserve"> </w:t>
            </w:r>
            <w:r w:rsidRPr="00A27D74">
              <w:rPr>
                <w:rFonts w:ascii="Arial Narrow" w:hAnsi="Arial Narrow"/>
                <w:strike/>
                <w:sz w:val="20"/>
                <w:szCs w:val="20"/>
              </w:rPr>
              <w:t>stage II-IIIA NSCLC</w:t>
            </w:r>
          </w:p>
        </w:tc>
      </w:tr>
      <w:tr w:rsidR="00D9177C" w:rsidRPr="0058641B" w14:paraId="60FEE4DA" w14:textId="77777777" w:rsidTr="00EA56B9">
        <w:trPr>
          <w:cantSplit/>
          <w:trHeight w:val="92"/>
        </w:trPr>
        <w:tc>
          <w:tcPr>
            <w:tcW w:w="1021" w:type="pct"/>
            <w:tcBorders>
              <w:top w:val="single" w:sz="4" w:space="0" w:color="auto"/>
              <w:left w:val="single" w:sz="4" w:space="0" w:color="auto"/>
              <w:bottom w:val="single" w:sz="4" w:space="0" w:color="auto"/>
              <w:right w:val="single" w:sz="4" w:space="0" w:color="auto"/>
            </w:tcBorders>
          </w:tcPr>
          <w:p w14:paraId="615660BB"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Treatment phase:</w:t>
            </w:r>
          </w:p>
        </w:tc>
        <w:tc>
          <w:tcPr>
            <w:tcW w:w="3979" w:type="pct"/>
            <w:tcBorders>
              <w:top w:val="single" w:sz="4" w:space="0" w:color="auto"/>
              <w:left w:val="single" w:sz="4" w:space="0" w:color="auto"/>
              <w:bottom w:val="single" w:sz="4" w:space="0" w:color="auto"/>
              <w:right w:val="single" w:sz="4" w:space="0" w:color="auto"/>
            </w:tcBorders>
          </w:tcPr>
          <w:p w14:paraId="49C9E264"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Initial treatment</w:t>
            </w:r>
          </w:p>
        </w:tc>
      </w:tr>
      <w:tr w:rsidR="00D9177C" w:rsidRPr="0058641B" w14:paraId="2D38268C"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2D9E66D3"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Restriction:</w:t>
            </w:r>
          </w:p>
          <w:p w14:paraId="30DB6826" w14:textId="77777777" w:rsidR="00D9177C" w:rsidRPr="0058641B" w:rsidRDefault="00D9177C" w:rsidP="00E11F73">
            <w:pPr>
              <w:widowControl w:val="0"/>
              <w:rPr>
                <w:rFonts w:ascii="Arial Narrow" w:hAnsi="Arial Narrow"/>
                <w:sz w:val="20"/>
                <w:szCs w:val="20"/>
              </w:rPr>
            </w:pPr>
          </w:p>
        </w:tc>
        <w:tc>
          <w:tcPr>
            <w:tcW w:w="3979" w:type="pct"/>
            <w:tcBorders>
              <w:top w:val="single" w:sz="4" w:space="0" w:color="auto"/>
              <w:left w:val="single" w:sz="4" w:space="0" w:color="auto"/>
              <w:bottom w:val="single" w:sz="4" w:space="0" w:color="auto"/>
              <w:right w:val="single" w:sz="4" w:space="0" w:color="auto"/>
            </w:tcBorders>
          </w:tcPr>
          <w:p w14:paraId="6C3735D2"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fldChar w:fldCharType="begin">
                <w:ffData>
                  <w:name w:val="Check1"/>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Restricted benefit</w:t>
            </w:r>
          </w:p>
          <w:p w14:paraId="1D18A616"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fldChar w:fldCharType="begin">
                <w:ffData>
                  <w:name w:val=""/>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Authority Required - In Writing</w:t>
            </w:r>
          </w:p>
          <w:p w14:paraId="55A869F1"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fldChar w:fldCharType="begin">
                <w:ffData>
                  <w:name w:val="Check3"/>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Authority Required – Telephone/Electronic/Emergency</w:t>
            </w:r>
          </w:p>
          <w:p w14:paraId="38F5151F" w14:textId="77777777"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fldChar w:fldCharType="begin">
                <w:ffData>
                  <w:name w:val="Check5"/>
                  <w:enabled/>
                  <w:calcOnExit w:val="0"/>
                  <w:checkBox>
                    <w:sizeAuto/>
                    <w:default w:val="1"/>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Streamlined</w:t>
            </w:r>
          </w:p>
        </w:tc>
      </w:tr>
      <w:tr w:rsidR="00D9177C" w:rsidRPr="0058641B" w14:paraId="6EDDD811"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5E2B8BFE" w14:textId="77777777" w:rsidR="00D9177C" w:rsidRPr="0058641B" w:rsidRDefault="00D9177C" w:rsidP="00E11F73">
            <w:pPr>
              <w:widowControl w:val="0"/>
              <w:rPr>
                <w:rFonts w:ascii="Arial Narrow" w:hAnsi="Arial Narrow"/>
                <w:b/>
                <w:sz w:val="20"/>
                <w:szCs w:val="20"/>
              </w:rPr>
            </w:pPr>
            <w:r w:rsidRPr="0058641B">
              <w:rPr>
                <w:rFonts w:ascii="Arial Narrow" w:hAnsi="Arial Narrow"/>
                <w:b/>
                <w:sz w:val="20"/>
                <w:szCs w:val="20"/>
              </w:rPr>
              <w:t>Clinical criteria:</w:t>
            </w:r>
          </w:p>
        </w:tc>
        <w:tc>
          <w:tcPr>
            <w:tcW w:w="3979" w:type="pct"/>
            <w:tcBorders>
              <w:top w:val="single" w:sz="4" w:space="0" w:color="auto"/>
              <w:left w:val="single" w:sz="4" w:space="0" w:color="auto"/>
              <w:bottom w:val="single" w:sz="4" w:space="0" w:color="auto"/>
              <w:right w:val="single" w:sz="4" w:space="0" w:color="auto"/>
            </w:tcBorders>
          </w:tcPr>
          <w:p w14:paraId="4563DCB0" w14:textId="055D1996" w:rsidR="000C361B" w:rsidRPr="000C361B" w:rsidRDefault="000C361B" w:rsidP="00E11F73">
            <w:pPr>
              <w:widowControl w:val="0"/>
              <w:rPr>
                <w:rFonts w:ascii="Arial Narrow" w:hAnsi="Arial Narrow"/>
                <w:i/>
                <w:iCs/>
                <w:sz w:val="20"/>
                <w:szCs w:val="20"/>
              </w:rPr>
            </w:pPr>
            <w:r w:rsidRPr="000C361B">
              <w:rPr>
                <w:rFonts w:ascii="Arial Narrow" w:hAnsi="Arial Narrow" w:cs="Open Sans"/>
                <w:i/>
                <w:iCs/>
                <w:color w:val="333333"/>
                <w:sz w:val="20"/>
                <w:szCs w:val="20"/>
              </w:rPr>
              <w:t>Patient must not have received prior treatment with a programmed cell death-1 (PD-1) inhibitor or a programmed cell death ligand-1 (PD-L1) inhibitor for non-small cell lung cancer, AND</w:t>
            </w:r>
          </w:p>
          <w:p w14:paraId="47A685E3" w14:textId="61F9C0BC"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The treatment must</w:t>
            </w:r>
            <w:r w:rsidR="00A27D74">
              <w:t xml:space="preserve"> </w:t>
            </w:r>
            <w:r w:rsidR="00A27D74" w:rsidRPr="00A27D74">
              <w:rPr>
                <w:rFonts w:ascii="Arial Narrow" w:hAnsi="Arial Narrow"/>
                <w:i/>
                <w:iCs/>
                <w:sz w:val="20"/>
                <w:szCs w:val="20"/>
              </w:rPr>
              <w:t xml:space="preserve">be for the purpose of adjuvant therapy following all </w:t>
            </w:r>
            <w:proofErr w:type="gramStart"/>
            <w:r w:rsidR="00A27D74" w:rsidRPr="00A27D74">
              <w:rPr>
                <w:rFonts w:ascii="Arial Narrow" w:hAnsi="Arial Narrow"/>
                <w:i/>
                <w:iCs/>
                <w:sz w:val="20"/>
                <w:szCs w:val="20"/>
              </w:rPr>
              <w:t>of:</w:t>
            </w:r>
            <w:proofErr w:type="gramEnd"/>
            <w:r w:rsidR="00A27D74" w:rsidRPr="00A27D74">
              <w:rPr>
                <w:rFonts w:ascii="Arial Narrow" w:hAnsi="Arial Narrow"/>
                <w:sz w:val="20"/>
                <w:szCs w:val="20"/>
              </w:rPr>
              <w:t xml:space="preserve"> </w:t>
            </w:r>
            <w:r w:rsidRPr="0058641B">
              <w:rPr>
                <w:rFonts w:ascii="Arial Narrow" w:hAnsi="Arial Narrow"/>
                <w:sz w:val="20"/>
                <w:szCs w:val="20"/>
              </w:rPr>
              <w:t xml:space="preserve"> </w:t>
            </w:r>
            <w:r w:rsidRPr="00A27D74">
              <w:rPr>
                <w:rFonts w:ascii="Arial Narrow" w:hAnsi="Arial Narrow"/>
                <w:strike/>
                <w:sz w:val="20"/>
                <w:szCs w:val="20"/>
              </w:rPr>
              <w:t>follow complete</w:t>
            </w:r>
            <w:r w:rsidRPr="0058641B">
              <w:rPr>
                <w:rFonts w:ascii="Arial Narrow" w:hAnsi="Arial Narrow"/>
                <w:sz w:val="20"/>
                <w:szCs w:val="20"/>
              </w:rPr>
              <w:t xml:space="preserve"> </w:t>
            </w:r>
            <w:r w:rsidR="00A27D74" w:rsidRPr="00A27D74">
              <w:rPr>
                <w:rFonts w:ascii="Arial Narrow" w:hAnsi="Arial Narrow"/>
                <w:i/>
                <w:iCs/>
                <w:sz w:val="20"/>
                <w:szCs w:val="20"/>
              </w:rPr>
              <w:t>(</w:t>
            </w:r>
            <w:proofErr w:type="spellStart"/>
            <w:r w:rsidR="00A27D74" w:rsidRPr="00A27D74">
              <w:rPr>
                <w:rFonts w:ascii="Arial Narrow" w:hAnsi="Arial Narrow"/>
                <w:i/>
                <w:iCs/>
                <w:sz w:val="20"/>
                <w:szCs w:val="20"/>
              </w:rPr>
              <w:t>i</w:t>
            </w:r>
            <w:proofErr w:type="spellEnd"/>
            <w:r w:rsidR="00A27D74" w:rsidRPr="00A27D74">
              <w:rPr>
                <w:rFonts w:ascii="Arial Narrow" w:hAnsi="Arial Narrow"/>
                <w:i/>
                <w:iCs/>
                <w:sz w:val="20"/>
                <w:szCs w:val="20"/>
              </w:rPr>
              <w:t>)</w:t>
            </w:r>
            <w:r w:rsidR="00A27D74" w:rsidRPr="00A27D74">
              <w:rPr>
                <w:rFonts w:ascii="Arial Narrow" w:hAnsi="Arial Narrow"/>
                <w:sz w:val="20"/>
                <w:szCs w:val="20"/>
              </w:rPr>
              <w:t xml:space="preserve"> </w:t>
            </w:r>
            <w:r w:rsidRPr="0058641B">
              <w:rPr>
                <w:rFonts w:ascii="Arial Narrow" w:hAnsi="Arial Narrow"/>
                <w:sz w:val="20"/>
                <w:szCs w:val="20"/>
              </w:rPr>
              <w:t>surgical resection</w:t>
            </w:r>
            <w:r w:rsidR="00A27D74" w:rsidRPr="00A27D74">
              <w:rPr>
                <w:rFonts w:ascii="Arial Narrow" w:hAnsi="Arial Narrow"/>
                <w:i/>
                <w:iCs/>
                <w:sz w:val="20"/>
                <w:szCs w:val="20"/>
              </w:rPr>
              <w:t>, (ii)</w:t>
            </w:r>
            <w:r w:rsidRPr="0058641B">
              <w:rPr>
                <w:rFonts w:ascii="Arial Narrow" w:hAnsi="Arial Narrow"/>
                <w:sz w:val="20"/>
                <w:szCs w:val="20"/>
              </w:rPr>
              <w:t xml:space="preserve"> </w:t>
            </w:r>
            <w:r w:rsidRPr="00A27D74">
              <w:rPr>
                <w:rFonts w:ascii="Arial Narrow" w:hAnsi="Arial Narrow"/>
                <w:strike/>
                <w:sz w:val="20"/>
                <w:szCs w:val="20"/>
              </w:rPr>
              <w:t>and</w:t>
            </w:r>
            <w:r w:rsidRPr="0058641B">
              <w:rPr>
                <w:rFonts w:ascii="Arial Narrow" w:hAnsi="Arial Narrow"/>
                <w:sz w:val="20"/>
                <w:szCs w:val="20"/>
              </w:rPr>
              <w:t xml:space="preserve"> platinum-based chemotherapy, AND</w:t>
            </w:r>
          </w:p>
          <w:p w14:paraId="5A6B1D8B" w14:textId="6844FC3B"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 xml:space="preserve">Patient must have a WHO performance status of </w:t>
            </w:r>
            <w:r w:rsidR="00A27D74" w:rsidRPr="00A27D74">
              <w:rPr>
                <w:rFonts w:ascii="Arial Narrow" w:hAnsi="Arial Narrow"/>
                <w:i/>
                <w:iCs/>
                <w:sz w:val="20"/>
                <w:szCs w:val="20"/>
              </w:rPr>
              <w:t>0 or 1 prior to initiation of treatment with this drug for this condition</w:t>
            </w:r>
            <w:r w:rsidR="00A27D74" w:rsidRPr="00A27D74">
              <w:rPr>
                <w:rFonts w:ascii="Arial Narrow" w:hAnsi="Arial Narrow"/>
                <w:sz w:val="20"/>
                <w:szCs w:val="20"/>
              </w:rPr>
              <w:t xml:space="preserve"> </w:t>
            </w:r>
            <w:r w:rsidRPr="00A27D74">
              <w:rPr>
                <w:rFonts w:ascii="Arial Narrow" w:hAnsi="Arial Narrow"/>
                <w:strike/>
                <w:sz w:val="20"/>
                <w:szCs w:val="20"/>
              </w:rPr>
              <w:t>1 or less</w:t>
            </w:r>
            <w:r w:rsidRPr="0058641B">
              <w:rPr>
                <w:rFonts w:ascii="Arial Narrow" w:hAnsi="Arial Narrow"/>
                <w:sz w:val="20"/>
                <w:szCs w:val="20"/>
              </w:rPr>
              <w:t>, AND</w:t>
            </w:r>
          </w:p>
          <w:p w14:paraId="5A5953A8" w14:textId="528FCFA6" w:rsidR="00D9177C" w:rsidRPr="0058641B" w:rsidRDefault="00D9177C" w:rsidP="00E11F73">
            <w:pPr>
              <w:widowControl w:val="0"/>
              <w:rPr>
                <w:rFonts w:ascii="Arial Narrow" w:hAnsi="Arial Narrow"/>
                <w:sz w:val="20"/>
                <w:szCs w:val="20"/>
              </w:rPr>
            </w:pPr>
            <w:r w:rsidRPr="0058641B">
              <w:rPr>
                <w:rFonts w:ascii="Arial Narrow" w:hAnsi="Arial Narrow"/>
                <w:sz w:val="20"/>
                <w:szCs w:val="20"/>
              </w:rPr>
              <w:t xml:space="preserve">The condition must </w:t>
            </w:r>
            <w:r w:rsidR="00A27D74" w:rsidRPr="00A27D74">
              <w:rPr>
                <w:rFonts w:ascii="Arial Narrow" w:hAnsi="Arial Narrow"/>
                <w:i/>
                <w:iCs/>
                <w:sz w:val="20"/>
                <w:szCs w:val="20"/>
              </w:rPr>
              <w:t>have, prior to initiating treatment with this drug, an absence of each of the following gene abnormalities confirmed via tumour material sampling: (</w:t>
            </w:r>
            <w:proofErr w:type="spellStart"/>
            <w:r w:rsidR="00A27D74" w:rsidRPr="00A27D74">
              <w:rPr>
                <w:rFonts w:ascii="Arial Narrow" w:hAnsi="Arial Narrow"/>
                <w:i/>
                <w:iCs/>
                <w:sz w:val="20"/>
                <w:szCs w:val="20"/>
              </w:rPr>
              <w:t>i</w:t>
            </w:r>
            <w:proofErr w:type="spellEnd"/>
            <w:r w:rsidR="00A27D74" w:rsidRPr="00A27D74">
              <w:rPr>
                <w:rFonts w:ascii="Arial Narrow" w:hAnsi="Arial Narrow"/>
                <w:i/>
                <w:iCs/>
                <w:sz w:val="20"/>
                <w:szCs w:val="20"/>
              </w:rPr>
              <w:t>) an activating epidermal growth factor receptor (EGFR) gene mutation, (ii) an anaplastic lymphoma kinase (ALK) gene rearrangement</w:t>
            </w:r>
            <w:r w:rsidR="00A27D74" w:rsidRPr="00A27D74">
              <w:rPr>
                <w:rFonts w:ascii="Arial Narrow" w:hAnsi="Arial Narrow"/>
                <w:sz w:val="20"/>
                <w:szCs w:val="20"/>
              </w:rPr>
              <w:t xml:space="preserve"> </w:t>
            </w:r>
            <w:proofErr w:type="gramStart"/>
            <w:r w:rsidRPr="00A27D74">
              <w:rPr>
                <w:rFonts w:ascii="Arial Narrow" w:hAnsi="Arial Narrow"/>
                <w:strike/>
                <w:sz w:val="20"/>
                <w:szCs w:val="20"/>
              </w:rPr>
              <w:t>not have</w:t>
            </w:r>
            <w:proofErr w:type="gramEnd"/>
            <w:r w:rsidRPr="00A27D74">
              <w:rPr>
                <w:rFonts w:ascii="Arial Narrow" w:hAnsi="Arial Narrow"/>
                <w:strike/>
                <w:sz w:val="20"/>
                <w:szCs w:val="20"/>
              </w:rPr>
              <w:t xml:space="preserve"> evidence of an activating </w:t>
            </w:r>
            <w:r w:rsidR="00FD5E15" w:rsidRPr="00A27D74">
              <w:rPr>
                <w:rFonts w:ascii="Arial Narrow" w:hAnsi="Arial Narrow"/>
                <w:strike/>
                <w:sz w:val="20"/>
                <w:szCs w:val="20"/>
              </w:rPr>
              <w:t xml:space="preserve">epidermal </w:t>
            </w:r>
            <w:r w:rsidRPr="00A27D74">
              <w:rPr>
                <w:rFonts w:ascii="Arial Narrow" w:hAnsi="Arial Narrow"/>
                <w:strike/>
                <w:sz w:val="20"/>
                <w:szCs w:val="20"/>
              </w:rPr>
              <w:t>growth factor receptor (EGFR) gene or an anaplastic lymphoma kinase (ALK) gene arrangement in tumour material</w:t>
            </w:r>
            <w:r w:rsidRPr="0058641B">
              <w:rPr>
                <w:rFonts w:ascii="Arial Narrow" w:hAnsi="Arial Narrow"/>
                <w:sz w:val="20"/>
                <w:szCs w:val="20"/>
              </w:rPr>
              <w:t>, AND</w:t>
            </w:r>
          </w:p>
          <w:p w14:paraId="16B4B812" w14:textId="77777777" w:rsidR="00D9177C" w:rsidRDefault="00D9177C" w:rsidP="00E11F73">
            <w:pPr>
              <w:widowControl w:val="0"/>
              <w:rPr>
                <w:rFonts w:ascii="Arial Narrow" w:hAnsi="Arial Narrow"/>
                <w:strike/>
                <w:sz w:val="20"/>
                <w:szCs w:val="20"/>
              </w:rPr>
            </w:pPr>
            <w:r w:rsidRPr="0058641B">
              <w:rPr>
                <w:rFonts w:ascii="Arial Narrow" w:hAnsi="Arial Narrow"/>
                <w:sz w:val="20"/>
                <w:szCs w:val="20"/>
              </w:rPr>
              <w:t xml:space="preserve">The condition must </w:t>
            </w:r>
            <w:r w:rsidR="000C361B" w:rsidRPr="000C361B">
              <w:rPr>
                <w:rFonts w:ascii="Arial Narrow" w:hAnsi="Arial Narrow"/>
                <w:i/>
                <w:iCs/>
                <w:sz w:val="20"/>
                <w:szCs w:val="20"/>
              </w:rPr>
              <w:t>have, prior to initiating treatment with this drug, confirmation of</w:t>
            </w:r>
            <w:r w:rsidR="000C361B">
              <w:rPr>
                <w:rFonts w:ascii="Arial Narrow" w:hAnsi="Arial Narrow"/>
                <w:sz w:val="20"/>
                <w:szCs w:val="20"/>
              </w:rPr>
              <w:t xml:space="preserve"> </w:t>
            </w:r>
            <w:r w:rsidRPr="000C361B">
              <w:rPr>
                <w:rFonts w:ascii="Arial Narrow" w:hAnsi="Arial Narrow"/>
                <w:strike/>
                <w:sz w:val="20"/>
                <w:szCs w:val="20"/>
              </w:rPr>
              <w:t xml:space="preserve">express </w:t>
            </w:r>
            <w:r w:rsidRPr="0058641B">
              <w:rPr>
                <w:rFonts w:ascii="Arial Narrow" w:hAnsi="Arial Narrow"/>
                <w:sz w:val="20"/>
                <w:szCs w:val="20"/>
              </w:rPr>
              <w:t xml:space="preserve">programmed cell death ligand 1 (PD-L1) </w:t>
            </w:r>
            <w:r w:rsidR="000C361B" w:rsidRPr="000C361B">
              <w:rPr>
                <w:rFonts w:ascii="Arial Narrow" w:hAnsi="Arial Narrow" w:cs="Open Sans"/>
                <w:i/>
                <w:iCs/>
                <w:color w:val="333333"/>
                <w:sz w:val="20"/>
                <w:szCs w:val="20"/>
              </w:rPr>
              <w:t>expression</w:t>
            </w:r>
            <w:r w:rsidR="000C361B" w:rsidRPr="000C361B">
              <w:rPr>
                <w:rFonts w:ascii="Arial Narrow" w:hAnsi="Arial Narrow"/>
                <w:i/>
                <w:iCs/>
                <w:sz w:val="20"/>
                <w:szCs w:val="20"/>
              </w:rPr>
              <w:t xml:space="preserve"> on</w:t>
            </w:r>
            <w:r w:rsidR="000C361B">
              <w:rPr>
                <w:rFonts w:ascii="Arial Narrow" w:hAnsi="Arial Narrow"/>
                <w:sz w:val="20"/>
                <w:szCs w:val="20"/>
              </w:rPr>
              <w:t xml:space="preserve"> </w:t>
            </w:r>
            <w:r w:rsidRPr="000C361B">
              <w:rPr>
                <w:rFonts w:ascii="Arial Narrow" w:hAnsi="Arial Narrow"/>
                <w:strike/>
                <w:sz w:val="20"/>
                <w:szCs w:val="20"/>
              </w:rPr>
              <w:t>with a tumour score of</w:t>
            </w:r>
            <w:r w:rsidRPr="0058641B">
              <w:rPr>
                <w:rFonts w:ascii="Arial Narrow" w:hAnsi="Arial Narrow"/>
                <w:sz w:val="20"/>
                <w:szCs w:val="20"/>
              </w:rPr>
              <w:t xml:space="preserve"> at least 1%</w:t>
            </w:r>
            <w:r w:rsidR="009040F5" w:rsidRPr="0058641B">
              <w:rPr>
                <w:rFonts w:ascii="Arial Narrow" w:hAnsi="Arial Narrow"/>
                <w:sz w:val="20"/>
                <w:szCs w:val="20"/>
                <w:vertAlign w:val="superscript"/>
              </w:rPr>
              <w:t>a</w:t>
            </w:r>
            <w:r w:rsidRPr="0058641B">
              <w:rPr>
                <w:rFonts w:ascii="Arial Narrow" w:hAnsi="Arial Narrow"/>
                <w:sz w:val="20"/>
                <w:szCs w:val="20"/>
              </w:rPr>
              <w:t xml:space="preserve"> </w:t>
            </w:r>
            <w:r w:rsidRPr="000C361B">
              <w:rPr>
                <w:rFonts w:ascii="Arial Narrow" w:hAnsi="Arial Narrow"/>
                <w:strike/>
                <w:sz w:val="20"/>
                <w:szCs w:val="20"/>
              </w:rPr>
              <w:t>in the</w:t>
            </w:r>
            <w:r w:rsidRPr="0058641B">
              <w:rPr>
                <w:rFonts w:ascii="Arial Narrow" w:hAnsi="Arial Narrow"/>
                <w:sz w:val="20"/>
                <w:szCs w:val="20"/>
              </w:rPr>
              <w:t xml:space="preserve"> </w:t>
            </w:r>
            <w:r w:rsidR="000C361B" w:rsidRPr="000C361B">
              <w:rPr>
                <w:rFonts w:ascii="Arial Narrow" w:hAnsi="Arial Narrow"/>
                <w:i/>
                <w:iCs/>
                <w:sz w:val="20"/>
                <w:szCs w:val="20"/>
              </w:rPr>
              <w:t>of</w:t>
            </w:r>
            <w:r w:rsidR="000C361B">
              <w:rPr>
                <w:rFonts w:ascii="Arial Narrow" w:hAnsi="Arial Narrow"/>
                <w:sz w:val="20"/>
                <w:szCs w:val="20"/>
              </w:rPr>
              <w:t xml:space="preserve"> </w:t>
            </w:r>
            <w:r w:rsidRPr="0058641B">
              <w:rPr>
                <w:rFonts w:ascii="Arial Narrow" w:hAnsi="Arial Narrow"/>
                <w:sz w:val="20"/>
                <w:szCs w:val="20"/>
              </w:rPr>
              <w:t>tumour</w:t>
            </w:r>
            <w:r w:rsidR="000C361B">
              <w:rPr>
                <w:rFonts w:ascii="Arial Narrow" w:hAnsi="Arial Narrow"/>
                <w:sz w:val="20"/>
                <w:szCs w:val="20"/>
              </w:rPr>
              <w:t xml:space="preserve"> </w:t>
            </w:r>
            <w:r w:rsidR="000C361B" w:rsidRPr="000C361B">
              <w:rPr>
                <w:rFonts w:ascii="Arial Narrow" w:hAnsi="Arial Narrow"/>
                <w:i/>
                <w:iCs/>
                <w:sz w:val="20"/>
                <w:szCs w:val="20"/>
              </w:rPr>
              <w:t>cells</w:t>
            </w:r>
            <w:r w:rsidR="000C361B">
              <w:rPr>
                <w:rFonts w:ascii="Arial Narrow" w:hAnsi="Arial Narrow"/>
                <w:i/>
                <w:iCs/>
                <w:sz w:val="20"/>
                <w:szCs w:val="20"/>
              </w:rPr>
              <w:t>, AND</w:t>
            </w:r>
            <w:r w:rsidRPr="0058641B">
              <w:rPr>
                <w:rFonts w:ascii="Arial Narrow" w:hAnsi="Arial Narrow"/>
                <w:sz w:val="20"/>
                <w:szCs w:val="20"/>
              </w:rPr>
              <w:t xml:space="preserve"> </w:t>
            </w:r>
            <w:r w:rsidRPr="000C361B">
              <w:rPr>
                <w:rFonts w:ascii="Arial Narrow" w:hAnsi="Arial Narrow"/>
                <w:strike/>
                <w:sz w:val="20"/>
                <w:szCs w:val="20"/>
              </w:rPr>
              <w:t>sample</w:t>
            </w:r>
          </w:p>
          <w:p w14:paraId="0D8AADDA" w14:textId="77777777" w:rsidR="000C361B" w:rsidRPr="000C361B" w:rsidRDefault="000C361B" w:rsidP="00E11F73">
            <w:pPr>
              <w:widowControl w:val="0"/>
              <w:rPr>
                <w:rFonts w:ascii="Arial Narrow" w:hAnsi="Arial Narrow" w:cs="Open Sans"/>
                <w:i/>
                <w:iCs/>
                <w:color w:val="333333"/>
                <w:sz w:val="20"/>
                <w:szCs w:val="20"/>
              </w:rPr>
            </w:pPr>
            <w:r w:rsidRPr="000C361B">
              <w:rPr>
                <w:rFonts w:ascii="Arial Narrow" w:hAnsi="Arial Narrow" w:cs="Open Sans"/>
                <w:i/>
                <w:iCs/>
                <w:color w:val="333333"/>
                <w:sz w:val="20"/>
                <w:szCs w:val="20"/>
              </w:rPr>
              <w:t>The condition is each of: (</w:t>
            </w:r>
            <w:proofErr w:type="spellStart"/>
            <w:r w:rsidRPr="000C361B">
              <w:rPr>
                <w:rFonts w:ascii="Arial Narrow" w:hAnsi="Arial Narrow" w:cs="Open Sans"/>
                <w:i/>
                <w:iCs/>
                <w:color w:val="333333"/>
                <w:sz w:val="20"/>
                <w:szCs w:val="20"/>
              </w:rPr>
              <w:t>i</w:t>
            </w:r>
            <w:proofErr w:type="spellEnd"/>
            <w:r w:rsidRPr="000C361B">
              <w:rPr>
                <w:rFonts w:ascii="Arial Narrow" w:hAnsi="Arial Narrow" w:cs="Open Sans"/>
                <w:i/>
                <w:iCs/>
                <w:color w:val="333333"/>
                <w:sz w:val="20"/>
                <w:szCs w:val="20"/>
              </w:rPr>
              <w:t>) untreated with this drug as a PBS-benefit, (ii) yet to experience disease recurrence following the above prior therapies, AND</w:t>
            </w:r>
          </w:p>
          <w:p w14:paraId="2FEB3F08" w14:textId="32626683" w:rsidR="000C361B" w:rsidRPr="0058641B" w:rsidRDefault="000C361B" w:rsidP="00E11F73">
            <w:pPr>
              <w:widowControl w:val="0"/>
              <w:rPr>
                <w:rFonts w:ascii="Arial Narrow" w:hAnsi="Arial Narrow"/>
                <w:strike/>
                <w:sz w:val="20"/>
                <w:szCs w:val="20"/>
                <w:vertAlign w:val="superscript"/>
              </w:rPr>
            </w:pPr>
            <w:r w:rsidRPr="000C361B">
              <w:rPr>
                <w:rFonts w:ascii="Arial Narrow" w:hAnsi="Arial Narrow" w:cs="Open Sans"/>
                <w:i/>
                <w:iCs/>
                <w:color w:val="333333"/>
                <w:sz w:val="20"/>
                <w:szCs w:val="20"/>
              </w:rPr>
              <w:t>The treatment must be the sole PBS-subsidised systemic anti-cancer therapy for this condition</w:t>
            </w:r>
          </w:p>
        </w:tc>
      </w:tr>
      <w:tr w:rsidR="00D9177C" w:rsidRPr="0058641B" w14:paraId="5C5DDDCF"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4FB6ECED"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Treatment criteria</w:t>
            </w:r>
          </w:p>
        </w:tc>
        <w:tc>
          <w:tcPr>
            <w:tcW w:w="3979" w:type="pct"/>
            <w:tcBorders>
              <w:top w:val="single" w:sz="4" w:space="0" w:color="auto"/>
              <w:left w:val="single" w:sz="4" w:space="0" w:color="auto"/>
              <w:bottom w:val="single" w:sz="4" w:space="0" w:color="auto"/>
              <w:right w:val="single" w:sz="4" w:space="0" w:color="auto"/>
            </w:tcBorders>
          </w:tcPr>
          <w:p w14:paraId="37AC178A" w14:textId="77777777" w:rsidR="00D9177C" w:rsidRPr="000C361B" w:rsidRDefault="00D9177C" w:rsidP="00E11F73">
            <w:pPr>
              <w:keepLines/>
              <w:rPr>
                <w:rFonts w:ascii="Arial Narrow" w:hAnsi="Arial Narrow"/>
                <w:strike/>
                <w:sz w:val="20"/>
                <w:szCs w:val="20"/>
              </w:rPr>
            </w:pPr>
            <w:r w:rsidRPr="000C361B">
              <w:rPr>
                <w:rFonts w:ascii="Arial Narrow" w:hAnsi="Arial Narrow"/>
                <w:strike/>
                <w:sz w:val="20"/>
                <w:szCs w:val="20"/>
              </w:rPr>
              <w:t>The treatment must be as monotherapy, AND</w:t>
            </w:r>
          </w:p>
          <w:p w14:paraId="1737C107" w14:textId="77777777" w:rsidR="00D9177C" w:rsidRPr="000C361B" w:rsidRDefault="00D9177C" w:rsidP="00E11F73">
            <w:pPr>
              <w:keepLines/>
              <w:rPr>
                <w:rFonts w:ascii="Arial Narrow" w:hAnsi="Arial Narrow"/>
                <w:strike/>
                <w:sz w:val="20"/>
                <w:szCs w:val="20"/>
              </w:rPr>
            </w:pPr>
            <w:r w:rsidRPr="000C361B">
              <w:rPr>
                <w:rFonts w:ascii="Arial Narrow" w:hAnsi="Arial Narrow"/>
                <w:strike/>
                <w:sz w:val="20"/>
                <w:szCs w:val="20"/>
              </w:rPr>
              <w:t>Patient must not have experienced disease recurrence</w:t>
            </w:r>
          </w:p>
          <w:p w14:paraId="600FE1FF" w14:textId="50F4F944" w:rsidR="000C361B" w:rsidRPr="000C361B" w:rsidRDefault="000C361B" w:rsidP="00E11F73">
            <w:pPr>
              <w:keepLines/>
              <w:rPr>
                <w:rFonts w:ascii="Arial Narrow" w:hAnsi="Arial Narrow"/>
                <w:i/>
                <w:iCs/>
                <w:sz w:val="20"/>
                <w:szCs w:val="20"/>
              </w:rPr>
            </w:pPr>
            <w:r w:rsidRPr="000C361B">
              <w:rPr>
                <w:rFonts w:ascii="Arial Narrow" w:hAnsi="Arial Narrow" w:cs="Open Sans"/>
                <w:i/>
                <w:iCs/>
                <w:color w:val="333333"/>
                <w:sz w:val="20"/>
                <w:szCs w:val="20"/>
              </w:rPr>
              <w:t>Patient must be undergoing treatment with this drug at a dosing regimen (dose plus frequency) specified in this drug’s approved Australian Product Information</w:t>
            </w:r>
          </w:p>
        </w:tc>
      </w:tr>
      <w:tr w:rsidR="00D9177C" w:rsidRPr="0058641B" w14:paraId="0D19C08F" w14:textId="77777777" w:rsidTr="00EA56B9">
        <w:trPr>
          <w:cantSplit/>
          <w:trHeight w:val="164"/>
        </w:trPr>
        <w:tc>
          <w:tcPr>
            <w:tcW w:w="1021" w:type="pct"/>
            <w:tcBorders>
              <w:top w:val="single" w:sz="4" w:space="0" w:color="auto"/>
              <w:left w:val="single" w:sz="4" w:space="0" w:color="auto"/>
              <w:bottom w:val="single" w:sz="4" w:space="0" w:color="auto"/>
              <w:right w:val="single" w:sz="4" w:space="0" w:color="auto"/>
            </w:tcBorders>
          </w:tcPr>
          <w:p w14:paraId="181336CD"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Administrative advice</w:t>
            </w:r>
          </w:p>
        </w:tc>
        <w:tc>
          <w:tcPr>
            <w:tcW w:w="3979" w:type="pct"/>
            <w:tcBorders>
              <w:top w:val="single" w:sz="4" w:space="0" w:color="auto"/>
              <w:left w:val="single" w:sz="4" w:space="0" w:color="auto"/>
              <w:bottom w:val="single" w:sz="4" w:space="0" w:color="auto"/>
              <w:right w:val="single" w:sz="4" w:space="0" w:color="auto"/>
            </w:tcBorders>
          </w:tcPr>
          <w:p w14:paraId="342A1FD4" w14:textId="77777777" w:rsidR="00D9177C" w:rsidRPr="000C361B" w:rsidRDefault="00D9177C" w:rsidP="00E11F73">
            <w:pPr>
              <w:keepLines/>
              <w:rPr>
                <w:rFonts w:ascii="Arial Narrow" w:hAnsi="Arial Narrow"/>
                <w:strike/>
                <w:sz w:val="20"/>
                <w:szCs w:val="20"/>
              </w:rPr>
            </w:pPr>
            <w:r w:rsidRPr="000C361B">
              <w:rPr>
                <w:rFonts w:ascii="Arial Narrow" w:hAnsi="Arial Narrow"/>
                <w:strike/>
                <w:sz w:val="20"/>
                <w:szCs w:val="20"/>
              </w:rPr>
              <w:t>No increase in the maximum quantity or number of units may be authorised.</w:t>
            </w:r>
          </w:p>
          <w:p w14:paraId="4F13DB2F"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No increase in the maximum number of repeats may be authorised</w:t>
            </w:r>
          </w:p>
          <w:p w14:paraId="47CC8BBE"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Special Pricing Arrangements apply.</w:t>
            </w:r>
          </w:p>
        </w:tc>
      </w:tr>
      <w:tr w:rsidR="00D9177C" w:rsidRPr="0058641B" w14:paraId="61512B36"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2FFCDAD5"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Category / Program</w:t>
            </w:r>
          </w:p>
        </w:tc>
        <w:tc>
          <w:tcPr>
            <w:tcW w:w="3979" w:type="pct"/>
            <w:tcBorders>
              <w:top w:val="single" w:sz="4" w:space="0" w:color="auto"/>
              <w:left w:val="single" w:sz="4" w:space="0" w:color="auto"/>
              <w:bottom w:val="single" w:sz="4" w:space="0" w:color="auto"/>
              <w:right w:val="single" w:sz="4" w:space="0" w:color="auto"/>
            </w:tcBorders>
          </w:tcPr>
          <w:p w14:paraId="1263EFA7"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Section 100 – Efficient funding of Chemotherapy</w:t>
            </w:r>
          </w:p>
          <w:p w14:paraId="1EED9E14"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Private Hospital/Private Clinic Authority Required</w:t>
            </w:r>
          </w:p>
          <w:p w14:paraId="1CD638E3"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Public Hospital Authority Required</w:t>
            </w:r>
          </w:p>
        </w:tc>
      </w:tr>
      <w:tr w:rsidR="00D9177C" w:rsidRPr="0058641B" w14:paraId="315BDD1E" w14:textId="77777777" w:rsidTr="00EA56B9">
        <w:trPr>
          <w:cantSplit/>
          <w:trHeight w:val="60"/>
        </w:trPr>
        <w:tc>
          <w:tcPr>
            <w:tcW w:w="1021" w:type="pct"/>
            <w:tcBorders>
              <w:top w:val="single" w:sz="4" w:space="0" w:color="auto"/>
              <w:left w:val="single" w:sz="4" w:space="0" w:color="auto"/>
              <w:bottom w:val="single" w:sz="4" w:space="0" w:color="auto"/>
              <w:right w:val="single" w:sz="4" w:space="0" w:color="auto"/>
            </w:tcBorders>
          </w:tcPr>
          <w:p w14:paraId="01F3B327"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Severity:</w:t>
            </w:r>
          </w:p>
        </w:tc>
        <w:tc>
          <w:tcPr>
            <w:tcW w:w="3979" w:type="pct"/>
            <w:tcBorders>
              <w:top w:val="single" w:sz="4" w:space="0" w:color="auto"/>
              <w:left w:val="single" w:sz="4" w:space="0" w:color="auto"/>
              <w:bottom w:val="single" w:sz="4" w:space="0" w:color="auto"/>
              <w:right w:val="single" w:sz="4" w:space="0" w:color="auto"/>
            </w:tcBorders>
          </w:tcPr>
          <w:p w14:paraId="7D2C8E4B" w14:textId="3E2B612F" w:rsidR="00D9177C" w:rsidRPr="0058641B" w:rsidRDefault="00D9177C" w:rsidP="00E11F73">
            <w:pPr>
              <w:keepLines/>
              <w:rPr>
                <w:rFonts w:ascii="Arial Narrow" w:hAnsi="Arial Narrow"/>
                <w:i/>
                <w:sz w:val="20"/>
                <w:szCs w:val="20"/>
              </w:rPr>
            </w:pPr>
            <w:r w:rsidRPr="0058641B">
              <w:rPr>
                <w:rFonts w:ascii="Arial Narrow" w:hAnsi="Arial Narrow"/>
                <w:sz w:val="20"/>
                <w:szCs w:val="20"/>
              </w:rPr>
              <w:t xml:space="preserve">Resected </w:t>
            </w:r>
            <w:r w:rsidR="000C361B">
              <w:rPr>
                <w:rFonts w:ascii="Arial Narrow" w:hAnsi="Arial Narrow"/>
                <w:i/>
                <w:iCs/>
                <w:sz w:val="20"/>
                <w:szCs w:val="20"/>
              </w:rPr>
              <w:t xml:space="preserve">early </w:t>
            </w:r>
            <w:r w:rsidR="000C361B" w:rsidRPr="0058641B">
              <w:rPr>
                <w:rFonts w:ascii="Arial Narrow" w:hAnsi="Arial Narrow"/>
                <w:sz w:val="20"/>
                <w:szCs w:val="20"/>
              </w:rPr>
              <w:t xml:space="preserve">stage </w:t>
            </w:r>
            <w:r w:rsidR="000C361B">
              <w:rPr>
                <w:rFonts w:ascii="Arial Narrow" w:hAnsi="Arial Narrow"/>
                <w:sz w:val="20"/>
                <w:szCs w:val="20"/>
              </w:rPr>
              <w:t xml:space="preserve">(Stage II to IIIA) </w:t>
            </w:r>
            <w:r w:rsidR="000C361B" w:rsidRPr="00A27D74">
              <w:rPr>
                <w:rFonts w:ascii="Arial Narrow" w:hAnsi="Arial Narrow"/>
                <w:strike/>
                <w:sz w:val="20"/>
                <w:szCs w:val="20"/>
              </w:rPr>
              <w:t>II-IIIA</w:t>
            </w:r>
          </w:p>
        </w:tc>
      </w:tr>
      <w:tr w:rsidR="00D9177C" w:rsidRPr="0058641B" w14:paraId="0C1F0555" w14:textId="77777777" w:rsidTr="00EA56B9">
        <w:trPr>
          <w:cantSplit/>
          <w:trHeight w:val="60"/>
        </w:trPr>
        <w:tc>
          <w:tcPr>
            <w:tcW w:w="1021" w:type="pct"/>
            <w:tcBorders>
              <w:top w:val="single" w:sz="4" w:space="0" w:color="auto"/>
              <w:left w:val="single" w:sz="4" w:space="0" w:color="auto"/>
              <w:bottom w:val="single" w:sz="4" w:space="0" w:color="auto"/>
              <w:right w:val="single" w:sz="4" w:space="0" w:color="auto"/>
            </w:tcBorders>
          </w:tcPr>
          <w:p w14:paraId="2C3E9AD8"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Condition:</w:t>
            </w:r>
          </w:p>
        </w:tc>
        <w:tc>
          <w:tcPr>
            <w:tcW w:w="3979" w:type="pct"/>
            <w:tcBorders>
              <w:top w:val="single" w:sz="4" w:space="0" w:color="auto"/>
              <w:left w:val="single" w:sz="4" w:space="0" w:color="auto"/>
              <w:bottom w:val="single" w:sz="4" w:space="0" w:color="auto"/>
              <w:right w:val="single" w:sz="4" w:space="0" w:color="auto"/>
            </w:tcBorders>
          </w:tcPr>
          <w:p w14:paraId="78C72D3A"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t xml:space="preserve">Non-small cell lung cancer </w:t>
            </w:r>
            <w:r w:rsidRPr="000C361B">
              <w:rPr>
                <w:rFonts w:ascii="Arial Narrow" w:hAnsi="Arial Narrow"/>
                <w:strike/>
                <w:sz w:val="20"/>
                <w:szCs w:val="20"/>
              </w:rPr>
              <w:t>(NSCLC)</w:t>
            </w:r>
          </w:p>
        </w:tc>
      </w:tr>
      <w:tr w:rsidR="00D9177C" w:rsidRPr="0058641B" w14:paraId="271ADB7A" w14:textId="77777777" w:rsidTr="00EA56B9">
        <w:trPr>
          <w:cantSplit/>
          <w:trHeight w:val="60"/>
        </w:trPr>
        <w:tc>
          <w:tcPr>
            <w:tcW w:w="1021" w:type="pct"/>
            <w:tcBorders>
              <w:top w:val="single" w:sz="4" w:space="0" w:color="auto"/>
              <w:left w:val="single" w:sz="4" w:space="0" w:color="auto"/>
              <w:bottom w:val="single" w:sz="4" w:space="0" w:color="auto"/>
              <w:right w:val="single" w:sz="4" w:space="0" w:color="auto"/>
            </w:tcBorders>
          </w:tcPr>
          <w:p w14:paraId="1D1C39B7"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PBS Indication:</w:t>
            </w:r>
          </w:p>
        </w:tc>
        <w:tc>
          <w:tcPr>
            <w:tcW w:w="3979" w:type="pct"/>
            <w:tcBorders>
              <w:top w:val="single" w:sz="4" w:space="0" w:color="auto"/>
              <w:left w:val="single" w:sz="4" w:space="0" w:color="auto"/>
              <w:bottom w:val="single" w:sz="4" w:space="0" w:color="auto"/>
              <w:right w:val="single" w:sz="4" w:space="0" w:color="auto"/>
            </w:tcBorders>
          </w:tcPr>
          <w:p w14:paraId="5EDEDEEC" w14:textId="44B5709A" w:rsidR="00D9177C" w:rsidRPr="0058641B" w:rsidRDefault="00D9177C" w:rsidP="00E11F73">
            <w:pPr>
              <w:keepLines/>
              <w:rPr>
                <w:rFonts w:ascii="Arial Narrow" w:hAnsi="Arial Narrow"/>
                <w:sz w:val="20"/>
                <w:szCs w:val="20"/>
              </w:rPr>
            </w:pPr>
            <w:r w:rsidRPr="0058641B">
              <w:rPr>
                <w:rFonts w:ascii="Arial Narrow" w:hAnsi="Arial Narrow"/>
                <w:sz w:val="20"/>
                <w:szCs w:val="20"/>
              </w:rPr>
              <w:t xml:space="preserve">Resected </w:t>
            </w:r>
            <w:r w:rsidR="000C361B" w:rsidRPr="000C361B">
              <w:rPr>
                <w:rFonts w:ascii="Arial Narrow" w:hAnsi="Arial Narrow"/>
                <w:i/>
                <w:iCs/>
                <w:sz w:val="20"/>
                <w:szCs w:val="20"/>
              </w:rPr>
              <w:t>early stage (Stage II to IIIA) non-small cell lung cancer</w:t>
            </w:r>
            <w:r w:rsidR="000C361B" w:rsidRPr="000C361B">
              <w:rPr>
                <w:rFonts w:ascii="Arial Narrow" w:hAnsi="Arial Narrow"/>
                <w:sz w:val="20"/>
                <w:szCs w:val="20"/>
              </w:rPr>
              <w:t xml:space="preserve"> </w:t>
            </w:r>
            <w:r w:rsidRPr="000C361B">
              <w:rPr>
                <w:rFonts w:ascii="Arial Narrow" w:hAnsi="Arial Narrow"/>
                <w:strike/>
                <w:sz w:val="20"/>
                <w:szCs w:val="20"/>
              </w:rPr>
              <w:t>stage II-IIIA NSCLC</w:t>
            </w:r>
          </w:p>
        </w:tc>
      </w:tr>
      <w:tr w:rsidR="00D9177C" w:rsidRPr="0058641B" w14:paraId="3E9EA1CB" w14:textId="77777777" w:rsidTr="00EA56B9">
        <w:trPr>
          <w:cantSplit/>
          <w:trHeight w:val="114"/>
        </w:trPr>
        <w:tc>
          <w:tcPr>
            <w:tcW w:w="1021" w:type="pct"/>
            <w:tcBorders>
              <w:top w:val="single" w:sz="4" w:space="0" w:color="auto"/>
              <w:left w:val="single" w:sz="4" w:space="0" w:color="auto"/>
              <w:bottom w:val="single" w:sz="4" w:space="0" w:color="auto"/>
              <w:right w:val="single" w:sz="4" w:space="0" w:color="auto"/>
            </w:tcBorders>
          </w:tcPr>
          <w:p w14:paraId="4C62A5B2"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Treatment phase:</w:t>
            </w:r>
          </w:p>
        </w:tc>
        <w:tc>
          <w:tcPr>
            <w:tcW w:w="3979" w:type="pct"/>
            <w:tcBorders>
              <w:top w:val="single" w:sz="4" w:space="0" w:color="auto"/>
              <w:left w:val="single" w:sz="4" w:space="0" w:color="auto"/>
              <w:bottom w:val="single" w:sz="4" w:space="0" w:color="auto"/>
              <w:right w:val="single" w:sz="4" w:space="0" w:color="auto"/>
            </w:tcBorders>
          </w:tcPr>
          <w:p w14:paraId="7F7B775A" w14:textId="18766E10" w:rsidR="00D9177C" w:rsidRPr="0058641B" w:rsidRDefault="000C361B" w:rsidP="00E11F73">
            <w:pPr>
              <w:keepLines/>
              <w:rPr>
                <w:rFonts w:ascii="Arial Narrow" w:hAnsi="Arial Narrow"/>
                <w:sz w:val="20"/>
                <w:szCs w:val="20"/>
              </w:rPr>
            </w:pPr>
            <w:r w:rsidRPr="000C361B">
              <w:rPr>
                <w:rFonts w:ascii="Arial Narrow" w:hAnsi="Arial Narrow"/>
                <w:i/>
                <w:iCs/>
                <w:sz w:val="20"/>
                <w:szCs w:val="20"/>
              </w:rPr>
              <w:t>Continuing adjuvant</w:t>
            </w:r>
            <w:r w:rsidRPr="000C361B">
              <w:rPr>
                <w:rFonts w:ascii="Arial Narrow" w:hAnsi="Arial Narrow"/>
                <w:sz w:val="20"/>
                <w:szCs w:val="20"/>
              </w:rPr>
              <w:t xml:space="preserve"> </w:t>
            </w:r>
            <w:r w:rsidR="00D9177C" w:rsidRPr="000C361B">
              <w:rPr>
                <w:rFonts w:ascii="Arial Narrow" w:hAnsi="Arial Narrow"/>
                <w:strike/>
                <w:sz w:val="20"/>
                <w:szCs w:val="20"/>
              </w:rPr>
              <w:t>Grandfathering</w:t>
            </w:r>
            <w:r w:rsidR="00D9177C" w:rsidRPr="0058641B">
              <w:rPr>
                <w:rFonts w:ascii="Arial Narrow" w:hAnsi="Arial Narrow"/>
                <w:sz w:val="20"/>
                <w:szCs w:val="20"/>
              </w:rPr>
              <w:t xml:space="preserve"> treatment</w:t>
            </w:r>
          </w:p>
        </w:tc>
      </w:tr>
      <w:tr w:rsidR="00D9177C" w:rsidRPr="0058641B" w14:paraId="41A7D8D4"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66B1CA60"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Restriction:</w:t>
            </w:r>
          </w:p>
          <w:p w14:paraId="4DADB8B7" w14:textId="77777777" w:rsidR="00D9177C" w:rsidRPr="0058641B" w:rsidRDefault="00D9177C" w:rsidP="00E11F73">
            <w:pPr>
              <w:keepLines/>
              <w:rPr>
                <w:rFonts w:ascii="Arial Narrow" w:hAnsi="Arial Narrow"/>
                <w:sz w:val="20"/>
                <w:szCs w:val="20"/>
              </w:rPr>
            </w:pPr>
          </w:p>
        </w:tc>
        <w:tc>
          <w:tcPr>
            <w:tcW w:w="3979" w:type="pct"/>
            <w:tcBorders>
              <w:top w:val="single" w:sz="4" w:space="0" w:color="auto"/>
              <w:left w:val="single" w:sz="4" w:space="0" w:color="auto"/>
              <w:bottom w:val="single" w:sz="4" w:space="0" w:color="auto"/>
              <w:right w:val="single" w:sz="4" w:space="0" w:color="auto"/>
            </w:tcBorders>
          </w:tcPr>
          <w:p w14:paraId="1C941747"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fldChar w:fldCharType="begin">
                <w:ffData>
                  <w:name w:val="Check1"/>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Restricted benefit</w:t>
            </w:r>
          </w:p>
          <w:p w14:paraId="784DCD9D"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fldChar w:fldCharType="begin">
                <w:ffData>
                  <w:name w:val=""/>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Authority Required - In Writing</w:t>
            </w:r>
          </w:p>
          <w:p w14:paraId="5BD60388"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fldChar w:fldCharType="begin">
                <w:ffData>
                  <w:name w:val="Check3"/>
                  <w:enabled/>
                  <w:calcOnExit w:val="0"/>
                  <w:checkBox>
                    <w:sizeAuto/>
                    <w:default w:val="0"/>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Authority Required – Telephone/Electronic/Emergency</w:t>
            </w:r>
          </w:p>
          <w:p w14:paraId="3C527038" w14:textId="77777777" w:rsidR="00D9177C" w:rsidRPr="0058641B" w:rsidRDefault="00D9177C" w:rsidP="00E11F73">
            <w:pPr>
              <w:keepLines/>
              <w:rPr>
                <w:rFonts w:ascii="Arial Narrow" w:hAnsi="Arial Narrow"/>
                <w:sz w:val="20"/>
                <w:szCs w:val="20"/>
              </w:rPr>
            </w:pPr>
            <w:r w:rsidRPr="0058641B">
              <w:rPr>
                <w:rFonts w:ascii="Arial Narrow" w:hAnsi="Arial Narrow"/>
                <w:sz w:val="20"/>
                <w:szCs w:val="20"/>
              </w:rPr>
              <w:fldChar w:fldCharType="begin">
                <w:ffData>
                  <w:name w:val="Check5"/>
                  <w:enabled/>
                  <w:calcOnExit w:val="0"/>
                  <w:checkBox>
                    <w:sizeAuto/>
                    <w:default w:val="1"/>
                  </w:checkBox>
                </w:ffData>
              </w:fldChar>
            </w:r>
            <w:r w:rsidRPr="0058641B">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58641B">
              <w:rPr>
                <w:rFonts w:ascii="Arial Narrow" w:hAnsi="Arial Narrow"/>
                <w:sz w:val="20"/>
                <w:szCs w:val="20"/>
              </w:rPr>
              <w:fldChar w:fldCharType="end"/>
            </w:r>
            <w:r w:rsidRPr="0058641B">
              <w:rPr>
                <w:rFonts w:ascii="Arial Narrow" w:hAnsi="Arial Narrow"/>
                <w:sz w:val="20"/>
                <w:szCs w:val="20"/>
              </w:rPr>
              <w:t>Streamlined</w:t>
            </w:r>
          </w:p>
        </w:tc>
      </w:tr>
      <w:tr w:rsidR="000C361B" w:rsidRPr="0058641B" w14:paraId="4C6C5F41"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5E374299" w14:textId="3DCE0E66" w:rsidR="000C361B" w:rsidRPr="000C361B" w:rsidRDefault="000C361B" w:rsidP="00E11F73">
            <w:pPr>
              <w:keepLines/>
              <w:rPr>
                <w:rFonts w:ascii="Arial Narrow" w:hAnsi="Arial Narrow"/>
                <w:b/>
                <w:i/>
                <w:iCs/>
                <w:sz w:val="20"/>
                <w:szCs w:val="20"/>
              </w:rPr>
            </w:pPr>
            <w:r w:rsidRPr="000C361B">
              <w:rPr>
                <w:rFonts w:ascii="Arial Narrow" w:hAnsi="Arial Narrow"/>
                <w:b/>
                <w:i/>
                <w:iCs/>
                <w:sz w:val="20"/>
                <w:szCs w:val="20"/>
              </w:rPr>
              <w:t>Clinical criteria:</w:t>
            </w:r>
          </w:p>
        </w:tc>
        <w:tc>
          <w:tcPr>
            <w:tcW w:w="3979" w:type="pct"/>
            <w:tcBorders>
              <w:top w:val="single" w:sz="4" w:space="0" w:color="auto"/>
              <w:left w:val="single" w:sz="4" w:space="0" w:color="auto"/>
              <w:bottom w:val="single" w:sz="4" w:space="0" w:color="auto"/>
              <w:right w:val="single" w:sz="4" w:space="0" w:color="auto"/>
            </w:tcBorders>
          </w:tcPr>
          <w:p w14:paraId="3B574EE9" w14:textId="77777777" w:rsidR="000C361B" w:rsidRPr="000C361B" w:rsidRDefault="000C361B" w:rsidP="00E11F73">
            <w:pPr>
              <w:keepLines/>
              <w:rPr>
                <w:rFonts w:ascii="Arial Narrow" w:hAnsi="Arial Narrow"/>
                <w:i/>
                <w:iCs/>
                <w:sz w:val="20"/>
                <w:szCs w:val="20"/>
              </w:rPr>
            </w:pPr>
            <w:r w:rsidRPr="000C361B">
              <w:rPr>
                <w:rFonts w:ascii="Arial Narrow" w:hAnsi="Arial Narrow"/>
                <w:i/>
                <w:iCs/>
                <w:sz w:val="20"/>
                <w:szCs w:val="20"/>
              </w:rPr>
              <w:t>Patient must have previously received PBS-subsidised treatment with this drug for this condition, AND</w:t>
            </w:r>
          </w:p>
          <w:p w14:paraId="7F56170E" w14:textId="77777777" w:rsidR="000C361B" w:rsidRPr="000C361B" w:rsidRDefault="000C361B" w:rsidP="00E11F73">
            <w:pPr>
              <w:keepLines/>
              <w:rPr>
                <w:rFonts w:ascii="Arial Narrow" w:hAnsi="Arial Narrow"/>
                <w:i/>
                <w:iCs/>
                <w:sz w:val="20"/>
                <w:szCs w:val="20"/>
              </w:rPr>
            </w:pPr>
            <w:r w:rsidRPr="000C361B">
              <w:rPr>
                <w:rFonts w:ascii="Arial Narrow" w:hAnsi="Arial Narrow"/>
                <w:i/>
                <w:iCs/>
                <w:sz w:val="20"/>
                <w:szCs w:val="20"/>
              </w:rPr>
              <w:t>Patient must not have experienced disease recurrence, AND</w:t>
            </w:r>
          </w:p>
          <w:p w14:paraId="0902D32F" w14:textId="2C149F41" w:rsidR="000C361B" w:rsidRPr="0058641B" w:rsidRDefault="000C361B" w:rsidP="00E11F73">
            <w:pPr>
              <w:keepLines/>
              <w:rPr>
                <w:rFonts w:ascii="Arial Narrow" w:hAnsi="Arial Narrow"/>
                <w:sz w:val="20"/>
                <w:szCs w:val="20"/>
              </w:rPr>
            </w:pPr>
            <w:r w:rsidRPr="000C361B">
              <w:rPr>
                <w:rFonts w:ascii="Arial Narrow" w:hAnsi="Arial Narrow"/>
                <w:i/>
                <w:iCs/>
                <w:sz w:val="20"/>
                <w:szCs w:val="20"/>
              </w:rPr>
              <w:t>The treatment must be the sole PBS-subsidised systemic anti-cancer therapy for this condition</w:t>
            </w:r>
          </w:p>
        </w:tc>
      </w:tr>
      <w:tr w:rsidR="00D9177C" w:rsidRPr="0058641B" w14:paraId="2F92E7E8" w14:textId="77777777" w:rsidTr="00EA56B9">
        <w:trPr>
          <w:cantSplit/>
          <w:trHeight w:val="360"/>
        </w:trPr>
        <w:tc>
          <w:tcPr>
            <w:tcW w:w="1021" w:type="pct"/>
            <w:tcBorders>
              <w:top w:val="single" w:sz="4" w:space="0" w:color="auto"/>
              <w:left w:val="single" w:sz="4" w:space="0" w:color="auto"/>
              <w:bottom w:val="single" w:sz="4" w:space="0" w:color="auto"/>
              <w:right w:val="single" w:sz="4" w:space="0" w:color="auto"/>
            </w:tcBorders>
          </w:tcPr>
          <w:p w14:paraId="5F36179A" w14:textId="77777777" w:rsidR="00D9177C" w:rsidRPr="0058641B" w:rsidRDefault="00D9177C" w:rsidP="00E11F73">
            <w:pPr>
              <w:keepLines/>
              <w:rPr>
                <w:rFonts w:ascii="Arial Narrow" w:hAnsi="Arial Narrow"/>
                <w:b/>
                <w:sz w:val="20"/>
                <w:szCs w:val="20"/>
              </w:rPr>
            </w:pPr>
            <w:r w:rsidRPr="0058641B">
              <w:rPr>
                <w:rFonts w:ascii="Arial Narrow" w:hAnsi="Arial Narrow"/>
                <w:b/>
                <w:sz w:val="20"/>
                <w:szCs w:val="20"/>
              </w:rPr>
              <w:t>Treatment criteria</w:t>
            </w:r>
          </w:p>
        </w:tc>
        <w:tc>
          <w:tcPr>
            <w:tcW w:w="3979" w:type="pct"/>
            <w:tcBorders>
              <w:top w:val="single" w:sz="4" w:space="0" w:color="auto"/>
              <w:left w:val="single" w:sz="4" w:space="0" w:color="auto"/>
              <w:bottom w:val="single" w:sz="4" w:space="0" w:color="auto"/>
              <w:right w:val="single" w:sz="4" w:space="0" w:color="auto"/>
            </w:tcBorders>
          </w:tcPr>
          <w:p w14:paraId="39345FF0" w14:textId="77777777" w:rsidR="00D9177C" w:rsidRPr="000C361B" w:rsidRDefault="00D9177C" w:rsidP="00E11F73">
            <w:pPr>
              <w:keepLines/>
              <w:rPr>
                <w:rFonts w:ascii="Arial Narrow" w:hAnsi="Arial Narrow"/>
                <w:strike/>
                <w:sz w:val="20"/>
                <w:szCs w:val="20"/>
              </w:rPr>
            </w:pPr>
            <w:r w:rsidRPr="000C361B">
              <w:rPr>
                <w:rFonts w:ascii="Arial Narrow" w:hAnsi="Arial Narrow"/>
                <w:strike/>
                <w:sz w:val="20"/>
                <w:szCs w:val="20"/>
              </w:rPr>
              <w:t>Patient must have received treatment with this drug for this condition prior to the [PBS listing date], AND</w:t>
            </w:r>
          </w:p>
          <w:p w14:paraId="43CC8040" w14:textId="77777777" w:rsidR="00D9177C" w:rsidRDefault="00D9177C" w:rsidP="00E11F73">
            <w:pPr>
              <w:keepLines/>
              <w:rPr>
                <w:rFonts w:ascii="Arial Narrow" w:hAnsi="Arial Narrow"/>
                <w:strike/>
                <w:sz w:val="20"/>
                <w:szCs w:val="20"/>
              </w:rPr>
            </w:pPr>
            <w:r w:rsidRPr="000C361B">
              <w:rPr>
                <w:rFonts w:ascii="Arial Narrow" w:hAnsi="Arial Narrow"/>
                <w:strike/>
                <w:sz w:val="20"/>
                <w:szCs w:val="20"/>
              </w:rPr>
              <w:t>Patient must not have experienced disease recurrence.</w:t>
            </w:r>
          </w:p>
          <w:p w14:paraId="58C3E440" w14:textId="77777777" w:rsidR="000C361B" w:rsidRPr="000C361B" w:rsidRDefault="000C361B" w:rsidP="00E11F73">
            <w:pPr>
              <w:keepLines/>
              <w:rPr>
                <w:rFonts w:ascii="Arial Narrow" w:hAnsi="Arial Narrow" w:cs="Open Sans"/>
                <w:i/>
                <w:iCs/>
                <w:color w:val="333333"/>
                <w:sz w:val="20"/>
                <w:szCs w:val="20"/>
              </w:rPr>
            </w:pPr>
            <w:r w:rsidRPr="000C361B">
              <w:rPr>
                <w:rFonts w:ascii="Arial Narrow" w:hAnsi="Arial Narrow" w:cs="Open Sans"/>
                <w:i/>
                <w:iCs/>
                <w:color w:val="333333"/>
                <w:sz w:val="20"/>
                <w:szCs w:val="20"/>
              </w:rPr>
              <w:t>Patient must be undergoing treatment with this drug at a dosing regimen (dose plus frequency) specified in this drug’s approved Australian Product Information, AND</w:t>
            </w:r>
          </w:p>
          <w:p w14:paraId="295150BB" w14:textId="61D12F99" w:rsidR="000C361B" w:rsidRPr="0058641B" w:rsidRDefault="000C361B" w:rsidP="00E11F73">
            <w:pPr>
              <w:keepLines/>
              <w:rPr>
                <w:rFonts w:ascii="Arial Narrow" w:hAnsi="Arial Narrow"/>
                <w:sz w:val="20"/>
                <w:szCs w:val="20"/>
              </w:rPr>
            </w:pPr>
            <w:r w:rsidRPr="000C361B">
              <w:rPr>
                <w:rFonts w:ascii="Arial Narrow" w:hAnsi="Arial Narrow" w:cs="Open Sans"/>
                <w:i/>
                <w:iCs/>
                <w:color w:val="333333"/>
                <w:sz w:val="20"/>
                <w:szCs w:val="20"/>
              </w:rPr>
              <w:t>Patient must be undergoing treatment that does not extend beyond the following, whichever comes first: (</w:t>
            </w:r>
            <w:proofErr w:type="spellStart"/>
            <w:r w:rsidRPr="000C361B">
              <w:rPr>
                <w:rFonts w:ascii="Arial Narrow" w:hAnsi="Arial Narrow" w:cs="Open Sans"/>
                <w:i/>
                <w:iCs/>
                <w:color w:val="333333"/>
                <w:sz w:val="20"/>
                <w:szCs w:val="20"/>
              </w:rPr>
              <w:t>i</w:t>
            </w:r>
            <w:proofErr w:type="spellEnd"/>
            <w:r w:rsidRPr="000C361B">
              <w:rPr>
                <w:rFonts w:ascii="Arial Narrow" w:hAnsi="Arial Narrow" w:cs="Open Sans"/>
                <w:i/>
                <w:iCs/>
                <w:color w:val="333333"/>
                <w:sz w:val="20"/>
                <w:szCs w:val="20"/>
              </w:rPr>
              <w:t>) disease progression/recurrence, (ii) 12 months in total for this condition (dosing regimen in accordance with the Product Information); mark any remaining repeat prescriptions with the words ‘cancelled’ where (</w:t>
            </w:r>
            <w:proofErr w:type="spellStart"/>
            <w:r w:rsidRPr="000C361B">
              <w:rPr>
                <w:rFonts w:ascii="Arial Narrow" w:hAnsi="Arial Narrow" w:cs="Open Sans"/>
                <w:i/>
                <w:iCs/>
                <w:color w:val="333333"/>
                <w:sz w:val="20"/>
                <w:szCs w:val="20"/>
              </w:rPr>
              <w:t>i</w:t>
            </w:r>
            <w:proofErr w:type="spellEnd"/>
            <w:r w:rsidRPr="000C361B">
              <w:rPr>
                <w:rFonts w:ascii="Arial Narrow" w:hAnsi="Arial Narrow" w:cs="Open Sans"/>
                <w:i/>
                <w:iCs/>
                <w:color w:val="333333"/>
                <w:sz w:val="20"/>
                <w:szCs w:val="20"/>
              </w:rPr>
              <w:t>)/(ii) has occurred</w:t>
            </w:r>
          </w:p>
        </w:tc>
      </w:tr>
    </w:tbl>
    <w:p w14:paraId="31D77E2F" w14:textId="6AA02648" w:rsidR="00D9177C" w:rsidRPr="0058641B" w:rsidRDefault="00D9177C" w:rsidP="00D9177C">
      <w:pPr>
        <w:pStyle w:val="TableFooter"/>
      </w:pPr>
      <w:bookmarkStart w:id="11" w:name="_Hlk102143040"/>
      <w:bookmarkEnd w:id="10"/>
      <w:r w:rsidRPr="0058641B">
        <w:t>Source: Tables 1.6-1.9, pp17-20 of the submission.</w:t>
      </w:r>
    </w:p>
    <w:p w14:paraId="498A639A" w14:textId="0DE709D8" w:rsidR="00617E12" w:rsidRPr="0058641B" w:rsidRDefault="009040F5" w:rsidP="00D9177C">
      <w:pPr>
        <w:pStyle w:val="TableFooter"/>
      </w:pPr>
      <w:r w:rsidRPr="0058641B">
        <w:rPr>
          <w:vertAlign w:val="superscript"/>
        </w:rPr>
        <w:lastRenderedPageBreak/>
        <w:t>a</w:t>
      </w:r>
      <w:r w:rsidR="00A8021D">
        <w:rPr>
          <w:vertAlign w:val="superscript"/>
        </w:rPr>
        <w:t xml:space="preserve"> </w:t>
      </w:r>
      <w:r w:rsidR="00FE6ECF" w:rsidRPr="0058641B">
        <w:t xml:space="preserve">Or Stage II-IIIA </w:t>
      </w:r>
      <w:r w:rsidR="00B54752" w:rsidRPr="0058641B">
        <w:t>PD-L1 ≥ 50%</w:t>
      </w:r>
      <w:r w:rsidR="00FE6ECF" w:rsidRPr="0058641B">
        <w:t xml:space="preserve"> if the final TGA indication restricts use of atezolizumab to this subgroup</w:t>
      </w:r>
    </w:p>
    <w:bookmarkEnd w:id="11"/>
    <w:p w14:paraId="5D1BE622" w14:textId="77777777" w:rsidR="00B60939" w:rsidRPr="0058641B" w:rsidRDefault="00B60939" w:rsidP="004B1CB4"/>
    <w:p w14:paraId="1258825E" w14:textId="72D5C1A8" w:rsidR="00FD5E15" w:rsidRPr="003F35E9" w:rsidRDefault="00FD5E15" w:rsidP="0042580E">
      <w:pPr>
        <w:pStyle w:val="3-BodyText"/>
      </w:pPr>
      <w:r w:rsidRPr="0058641B">
        <w:t xml:space="preserve">The requested PBS restriction </w:t>
      </w:r>
      <w:r w:rsidR="0042580E" w:rsidRPr="0058641B">
        <w:t xml:space="preserve">was for </w:t>
      </w:r>
      <w:r w:rsidRPr="0058641B">
        <w:t xml:space="preserve">Stage II-IIIA </w:t>
      </w:r>
      <w:r w:rsidR="00B54752" w:rsidRPr="0058641B">
        <w:t>PD-L1 ≥ 1%</w:t>
      </w:r>
      <w:r w:rsidRPr="0058641B">
        <w:t xml:space="preserve"> NSCLC </w:t>
      </w:r>
      <w:r w:rsidR="0042580E" w:rsidRPr="0058641B">
        <w:t xml:space="preserve">patients </w:t>
      </w:r>
      <w:r w:rsidRPr="0058641B">
        <w:t xml:space="preserve">who are epidermal growth factor receptor (EGFR) wild type or anaplastic lymphoma kinase (ALK) gene arrangement negative, </w:t>
      </w:r>
      <w:r w:rsidR="0042580E" w:rsidRPr="0058641B">
        <w:t>with a</w:t>
      </w:r>
      <w:r w:rsidRPr="0058641B">
        <w:t xml:space="preserve"> World Health Organisation </w:t>
      </w:r>
      <w:r w:rsidR="008A0A6D" w:rsidRPr="0058641B">
        <w:t>(</w:t>
      </w:r>
      <w:r w:rsidRPr="0058641B">
        <w:t>WHO</w:t>
      </w:r>
      <w:r w:rsidR="008A0A6D" w:rsidRPr="0058641B">
        <w:t>)</w:t>
      </w:r>
      <w:r w:rsidRPr="0058641B">
        <w:t xml:space="preserve"> performance status of </w:t>
      </w:r>
      <w:r w:rsidR="00264DE5" w:rsidRPr="0058641B">
        <w:t>0 or 1</w:t>
      </w:r>
      <w:r w:rsidRPr="0058641B">
        <w:t>.</w:t>
      </w:r>
      <w:r w:rsidR="00B430F7" w:rsidRPr="0058641B">
        <w:t xml:space="preserve"> </w:t>
      </w:r>
      <w:r w:rsidR="00B430F7" w:rsidRPr="003F35E9">
        <w:t xml:space="preserve">The ESC noted the restriction criteria will need to be amended to state PD-L1 ≥ 50% to reflect the likely TGA indication. </w:t>
      </w:r>
      <w:r w:rsidR="00686B98" w:rsidRPr="003F35E9">
        <w:t xml:space="preserve">The ESC considered that a clinical criterion related to WHO performance status was likely not required for this indication. </w:t>
      </w:r>
      <w:r w:rsidR="00F13EEA" w:rsidRPr="00F13EEA">
        <w:t>The PBAC</w:t>
      </w:r>
      <w:r w:rsidR="00130F50">
        <w:t xml:space="preserve"> noted the performance status of some </w:t>
      </w:r>
      <w:r w:rsidR="00F13EEA" w:rsidRPr="00F13EEA">
        <w:t xml:space="preserve">patients may </w:t>
      </w:r>
      <w:r w:rsidR="00130F50">
        <w:t>deteriorate after a</w:t>
      </w:r>
      <w:r w:rsidR="00F13EEA" w:rsidRPr="00F13EEA">
        <w:t xml:space="preserve"> complete resection and chemotherapy </w:t>
      </w:r>
      <w:r w:rsidR="00130F50">
        <w:t xml:space="preserve">due to the toxicity of therapy </w:t>
      </w:r>
      <w:r w:rsidR="00F13EEA" w:rsidRPr="00F13EEA">
        <w:t>and</w:t>
      </w:r>
      <w:r w:rsidR="00130F50">
        <w:t xml:space="preserve"> considered it was</w:t>
      </w:r>
      <w:r w:rsidR="000A12F8">
        <w:t xml:space="preserve"> </w:t>
      </w:r>
      <w:r w:rsidR="000541B7">
        <w:t xml:space="preserve">appropriate to </w:t>
      </w:r>
      <w:r w:rsidR="00130F50">
        <w:t>retain the WHO performance status in the criteria</w:t>
      </w:r>
      <w:r w:rsidR="00F13EEA" w:rsidRPr="00F13EEA">
        <w:t>.</w:t>
      </w:r>
      <w:r w:rsidRPr="003F35E9">
        <w:t xml:space="preserve"> </w:t>
      </w:r>
    </w:p>
    <w:p w14:paraId="3F1F4F0D" w14:textId="14973573" w:rsidR="00EF103B" w:rsidRPr="0058641B" w:rsidRDefault="00F94562" w:rsidP="00EF103B">
      <w:pPr>
        <w:pStyle w:val="3-BodyText"/>
      </w:pPr>
      <w:bookmarkStart w:id="12" w:name="_Hlk102142169"/>
      <w:r w:rsidRPr="0058641B">
        <w:t xml:space="preserve">The submission proposed a special pricing arrangement (SPA). </w:t>
      </w:r>
      <w:bookmarkStart w:id="13" w:name="_Hlk102142181"/>
      <w:bookmarkEnd w:id="12"/>
      <w:r w:rsidR="00EF103B" w:rsidRPr="0058641B">
        <w:t xml:space="preserve">The proposed effective ex-manufacturer prices for ATZ 1,200 mg vial and the 840 mg vial as adjuvant therapy are the same as the current effective ATZ prices for previously untreated metastatic </w:t>
      </w:r>
      <w:proofErr w:type="gramStart"/>
      <w:r w:rsidR="00EF103B" w:rsidRPr="0058641B">
        <w:t xml:space="preserve">NSCLC, </w:t>
      </w:r>
      <w:r w:rsidR="00D81424" w:rsidRPr="0058641B">
        <w:t>and</w:t>
      </w:r>
      <w:proofErr w:type="gramEnd"/>
      <w:r w:rsidR="00D81424" w:rsidRPr="0058641B">
        <w:t xml:space="preserve"> </w:t>
      </w:r>
      <w:r w:rsidR="00EF103B" w:rsidRPr="0058641B">
        <w:t>are 21%-22% lower than the current effective ATZ prices when used as second-line therapy for NSCLC.</w:t>
      </w:r>
      <w:bookmarkEnd w:id="13"/>
    </w:p>
    <w:p w14:paraId="4C67D52F" w14:textId="77777777" w:rsidR="008B3C18" w:rsidRDefault="00745BC8" w:rsidP="00BE1F8C">
      <w:pPr>
        <w:pStyle w:val="3-BodyText"/>
      </w:pPr>
      <w:r w:rsidRPr="0058641B">
        <w:t xml:space="preserve">In the </w:t>
      </w:r>
      <w:r w:rsidR="00D814CF" w:rsidRPr="0058641B">
        <w:t>IMpower010 trial</w:t>
      </w:r>
      <w:r w:rsidRPr="0058641B">
        <w:t xml:space="preserve">, 1,200 mg ATZ was </w:t>
      </w:r>
      <w:r w:rsidR="00D814CF" w:rsidRPr="0058641B">
        <w:t>administered every three weeks (Q3W)</w:t>
      </w:r>
      <w:r w:rsidRPr="0058641B">
        <w:t>.</w:t>
      </w:r>
      <w:r w:rsidR="00D814CF" w:rsidRPr="0058641B">
        <w:t xml:space="preserve"> However, the submission proposed </w:t>
      </w:r>
      <w:r w:rsidR="005A5C60" w:rsidRPr="0058641B">
        <w:t xml:space="preserve">that an additional </w:t>
      </w:r>
      <w:r w:rsidR="00D814CF" w:rsidRPr="0058641B">
        <w:t xml:space="preserve">less frequent </w:t>
      </w:r>
      <w:r w:rsidRPr="0058641B">
        <w:t xml:space="preserve">dosing </w:t>
      </w:r>
      <w:r w:rsidR="005A5C60" w:rsidRPr="0058641B">
        <w:t xml:space="preserve">regimen of </w:t>
      </w:r>
      <w:r w:rsidRPr="0058641B">
        <w:t xml:space="preserve">ATZ - </w:t>
      </w:r>
      <w:r w:rsidR="00D814CF" w:rsidRPr="0058641B">
        <w:t xml:space="preserve">1,680 mg </w:t>
      </w:r>
      <w:r w:rsidR="005A5C60" w:rsidRPr="0058641B">
        <w:t>every four weeks (</w:t>
      </w:r>
      <w:r w:rsidR="00D814CF" w:rsidRPr="0058641B">
        <w:t>Q4W</w:t>
      </w:r>
      <w:r w:rsidR="005A5C60" w:rsidRPr="0058641B">
        <w:t>)</w:t>
      </w:r>
      <w:r w:rsidRPr="0058641B">
        <w:t xml:space="preserve"> – </w:t>
      </w:r>
      <w:r w:rsidR="008A0A6D" w:rsidRPr="0058641B">
        <w:t>should be</w:t>
      </w:r>
      <w:r w:rsidRPr="0058641B">
        <w:t xml:space="preserve"> considered </w:t>
      </w:r>
      <w:r w:rsidR="00210894">
        <w:t xml:space="preserve">for listing </w:t>
      </w:r>
      <w:r w:rsidRPr="0058641B">
        <w:t xml:space="preserve">for the target PBS population </w:t>
      </w:r>
      <w:r w:rsidR="00D814CF" w:rsidRPr="0058641B">
        <w:t>to improve patient convenience, particularly for those living in rural or remote areas.</w:t>
      </w:r>
      <w:r w:rsidR="00DB0761" w:rsidRPr="0058641B">
        <w:t xml:space="preserve"> The recommended dosage in the draft product information document provided with the submission is 840 mg every </w:t>
      </w:r>
      <w:proofErr w:type="gramStart"/>
      <w:r w:rsidR="00DB0761" w:rsidRPr="0058641B">
        <w:t>2 week</w:t>
      </w:r>
      <w:proofErr w:type="gramEnd"/>
      <w:r w:rsidR="00DB0761" w:rsidRPr="0058641B">
        <w:t>, 1,200 mg every 3 weeks or 1,68</w:t>
      </w:r>
      <w:r w:rsidR="00704CEB" w:rsidRPr="0058641B">
        <w:t>0 mg every 4 weeks.</w:t>
      </w:r>
      <w:r w:rsidR="000A12F8">
        <w:t xml:space="preserve"> </w:t>
      </w:r>
    </w:p>
    <w:p w14:paraId="2B7E5F2D" w14:textId="16AC5197" w:rsidR="00D814CF" w:rsidRPr="0058641B" w:rsidRDefault="008B3C18" w:rsidP="00BE1F8C">
      <w:pPr>
        <w:pStyle w:val="3-BodyText"/>
      </w:pPr>
      <w:r w:rsidRPr="008B3C18">
        <w:t xml:space="preserve">The submission proposed one restriction </w:t>
      </w:r>
      <w:r w:rsidR="00D23251">
        <w:t xml:space="preserve">to cover both </w:t>
      </w:r>
      <w:r w:rsidRPr="008B3C18">
        <w:t>initial and continuing treatment and one restriction for grandfathering treatment with separate maximum quantity and</w:t>
      </w:r>
      <w:r w:rsidR="00BC4CF8">
        <w:t xml:space="preserve"> up to 15</w:t>
      </w:r>
      <w:r w:rsidRPr="008B3C18">
        <w:t xml:space="preserve"> repeats for each form.</w:t>
      </w:r>
      <w:r w:rsidR="00173F21">
        <w:t xml:space="preserve"> The PBAC did not agree with the Secretariat’s proposed change into initial and continuing criteria and considered a single listing, as proposed in the submission, was appropriate. </w:t>
      </w:r>
      <w:r w:rsidR="00260FC9">
        <w:t>However, the PBAC considered the single listing could consolidate multiple dosing regimens</w:t>
      </w:r>
      <w:r w:rsidR="00BC4CF8">
        <w:t>.</w:t>
      </w:r>
      <w:r w:rsidR="00D23251">
        <w:t xml:space="preserve"> The PBAC considered each script should provide a maximum of 6 months of treatment and 15 repeats was too many.  </w:t>
      </w:r>
      <w:r w:rsidR="00BC4CF8">
        <w:t xml:space="preserve"> </w:t>
      </w:r>
    </w:p>
    <w:p w14:paraId="2D011367" w14:textId="16AE163D" w:rsidR="00D814CF" w:rsidRPr="0058641B" w:rsidRDefault="007A025F" w:rsidP="00DB6BC9">
      <w:pPr>
        <w:pStyle w:val="3-BodyText"/>
      </w:pPr>
      <w:r w:rsidRPr="0058641B">
        <w:t>The submission requested a grandfathering restriction</w:t>
      </w:r>
      <w:r w:rsidR="00DB0761" w:rsidRPr="0058641B">
        <w:t xml:space="preserve"> for</w:t>
      </w:r>
      <w:r w:rsidRPr="0058641B">
        <w:t xml:space="preserve"> </w:t>
      </w:r>
      <w:r w:rsidR="00B772E5">
        <w:t xml:space="preserve">&lt; 500 </w:t>
      </w:r>
      <w:r w:rsidRPr="0058641B">
        <w:t>patients</w:t>
      </w:r>
      <w:r w:rsidR="006862A7">
        <w:t xml:space="preserve"> (for the PD-L1 </w:t>
      </w:r>
      <w:r w:rsidR="006862A7">
        <w:rPr>
          <w:rFonts w:cstheme="minorHAnsi"/>
        </w:rPr>
        <w:t>≥</w:t>
      </w:r>
      <w:r w:rsidR="006862A7">
        <w:t xml:space="preserve"> 1% population)</w:t>
      </w:r>
      <w:r w:rsidRPr="0058641B">
        <w:t xml:space="preserve"> estimated to be receiving ATZ via an early access scheme at the time of PBS listin</w:t>
      </w:r>
      <w:r w:rsidR="00F13EEA">
        <w:t>g</w:t>
      </w:r>
      <w:bookmarkStart w:id="14" w:name="_Hlk102140537"/>
      <w:r w:rsidR="00D814CF" w:rsidRPr="0058641B">
        <w:rPr>
          <w:iCs/>
        </w:rPr>
        <w:t>.</w:t>
      </w:r>
      <w:bookmarkEnd w:id="14"/>
      <w:r w:rsidR="00D814CF" w:rsidRPr="0058641B">
        <w:rPr>
          <w:iCs/>
        </w:rPr>
        <w:t xml:space="preserve"> </w:t>
      </w:r>
      <w:r w:rsidR="00E069AE" w:rsidRPr="00E069AE">
        <w:rPr>
          <w:iCs/>
        </w:rPr>
        <w:t>The Secretariat noted that, with</w:t>
      </w:r>
      <w:r w:rsidR="0014039E">
        <w:rPr>
          <w:iCs/>
        </w:rPr>
        <w:t xml:space="preserve"> the proposed </w:t>
      </w:r>
      <w:r w:rsidR="00E069AE" w:rsidRPr="00E069AE">
        <w:rPr>
          <w:iCs/>
        </w:rPr>
        <w:t>change</w:t>
      </w:r>
      <w:r w:rsidR="0014039E">
        <w:rPr>
          <w:iCs/>
        </w:rPr>
        <w:t>s</w:t>
      </w:r>
      <w:r w:rsidR="00210894">
        <w:rPr>
          <w:iCs/>
        </w:rPr>
        <w:t xml:space="preserve"> to the criteria</w:t>
      </w:r>
      <w:r w:rsidR="0014039E">
        <w:rPr>
          <w:iCs/>
        </w:rPr>
        <w:t xml:space="preserve"> outlined above</w:t>
      </w:r>
      <w:r w:rsidR="00E069AE" w:rsidRPr="00E069AE">
        <w:rPr>
          <w:iCs/>
        </w:rPr>
        <w:t>, a separate ‘Grandfather’ restriction was not necessary, as such patients would</w:t>
      </w:r>
      <w:r w:rsidR="00210894">
        <w:rPr>
          <w:iCs/>
        </w:rPr>
        <w:t xml:space="preserve"> meet the</w:t>
      </w:r>
      <w:r w:rsidR="00E069AE" w:rsidRPr="00E069AE">
        <w:rPr>
          <w:iCs/>
        </w:rPr>
        <w:t xml:space="preserve"> ‘Initial treatment’</w:t>
      </w:r>
      <w:r w:rsidR="00210894">
        <w:rPr>
          <w:iCs/>
        </w:rPr>
        <w:t xml:space="preserve"> criteria</w:t>
      </w:r>
      <w:r w:rsidR="00E069AE" w:rsidRPr="00E069AE">
        <w:rPr>
          <w:iCs/>
        </w:rPr>
        <w:t>.</w:t>
      </w:r>
      <w:r w:rsidR="00E069AE">
        <w:rPr>
          <w:iCs/>
        </w:rPr>
        <w:t xml:space="preserve"> </w:t>
      </w:r>
    </w:p>
    <w:p w14:paraId="5E57AF04" w14:textId="3AF0DC02" w:rsidR="00343BA6" w:rsidRPr="0058641B" w:rsidRDefault="000B0E43" w:rsidP="002521CD">
      <w:pPr>
        <w:pStyle w:val="3-BodyText"/>
        <w:rPr>
          <w:iCs/>
        </w:rPr>
      </w:pPr>
      <w:bookmarkStart w:id="15" w:name="_Hlk102142011"/>
      <w:r w:rsidRPr="0058641B">
        <w:rPr>
          <w:iCs/>
        </w:rPr>
        <w:t>The submission stated</w:t>
      </w:r>
      <w:r w:rsidR="00BF28AB" w:rsidRPr="0058641B">
        <w:rPr>
          <w:iCs/>
        </w:rPr>
        <w:t xml:space="preserve"> that, consistent with the current ‘once per lifetime’ approach for immunotherapies, patients who receive adjuvant </w:t>
      </w:r>
      <w:r w:rsidR="00575CF0" w:rsidRPr="0058641B">
        <w:rPr>
          <w:iCs/>
        </w:rPr>
        <w:t>ATZ</w:t>
      </w:r>
      <w:r w:rsidR="00BF28AB" w:rsidRPr="0058641B">
        <w:rPr>
          <w:iCs/>
        </w:rPr>
        <w:t xml:space="preserve"> in the early-stage NSCLC setting would not be eligible to receive subsequent PBS listed anti-PD-(L)1 inhibitors </w:t>
      </w:r>
      <w:r w:rsidR="00BF28AB" w:rsidRPr="0058641B">
        <w:rPr>
          <w:iCs/>
        </w:rPr>
        <w:lastRenderedPageBreak/>
        <w:t xml:space="preserve">in the event of relapse to advanced or metastatic disease. </w:t>
      </w:r>
      <w:r w:rsidR="00D23251">
        <w:rPr>
          <w:iCs/>
        </w:rPr>
        <w:t xml:space="preserve">The PBAC considered no additional wording was required to account for the once per lifetime approach.   </w:t>
      </w:r>
    </w:p>
    <w:bookmarkEnd w:id="15"/>
    <w:p w14:paraId="756E2182" w14:textId="13FCE707" w:rsidR="00CC35EA" w:rsidRDefault="00B430F7" w:rsidP="002521CD">
      <w:pPr>
        <w:pStyle w:val="3-BodyText"/>
        <w:rPr>
          <w:iCs/>
        </w:rPr>
      </w:pPr>
      <w:r w:rsidRPr="003F35E9">
        <w:rPr>
          <w:iCs/>
        </w:rPr>
        <w:t xml:space="preserve">The </w:t>
      </w:r>
      <w:r w:rsidR="002766D9">
        <w:rPr>
          <w:iCs/>
        </w:rPr>
        <w:t xml:space="preserve">PBAC agreed with the ESC that </w:t>
      </w:r>
      <w:r w:rsidRPr="003F35E9">
        <w:rPr>
          <w:iCs/>
        </w:rPr>
        <w:t>the Secretariat’s proposed addition to the criteria limiting treatment to 12 months was appropriate.</w:t>
      </w:r>
      <w:r w:rsidRPr="0058641B">
        <w:rPr>
          <w:iCs/>
        </w:rPr>
        <w:t xml:space="preserve"> </w:t>
      </w:r>
    </w:p>
    <w:p w14:paraId="7B55A7B9" w14:textId="5936C78F" w:rsidR="00E069AE" w:rsidRDefault="00E069AE" w:rsidP="002521CD">
      <w:pPr>
        <w:pStyle w:val="3-BodyText"/>
        <w:rPr>
          <w:iCs/>
        </w:rPr>
      </w:pPr>
      <w:r w:rsidRPr="00E069AE">
        <w:rPr>
          <w:iCs/>
        </w:rPr>
        <w:t xml:space="preserve">The Secretariat noted multiple existing non-small cell lung cancer listings </w:t>
      </w:r>
      <w:r w:rsidR="00D9219F">
        <w:rPr>
          <w:iCs/>
        </w:rPr>
        <w:t xml:space="preserve">for ATZ </w:t>
      </w:r>
      <w:r w:rsidRPr="00E069AE">
        <w:rPr>
          <w:iCs/>
        </w:rPr>
        <w:t xml:space="preserve">and proposed </w:t>
      </w:r>
      <w:r>
        <w:rPr>
          <w:iCs/>
        </w:rPr>
        <w:t xml:space="preserve">an option </w:t>
      </w:r>
      <w:r w:rsidRPr="00E069AE">
        <w:rPr>
          <w:iCs/>
        </w:rPr>
        <w:t>to combine all the existing NSCLC listings into one universal ‘</w:t>
      </w:r>
      <w:proofErr w:type="spellStart"/>
      <w:r w:rsidRPr="00E069AE">
        <w:rPr>
          <w:iCs/>
        </w:rPr>
        <w:t>non small</w:t>
      </w:r>
      <w:proofErr w:type="spellEnd"/>
      <w:r w:rsidRPr="00E069AE">
        <w:rPr>
          <w:iCs/>
        </w:rPr>
        <w:t xml:space="preserve"> cell lung cancer’ listing for simplification in terms of reader usability</w:t>
      </w:r>
      <w:r w:rsidR="00D9219F">
        <w:rPr>
          <w:iCs/>
        </w:rPr>
        <w:t xml:space="preserve">. The pre-PBAC response stated a universal listing was not supported as it would negate special pricing arrangements that exist for ATZ in the </w:t>
      </w:r>
      <w:proofErr w:type="gramStart"/>
      <w:r w:rsidR="00D9219F">
        <w:rPr>
          <w:iCs/>
        </w:rPr>
        <w:t>first and second line</w:t>
      </w:r>
      <w:proofErr w:type="gramEnd"/>
      <w:r w:rsidR="00D9219F">
        <w:rPr>
          <w:iCs/>
        </w:rPr>
        <w:t xml:space="preserve"> NSCLC setting. </w:t>
      </w:r>
      <w:r w:rsidR="002E1ACB">
        <w:rPr>
          <w:iCs/>
        </w:rPr>
        <w:t xml:space="preserve">The PBAC was </w:t>
      </w:r>
      <w:r w:rsidR="00D9219F">
        <w:rPr>
          <w:iCs/>
        </w:rPr>
        <w:t xml:space="preserve">generally </w:t>
      </w:r>
      <w:r w:rsidR="002E1ACB">
        <w:rPr>
          <w:iCs/>
        </w:rPr>
        <w:t xml:space="preserve">supportive of </w:t>
      </w:r>
      <w:r w:rsidR="00D9219F">
        <w:rPr>
          <w:iCs/>
        </w:rPr>
        <w:t>si</w:t>
      </w:r>
      <w:r w:rsidR="00CB72D6" w:rsidRPr="00CB72D6">
        <w:rPr>
          <w:iCs/>
        </w:rPr>
        <w:t>mplif</w:t>
      </w:r>
      <w:r w:rsidR="000A12F8">
        <w:rPr>
          <w:iCs/>
        </w:rPr>
        <w:t>ying</w:t>
      </w:r>
      <w:r w:rsidR="00CB72D6" w:rsidRPr="00CB72D6">
        <w:rPr>
          <w:iCs/>
        </w:rPr>
        <w:t xml:space="preserve"> restriction</w:t>
      </w:r>
      <w:r w:rsidR="000A12F8">
        <w:rPr>
          <w:iCs/>
        </w:rPr>
        <w:t xml:space="preserve">s where possible </w:t>
      </w:r>
      <w:r w:rsidR="00D4553E" w:rsidRPr="00D4553E">
        <w:rPr>
          <w:iCs/>
        </w:rPr>
        <w:t xml:space="preserve">by condensing </w:t>
      </w:r>
      <w:r w:rsidR="00173F21">
        <w:rPr>
          <w:iCs/>
        </w:rPr>
        <w:t>the</w:t>
      </w:r>
      <w:r w:rsidR="00D4553E" w:rsidRPr="00D4553E">
        <w:rPr>
          <w:iCs/>
        </w:rPr>
        <w:t xml:space="preserve"> large number of </w:t>
      </w:r>
      <w:r w:rsidR="00D4553E">
        <w:rPr>
          <w:iCs/>
        </w:rPr>
        <w:t xml:space="preserve">NSCLC </w:t>
      </w:r>
      <w:r w:rsidR="00D4553E" w:rsidRPr="00D4553E">
        <w:rPr>
          <w:iCs/>
        </w:rPr>
        <w:t>restrictions into a single restriction through grouping the various indications/patient populations. However, advice from the Department was that the administration of existing Deeds of Agreement would be complicated and potentially lead to confounding in the tracking of PBS drug utilisation.</w:t>
      </w:r>
    </w:p>
    <w:p w14:paraId="37B84DE3" w14:textId="77777777" w:rsidR="0088334F" w:rsidRPr="0088334F" w:rsidRDefault="0088334F" w:rsidP="0088334F">
      <w:pPr>
        <w:pStyle w:val="3-BodyText"/>
        <w:numPr>
          <w:ilvl w:val="0"/>
          <w:numId w:val="0"/>
        </w:numPr>
        <w:ind w:left="720"/>
        <w:rPr>
          <w:i/>
          <w:iCs/>
        </w:rPr>
      </w:pPr>
      <w:r w:rsidRPr="0088334F">
        <w:rPr>
          <w:i/>
          <w:iCs/>
        </w:rPr>
        <w:t>For more detail on PBAC’s view, see section 7 PBAC outcome.</w:t>
      </w:r>
    </w:p>
    <w:p w14:paraId="1D086733" w14:textId="77777777" w:rsidR="00B50DB8" w:rsidRPr="0058641B" w:rsidRDefault="00203181" w:rsidP="004E18E9">
      <w:pPr>
        <w:pStyle w:val="2-SectionHeading"/>
      </w:pPr>
      <w:bookmarkStart w:id="16" w:name="_Toc101281138"/>
      <w:r w:rsidRPr="0058641B">
        <w:t xml:space="preserve">Population and </w:t>
      </w:r>
      <w:r w:rsidR="008E0D3C" w:rsidRPr="0058641B">
        <w:t>d</w:t>
      </w:r>
      <w:r w:rsidRPr="0058641B">
        <w:t>isease</w:t>
      </w:r>
      <w:bookmarkEnd w:id="16"/>
    </w:p>
    <w:p w14:paraId="666BC373" w14:textId="50AEEF83" w:rsidR="00894489" w:rsidRPr="0058641B" w:rsidRDefault="00D814CF" w:rsidP="00525AB6">
      <w:pPr>
        <w:pStyle w:val="3-BodyText"/>
      </w:pPr>
      <w:r w:rsidRPr="0058641B">
        <w:t>In 2021, an estimated 13,810 Australians were diagnosed with lung cancer with 8,693 Australians expected to die from the disease. NSCLC represents the main histological type of lung cancer, accounting for approximately 85% of lung cancer cases</w:t>
      </w:r>
      <w:r w:rsidR="00525AB6" w:rsidRPr="0058641B">
        <w:t>.</w:t>
      </w:r>
    </w:p>
    <w:p w14:paraId="4F360E42" w14:textId="7019475E" w:rsidR="00525AB6" w:rsidRPr="0058641B" w:rsidRDefault="00525AB6" w:rsidP="00525AB6">
      <w:pPr>
        <w:pStyle w:val="3-BodyText"/>
      </w:pPr>
      <w:r w:rsidRPr="0058641B">
        <w:t xml:space="preserve">For Stage II to III NSCLC, adjuvant treatment with platinum-based chemotherapy following surgery is recommended to improve survival outcomes. However, the proportion of patients who experience disease recurrence or who </w:t>
      </w:r>
      <w:r w:rsidR="002D6D61" w:rsidRPr="0058641B">
        <w:t xml:space="preserve">may </w:t>
      </w:r>
      <w:r w:rsidRPr="0058641B">
        <w:t xml:space="preserve">die </w:t>
      </w:r>
      <w:r w:rsidR="002D6D61" w:rsidRPr="0058641B">
        <w:t xml:space="preserve">from the disease </w:t>
      </w:r>
      <w:r w:rsidRPr="0058641B">
        <w:t>remains high, ranging from approximately 32% of patients with Stage IB disease to 68% of patients with Stage III disease.</w:t>
      </w:r>
    </w:p>
    <w:p w14:paraId="67CDE100" w14:textId="1CA68629" w:rsidR="002C2775" w:rsidRPr="0058641B" w:rsidRDefault="00525AB6" w:rsidP="004E18E9">
      <w:pPr>
        <w:pStyle w:val="3-BodyText"/>
      </w:pPr>
      <w:r w:rsidRPr="0058641B">
        <w:t>The submission stated that</w:t>
      </w:r>
      <w:r w:rsidR="005A5C60" w:rsidRPr="0058641B">
        <w:t xml:space="preserve"> PBS listing of ATZ would result in a reduction in </w:t>
      </w:r>
      <w:r w:rsidR="008A0A6D" w:rsidRPr="0058641B">
        <w:t xml:space="preserve">the prescribing </w:t>
      </w:r>
      <w:r w:rsidR="005A5C60" w:rsidRPr="0058641B">
        <w:t>of pembrolizumab in combination with chemotherapy</w:t>
      </w:r>
      <w:r w:rsidR="008A0A6D" w:rsidRPr="0058641B">
        <w:t>,</w:t>
      </w:r>
      <w:r w:rsidR="005A5C60" w:rsidRPr="0058641B">
        <w:t xml:space="preserve"> as a representative proxy for cancer immunotherapy utilisation</w:t>
      </w:r>
      <w:r w:rsidR="008A0A6D" w:rsidRPr="0058641B">
        <w:t>,</w:t>
      </w:r>
      <w:r w:rsidR="005A5C60" w:rsidRPr="0058641B">
        <w:t xml:space="preserve"> in </w:t>
      </w:r>
      <w:r w:rsidR="008A0A6D" w:rsidRPr="0058641B">
        <w:t>patients with</w:t>
      </w:r>
      <w:r w:rsidR="005A5C60" w:rsidRPr="0058641B">
        <w:t xml:space="preserve"> metastatic </w:t>
      </w:r>
      <w:r w:rsidR="002D6D61" w:rsidRPr="0058641B">
        <w:t>NSCLC</w:t>
      </w:r>
      <w:r w:rsidR="005A5C60" w:rsidRPr="0058641B">
        <w:t xml:space="preserve">. </w:t>
      </w:r>
    </w:p>
    <w:p w14:paraId="603DB3D6" w14:textId="6A6593AC" w:rsidR="007627BE" w:rsidRDefault="008E2499" w:rsidP="00515788">
      <w:pPr>
        <w:pStyle w:val="3-BodyText"/>
      </w:pPr>
      <w:r w:rsidRPr="0058641B">
        <w:t>ATZ is a humanised monoclonal anti-PD L1. ATZ binds selectively to PD-L1 on the surface of the tumour and immune cell</w:t>
      </w:r>
      <w:r w:rsidR="00DB6BC9" w:rsidRPr="0058641B">
        <w:t>s</w:t>
      </w:r>
      <w:r w:rsidR="008A0A6D" w:rsidRPr="0058641B">
        <w:t>,</w:t>
      </w:r>
      <w:r w:rsidRPr="0058641B">
        <w:t xml:space="preserve"> inhibiting the interactions </w:t>
      </w:r>
      <w:r w:rsidR="002D6D61" w:rsidRPr="0058641B">
        <w:t>between</w:t>
      </w:r>
      <w:r w:rsidRPr="0058641B">
        <w:t xml:space="preserve"> PD-L1 </w:t>
      </w:r>
      <w:r w:rsidR="002D6D61" w:rsidRPr="0058641B">
        <w:t xml:space="preserve">and </w:t>
      </w:r>
      <w:r w:rsidRPr="0058641B">
        <w:t>its receptors</w:t>
      </w:r>
      <w:r w:rsidR="008A0A6D" w:rsidRPr="0058641B">
        <w:t>,</w:t>
      </w:r>
      <w:r w:rsidRPr="0058641B">
        <w:t xml:space="preserve"> </w:t>
      </w:r>
      <w:r w:rsidR="002D6D61" w:rsidRPr="0058641B">
        <w:t>thereby</w:t>
      </w:r>
      <w:r w:rsidRPr="0058641B">
        <w:t xml:space="preserve"> </w:t>
      </w:r>
      <w:r w:rsidR="00515788" w:rsidRPr="0058641B">
        <w:t>restoring anti-cancer T-cell activity</w:t>
      </w:r>
      <w:r w:rsidRPr="0058641B">
        <w:t xml:space="preserve"> </w:t>
      </w:r>
      <w:r w:rsidR="00515788" w:rsidRPr="0058641B">
        <w:t>in the tumour microenvironment.</w:t>
      </w:r>
    </w:p>
    <w:p w14:paraId="3A28F5BB" w14:textId="77777777" w:rsidR="00B50DB8" w:rsidRPr="0058641B" w:rsidRDefault="00B50DB8" w:rsidP="004E18E9">
      <w:pPr>
        <w:pStyle w:val="2-SectionHeading"/>
      </w:pPr>
      <w:bookmarkStart w:id="17" w:name="_Toc101281139"/>
      <w:r w:rsidRPr="0058641B">
        <w:t>Comparator</w:t>
      </w:r>
      <w:bookmarkEnd w:id="17"/>
    </w:p>
    <w:p w14:paraId="5067CA5E" w14:textId="7DBCC8E6" w:rsidR="00A05472" w:rsidRPr="0088334F" w:rsidRDefault="00515788" w:rsidP="006D5320">
      <w:pPr>
        <w:pStyle w:val="3-BodyText"/>
        <w:rPr>
          <w:snapToGrid/>
        </w:rPr>
      </w:pPr>
      <w:r w:rsidRPr="0058641B">
        <w:t xml:space="preserve">The submission nominated observation or best supportive care (BSC) as the main comparator. Based on current guidelines, the standard of care for </w:t>
      </w:r>
      <w:proofErr w:type="gramStart"/>
      <w:r w:rsidRPr="0058641B">
        <w:t>early stage</w:t>
      </w:r>
      <w:proofErr w:type="gramEnd"/>
      <w:r w:rsidRPr="0058641B">
        <w:t xml:space="preserve"> NSCLC patients after complete resection, and followed by adjuvant platinum-based chemotherapy, is monitoring for disease recurrence. </w:t>
      </w:r>
    </w:p>
    <w:p w14:paraId="1D386BEC" w14:textId="77777777" w:rsidR="0088334F" w:rsidRPr="0088334F" w:rsidRDefault="0088334F" w:rsidP="0088334F">
      <w:pPr>
        <w:pStyle w:val="3-BodyText"/>
        <w:numPr>
          <w:ilvl w:val="0"/>
          <w:numId w:val="0"/>
        </w:numPr>
        <w:ind w:left="720"/>
        <w:rPr>
          <w:i/>
          <w:iCs/>
        </w:rPr>
      </w:pPr>
      <w:r w:rsidRPr="0088334F">
        <w:rPr>
          <w:i/>
          <w:iCs/>
        </w:rPr>
        <w:t>For more detail on PBAC’s view, see section 7 PBAC outcome.</w:t>
      </w:r>
    </w:p>
    <w:p w14:paraId="5E76EF17" w14:textId="77777777" w:rsidR="00223D5A" w:rsidRPr="0058641B" w:rsidRDefault="00223D5A" w:rsidP="00223D5A">
      <w:pPr>
        <w:pStyle w:val="2-SectionHeading"/>
      </w:pPr>
      <w:bookmarkStart w:id="18" w:name="_Toc101281140"/>
      <w:bookmarkStart w:id="19" w:name="_Toc22897640"/>
      <w:r w:rsidRPr="0058641B">
        <w:lastRenderedPageBreak/>
        <w:t>Consideration of the evidence</w:t>
      </w:r>
      <w:bookmarkEnd w:id="18"/>
    </w:p>
    <w:p w14:paraId="7078A36B" w14:textId="77777777" w:rsidR="00F71ABE" w:rsidRPr="00F71ABE" w:rsidRDefault="00F71ABE" w:rsidP="003F35E9">
      <w:pPr>
        <w:pStyle w:val="4-SubsectionHeading"/>
      </w:pPr>
      <w:bookmarkStart w:id="20" w:name="_Hlk76375935"/>
      <w:bookmarkStart w:id="21" w:name="_Toc101281141"/>
      <w:r w:rsidRPr="00F71ABE">
        <w:t>Sponsor hearing</w:t>
      </w:r>
    </w:p>
    <w:p w14:paraId="3EDBB7D7" w14:textId="73FD82FF" w:rsidR="00F71ABE" w:rsidRPr="00F71ABE" w:rsidRDefault="00F71ABE" w:rsidP="00F71ABE">
      <w:pPr>
        <w:widowControl w:val="0"/>
        <w:numPr>
          <w:ilvl w:val="1"/>
          <w:numId w:val="1"/>
        </w:numPr>
        <w:spacing w:after="120"/>
        <w:rPr>
          <w:rFonts w:cs="Calibri"/>
          <w:bCs/>
          <w:snapToGrid w:val="0"/>
        </w:rPr>
      </w:pPr>
      <w:r w:rsidRPr="00F71ABE">
        <w:rPr>
          <w:rFonts w:cs="Calibri"/>
          <w:bCs/>
          <w:snapToGrid w:val="0"/>
        </w:rPr>
        <w:t xml:space="preserve"> There was no hearing for this item.</w:t>
      </w:r>
    </w:p>
    <w:p w14:paraId="456EC92E" w14:textId="77777777" w:rsidR="00F71ABE" w:rsidRPr="00F13EEA" w:rsidRDefault="00F71ABE" w:rsidP="003F35E9">
      <w:pPr>
        <w:pStyle w:val="4-SubsectionHeading"/>
      </w:pPr>
      <w:r w:rsidRPr="00F13EEA">
        <w:t>Consumer comments</w:t>
      </w:r>
    </w:p>
    <w:p w14:paraId="4628C3C6" w14:textId="66E8FB5F" w:rsidR="00F71ABE" w:rsidRPr="00F13EEA" w:rsidRDefault="00F71ABE" w:rsidP="00F71ABE">
      <w:pPr>
        <w:widowControl w:val="0"/>
        <w:numPr>
          <w:ilvl w:val="1"/>
          <w:numId w:val="1"/>
        </w:numPr>
        <w:spacing w:after="120"/>
        <w:rPr>
          <w:rFonts w:asciiTheme="minorHAnsi" w:hAnsiTheme="minorHAnsi"/>
          <w:bCs/>
          <w:snapToGrid w:val="0"/>
        </w:rPr>
      </w:pPr>
      <w:bookmarkStart w:id="22" w:name="_Hlk76382618"/>
      <w:r w:rsidRPr="00F13EEA">
        <w:rPr>
          <w:rFonts w:asciiTheme="minorHAnsi" w:hAnsiTheme="minorHAnsi"/>
          <w:bCs/>
          <w:snapToGrid w:val="0"/>
        </w:rPr>
        <w:t>The PBAC noted and welcomed the input from two organisations</w:t>
      </w:r>
      <w:r w:rsidR="002B343F" w:rsidRPr="00F13EEA">
        <w:rPr>
          <w:rFonts w:asciiTheme="minorHAnsi" w:hAnsiTheme="minorHAnsi"/>
          <w:bCs/>
          <w:snapToGrid w:val="0"/>
        </w:rPr>
        <w:t>, the Lung Foundation Australia and the Medical Oncology Group of Australia,</w:t>
      </w:r>
      <w:r w:rsidRPr="00F13EEA">
        <w:rPr>
          <w:rFonts w:asciiTheme="minorHAnsi" w:hAnsiTheme="minorHAnsi"/>
          <w:bCs/>
          <w:snapToGrid w:val="0"/>
        </w:rPr>
        <w:t xml:space="preserve"> via the Consumer Comments facility on the PBS website.</w:t>
      </w:r>
      <w:r w:rsidR="002B343F" w:rsidRPr="00F13EEA">
        <w:rPr>
          <w:rFonts w:asciiTheme="minorHAnsi" w:hAnsiTheme="minorHAnsi"/>
          <w:bCs/>
          <w:snapToGrid w:val="0"/>
        </w:rPr>
        <w:t xml:space="preserve"> </w:t>
      </w:r>
    </w:p>
    <w:p w14:paraId="24EB6982" w14:textId="2A934925" w:rsidR="00F71ABE" w:rsidRPr="00F13EEA" w:rsidRDefault="002B343F" w:rsidP="00F71ABE">
      <w:pPr>
        <w:widowControl w:val="0"/>
        <w:numPr>
          <w:ilvl w:val="1"/>
          <w:numId w:val="1"/>
        </w:numPr>
        <w:spacing w:after="120"/>
        <w:rPr>
          <w:rFonts w:asciiTheme="minorHAnsi" w:hAnsiTheme="minorHAnsi"/>
          <w:bCs/>
          <w:snapToGrid w:val="0"/>
        </w:rPr>
      </w:pPr>
      <w:r w:rsidRPr="00F13EEA">
        <w:rPr>
          <w:rFonts w:asciiTheme="minorHAnsi" w:hAnsiTheme="minorHAnsi"/>
          <w:bCs/>
          <w:snapToGrid w:val="0"/>
        </w:rPr>
        <w:t xml:space="preserve">The Lung Foundation supported the listing of </w:t>
      </w:r>
      <w:r w:rsidR="00260FC9">
        <w:rPr>
          <w:rFonts w:asciiTheme="minorHAnsi" w:hAnsiTheme="minorHAnsi"/>
          <w:bCs/>
          <w:snapToGrid w:val="0"/>
        </w:rPr>
        <w:t>ATZ</w:t>
      </w:r>
      <w:r w:rsidRPr="00F13EEA">
        <w:rPr>
          <w:rFonts w:asciiTheme="minorHAnsi" w:hAnsiTheme="minorHAnsi"/>
          <w:bCs/>
          <w:snapToGrid w:val="0"/>
        </w:rPr>
        <w:t xml:space="preserve"> for NSCLC, noting that this listing would provide an additional choice of treatment, timely access, individualised treatment, reduced healthcare cost and improved lung cancer survival. </w:t>
      </w:r>
    </w:p>
    <w:p w14:paraId="486E184B" w14:textId="16C957A9" w:rsidR="00F71ABE" w:rsidRPr="00F13EEA" w:rsidRDefault="00F71ABE" w:rsidP="00F71ABE">
      <w:pPr>
        <w:widowControl w:val="0"/>
        <w:numPr>
          <w:ilvl w:val="1"/>
          <w:numId w:val="1"/>
        </w:numPr>
        <w:spacing w:after="120"/>
        <w:rPr>
          <w:rFonts w:asciiTheme="minorHAnsi" w:hAnsiTheme="minorHAnsi"/>
          <w:bCs/>
          <w:snapToGrid w:val="0"/>
        </w:rPr>
      </w:pPr>
      <w:r w:rsidRPr="00F13EEA">
        <w:rPr>
          <w:rFonts w:asciiTheme="minorHAnsi" w:hAnsiTheme="minorHAnsi"/>
          <w:bCs/>
          <w:snapToGrid w:val="0"/>
        </w:rPr>
        <w:t>The Medical Oncology Group of Australia (MOGA) also expressed its strong support for the</w:t>
      </w:r>
      <w:r w:rsidR="00260FC9">
        <w:rPr>
          <w:rFonts w:asciiTheme="minorHAnsi" w:hAnsiTheme="minorHAnsi"/>
          <w:bCs/>
          <w:snapToGrid w:val="0"/>
        </w:rPr>
        <w:t xml:space="preserve"> ATZ</w:t>
      </w:r>
      <w:r w:rsidR="00D028F1" w:rsidRPr="00F13EEA">
        <w:rPr>
          <w:rFonts w:asciiTheme="minorHAnsi" w:hAnsiTheme="minorHAnsi"/>
          <w:bCs/>
          <w:snapToGrid w:val="0"/>
        </w:rPr>
        <w:t xml:space="preserve"> for the adjuvant treatment of patients with PD-L1 positive NSCLC</w:t>
      </w:r>
      <w:r w:rsidRPr="00F13EEA">
        <w:rPr>
          <w:rFonts w:asciiTheme="minorHAnsi" w:hAnsiTheme="minorHAnsi"/>
          <w:bCs/>
          <w:snapToGrid w:val="0"/>
        </w:rPr>
        <w:t xml:space="preserve">, categorising it as one of the therapies of “highest priority for PBS listing” on the basis of the </w:t>
      </w:r>
      <w:proofErr w:type="spellStart"/>
      <w:r w:rsidRPr="00F13EEA">
        <w:rPr>
          <w:rFonts w:asciiTheme="minorHAnsi" w:hAnsiTheme="minorHAnsi"/>
          <w:bCs/>
          <w:snapToGrid w:val="0"/>
        </w:rPr>
        <w:t>IMpower</w:t>
      </w:r>
      <w:proofErr w:type="spellEnd"/>
      <w:r w:rsidRPr="00F13EEA">
        <w:rPr>
          <w:rFonts w:asciiTheme="minorHAnsi" w:hAnsiTheme="minorHAnsi"/>
          <w:bCs/>
          <w:snapToGrid w:val="0"/>
        </w:rPr>
        <w:t xml:space="preserve"> 010 trial.</w:t>
      </w:r>
      <w:r w:rsidR="00D028F1" w:rsidRPr="00F13EEA">
        <w:t xml:space="preserve"> </w:t>
      </w:r>
      <w:r w:rsidR="00D028F1" w:rsidRPr="00F13EEA">
        <w:rPr>
          <w:rFonts w:asciiTheme="minorHAnsi" w:hAnsiTheme="minorHAnsi"/>
          <w:bCs/>
          <w:snapToGrid w:val="0"/>
        </w:rPr>
        <w:t>The PBAC noted that the MOGA presented the European Society for Medical Oncology Magnitude of Clinical Benefit Scale (ESMO-MCBS) for atezolizumab, which was a Grade A. This is the highest grade (out of C, where A and B represent the grades with substantial improvement for new approaches to adjuvant therapy or new potentially curative therapies), based on a comparison with placebo in the Impower 010 trial</w:t>
      </w:r>
      <w:r w:rsidR="00D028F1" w:rsidRPr="00F13EEA">
        <w:rPr>
          <w:rStyle w:val="FootnoteReference"/>
          <w:rFonts w:asciiTheme="minorHAnsi" w:hAnsiTheme="minorHAnsi"/>
          <w:bCs/>
          <w:snapToGrid w:val="0"/>
        </w:rPr>
        <w:footnoteReference w:id="2"/>
      </w:r>
      <w:r w:rsidR="00D028F1" w:rsidRPr="00F13EEA">
        <w:rPr>
          <w:rFonts w:asciiTheme="minorHAnsi" w:hAnsiTheme="minorHAnsi"/>
          <w:bCs/>
          <w:snapToGrid w:val="0"/>
        </w:rPr>
        <w:t xml:space="preserve">. </w:t>
      </w:r>
      <w:r w:rsidRPr="00F13EEA">
        <w:rPr>
          <w:rFonts w:asciiTheme="minorHAnsi" w:hAnsiTheme="minorHAnsi"/>
          <w:bCs/>
          <w:snapToGrid w:val="0"/>
        </w:rPr>
        <w:t xml:space="preserve"> </w:t>
      </w:r>
    </w:p>
    <w:bookmarkEnd w:id="20"/>
    <w:bookmarkEnd w:id="22"/>
    <w:p w14:paraId="13BF2F28" w14:textId="20B62887" w:rsidR="00B60939" w:rsidRPr="0058641B" w:rsidRDefault="00B60939" w:rsidP="002E4F02">
      <w:pPr>
        <w:pStyle w:val="4-SubsectionHeading"/>
      </w:pPr>
      <w:r w:rsidRPr="0058641B">
        <w:t>Clinical trials</w:t>
      </w:r>
      <w:bookmarkEnd w:id="19"/>
      <w:bookmarkEnd w:id="21"/>
    </w:p>
    <w:p w14:paraId="3439FBE5" w14:textId="51A83A27" w:rsidR="00FE54E1" w:rsidRPr="0058641B" w:rsidRDefault="00AF6E21" w:rsidP="00AF6E21">
      <w:pPr>
        <w:pStyle w:val="3-BodyText"/>
      </w:pPr>
      <w:r w:rsidRPr="0058641B">
        <w:t xml:space="preserve">The submission was based on one head-to-head open-label randomised </w:t>
      </w:r>
      <w:r w:rsidR="00FE54E1" w:rsidRPr="0058641B">
        <w:t xml:space="preserve">controlled </w:t>
      </w:r>
      <w:r w:rsidRPr="0058641B">
        <w:t xml:space="preserve">trial </w:t>
      </w:r>
      <w:r w:rsidR="00FE54E1" w:rsidRPr="0058641B">
        <w:t xml:space="preserve">(IMpower010) </w:t>
      </w:r>
      <w:r w:rsidRPr="0058641B">
        <w:t xml:space="preserve">comparing ATZ to BSC following adjuvant cisplatin-based chemotherapy in patients with completely </w:t>
      </w:r>
      <w:r w:rsidR="00FE54E1" w:rsidRPr="0058641B">
        <w:t xml:space="preserve">resected </w:t>
      </w:r>
      <w:r w:rsidR="00483922" w:rsidRPr="0058641B">
        <w:t>Stage IB-IIIA NSCLC (</w:t>
      </w:r>
      <w:r w:rsidR="00B02C55" w:rsidRPr="0058641B">
        <w:t>i</w:t>
      </w:r>
      <w:r w:rsidR="00483922" w:rsidRPr="0058641B">
        <w:t>ntention to treat (</w:t>
      </w:r>
      <w:r w:rsidRPr="0058641B">
        <w:t>ITT</w:t>
      </w:r>
      <w:r w:rsidR="00483922" w:rsidRPr="0058641B">
        <w:t>) population</w:t>
      </w:r>
      <w:r w:rsidR="00FE54E1" w:rsidRPr="0058641B">
        <w:t>)</w:t>
      </w:r>
      <w:r w:rsidRPr="0058641B">
        <w:t xml:space="preserve">. </w:t>
      </w:r>
    </w:p>
    <w:p w14:paraId="6CC88165" w14:textId="25929A82" w:rsidR="00FE54E1" w:rsidRPr="0058641B" w:rsidRDefault="00AF6E21" w:rsidP="00AF6E21">
      <w:pPr>
        <w:pStyle w:val="3-BodyText"/>
      </w:pPr>
      <w:r w:rsidRPr="0058641B">
        <w:rPr>
          <w:snapToGrid/>
        </w:rPr>
        <w:t xml:space="preserve">PBS listing was requested for Stage II-IIIA NSCLC patients whose tumours express </w:t>
      </w:r>
      <w:r w:rsidR="00B54752" w:rsidRPr="0058641B">
        <w:rPr>
          <w:snapToGrid/>
        </w:rPr>
        <w:t>PD-L1 ≥ 1%</w:t>
      </w:r>
      <w:r w:rsidRPr="0058641B">
        <w:rPr>
          <w:snapToGrid/>
        </w:rPr>
        <w:t xml:space="preserve">. This </w:t>
      </w:r>
      <w:r w:rsidR="00B0001A">
        <w:rPr>
          <w:snapToGrid/>
        </w:rPr>
        <w:t>wa</w:t>
      </w:r>
      <w:r w:rsidRPr="0058641B">
        <w:rPr>
          <w:snapToGrid/>
        </w:rPr>
        <w:t>s consistent with the proposed TGA indication (draft PI)</w:t>
      </w:r>
      <w:r w:rsidR="00B23DB6" w:rsidRPr="0058641B">
        <w:rPr>
          <w:snapToGrid/>
        </w:rPr>
        <w:t xml:space="preserve"> </w:t>
      </w:r>
      <w:r w:rsidR="00A50070">
        <w:rPr>
          <w:snapToGrid/>
        </w:rPr>
        <w:t xml:space="preserve">provided with the submission </w:t>
      </w:r>
      <w:r w:rsidR="00B23DB6" w:rsidRPr="0058641B">
        <w:rPr>
          <w:snapToGrid/>
        </w:rPr>
        <w:t>and</w:t>
      </w:r>
      <w:r w:rsidR="00FE54E1" w:rsidRPr="0058641B">
        <w:rPr>
          <w:snapToGrid/>
        </w:rPr>
        <w:t xml:space="preserve"> represented a subgroup of the IMpower010 ITT population</w:t>
      </w:r>
      <w:r w:rsidR="00B23DB6" w:rsidRPr="0058641B">
        <w:rPr>
          <w:snapToGrid/>
        </w:rPr>
        <w:t>. T</w:t>
      </w:r>
      <w:r w:rsidRPr="0058641B">
        <w:rPr>
          <w:snapToGrid/>
        </w:rPr>
        <w:t xml:space="preserve">he </w:t>
      </w:r>
      <w:r w:rsidR="00E65DE1" w:rsidRPr="0058641B">
        <w:rPr>
          <w:snapToGrid/>
        </w:rPr>
        <w:t xml:space="preserve">pre-specified </w:t>
      </w:r>
      <w:r w:rsidRPr="0058641B">
        <w:rPr>
          <w:snapToGrid/>
        </w:rPr>
        <w:t xml:space="preserve">primary analysis of DFS was </w:t>
      </w:r>
      <w:r w:rsidR="00585510" w:rsidRPr="0058641B">
        <w:rPr>
          <w:snapToGrid/>
        </w:rPr>
        <w:t>based</w:t>
      </w:r>
      <w:r w:rsidRPr="0058641B">
        <w:rPr>
          <w:snapToGrid/>
        </w:rPr>
        <w:t xml:space="preserve"> </w:t>
      </w:r>
      <w:r w:rsidR="00585510" w:rsidRPr="0058641B">
        <w:rPr>
          <w:snapToGrid/>
        </w:rPr>
        <w:t xml:space="preserve">on this </w:t>
      </w:r>
      <w:r w:rsidRPr="0058641B">
        <w:rPr>
          <w:snapToGrid/>
        </w:rPr>
        <w:t>subgroup</w:t>
      </w:r>
      <w:r w:rsidR="00585510" w:rsidRPr="0058641B">
        <w:rPr>
          <w:snapToGrid/>
        </w:rPr>
        <w:t>.</w:t>
      </w:r>
    </w:p>
    <w:p w14:paraId="10F4BEC1" w14:textId="619950DA" w:rsidR="00686B98" w:rsidRPr="0058641B" w:rsidRDefault="00FE54E1" w:rsidP="002E4F02">
      <w:pPr>
        <w:pStyle w:val="3-BodyText"/>
        <w:rPr>
          <w:i/>
          <w:iCs/>
        </w:rPr>
      </w:pPr>
      <w:r w:rsidRPr="0058641B">
        <w:t xml:space="preserve">The submission also noted that the </w:t>
      </w:r>
      <w:r w:rsidR="00E65DE1" w:rsidRPr="0058641B">
        <w:t xml:space="preserve">PD-L1 threshold in the proposed restriction </w:t>
      </w:r>
      <w:r w:rsidRPr="0058641B">
        <w:t xml:space="preserve">may require re-specification should the final TGA indication restrict use of ATZ to </w:t>
      </w:r>
      <w:r w:rsidR="00E65DE1" w:rsidRPr="0058641B">
        <w:t>a</w:t>
      </w:r>
      <w:r w:rsidRPr="0058641B">
        <w:t xml:space="preserve"> narrower subgroup of patients with high PD-L1 expression (</w:t>
      </w:r>
      <w:r w:rsidR="00B54752" w:rsidRPr="0058641B">
        <w:t>PD-L1 ≥ 50%</w:t>
      </w:r>
      <w:r w:rsidRPr="0058641B">
        <w:t>).</w:t>
      </w:r>
      <w:r w:rsidRPr="0058641B">
        <w:rPr>
          <w:snapToGrid/>
        </w:rPr>
        <w:t xml:space="preserve"> </w:t>
      </w:r>
      <w:r w:rsidR="00E65DE1" w:rsidRPr="0058641B">
        <w:rPr>
          <w:snapToGrid/>
        </w:rPr>
        <w:t>Analysis of DFS for this subgroup was a pre-specified key secondary analysis in IMpower010.</w:t>
      </w:r>
      <w:r w:rsidR="00BC591F" w:rsidRPr="0058641B">
        <w:t xml:space="preserve"> </w:t>
      </w:r>
    </w:p>
    <w:p w14:paraId="71D00FD7" w14:textId="3A8EBCFB" w:rsidR="00862502" w:rsidRPr="0058641B" w:rsidRDefault="00A73134" w:rsidP="002E4F02">
      <w:pPr>
        <w:pStyle w:val="3-BodyText"/>
      </w:pPr>
      <w:r w:rsidRPr="0058641B">
        <w:rPr>
          <w:snapToGrid/>
        </w:rPr>
        <w:t xml:space="preserve">Details of the </w:t>
      </w:r>
      <w:r w:rsidR="00FE54E1" w:rsidRPr="0058641B">
        <w:rPr>
          <w:snapToGrid/>
        </w:rPr>
        <w:t>IMpower010 trial</w:t>
      </w:r>
      <w:r w:rsidRPr="0058641B">
        <w:rPr>
          <w:snapToGrid/>
        </w:rPr>
        <w:t xml:space="preserve"> </w:t>
      </w:r>
      <w:r w:rsidR="00FE54E1" w:rsidRPr="0058641B">
        <w:rPr>
          <w:snapToGrid/>
        </w:rPr>
        <w:t xml:space="preserve">are </w:t>
      </w:r>
      <w:r w:rsidRPr="0058641B">
        <w:rPr>
          <w:snapToGrid/>
        </w:rPr>
        <w:t>provided in the table below.</w:t>
      </w:r>
    </w:p>
    <w:p w14:paraId="533DB257" w14:textId="23C1827F" w:rsidR="00FE54E1" w:rsidRPr="0058641B" w:rsidRDefault="00FE54E1" w:rsidP="00FE54E1">
      <w:pPr>
        <w:pStyle w:val="TableFigureHeading"/>
      </w:pPr>
      <w:r w:rsidRPr="0058641B">
        <w:lastRenderedPageBreak/>
        <w:t xml:space="preserve">Table </w:t>
      </w:r>
      <w:fldSimple w:instr=" SEQ Table \* ARABIC ">
        <w:r w:rsidR="0043151A">
          <w:rPr>
            <w:noProof/>
          </w:rPr>
          <w:t>2</w:t>
        </w:r>
      </w:fldSimple>
      <w:r w:rsidRPr="0058641B">
        <w:t xml:space="preserve">: </w:t>
      </w:r>
      <w:r w:rsidRPr="0058641B">
        <w:rPr>
          <w:rStyle w:val="CommentReference"/>
          <w:b/>
          <w:szCs w:val="24"/>
        </w:rPr>
        <w:t xml:space="preserve">Trials and associated reports presented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FE54E1" w:rsidRPr="002767E8" w14:paraId="16FB13E9" w14:textId="77777777" w:rsidTr="00E65DE1">
        <w:trPr>
          <w:tblHeader/>
        </w:trPr>
        <w:tc>
          <w:tcPr>
            <w:tcW w:w="796" w:type="pct"/>
            <w:tcBorders>
              <w:bottom w:val="single" w:sz="4" w:space="0" w:color="auto"/>
            </w:tcBorders>
            <w:vAlign w:val="center"/>
          </w:tcPr>
          <w:p w14:paraId="00EFA2BA" w14:textId="77777777" w:rsidR="00FE54E1" w:rsidRPr="002767E8" w:rsidRDefault="00FE54E1" w:rsidP="0025747F">
            <w:pPr>
              <w:pStyle w:val="TableFigureFooter"/>
              <w:rPr>
                <w:b/>
                <w:sz w:val="20"/>
                <w:szCs w:val="20"/>
              </w:rPr>
            </w:pPr>
            <w:r w:rsidRPr="002767E8">
              <w:rPr>
                <w:b/>
                <w:sz w:val="20"/>
                <w:szCs w:val="20"/>
              </w:rPr>
              <w:t>Trial ID</w:t>
            </w:r>
          </w:p>
        </w:tc>
        <w:tc>
          <w:tcPr>
            <w:tcW w:w="3027" w:type="pct"/>
            <w:tcBorders>
              <w:bottom w:val="single" w:sz="4" w:space="0" w:color="auto"/>
            </w:tcBorders>
            <w:vAlign w:val="center"/>
          </w:tcPr>
          <w:p w14:paraId="04427B5C" w14:textId="77777777" w:rsidR="00FE54E1" w:rsidRPr="002767E8" w:rsidRDefault="00FE54E1" w:rsidP="0025747F">
            <w:pPr>
              <w:pStyle w:val="TableFigureFooter"/>
              <w:rPr>
                <w:b/>
                <w:sz w:val="20"/>
                <w:szCs w:val="20"/>
              </w:rPr>
            </w:pPr>
            <w:r w:rsidRPr="002767E8">
              <w:rPr>
                <w:b/>
                <w:sz w:val="20"/>
                <w:szCs w:val="20"/>
              </w:rPr>
              <w:t>Protocol title/ Publication title</w:t>
            </w:r>
          </w:p>
        </w:tc>
        <w:tc>
          <w:tcPr>
            <w:tcW w:w="1177" w:type="pct"/>
            <w:tcBorders>
              <w:bottom w:val="single" w:sz="4" w:space="0" w:color="auto"/>
            </w:tcBorders>
            <w:vAlign w:val="center"/>
          </w:tcPr>
          <w:p w14:paraId="05833E56" w14:textId="77777777" w:rsidR="00FE54E1" w:rsidRPr="002767E8" w:rsidRDefault="00FE54E1" w:rsidP="0025747F">
            <w:pPr>
              <w:pStyle w:val="TableFigureFooter"/>
              <w:rPr>
                <w:b/>
                <w:sz w:val="20"/>
                <w:szCs w:val="20"/>
              </w:rPr>
            </w:pPr>
            <w:r w:rsidRPr="002767E8">
              <w:rPr>
                <w:b/>
                <w:sz w:val="20"/>
                <w:szCs w:val="20"/>
              </w:rPr>
              <w:t>Publication citation</w:t>
            </w:r>
          </w:p>
        </w:tc>
      </w:tr>
      <w:tr w:rsidR="00E65DE1" w:rsidRPr="002767E8" w14:paraId="07F8E585" w14:textId="77777777" w:rsidTr="005731C1">
        <w:trPr>
          <w:tblHeader/>
        </w:trPr>
        <w:tc>
          <w:tcPr>
            <w:tcW w:w="796" w:type="pct"/>
            <w:vMerge w:val="restart"/>
            <w:vAlign w:val="center"/>
          </w:tcPr>
          <w:p w14:paraId="3937A1B8" w14:textId="77777777" w:rsidR="00E65DE1" w:rsidRPr="002767E8" w:rsidRDefault="00E65DE1" w:rsidP="0025747F">
            <w:pPr>
              <w:pStyle w:val="TableFigureFooter"/>
              <w:rPr>
                <w:bCs/>
                <w:sz w:val="20"/>
                <w:szCs w:val="20"/>
              </w:rPr>
            </w:pPr>
            <w:r w:rsidRPr="002767E8">
              <w:rPr>
                <w:bCs/>
                <w:sz w:val="20"/>
                <w:szCs w:val="20"/>
              </w:rPr>
              <w:t>IMpower010</w:t>
            </w:r>
          </w:p>
          <w:p w14:paraId="2643F094" w14:textId="77777777" w:rsidR="00E65DE1" w:rsidRPr="002767E8" w:rsidRDefault="00E65DE1" w:rsidP="0025747F">
            <w:pPr>
              <w:pStyle w:val="TableFigureFooter"/>
              <w:rPr>
                <w:bCs/>
                <w:sz w:val="20"/>
                <w:szCs w:val="20"/>
              </w:rPr>
            </w:pPr>
            <w:r w:rsidRPr="002767E8">
              <w:rPr>
                <w:bCs/>
                <w:sz w:val="20"/>
                <w:szCs w:val="20"/>
              </w:rPr>
              <w:t>(NCT02486718)</w:t>
            </w:r>
          </w:p>
          <w:p w14:paraId="1771245A" w14:textId="77777777" w:rsidR="00E65DE1" w:rsidRPr="002767E8" w:rsidRDefault="00E65DE1" w:rsidP="0025747F">
            <w:pPr>
              <w:pStyle w:val="TableFigureFooter"/>
              <w:rPr>
                <w:bCs/>
                <w:sz w:val="20"/>
                <w:szCs w:val="20"/>
                <w:highlight w:val="yellow"/>
              </w:rPr>
            </w:pPr>
          </w:p>
        </w:tc>
        <w:tc>
          <w:tcPr>
            <w:tcW w:w="3027" w:type="pct"/>
            <w:tcBorders>
              <w:bottom w:val="nil"/>
            </w:tcBorders>
            <w:vAlign w:val="center"/>
          </w:tcPr>
          <w:p w14:paraId="6A8C4837" w14:textId="77777777" w:rsidR="00E65DE1" w:rsidRPr="002767E8" w:rsidRDefault="00E65DE1" w:rsidP="00644DC1">
            <w:pPr>
              <w:pStyle w:val="TableFigureFooter"/>
              <w:jc w:val="left"/>
              <w:rPr>
                <w:bCs/>
                <w:sz w:val="20"/>
                <w:szCs w:val="20"/>
              </w:rPr>
            </w:pPr>
            <w:r w:rsidRPr="002767E8">
              <w:rPr>
                <w:bCs/>
                <w:sz w:val="20"/>
                <w:szCs w:val="20"/>
              </w:rPr>
              <w:t xml:space="preserve">IMpower010 Clinical Study Report: A Phase III, Open-Label, Randomized Study to Investigate the Efficacy and Safety of Atezolizumab (Anti-PD-L1 Antibody) Compared with Best Supportive Care Following Adjuvant Cisplatin-Based Chemotherapy in Patients with Completely Resected Stage IB-IIIA Non-Small Cell Lung Cancer. Report No. 1106726. </w:t>
            </w:r>
            <w:proofErr w:type="gramStart"/>
            <w:r w:rsidRPr="002767E8">
              <w:rPr>
                <w:bCs/>
                <w:sz w:val="20"/>
                <w:szCs w:val="20"/>
              </w:rPr>
              <w:t>May,</w:t>
            </w:r>
            <w:proofErr w:type="gramEnd"/>
            <w:r w:rsidRPr="002767E8">
              <w:rPr>
                <w:bCs/>
                <w:sz w:val="20"/>
                <w:szCs w:val="20"/>
              </w:rPr>
              <w:t xml:space="preserve"> 2021.</w:t>
            </w:r>
          </w:p>
        </w:tc>
        <w:tc>
          <w:tcPr>
            <w:tcW w:w="1177" w:type="pct"/>
            <w:tcBorders>
              <w:bottom w:val="nil"/>
            </w:tcBorders>
            <w:vAlign w:val="center"/>
          </w:tcPr>
          <w:p w14:paraId="22BB56AD" w14:textId="77777777" w:rsidR="00E65DE1" w:rsidRPr="002767E8" w:rsidRDefault="00E65DE1" w:rsidP="00644DC1">
            <w:pPr>
              <w:pStyle w:val="TableFigureFooter"/>
              <w:jc w:val="left"/>
              <w:rPr>
                <w:bCs/>
                <w:sz w:val="20"/>
                <w:szCs w:val="20"/>
                <w:highlight w:val="yellow"/>
              </w:rPr>
            </w:pPr>
            <w:r w:rsidRPr="002767E8">
              <w:rPr>
                <w:bCs/>
                <w:sz w:val="20"/>
                <w:szCs w:val="20"/>
              </w:rPr>
              <w:t>Report No. 1106726. May, 2021</w:t>
            </w:r>
          </w:p>
        </w:tc>
      </w:tr>
      <w:tr w:rsidR="00E65DE1" w:rsidRPr="002767E8" w14:paraId="46103CC1" w14:textId="77777777" w:rsidTr="00E65DE1">
        <w:trPr>
          <w:trHeight w:val="861"/>
          <w:tblHeader/>
        </w:trPr>
        <w:tc>
          <w:tcPr>
            <w:tcW w:w="796" w:type="pct"/>
            <w:vMerge/>
            <w:vAlign w:val="center"/>
          </w:tcPr>
          <w:p w14:paraId="7289DB68" w14:textId="77777777" w:rsidR="00E65DE1" w:rsidRPr="002767E8" w:rsidRDefault="00E65DE1" w:rsidP="0025747F">
            <w:pPr>
              <w:pStyle w:val="TableFigureFooter"/>
              <w:rPr>
                <w:bCs/>
                <w:sz w:val="20"/>
                <w:szCs w:val="20"/>
                <w:highlight w:val="yellow"/>
              </w:rPr>
            </w:pPr>
          </w:p>
        </w:tc>
        <w:tc>
          <w:tcPr>
            <w:tcW w:w="3027" w:type="pct"/>
            <w:tcBorders>
              <w:top w:val="nil"/>
              <w:bottom w:val="nil"/>
            </w:tcBorders>
            <w:vAlign w:val="center"/>
          </w:tcPr>
          <w:p w14:paraId="2DB3188C" w14:textId="77777777" w:rsidR="00E65DE1" w:rsidRPr="002767E8" w:rsidRDefault="00E65DE1" w:rsidP="00644DC1">
            <w:pPr>
              <w:pStyle w:val="TableFigureFooter"/>
              <w:jc w:val="left"/>
              <w:rPr>
                <w:bCs/>
                <w:sz w:val="20"/>
                <w:szCs w:val="20"/>
              </w:rPr>
            </w:pPr>
            <w:r w:rsidRPr="00073D5D">
              <w:rPr>
                <w:bCs/>
                <w:sz w:val="20"/>
                <w:szCs w:val="20"/>
                <w:lang w:val="pt-BR"/>
              </w:rPr>
              <w:t xml:space="preserve">Felip E, Altorki N, Zhou C, et al. </w:t>
            </w:r>
            <w:r w:rsidRPr="002767E8">
              <w:rPr>
                <w:bCs/>
                <w:sz w:val="20"/>
                <w:szCs w:val="20"/>
              </w:rPr>
              <w:t xml:space="preserve">Adjuvant atezolizumab after adjuvant chemotherapy in resected stage IB-IIIA non-small-cell lung cancer (IMpower010): a randomised, multicentre, open-label, phase 3 trial. </w:t>
            </w:r>
          </w:p>
        </w:tc>
        <w:tc>
          <w:tcPr>
            <w:tcW w:w="1177" w:type="pct"/>
            <w:tcBorders>
              <w:top w:val="nil"/>
              <w:bottom w:val="nil"/>
            </w:tcBorders>
            <w:vAlign w:val="center"/>
          </w:tcPr>
          <w:p w14:paraId="4AC17EC3" w14:textId="1A02F500" w:rsidR="00E65DE1" w:rsidRPr="002767E8" w:rsidRDefault="00E65DE1" w:rsidP="00644DC1">
            <w:pPr>
              <w:pStyle w:val="TableFigureFooter"/>
              <w:jc w:val="left"/>
              <w:rPr>
                <w:bCs/>
                <w:sz w:val="20"/>
                <w:szCs w:val="20"/>
              </w:rPr>
            </w:pPr>
            <w:r w:rsidRPr="002767E8">
              <w:rPr>
                <w:bCs/>
                <w:sz w:val="20"/>
                <w:szCs w:val="20"/>
              </w:rPr>
              <w:t>Lancet 2021; 398(10308):1344-571.</w:t>
            </w:r>
          </w:p>
          <w:p w14:paraId="7C28D8C0" w14:textId="77777777" w:rsidR="00E65DE1" w:rsidRPr="002767E8" w:rsidRDefault="00E65DE1" w:rsidP="00644DC1">
            <w:pPr>
              <w:pStyle w:val="TableFigureFooter"/>
              <w:jc w:val="left"/>
              <w:rPr>
                <w:bCs/>
                <w:sz w:val="20"/>
                <w:szCs w:val="20"/>
                <w:highlight w:val="yellow"/>
              </w:rPr>
            </w:pPr>
          </w:p>
        </w:tc>
      </w:tr>
      <w:tr w:rsidR="00E65DE1" w:rsidRPr="002767E8" w14:paraId="1472D859" w14:textId="77777777" w:rsidTr="00E65DE1">
        <w:trPr>
          <w:trHeight w:val="861"/>
          <w:tblHeader/>
        </w:trPr>
        <w:tc>
          <w:tcPr>
            <w:tcW w:w="796" w:type="pct"/>
            <w:vMerge/>
            <w:tcBorders>
              <w:bottom w:val="single" w:sz="4" w:space="0" w:color="auto"/>
            </w:tcBorders>
            <w:vAlign w:val="center"/>
          </w:tcPr>
          <w:p w14:paraId="09EB2918" w14:textId="77777777" w:rsidR="00E65DE1" w:rsidRPr="002767E8" w:rsidRDefault="00E65DE1" w:rsidP="0025747F">
            <w:pPr>
              <w:pStyle w:val="TableFigureFooter"/>
              <w:rPr>
                <w:bCs/>
                <w:sz w:val="20"/>
                <w:szCs w:val="20"/>
                <w:highlight w:val="yellow"/>
              </w:rPr>
            </w:pPr>
          </w:p>
        </w:tc>
        <w:tc>
          <w:tcPr>
            <w:tcW w:w="3027" w:type="pct"/>
            <w:tcBorders>
              <w:top w:val="nil"/>
              <w:bottom w:val="single" w:sz="4" w:space="0" w:color="auto"/>
            </w:tcBorders>
            <w:vAlign w:val="center"/>
          </w:tcPr>
          <w:p w14:paraId="1D9422A9" w14:textId="54FF5460" w:rsidR="00E65DE1" w:rsidRPr="002767E8" w:rsidRDefault="00E65DE1" w:rsidP="00644DC1">
            <w:pPr>
              <w:pStyle w:val="TableFigureFooter"/>
              <w:jc w:val="left"/>
              <w:rPr>
                <w:bCs/>
                <w:sz w:val="20"/>
                <w:szCs w:val="20"/>
              </w:rPr>
            </w:pPr>
            <w:proofErr w:type="spellStart"/>
            <w:r w:rsidRPr="002767E8">
              <w:rPr>
                <w:bCs/>
                <w:sz w:val="20"/>
                <w:szCs w:val="20"/>
              </w:rPr>
              <w:t>Felip</w:t>
            </w:r>
            <w:proofErr w:type="spellEnd"/>
            <w:r w:rsidRPr="002767E8">
              <w:rPr>
                <w:bCs/>
                <w:sz w:val="20"/>
                <w:szCs w:val="20"/>
              </w:rPr>
              <w:t xml:space="preserve"> E et al.</w:t>
            </w:r>
            <w:r w:rsidRPr="002767E8">
              <w:rPr>
                <w:sz w:val="20"/>
                <w:szCs w:val="20"/>
              </w:rPr>
              <w:t xml:space="preserve"> </w:t>
            </w:r>
            <w:r w:rsidRPr="002767E8">
              <w:rPr>
                <w:bCs/>
                <w:sz w:val="20"/>
                <w:szCs w:val="20"/>
              </w:rPr>
              <w:t>IMpower010: Sites of relapse and subsequent therapy from a phase III study of atezolizumab vs best supportive care after adjuvant chemotherapy in stage IB–IIIA NSCLC</w:t>
            </w:r>
          </w:p>
        </w:tc>
        <w:tc>
          <w:tcPr>
            <w:tcW w:w="1177" w:type="pct"/>
            <w:tcBorders>
              <w:top w:val="nil"/>
            </w:tcBorders>
            <w:vAlign w:val="center"/>
          </w:tcPr>
          <w:p w14:paraId="570275ED" w14:textId="135084EE" w:rsidR="00E65DE1" w:rsidRPr="002767E8" w:rsidRDefault="00E65DE1" w:rsidP="00644DC1">
            <w:pPr>
              <w:pStyle w:val="TableFigureFooter"/>
              <w:jc w:val="left"/>
              <w:rPr>
                <w:bCs/>
                <w:sz w:val="20"/>
                <w:szCs w:val="20"/>
              </w:rPr>
            </w:pPr>
            <w:r w:rsidRPr="002767E8">
              <w:rPr>
                <w:bCs/>
                <w:sz w:val="20"/>
                <w:szCs w:val="20"/>
              </w:rPr>
              <w:t>Annals of Oncology 2021; 32 (Suppl. 5):S1283-S1346.</w:t>
            </w:r>
          </w:p>
        </w:tc>
      </w:tr>
    </w:tbl>
    <w:p w14:paraId="7449C36E" w14:textId="413DFFC6" w:rsidR="00FE54E1" w:rsidRDefault="00FE54E1" w:rsidP="00FE54E1">
      <w:pPr>
        <w:pStyle w:val="TableFooter"/>
      </w:pPr>
      <w:r w:rsidRPr="0058641B">
        <w:t>Source: Table 2.4, p28 of the submission.</w:t>
      </w:r>
    </w:p>
    <w:p w14:paraId="028A27E0" w14:textId="77777777" w:rsidR="001764B6" w:rsidRPr="001764B6" w:rsidRDefault="001764B6" w:rsidP="00FE54E1">
      <w:pPr>
        <w:pStyle w:val="TableFooter"/>
      </w:pPr>
    </w:p>
    <w:p w14:paraId="36F46F36" w14:textId="1CC49F4A" w:rsidR="007F1017" w:rsidRPr="0058641B" w:rsidRDefault="008F120A" w:rsidP="00635E4D">
      <w:pPr>
        <w:pStyle w:val="3-BodyText"/>
        <w:rPr>
          <w:color w:val="0066FF"/>
        </w:rPr>
      </w:pPr>
      <w:r w:rsidRPr="0058641B">
        <w:t>The key features of the direct randomised trial are summarised in the table below.</w:t>
      </w:r>
      <w:r w:rsidR="00BC591F" w:rsidRPr="0058641B">
        <w:t xml:space="preserve"> </w:t>
      </w:r>
    </w:p>
    <w:p w14:paraId="6C3CF840" w14:textId="3F8A1C3D" w:rsidR="0015289E" w:rsidRPr="0058641B" w:rsidRDefault="0015289E" w:rsidP="00405321">
      <w:pPr>
        <w:pStyle w:val="TableFigureHeading"/>
        <w:keepLines/>
      </w:pPr>
      <w:r w:rsidRPr="0058641B">
        <w:t xml:space="preserve">Table </w:t>
      </w:r>
      <w:fldSimple w:instr=" SEQ Table \* ARABIC ">
        <w:r w:rsidR="0043151A">
          <w:rPr>
            <w:noProof/>
          </w:rPr>
          <w:t>3</w:t>
        </w:r>
      </w:fldSimple>
      <w:r w:rsidRPr="0058641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s"/>
      </w:tblPr>
      <w:tblGrid>
        <w:gridCol w:w="1011"/>
        <w:gridCol w:w="685"/>
        <w:gridCol w:w="1968"/>
        <w:gridCol w:w="1149"/>
        <w:gridCol w:w="1958"/>
        <w:gridCol w:w="859"/>
        <w:gridCol w:w="1387"/>
      </w:tblGrid>
      <w:tr w:rsidR="0015289E" w:rsidRPr="0058641B" w14:paraId="4C6BB9FE" w14:textId="77777777" w:rsidTr="00EA56B9">
        <w:trPr>
          <w:trHeight w:val="432"/>
          <w:tblHeader/>
        </w:trPr>
        <w:tc>
          <w:tcPr>
            <w:tcW w:w="561" w:type="pct"/>
            <w:shd w:val="clear" w:color="auto" w:fill="auto"/>
            <w:vAlign w:val="center"/>
          </w:tcPr>
          <w:p w14:paraId="7A0C9393" w14:textId="77777777" w:rsidR="0015289E" w:rsidRPr="0058641B" w:rsidRDefault="0015289E" w:rsidP="00405321">
            <w:pPr>
              <w:pStyle w:val="Tabletext"/>
              <w:keepNext/>
              <w:keepLines/>
              <w:rPr>
                <w:b/>
              </w:rPr>
            </w:pPr>
            <w:r w:rsidRPr="0058641B">
              <w:rPr>
                <w:b/>
              </w:rPr>
              <w:t>Trial</w:t>
            </w:r>
          </w:p>
        </w:tc>
        <w:tc>
          <w:tcPr>
            <w:tcW w:w="380" w:type="pct"/>
            <w:shd w:val="clear" w:color="auto" w:fill="auto"/>
            <w:vAlign w:val="center"/>
          </w:tcPr>
          <w:p w14:paraId="4F8676FF" w14:textId="77777777" w:rsidR="0015289E" w:rsidRPr="0058641B" w:rsidRDefault="0015289E" w:rsidP="00405321">
            <w:pPr>
              <w:pStyle w:val="Tabletext"/>
              <w:keepNext/>
              <w:keepLines/>
              <w:jc w:val="center"/>
              <w:rPr>
                <w:b/>
              </w:rPr>
            </w:pPr>
            <w:r w:rsidRPr="0058641B">
              <w:rPr>
                <w:b/>
              </w:rPr>
              <w:t>N</w:t>
            </w:r>
          </w:p>
        </w:tc>
        <w:tc>
          <w:tcPr>
            <w:tcW w:w="1091" w:type="pct"/>
            <w:shd w:val="clear" w:color="auto" w:fill="auto"/>
            <w:vAlign w:val="center"/>
          </w:tcPr>
          <w:p w14:paraId="748FF391" w14:textId="77777777" w:rsidR="0015289E" w:rsidRPr="0058641B" w:rsidRDefault="0015289E" w:rsidP="00405321">
            <w:pPr>
              <w:pStyle w:val="Tabletext"/>
              <w:keepNext/>
              <w:keepLines/>
              <w:jc w:val="center"/>
              <w:rPr>
                <w:b/>
              </w:rPr>
            </w:pPr>
            <w:r w:rsidRPr="0058641B">
              <w:rPr>
                <w:b/>
              </w:rPr>
              <w:t>Design/ duration</w:t>
            </w:r>
          </w:p>
        </w:tc>
        <w:tc>
          <w:tcPr>
            <w:tcW w:w="637" w:type="pct"/>
            <w:shd w:val="clear" w:color="auto" w:fill="auto"/>
            <w:vAlign w:val="center"/>
          </w:tcPr>
          <w:p w14:paraId="51800732" w14:textId="77777777" w:rsidR="0015289E" w:rsidRPr="0058641B" w:rsidRDefault="0015289E" w:rsidP="00405321">
            <w:pPr>
              <w:pStyle w:val="Tabletext"/>
              <w:keepNext/>
              <w:keepLines/>
              <w:jc w:val="center"/>
              <w:rPr>
                <w:b/>
              </w:rPr>
            </w:pPr>
            <w:r w:rsidRPr="0058641B">
              <w:rPr>
                <w:b/>
              </w:rPr>
              <w:t>Risk of bias</w:t>
            </w:r>
          </w:p>
        </w:tc>
        <w:tc>
          <w:tcPr>
            <w:tcW w:w="1086" w:type="pct"/>
            <w:shd w:val="clear" w:color="auto" w:fill="auto"/>
            <w:vAlign w:val="center"/>
          </w:tcPr>
          <w:p w14:paraId="24BDC4A9" w14:textId="41D32FEE" w:rsidR="0015289E" w:rsidRPr="0058641B" w:rsidRDefault="0015289E" w:rsidP="00405321">
            <w:pPr>
              <w:pStyle w:val="Tabletext"/>
              <w:keepNext/>
              <w:keepLines/>
              <w:jc w:val="center"/>
              <w:rPr>
                <w:b/>
              </w:rPr>
            </w:pPr>
            <w:r w:rsidRPr="0058641B">
              <w:rPr>
                <w:b/>
              </w:rPr>
              <w:t>NSCLC patient population</w:t>
            </w:r>
          </w:p>
          <w:p w14:paraId="37A0FD61" w14:textId="601C6569" w:rsidR="0015289E" w:rsidRPr="0058641B" w:rsidRDefault="0015289E" w:rsidP="00EA56B9">
            <w:pPr>
              <w:pStyle w:val="Tabletext"/>
              <w:keepNext/>
              <w:keepLines/>
              <w:jc w:val="center"/>
              <w:rPr>
                <w:b/>
              </w:rPr>
            </w:pPr>
            <w:r w:rsidRPr="0058641B">
              <w:rPr>
                <w:b/>
              </w:rPr>
              <w:t>(Adjuvant setting)</w:t>
            </w:r>
          </w:p>
        </w:tc>
        <w:tc>
          <w:tcPr>
            <w:tcW w:w="476" w:type="pct"/>
            <w:shd w:val="clear" w:color="auto" w:fill="auto"/>
            <w:vAlign w:val="center"/>
          </w:tcPr>
          <w:p w14:paraId="36254183" w14:textId="77777777" w:rsidR="0015289E" w:rsidRPr="0058641B" w:rsidRDefault="0015289E" w:rsidP="00405321">
            <w:pPr>
              <w:pStyle w:val="Tabletext"/>
              <w:keepNext/>
              <w:keepLines/>
              <w:jc w:val="center"/>
              <w:rPr>
                <w:b/>
              </w:rPr>
            </w:pPr>
            <w:r w:rsidRPr="0058641B">
              <w:rPr>
                <w:b/>
              </w:rPr>
              <w:t>Outcomes</w:t>
            </w:r>
          </w:p>
        </w:tc>
        <w:tc>
          <w:tcPr>
            <w:tcW w:w="769" w:type="pct"/>
            <w:shd w:val="clear" w:color="auto" w:fill="auto"/>
            <w:vAlign w:val="center"/>
          </w:tcPr>
          <w:p w14:paraId="4E4F1F2C" w14:textId="77777777" w:rsidR="0015289E" w:rsidRPr="0058641B" w:rsidRDefault="0015289E" w:rsidP="00405321">
            <w:pPr>
              <w:pStyle w:val="Tabletext"/>
              <w:keepNext/>
              <w:keepLines/>
              <w:jc w:val="center"/>
              <w:rPr>
                <w:b/>
              </w:rPr>
            </w:pPr>
            <w:r w:rsidRPr="0058641B">
              <w:rPr>
                <w:b/>
              </w:rPr>
              <w:t>Use in modelled evaluation</w:t>
            </w:r>
          </w:p>
        </w:tc>
      </w:tr>
      <w:tr w:rsidR="0015289E" w:rsidRPr="0058641B" w14:paraId="48BB1402" w14:textId="77777777" w:rsidTr="00EA56B9">
        <w:tc>
          <w:tcPr>
            <w:tcW w:w="561" w:type="pct"/>
            <w:shd w:val="clear" w:color="auto" w:fill="auto"/>
            <w:vAlign w:val="center"/>
          </w:tcPr>
          <w:p w14:paraId="4B0739B6" w14:textId="1FBB022F" w:rsidR="0015289E" w:rsidRPr="0058641B" w:rsidRDefault="0015289E" w:rsidP="00405321">
            <w:pPr>
              <w:pStyle w:val="Tabletext"/>
              <w:keepNext/>
              <w:keepLines/>
            </w:pPr>
            <w:r w:rsidRPr="0058641B">
              <w:t>IMpower010</w:t>
            </w:r>
          </w:p>
        </w:tc>
        <w:tc>
          <w:tcPr>
            <w:tcW w:w="380" w:type="pct"/>
            <w:shd w:val="clear" w:color="auto" w:fill="auto"/>
            <w:vAlign w:val="center"/>
          </w:tcPr>
          <w:p w14:paraId="6F3DE06B" w14:textId="0BF2356E" w:rsidR="0015289E" w:rsidRPr="0058641B" w:rsidRDefault="0015289E" w:rsidP="00405321">
            <w:pPr>
              <w:pStyle w:val="Tabletext"/>
              <w:keepNext/>
              <w:keepLines/>
              <w:jc w:val="center"/>
              <w:rPr>
                <w:vertAlign w:val="superscript"/>
              </w:rPr>
            </w:pPr>
            <w:r w:rsidRPr="0058641B">
              <w:t>1005</w:t>
            </w:r>
          </w:p>
        </w:tc>
        <w:tc>
          <w:tcPr>
            <w:tcW w:w="1091" w:type="pct"/>
            <w:shd w:val="clear" w:color="auto" w:fill="auto"/>
            <w:vAlign w:val="center"/>
          </w:tcPr>
          <w:p w14:paraId="299205B0" w14:textId="77777777" w:rsidR="002A2C8A" w:rsidRPr="0058641B" w:rsidRDefault="002A2C8A" w:rsidP="00405321">
            <w:pPr>
              <w:pStyle w:val="Tabletext"/>
              <w:keepNext/>
              <w:keepLines/>
              <w:jc w:val="center"/>
            </w:pPr>
            <w:r w:rsidRPr="0058641B">
              <w:t>ATZ vs. BSC</w:t>
            </w:r>
          </w:p>
          <w:p w14:paraId="33D758E4" w14:textId="15A3020A" w:rsidR="0015289E" w:rsidRPr="0058641B" w:rsidRDefault="0015289E" w:rsidP="00405321">
            <w:pPr>
              <w:pStyle w:val="Tabletext"/>
              <w:keepNext/>
              <w:keepLines/>
              <w:jc w:val="center"/>
            </w:pPr>
            <w:r w:rsidRPr="0058641B">
              <w:t>R, OL</w:t>
            </w:r>
          </w:p>
          <w:p w14:paraId="6779EB95" w14:textId="77C851D5" w:rsidR="0015289E" w:rsidRPr="0058641B" w:rsidRDefault="0015289E" w:rsidP="00405321">
            <w:pPr>
              <w:pStyle w:val="Tabletext"/>
              <w:keepNext/>
              <w:keepLines/>
              <w:jc w:val="center"/>
            </w:pPr>
            <w:r w:rsidRPr="0058641B">
              <w:t xml:space="preserve">Median </w:t>
            </w:r>
            <w:r w:rsidR="00A54A73" w:rsidRPr="0058641B">
              <w:t xml:space="preserve">follow-up for OS ~32 </w:t>
            </w:r>
            <w:r w:rsidRPr="0058641B">
              <w:t>m</w:t>
            </w:r>
            <w:r w:rsidR="00A54A73" w:rsidRPr="0058641B">
              <w:t>on</w:t>
            </w:r>
            <w:r w:rsidRPr="0058641B">
              <w:t>ths</w:t>
            </w:r>
            <w:r w:rsidR="00E87B38" w:rsidRPr="0058641B">
              <w:t xml:space="preserve"> (January 2021 data </w:t>
            </w:r>
            <w:r w:rsidR="00EA56B9" w:rsidRPr="0058641B">
              <w:t>cut-off</w:t>
            </w:r>
            <w:r w:rsidR="00E87B38" w:rsidRPr="0058641B">
              <w:t>)</w:t>
            </w:r>
          </w:p>
        </w:tc>
        <w:tc>
          <w:tcPr>
            <w:tcW w:w="637" w:type="pct"/>
            <w:shd w:val="clear" w:color="auto" w:fill="auto"/>
            <w:vAlign w:val="center"/>
          </w:tcPr>
          <w:p w14:paraId="4804DF10" w14:textId="22E94BA8" w:rsidR="0015289E" w:rsidRPr="0058641B" w:rsidRDefault="00A54A73" w:rsidP="00405321">
            <w:pPr>
              <w:pStyle w:val="Tabletext"/>
              <w:keepNext/>
              <w:keepLines/>
              <w:jc w:val="center"/>
              <w:rPr>
                <w:vertAlign w:val="superscript"/>
              </w:rPr>
            </w:pPr>
            <w:proofErr w:type="spellStart"/>
            <w:r w:rsidRPr="0058641B">
              <w:t>Low</w:t>
            </w:r>
            <w:r w:rsidR="00BE1F8C" w:rsidRPr="0058641B">
              <w:rPr>
                <w:vertAlign w:val="superscript"/>
              </w:rPr>
              <w:t>a</w:t>
            </w:r>
            <w:proofErr w:type="spellEnd"/>
          </w:p>
        </w:tc>
        <w:tc>
          <w:tcPr>
            <w:tcW w:w="1086" w:type="pct"/>
            <w:shd w:val="clear" w:color="auto" w:fill="auto"/>
            <w:vAlign w:val="center"/>
          </w:tcPr>
          <w:p w14:paraId="3B34932C" w14:textId="6C23665B" w:rsidR="0015289E" w:rsidRPr="0058641B" w:rsidRDefault="0015289E" w:rsidP="00405321">
            <w:pPr>
              <w:pStyle w:val="Tabletext"/>
              <w:keepNext/>
              <w:keepLines/>
              <w:jc w:val="center"/>
              <w:rPr>
                <w:vertAlign w:val="superscript"/>
              </w:rPr>
            </w:pPr>
            <w:r w:rsidRPr="0058641B">
              <w:t>ITT: Stage IB-</w:t>
            </w:r>
            <w:proofErr w:type="spellStart"/>
            <w:r w:rsidRPr="0058641B">
              <w:t>IIIA</w:t>
            </w:r>
            <w:r w:rsidR="00BE1F8C" w:rsidRPr="0058641B">
              <w:rPr>
                <w:vertAlign w:val="superscript"/>
              </w:rPr>
              <w:t>b</w:t>
            </w:r>
            <w:r w:rsidR="00FE6ECF" w:rsidRPr="0058641B">
              <w:rPr>
                <w:vertAlign w:val="superscript"/>
              </w:rPr>
              <w:t>,</w:t>
            </w:r>
            <w:r w:rsidR="00BE1F8C" w:rsidRPr="0058641B">
              <w:rPr>
                <w:vertAlign w:val="superscript"/>
              </w:rPr>
              <w:t>c</w:t>
            </w:r>
            <w:proofErr w:type="spellEnd"/>
          </w:p>
        </w:tc>
        <w:tc>
          <w:tcPr>
            <w:tcW w:w="476" w:type="pct"/>
            <w:shd w:val="clear" w:color="auto" w:fill="auto"/>
            <w:vAlign w:val="center"/>
          </w:tcPr>
          <w:p w14:paraId="6AFEDCB8" w14:textId="0FEE2021" w:rsidR="0015289E" w:rsidRPr="0058641B" w:rsidRDefault="00A54A73" w:rsidP="00405321">
            <w:pPr>
              <w:pStyle w:val="Tabletext"/>
              <w:keepNext/>
              <w:keepLines/>
              <w:jc w:val="center"/>
            </w:pPr>
            <w:r w:rsidRPr="00F13EEA">
              <w:t>DFS</w:t>
            </w:r>
            <w:r w:rsidRPr="0058641B">
              <w:t>, OS, Safety</w:t>
            </w:r>
          </w:p>
        </w:tc>
        <w:tc>
          <w:tcPr>
            <w:tcW w:w="769" w:type="pct"/>
            <w:shd w:val="clear" w:color="auto" w:fill="auto"/>
            <w:vAlign w:val="center"/>
          </w:tcPr>
          <w:p w14:paraId="4E666199" w14:textId="37615D57" w:rsidR="00A54A73" w:rsidRPr="0058641B" w:rsidRDefault="00A54A73" w:rsidP="00405321">
            <w:pPr>
              <w:pStyle w:val="Tabletext"/>
              <w:keepNext/>
              <w:keepLines/>
              <w:jc w:val="center"/>
            </w:pPr>
            <w:r w:rsidRPr="0058641B">
              <w:t>DFS</w:t>
            </w:r>
            <w:r w:rsidR="001A376E" w:rsidRPr="0058641B">
              <w:t xml:space="preserve"> and safety outcomes</w:t>
            </w:r>
          </w:p>
        </w:tc>
      </w:tr>
    </w:tbl>
    <w:p w14:paraId="3501C561" w14:textId="77777777" w:rsidR="00716093" w:rsidRPr="0058641B" w:rsidRDefault="00626EEB" w:rsidP="00405321">
      <w:pPr>
        <w:pStyle w:val="TableFigureFooter"/>
        <w:keepNext/>
        <w:keepLines/>
      </w:pPr>
      <w:r w:rsidRPr="0058641B">
        <w:t>Source: Sections 2.3 and 2.4 of the submission and the IMpower010 Clinical Study Report.</w:t>
      </w:r>
    </w:p>
    <w:p w14:paraId="626A12C1" w14:textId="6CBA97D0" w:rsidR="00716093" w:rsidRPr="0058641B" w:rsidRDefault="00716093" w:rsidP="00405321">
      <w:pPr>
        <w:pStyle w:val="TableFigureFooter"/>
        <w:keepNext/>
        <w:keepLines/>
      </w:pPr>
      <w:r w:rsidRPr="0058641B">
        <w:t xml:space="preserve">ATZ = atezolizumab; BSC = best supportive care; OL = open label; OS = overall survival; </w:t>
      </w:r>
      <w:r w:rsidR="00F13EEA" w:rsidRPr="00F13EEA">
        <w:t>D</w:t>
      </w:r>
      <w:r w:rsidRPr="00F13EEA">
        <w:t xml:space="preserve">FS = </w:t>
      </w:r>
      <w:r w:rsidR="00F13EEA" w:rsidRPr="00F13EEA">
        <w:t>disease</w:t>
      </w:r>
      <w:r w:rsidRPr="00F13EEA">
        <w:t>-free survival</w:t>
      </w:r>
      <w:r w:rsidRPr="0058641B">
        <w:t xml:space="preserve">; R = randomised </w:t>
      </w:r>
    </w:p>
    <w:p w14:paraId="1929FE65" w14:textId="26AB6ECC" w:rsidR="00BE1F8C" w:rsidRPr="0058641B" w:rsidRDefault="008A49BE" w:rsidP="00405321">
      <w:pPr>
        <w:pStyle w:val="TableFigureFooter"/>
        <w:keepNext/>
        <w:keepLines/>
      </w:pPr>
      <w:r w:rsidRPr="0058641B">
        <w:rPr>
          <w:vertAlign w:val="superscript"/>
        </w:rPr>
        <w:t>a</w:t>
      </w:r>
      <w:r w:rsidR="00F9534E">
        <w:rPr>
          <w:vertAlign w:val="superscript"/>
        </w:rPr>
        <w:t xml:space="preserve"> </w:t>
      </w:r>
      <w:r w:rsidR="00BE1F8C" w:rsidRPr="0058641B">
        <w:t>Considered generally low</w:t>
      </w:r>
      <w:r w:rsidR="00D7152A" w:rsidRPr="0058641B">
        <w:t>.</w:t>
      </w:r>
      <w:r w:rsidR="002A2C8A" w:rsidRPr="0058641B">
        <w:t xml:space="preserve"> </w:t>
      </w:r>
      <w:r w:rsidR="00D7152A" w:rsidRPr="0058641B">
        <w:t>H</w:t>
      </w:r>
      <w:r w:rsidR="00BE1F8C" w:rsidRPr="0058641B">
        <w:t xml:space="preserve">owever, given the open-label design of the trial, there was potential for both performance and detection bias </w:t>
      </w:r>
      <w:r w:rsidR="00D7152A" w:rsidRPr="0058641B">
        <w:t xml:space="preserve">particularly </w:t>
      </w:r>
      <w:r w:rsidR="00BE1F8C" w:rsidRPr="0058641B">
        <w:t>for outcomes with some degree of subjectivity such as adverse events.</w:t>
      </w:r>
    </w:p>
    <w:p w14:paraId="1292FBA3" w14:textId="19C64507" w:rsidR="00FE6ECF" w:rsidRPr="0058641B" w:rsidRDefault="00BE1F8C" w:rsidP="00405321">
      <w:pPr>
        <w:pStyle w:val="TableFigureFooter"/>
        <w:keepNext/>
        <w:keepLines/>
      </w:pPr>
      <w:r w:rsidRPr="0058641B">
        <w:rPr>
          <w:vertAlign w:val="superscript"/>
        </w:rPr>
        <w:t>b</w:t>
      </w:r>
      <w:r w:rsidR="00F9534E">
        <w:rPr>
          <w:vertAlign w:val="superscript"/>
        </w:rPr>
        <w:t xml:space="preserve"> </w:t>
      </w:r>
      <w:r w:rsidR="008A49BE" w:rsidRPr="0058641B">
        <w:t xml:space="preserve">The requested population for ATZ listing was either the Stage II-IIIA </w:t>
      </w:r>
      <w:r w:rsidR="00B54752" w:rsidRPr="0058641B">
        <w:t>PD-L1 ≥ 1%</w:t>
      </w:r>
      <w:r w:rsidR="008A49BE" w:rsidRPr="0058641B">
        <w:t xml:space="preserve"> subgroup (N=476) or the Stage II-IIIA </w:t>
      </w:r>
      <w:r w:rsidR="00B54752" w:rsidRPr="0058641B">
        <w:t>PD-L1 ≥ 50%</w:t>
      </w:r>
      <w:r w:rsidR="008A49BE" w:rsidRPr="0058641B">
        <w:t xml:space="preserve"> (N=229) subgroup contingent on the PD-L1 threshold specified in the final TGA approved indication.</w:t>
      </w:r>
      <w:r w:rsidR="007D41BE" w:rsidRPr="0058641B">
        <w:t xml:space="preserve"> The Stage II-IIIA </w:t>
      </w:r>
      <w:r w:rsidR="00B54752" w:rsidRPr="0058641B">
        <w:t>PD-L1 ≥ 1%</w:t>
      </w:r>
      <w:r w:rsidR="007D41BE" w:rsidRPr="0058641B">
        <w:t xml:space="preserve"> subgroup was considered the main</w:t>
      </w:r>
      <w:r w:rsidR="00716093" w:rsidRPr="0058641B">
        <w:t xml:space="preserve"> PBS </w:t>
      </w:r>
      <w:r w:rsidR="007D41BE" w:rsidRPr="0058641B">
        <w:t>target population for the economic evaluation.</w:t>
      </w:r>
    </w:p>
    <w:p w14:paraId="10019A5B" w14:textId="73714FC0" w:rsidR="00A54A73" w:rsidRPr="0058641B" w:rsidRDefault="00BE1F8C" w:rsidP="00405321">
      <w:pPr>
        <w:pStyle w:val="TableFigureFooter"/>
        <w:keepNext/>
        <w:keepLines/>
      </w:pPr>
      <w:r w:rsidRPr="0058641B">
        <w:rPr>
          <w:vertAlign w:val="superscript"/>
        </w:rPr>
        <w:t>c</w:t>
      </w:r>
      <w:r w:rsidR="00A8021D">
        <w:rPr>
          <w:vertAlign w:val="superscript"/>
        </w:rPr>
        <w:t xml:space="preserve"> </w:t>
      </w:r>
      <w:r w:rsidR="00A54A73" w:rsidRPr="0058641B">
        <w:t xml:space="preserve">Stage II-IIIA </w:t>
      </w:r>
      <w:r w:rsidR="008A49BE" w:rsidRPr="0058641B">
        <w:t>subgroup (</w:t>
      </w:r>
      <w:r w:rsidR="00A54A73" w:rsidRPr="0058641B">
        <w:t xml:space="preserve">(N=882), Stage II-IIIA </w:t>
      </w:r>
      <w:r w:rsidR="00B54752" w:rsidRPr="0058641B">
        <w:t>PD-L1 ≥ 1%</w:t>
      </w:r>
      <w:r w:rsidR="00A54A73" w:rsidRPr="0058641B">
        <w:t xml:space="preserve"> (N=476), Stage II-IIIA </w:t>
      </w:r>
      <w:r w:rsidR="00B54752" w:rsidRPr="0058641B">
        <w:t>PD-L1 ≥ 50%</w:t>
      </w:r>
      <w:r w:rsidR="00A54A73" w:rsidRPr="0058641B">
        <w:t xml:space="preserve"> (N=229)</w:t>
      </w:r>
    </w:p>
    <w:p w14:paraId="50F9EE61" w14:textId="7B7DA21A" w:rsidR="0032776D" w:rsidRPr="0058641B" w:rsidRDefault="0032776D" w:rsidP="0032776D">
      <w:pPr>
        <w:pStyle w:val="3-BodyText"/>
        <w:rPr>
          <w:i/>
          <w:iCs/>
        </w:rPr>
      </w:pPr>
      <w:r w:rsidRPr="0058641B">
        <w:t>The ITT population (Stage IB-IIIA) in I</w:t>
      </w:r>
      <w:r w:rsidR="00030F93" w:rsidRPr="0058641B">
        <w:t>M</w:t>
      </w:r>
      <w:r w:rsidRPr="0058641B">
        <w:t>power</w:t>
      </w:r>
      <w:r w:rsidR="00030F93" w:rsidRPr="0058641B">
        <w:t>0</w:t>
      </w:r>
      <w:r w:rsidRPr="0058641B">
        <w:t>10 consisted of 1</w:t>
      </w:r>
      <w:r w:rsidR="00211D08" w:rsidRPr="0058641B">
        <w:t>,</w:t>
      </w:r>
      <w:r w:rsidRPr="0058641B">
        <w:t>005 patients. The requested population for ATZ listing was either the Stage II-IIIA PD-L1 ≥ 1% subgroup (N=476) or the Stage II-IIIA PD-L1 ≥ 50% (N=229) subgroup contingent on the PD-L1 threshold specified in the final TGA approved indication.</w:t>
      </w:r>
      <w:r w:rsidR="00686B98" w:rsidRPr="0058641B">
        <w:t xml:space="preserve"> </w:t>
      </w:r>
      <w:r w:rsidR="00635E4D" w:rsidRPr="003F35E9">
        <w:t>The ESC noted the population of patients with Stage II-IIIA PD-L1 ≥ 50% comprised 23% of the overall I</w:t>
      </w:r>
      <w:r w:rsidR="002E4408" w:rsidRPr="003F35E9">
        <w:t>m</w:t>
      </w:r>
      <w:r w:rsidR="00635E4D" w:rsidRPr="003F35E9">
        <w:t>power</w:t>
      </w:r>
      <w:r w:rsidR="002E4408">
        <w:t>0</w:t>
      </w:r>
      <w:r w:rsidR="00635E4D" w:rsidRPr="003F35E9">
        <w:t xml:space="preserve">10 population. </w:t>
      </w:r>
    </w:p>
    <w:p w14:paraId="092CE63F" w14:textId="35A9DFC2" w:rsidR="00626EEB" w:rsidRPr="0058641B" w:rsidRDefault="00585510" w:rsidP="00603A1A">
      <w:pPr>
        <w:pStyle w:val="3-BodyText"/>
        <w:rPr>
          <w:color w:val="0066FF"/>
        </w:rPr>
      </w:pPr>
      <w:r w:rsidRPr="0058641B">
        <w:t xml:space="preserve">In a protocol amendment </w:t>
      </w:r>
      <w:r w:rsidR="00603A1A" w:rsidRPr="0058641B">
        <w:t>in</w:t>
      </w:r>
      <w:r w:rsidRPr="0058641B">
        <w:t xml:space="preserve"> February 2020</w:t>
      </w:r>
      <w:r w:rsidR="00603A1A" w:rsidRPr="0058641B">
        <w:t xml:space="preserve"> (approximately one year before the interim analysis was conducted)</w:t>
      </w:r>
      <w:r w:rsidRPr="0058641B">
        <w:t xml:space="preserve">, the primary analysis in IMpower010 was </w:t>
      </w:r>
      <w:r w:rsidR="00603A1A" w:rsidRPr="0058641B">
        <w:t xml:space="preserve">specified as the assessment of </w:t>
      </w:r>
      <w:r w:rsidRPr="0058641B">
        <w:t>DFS</w:t>
      </w:r>
      <w:r w:rsidR="00603A1A" w:rsidRPr="0058641B">
        <w:t xml:space="preserve">, </w:t>
      </w:r>
      <w:r w:rsidRPr="0058641B">
        <w:t xml:space="preserve">tested hierarchically first in the Stage II–IIIA </w:t>
      </w:r>
      <w:r w:rsidR="00B54752" w:rsidRPr="0058641B">
        <w:t>PD-L1 ≥ 1%</w:t>
      </w:r>
      <w:r w:rsidR="00D7152A" w:rsidRPr="0058641B">
        <w:t xml:space="preserve"> subgroup</w:t>
      </w:r>
      <w:r w:rsidRPr="0058641B">
        <w:t xml:space="preserve">, then in the Stage II–IIIA </w:t>
      </w:r>
      <w:r w:rsidR="00D7152A" w:rsidRPr="0058641B">
        <w:t xml:space="preserve">subgroup </w:t>
      </w:r>
      <w:r w:rsidRPr="0058641B">
        <w:t xml:space="preserve">(regardless of PD-L1 status), and finally in the ITT </w:t>
      </w:r>
      <w:r w:rsidR="00603A1A" w:rsidRPr="0058641B">
        <w:t xml:space="preserve">Stage IB–IIIA </w:t>
      </w:r>
      <w:r w:rsidRPr="0058641B">
        <w:t>population (</w:t>
      </w:r>
      <w:r w:rsidR="00603A1A" w:rsidRPr="0058641B">
        <w:t>regardless of PD-L1 status</w:t>
      </w:r>
      <w:r w:rsidRPr="0058641B">
        <w:t>)</w:t>
      </w:r>
      <w:r w:rsidR="00603A1A" w:rsidRPr="0058641B">
        <w:t xml:space="preserve">. Analysis of DFS in the Stage II-IIIA </w:t>
      </w:r>
      <w:r w:rsidR="00B54752" w:rsidRPr="0058641B">
        <w:t>PD-L1 ≥ 50%</w:t>
      </w:r>
      <w:r w:rsidR="00603A1A" w:rsidRPr="0058641B">
        <w:t xml:space="preserve"> NSCLC population was </w:t>
      </w:r>
      <w:r w:rsidR="00D7152A" w:rsidRPr="0058641B">
        <w:t xml:space="preserve">a </w:t>
      </w:r>
      <w:r w:rsidR="00603A1A" w:rsidRPr="0058641B">
        <w:t xml:space="preserve">pre-specified </w:t>
      </w:r>
      <w:r w:rsidR="00D7152A" w:rsidRPr="0058641B">
        <w:t>k</w:t>
      </w:r>
      <w:r w:rsidR="00603A1A" w:rsidRPr="0058641B">
        <w:t>ey secondary analysis.</w:t>
      </w:r>
    </w:p>
    <w:p w14:paraId="1935DF01" w14:textId="528D8D89" w:rsidR="00626EEB" w:rsidRPr="0058641B" w:rsidRDefault="00626EEB" w:rsidP="00626EEB">
      <w:pPr>
        <w:pStyle w:val="3-BodyText"/>
      </w:pPr>
      <w:r w:rsidRPr="0058641B">
        <w:t xml:space="preserve">Stratification factors at randomisation were Sex (female vs. male), Tumour histology (squamous vs. non-squamous), Extent of disease (stage IB vs. stage II vs. stage IIIA), </w:t>
      </w:r>
      <w:r w:rsidRPr="0058641B">
        <w:lastRenderedPageBreak/>
        <w:t>and PD-L1 expression status by tumour cell (TC) and immune cell (IC): TC2/3 and any IC vs. TC0/1 and IC2/3 vs. TC0/1 and IC0/1 using the SP142 IHC assay.</w:t>
      </w:r>
    </w:p>
    <w:p w14:paraId="7A0BC170" w14:textId="7DBF47BD" w:rsidR="00626EEB" w:rsidRPr="0058641B" w:rsidRDefault="00626EEB" w:rsidP="00626EEB">
      <w:pPr>
        <w:pStyle w:val="3-BodyText"/>
      </w:pPr>
      <w:r w:rsidRPr="0058641B">
        <w:t xml:space="preserve">In the February 2020 protocol amendment, the analysis of DFS </w:t>
      </w:r>
      <w:r w:rsidR="002B4E73" w:rsidRPr="0058641B">
        <w:t xml:space="preserve">based on </w:t>
      </w:r>
      <w:r w:rsidR="00D7152A" w:rsidRPr="0058641B">
        <w:t xml:space="preserve">the PD-L1 positive population was amended </w:t>
      </w:r>
      <w:r w:rsidRPr="0058641B">
        <w:t xml:space="preserve">to </w:t>
      </w:r>
      <w:r w:rsidR="002B4E73" w:rsidRPr="0058641B">
        <w:t xml:space="preserve">PD-L1 expression on </w:t>
      </w:r>
      <w:r w:rsidRPr="0058641B">
        <w:t xml:space="preserve">1% or more of tumour cells as defined by the SP263 assay. </w:t>
      </w:r>
      <w:r w:rsidRPr="0058641B">
        <w:rPr>
          <w:iCs/>
        </w:rPr>
        <w:t xml:space="preserve">PD-L1 subgroups defined by the SP263 assay (TC &lt;1%, 1%-49%, </w:t>
      </w:r>
      <w:r w:rsidR="00B54752" w:rsidRPr="0058641B">
        <w:rPr>
          <w:iCs/>
        </w:rPr>
        <w:t>≥ 50%</w:t>
      </w:r>
      <w:r w:rsidRPr="0058641B">
        <w:rPr>
          <w:iCs/>
        </w:rPr>
        <w:t xml:space="preserve">) were reasonably balanced between the ATZ and BSC treatment arms despite their </w:t>
      </w:r>
      <w:r w:rsidR="00130A03" w:rsidRPr="0058641B">
        <w:rPr>
          <w:iCs/>
        </w:rPr>
        <w:t xml:space="preserve">initial </w:t>
      </w:r>
      <w:r w:rsidRPr="0058641B">
        <w:rPr>
          <w:iCs/>
        </w:rPr>
        <w:t>stratification by SP142 PD-L1 status.</w:t>
      </w:r>
    </w:p>
    <w:p w14:paraId="2DFC609A" w14:textId="77777777" w:rsidR="00B60939" w:rsidRPr="0058641B" w:rsidRDefault="00B60939" w:rsidP="00EC5836">
      <w:pPr>
        <w:pStyle w:val="4-SubsectionHeading"/>
      </w:pPr>
      <w:bookmarkStart w:id="23" w:name="_Toc22897641"/>
      <w:bookmarkStart w:id="24" w:name="_Toc101281142"/>
      <w:r w:rsidRPr="0058641B">
        <w:t>Comparative effectiveness</w:t>
      </w:r>
      <w:bookmarkEnd w:id="23"/>
      <w:bookmarkEnd w:id="24"/>
    </w:p>
    <w:p w14:paraId="2354CE8F" w14:textId="2D0F6055" w:rsidR="00495DEC" w:rsidRPr="0058641B" w:rsidRDefault="00495DEC" w:rsidP="00495DEC">
      <w:pPr>
        <w:pStyle w:val="3-BodyText"/>
        <w:rPr>
          <w:iCs/>
        </w:rPr>
      </w:pPr>
      <w:r w:rsidRPr="0058641B">
        <w:t xml:space="preserve">Results for the </w:t>
      </w:r>
      <w:r w:rsidR="00516C92" w:rsidRPr="0058641B">
        <w:t xml:space="preserve">pre-specified </w:t>
      </w:r>
      <w:r w:rsidRPr="0058641B">
        <w:t xml:space="preserve">primary analysis </w:t>
      </w:r>
      <w:r w:rsidR="00516C92" w:rsidRPr="0058641B">
        <w:t xml:space="preserve">of IMpower010 </w:t>
      </w:r>
      <w:r w:rsidRPr="0058641B">
        <w:t xml:space="preserve">are summarised in </w:t>
      </w:r>
      <w:r w:rsidR="002D5682" w:rsidRPr="0058641B">
        <w:fldChar w:fldCharType="begin"/>
      </w:r>
      <w:r w:rsidR="002D5682" w:rsidRPr="0058641B">
        <w:instrText xml:space="preserve"> REF _Ref101253182 \h </w:instrText>
      </w:r>
      <w:r w:rsidR="002D5682" w:rsidRPr="0058641B">
        <w:fldChar w:fldCharType="separate"/>
      </w:r>
      <w:r w:rsidR="0043151A" w:rsidRPr="0058641B">
        <w:t xml:space="preserve">Table </w:t>
      </w:r>
      <w:r w:rsidR="0043151A">
        <w:rPr>
          <w:noProof/>
        </w:rPr>
        <w:t>4</w:t>
      </w:r>
      <w:r w:rsidR="002D5682" w:rsidRPr="0058641B">
        <w:fldChar w:fldCharType="end"/>
      </w:r>
      <w:r w:rsidRPr="0058641B">
        <w:t xml:space="preserve">. </w:t>
      </w:r>
      <w:r w:rsidRPr="00E42C34">
        <w:t xml:space="preserve">The corresponding Kaplan-Meier (KM) curves are </w:t>
      </w:r>
      <w:r w:rsidR="002D5682" w:rsidRPr="00E42C34">
        <w:t xml:space="preserve">depicted in </w:t>
      </w:r>
      <w:r w:rsidR="002D5682" w:rsidRPr="00E42C34">
        <w:fldChar w:fldCharType="begin"/>
      </w:r>
      <w:r w:rsidR="002D5682" w:rsidRPr="00E42C34">
        <w:instrText xml:space="preserve"> REF _Ref101253245 \h </w:instrText>
      </w:r>
      <w:r w:rsidR="00E42C34" w:rsidRPr="00E42C34">
        <w:instrText xml:space="preserve"> \* MERGEFORMAT </w:instrText>
      </w:r>
      <w:r w:rsidR="002D5682" w:rsidRPr="00E42C34">
        <w:fldChar w:fldCharType="separate"/>
      </w:r>
      <w:r w:rsidR="0043151A" w:rsidRPr="0058641B">
        <w:t xml:space="preserve">Figure </w:t>
      </w:r>
      <w:r w:rsidR="0043151A">
        <w:t>1</w:t>
      </w:r>
      <w:r w:rsidR="002D5682" w:rsidRPr="00E42C34">
        <w:fldChar w:fldCharType="end"/>
      </w:r>
      <w:r w:rsidR="002D5682" w:rsidRPr="00E42C34">
        <w:t xml:space="preserve">, </w:t>
      </w:r>
      <w:r w:rsidR="002D5682" w:rsidRPr="00E42C34">
        <w:fldChar w:fldCharType="begin"/>
      </w:r>
      <w:r w:rsidR="002D5682" w:rsidRPr="00E42C34">
        <w:instrText xml:space="preserve"> REF _Ref101253248 \h </w:instrText>
      </w:r>
      <w:r w:rsidR="00E42C34" w:rsidRPr="00E42C34">
        <w:instrText xml:space="preserve"> \* MERGEFORMAT </w:instrText>
      </w:r>
      <w:r w:rsidR="002D5682" w:rsidRPr="00E42C34">
        <w:fldChar w:fldCharType="separate"/>
      </w:r>
      <w:r w:rsidR="0043151A" w:rsidRPr="0058641B">
        <w:t xml:space="preserve">Figure </w:t>
      </w:r>
      <w:r w:rsidR="0043151A">
        <w:t>2</w:t>
      </w:r>
      <w:r w:rsidR="002D5682" w:rsidRPr="00E42C34">
        <w:fldChar w:fldCharType="end"/>
      </w:r>
      <w:r w:rsidR="002D5682" w:rsidRPr="00E42C34">
        <w:t xml:space="preserve">, and </w:t>
      </w:r>
      <w:r w:rsidR="002D5682" w:rsidRPr="00E42C34">
        <w:fldChar w:fldCharType="begin"/>
      </w:r>
      <w:r w:rsidR="002D5682" w:rsidRPr="00E42C34">
        <w:instrText xml:space="preserve"> REF _Ref101253251 \h </w:instrText>
      </w:r>
      <w:r w:rsidR="00E42C34" w:rsidRPr="00E42C34">
        <w:instrText xml:space="preserve"> \* MERGEFORMAT </w:instrText>
      </w:r>
      <w:r w:rsidR="002D5682" w:rsidRPr="00E42C34">
        <w:fldChar w:fldCharType="separate"/>
      </w:r>
      <w:r w:rsidR="0043151A" w:rsidRPr="0058641B">
        <w:t xml:space="preserve">Figure </w:t>
      </w:r>
      <w:r w:rsidR="0043151A">
        <w:t>3</w:t>
      </w:r>
      <w:r w:rsidR="002D5682" w:rsidRPr="00E42C34">
        <w:fldChar w:fldCharType="end"/>
      </w:r>
      <w:r w:rsidRPr="00E42C34">
        <w:t>.</w:t>
      </w:r>
      <w:r w:rsidRPr="0058641B">
        <w:t xml:space="preserve"> </w:t>
      </w:r>
    </w:p>
    <w:p w14:paraId="1403778A" w14:textId="741EA797" w:rsidR="00495DEC" w:rsidRPr="0058641B" w:rsidRDefault="00495DEC" w:rsidP="00495DEC">
      <w:pPr>
        <w:pStyle w:val="TableFigureHeading"/>
      </w:pPr>
      <w:bookmarkStart w:id="25" w:name="_Ref101253182"/>
      <w:r w:rsidRPr="0058641B">
        <w:t xml:space="preserve">Table </w:t>
      </w:r>
      <w:fldSimple w:instr=" SEQ Table \* ARABIC ">
        <w:r w:rsidR="0043151A">
          <w:rPr>
            <w:noProof/>
          </w:rPr>
          <w:t>4</w:t>
        </w:r>
      </w:fldSimple>
      <w:bookmarkEnd w:id="25"/>
      <w:r w:rsidRPr="0058641B">
        <w:t xml:space="preserve">: IMpower010 - Primary analysis of DFS </w:t>
      </w:r>
    </w:p>
    <w:tbl>
      <w:tblPr>
        <w:tblStyle w:val="TableGrid"/>
        <w:tblW w:w="5000" w:type="pct"/>
        <w:tblLook w:val="04A0" w:firstRow="1" w:lastRow="0" w:firstColumn="1" w:lastColumn="0" w:noHBand="0" w:noVBand="1"/>
      </w:tblPr>
      <w:tblGrid>
        <w:gridCol w:w="3964"/>
        <w:gridCol w:w="2268"/>
        <w:gridCol w:w="2785"/>
      </w:tblGrid>
      <w:tr w:rsidR="00495DEC" w:rsidRPr="0058641B" w14:paraId="4B66C24D" w14:textId="77777777" w:rsidTr="00D312D9">
        <w:tc>
          <w:tcPr>
            <w:tcW w:w="3964" w:type="dxa"/>
          </w:tcPr>
          <w:p w14:paraId="640D9F61" w14:textId="77777777" w:rsidR="00495DEC" w:rsidRPr="0058641B" w:rsidRDefault="00495DEC" w:rsidP="00001439">
            <w:pPr>
              <w:pStyle w:val="Tabletext"/>
              <w:keepNext/>
            </w:pPr>
          </w:p>
        </w:tc>
        <w:tc>
          <w:tcPr>
            <w:tcW w:w="2268" w:type="dxa"/>
          </w:tcPr>
          <w:p w14:paraId="79A8398E" w14:textId="77777777" w:rsidR="00495DEC" w:rsidRPr="0058641B" w:rsidRDefault="00495DEC" w:rsidP="00644DC1">
            <w:pPr>
              <w:pStyle w:val="Tabletext"/>
              <w:keepNext/>
              <w:jc w:val="center"/>
              <w:rPr>
                <w:b/>
              </w:rPr>
            </w:pPr>
            <w:r w:rsidRPr="0058641B">
              <w:rPr>
                <w:b/>
              </w:rPr>
              <w:t>ATZ</w:t>
            </w:r>
          </w:p>
        </w:tc>
        <w:tc>
          <w:tcPr>
            <w:tcW w:w="2785" w:type="dxa"/>
          </w:tcPr>
          <w:p w14:paraId="45B4FD50" w14:textId="77777777" w:rsidR="00495DEC" w:rsidRPr="0058641B" w:rsidRDefault="00495DEC" w:rsidP="00644DC1">
            <w:pPr>
              <w:pStyle w:val="Tabletext"/>
              <w:keepNext/>
              <w:jc w:val="center"/>
              <w:rPr>
                <w:b/>
              </w:rPr>
            </w:pPr>
            <w:r w:rsidRPr="0058641B">
              <w:rPr>
                <w:b/>
              </w:rPr>
              <w:t>BSC</w:t>
            </w:r>
          </w:p>
        </w:tc>
      </w:tr>
      <w:tr w:rsidR="00495DEC" w:rsidRPr="0058641B" w14:paraId="5E5500BF" w14:textId="77777777" w:rsidTr="00D312D9">
        <w:tc>
          <w:tcPr>
            <w:tcW w:w="9017" w:type="dxa"/>
            <w:gridSpan w:val="3"/>
          </w:tcPr>
          <w:p w14:paraId="4038CE74" w14:textId="421735A7" w:rsidR="00495DEC" w:rsidRPr="0058641B" w:rsidRDefault="00495DEC" w:rsidP="00001439">
            <w:pPr>
              <w:pStyle w:val="Tabletext"/>
              <w:keepNext/>
              <w:rPr>
                <w:b/>
              </w:rPr>
            </w:pPr>
            <w:r w:rsidRPr="0058641B">
              <w:rPr>
                <w:b/>
              </w:rPr>
              <w:t xml:space="preserve">Stage II-IIIA </w:t>
            </w:r>
            <w:r w:rsidR="00B54752" w:rsidRPr="0058641B">
              <w:rPr>
                <w:b/>
              </w:rPr>
              <w:t>PD-L1 ≥ 1%</w:t>
            </w:r>
            <w:r w:rsidRPr="0058641B">
              <w:rPr>
                <w:b/>
              </w:rPr>
              <w:t xml:space="preserve"> NSCLC subgroup</w:t>
            </w:r>
          </w:p>
        </w:tc>
      </w:tr>
      <w:tr w:rsidR="00495DEC" w:rsidRPr="0058641B" w14:paraId="2E655AB2" w14:textId="77777777" w:rsidTr="00D312D9">
        <w:tc>
          <w:tcPr>
            <w:tcW w:w="3964" w:type="dxa"/>
          </w:tcPr>
          <w:p w14:paraId="7E0A7999" w14:textId="77777777" w:rsidR="00495DEC" w:rsidRPr="0058641B" w:rsidRDefault="00495DEC" w:rsidP="00001439">
            <w:pPr>
              <w:pStyle w:val="Tabletext"/>
              <w:keepNext/>
            </w:pPr>
          </w:p>
        </w:tc>
        <w:tc>
          <w:tcPr>
            <w:tcW w:w="2268" w:type="dxa"/>
          </w:tcPr>
          <w:p w14:paraId="72E7D718" w14:textId="77777777" w:rsidR="00495DEC" w:rsidRPr="0058641B" w:rsidRDefault="00495DEC" w:rsidP="00644DC1">
            <w:pPr>
              <w:pStyle w:val="Tabletext"/>
              <w:keepNext/>
              <w:jc w:val="center"/>
            </w:pPr>
            <w:r w:rsidRPr="0058641B">
              <w:t>N=248</w:t>
            </w:r>
          </w:p>
        </w:tc>
        <w:tc>
          <w:tcPr>
            <w:tcW w:w="2785" w:type="dxa"/>
          </w:tcPr>
          <w:p w14:paraId="43339EF1" w14:textId="77777777" w:rsidR="00495DEC" w:rsidRPr="0058641B" w:rsidRDefault="00495DEC" w:rsidP="00644DC1">
            <w:pPr>
              <w:pStyle w:val="Tabletext"/>
              <w:keepNext/>
              <w:jc w:val="center"/>
            </w:pPr>
            <w:r w:rsidRPr="0058641B">
              <w:t>N=228</w:t>
            </w:r>
          </w:p>
        </w:tc>
      </w:tr>
      <w:tr w:rsidR="00495DEC" w:rsidRPr="0058641B" w14:paraId="198A8B85" w14:textId="77777777" w:rsidTr="00D312D9">
        <w:tc>
          <w:tcPr>
            <w:tcW w:w="3964" w:type="dxa"/>
          </w:tcPr>
          <w:p w14:paraId="156E5B8B" w14:textId="77777777" w:rsidR="00495DEC" w:rsidRPr="0058641B" w:rsidRDefault="00495DEC" w:rsidP="00001439">
            <w:pPr>
              <w:pStyle w:val="Tabletext"/>
              <w:keepNext/>
              <w:ind w:left="720"/>
            </w:pPr>
            <w:r w:rsidRPr="0058641B">
              <w:t>Patients with event, n (%)</w:t>
            </w:r>
          </w:p>
          <w:p w14:paraId="07DBCD1B" w14:textId="5988F8AF" w:rsidR="00242A83" w:rsidRPr="0058641B" w:rsidRDefault="00242A83" w:rsidP="00242A83">
            <w:pPr>
              <w:pStyle w:val="Tabletext"/>
              <w:keepNext/>
              <w:ind w:left="1440" w:hanging="426"/>
            </w:pPr>
            <w:r w:rsidRPr="0058641B">
              <w:t>Death</w:t>
            </w:r>
            <w:r w:rsidR="00301474" w:rsidRPr="0058641B">
              <w:t>s</w:t>
            </w:r>
            <w:r w:rsidRPr="0058641B">
              <w:t xml:space="preserve"> (earliest event)</w:t>
            </w:r>
          </w:p>
          <w:p w14:paraId="01551BA9" w14:textId="4FD14A4F" w:rsidR="00242A83" w:rsidRPr="0058641B" w:rsidRDefault="00242A83" w:rsidP="00242A83">
            <w:pPr>
              <w:pStyle w:val="Tabletext"/>
              <w:keepNext/>
              <w:ind w:left="1440" w:hanging="426"/>
            </w:pPr>
            <w:r w:rsidRPr="0058641B">
              <w:t>Disease recurrence (earliest event)</w:t>
            </w:r>
          </w:p>
        </w:tc>
        <w:tc>
          <w:tcPr>
            <w:tcW w:w="2268" w:type="dxa"/>
          </w:tcPr>
          <w:p w14:paraId="5C5D2471" w14:textId="77777777" w:rsidR="00495DEC" w:rsidRPr="0058641B" w:rsidRDefault="00495DEC" w:rsidP="00644DC1">
            <w:pPr>
              <w:pStyle w:val="Tabletext"/>
              <w:keepNext/>
              <w:jc w:val="center"/>
            </w:pPr>
            <w:r w:rsidRPr="0058641B">
              <w:t>88 (35.5%)</w:t>
            </w:r>
          </w:p>
          <w:p w14:paraId="7AF5CD97" w14:textId="77777777" w:rsidR="00242A83" w:rsidRPr="0058641B" w:rsidRDefault="00242A83" w:rsidP="00644DC1">
            <w:pPr>
              <w:pStyle w:val="Tabletext"/>
              <w:keepNext/>
              <w:ind w:left="720" w:hanging="546"/>
              <w:jc w:val="center"/>
            </w:pPr>
            <w:r w:rsidRPr="0058641B">
              <w:t>15 (6.0%)</w:t>
            </w:r>
          </w:p>
          <w:p w14:paraId="3912D054" w14:textId="3FE80E71" w:rsidR="00242A83" w:rsidRPr="0058641B" w:rsidRDefault="00242A83" w:rsidP="00644DC1">
            <w:pPr>
              <w:pStyle w:val="Tabletext"/>
              <w:keepNext/>
              <w:ind w:left="720" w:hanging="546"/>
              <w:jc w:val="center"/>
            </w:pPr>
            <w:r w:rsidRPr="0058641B">
              <w:t>73 (29.4%)</w:t>
            </w:r>
          </w:p>
        </w:tc>
        <w:tc>
          <w:tcPr>
            <w:tcW w:w="2785" w:type="dxa"/>
          </w:tcPr>
          <w:p w14:paraId="5824336E" w14:textId="73E4C99B" w:rsidR="00495DEC" w:rsidRPr="0058641B" w:rsidRDefault="00495DEC" w:rsidP="00644DC1">
            <w:pPr>
              <w:pStyle w:val="Tabletext"/>
              <w:keepNext/>
              <w:jc w:val="center"/>
            </w:pPr>
            <w:r w:rsidRPr="0058641B">
              <w:t>105 (46.1%)</w:t>
            </w:r>
          </w:p>
          <w:p w14:paraId="2B174236" w14:textId="1DCAD7BA" w:rsidR="00242A83" w:rsidRPr="0058641B" w:rsidRDefault="00242A83" w:rsidP="00644DC1">
            <w:pPr>
              <w:pStyle w:val="Tabletext"/>
              <w:keepNext/>
              <w:ind w:left="720" w:hanging="543"/>
              <w:jc w:val="center"/>
            </w:pPr>
            <w:r w:rsidRPr="0058641B">
              <w:t>3 (1.3%)</w:t>
            </w:r>
          </w:p>
          <w:p w14:paraId="21CEE742" w14:textId="7A4E800A" w:rsidR="00242A83" w:rsidRPr="0058641B" w:rsidRDefault="00242A83" w:rsidP="00644DC1">
            <w:pPr>
              <w:pStyle w:val="Tabletext"/>
              <w:keepNext/>
              <w:ind w:left="720" w:hanging="543"/>
              <w:jc w:val="center"/>
            </w:pPr>
            <w:r w:rsidRPr="0058641B">
              <w:t>102 (44.7%)</w:t>
            </w:r>
          </w:p>
        </w:tc>
      </w:tr>
      <w:tr w:rsidR="00495DEC" w:rsidRPr="0058641B" w14:paraId="3F7106CB" w14:textId="77777777" w:rsidTr="00D312D9">
        <w:tc>
          <w:tcPr>
            <w:tcW w:w="3964" w:type="dxa"/>
          </w:tcPr>
          <w:p w14:paraId="73173E29" w14:textId="77777777" w:rsidR="00495DEC" w:rsidRPr="0058641B" w:rsidRDefault="00495DEC" w:rsidP="00001439">
            <w:pPr>
              <w:pStyle w:val="Tabletext"/>
              <w:keepNext/>
              <w:ind w:left="720"/>
            </w:pPr>
            <w:r w:rsidRPr="0058641B">
              <w:t xml:space="preserve">Median time to event, months, (95% CI) </w:t>
            </w:r>
          </w:p>
        </w:tc>
        <w:tc>
          <w:tcPr>
            <w:tcW w:w="2268" w:type="dxa"/>
          </w:tcPr>
          <w:p w14:paraId="5DB8AAB9" w14:textId="0153B9FD" w:rsidR="00495DEC" w:rsidRPr="0058641B" w:rsidRDefault="00495DEC" w:rsidP="00644DC1">
            <w:pPr>
              <w:pStyle w:val="Tabletext"/>
              <w:keepNext/>
              <w:jc w:val="center"/>
            </w:pPr>
            <w:r w:rsidRPr="0058641B">
              <w:t>NE (36.1, NE)</w:t>
            </w:r>
          </w:p>
        </w:tc>
        <w:tc>
          <w:tcPr>
            <w:tcW w:w="2785" w:type="dxa"/>
          </w:tcPr>
          <w:p w14:paraId="107A508E" w14:textId="0F589AF0" w:rsidR="00495DEC" w:rsidRPr="0058641B" w:rsidRDefault="00495DEC" w:rsidP="00644DC1">
            <w:pPr>
              <w:pStyle w:val="Tabletext"/>
              <w:keepNext/>
              <w:jc w:val="center"/>
            </w:pPr>
            <w:r w:rsidRPr="0058641B">
              <w:t>35.3 (29.0, NE)</w:t>
            </w:r>
          </w:p>
        </w:tc>
      </w:tr>
      <w:tr w:rsidR="00495DEC" w:rsidRPr="0058641B" w14:paraId="0639175C" w14:textId="77777777" w:rsidTr="00D312D9">
        <w:tc>
          <w:tcPr>
            <w:tcW w:w="3964" w:type="dxa"/>
          </w:tcPr>
          <w:p w14:paraId="6E1E5DDA" w14:textId="77777777" w:rsidR="00495DEC" w:rsidRPr="0058641B" w:rsidRDefault="00495DEC" w:rsidP="00001439">
            <w:pPr>
              <w:pStyle w:val="Tabletext"/>
              <w:keepNext/>
              <w:ind w:left="720"/>
            </w:pPr>
            <w:r w:rsidRPr="0058641B">
              <w:t>Stratified Hazard Ratio (95% CI)</w:t>
            </w:r>
          </w:p>
        </w:tc>
        <w:tc>
          <w:tcPr>
            <w:tcW w:w="5053" w:type="dxa"/>
            <w:gridSpan w:val="2"/>
          </w:tcPr>
          <w:p w14:paraId="1E0378AC" w14:textId="77777777" w:rsidR="00495DEC" w:rsidRPr="0058641B" w:rsidRDefault="00495DEC" w:rsidP="00644DC1">
            <w:pPr>
              <w:pStyle w:val="Tabletext"/>
              <w:keepNext/>
              <w:jc w:val="center"/>
            </w:pPr>
            <w:r w:rsidRPr="0058641B">
              <w:t>0.66 (0.50, 0.88); p-value (log-rank)=0.0039</w:t>
            </w:r>
          </w:p>
        </w:tc>
      </w:tr>
      <w:tr w:rsidR="00495DEC" w:rsidRPr="0058641B" w14:paraId="5222851A" w14:textId="77777777" w:rsidTr="00D312D9">
        <w:tc>
          <w:tcPr>
            <w:tcW w:w="3964" w:type="dxa"/>
          </w:tcPr>
          <w:p w14:paraId="5741D2BA" w14:textId="77777777" w:rsidR="00495DEC" w:rsidRPr="0058641B" w:rsidRDefault="00495DEC" w:rsidP="00001439">
            <w:pPr>
              <w:pStyle w:val="Tabletext"/>
              <w:keepNext/>
              <w:ind w:left="720"/>
            </w:pPr>
            <w:r w:rsidRPr="0058641B">
              <w:t>DFS rate at 3 years, %</w:t>
            </w:r>
          </w:p>
        </w:tc>
        <w:tc>
          <w:tcPr>
            <w:tcW w:w="2268" w:type="dxa"/>
          </w:tcPr>
          <w:p w14:paraId="133E0D27" w14:textId="6AB2758E" w:rsidR="00495DEC" w:rsidRPr="0058641B" w:rsidRDefault="00495DEC" w:rsidP="00644DC1">
            <w:pPr>
              <w:pStyle w:val="Tabletext"/>
              <w:keepNext/>
              <w:jc w:val="center"/>
            </w:pPr>
            <w:r w:rsidRPr="0058641B">
              <w:t>60.0</w:t>
            </w:r>
          </w:p>
        </w:tc>
        <w:tc>
          <w:tcPr>
            <w:tcW w:w="2785" w:type="dxa"/>
          </w:tcPr>
          <w:p w14:paraId="4E8B5401" w14:textId="3C3DAD97" w:rsidR="00495DEC" w:rsidRPr="0058641B" w:rsidRDefault="00495DEC" w:rsidP="00644DC1">
            <w:pPr>
              <w:pStyle w:val="Tabletext"/>
              <w:keepNext/>
              <w:jc w:val="center"/>
            </w:pPr>
            <w:r w:rsidRPr="0058641B">
              <w:t>4</w:t>
            </w:r>
            <w:r w:rsidR="00D527E4" w:rsidRPr="0058641B">
              <w:t>8.2</w:t>
            </w:r>
          </w:p>
        </w:tc>
      </w:tr>
      <w:tr w:rsidR="00495DEC" w:rsidRPr="0058641B" w14:paraId="7692330C" w14:textId="77777777" w:rsidTr="00D312D9">
        <w:tc>
          <w:tcPr>
            <w:tcW w:w="3964" w:type="dxa"/>
          </w:tcPr>
          <w:p w14:paraId="11590F04" w14:textId="77777777" w:rsidR="00495DEC" w:rsidRPr="0058641B" w:rsidRDefault="00495DEC" w:rsidP="00001439">
            <w:pPr>
              <w:pStyle w:val="Tabletext"/>
              <w:keepNext/>
              <w:ind w:left="1440"/>
            </w:pPr>
            <w:r w:rsidRPr="0058641B">
              <w:t>Difference, % (95% CI)</w:t>
            </w:r>
          </w:p>
        </w:tc>
        <w:tc>
          <w:tcPr>
            <w:tcW w:w="5053" w:type="dxa"/>
            <w:gridSpan w:val="2"/>
          </w:tcPr>
          <w:p w14:paraId="20A1B464" w14:textId="12070279" w:rsidR="00495DEC" w:rsidRPr="0058641B" w:rsidRDefault="00495DEC" w:rsidP="00644DC1">
            <w:pPr>
              <w:pStyle w:val="Tabletext"/>
              <w:keepNext/>
              <w:jc w:val="center"/>
            </w:pPr>
            <w:r w:rsidRPr="0058641B">
              <w:t>11.</w:t>
            </w:r>
            <w:r w:rsidR="00D527E4" w:rsidRPr="0058641B">
              <w:t>8</w:t>
            </w:r>
            <w:r w:rsidRPr="0058641B">
              <w:t xml:space="preserve"> (1.</w:t>
            </w:r>
            <w:r w:rsidR="00D527E4" w:rsidRPr="0058641B">
              <w:t>4</w:t>
            </w:r>
            <w:r w:rsidRPr="0058641B">
              <w:t>, 22.</w:t>
            </w:r>
            <w:r w:rsidR="00D527E4" w:rsidRPr="0058641B">
              <w:t>1</w:t>
            </w:r>
            <w:r w:rsidRPr="0058641B">
              <w:t>)</w:t>
            </w:r>
          </w:p>
        </w:tc>
      </w:tr>
      <w:tr w:rsidR="00495DEC" w:rsidRPr="0058641B" w14:paraId="3489AC19" w14:textId="77777777" w:rsidTr="00D312D9">
        <w:tc>
          <w:tcPr>
            <w:tcW w:w="9017" w:type="dxa"/>
            <w:gridSpan w:val="3"/>
          </w:tcPr>
          <w:p w14:paraId="61BD4194" w14:textId="529C94BD" w:rsidR="00495DEC" w:rsidRPr="0058641B" w:rsidRDefault="00495DEC" w:rsidP="00001439">
            <w:pPr>
              <w:pStyle w:val="Tabletext"/>
              <w:keepNext/>
            </w:pPr>
            <w:r w:rsidRPr="0058641B">
              <w:rPr>
                <w:b/>
              </w:rPr>
              <w:t>Stage II-IIIA NSCLC subgroup (</w:t>
            </w:r>
            <w:r w:rsidR="00516C92" w:rsidRPr="0058641B">
              <w:rPr>
                <w:b/>
              </w:rPr>
              <w:t xml:space="preserve">regardless of </w:t>
            </w:r>
            <w:r w:rsidRPr="0058641B">
              <w:rPr>
                <w:b/>
              </w:rPr>
              <w:t xml:space="preserve">PD-L1 </w:t>
            </w:r>
            <w:r w:rsidR="00516C92" w:rsidRPr="0058641B">
              <w:rPr>
                <w:b/>
              </w:rPr>
              <w:t xml:space="preserve">expression </w:t>
            </w:r>
            <w:r w:rsidRPr="0058641B">
              <w:rPr>
                <w:b/>
              </w:rPr>
              <w:t>status)</w:t>
            </w:r>
          </w:p>
        </w:tc>
      </w:tr>
      <w:tr w:rsidR="00495DEC" w:rsidRPr="0058641B" w14:paraId="65A22F23" w14:textId="77777777" w:rsidTr="00D312D9">
        <w:tc>
          <w:tcPr>
            <w:tcW w:w="3964" w:type="dxa"/>
          </w:tcPr>
          <w:p w14:paraId="209C130D" w14:textId="77777777" w:rsidR="00495DEC" w:rsidRPr="0058641B" w:rsidRDefault="00495DEC" w:rsidP="00001439">
            <w:pPr>
              <w:pStyle w:val="Tabletext"/>
              <w:keepNext/>
              <w:ind w:left="1440"/>
            </w:pPr>
          </w:p>
        </w:tc>
        <w:tc>
          <w:tcPr>
            <w:tcW w:w="2268" w:type="dxa"/>
          </w:tcPr>
          <w:p w14:paraId="1E9396A4" w14:textId="77777777" w:rsidR="00495DEC" w:rsidRPr="0058641B" w:rsidRDefault="00495DEC" w:rsidP="00644DC1">
            <w:pPr>
              <w:pStyle w:val="Tabletext"/>
              <w:keepNext/>
              <w:jc w:val="center"/>
            </w:pPr>
            <w:r w:rsidRPr="0058641B">
              <w:t>N=442</w:t>
            </w:r>
          </w:p>
        </w:tc>
        <w:tc>
          <w:tcPr>
            <w:tcW w:w="2785" w:type="dxa"/>
          </w:tcPr>
          <w:p w14:paraId="1F06DEE8" w14:textId="77777777" w:rsidR="00495DEC" w:rsidRPr="0058641B" w:rsidRDefault="00495DEC" w:rsidP="00644DC1">
            <w:pPr>
              <w:pStyle w:val="Tabletext"/>
              <w:keepNext/>
              <w:jc w:val="center"/>
            </w:pPr>
            <w:r w:rsidRPr="0058641B">
              <w:t>N=440</w:t>
            </w:r>
          </w:p>
        </w:tc>
      </w:tr>
      <w:tr w:rsidR="00495DEC" w:rsidRPr="0058641B" w14:paraId="1EAAD5B1" w14:textId="77777777" w:rsidTr="00D312D9">
        <w:tc>
          <w:tcPr>
            <w:tcW w:w="3964" w:type="dxa"/>
          </w:tcPr>
          <w:p w14:paraId="35F500B0" w14:textId="77777777" w:rsidR="00495DEC" w:rsidRPr="0058641B" w:rsidRDefault="00495DEC" w:rsidP="00001439">
            <w:pPr>
              <w:pStyle w:val="Tabletext"/>
              <w:keepNext/>
              <w:ind w:left="720"/>
            </w:pPr>
            <w:r w:rsidRPr="0058641B">
              <w:t>Patients with event, n (%)</w:t>
            </w:r>
          </w:p>
          <w:p w14:paraId="0754B08C" w14:textId="608F1CCA" w:rsidR="005F4220" w:rsidRPr="0058641B" w:rsidRDefault="005F4220" w:rsidP="005F4220">
            <w:pPr>
              <w:pStyle w:val="Tabletext"/>
              <w:keepNext/>
              <w:ind w:left="1440" w:hanging="426"/>
            </w:pPr>
            <w:r w:rsidRPr="0058641B">
              <w:t>Death</w:t>
            </w:r>
            <w:r w:rsidR="00301474" w:rsidRPr="0058641B">
              <w:t>s</w:t>
            </w:r>
            <w:r w:rsidRPr="0058641B">
              <w:t xml:space="preserve"> (earliest event)</w:t>
            </w:r>
          </w:p>
          <w:p w14:paraId="19F74F26" w14:textId="5705AED1" w:rsidR="005F4220" w:rsidRPr="0058641B" w:rsidRDefault="005F4220" w:rsidP="005F4220">
            <w:pPr>
              <w:pStyle w:val="Tabletext"/>
              <w:keepNext/>
              <w:ind w:left="1440" w:hanging="426"/>
            </w:pPr>
            <w:r w:rsidRPr="0058641B">
              <w:t>Disease recurrence (earliest event)</w:t>
            </w:r>
          </w:p>
        </w:tc>
        <w:tc>
          <w:tcPr>
            <w:tcW w:w="2268" w:type="dxa"/>
          </w:tcPr>
          <w:p w14:paraId="66A0AD9D" w14:textId="77777777" w:rsidR="00495DEC" w:rsidRPr="0058641B" w:rsidRDefault="00495DEC" w:rsidP="00644DC1">
            <w:pPr>
              <w:pStyle w:val="Tabletext"/>
              <w:keepNext/>
              <w:jc w:val="center"/>
            </w:pPr>
            <w:r w:rsidRPr="0058641B">
              <w:t>173 (39.1%)</w:t>
            </w:r>
          </w:p>
          <w:p w14:paraId="1E08A5C6" w14:textId="29B8C643" w:rsidR="005F4220" w:rsidRPr="0058641B" w:rsidRDefault="00301474" w:rsidP="00644DC1">
            <w:pPr>
              <w:pStyle w:val="Tabletext"/>
              <w:keepNext/>
              <w:ind w:left="720" w:hanging="546"/>
              <w:jc w:val="center"/>
            </w:pPr>
            <w:r w:rsidRPr="0058641B">
              <w:t>26</w:t>
            </w:r>
            <w:r w:rsidR="005F4220" w:rsidRPr="0058641B">
              <w:t xml:space="preserve"> (</w:t>
            </w:r>
            <w:r w:rsidRPr="0058641B">
              <w:t>5.9</w:t>
            </w:r>
            <w:r w:rsidR="005F4220" w:rsidRPr="0058641B">
              <w:t>%)</w:t>
            </w:r>
          </w:p>
          <w:p w14:paraId="3FA41AD4" w14:textId="1407ECDA" w:rsidR="005F4220" w:rsidRPr="0058641B" w:rsidRDefault="00301474" w:rsidP="00644DC1">
            <w:pPr>
              <w:pStyle w:val="Tabletext"/>
              <w:keepNext/>
              <w:ind w:left="720" w:hanging="546"/>
              <w:jc w:val="center"/>
            </w:pPr>
            <w:r w:rsidRPr="0058641B">
              <w:t>147</w:t>
            </w:r>
            <w:r w:rsidR="005F4220" w:rsidRPr="0058641B">
              <w:t xml:space="preserve"> (</w:t>
            </w:r>
            <w:r w:rsidRPr="0058641B">
              <w:t>33.3</w:t>
            </w:r>
            <w:r w:rsidR="005F4220" w:rsidRPr="0058641B">
              <w:t>%)</w:t>
            </w:r>
          </w:p>
        </w:tc>
        <w:tc>
          <w:tcPr>
            <w:tcW w:w="2785" w:type="dxa"/>
          </w:tcPr>
          <w:p w14:paraId="7DBA269F" w14:textId="77777777" w:rsidR="00495DEC" w:rsidRPr="0058641B" w:rsidRDefault="00BC4B38" w:rsidP="00644DC1">
            <w:pPr>
              <w:pStyle w:val="Tabletext"/>
              <w:keepNext/>
              <w:jc w:val="center"/>
            </w:pPr>
            <w:r w:rsidRPr="0058641B">
              <w:t>198</w:t>
            </w:r>
            <w:r w:rsidR="00495DEC" w:rsidRPr="0058641B">
              <w:t xml:space="preserve"> (</w:t>
            </w:r>
            <w:r w:rsidRPr="0058641B">
              <w:t>45.0</w:t>
            </w:r>
            <w:r w:rsidR="00495DEC" w:rsidRPr="0058641B">
              <w:t>%)</w:t>
            </w:r>
          </w:p>
          <w:p w14:paraId="2B5868AA" w14:textId="3D672CE0" w:rsidR="005F4220" w:rsidRPr="0058641B" w:rsidRDefault="00301474" w:rsidP="00644DC1">
            <w:pPr>
              <w:pStyle w:val="Tabletext"/>
              <w:keepNext/>
              <w:ind w:left="720" w:hanging="543"/>
              <w:jc w:val="center"/>
            </w:pPr>
            <w:r w:rsidRPr="0058641B">
              <w:t>9</w:t>
            </w:r>
            <w:r w:rsidR="005F4220" w:rsidRPr="0058641B">
              <w:t xml:space="preserve"> (</w:t>
            </w:r>
            <w:r w:rsidRPr="0058641B">
              <w:t>2.0</w:t>
            </w:r>
            <w:r w:rsidR="005F4220" w:rsidRPr="0058641B">
              <w:t>%)</w:t>
            </w:r>
          </w:p>
          <w:p w14:paraId="15A60F6F" w14:textId="39C8681F" w:rsidR="005F4220" w:rsidRPr="0058641B" w:rsidRDefault="00301474" w:rsidP="00644DC1">
            <w:pPr>
              <w:pStyle w:val="Tabletext"/>
              <w:keepNext/>
              <w:ind w:left="720" w:hanging="543"/>
              <w:jc w:val="center"/>
            </w:pPr>
            <w:r w:rsidRPr="0058641B">
              <w:t>189</w:t>
            </w:r>
            <w:r w:rsidR="005F4220" w:rsidRPr="0058641B">
              <w:t xml:space="preserve"> (</w:t>
            </w:r>
            <w:r w:rsidRPr="0058641B">
              <w:t>43.0</w:t>
            </w:r>
            <w:r w:rsidR="005F4220" w:rsidRPr="0058641B">
              <w:t>%)</w:t>
            </w:r>
          </w:p>
        </w:tc>
      </w:tr>
      <w:tr w:rsidR="00495DEC" w:rsidRPr="0058641B" w14:paraId="0CBD6C88" w14:textId="77777777" w:rsidTr="00D312D9">
        <w:tc>
          <w:tcPr>
            <w:tcW w:w="3964" w:type="dxa"/>
          </w:tcPr>
          <w:p w14:paraId="1AD49BE7" w14:textId="77777777" w:rsidR="00495DEC" w:rsidRPr="0058641B" w:rsidRDefault="00495DEC" w:rsidP="00001439">
            <w:pPr>
              <w:pStyle w:val="Tabletext"/>
              <w:keepNext/>
              <w:ind w:left="720"/>
            </w:pPr>
            <w:r w:rsidRPr="0058641B">
              <w:t xml:space="preserve">Median time to event, months, (95% CI) </w:t>
            </w:r>
          </w:p>
        </w:tc>
        <w:tc>
          <w:tcPr>
            <w:tcW w:w="2268" w:type="dxa"/>
          </w:tcPr>
          <w:p w14:paraId="696DB406" w14:textId="5F5EF720" w:rsidR="00495DEC" w:rsidRPr="0058641B" w:rsidRDefault="00495DEC" w:rsidP="00644DC1">
            <w:pPr>
              <w:pStyle w:val="Tabletext"/>
              <w:keepNext/>
              <w:jc w:val="center"/>
            </w:pPr>
            <w:r w:rsidRPr="0058641B">
              <w:t>42.3 (36.0, NE)</w:t>
            </w:r>
          </w:p>
        </w:tc>
        <w:tc>
          <w:tcPr>
            <w:tcW w:w="2785" w:type="dxa"/>
          </w:tcPr>
          <w:p w14:paraId="30A0327B" w14:textId="7E35969C" w:rsidR="00495DEC" w:rsidRPr="0058641B" w:rsidRDefault="00495DEC" w:rsidP="00644DC1">
            <w:pPr>
              <w:pStyle w:val="Tabletext"/>
              <w:keepNext/>
              <w:jc w:val="center"/>
            </w:pPr>
            <w:r w:rsidRPr="0058641B">
              <w:t>35.3 (</w:t>
            </w:r>
            <w:r w:rsidR="00BC4B38" w:rsidRPr="0058641B">
              <w:t>30.4</w:t>
            </w:r>
            <w:r w:rsidRPr="0058641B">
              <w:t xml:space="preserve">, </w:t>
            </w:r>
            <w:r w:rsidR="00BC4B38" w:rsidRPr="0058641B">
              <w:t>46.4</w:t>
            </w:r>
            <w:r w:rsidRPr="0058641B">
              <w:t>)</w:t>
            </w:r>
          </w:p>
        </w:tc>
      </w:tr>
      <w:tr w:rsidR="00495DEC" w:rsidRPr="0058641B" w14:paraId="3BF217FF" w14:textId="77777777" w:rsidTr="00D312D9">
        <w:tc>
          <w:tcPr>
            <w:tcW w:w="3964" w:type="dxa"/>
          </w:tcPr>
          <w:p w14:paraId="59F95AB2" w14:textId="77777777" w:rsidR="00495DEC" w:rsidRPr="0058641B" w:rsidRDefault="00495DEC" w:rsidP="00001439">
            <w:pPr>
              <w:pStyle w:val="Tabletext"/>
              <w:keepNext/>
              <w:ind w:left="720"/>
            </w:pPr>
            <w:r w:rsidRPr="0058641B">
              <w:t>Stratified Hazard Ratio (95% CI)</w:t>
            </w:r>
          </w:p>
        </w:tc>
        <w:tc>
          <w:tcPr>
            <w:tcW w:w="5053" w:type="dxa"/>
            <w:gridSpan w:val="2"/>
          </w:tcPr>
          <w:p w14:paraId="4E194ED5" w14:textId="77777777" w:rsidR="00495DEC" w:rsidRPr="0058641B" w:rsidRDefault="00495DEC" w:rsidP="00644DC1">
            <w:pPr>
              <w:pStyle w:val="Tabletext"/>
              <w:keepNext/>
              <w:jc w:val="center"/>
            </w:pPr>
            <w:r w:rsidRPr="0058641B">
              <w:t>0.79 (0.64, 0.96); p-value (log-rank)=0.0205</w:t>
            </w:r>
          </w:p>
        </w:tc>
      </w:tr>
      <w:tr w:rsidR="00495DEC" w:rsidRPr="0058641B" w14:paraId="1FEBE28D" w14:textId="77777777" w:rsidTr="00D312D9">
        <w:tc>
          <w:tcPr>
            <w:tcW w:w="3964" w:type="dxa"/>
          </w:tcPr>
          <w:p w14:paraId="518F6A93" w14:textId="77777777" w:rsidR="00495DEC" w:rsidRPr="0058641B" w:rsidRDefault="00495DEC" w:rsidP="00001439">
            <w:pPr>
              <w:pStyle w:val="Tabletext"/>
              <w:keepNext/>
              <w:ind w:left="720"/>
            </w:pPr>
            <w:r w:rsidRPr="0058641B">
              <w:t>DFS rate at 3 years, %</w:t>
            </w:r>
          </w:p>
        </w:tc>
        <w:tc>
          <w:tcPr>
            <w:tcW w:w="2268" w:type="dxa"/>
          </w:tcPr>
          <w:p w14:paraId="05F87A8C" w14:textId="323F0B2A" w:rsidR="00495DEC" w:rsidRPr="0058641B" w:rsidRDefault="00495DEC" w:rsidP="00644DC1">
            <w:pPr>
              <w:pStyle w:val="Tabletext"/>
              <w:keepNext/>
              <w:jc w:val="center"/>
            </w:pPr>
            <w:r w:rsidRPr="0058641B">
              <w:t>55.7</w:t>
            </w:r>
          </w:p>
        </w:tc>
        <w:tc>
          <w:tcPr>
            <w:tcW w:w="2785" w:type="dxa"/>
          </w:tcPr>
          <w:p w14:paraId="28820AFA" w14:textId="32DF094F" w:rsidR="00495DEC" w:rsidRPr="0058641B" w:rsidRDefault="00495DEC" w:rsidP="00644DC1">
            <w:pPr>
              <w:pStyle w:val="Tabletext"/>
              <w:keepNext/>
              <w:jc w:val="center"/>
            </w:pPr>
            <w:r w:rsidRPr="0058641B">
              <w:t>49.4</w:t>
            </w:r>
          </w:p>
        </w:tc>
      </w:tr>
      <w:tr w:rsidR="00495DEC" w:rsidRPr="0058641B" w14:paraId="7390A54E" w14:textId="77777777" w:rsidTr="00D312D9">
        <w:tc>
          <w:tcPr>
            <w:tcW w:w="3964" w:type="dxa"/>
          </w:tcPr>
          <w:p w14:paraId="375F0ADF" w14:textId="77777777" w:rsidR="00495DEC" w:rsidRPr="0058641B" w:rsidRDefault="00495DEC" w:rsidP="00001439">
            <w:pPr>
              <w:pStyle w:val="Tabletext"/>
              <w:keepNext/>
              <w:ind w:left="1440"/>
            </w:pPr>
            <w:r w:rsidRPr="0058641B">
              <w:t>Difference, % (95% CI)</w:t>
            </w:r>
          </w:p>
        </w:tc>
        <w:tc>
          <w:tcPr>
            <w:tcW w:w="5053" w:type="dxa"/>
            <w:gridSpan w:val="2"/>
          </w:tcPr>
          <w:p w14:paraId="5430EA12" w14:textId="6BC5C893" w:rsidR="00495DEC" w:rsidRPr="0058641B" w:rsidRDefault="00495DEC" w:rsidP="00644DC1">
            <w:pPr>
              <w:pStyle w:val="Tabletext"/>
              <w:keepNext/>
              <w:jc w:val="center"/>
            </w:pPr>
            <w:r w:rsidRPr="0058641B">
              <w:t>6.3 (-1.</w:t>
            </w:r>
            <w:r w:rsidR="00D527E4" w:rsidRPr="0058641B">
              <w:t>4</w:t>
            </w:r>
            <w:r w:rsidRPr="0058641B">
              <w:t>, 14.0)</w:t>
            </w:r>
          </w:p>
        </w:tc>
      </w:tr>
      <w:tr w:rsidR="00495DEC" w:rsidRPr="0058641B" w14:paraId="3AFB8694" w14:textId="77777777" w:rsidTr="00D312D9">
        <w:tc>
          <w:tcPr>
            <w:tcW w:w="9017" w:type="dxa"/>
            <w:gridSpan w:val="3"/>
          </w:tcPr>
          <w:p w14:paraId="0F228957" w14:textId="4D4933C1" w:rsidR="00495DEC" w:rsidRPr="0058641B" w:rsidRDefault="00495DEC" w:rsidP="00001439">
            <w:pPr>
              <w:pStyle w:val="Tabletext"/>
              <w:keepNext/>
              <w:rPr>
                <w:b/>
              </w:rPr>
            </w:pPr>
            <w:r w:rsidRPr="0058641B">
              <w:rPr>
                <w:b/>
              </w:rPr>
              <w:t>ITT (Stage IB-IIIA NSCLC</w:t>
            </w:r>
            <w:r w:rsidR="00516C92" w:rsidRPr="0058641B">
              <w:rPr>
                <w:b/>
              </w:rPr>
              <w:t xml:space="preserve"> regardless of PD-L1 expression status</w:t>
            </w:r>
            <w:r w:rsidRPr="0058641B">
              <w:rPr>
                <w:b/>
              </w:rPr>
              <w:t>)</w:t>
            </w:r>
          </w:p>
        </w:tc>
      </w:tr>
      <w:tr w:rsidR="00495DEC" w:rsidRPr="0058641B" w14:paraId="4BD26EFB" w14:textId="77777777" w:rsidTr="00D312D9">
        <w:tc>
          <w:tcPr>
            <w:tcW w:w="3964" w:type="dxa"/>
          </w:tcPr>
          <w:p w14:paraId="5E66A98A" w14:textId="77777777" w:rsidR="00495DEC" w:rsidRPr="0058641B" w:rsidRDefault="00495DEC" w:rsidP="00001439">
            <w:pPr>
              <w:pStyle w:val="Tabletext"/>
              <w:keepNext/>
              <w:ind w:left="1440"/>
            </w:pPr>
          </w:p>
        </w:tc>
        <w:tc>
          <w:tcPr>
            <w:tcW w:w="2268" w:type="dxa"/>
          </w:tcPr>
          <w:p w14:paraId="238301CE" w14:textId="77777777" w:rsidR="00495DEC" w:rsidRPr="0058641B" w:rsidRDefault="00495DEC" w:rsidP="00644DC1">
            <w:pPr>
              <w:pStyle w:val="Tabletext"/>
              <w:keepNext/>
              <w:jc w:val="center"/>
            </w:pPr>
            <w:r w:rsidRPr="0058641B">
              <w:t>N=507</w:t>
            </w:r>
          </w:p>
        </w:tc>
        <w:tc>
          <w:tcPr>
            <w:tcW w:w="2785" w:type="dxa"/>
          </w:tcPr>
          <w:p w14:paraId="73E8FA2C" w14:textId="77777777" w:rsidR="00495DEC" w:rsidRPr="0058641B" w:rsidRDefault="00495DEC" w:rsidP="00001439">
            <w:pPr>
              <w:pStyle w:val="Tabletext"/>
              <w:keepNext/>
            </w:pPr>
            <w:r w:rsidRPr="0058641B">
              <w:t>N=498</w:t>
            </w:r>
          </w:p>
        </w:tc>
      </w:tr>
      <w:tr w:rsidR="00495DEC" w:rsidRPr="0058641B" w14:paraId="395877C8" w14:textId="77777777" w:rsidTr="00D312D9">
        <w:tc>
          <w:tcPr>
            <w:tcW w:w="3964" w:type="dxa"/>
          </w:tcPr>
          <w:p w14:paraId="44B4EEB2" w14:textId="77777777" w:rsidR="00495DEC" w:rsidRPr="0058641B" w:rsidRDefault="00495DEC" w:rsidP="00001439">
            <w:pPr>
              <w:pStyle w:val="Tabletext"/>
              <w:keepNext/>
              <w:ind w:left="720"/>
            </w:pPr>
            <w:r w:rsidRPr="0058641B">
              <w:t>Patients with event, n (%)</w:t>
            </w:r>
          </w:p>
          <w:p w14:paraId="59B81D4C" w14:textId="1687DB8A" w:rsidR="00301474" w:rsidRPr="0058641B" w:rsidRDefault="00301474" w:rsidP="00301474">
            <w:pPr>
              <w:pStyle w:val="Tabletext"/>
              <w:keepNext/>
              <w:ind w:left="1440" w:hanging="426"/>
            </w:pPr>
            <w:r w:rsidRPr="0058641B">
              <w:t>Deaths (earliest event)</w:t>
            </w:r>
          </w:p>
          <w:p w14:paraId="62F87CE8" w14:textId="0748C9C0" w:rsidR="00301474" w:rsidRPr="0058641B" w:rsidRDefault="00301474" w:rsidP="00301474">
            <w:pPr>
              <w:pStyle w:val="Tabletext"/>
              <w:keepNext/>
              <w:ind w:left="1440" w:hanging="426"/>
            </w:pPr>
            <w:r w:rsidRPr="0058641B">
              <w:t>Disease recurrence (earliest event)</w:t>
            </w:r>
          </w:p>
        </w:tc>
        <w:tc>
          <w:tcPr>
            <w:tcW w:w="2268" w:type="dxa"/>
          </w:tcPr>
          <w:p w14:paraId="41C60880" w14:textId="77777777" w:rsidR="00495DEC" w:rsidRPr="0058641B" w:rsidRDefault="00495DEC" w:rsidP="00644DC1">
            <w:pPr>
              <w:pStyle w:val="Tabletext"/>
              <w:keepNext/>
              <w:jc w:val="center"/>
            </w:pPr>
            <w:r w:rsidRPr="0058641B">
              <w:t>187 (36.9%)</w:t>
            </w:r>
          </w:p>
          <w:p w14:paraId="37259078" w14:textId="7B30228B" w:rsidR="00301474" w:rsidRPr="0058641B" w:rsidRDefault="00301474" w:rsidP="00644DC1">
            <w:pPr>
              <w:pStyle w:val="Tabletext"/>
              <w:keepNext/>
              <w:ind w:left="720" w:hanging="546"/>
              <w:jc w:val="center"/>
            </w:pPr>
            <w:r w:rsidRPr="0058641B">
              <w:t>31 (6.1%)</w:t>
            </w:r>
          </w:p>
          <w:p w14:paraId="71DCB56F" w14:textId="01680454" w:rsidR="00301474" w:rsidRPr="0058641B" w:rsidRDefault="00301474" w:rsidP="00644DC1">
            <w:pPr>
              <w:pStyle w:val="Tabletext"/>
              <w:keepNext/>
              <w:ind w:left="720" w:hanging="546"/>
              <w:jc w:val="center"/>
            </w:pPr>
            <w:r w:rsidRPr="0058641B">
              <w:t>156 (30.8%)</w:t>
            </w:r>
          </w:p>
        </w:tc>
        <w:tc>
          <w:tcPr>
            <w:tcW w:w="2785" w:type="dxa"/>
          </w:tcPr>
          <w:p w14:paraId="32283266" w14:textId="77777777" w:rsidR="00495DEC" w:rsidRPr="0058641B" w:rsidRDefault="00495DEC" w:rsidP="00001439">
            <w:pPr>
              <w:pStyle w:val="Tabletext"/>
              <w:keepNext/>
            </w:pPr>
            <w:r w:rsidRPr="0058641B">
              <w:t>212 (42.6%)</w:t>
            </w:r>
          </w:p>
          <w:p w14:paraId="1E5E10AC" w14:textId="1D912A11" w:rsidR="00301474" w:rsidRPr="0058641B" w:rsidRDefault="00301474" w:rsidP="00301474">
            <w:pPr>
              <w:pStyle w:val="Tabletext"/>
              <w:keepNext/>
              <w:ind w:left="720" w:hanging="543"/>
            </w:pPr>
            <w:r w:rsidRPr="0058641B">
              <w:t>9 (1.8%)</w:t>
            </w:r>
          </w:p>
          <w:p w14:paraId="3B294568" w14:textId="63C8FB27" w:rsidR="00301474" w:rsidRPr="0058641B" w:rsidRDefault="00301474" w:rsidP="00301474">
            <w:pPr>
              <w:pStyle w:val="Tabletext"/>
              <w:keepNext/>
              <w:ind w:left="720" w:hanging="543"/>
            </w:pPr>
            <w:r w:rsidRPr="0058641B">
              <w:t>203 (40.8%)</w:t>
            </w:r>
          </w:p>
        </w:tc>
      </w:tr>
      <w:tr w:rsidR="00495DEC" w:rsidRPr="0058641B" w14:paraId="4A92041D" w14:textId="77777777" w:rsidTr="00D312D9">
        <w:tc>
          <w:tcPr>
            <w:tcW w:w="3964" w:type="dxa"/>
          </w:tcPr>
          <w:p w14:paraId="11F7F4B2" w14:textId="77777777" w:rsidR="00495DEC" w:rsidRPr="0058641B" w:rsidRDefault="00495DEC" w:rsidP="00001439">
            <w:pPr>
              <w:pStyle w:val="Tabletext"/>
              <w:keepNext/>
              <w:ind w:left="720"/>
            </w:pPr>
            <w:r w:rsidRPr="0058641B">
              <w:t xml:space="preserve">Median time to event, months, (95% CI) </w:t>
            </w:r>
          </w:p>
        </w:tc>
        <w:tc>
          <w:tcPr>
            <w:tcW w:w="2268" w:type="dxa"/>
          </w:tcPr>
          <w:p w14:paraId="70731D9D" w14:textId="64FC738A" w:rsidR="00495DEC" w:rsidRPr="0058641B" w:rsidRDefault="00495DEC" w:rsidP="00644DC1">
            <w:pPr>
              <w:pStyle w:val="Tabletext"/>
              <w:keepNext/>
              <w:jc w:val="center"/>
            </w:pPr>
            <w:r w:rsidRPr="0058641B">
              <w:t>NE (36.1, NE)</w:t>
            </w:r>
          </w:p>
        </w:tc>
        <w:tc>
          <w:tcPr>
            <w:tcW w:w="2785" w:type="dxa"/>
          </w:tcPr>
          <w:p w14:paraId="0B43FEC8" w14:textId="3643A5C4" w:rsidR="00495DEC" w:rsidRPr="0058641B" w:rsidRDefault="00495DEC" w:rsidP="00001439">
            <w:pPr>
              <w:pStyle w:val="Tabletext"/>
              <w:keepNext/>
            </w:pPr>
            <w:r w:rsidRPr="0058641B">
              <w:t>37.2 (31.6, NE)</w:t>
            </w:r>
          </w:p>
        </w:tc>
      </w:tr>
      <w:tr w:rsidR="00495DEC" w:rsidRPr="0058641B" w14:paraId="11C2B6EE" w14:textId="77777777" w:rsidTr="00D312D9">
        <w:tc>
          <w:tcPr>
            <w:tcW w:w="3964" w:type="dxa"/>
          </w:tcPr>
          <w:p w14:paraId="5EB4B4FC" w14:textId="77777777" w:rsidR="00495DEC" w:rsidRPr="0058641B" w:rsidRDefault="00495DEC" w:rsidP="00001439">
            <w:pPr>
              <w:pStyle w:val="Tabletext"/>
              <w:keepNext/>
              <w:ind w:left="720"/>
            </w:pPr>
            <w:r w:rsidRPr="0058641B">
              <w:t>Stratified Hazard Ratio (95% CI)</w:t>
            </w:r>
          </w:p>
        </w:tc>
        <w:tc>
          <w:tcPr>
            <w:tcW w:w="5053" w:type="dxa"/>
            <w:gridSpan w:val="2"/>
          </w:tcPr>
          <w:p w14:paraId="55900954" w14:textId="77777777" w:rsidR="00495DEC" w:rsidRPr="0058641B" w:rsidRDefault="00495DEC" w:rsidP="00644DC1">
            <w:pPr>
              <w:pStyle w:val="Tabletext"/>
              <w:keepNext/>
              <w:jc w:val="center"/>
            </w:pPr>
            <w:r w:rsidRPr="0058641B">
              <w:t>0.81 (0.67, 0.99); p-value (log-rank)=0.0395</w:t>
            </w:r>
          </w:p>
        </w:tc>
      </w:tr>
      <w:tr w:rsidR="00495DEC" w:rsidRPr="0058641B" w14:paraId="6359657B" w14:textId="77777777" w:rsidTr="00D312D9">
        <w:tc>
          <w:tcPr>
            <w:tcW w:w="3964" w:type="dxa"/>
          </w:tcPr>
          <w:p w14:paraId="75F09303" w14:textId="77777777" w:rsidR="00495DEC" w:rsidRPr="0058641B" w:rsidRDefault="00495DEC" w:rsidP="00001439">
            <w:pPr>
              <w:pStyle w:val="Tabletext"/>
              <w:keepNext/>
              <w:ind w:left="720"/>
            </w:pPr>
            <w:r w:rsidRPr="0058641B">
              <w:t>DFS rate at 3 years, %</w:t>
            </w:r>
          </w:p>
        </w:tc>
        <w:tc>
          <w:tcPr>
            <w:tcW w:w="2268" w:type="dxa"/>
          </w:tcPr>
          <w:p w14:paraId="2944D007" w14:textId="162CB0C9" w:rsidR="00495DEC" w:rsidRPr="0058641B" w:rsidRDefault="00495DEC" w:rsidP="00644DC1">
            <w:pPr>
              <w:pStyle w:val="Tabletext"/>
              <w:keepNext/>
              <w:jc w:val="center"/>
            </w:pPr>
            <w:r w:rsidRPr="0058641B">
              <w:t>57.9</w:t>
            </w:r>
          </w:p>
        </w:tc>
        <w:tc>
          <w:tcPr>
            <w:tcW w:w="2785" w:type="dxa"/>
          </w:tcPr>
          <w:p w14:paraId="4FED72C9" w14:textId="2C514317" w:rsidR="00495DEC" w:rsidRPr="0058641B" w:rsidRDefault="00495DEC" w:rsidP="00001439">
            <w:pPr>
              <w:pStyle w:val="Tabletext"/>
              <w:keepNext/>
            </w:pPr>
            <w:r w:rsidRPr="0058641B">
              <w:t>52.</w:t>
            </w:r>
            <w:r w:rsidR="00D527E4" w:rsidRPr="0058641B">
              <w:t>6</w:t>
            </w:r>
          </w:p>
        </w:tc>
      </w:tr>
      <w:tr w:rsidR="00495DEC" w:rsidRPr="0058641B" w14:paraId="5AEB00FE" w14:textId="77777777" w:rsidTr="00D312D9">
        <w:tc>
          <w:tcPr>
            <w:tcW w:w="3964" w:type="dxa"/>
          </w:tcPr>
          <w:p w14:paraId="7796FF10" w14:textId="77777777" w:rsidR="00495DEC" w:rsidRPr="0058641B" w:rsidRDefault="00495DEC" w:rsidP="00001439">
            <w:pPr>
              <w:pStyle w:val="Tabletext"/>
              <w:keepNext/>
              <w:ind w:left="1440"/>
            </w:pPr>
            <w:r w:rsidRPr="0058641B">
              <w:t>Difference, % (95% CI)</w:t>
            </w:r>
          </w:p>
        </w:tc>
        <w:tc>
          <w:tcPr>
            <w:tcW w:w="5053" w:type="dxa"/>
            <w:gridSpan w:val="2"/>
          </w:tcPr>
          <w:p w14:paraId="76C411C7" w14:textId="233AF04A" w:rsidR="00495DEC" w:rsidRPr="0058641B" w:rsidRDefault="00495DEC" w:rsidP="00001439">
            <w:pPr>
              <w:pStyle w:val="Tabletext"/>
              <w:keepNext/>
            </w:pPr>
            <w:r w:rsidRPr="0058641B">
              <w:t>5.3 (-1.79, 12.52)</w:t>
            </w:r>
          </w:p>
        </w:tc>
      </w:tr>
    </w:tbl>
    <w:p w14:paraId="0491FA4D" w14:textId="78958209" w:rsidR="00495DEC" w:rsidRPr="0058641B" w:rsidRDefault="00495DEC" w:rsidP="00495DEC">
      <w:pPr>
        <w:pStyle w:val="TableFigureFooter"/>
      </w:pPr>
      <w:r w:rsidRPr="0058641B">
        <w:t>Source: Tables 18-20, pp 65-69</w:t>
      </w:r>
      <w:r w:rsidR="00716093" w:rsidRPr="0058641B">
        <w:t xml:space="preserve"> of the IMpower010 CSR.</w:t>
      </w:r>
    </w:p>
    <w:p w14:paraId="4044C153" w14:textId="6B1A85F4" w:rsidR="00716093" w:rsidRPr="0058641B" w:rsidRDefault="00716093" w:rsidP="00495DEC">
      <w:pPr>
        <w:pStyle w:val="TableFigureFooter"/>
      </w:pPr>
      <w:r w:rsidRPr="0058641B">
        <w:t>NE = not estimable; NSCLC = non-small cell lung cancer; ATZ = atezolizumab; BSC = best supportive care; ITT = intention to treat; DFS = disease free survival; PD-L1 = programmed cell death ligand 1</w:t>
      </w:r>
    </w:p>
    <w:p w14:paraId="0638220B" w14:textId="37C12245" w:rsidR="00495DEC" w:rsidRPr="0058641B" w:rsidRDefault="00716093" w:rsidP="00495DEC">
      <w:pPr>
        <w:pStyle w:val="TableFigureFooter"/>
      </w:pPr>
      <w:r w:rsidRPr="0058641B">
        <w:t xml:space="preserve">Data </w:t>
      </w:r>
      <w:r w:rsidR="00EA56B9" w:rsidRPr="0058641B">
        <w:t>cut-off</w:t>
      </w:r>
      <w:r w:rsidRPr="0058641B">
        <w:t xml:space="preserve"> January 2021; </w:t>
      </w:r>
      <w:r w:rsidR="00495DEC" w:rsidRPr="0058641B">
        <w:t xml:space="preserve">PD-L1 status </w:t>
      </w:r>
      <w:r w:rsidRPr="0058641B">
        <w:t xml:space="preserve">was based on </w:t>
      </w:r>
      <w:r w:rsidR="00495DEC" w:rsidRPr="0058641B">
        <w:t>SP263 assay; Summaries of DFS duration (median) are Kaplan-M</w:t>
      </w:r>
      <w:r w:rsidR="00DC1AC9" w:rsidRPr="0058641B">
        <w:t>eier estimates; 95% CIs for the</w:t>
      </w:r>
      <w:r w:rsidRPr="0058641B">
        <w:t xml:space="preserve"> median were</w:t>
      </w:r>
      <w:r w:rsidR="00495DEC" w:rsidRPr="0058641B">
        <w:t xml:space="preserve"> computed using the method of Brookmeyer and Crowley; Hazard ratios were estimated by Cox regression; </w:t>
      </w:r>
      <w:r w:rsidRPr="0058641B">
        <w:t>S</w:t>
      </w:r>
      <w:r w:rsidR="00495DEC" w:rsidRPr="0058641B">
        <w:t>tratification factors: stage (II vs. IIIA), sex (female vs. male), and histology (squamous vs. non-squamous). There was inadequate follow-up for 5-year DFS rates</w:t>
      </w:r>
      <w:r w:rsidRPr="0058641B">
        <w:t>.</w:t>
      </w:r>
    </w:p>
    <w:p w14:paraId="327EB306" w14:textId="77777777" w:rsidR="00495DEC" w:rsidRPr="0058641B" w:rsidRDefault="00495DEC" w:rsidP="00495DEC"/>
    <w:p w14:paraId="41A6BB68" w14:textId="4DB5CA10" w:rsidR="00495DEC" w:rsidRPr="0058641B" w:rsidRDefault="00495DEC" w:rsidP="00495DEC">
      <w:pPr>
        <w:pStyle w:val="TableFigureHeading"/>
      </w:pPr>
      <w:bookmarkStart w:id="26" w:name="_Ref101253245"/>
      <w:r w:rsidRPr="0058641B">
        <w:lastRenderedPageBreak/>
        <w:t xml:space="preserve">Figure </w:t>
      </w:r>
      <w:fldSimple w:instr=" SEQ Figure \* ARABIC ">
        <w:r w:rsidR="0043151A">
          <w:rPr>
            <w:noProof/>
          </w:rPr>
          <w:t>1</w:t>
        </w:r>
      </w:fldSimple>
      <w:bookmarkEnd w:id="26"/>
      <w:r w:rsidRPr="0058641B">
        <w:t xml:space="preserve">: Kaplan-Meier plot of DFS in IMpower010 - Stage II-IIIA </w:t>
      </w:r>
      <w:r w:rsidR="00B54752" w:rsidRPr="0058641B">
        <w:t>PD-L1 ≥ 1%</w:t>
      </w:r>
      <w:r w:rsidRPr="0058641B">
        <w:t xml:space="preserve"> NSCLC subgroup</w:t>
      </w:r>
    </w:p>
    <w:p w14:paraId="34705089" w14:textId="6B974A1E" w:rsidR="00495DEC" w:rsidRPr="0058641B" w:rsidRDefault="00495DEC" w:rsidP="00495DEC">
      <w:r w:rsidRPr="0058641B">
        <w:rPr>
          <w:noProof/>
          <w:lang w:eastAsia="zh-CN"/>
        </w:rPr>
        <w:drawing>
          <wp:inline distT="0" distB="0" distL="0" distR="0" wp14:anchorId="48ACBC00" wp14:editId="54C3C461">
            <wp:extent cx="5731736" cy="2391507"/>
            <wp:effectExtent l="0" t="0" r="2540" b="8890"/>
            <wp:docPr id="5" name="Picture 5" descr="Figure 1: Kaplan-Meier plot of DFS in IMpower010 - Stage II-IIIA PD-L1 ≥ 1% NSCLC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Kaplan-Meier plot of DFS in IMpower010 - Stage II-IIIA PD-L1 ≥ 1% NSCLC subgroup"/>
                    <pic:cNvPicPr/>
                  </pic:nvPicPr>
                  <pic:blipFill>
                    <a:blip r:embed="rId8"/>
                    <a:stretch>
                      <a:fillRect/>
                    </a:stretch>
                  </pic:blipFill>
                  <pic:spPr>
                    <a:xfrm>
                      <a:off x="0" y="0"/>
                      <a:ext cx="5751066" cy="2399572"/>
                    </a:xfrm>
                    <a:prstGeom prst="rect">
                      <a:avLst/>
                    </a:prstGeom>
                  </pic:spPr>
                </pic:pic>
              </a:graphicData>
            </a:graphic>
          </wp:inline>
        </w:drawing>
      </w:r>
    </w:p>
    <w:p w14:paraId="53CE63BF" w14:textId="68CB2A1F" w:rsidR="00495DEC" w:rsidRPr="0058641B" w:rsidRDefault="00495DEC" w:rsidP="00495DEC">
      <w:pPr>
        <w:pStyle w:val="TableFigureFooter"/>
      </w:pPr>
      <w:r w:rsidRPr="0058641B">
        <w:t>Source: IMpower010 CSR, Figure 3, p66.</w:t>
      </w:r>
    </w:p>
    <w:p w14:paraId="2FD57745" w14:textId="3EF3A8D2" w:rsidR="00495DEC" w:rsidRPr="0058641B" w:rsidRDefault="00495DEC" w:rsidP="00495DEC">
      <w:pPr>
        <w:pStyle w:val="TableFigureFooter"/>
      </w:pPr>
      <w:r w:rsidRPr="0058641B">
        <w:t>NSCLC = non-small cell lung cancer; DFS = disease free survival; PD-L1 = programmed cell death ligand 1</w:t>
      </w:r>
    </w:p>
    <w:p w14:paraId="2B4D6696" w14:textId="77777777" w:rsidR="00495DEC" w:rsidRPr="0058641B" w:rsidRDefault="00495DEC" w:rsidP="00495DEC"/>
    <w:p w14:paraId="53655E22" w14:textId="01CA43D1" w:rsidR="00495DEC" w:rsidRPr="0058641B" w:rsidRDefault="00495DEC" w:rsidP="00495DEC">
      <w:pPr>
        <w:pStyle w:val="TableFigureHeading"/>
      </w:pPr>
      <w:bookmarkStart w:id="27" w:name="_Ref101253248"/>
      <w:r w:rsidRPr="0058641B">
        <w:t xml:space="preserve">Figure </w:t>
      </w:r>
      <w:fldSimple w:instr=" SEQ Figure \* ARABIC ">
        <w:r w:rsidR="0043151A">
          <w:rPr>
            <w:noProof/>
          </w:rPr>
          <w:t>2</w:t>
        </w:r>
      </w:fldSimple>
      <w:bookmarkEnd w:id="27"/>
      <w:r w:rsidRPr="0058641B">
        <w:t>: Kaplan-Meier plot of DFS in IMpower010 - Stage II-IIIA</w:t>
      </w:r>
      <w:r w:rsidR="00516C92" w:rsidRPr="0058641B">
        <w:t xml:space="preserve"> NSCLC subgroup (regardless of PD-</w:t>
      </w:r>
      <w:r w:rsidRPr="0058641B">
        <w:t xml:space="preserve">L1 status) </w:t>
      </w:r>
    </w:p>
    <w:p w14:paraId="72D92FCA" w14:textId="10A25316" w:rsidR="00495DEC" w:rsidRPr="0058641B" w:rsidRDefault="00495DEC" w:rsidP="00495DEC">
      <w:r w:rsidRPr="0058641B">
        <w:rPr>
          <w:noProof/>
          <w:lang w:eastAsia="zh-CN"/>
        </w:rPr>
        <w:drawing>
          <wp:inline distT="0" distB="0" distL="0" distR="0" wp14:anchorId="317C5AA6" wp14:editId="0E1528A5">
            <wp:extent cx="5732145" cy="3107690"/>
            <wp:effectExtent l="0" t="0" r="1905" b="0"/>
            <wp:docPr id="18" name="Picture 18" descr="Figure 2: Kaplan-Meier plot of DFS in IMpower010 - Stage II-IIIA NSCLC subgroup (regardless of PD-L1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2: Kaplan-Meier plot of DFS in IMpower010 - Stage II-IIIA NSCLC subgroup (regardless of PD-L1 status) "/>
                    <pic:cNvPicPr/>
                  </pic:nvPicPr>
                  <pic:blipFill>
                    <a:blip r:embed="rId9"/>
                    <a:stretch>
                      <a:fillRect/>
                    </a:stretch>
                  </pic:blipFill>
                  <pic:spPr>
                    <a:xfrm>
                      <a:off x="0" y="0"/>
                      <a:ext cx="5732145" cy="3107690"/>
                    </a:xfrm>
                    <a:prstGeom prst="rect">
                      <a:avLst/>
                    </a:prstGeom>
                  </pic:spPr>
                </pic:pic>
              </a:graphicData>
            </a:graphic>
          </wp:inline>
        </w:drawing>
      </w:r>
    </w:p>
    <w:p w14:paraId="110B58BD" w14:textId="21B3D017" w:rsidR="00495DEC" w:rsidRPr="0058641B" w:rsidRDefault="00495DEC" w:rsidP="00495DEC">
      <w:pPr>
        <w:pStyle w:val="TableFigureFooter"/>
      </w:pPr>
      <w:r w:rsidRPr="0058641B">
        <w:t>Source: IMpower010 CSR, Figure 4, p68</w:t>
      </w:r>
    </w:p>
    <w:p w14:paraId="7B5803FA" w14:textId="33EB557A" w:rsidR="00495DEC" w:rsidRPr="0058641B" w:rsidRDefault="00495DEC" w:rsidP="00495DEC">
      <w:pPr>
        <w:pStyle w:val="TableFigureFooter"/>
      </w:pPr>
      <w:r w:rsidRPr="0058641B">
        <w:t>NSCLC = non-small cell lung cancer; DFS = disease free survival; PD-L1 = programmed cell death ligand 1</w:t>
      </w:r>
    </w:p>
    <w:p w14:paraId="0F6FA5D6" w14:textId="77777777" w:rsidR="00495DEC" w:rsidRPr="0058641B" w:rsidRDefault="00495DEC" w:rsidP="00495DEC"/>
    <w:p w14:paraId="7A9D8C4C" w14:textId="7233050B" w:rsidR="00495DEC" w:rsidRPr="0058641B" w:rsidRDefault="00495DEC" w:rsidP="00495DEC">
      <w:pPr>
        <w:pStyle w:val="TableFigureHeading"/>
      </w:pPr>
      <w:bookmarkStart w:id="28" w:name="_Ref101253251"/>
      <w:r w:rsidRPr="0058641B">
        <w:lastRenderedPageBreak/>
        <w:t xml:space="preserve">Figure </w:t>
      </w:r>
      <w:fldSimple w:instr=" SEQ Figure \* ARABIC ">
        <w:r w:rsidR="0043151A">
          <w:rPr>
            <w:noProof/>
          </w:rPr>
          <w:t>3</w:t>
        </w:r>
      </w:fldSimple>
      <w:bookmarkEnd w:id="28"/>
      <w:r w:rsidRPr="0058641B">
        <w:t>: Kaplan-Meier plot of DFS in IMpower010 – ITT population (Stage IB-IIIA NSCLC)</w:t>
      </w:r>
    </w:p>
    <w:p w14:paraId="091C30D4" w14:textId="3FCF8899" w:rsidR="00495DEC" w:rsidRPr="0058641B" w:rsidRDefault="00495DEC" w:rsidP="00495DEC">
      <w:r w:rsidRPr="0058641B">
        <w:rPr>
          <w:noProof/>
          <w:lang w:eastAsia="zh-CN"/>
        </w:rPr>
        <w:drawing>
          <wp:inline distT="0" distB="0" distL="0" distR="0" wp14:anchorId="5FC84100" wp14:editId="163532F3">
            <wp:extent cx="5732145" cy="3150870"/>
            <wp:effectExtent l="0" t="0" r="1905" b="0"/>
            <wp:docPr id="20" name="Picture 20" descr="Figure 3: Kaplan-Meier plot of DFS in IMpower010 – ITT population (Stage IB-IIIA NS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Kaplan-Meier plot of DFS in IMpower010 – ITT population (Stage IB-IIIA NSCLC)"/>
                    <pic:cNvPicPr/>
                  </pic:nvPicPr>
                  <pic:blipFill>
                    <a:blip r:embed="rId10"/>
                    <a:stretch>
                      <a:fillRect/>
                    </a:stretch>
                  </pic:blipFill>
                  <pic:spPr>
                    <a:xfrm>
                      <a:off x="0" y="0"/>
                      <a:ext cx="5732145" cy="3150870"/>
                    </a:xfrm>
                    <a:prstGeom prst="rect">
                      <a:avLst/>
                    </a:prstGeom>
                  </pic:spPr>
                </pic:pic>
              </a:graphicData>
            </a:graphic>
          </wp:inline>
        </w:drawing>
      </w:r>
    </w:p>
    <w:p w14:paraId="70A5E117" w14:textId="0DE0CC5A" w:rsidR="00516C92" w:rsidRPr="0058641B" w:rsidRDefault="00495DEC" w:rsidP="00516C92">
      <w:pPr>
        <w:pStyle w:val="TableFigureFooter"/>
      </w:pPr>
      <w:r w:rsidRPr="0058641B">
        <w:t>Source: IMpower010 CSR, Figure 5, p70.</w:t>
      </w:r>
    </w:p>
    <w:p w14:paraId="37FC8BDC" w14:textId="199235DE" w:rsidR="00495DEC" w:rsidRPr="0058641B" w:rsidRDefault="00495DEC" w:rsidP="00644DC1">
      <w:pPr>
        <w:pStyle w:val="TableFigureFooter"/>
        <w:rPr>
          <w:rStyle w:val="TableFigureFooterChar"/>
        </w:rPr>
      </w:pPr>
      <w:r w:rsidRPr="0058641B">
        <w:rPr>
          <w:rStyle w:val="TableFigureFooterChar"/>
        </w:rPr>
        <w:t>NSCLC = non-small cell lung cancer; DFS = disease free survival; PD-L1 = programmed cell death ligand 1</w:t>
      </w:r>
    </w:p>
    <w:p w14:paraId="4BEAEF58" w14:textId="4E4D2671" w:rsidR="00760C4E" w:rsidRPr="0058641B" w:rsidRDefault="00544949" w:rsidP="00495DEC">
      <w:pPr>
        <w:pStyle w:val="3-BodyText"/>
      </w:pPr>
      <w:r w:rsidRPr="0058641B">
        <w:rPr>
          <w:snapToGrid/>
        </w:rPr>
        <w:t>In</w:t>
      </w:r>
      <w:r w:rsidR="00495DEC" w:rsidRPr="0058641B">
        <w:rPr>
          <w:snapToGrid/>
        </w:rPr>
        <w:t xml:space="preserve"> the Stage II-IIIA </w:t>
      </w:r>
      <w:r w:rsidR="00B54752" w:rsidRPr="0058641B">
        <w:rPr>
          <w:snapToGrid/>
        </w:rPr>
        <w:t>PD-L1 ≥ 1%</w:t>
      </w:r>
      <w:r w:rsidR="00495DEC" w:rsidRPr="0058641B">
        <w:rPr>
          <w:snapToGrid/>
        </w:rPr>
        <w:t xml:space="preserve"> NSCLC subgroup, </w:t>
      </w:r>
      <w:r w:rsidR="00495DEC" w:rsidRPr="0058641B">
        <w:t xml:space="preserve">treatment with ATZ was associated with a statistically significant 34% reduction in the hazard of disease recurrence or death compared to BSC (HR=0.66; 95% CI: 0.50, 0.88; p-value=0.0039). The KM estimated median DFS was not reached in the ATZ arm and was 35.3 months in the BSC arm. A higher proportion of patients in the BSC arm (46.1%) compared to the ATZ arm (35.5%) had experienced disease recurrence or death. The difference in DFS rates at 3 </w:t>
      </w:r>
      <w:r w:rsidR="00BC4B38" w:rsidRPr="0058641B">
        <w:t xml:space="preserve">years, between the ATZ arm (60.0%) and the BSC arm (48.2%) </w:t>
      </w:r>
      <w:r w:rsidR="00495DEC" w:rsidRPr="0058641B">
        <w:t>was approximately 12% which was statistically significant. The KM curves appear to have separated at approximately 4 months in favour of the ATZ treatment arm</w:t>
      </w:r>
      <w:r w:rsidR="00495DEC" w:rsidRPr="0058641B">
        <w:rPr>
          <w:snapToGrid/>
        </w:rPr>
        <w:t>.</w:t>
      </w:r>
    </w:p>
    <w:p w14:paraId="2D5D5BA6" w14:textId="45EEEB0F" w:rsidR="00516C92" w:rsidRPr="0058641B" w:rsidRDefault="0025747F" w:rsidP="0025747F">
      <w:pPr>
        <w:pStyle w:val="3-BodyText"/>
      </w:pPr>
      <w:r w:rsidRPr="0058641B">
        <w:t>Results of p</w:t>
      </w:r>
      <w:r w:rsidR="00516C92" w:rsidRPr="0058641B">
        <w:t xml:space="preserve">re-specified </w:t>
      </w:r>
      <w:r w:rsidRPr="0058641B">
        <w:t xml:space="preserve">key </w:t>
      </w:r>
      <w:r w:rsidR="00516C92" w:rsidRPr="0058641B">
        <w:t xml:space="preserve">secondary </w:t>
      </w:r>
      <w:r w:rsidRPr="0058641B">
        <w:t xml:space="preserve">(OS in the ITT population and DFS in the Stage II-IIIA </w:t>
      </w:r>
      <w:r w:rsidR="00B54752" w:rsidRPr="0058641B">
        <w:t>PD-L1 ≥ 50%</w:t>
      </w:r>
      <w:r w:rsidRPr="0058641B">
        <w:t xml:space="preserve"> subgroup) and exploratory (OS in the Stage II-IIIA </w:t>
      </w:r>
      <w:r w:rsidR="00B54752" w:rsidRPr="0058641B">
        <w:t>PD-L1 ≥ 1%</w:t>
      </w:r>
      <w:r w:rsidRPr="0058641B">
        <w:t xml:space="preserve"> subgroup) a</w:t>
      </w:r>
      <w:r w:rsidR="00516C92" w:rsidRPr="0058641B">
        <w:t>nalys</w:t>
      </w:r>
      <w:r w:rsidRPr="0058641B">
        <w:t>e</w:t>
      </w:r>
      <w:r w:rsidR="00516C92" w:rsidRPr="0058641B">
        <w:t xml:space="preserve">s are summarised </w:t>
      </w:r>
      <w:r w:rsidR="002D5682" w:rsidRPr="0058641B">
        <w:t xml:space="preserve">in </w:t>
      </w:r>
      <w:r w:rsidR="002D5682" w:rsidRPr="0058641B">
        <w:fldChar w:fldCharType="begin"/>
      </w:r>
      <w:r w:rsidR="002D5682" w:rsidRPr="0058641B">
        <w:instrText xml:space="preserve"> REF _Ref101253436 \h </w:instrText>
      </w:r>
      <w:r w:rsidR="002D5682" w:rsidRPr="0058641B">
        <w:fldChar w:fldCharType="separate"/>
      </w:r>
      <w:r w:rsidR="0043151A" w:rsidRPr="0058641B">
        <w:t xml:space="preserve">Table </w:t>
      </w:r>
      <w:r w:rsidR="0043151A">
        <w:rPr>
          <w:noProof/>
        </w:rPr>
        <w:t>5</w:t>
      </w:r>
      <w:r w:rsidR="002D5682" w:rsidRPr="0058641B">
        <w:fldChar w:fldCharType="end"/>
      </w:r>
      <w:r w:rsidR="00F53A29" w:rsidRPr="0058641B">
        <w:t xml:space="preserve">, </w:t>
      </w:r>
      <w:r w:rsidR="00F53A29" w:rsidRPr="0058641B">
        <w:fldChar w:fldCharType="begin"/>
      </w:r>
      <w:r w:rsidR="00F53A29" w:rsidRPr="0058641B">
        <w:instrText xml:space="preserve"> REF _Ref101253592 \h </w:instrText>
      </w:r>
      <w:r w:rsidR="00F53A29" w:rsidRPr="0058641B">
        <w:fldChar w:fldCharType="separate"/>
      </w:r>
      <w:r w:rsidR="0043151A" w:rsidRPr="0058641B">
        <w:t xml:space="preserve">Table </w:t>
      </w:r>
      <w:r w:rsidR="0043151A">
        <w:rPr>
          <w:noProof/>
        </w:rPr>
        <w:t>6</w:t>
      </w:r>
      <w:r w:rsidR="00F53A29" w:rsidRPr="0058641B">
        <w:fldChar w:fldCharType="end"/>
      </w:r>
      <w:r w:rsidR="00F53A29" w:rsidRPr="0058641B">
        <w:t xml:space="preserve">, and </w:t>
      </w:r>
      <w:r w:rsidR="00F53A29" w:rsidRPr="0058641B">
        <w:fldChar w:fldCharType="begin"/>
      </w:r>
      <w:r w:rsidR="00F53A29" w:rsidRPr="0058641B">
        <w:instrText xml:space="preserve"> REF _Ref101253597 \h </w:instrText>
      </w:r>
      <w:r w:rsidR="00F53A29" w:rsidRPr="0058641B">
        <w:fldChar w:fldCharType="separate"/>
      </w:r>
      <w:r w:rsidR="0043151A" w:rsidRPr="0058641B">
        <w:t xml:space="preserve">Table </w:t>
      </w:r>
      <w:r w:rsidR="0043151A">
        <w:rPr>
          <w:noProof/>
        </w:rPr>
        <w:t>7</w:t>
      </w:r>
      <w:r w:rsidR="00F53A29" w:rsidRPr="0058641B">
        <w:fldChar w:fldCharType="end"/>
      </w:r>
      <w:r w:rsidR="00516C92" w:rsidRPr="0058641B">
        <w:t>. The corresponding KM curves are presented</w:t>
      </w:r>
      <w:r w:rsidRPr="0058641B">
        <w:t xml:space="preserve"> </w:t>
      </w:r>
      <w:r w:rsidR="002D5682" w:rsidRPr="0058641B">
        <w:t xml:space="preserve">in </w:t>
      </w:r>
      <w:r w:rsidR="00F53A29" w:rsidRPr="00757AE8">
        <w:fldChar w:fldCharType="begin"/>
      </w:r>
      <w:r w:rsidR="00F53A29" w:rsidRPr="00757AE8">
        <w:instrText xml:space="preserve"> REF _Ref101253715 \h </w:instrText>
      </w:r>
      <w:r w:rsidR="00CA3B81" w:rsidRPr="00757AE8">
        <w:instrText xml:space="preserve"> \* MERGEFORMAT </w:instrText>
      </w:r>
      <w:r w:rsidR="00F53A29" w:rsidRPr="00757AE8">
        <w:fldChar w:fldCharType="separate"/>
      </w:r>
      <w:r w:rsidR="0043151A" w:rsidRPr="0058641B">
        <w:t xml:space="preserve">Figure </w:t>
      </w:r>
      <w:r w:rsidR="0043151A">
        <w:t>4</w:t>
      </w:r>
      <w:r w:rsidR="00F53A29" w:rsidRPr="00757AE8">
        <w:fldChar w:fldCharType="end"/>
      </w:r>
      <w:r w:rsidR="00F53A29" w:rsidRPr="00757AE8">
        <w:t xml:space="preserve"> and </w:t>
      </w:r>
      <w:r w:rsidR="00F53A29" w:rsidRPr="00757AE8">
        <w:fldChar w:fldCharType="begin"/>
      </w:r>
      <w:r w:rsidR="00F53A29" w:rsidRPr="00757AE8">
        <w:instrText xml:space="preserve"> REF _Ref101253717 \h </w:instrText>
      </w:r>
      <w:r w:rsidR="00CA3B81" w:rsidRPr="00757AE8">
        <w:instrText xml:space="preserve"> \* MERGEFORMAT </w:instrText>
      </w:r>
      <w:r w:rsidR="00F53A29" w:rsidRPr="00757AE8">
        <w:fldChar w:fldCharType="separate"/>
      </w:r>
      <w:r w:rsidR="0043151A" w:rsidRPr="0058641B">
        <w:t xml:space="preserve">Figure </w:t>
      </w:r>
      <w:r w:rsidR="0043151A">
        <w:t>5</w:t>
      </w:r>
      <w:r w:rsidR="00F53A29" w:rsidRPr="00757AE8">
        <w:fldChar w:fldCharType="end"/>
      </w:r>
      <w:r w:rsidR="00516C92" w:rsidRPr="00757AE8">
        <w:t>.</w:t>
      </w:r>
    </w:p>
    <w:p w14:paraId="4F254A0E" w14:textId="5ED1C8A7" w:rsidR="009B3B71" w:rsidRPr="0058641B" w:rsidRDefault="009B3B71" w:rsidP="00405321">
      <w:pPr>
        <w:pStyle w:val="TableFigureHeading"/>
        <w:keepLines/>
      </w:pPr>
      <w:bookmarkStart w:id="29" w:name="_Ref101253436"/>
      <w:r w:rsidRPr="0058641B">
        <w:lastRenderedPageBreak/>
        <w:t xml:space="preserve">Table </w:t>
      </w:r>
      <w:fldSimple w:instr=" SEQ Table \* ARABIC ">
        <w:r w:rsidR="0043151A">
          <w:rPr>
            <w:noProof/>
          </w:rPr>
          <w:t>5</w:t>
        </w:r>
      </w:fldSimple>
      <w:bookmarkEnd w:id="29"/>
      <w:r w:rsidRPr="0058641B">
        <w:t xml:space="preserve">: </w:t>
      </w:r>
      <w:r w:rsidR="0025747F" w:rsidRPr="0058641B">
        <w:t xml:space="preserve">IMpower010 – Secondary analysis of </w:t>
      </w:r>
      <w:r w:rsidRPr="0058641B">
        <w:t xml:space="preserve">OS </w:t>
      </w:r>
      <w:r w:rsidR="0025747F" w:rsidRPr="0058641B">
        <w:t xml:space="preserve">in the </w:t>
      </w:r>
      <w:r w:rsidRPr="0058641B">
        <w:t xml:space="preserve">ITT </w:t>
      </w:r>
      <w:r w:rsidR="0025747F" w:rsidRPr="0058641B">
        <w:t xml:space="preserve">population </w:t>
      </w:r>
      <w:r w:rsidRPr="0058641B">
        <w:t>(Stage IB-IIIA NSCLC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665"/>
        <w:gridCol w:w="2177"/>
        <w:gridCol w:w="2175"/>
      </w:tblGrid>
      <w:tr w:rsidR="009B3B71" w:rsidRPr="0058641B" w14:paraId="52B8A0C4" w14:textId="77777777" w:rsidTr="0025747F">
        <w:trPr>
          <w:cantSplit/>
        </w:trPr>
        <w:tc>
          <w:tcPr>
            <w:tcW w:w="2587" w:type="pct"/>
            <w:shd w:val="clear" w:color="auto" w:fill="auto"/>
          </w:tcPr>
          <w:p w14:paraId="6496CB08" w14:textId="77777777" w:rsidR="009B3B71" w:rsidRPr="0058641B" w:rsidRDefault="009B3B71" w:rsidP="00405321">
            <w:pPr>
              <w:pStyle w:val="Tabletext"/>
              <w:keepNext/>
              <w:keepLines/>
            </w:pPr>
          </w:p>
        </w:tc>
        <w:tc>
          <w:tcPr>
            <w:tcW w:w="1207" w:type="pct"/>
          </w:tcPr>
          <w:p w14:paraId="07F7EAD8" w14:textId="77777777" w:rsidR="009B3B71" w:rsidRPr="0058641B" w:rsidRDefault="009B3B71" w:rsidP="00405321">
            <w:pPr>
              <w:pStyle w:val="Tabletext"/>
              <w:keepNext/>
              <w:keepLines/>
            </w:pPr>
            <w:r w:rsidRPr="0058641B">
              <w:t>ATZ</w:t>
            </w:r>
          </w:p>
          <w:p w14:paraId="4CF91A63" w14:textId="77777777" w:rsidR="009B3B71" w:rsidRPr="0058641B" w:rsidRDefault="009B3B71" w:rsidP="00405321">
            <w:pPr>
              <w:pStyle w:val="Tabletext"/>
              <w:keepNext/>
              <w:keepLines/>
            </w:pPr>
            <w:r w:rsidRPr="0058641B">
              <w:t>N=507</w:t>
            </w:r>
          </w:p>
        </w:tc>
        <w:tc>
          <w:tcPr>
            <w:tcW w:w="1206" w:type="pct"/>
          </w:tcPr>
          <w:p w14:paraId="0B763178" w14:textId="77777777" w:rsidR="009B3B71" w:rsidRPr="0058641B" w:rsidRDefault="009B3B71" w:rsidP="00405321">
            <w:pPr>
              <w:pStyle w:val="Tabletext"/>
              <w:keepNext/>
              <w:keepLines/>
            </w:pPr>
            <w:r w:rsidRPr="0058641B">
              <w:t>BSC</w:t>
            </w:r>
          </w:p>
          <w:p w14:paraId="5054727A" w14:textId="77777777" w:rsidR="009B3B71" w:rsidRPr="0058641B" w:rsidRDefault="009B3B71" w:rsidP="00405321">
            <w:pPr>
              <w:pStyle w:val="Tabletext"/>
              <w:keepNext/>
              <w:keepLines/>
            </w:pPr>
            <w:r w:rsidRPr="0058641B">
              <w:t>N=498</w:t>
            </w:r>
          </w:p>
        </w:tc>
      </w:tr>
      <w:tr w:rsidR="009B3B71" w:rsidRPr="0058641B" w14:paraId="79CA95A4" w14:textId="77777777" w:rsidTr="0025747F">
        <w:trPr>
          <w:cantSplit/>
        </w:trPr>
        <w:tc>
          <w:tcPr>
            <w:tcW w:w="2587" w:type="pct"/>
            <w:shd w:val="clear" w:color="auto" w:fill="auto"/>
          </w:tcPr>
          <w:p w14:paraId="0FFC4F01" w14:textId="77777777" w:rsidR="009B3B71" w:rsidRPr="0058641B" w:rsidRDefault="009B3B71" w:rsidP="00405321">
            <w:pPr>
              <w:pStyle w:val="Tabletext"/>
              <w:keepNext/>
              <w:keepLines/>
            </w:pPr>
            <w:r w:rsidRPr="0058641B">
              <w:t>Patients with event, death, (%)</w:t>
            </w:r>
          </w:p>
        </w:tc>
        <w:tc>
          <w:tcPr>
            <w:tcW w:w="1207" w:type="pct"/>
          </w:tcPr>
          <w:p w14:paraId="5D6F9DFF" w14:textId="77777777" w:rsidR="009B3B71" w:rsidRPr="0058641B" w:rsidRDefault="009B3B71" w:rsidP="00405321">
            <w:pPr>
              <w:pStyle w:val="Tabletext"/>
              <w:keepNext/>
              <w:keepLines/>
            </w:pPr>
            <w:r w:rsidRPr="0058641B">
              <w:t>97 (19.1%)</w:t>
            </w:r>
          </w:p>
        </w:tc>
        <w:tc>
          <w:tcPr>
            <w:tcW w:w="1206" w:type="pct"/>
          </w:tcPr>
          <w:p w14:paraId="1E0D282A" w14:textId="77777777" w:rsidR="009B3B71" w:rsidRPr="0058641B" w:rsidRDefault="009B3B71" w:rsidP="00405321">
            <w:pPr>
              <w:pStyle w:val="Tabletext"/>
              <w:keepNext/>
              <w:keepLines/>
            </w:pPr>
            <w:r w:rsidRPr="0058641B">
              <w:t>90 (18.1%)</w:t>
            </w:r>
          </w:p>
        </w:tc>
      </w:tr>
      <w:tr w:rsidR="009B3B71" w:rsidRPr="0058641B" w14:paraId="75B2A65F" w14:textId="77777777" w:rsidTr="0025747F">
        <w:trPr>
          <w:cantSplit/>
        </w:trPr>
        <w:tc>
          <w:tcPr>
            <w:tcW w:w="2587" w:type="pct"/>
            <w:shd w:val="clear" w:color="auto" w:fill="auto"/>
          </w:tcPr>
          <w:p w14:paraId="6BDBB23B" w14:textId="77777777" w:rsidR="009B3B71" w:rsidRPr="0058641B" w:rsidRDefault="009B3B71" w:rsidP="00405321">
            <w:pPr>
              <w:pStyle w:val="Tabletext"/>
              <w:keepNext/>
              <w:keepLines/>
            </w:pPr>
            <w:r w:rsidRPr="0058641B">
              <w:t>Median OS (95% CI), months</w:t>
            </w:r>
          </w:p>
        </w:tc>
        <w:tc>
          <w:tcPr>
            <w:tcW w:w="1207" w:type="pct"/>
          </w:tcPr>
          <w:p w14:paraId="665172CC" w14:textId="77777777" w:rsidR="009B3B71" w:rsidRPr="0058641B" w:rsidRDefault="009B3B71" w:rsidP="00405321">
            <w:pPr>
              <w:pStyle w:val="Tabletext"/>
              <w:keepNext/>
              <w:keepLines/>
            </w:pPr>
            <w:r w:rsidRPr="0058641B">
              <w:t>NE (NE)</w:t>
            </w:r>
          </w:p>
        </w:tc>
        <w:tc>
          <w:tcPr>
            <w:tcW w:w="1206" w:type="pct"/>
          </w:tcPr>
          <w:p w14:paraId="5DADF591" w14:textId="77777777" w:rsidR="009B3B71" w:rsidRPr="0058641B" w:rsidRDefault="009B3B71" w:rsidP="00405321">
            <w:pPr>
              <w:pStyle w:val="Tabletext"/>
              <w:keepNext/>
              <w:keepLines/>
            </w:pPr>
            <w:r w:rsidRPr="0058641B">
              <w:t>NE (NE)</w:t>
            </w:r>
          </w:p>
        </w:tc>
      </w:tr>
      <w:tr w:rsidR="009B3B71" w:rsidRPr="0058641B" w14:paraId="795AA4AB" w14:textId="77777777" w:rsidTr="0025747F">
        <w:trPr>
          <w:cantSplit/>
        </w:trPr>
        <w:tc>
          <w:tcPr>
            <w:tcW w:w="2587" w:type="pct"/>
            <w:shd w:val="clear" w:color="auto" w:fill="auto"/>
          </w:tcPr>
          <w:p w14:paraId="61A57D86" w14:textId="77777777" w:rsidR="009B3B71" w:rsidRPr="0058641B" w:rsidRDefault="009B3B71" w:rsidP="00405321">
            <w:pPr>
              <w:pStyle w:val="Tabletext"/>
              <w:keepNext/>
              <w:keepLines/>
            </w:pPr>
            <w:r w:rsidRPr="0058641B">
              <w:t>Stratified HR (95% CI)</w:t>
            </w:r>
          </w:p>
        </w:tc>
        <w:tc>
          <w:tcPr>
            <w:tcW w:w="2413" w:type="pct"/>
            <w:gridSpan w:val="2"/>
          </w:tcPr>
          <w:p w14:paraId="24CD76FE" w14:textId="77777777" w:rsidR="009B3B71" w:rsidRPr="0058641B" w:rsidRDefault="009B3B71" w:rsidP="00405321">
            <w:pPr>
              <w:pStyle w:val="Tabletext"/>
              <w:keepNext/>
              <w:keepLines/>
            </w:pPr>
            <w:r w:rsidRPr="0058641B">
              <w:t>1.07 (0.80, 1.42)</w:t>
            </w:r>
          </w:p>
        </w:tc>
      </w:tr>
      <w:tr w:rsidR="009B3B71" w:rsidRPr="0058641B" w14:paraId="332DD5BB" w14:textId="77777777" w:rsidTr="0025747F">
        <w:trPr>
          <w:cantSplit/>
        </w:trPr>
        <w:tc>
          <w:tcPr>
            <w:tcW w:w="2587" w:type="pct"/>
            <w:shd w:val="clear" w:color="auto" w:fill="auto"/>
          </w:tcPr>
          <w:p w14:paraId="256C2F61" w14:textId="77777777" w:rsidR="009B3B71" w:rsidRPr="0058641B" w:rsidRDefault="009B3B71" w:rsidP="00405321">
            <w:pPr>
              <w:pStyle w:val="Tabletext"/>
              <w:keepNext/>
              <w:keepLines/>
            </w:pPr>
            <w:r w:rsidRPr="0058641B">
              <w:t>Event free rate at 3 years, %</w:t>
            </w:r>
          </w:p>
        </w:tc>
        <w:tc>
          <w:tcPr>
            <w:tcW w:w="1207" w:type="pct"/>
          </w:tcPr>
          <w:p w14:paraId="42626E6F" w14:textId="37618147" w:rsidR="009B3B71" w:rsidRPr="0058641B" w:rsidRDefault="009B3B71" w:rsidP="00405321">
            <w:pPr>
              <w:pStyle w:val="Tabletext"/>
              <w:keepNext/>
              <w:keepLines/>
            </w:pPr>
            <w:r w:rsidRPr="0058641B">
              <w:t>78.6</w:t>
            </w:r>
          </w:p>
        </w:tc>
        <w:tc>
          <w:tcPr>
            <w:tcW w:w="1207" w:type="pct"/>
          </w:tcPr>
          <w:p w14:paraId="55337C21" w14:textId="24DEC299" w:rsidR="009B3B71" w:rsidRPr="0058641B" w:rsidRDefault="00D527E4" w:rsidP="00405321">
            <w:pPr>
              <w:pStyle w:val="Tabletext"/>
              <w:keepNext/>
              <w:keepLines/>
            </w:pPr>
            <w:r w:rsidRPr="0058641B">
              <w:t>81.2</w:t>
            </w:r>
          </w:p>
        </w:tc>
      </w:tr>
    </w:tbl>
    <w:p w14:paraId="006D3550" w14:textId="77777777" w:rsidR="009B3B71" w:rsidRPr="0058641B" w:rsidRDefault="009B3B71" w:rsidP="00405321">
      <w:pPr>
        <w:pStyle w:val="TableFigureFooter"/>
        <w:keepNext/>
        <w:keepLines/>
      </w:pPr>
      <w:r w:rsidRPr="0058641B">
        <w:t>Source: IMpower010 CSR, Table 23 p73.</w:t>
      </w:r>
    </w:p>
    <w:p w14:paraId="6C3B4E82" w14:textId="2883495C" w:rsidR="00860536" w:rsidRPr="0058641B" w:rsidRDefault="00860536" w:rsidP="00405321">
      <w:pPr>
        <w:pStyle w:val="TableFigureFooter"/>
        <w:keepNext/>
        <w:keepLines/>
      </w:pPr>
      <w:r w:rsidRPr="0058641B">
        <w:t>ATZ = atezolizumab; BSC = best supportive care; ITT = intention to treat</w:t>
      </w:r>
      <w:r w:rsidR="00F13EEA">
        <w:t xml:space="preserve">; </w:t>
      </w:r>
      <w:r w:rsidR="00F13EEA" w:rsidRPr="0058641B">
        <w:t>NE = not estimable (not reached); NSCLC = non-small cell lung cancer </w:t>
      </w:r>
    </w:p>
    <w:p w14:paraId="78A2F163" w14:textId="44C405A6" w:rsidR="009B3B71" w:rsidRPr="0058641B" w:rsidRDefault="009B3B71" w:rsidP="00405321">
      <w:pPr>
        <w:pStyle w:val="TableFigureFooter"/>
        <w:keepNext/>
        <w:keepLines/>
      </w:pPr>
      <w:r w:rsidRPr="0058641B">
        <w:t xml:space="preserve">Data </w:t>
      </w:r>
      <w:r w:rsidR="00EA56B9" w:rsidRPr="0058641B">
        <w:t>cut-off</w:t>
      </w:r>
      <w:r w:rsidRPr="0058641B">
        <w:t xml:space="preserve"> January 2021, Median duration of follow up approximately 32 months.</w:t>
      </w:r>
    </w:p>
    <w:p w14:paraId="510CE867" w14:textId="4FA21082" w:rsidR="009B3B71" w:rsidRPr="0058641B" w:rsidRDefault="009B3B71" w:rsidP="00644DC1">
      <w:pPr>
        <w:pStyle w:val="TableFigureFooter"/>
        <w:keepNext/>
        <w:keepLines/>
      </w:pPr>
      <w:r w:rsidRPr="0058641B">
        <w:t>Median OS are Kaplan-Meier estim</w:t>
      </w:r>
      <w:r w:rsidR="00860536" w:rsidRPr="0058641B">
        <w:t>ates; 95% CIs for the median were</w:t>
      </w:r>
      <w:r w:rsidRPr="0058641B">
        <w:t xml:space="preserve"> computed using the method of Brookmeyer and Crowley; hazard ratios were estimated by Cox regression; stratification factors: stage (IB/II vs. IIIA), sex (female vs. male), histology (squamous vs. non-squamous)</w:t>
      </w:r>
    </w:p>
    <w:p w14:paraId="1130A1DD" w14:textId="17602D03" w:rsidR="009B3B71" w:rsidRPr="0058641B" w:rsidRDefault="00B239EA" w:rsidP="009B3B71">
      <w:pPr>
        <w:pStyle w:val="3-BodyText"/>
      </w:pPr>
      <w:r w:rsidRPr="0058641B">
        <w:t xml:space="preserve">For OS in the ITT population, </w:t>
      </w:r>
      <w:r w:rsidR="009B3B71" w:rsidRPr="0058641B">
        <w:t xml:space="preserve">data were immature as of the January 2021 data </w:t>
      </w:r>
      <w:r w:rsidR="00EA56B9" w:rsidRPr="0058641B">
        <w:t>cut-off</w:t>
      </w:r>
      <w:r w:rsidR="009B3B71" w:rsidRPr="0058641B">
        <w:t xml:space="preserve"> (median duration of follow up approximately 32 months) with a low</w:t>
      </w:r>
      <w:r w:rsidR="00285784" w:rsidRPr="0058641B">
        <w:t xml:space="preserve"> number </w:t>
      </w:r>
      <w:r w:rsidR="009B3B71" w:rsidRPr="0058641B">
        <w:t>of death events having occurred across the ATZ and BSC arms (approximately 19%). The median duration of OS was not reached for both arms. Thus</w:t>
      </w:r>
      <w:r w:rsidR="00644DC1">
        <w:t>,</w:t>
      </w:r>
      <w:r w:rsidR="009B3B71" w:rsidRPr="0058641B">
        <w:t xml:space="preserve"> the OS results were not formally tested</w:t>
      </w:r>
      <w:r w:rsidRPr="0058641B">
        <w:t xml:space="preserve">. </w:t>
      </w:r>
      <w:r w:rsidR="00B0001A">
        <w:t>Survival</w:t>
      </w:r>
      <w:r w:rsidRPr="0058641B">
        <w:t xml:space="preserve"> at 3 years </w:t>
      </w:r>
      <w:r w:rsidR="00B0001A">
        <w:t>was</w:t>
      </w:r>
      <w:r w:rsidR="00B0001A" w:rsidRPr="0058641B">
        <w:t xml:space="preserve"> </w:t>
      </w:r>
      <w:r w:rsidRPr="0058641B">
        <w:t>similar.</w:t>
      </w:r>
    </w:p>
    <w:p w14:paraId="085CE0EC" w14:textId="00ED0829" w:rsidR="00516C92" w:rsidRPr="0058641B" w:rsidRDefault="00516C92" w:rsidP="00516C92">
      <w:pPr>
        <w:pStyle w:val="TableFigureHeading"/>
      </w:pPr>
      <w:bookmarkStart w:id="30" w:name="_Ref101253592"/>
      <w:r w:rsidRPr="0058641B">
        <w:t xml:space="preserve">Table </w:t>
      </w:r>
      <w:fldSimple w:instr=" SEQ Table \* ARABIC ">
        <w:r w:rsidR="0043151A">
          <w:rPr>
            <w:noProof/>
          </w:rPr>
          <w:t>6</w:t>
        </w:r>
      </w:fldSimple>
      <w:bookmarkEnd w:id="30"/>
      <w:r w:rsidRPr="0058641B">
        <w:t xml:space="preserve">: </w:t>
      </w:r>
      <w:r w:rsidR="0025747F" w:rsidRPr="0058641B">
        <w:t xml:space="preserve">IMpower010 – Secondary analysis of </w:t>
      </w:r>
      <w:r w:rsidRPr="0058641B">
        <w:t xml:space="preserve">DFS in the Stage II-IIIA PD-L1 </w:t>
      </w:r>
      <w:r w:rsidRPr="0058641B">
        <w:rPr>
          <w:rFonts w:ascii="Symbol" w:hAnsi="Symbol"/>
        </w:rPr>
        <w:sym w:font="Symbol" w:char="F0B3"/>
      </w:r>
      <w:r w:rsidRPr="0058641B">
        <w:t>50% NSCLC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669"/>
        <w:gridCol w:w="2175"/>
        <w:gridCol w:w="2173"/>
      </w:tblGrid>
      <w:tr w:rsidR="00516C92" w:rsidRPr="0058641B" w14:paraId="53794B41" w14:textId="77777777" w:rsidTr="0025747F">
        <w:trPr>
          <w:cantSplit/>
        </w:trPr>
        <w:tc>
          <w:tcPr>
            <w:tcW w:w="2589" w:type="pct"/>
            <w:shd w:val="clear" w:color="auto" w:fill="auto"/>
          </w:tcPr>
          <w:p w14:paraId="6E2D62BF" w14:textId="77777777" w:rsidR="00516C92" w:rsidRPr="0058641B" w:rsidRDefault="00516C92" w:rsidP="00001439">
            <w:pPr>
              <w:pStyle w:val="Tabletext"/>
              <w:keepNext/>
            </w:pPr>
          </w:p>
        </w:tc>
        <w:tc>
          <w:tcPr>
            <w:tcW w:w="1206" w:type="pct"/>
          </w:tcPr>
          <w:p w14:paraId="5E322F3F" w14:textId="77777777" w:rsidR="00516C92" w:rsidRPr="0058641B" w:rsidRDefault="00516C92" w:rsidP="00644DC1">
            <w:pPr>
              <w:pStyle w:val="Tabletext"/>
              <w:keepNext/>
              <w:jc w:val="center"/>
              <w:rPr>
                <w:b/>
              </w:rPr>
            </w:pPr>
            <w:r w:rsidRPr="0058641B">
              <w:rPr>
                <w:b/>
              </w:rPr>
              <w:t>ATZ</w:t>
            </w:r>
          </w:p>
          <w:p w14:paraId="464B7973" w14:textId="77777777" w:rsidR="00516C92" w:rsidRPr="0058641B" w:rsidRDefault="00516C92" w:rsidP="00644DC1">
            <w:pPr>
              <w:pStyle w:val="Tabletext"/>
              <w:keepNext/>
              <w:jc w:val="center"/>
              <w:rPr>
                <w:b/>
              </w:rPr>
            </w:pPr>
            <w:r w:rsidRPr="0058641B">
              <w:rPr>
                <w:b/>
              </w:rPr>
              <w:t>N=115</w:t>
            </w:r>
          </w:p>
        </w:tc>
        <w:tc>
          <w:tcPr>
            <w:tcW w:w="1205" w:type="pct"/>
            <w:shd w:val="clear" w:color="auto" w:fill="auto"/>
          </w:tcPr>
          <w:p w14:paraId="587F0A64" w14:textId="77777777" w:rsidR="00516C92" w:rsidRPr="0058641B" w:rsidRDefault="00516C92" w:rsidP="00644DC1">
            <w:pPr>
              <w:pStyle w:val="Tabletext"/>
              <w:keepNext/>
              <w:jc w:val="center"/>
              <w:rPr>
                <w:b/>
              </w:rPr>
            </w:pPr>
            <w:r w:rsidRPr="0058641B">
              <w:rPr>
                <w:b/>
              </w:rPr>
              <w:t>BSC</w:t>
            </w:r>
          </w:p>
          <w:p w14:paraId="1CBE8176" w14:textId="77777777" w:rsidR="00516C92" w:rsidRPr="0058641B" w:rsidRDefault="00516C92" w:rsidP="00644DC1">
            <w:pPr>
              <w:pStyle w:val="Tabletext"/>
              <w:keepNext/>
              <w:jc w:val="center"/>
              <w:rPr>
                <w:b/>
              </w:rPr>
            </w:pPr>
            <w:r w:rsidRPr="0058641B">
              <w:rPr>
                <w:b/>
              </w:rPr>
              <w:t>N=114</w:t>
            </w:r>
          </w:p>
        </w:tc>
      </w:tr>
      <w:tr w:rsidR="00516C92" w:rsidRPr="0058641B" w14:paraId="03B33137" w14:textId="77777777" w:rsidTr="0025747F">
        <w:trPr>
          <w:cantSplit/>
        </w:trPr>
        <w:tc>
          <w:tcPr>
            <w:tcW w:w="2589" w:type="pct"/>
            <w:shd w:val="clear" w:color="auto" w:fill="auto"/>
          </w:tcPr>
          <w:p w14:paraId="6F48F013" w14:textId="77777777" w:rsidR="00516C92" w:rsidRPr="0058641B" w:rsidRDefault="00516C92" w:rsidP="00001439">
            <w:pPr>
              <w:pStyle w:val="Tabletext"/>
              <w:keepNext/>
            </w:pPr>
            <w:r w:rsidRPr="0058641B">
              <w:t>Patients with event (%)</w:t>
            </w:r>
          </w:p>
        </w:tc>
        <w:tc>
          <w:tcPr>
            <w:tcW w:w="1206" w:type="pct"/>
          </w:tcPr>
          <w:p w14:paraId="5C2F0595" w14:textId="4BF0D9C5" w:rsidR="00516C92" w:rsidRPr="0058641B" w:rsidRDefault="00516C92" w:rsidP="00644DC1">
            <w:pPr>
              <w:pStyle w:val="Tabletext"/>
              <w:keepNext/>
              <w:jc w:val="center"/>
            </w:pPr>
            <w:r w:rsidRPr="0058641B">
              <w:t>28 (24.3</w:t>
            </w:r>
            <w:r w:rsidR="00DC1AC9" w:rsidRPr="0058641B">
              <w:t>%</w:t>
            </w:r>
            <w:r w:rsidRPr="0058641B">
              <w:t>)</w:t>
            </w:r>
          </w:p>
        </w:tc>
        <w:tc>
          <w:tcPr>
            <w:tcW w:w="1205" w:type="pct"/>
            <w:shd w:val="clear" w:color="auto" w:fill="auto"/>
          </w:tcPr>
          <w:p w14:paraId="12F60890" w14:textId="78B94561" w:rsidR="00516C92" w:rsidRPr="0058641B" w:rsidRDefault="00516C92" w:rsidP="00644DC1">
            <w:pPr>
              <w:pStyle w:val="Tabletext"/>
              <w:keepNext/>
              <w:jc w:val="center"/>
            </w:pPr>
            <w:r w:rsidRPr="0058641B">
              <w:t>52 (45.6%)</w:t>
            </w:r>
          </w:p>
        </w:tc>
      </w:tr>
      <w:tr w:rsidR="00516C92" w:rsidRPr="0058641B" w14:paraId="0A0894A0" w14:textId="77777777" w:rsidTr="0025747F">
        <w:trPr>
          <w:cantSplit/>
        </w:trPr>
        <w:tc>
          <w:tcPr>
            <w:tcW w:w="2589" w:type="pct"/>
            <w:shd w:val="clear" w:color="auto" w:fill="auto"/>
          </w:tcPr>
          <w:p w14:paraId="0C73C79A" w14:textId="77777777" w:rsidR="00516C92" w:rsidRPr="0058641B" w:rsidRDefault="00516C92" w:rsidP="00001439">
            <w:pPr>
              <w:pStyle w:val="Tabletext"/>
              <w:keepNext/>
            </w:pPr>
            <w:r w:rsidRPr="0058641B">
              <w:t xml:space="preserve">Median DFS, months, (95% CI) </w:t>
            </w:r>
          </w:p>
        </w:tc>
        <w:tc>
          <w:tcPr>
            <w:tcW w:w="1206" w:type="pct"/>
          </w:tcPr>
          <w:p w14:paraId="50BD1066" w14:textId="77777777" w:rsidR="00516C92" w:rsidRPr="0058641B" w:rsidRDefault="00516C92" w:rsidP="00644DC1">
            <w:pPr>
              <w:pStyle w:val="Tabletext"/>
              <w:keepNext/>
              <w:jc w:val="center"/>
            </w:pPr>
            <w:r w:rsidRPr="0058641B">
              <w:t>NE (42.30, NE)</w:t>
            </w:r>
          </w:p>
        </w:tc>
        <w:tc>
          <w:tcPr>
            <w:tcW w:w="1205" w:type="pct"/>
            <w:shd w:val="clear" w:color="auto" w:fill="auto"/>
          </w:tcPr>
          <w:p w14:paraId="002AEE67" w14:textId="77777777" w:rsidR="00516C92" w:rsidRPr="0058641B" w:rsidRDefault="00516C92" w:rsidP="00644DC1">
            <w:pPr>
              <w:pStyle w:val="Tabletext"/>
              <w:keepNext/>
              <w:jc w:val="center"/>
            </w:pPr>
            <w:r w:rsidRPr="0058641B">
              <w:t>35.7 (29.70, NE)</w:t>
            </w:r>
          </w:p>
        </w:tc>
      </w:tr>
      <w:tr w:rsidR="00516C92" w:rsidRPr="0058641B" w14:paraId="46B3CFB3" w14:textId="77777777" w:rsidTr="0025747F">
        <w:trPr>
          <w:cantSplit/>
        </w:trPr>
        <w:tc>
          <w:tcPr>
            <w:tcW w:w="2589" w:type="pct"/>
            <w:shd w:val="clear" w:color="auto" w:fill="auto"/>
          </w:tcPr>
          <w:p w14:paraId="063A823D" w14:textId="77777777" w:rsidR="00516C92" w:rsidRPr="0058641B" w:rsidRDefault="00516C92" w:rsidP="00001439">
            <w:pPr>
              <w:pStyle w:val="Tabletext"/>
              <w:keepNext/>
            </w:pPr>
            <w:r w:rsidRPr="0058641B">
              <w:t>Stratified HR (95% CI)</w:t>
            </w:r>
          </w:p>
        </w:tc>
        <w:tc>
          <w:tcPr>
            <w:tcW w:w="2411" w:type="pct"/>
            <w:gridSpan w:val="2"/>
          </w:tcPr>
          <w:p w14:paraId="0DA32449" w14:textId="77777777" w:rsidR="00516C92" w:rsidRPr="0058641B" w:rsidRDefault="00516C92" w:rsidP="00644DC1">
            <w:pPr>
              <w:pStyle w:val="Tabletext"/>
              <w:keepNext/>
              <w:jc w:val="center"/>
            </w:pPr>
            <w:r w:rsidRPr="0058641B">
              <w:t>0.47 (0.29, 0.75); p-value=0.0012</w:t>
            </w:r>
          </w:p>
        </w:tc>
      </w:tr>
      <w:tr w:rsidR="00516C92" w:rsidRPr="0058641B" w14:paraId="30E4D246" w14:textId="77777777" w:rsidTr="0025747F">
        <w:trPr>
          <w:cantSplit/>
        </w:trPr>
        <w:tc>
          <w:tcPr>
            <w:tcW w:w="2589" w:type="pct"/>
            <w:shd w:val="clear" w:color="auto" w:fill="auto"/>
          </w:tcPr>
          <w:p w14:paraId="7B33EE66" w14:textId="77777777" w:rsidR="00516C92" w:rsidRPr="0058641B" w:rsidRDefault="00516C92" w:rsidP="00001439">
            <w:pPr>
              <w:pStyle w:val="Tabletext"/>
              <w:keepNext/>
            </w:pPr>
            <w:r w:rsidRPr="0058641B">
              <w:t>Event free rate at 3 years, %</w:t>
            </w:r>
          </w:p>
        </w:tc>
        <w:tc>
          <w:tcPr>
            <w:tcW w:w="1206" w:type="pct"/>
          </w:tcPr>
          <w:p w14:paraId="124DC03C" w14:textId="3D3CBCCB" w:rsidR="00516C92" w:rsidRPr="0058641B" w:rsidRDefault="00516C92" w:rsidP="00644DC1">
            <w:pPr>
              <w:pStyle w:val="Tabletext"/>
              <w:keepNext/>
              <w:jc w:val="center"/>
            </w:pPr>
            <w:r w:rsidRPr="0058641B">
              <w:t>73.</w:t>
            </w:r>
            <w:r w:rsidR="00D527E4" w:rsidRPr="0058641B">
              <w:t>8</w:t>
            </w:r>
          </w:p>
        </w:tc>
        <w:tc>
          <w:tcPr>
            <w:tcW w:w="1205" w:type="pct"/>
            <w:shd w:val="clear" w:color="auto" w:fill="auto"/>
          </w:tcPr>
          <w:p w14:paraId="4BD476F7" w14:textId="349EE357" w:rsidR="00516C92" w:rsidRPr="0058641B" w:rsidRDefault="00516C92" w:rsidP="00644DC1">
            <w:pPr>
              <w:pStyle w:val="Tabletext"/>
              <w:keepNext/>
              <w:jc w:val="center"/>
            </w:pPr>
            <w:r w:rsidRPr="0058641B">
              <w:t>48.6</w:t>
            </w:r>
          </w:p>
        </w:tc>
      </w:tr>
      <w:tr w:rsidR="00516C92" w:rsidRPr="0058641B" w14:paraId="55D7E2E4" w14:textId="77777777" w:rsidTr="0025747F">
        <w:trPr>
          <w:cantSplit/>
        </w:trPr>
        <w:tc>
          <w:tcPr>
            <w:tcW w:w="2589" w:type="pct"/>
            <w:shd w:val="clear" w:color="auto" w:fill="auto"/>
          </w:tcPr>
          <w:p w14:paraId="55639A86" w14:textId="77777777" w:rsidR="00516C92" w:rsidRPr="0058641B" w:rsidRDefault="00516C92" w:rsidP="00001439">
            <w:pPr>
              <w:pStyle w:val="Tabletext"/>
              <w:keepNext/>
              <w:ind w:left="720"/>
            </w:pPr>
            <w:r w:rsidRPr="0058641B">
              <w:t>Absolute difference in event free rate %, (95%CI)</w:t>
            </w:r>
          </w:p>
        </w:tc>
        <w:tc>
          <w:tcPr>
            <w:tcW w:w="2411" w:type="pct"/>
            <w:gridSpan w:val="2"/>
          </w:tcPr>
          <w:p w14:paraId="692BF160" w14:textId="041C9B8E" w:rsidR="00516C92" w:rsidRPr="0058641B" w:rsidRDefault="00516C92" w:rsidP="00644DC1">
            <w:pPr>
              <w:pStyle w:val="Tabletext"/>
              <w:keepNext/>
              <w:jc w:val="center"/>
            </w:pPr>
            <w:r w:rsidRPr="0058641B">
              <w:t>25.2 (11.0, 39.</w:t>
            </w:r>
            <w:r w:rsidR="00D527E4" w:rsidRPr="0058641B">
              <w:t>4</w:t>
            </w:r>
            <w:r w:rsidRPr="0058641B">
              <w:t>)</w:t>
            </w:r>
          </w:p>
        </w:tc>
      </w:tr>
    </w:tbl>
    <w:p w14:paraId="562817B3" w14:textId="77777777" w:rsidR="00516C92" w:rsidRPr="0058641B" w:rsidRDefault="00516C92" w:rsidP="007914C4">
      <w:pPr>
        <w:pStyle w:val="TableFigureFooter"/>
      </w:pPr>
      <w:r w:rsidRPr="0058641B">
        <w:t>Source: IMpower010 CSR, Table 25 p 77.</w:t>
      </w:r>
    </w:p>
    <w:p w14:paraId="1758037A" w14:textId="1E9F726E" w:rsidR="00860536" w:rsidRPr="0058641B" w:rsidRDefault="00860536" w:rsidP="007914C4">
      <w:pPr>
        <w:pStyle w:val="TableFigureFooter"/>
      </w:pPr>
      <w:r w:rsidRPr="0058641B">
        <w:t xml:space="preserve">ATZ = atezolizumab; BSC = best supportive care; </w:t>
      </w:r>
      <w:r w:rsidR="00D54A5A" w:rsidRPr="0058641B">
        <w:t xml:space="preserve">DFS = disease free survival; </w:t>
      </w:r>
      <w:r w:rsidRPr="0058641B">
        <w:t>NSCLC = non-small cell lung cancer; NE = not estimable (not reached).</w:t>
      </w:r>
    </w:p>
    <w:p w14:paraId="5B2203D2" w14:textId="0953E75C" w:rsidR="00516C92" w:rsidRPr="0058641B" w:rsidRDefault="00516C92" w:rsidP="007914C4">
      <w:pPr>
        <w:pStyle w:val="TableFigureFooter"/>
      </w:pPr>
      <w:r w:rsidRPr="0058641B">
        <w:t xml:space="preserve">Data </w:t>
      </w:r>
      <w:r w:rsidR="00EA56B9" w:rsidRPr="0058641B">
        <w:t>cut-off</w:t>
      </w:r>
      <w:r w:rsidRPr="0058641B">
        <w:t xml:space="preserve"> January 2021.</w:t>
      </w:r>
    </w:p>
    <w:p w14:paraId="42F9684E" w14:textId="3F3A5633" w:rsidR="00516C92" w:rsidRPr="0058641B" w:rsidRDefault="00516C92" w:rsidP="007914C4">
      <w:pPr>
        <w:pStyle w:val="TableFigureFooter"/>
      </w:pPr>
      <w:r w:rsidRPr="0058641B">
        <w:t>PD-L1 tumour expression status by SP263 IHC assay; Median DFS are Kaplan-Meier estimates; 95% CIs for the median are computed using the method of Brookmeyer and Crowley; hazard ratios were estimated by Cox regression; stratification factors: stage (IB/II vs. IIIA), sex (female vs. male), histology (squamous vs. non-squamous).</w:t>
      </w:r>
    </w:p>
    <w:p w14:paraId="75234A14" w14:textId="6E8E240E" w:rsidR="00516C92" w:rsidRPr="0058641B" w:rsidRDefault="00516C92" w:rsidP="007914C4">
      <w:pPr>
        <w:pStyle w:val="TableFigureFooter"/>
      </w:pPr>
    </w:p>
    <w:p w14:paraId="0D199F2B" w14:textId="186003D9" w:rsidR="00516C92" w:rsidRPr="0058641B" w:rsidRDefault="00F53A29" w:rsidP="00F53A29">
      <w:pPr>
        <w:pStyle w:val="TableFigureHeading"/>
      </w:pPr>
      <w:bookmarkStart w:id="31" w:name="_Ref101253715"/>
      <w:r w:rsidRPr="0058641B">
        <w:t xml:space="preserve">Figure </w:t>
      </w:r>
      <w:fldSimple w:instr=" SEQ Figure \* ARABIC ">
        <w:r w:rsidR="0043151A">
          <w:rPr>
            <w:noProof/>
          </w:rPr>
          <w:t>4</w:t>
        </w:r>
      </w:fldSimple>
      <w:bookmarkEnd w:id="31"/>
      <w:r w:rsidRPr="0058641B">
        <w:t xml:space="preserve">: </w:t>
      </w:r>
      <w:r w:rsidR="00516C92" w:rsidRPr="0058641B">
        <w:t xml:space="preserve">Kaplan-Meier plot of DFS in the Stage II-IIIA </w:t>
      </w:r>
      <w:r w:rsidR="00B54752" w:rsidRPr="0058641B">
        <w:t>PD-L1 ≥ 50%</w:t>
      </w:r>
      <w:r w:rsidR="00516C92" w:rsidRPr="0058641B">
        <w:t xml:space="preserve"> NSCLC subgroup from IMpower010</w:t>
      </w:r>
    </w:p>
    <w:p w14:paraId="2AFBE853" w14:textId="77777777" w:rsidR="00516C92" w:rsidRPr="0058641B" w:rsidRDefault="00516C92" w:rsidP="009B3B71">
      <w:r w:rsidRPr="0058641B">
        <w:rPr>
          <w:noProof/>
          <w:lang w:eastAsia="zh-CN"/>
        </w:rPr>
        <w:drawing>
          <wp:inline distT="0" distB="0" distL="0" distR="0" wp14:anchorId="0DE16038" wp14:editId="4BE277E8">
            <wp:extent cx="5731941" cy="2391508"/>
            <wp:effectExtent l="0" t="0" r="2540" b="8890"/>
            <wp:docPr id="21" name="Picture 21" descr="Figure 5: Kaplan-Meier plot of DFS in the Stage II-IIIA PD-L1 ≥ 50% NSCLC subgroup from IMpowe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5: Kaplan-Meier plot of DFS in the Stage II-IIIA PD-L1 ≥ 50% NSCLC subgroup from IMpower010"/>
                    <pic:cNvPicPr/>
                  </pic:nvPicPr>
                  <pic:blipFill>
                    <a:blip r:embed="rId11"/>
                    <a:stretch>
                      <a:fillRect/>
                    </a:stretch>
                  </pic:blipFill>
                  <pic:spPr>
                    <a:xfrm>
                      <a:off x="0" y="0"/>
                      <a:ext cx="5738782" cy="2394362"/>
                    </a:xfrm>
                    <a:prstGeom prst="rect">
                      <a:avLst/>
                    </a:prstGeom>
                  </pic:spPr>
                </pic:pic>
              </a:graphicData>
            </a:graphic>
          </wp:inline>
        </w:drawing>
      </w:r>
    </w:p>
    <w:p w14:paraId="1D0C785E" w14:textId="77777777" w:rsidR="00516C92" w:rsidRPr="0058641B" w:rsidRDefault="00516C92" w:rsidP="009B3B71">
      <w:pPr>
        <w:pStyle w:val="TableFigureFooter"/>
      </w:pPr>
      <w:r w:rsidRPr="0058641B">
        <w:t>Source: IMpower010 CSR, Figure 7, p78</w:t>
      </w:r>
    </w:p>
    <w:p w14:paraId="02727B2E" w14:textId="65F595B0" w:rsidR="00516C92" w:rsidRPr="0058641B" w:rsidRDefault="00D54A5A" w:rsidP="009B3B71">
      <w:pPr>
        <w:pStyle w:val="TableFigureFooter"/>
      </w:pPr>
      <w:r w:rsidRPr="0058641B">
        <w:lastRenderedPageBreak/>
        <w:t xml:space="preserve">DFS = disease free survival; </w:t>
      </w:r>
      <w:r w:rsidR="00516C92" w:rsidRPr="0058641B">
        <w:t>NSCLC = non-small cell lung cancer; ITT = intention to treat</w:t>
      </w:r>
    </w:p>
    <w:p w14:paraId="0CE1035F" w14:textId="47CF9CF0" w:rsidR="009B3B71" w:rsidRPr="0058641B" w:rsidRDefault="00B239EA" w:rsidP="00B239EA">
      <w:pPr>
        <w:pStyle w:val="3-BodyText"/>
      </w:pPr>
      <w:r w:rsidRPr="0058641B">
        <w:t xml:space="preserve">For DFS in the Stage II-IIIA </w:t>
      </w:r>
      <w:r w:rsidR="00B54752" w:rsidRPr="0058641B">
        <w:t>PD-L1 ≥ 50%</w:t>
      </w:r>
      <w:r w:rsidRPr="0058641B">
        <w:t xml:space="preserve"> NSCLC subgroup</w:t>
      </w:r>
      <w:r w:rsidR="00F6424D" w:rsidRPr="0058641B">
        <w:t xml:space="preserve"> (data </w:t>
      </w:r>
      <w:r w:rsidR="00EA56B9" w:rsidRPr="0058641B">
        <w:t>cut-off</w:t>
      </w:r>
      <w:r w:rsidR="00F6424D" w:rsidRPr="0058641B">
        <w:t xml:space="preserve"> January 2021)</w:t>
      </w:r>
      <w:r w:rsidRPr="0058641B">
        <w:t>, t</w:t>
      </w:r>
      <w:r w:rsidR="00516C92" w:rsidRPr="0058641B">
        <w:t>reatment with ATZ was associated with a 53% reduction in the hazard of disease recurrence or death compared to BSC</w:t>
      </w:r>
      <w:r w:rsidR="009B3B71" w:rsidRPr="0058641B">
        <w:t xml:space="preserve"> </w:t>
      </w:r>
      <w:r w:rsidR="00A5658C" w:rsidRPr="0058641B">
        <w:t xml:space="preserve">that </w:t>
      </w:r>
      <w:r w:rsidR="009B3B71" w:rsidRPr="0058641B">
        <w:t>was statistically significant</w:t>
      </w:r>
      <w:r w:rsidR="00516C92" w:rsidRPr="0058641B">
        <w:t xml:space="preserve"> (stratified HR=0.47; 95% CI: 0.29, 0.75; p-value=0.0012). The KM estimated median DFS was not reached in the ATZ arm and was 35.7 months in the BSC arm. </w:t>
      </w:r>
      <w:r w:rsidR="00516C92" w:rsidRPr="0058641B">
        <w:rPr>
          <w:iCs/>
        </w:rPr>
        <w:t>The difference in DFS rates at 3 years was approximately 25% which was statistically significant</w:t>
      </w:r>
      <w:r w:rsidR="00A5658C" w:rsidRPr="0058641B">
        <w:rPr>
          <w:iCs/>
        </w:rPr>
        <w:t>, despite the smaller sample size</w:t>
      </w:r>
      <w:r w:rsidR="00516C92" w:rsidRPr="0058641B">
        <w:rPr>
          <w:iCs/>
        </w:rPr>
        <w:t>.</w:t>
      </w:r>
      <w:r w:rsidR="00516C92" w:rsidRPr="0058641B">
        <w:rPr>
          <w:i/>
        </w:rPr>
        <w:t xml:space="preserve"> </w:t>
      </w:r>
      <w:r w:rsidR="00516C92" w:rsidRPr="0058641B">
        <w:t>The KM curves appear to have separated at approximately 4 months in favour of the ATZ treatment arm.</w:t>
      </w:r>
    </w:p>
    <w:p w14:paraId="72083643" w14:textId="50CF447E" w:rsidR="00C65F31" w:rsidRPr="0058641B" w:rsidRDefault="00C65F31" w:rsidP="00B239EA">
      <w:pPr>
        <w:pStyle w:val="3-BodyText"/>
      </w:pPr>
      <w:r w:rsidRPr="0058641B">
        <w:fldChar w:fldCharType="begin"/>
      </w:r>
      <w:r w:rsidRPr="0058641B">
        <w:instrText xml:space="preserve"> REF _Ref101253597 \h </w:instrText>
      </w:r>
      <w:r w:rsidRPr="0058641B">
        <w:fldChar w:fldCharType="separate"/>
      </w:r>
      <w:r w:rsidR="0043151A" w:rsidRPr="0058641B">
        <w:t xml:space="preserve">Table </w:t>
      </w:r>
      <w:r w:rsidR="0043151A">
        <w:rPr>
          <w:noProof/>
        </w:rPr>
        <w:t>7</w:t>
      </w:r>
      <w:r w:rsidRPr="0058641B">
        <w:fldChar w:fldCharType="end"/>
      </w:r>
      <w:r w:rsidRPr="0058641B">
        <w:t xml:space="preserve"> summarises OS results for the Stage II-IIIA PD-L1 </w:t>
      </w:r>
      <w:r w:rsidRPr="0058641B">
        <w:sym w:font="Symbol" w:char="F0B3"/>
      </w:r>
      <w:r w:rsidRPr="0058641B">
        <w:t>1% NSCLC subgroup.</w:t>
      </w:r>
    </w:p>
    <w:p w14:paraId="1D8DEA36" w14:textId="76B6D0C6" w:rsidR="0025747F" w:rsidRPr="0058641B" w:rsidRDefault="0025747F" w:rsidP="0025747F">
      <w:pPr>
        <w:pStyle w:val="TableFigureHeading"/>
      </w:pPr>
      <w:bookmarkStart w:id="32" w:name="_Ref101253597"/>
      <w:r w:rsidRPr="0058641B">
        <w:t xml:space="preserve">Table </w:t>
      </w:r>
      <w:fldSimple w:instr=" SEQ Table \* ARABIC ">
        <w:r w:rsidR="0043151A">
          <w:rPr>
            <w:noProof/>
          </w:rPr>
          <w:t>7</w:t>
        </w:r>
      </w:fldSimple>
      <w:bookmarkEnd w:id="32"/>
      <w:r w:rsidRPr="0058641B">
        <w:t xml:space="preserve">: IMpower010 – Secondary analysis of OS in the Stage II-IIIA PD-L1 </w:t>
      </w:r>
      <w:r w:rsidRPr="0058641B">
        <w:rPr>
          <w:rFonts w:ascii="Symbol" w:hAnsi="Symbol"/>
        </w:rPr>
        <w:sym w:font="Symbol" w:char="F0B3"/>
      </w:r>
      <w:r w:rsidRPr="0058641B">
        <w:t>1% NSCLC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669"/>
        <w:gridCol w:w="2175"/>
        <w:gridCol w:w="2173"/>
      </w:tblGrid>
      <w:tr w:rsidR="0025747F" w:rsidRPr="0058641B" w14:paraId="43AED176" w14:textId="77777777" w:rsidTr="0025747F">
        <w:trPr>
          <w:cantSplit/>
        </w:trPr>
        <w:tc>
          <w:tcPr>
            <w:tcW w:w="2589" w:type="pct"/>
            <w:shd w:val="clear" w:color="auto" w:fill="auto"/>
          </w:tcPr>
          <w:p w14:paraId="685EC8E5" w14:textId="77777777" w:rsidR="0025747F" w:rsidRPr="0058641B" w:rsidRDefault="0025747F" w:rsidP="00001439">
            <w:pPr>
              <w:pStyle w:val="Tabletext"/>
              <w:keepNext/>
            </w:pPr>
          </w:p>
        </w:tc>
        <w:tc>
          <w:tcPr>
            <w:tcW w:w="1206" w:type="pct"/>
          </w:tcPr>
          <w:p w14:paraId="174DEAA3" w14:textId="77777777" w:rsidR="0025747F" w:rsidRPr="0058641B" w:rsidRDefault="0025747F" w:rsidP="00001439">
            <w:pPr>
              <w:pStyle w:val="Tabletext"/>
              <w:keepNext/>
              <w:rPr>
                <w:b/>
              </w:rPr>
            </w:pPr>
            <w:r w:rsidRPr="0058641B">
              <w:rPr>
                <w:b/>
              </w:rPr>
              <w:t>ATZ</w:t>
            </w:r>
          </w:p>
          <w:p w14:paraId="232F22D8" w14:textId="77777777" w:rsidR="0025747F" w:rsidRPr="0058641B" w:rsidRDefault="0025747F" w:rsidP="00001439">
            <w:pPr>
              <w:pStyle w:val="Tabletext"/>
              <w:keepNext/>
              <w:rPr>
                <w:b/>
              </w:rPr>
            </w:pPr>
            <w:r w:rsidRPr="0058641B">
              <w:rPr>
                <w:b/>
              </w:rPr>
              <w:t>N=248</w:t>
            </w:r>
          </w:p>
        </w:tc>
        <w:tc>
          <w:tcPr>
            <w:tcW w:w="1205" w:type="pct"/>
            <w:shd w:val="clear" w:color="auto" w:fill="auto"/>
          </w:tcPr>
          <w:p w14:paraId="625871B6" w14:textId="77777777" w:rsidR="0025747F" w:rsidRPr="0058641B" w:rsidRDefault="0025747F" w:rsidP="00001439">
            <w:pPr>
              <w:pStyle w:val="Tabletext"/>
              <w:keepNext/>
              <w:rPr>
                <w:b/>
              </w:rPr>
            </w:pPr>
            <w:r w:rsidRPr="0058641B">
              <w:rPr>
                <w:b/>
              </w:rPr>
              <w:t>BSC</w:t>
            </w:r>
          </w:p>
          <w:p w14:paraId="760F4AA0" w14:textId="77777777" w:rsidR="0025747F" w:rsidRPr="0058641B" w:rsidRDefault="0025747F" w:rsidP="00001439">
            <w:pPr>
              <w:pStyle w:val="Tabletext"/>
              <w:keepNext/>
              <w:rPr>
                <w:b/>
              </w:rPr>
            </w:pPr>
            <w:r w:rsidRPr="0058641B">
              <w:rPr>
                <w:b/>
              </w:rPr>
              <w:t>N=228</w:t>
            </w:r>
          </w:p>
        </w:tc>
      </w:tr>
      <w:tr w:rsidR="0025747F" w:rsidRPr="0058641B" w14:paraId="16BA9F2E" w14:textId="77777777" w:rsidTr="0025747F">
        <w:trPr>
          <w:cantSplit/>
        </w:trPr>
        <w:tc>
          <w:tcPr>
            <w:tcW w:w="2589" w:type="pct"/>
            <w:shd w:val="clear" w:color="auto" w:fill="auto"/>
          </w:tcPr>
          <w:p w14:paraId="24A68717" w14:textId="77777777" w:rsidR="0025747F" w:rsidRPr="0058641B" w:rsidRDefault="0025747F" w:rsidP="00001439">
            <w:pPr>
              <w:pStyle w:val="Tabletext"/>
              <w:keepNext/>
            </w:pPr>
            <w:r w:rsidRPr="0058641B">
              <w:t>Patients with event n (%)</w:t>
            </w:r>
          </w:p>
        </w:tc>
        <w:tc>
          <w:tcPr>
            <w:tcW w:w="1206" w:type="pct"/>
          </w:tcPr>
          <w:p w14:paraId="2399546D" w14:textId="616EF97C" w:rsidR="0025747F" w:rsidRPr="0058641B" w:rsidRDefault="0025747F" w:rsidP="00001439">
            <w:pPr>
              <w:pStyle w:val="Tabletext"/>
              <w:keepNext/>
            </w:pPr>
            <w:r w:rsidRPr="0058641B">
              <w:t>42 (16.9)</w:t>
            </w:r>
          </w:p>
        </w:tc>
        <w:tc>
          <w:tcPr>
            <w:tcW w:w="1205" w:type="pct"/>
            <w:shd w:val="clear" w:color="auto" w:fill="auto"/>
          </w:tcPr>
          <w:p w14:paraId="4C488F9F" w14:textId="712647E3" w:rsidR="0025747F" w:rsidRPr="0058641B" w:rsidRDefault="0025747F" w:rsidP="00001439">
            <w:pPr>
              <w:pStyle w:val="Tabletext"/>
              <w:keepNext/>
            </w:pPr>
            <w:r w:rsidRPr="0058641B">
              <w:t>48 (21.1)</w:t>
            </w:r>
          </w:p>
        </w:tc>
      </w:tr>
      <w:tr w:rsidR="0025747F" w:rsidRPr="0058641B" w14:paraId="179F666B" w14:textId="77777777" w:rsidTr="0025747F">
        <w:trPr>
          <w:cantSplit/>
        </w:trPr>
        <w:tc>
          <w:tcPr>
            <w:tcW w:w="2589" w:type="pct"/>
            <w:shd w:val="clear" w:color="auto" w:fill="auto"/>
          </w:tcPr>
          <w:p w14:paraId="10796814" w14:textId="77777777" w:rsidR="0025747F" w:rsidRPr="0058641B" w:rsidRDefault="0025747F" w:rsidP="00001439">
            <w:pPr>
              <w:pStyle w:val="Tabletext"/>
              <w:keepNext/>
            </w:pPr>
            <w:r w:rsidRPr="0058641B">
              <w:t xml:space="preserve">Median OS, months, (95% CI) </w:t>
            </w:r>
          </w:p>
        </w:tc>
        <w:tc>
          <w:tcPr>
            <w:tcW w:w="1206" w:type="pct"/>
          </w:tcPr>
          <w:p w14:paraId="1C9A7BDE" w14:textId="77777777" w:rsidR="0025747F" w:rsidRPr="0058641B" w:rsidRDefault="0025747F" w:rsidP="00001439">
            <w:pPr>
              <w:pStyle w:val="Tabletext"/>
              <w:keepNext/>
            </w:pPr>
            <w:r w:rsidRPr="0058641B">
              <w:t>NE (NE, NE)</w:t>
            </w:r>
          </w:p>
        </w:tc>
        <w:tc>
          <w:tcPr>
            <w:tcW w:w="1205" w:type="pct"/>
            <w:shd w:val="clear" w:color="auto" w:fill="auto"/>
          </w:tcPr>
          <w:p w14:paraId="6D8EBAC1" w14:textId="77777777" w:rsidR="0025747F" w:rsidRPr="0058641B" w:rsidRDefault="0025747F" w:rsidP="00001439">
            <w:pPr>
              <w:pStyle w:val="Tabletext"/>
              <w:keepNext/>
            </w:pPr>
            <w:r w:rsidRPr="0058641B">
              <w:t>NE (NE, NE)</w:t>
            </w:r>
          </w:p>
        </w:tc>
      </w:tr>
      <w:tr w:rsidR="0025747F" w:rsidRPr="0058641B" w14:paraId="33A50A80" w14:textId="77777777" w:rsidTr="0025747F">
        <w:trPr>
          <w:cantSplit/>
        </w:trPr>
        <w:tc>
          <w:tcPr>
            <w:tcW w:w="2589" w:type="pct"/>
            <w:shd w:val="clear" w:color="auto" w:fill="auto"/>
          </w:tcPr>
          <w:p w14:paraId="5928C45A" w14:textId="77777777" w:rsidR="0025747F" w:rsidRPr="0058641B" w:rsidRDefault="0025747F" w:rsidP="00001439">
            <w:pPr>
              <w:pStyle w:val="Tabletext"/>
              <w:keepNext/>
            </w:pPr>
            <w:r w:rsidRPr="0058641B">
              <w:t>Stratified HR (95% CI)</w:t>
            </w:r>
          </w:p>
        </w:tc>
        <w:tc>
          <w:tcPr>
            <w:tcW w:w="2411" w:type="pct"/>
            <w:gridSpan w:val="2"/>
          </w:tcPr>
          <w:p w14:paraId="0C01945A" w14:textId="32A9EAC2" w:rsidR="0025747F" w:rsidRPr="0058641B" w:rsidRDefault="0025747F" w:rsidP="00C65F31">
            <w:pPr>
              <w:pStyle w:val="Tabletext"/>
              <w:keepNext/>
            </w:pPr>
            <w:r w:rsidRPr="0058641B">
              <w:t>0.77 (0.51, 1.</w:t>
            </w:r>
            <w:r w:rsidR="00C65F31" w:rsidRPr="0058641B">
              <w:t>2</w:t>
            </w:r>
            <w:r w:rsidRPr="0058641B">
              <w:t>)</w:t>
            </w:r>
          </w:p>
        </w:tc>
      </w:tr>
      <w:tr w:rsidR="0025747F" w:rsidRPr="0058641B" w14:paraId="1AF80E95" w14:textId="77777777" w:rsidTr="0025747F">
        <w:trPr>
          <w:cantSplit/>
        </w:trPr>
        <w:tc>
          <w:tcPr>
            <w:tcW w:w="2589" w:type="pct"/>
            <w:shd w:val="clear" w:color="auto" w:fill="auto"/>
          </w:tcPr>
          <w:p w14:paraId="5D90A71E" w14:textId="77777777" w:rsidR="0025747F" w:rsidRPr="0058641B" w:rsidRDefault="0025747F" w:rsidP="00001439">
            <w:pPr>
              <w:pStyle w:val="Tabletext"/>
              <w:keepNext/>
            </w:pPr>
            <w:r w:rsidRPr="0058641B">
              <w:t>Event free rate at 3 years, %</w:t>
            </w:r>
          </w:p>
        </w:tc>
        <w:tc>
          <w:tcPr>
            <w:tcW w:w="1206" w:type="pct"/>
          </w:tcPr>
          <w:p w14:paraId="116802D7" w14:textId="4A5FB695" w:rsidR="0025747F" w:rsidRPr="0058641B" w:rsidRDefault="00C65F31" w:rsidP="00C65F31">
            <w:pPr>
              <w:pStyle w:val="Tabletext"/>
              <w:keepNext/>
            </w:pPr>
            <w:r w:rsidRPr="0058641B">
              <w:t>82.0</w:t>
            </w:r>
          </w:p>
        </w:tc>
        <w:tc>
          <w:tcPr>
            <w:tcW w:w="1205" w:type="pct"/>
            <w:shd w:val="clear" w:color="auto" w:fill="auto"/>
          </w:tcPr>
          <w:p w14:paraId="5E41BCE2" w14:textId="391F0E29" w:rsidR="0025747F" w:rsidRPr="0058641B" w:rsidRDefault="00C65F31" w:rsidP="00001439">
            <w:pPr>
              <w:pStyle w:val="Tabletext"/>
              <w:keepNext/>
            </w:pPr>
            <w:r w:rsidRPr="0058641B">
              <w:t>78.5</w:t>
            </w:r>
          </w:p>
        </w:tc>
      </w:tr>
      <w:tr w:rsidR="0025747F" w:rsidRPr="0058641B" w14:paraId="0011141B" w14:textId="77777777" w:rsidTr="0025747F">
        <w:trPr>
          <w:cantSplit/>
        </w:trPr>
        <w:tc>
          <w:tcPr>
            <w:tcW w:w="2589" w:type="pct"/>
            <w:shd w:val="clear" w:color="auto" w:fill="auto"/>
          </w:tcPr>
          <w:p w14:paraId="395433DC" w14:textId="77777777" w:rsidR="0025747F" w:rsidRPr="0058641B" w:rsidRDefault="0025747F" w:rsidP="00001439">
            <w:pPr>
              <w:pStyle w:val="Tabletext"/>
              <w:keepNext/>
              <w:ind w:left="720"/>
            </w:pPr>
            <w:r w:rsidRPr="0058641B">
              <w:t>Absolute difference in event free rate %, (95%CI)</w:t>
            </w:r>
          </w:p>
        </w:tc>
        <w:tc>
          <w:tcPr>
            <w:tcW w:w="2411" w:type="pct"/>
            <w:gridSpan w:val="2"/>
          </w:tcPr>
          <w:p w14:paraId="6E564E91" w14:textId="0FA29CAB" w:rsidR="0025747F" w:rsidRPr="0058641B" w:rsidRDefault="00C65F31" w:rsidP="00C65F31">
            <w:pPr>
              <w:pStyle w:val="Tabletext"/>
              <w:keepNext/>
            </w:pPr>
            <w:r w:rsidRPr="0058641B">
              <w:t>3.5</w:t>
            </w:r>
            <w:r w:rsidR="0025747F" w:rsidRPr="0058641B">
              <w:t xml:space="preserve"> (</w:t>
            </w:r>
            <w:r w:rsidRPr="0058641B">
              <w:t>-4.3</w:t>
            </w:r>
            <w:r w:rsidR="0025747F" w:rsidRPr="0058641B">
              <w:t xml:space="preserve">, </w:t>
            </w:r>
            <w:r w:rsidRPr="0058641B">
              <w:t>11.3</w:t>
            </w:r>
            <w:r w:rsidR="0025747F" w:rsidRPr="0058641B">
              <w:t>)</w:t>
            </w:r>
          </w:p>
        </w:tc>
      </w:tr>
    </w:tbl>
    <w:p w14:paraId="2A3CF400" w14:textId="77777777" w:rsidR="0025747F" w:rsidRPr="0058641B" w:rsidRDefault="0025747F" w:rsidP="0025747F">
      <w:pPr>
        <w:pStyle w:val="TableFigureFooter"/>
      </w:pPr>
      <w:r w:rsidRPr="0058641B">
        <w:t>Source: IMpower010 CSR, Table 27, p86.</w:t>
      </w:r>
    </w:p>
    <w:p w14:paraId="759A37D9" w14:textId="464110A6" w:rsidR="00860536" w:rsidRPr="0058641B" w:rsidRDefault="00860536" w:rsidP="0025747F">
      <w:pPr>
        <w:pStyle w:val="TableFigureFooter"/>
      </w:pPr>
      <w:r w:rsidRPr="0058641B">
        <w:t>ATZ = atezolizumab; BSC = best supportive care; NSCLC = non-small cell lung cancer; OS = overall survival; NE = not estimable (not reached).</w:t>
      </w:r>
    </w:p>
    <w:p w14:paraId="7F697392" w14:textId="2A1D15F9" w:rsidR="0025747F" w:rsidRPr="0058641B" w:rsidRDefault="0025747F" w:rsidP="0025747F">
      <w:pPr>
        <w:pStyle w:val="TableFigureFooter"/>
      </w:pPr>
      <w:r w:rsidRPr="0058641B">
        <w:t xml:space="preserve">Data </w:t>
      </w:r>
      <w:r w:rsidR="00EA56B9" w:rsidRPr="0058641B">
        <w:t>cut-off</w:t>
      </w:r>
      <w:r w:rsidRPr="0058641B">
        <w:t xml:space="preserve"> January 2021.</w:t>
      </w:r>
    </w:p>
    <w:p w14:paraId="0B83B223" w14:textId="5A578D99" w:rsidR="0025747F" w:rsidRPr="0058641B" w:rsidRDefault="0025747F" w:rsidP="0025747F">
      <w:pPr>
        <w:pStyle w:val="TableFigureFooter"/>
      </w:pPr>
      <w:r w:rsidRPr="0058641B">
        <w:t>PD-L1 tumour expression status by SP263 IHC assay; Median OS are Kaplan-Meier estimates; 95% CIs for the median are computed using the method of Brookmeyer and Crowley; hazard ratios were estimated by Cox regression; stratification factors: stage (IB/II vs. IIIA), sex (female vs. male), histology (squamous vs. non-squamous).</w:t>
      </w:r>
    </w:p>
    <w:p w14:paraId="1FE9B978" w14:textId="3F91CE13" w:rsidR="0025747F" w:rsidRPr="0058641B" w:rsidRDefault="0025747F" w:rsidP="0025747F">
      <w:pPr>
        <w:pStyle w:val="TableFigureHeading"/>
      </w:pPr>
      <w:bookmarkStart w:id="33" w:name="_Ref101253717"/>
      <w:r w:rsidRPr="0058641B">
        <w:t xml:space="preserve">Figure </w:t>
      </w:r>
      <w:fldSimple w:instr=" SEQ Figure \* ARABIC ">
        <w:r w:rsidR="0043151A">
          <w:rPr>
            <w:noProof/>
          </w:rPr>
          <w:t>5</w:t>
        </w:r>
      </w:fldSimple>
      <w:bookmarkEnd w:id="33"/>
      <w:r w:rsidRPr="0058641B">
        <w:t>: Kaplan-Meier plot of OS in Stage II-IIIA PD-L1</w:t>
      </w:r>
      <w:r w:rsidRPr="0058641B">
        <w:rPr>
          <w:rFonts w:cs="Calibri"/>
        </w:rPr>
        <w:t>≥</w:t>
      </w:r>
      <w:r w:rsidRPr="0058641B">
        <w:t>1% NSCLC subgroup from IMpower010</w:t>
      </w:r>
    </w:p>
    <w:p w14:paraId="647CF839" w14:textId="77777777" w:rsidR="0025747F" w:rsidRPr="0058641B" w:rsidRDefault="0025747F" w:rsidP="0025747F">
      <w:pPr>
        <w:pStyle w:val="TableFigureFooter"/>
      </w:pPr>
      <w:r w:rsidRPr="0058641B">
        <w:rPr>
          <w:noProof/>
          <w:lang w:eastAsia="zh-CN"/>
        </w:rPr>
        <w:drawing>
          <wp:inline distT="0" distB="0" distL="0" distR="0" wp14:anchorId="28D2067F" wp14:editId="49BD22B0">
            <wp:extent cx="5645426" cy="3150709"/>
            <wp:effectExtent l="0" t="0" r="0" b="0"/>
            <wp:docPr id="23" name="Picture 23" descr="Figure 6: Kaplan-Meier plot of OS in Stage II-IIIA PD-L1≥1% NSCLC subgroup from IMpowe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6: Kaplan-Meier plot of OS in Stage II-IIIA PD-L1≥1% NSCLC subgroup from IMpower010"/>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663348" cy="3160712"/>
                    </a:xfrm>
                    <a:prstGeom prst="rect">
                      <a:avLst/>
                    </a:prstGeom>
                    <a:noFill/>
                    <a:ln>
                      <a:noFill/>
                    </a:ln>
                    <a:extLst>
                      <a:ext uri="{53640926-AAD7-44D8-BBD7-CCE9431645EC}">
                        <a14:shadowObscured xmlns:a14="http://schemas.microsoft.com/office/drawing/2010/main"/>
                      </a:ext>
                    </a:extLst>
                  </pic:spPr>
                </pic:pic>
              </a:graphicData>
            </a:graphic>
          </wp:inline>
        </w:drawing>
      </w:r>
    </w:p>
    <w:p w14:paraId="294B956D" w14:textId="77777777" w:rsidR="0025747F" w:rsidRPr="0058641B" w:rsidRDefault="0025747F" w:rsidP="0025747F">
      <w:pPr>
        <w:pStyle w:val="TableFigureFooter"/>
      </w:pPr>
      <w:r w:rsidRPr="0058641B">
        <w:t>Source: IMpower010 CSR, Figure 10, p 87</w:t>
      </w:r>
    </w:p>
    <w:p w14:paraId="459AFFD2" w14:textId="1A9C7C76" w:rsidR="00860536" w:rsidRPr="0058641B" w:rsidRDefault="00860536" w:rsidP="0025747F">
      <w:pPr>
        <w:pStyle w:val="TableFigureFooter"/>
      </w:pPr>
      <w:r w:rsidRPr="0058641B">
        <w:t>NSCLC = non-small cell lung cancer; OS = overall survival; NE = not estimable (not reached)</w:t>
      </w:r>
    </w:p>
    <w:p w14:paraId="7C92CB32" w14:textId="0878CC35" w:rsidR="00801D55" w:rsidRPr="0058641B" w:rsidRDefault="00801D55" w:rsidP="0025747F">
      <w:pPr>
        <w:pStyle w:val="TableFigureFooter"/>
      </w:pPr>
      <w:r w:rsidRPr="0058641B">
        <w:t xml:space="preserve">January 2021 data </w:t>
      </w:r>
      <w:r w:rsidR="00EA56B9" w:rsidRPr="0058641B">
        <w:t>cut-off</w:t>
      </w:r>
    </w:p>
    <w:p w14:paraId="51FC4460" w14:textId="017C4716" w:rsidR="0025747F" w:rsidRPr="0058641B" w:rsidRDefault="0025747F" w:rsidP="0025747F">
      <w:pPr>
        <w:pStyle w:val="TableFigureFooter"/>
      </w:pPr>
    </w:p>
    <w:p w14:paraId="030C879F" w14:textId="2AF421BE" w:rsidR="00C6461E" w:rsidRPr="0058641B" w:rsidRDefault="00DC1AC9" w:rsidP="00C6461E">
      <w:pPr>
        <w:pStyle w:val="3-BodyText"/>
      </w:pPr>
      <w:r w:rsidRPr="0058641B">
        <w:lastRenderedPageBreak/>
        <w:t>For OS in the Stage II-IIIA PD-L1</w:t>
      </w:r>
      <w:r w:rsidR="002B4E73" w:rsidRPr="0058641B">
        <w:t xml:space="preserve"> </w:t>
      </w:r>
      <w:r w:rsidRPr="0058641B">
        <w:t>≥1</w:t>
      </w:r>
      <w:r w:rsidR="002B4E73" w:rsidRPr="0058641B">
        <w:t xml:space="preserve"> </w:t>
      </w:r>
      <w:r w:rsidRPr="0058641B">
        <w:t>% NSCLC subgroup</w:t>
      </w:r>
      <w:r w:rsidR="00F6424D" w:rsidRPr="0058641B">
        <w:t xml:space="preserve"> (January 2021 data </w:t>
      </w:r>
      <w:r w:rsidR="00EA56B9" w:rsidRPr="0058641B">
        <w:t>cut-off</w:t>
      </w:r>
      <w:r w:rsidR="00F6424D" w:rsidRPr="0058641B">
        <w:t>)</w:t>
      </w:r>
      <w:r w:rsidR="00801D55" w:rsidRPr="0058641B">
        <w:t xml:space="preserve">, data were immature with a low number of deaths across the ATZ (16.9%) and BSC (21.1%) arms. The stratified HR was 0.77 (95% CI: 0.51, 1.17). The median OS duration was not reached in either arm. </w:t>
      </w:r>
    </w:p>
    <w:p w14:paraId="7D24046B" w14:textId="36B3EE02" w:rsidR="00C86B8B" w:rsidRDefault="005F41D3" w:rsidP="00C86B8B">
      <w:pPr>
        <w:pStyle w:val="3-BodyText"/>
      </w:pPr>
      <w:r w:rsidRPr="00DE7304">
        <w:t xml:space="preserve">The OS results in the Stage II-IIIA PD-L1 1-49% and PD-L1 ≥ 50% expression subgroups are summarised in </w:t>
      </w:r>
      <w:r w:rsidR="00635E4D" w:rsidRPr="00DE7304">
        <w:fldChar w:fldCharType="begin"/>
      </w:r>
      <w:r w:rsidR="00635E4D" w:rsidRPr="00DE7304">
        <w:instrText xml:space="preserve"> REF _Ref105415171 \h  \* MERGEFORMAT </w:instrText>
      </w:r>
      <w:r w:rsidR="00635E4D" w:rsidRPr="00DE7304">
        <w:fldChar w:fldCharType="separate"/>
      </w:r>
      <w:r w:rsidR="0043151A" w:rsidRPr="00E42C34">
        <w:t xml:space="preserve">Table </w:t>
      </w:r>
      <w:r w:rsidR="0043151A">
        <w:t>8</w:t>
      </w:r>
      <w:r w:rsidR="00635E4D" w:rsidRPr="00DE7304">
        <w:fldChar w:fldCharType="end"/>
      </w:r>
      <w:r w:rsidRPr="00DE7304">
        <w:t>.</w:t>
      </w:r>
      <w:r w:rsidR="00C86B8B">
        <w:t xml:space="preserve"> </w:t>
      </w:r>
      <w:r w:rsidR="00C86B8B" w:rsidRPr="00DE7304">
        <w:t xml:space="preserve">The OS survival data were immature as of the January 2021 data </w:t>
      </w:r>
      <w:r w:rsidR="00EA56B9" w:rsidRPr="00DE7304">
        <w:t>cut-off</w:t>
      </w:r>
      <w:r w:rsidR="00C86B8B" w:rsidRPr="00DE7304">
        <w:t xml:space="preserve"> </w:t>
      </w:r>
      <w:r w:rsidR="00C86B8B">
        <w:t xml:space="preserve">(provided in the submission) </w:t>
      </w:r>
      <w:r w:rsidR="00C86B8B" w:rsidRPr="00DE7304">
        <w:t>with a low number of deaths having occurred across the ATZ and BSC arms for the PD-L1 1-49% (23.3% and 19.3%, respectively) and the PD-L1 ≥ 50% (9.6% and 22.8%, respectively) subgroups. The median duration of OS was not reached for both arms in either of the subgroups.</w:t>
      </w:r>
      <w:r w:rsidR="00C86B8B">
        <w:t xml:space="preserve"> </w:t>
      </w:r>
    </w:p>
    <w:p w14:paraId="64BDECF8" w14:textId="65BFA3DE" w:rsidR="005F41D3" w:rsidRPr="00E42C34" w:rsidRDefault="005F41D3" w:rsidP="00030F93">
      <w:pPr>
        <w:pStyle w:val="TableFigureHeading"/>
        <w:keepLines/>
      </w:pPr>
      <w:bookmarkStart w:id="34" w:name="_Ref105415171"/>
      <w:r w:rsidRPr="00E42C34">
        <w:t xml:space="preserve">Table </w:t>
      </w:r>
      <w:fldSimple w:instr=" SEQ Table \* ARABIC ">
        <w:r w:rsidR="0043151A">
          <w:rPr>
            <w:noProof/>
          </w:rPr>
          <w:t>8</w:t>
        </w:r>
      </w:fldSimple>
      <w:bookmarkEnd w:id="34"/>
      <w:r w:rsidRPr="00E42C34">
        <w:t>: Results of OS in Stage II-IIIA PD-L1 1-49% and PD-L1 ≥ 50% subgroups from IMpower010</w:t>
      </w:r>
    </w:p>
    <w:tbl>
      <w:tblPr>
        <w:tblW w:w="5000" w:type="pct"/>
        <w:tblCellMar>
          <w:left w:w="0" w:type="dxa"/>
          <w:right w:w="0" w:type="dxa"/>
        </w:tblCellMar>
        <w:tblLook w:val="04A0" w:firstRow="1" w:lastRow="0" w:firstColumn="1" w:lastColumn="0" w:noHBand="0" w:noVBand="1"/>
      </w:tblPr>
      <w:tblGrid>
        <w:gridCol w:w="3145"/>
        <w:gridCol w:w="1466"/>
        <w:gridCol w:w="1465"/>
        <w:gridCol w:w="1465"/>
        <w:gridCol w:w="1466"/>
      </w:tblGrid>
      <w:tr w:rsidR="001A2F47" w:rsidRPr="00E42C34" w14:paraId="6D46E854" w14:textId="77777777" w:rsidTr="00757AE8">
        <w:trPr>
          <w:cantSplit/>
        </w:trPr>
        <w:tc>
          <w:tcPr>
            <w:tcW w:w="1746" w:type="pct"/>
            <w:tcBorders>
              <w:top w:val="single" w:sz="4" w:space="0" w:color="auto"/>
              <w:left w:val="single" w:sz="8" w:space="0" w:color="auto"/>
              <w:bottom w:val="single" w:sz="8" w:space="0" w:color="auto"/>
              <w:right w:val="single" w:sz="8" w:space="0" w:color="auto"/>
            </w:tcBorders>
            <w:tcMar>
              <w:top w:w="0" w:type="dxa"/>
              <w:left w:w="57" w:type="dxa"/>
              <w:bottom w:w="0" w:type="dxa"/>
              <w:right w:w="57" w:type="dxa"/>
            </w:tcMar>
          </w:tcPr>
          <w:p w14:paraId="3109AB2E" w14:textId="77777777" w:rsidR="001A2F47" w:rsidRPr="00E42C34" w:rsidRDefault="001A2F47" w:rsidP="00030F93">
            <w:pPr>
              <w:pStyle w:val="Tabletext"/>
              <w:keepNext/>
              <w:keepLines/>
            </w:pPr>
          </w:p>
        </w:tc>
        <w:tc>
          <w:tcPr>
            <w:tcW w:w="1627" w:type="pct"/>
            <w:gridSpan w:val="2"/>
            <w:tcBorders>
              <w:top w:val="single" w:sz="4" w:space="0" w:color="auto"/>
              <w:left w:val="nil"/>
              <w:bottom w:val="single" w:sz="8" w:space="0" w:color="auto"/>
              <w:right w:val="single" w:sz="8" w:space="0" w:color="auto"/>
            </w:tcBorders>
            <w:tcMar>
              <w:top w:w="0" w:type="dxa"/>
              <w:left w:w="57" w:type="dxa"/>
              <w:bottom w:w="0" w:type="dxa"/>
              <w:right w:w="57" w:type="dxa"/>
            </w:tcMar>
          </w:tcPr>
          <w:p w14:paraId="1419ACC8" w14:textId="6844D426" w:rsidR="001A2F47" w:rsidRPr="00E42C34" w:rsidRDefault="001A2F47" w:rsidP="00644DC1">
            <w:pPr>
              <w:pStyle w:val="Tabletext"/>
              <w:keepNext/>
              <w:keepLines/>
              <w:jc w:val="center"/>
              <w:rPr>
                <w:b/>
                <w:bCs/>
              </w:rPr>
            </w:pPr>
            <w:r>
              <w:rPr>
                <w:b/>
                <w:bCs/>
              </w:rPr>
              <w:t>January 2021 data cut off</w:t>
            </w:r>
          </w:p>
        </w:tc>
        <w:tc>
          <w:tcPr>
            <w:tcW w:w="1627" w:type="pct"/>
            <w:gridSpan w:val="2"/>
            <w:tcBorders>
              <w:top w:val="single" w:sz="4" w:space="0" w:color="auto"/>
              <w:left w:val="nil"/>
              <w:bottom w:val="single" w:sz="8" w:space="0" w:color="auto"/>
              <w:right w:val="single" w:sz="8" w:space="0" w:color="auto"/>
            </w:tcBorders>
          </w:tcPr>
          <w:p w14:paraId="62A84AB5" w14:textId="005F8D71" w:rsidR="001A2F47" w:rsidRPr="00E42C34" w:rsidRDefault="001A2F47" w:rsidP="00644DC1">
            <w:pPr>
              <w:pStyle w:val="Tabletext"/>
              <w:keepNext/>
              <w:keepLines/>
              <w:jc w:val="center"/>
              <w:rPr>
                <w:b/>
                <w:bCs/>
              </w:rPr>
            </w:pPr>
            <w:r>
              <w:rPr>
                <w:b/>
                <w:bCs/>
              </w:rPr>
              <w:t>April 2022 data cut off</w:t>
            </w:r>
          </w:p>
        </w:tc>
      </w:tr>
      <w:tr w:rsidR="00757AE8" w:rsidRPr="00E42C34" w14:paraId="23C3E3EF" w14:textId="41786710" w:rsidTr="00757AE8">
        <w:trPr>
          <w:cantSplit/>
        </w:trPr>
        <w:tc>
          <w:tcPr>
            <w:tcW w:w="1746"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tcPr>
          <w:p w14:paraId="6538D1EA" w14:textId="77777777" w:rsidR="00757AE8" w:rsidRPr="00E42C34" w:rsidRDefault="00757AE8" w:rsidP="00757AE8">
            <w:pPr>
              <w:pStyle w:val="Tabletext"/>
              <w:keepNext/>
              <w:keepLines/>
            </w:pPr>
          </w:p>
        </w:tc>
        <w:tc>
          <w:tcPr>
            <w:tcW w:w="814" w:type="pct"/>
            <w:tcBorders>
              <w:top w:val="single" w:sz="8" w:space="0" w:color="auto"/>
              <w:left w:val="nil"/>
              <w:bottom w:val="single" w:sz="8" w:space="0" w:color="auto"/>
              <w:right w:val="single" w:sz="8" w:space="0" w:color="auto"/>
            </w:tcBorders>
            <w:tcMar>
              <w:top w:w="0" w:type="dxa"/>
              <w:left w:w="57" w:type="dxa"/>
              <w:bottom w:w="0" w:type="dxa"/>
              <w:right w:w="57" w:type="dxa"/>
            </w:tcMar>
            <w:hideMark/>
          </w:tcPr>
          <w:p w14:paraId="4FD9E675" w14:textId="77777777" w:rsidR="00757AE8" w:rsidRPr="00E42C34" w:rsidRDefault="00757AE8" w:rsidP="00644DC1">
            <w:pPr>
              <w:pStyle w:val="Tabletext"/>
              <w:keepNext/>
              <w:keepLines/>
              <w:jc w:val="center"/>
              <w:rPr>
                <w:b/>
                <w:bCs/>
              </w:rPr>
            </w:pPr>
            <w:r w:rsidRPr="00E42C34">
              <w:rPr>
                <w:b/>
                <w:bCs/>
              </w:rPr>
              <w:t>ATZ</w:t>
            </w:r>
          </w:p>
        </w:tc>
        <w:tc>
          <w:tcPr>
            <w:tcW w:w="813" w:type="pct"/>
            <w:tcBorders>
              <w:top w:val="single" w:sz="8" w:space="0" w:color="auto"/>
              <w:left w:val="nil"/>
              <w:bottom w:val="single" w:sz="4" w:space="0" w:color="auto"/>
              <w:right w:val="single" w:sz="8" w:space="0" w:color="auto"/>
            </w:tcBorders>
            <w:tcMar>
              <w:top w:w="0" w:type="dxa"/>
              <w:left w:w="57" w:type="dxa"/>
              <w:bottom w:w="0" w:type="dxa"/>
              <w:right w:w="57" w:type="dxa"/>
            </w:tcMar>
            <w:hideMark/>
          </w:tcPr>
          <w:p w14:paraId="756AF848" w14:textId="77777777" w:rsidR="00757AE8" w:rsidRPr="00E42C34" w:rsidRDefault="00757AE8" w:rsidP="00644DC1">
            <w:pPr>
              <w:pStyle w:val="Tabletext"/>
              <w:keepNext/>
              <w:keepLines/>
              <w:jc w:val="center"/>
              <w:rPr>
                <w:b/>
                <w:bCs/>
              </w:rPr>
            </w:pPr>
            <w:r w:rsidRPr="00E42C34">
              <w:rPr>
                <w:b/>
                <w:bCs/>
              </w:rPr>
              <w:t>BSC</w:t>
            </w:r>
          </w:p>
        </w:tc>
        <w:tc>
          <w:tcPr>
            <w:tcW w:w="813" w:type="pct"/>
            <w:tcBorders>
              <w:top w:val="single" w:sz="8" w:space="0" w:color="auto"/>
              <w:left w:val="nil"/>
              <w:bottom w:val="single" w:sz="4" w:space="0" w:color="auto"/>
              <w:right w:val="single" w:sz="8" w:space="0" w:color="auto"/>
            </w:tcBorders>
            <w:shd w:val="clear" w:color="auto" w:fill="auto"/>
          </w:tcPr>
          <w:p w14:paraId="2D745C8A" w14:textId="74C2BA9A" w:rsidR="00757AE8" w:rsidRPr="00E42C34" w:rsidRDefault="00757AE8" w:rsidP="00644DC1">
            <w:pPr>
              <w:pStyle w:val="Tabletext"/>
              <w:keepNext/>
              <w:keepLines/>
              <w:jc w:val="center"/>
              <w:rPr>
                <w:b/>
                <w:bCs/>
              </w:rPr>
            </w:pPr>
            <w:r w:rsidRPr="00E42C34">
              <w:rPr>
                <w:b/>
                <w:bCs/>
              </w:rPr>
              <w:t>ATZ</w:t>
            </w:r>
          </w:p>
        </w:tc>
        <w:tc>
          <w:tcPr>
            <w:tcW w:w="814" w:type="pct"/>
            <w:tcBorders>
              <w:top w:val="single" w:sz="8" w:space="0" w:color="auto"/>
              <w:left w:val="nil"/>
              <w:bottom w:val="single" w:sz="4" w:space="0" w:color="auto"/>
              <w:right w:val="single" w:sz="8" w:space="0" w:color="auto"/>
            </w:tcBorders>
            <w:shd w:val="clear" w:color="auto" w:fill="auto"/>
          </w:tcPr>
          <w:p w14:paraId="56C0444C" w14:textId="6D7D9F8D" w:rsidR="00757AE8" w:rsidRPr="00E42C34" w:rsidRDefault="00757AE8" w:rsidP="00644DC1">
            <w:pPr>
              <w:pStyle w:val="Tabletext"/>
              <w:keepNext/>
              <w:keepLines/>
              <w:jc w:val="center"/>
              <w:rPr>
                <w:b/>
                <w:bCs/>
              </w:rPr>
            </w:pPr>
            <w:r w:rsidRPr="00E42C34">
              <w:rPr>
                <w:b/>
                <w:bCs/>
              </w:rPr>
              <w:t>BSC</w:t>
            </w:r>
          </w:p>
        </w:tc>
      </w:tr>
      <w:tr w:rsidR="00757AE8" w:rsidRPr="00E42C34" w14:paraId="4329E2D0" w14:textId="2908FB6A" w:rsidTr="00757AE8">
        <w:trPr>
          <w:cantSplit/>
        </w:trPr>
        <w:tc>
          <w:tcPr>
            <w:tcW w:w="5000" w:type="pct"/>
            <w:gridSpan w:val="5"/>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567E0AA0" w14:textId="3B4CD5FD" w:rsidR="00757AE8" w:rsidRPr="00E42C34" w:rsidRDefault="00757AE8" w:rsidP="00757AE8">
            <w:pPr>
              <w:pStyle w:val="Tabletext"/>
              <w:keepNext/>
              <w:keepLines/>
              <w:rPr>
                <w:b/>
                <w:bCs/>
              </w:rPr>
            </w:pPr>
            <w:r w:rsidRPr="00E42C34">
              <w:rPr>
                <w:b/>
                <w:bCs/>
              </w:rPr>
              <w:t>Stage II-IIIA PD-L1 1-49% NSCLC subgroup</w:t>
            </w:r>
          </w:p>
        </w:tc>
      </w:tr>
      <w:tr w:rsidR="00757AE8" w:rsidRPr="00E42C34" w14:paraId="545EA679" w14:textId="3C6A75D1" w:rsidTr="00757AE8">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tcPr>
          <w:p w14:paraId="38EF1BA8" w14:textId="77777777" w:rsidR="00757AE8" w:rsidRPr="00E42C34" w:rsidRDefault="00757AE8" w:rsidP="00757AE8">
            <w:pPr>
              <w:pStyle w:val="Tabletext"/>
              <w:keepNext/>
              <w:keepLines/>
            </w:pP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4804CA8E" w14:textId="77777777" w:rsidR="00757AE8" w:rsidRPr="00E42C34" w:rsidRDefault="00757AE8" w:rsidP="00644DC1">
            <w:pPr>
              <w:pStyle w:val="Tabletext"/>
              <w:keepNext/>
              <w:keepLines/>
              <w:jc w:val="center"/>
            </w:pPr>
            <w:r w:rsidRPr="00E42C34">
              <w:t>N=133</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7ADB9135" w14:textId="77777777" w:rsidR="00757AE8" w:rsidRPr="00E42C34" w:rsidRDefault="00757AE8" w:rsidP="00644DC1">
            <w:pPr>
              <w:pStyle w:val="Tabletext"/>
              <w:keepNext/>
              <w:keepLines/>
              <w:jc w:val="center"/>
            </w:pPr>
            <w:r w:rsidRPr="00E42C34">
              <w:t>N=114</w:t>
            </w:r>
          </w:p>
        </w:tc>
        <w:tc>
          <w:tcPr>
            <w:tcW w:w="1627" w:type="pct"/>
            <w:gridSpan w:val="2"/>
            <w:vMerge w:val="restart"/>
            <w:tcBorders>
              <w:top w:val="single" w:sz="4" w:space="0" w:color="auto"/>
              <w:left w:val="nil"/>
              <w:right w:val="single" w:sz="8" w:space="0" w:color="auto"/>
            </w:tcBorders>
            <w:shd w:val="clear" w:color="auto" w:fill="auto"/>
          </w:tcPr>
          <w:p w14:paraId="583EB306" w14:textId="295C88C6" w:rsidR="00757AE8" w:rsidRPr="00E42C34" w:rsidRDefault="00757AE8" w:rsidP="00644DC1">
            <w:pPr>
              <w:pStyle w:val="Tabletext"/>
              <w:keepNext/>
              <w:keepLines/>
              <w:jc w:val="center"/>
            </w:pPr>
            <w:r>
              <w:t>Not reported</w:t>
            </w:r>
          </w:p>
        </w:tc>
      </w:tr>
      <w:tr w:rsidR="00757AE8" w:rsidRPr="00E42C34" w14:paraId="6047641B" w14:textId="7866E104" w:rsidTr="00757AE8">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4E25527D" w14:textId="77777777" w:rsidR="00757AE8" w:rsidRPr="00E42C34" w:rsidRDefault="00757AE8" w:rsidP="00757AE8">
            <w:pPr>
              <w:pStyle w:val="Tabletext"/>
              <w:keepNext/>
              <w:keepLines/>
            </w:pPr>
            <w:r w:rsidRPr="00E42C34">
              <w:t>Patients with event n (%)</w:t>
            </w: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08DA59C8" w14:textId="77777777" w:rsidR="00757AE8" w:rsidRPr="00E42C34" w:rsidRDefault="00757AE8" w:rsidP="00644DC1">
            <w:pPr>
              <w:pStyle w:val="Tabletext"/>
              <w:keepNext/>
              <w:keepLines/>
              <w:jc w:val="center"/>
              <w:rPr>
                <w:b/>
                <w:bCs/>
              </w:rPr>
            </w:pPr>
            <w:r w:rsidRPr="00E42C34">
              <w:t>31 (23.3)</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3BB3155D" w14:textId="77777777" w:rsidR="00757AE8" w:rsidRPr="00E42C34" w:rsidRDefault="00757AE8" w:rsidP="00644DC1">
            <w:pPr>
              <w:pStyle w:val="Tabletext"/>
              <w:keepNext/>
              <w:keepLines/>
              <w:jc w:val="center"/>
              <w:rPr>
                <w:b/>
                <w:bCs/>
              </w:rPr>
            </w:pPr>
            <w:r w:rsidRPr="00E42C34">
              <w:t>22 (19.3)</w:t>
            </w:r>
          </w:p>
        </w:tc>
        <w:tc>
          <w:tcPr>
            <w:tcW w:w="1627" w:type="pct"/>
            <w:gridSpan w:val="2"/>
            <w:vMerge/>
            <w:tcBorders>
              <w:left w:val="nil"/>
              <w:right w:val="single" w:sz="8" w:space="0" w:color="auto"/>
            </w:tcBorders>
            <w:shd w:val="clear" w:color="auto" w:fill="auto"/>
          </w:tcPr>
          <w:p w14:paraId="4EA208EF" w14:textId="41B9392C" w:rsidR="00757AE8" w:rsidRPr="00E42C34" w:rsidRDefault="00757AE8" w:rsidP="00757AE8">
            <w:pPr>
              <w:pStyle w:val="Tabletext"/>
              <w:keepNext/>
              <w:keepLines/>
            </w:pPr>
          </w:p>
        </w:tc>
      </w:tr>
      <w:tr w:rsidR="00757AE8" w:rsidRPr="00E42C34" w14:paraId="59DF8A38" w14:textId="393D9CEE" w:rsidTr="00757AE8">
        <w:trPr>
          <w:cantSplit/>
        </w:trPr>
        <w:tc>
          <w:tcPr>
            <w:tcW w:w="1746" w:type="pct"/>
            <w:tcBorders>
              <w:top w:val="single" w:sz="4" w:space="0" w:color="auto"/>
              <w:left w:val="single" w:sz="8" w:space="0" w:color="auto"/>
              <w:bottom w:val="single" w:sz="8" w:space="0" w:color="auto"/>
              <w:right w:val="single" w:sz="8" w:space="0" w:color="auto"/>
            </w:tcBorders>
            <w:tcMar>
              <w:top w:w="0" w:type="dxa"/>
              <w:left w:w="57" w:type="dxa"/>
              <w:bottom w:w="0" w:type="dxa"/>
              <w:right w:w="57" w:type="dxa"/>
            </w:tcMar>
            <w:hideMark/>
          </w:tcPr>
          <w:p w14:paraId="2DD8390D" w14:textId="77777777" w:rsidR="00757AE8" w:rsidRPr="00E42C34" w:rsidRDefault="00757AE8" w:rsidP="00757AE8">
            <w:pPr>
              <w:pStyle w:val="Tabletext"/>
              <w:keepNext/>
              <w:keepLines/>
            </w:pPr>
            <w:r w:rsidRPr="00E42C34">
              <w:t xml:space="preserve">Median OS, months, (95% CI) </w:t>
            </w:r>
          </w:p>
        </w:tc>
        <w:tc>
          <w:tcPr>
            <w:tcW w:w="814" w:type="pct"/>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5B116803" w14:textId="77777777" w:rsidR="00757AE8" w:rsidRPr="00E42C34" w:rsidRDefault="00757AE8" w:rsidP="00644DC1">
            <w:pPr>
              <w:pStyle w:val="Tabletext"/>
              <w:keepNext/>
              <w:keepLines/>
              <w:jc w:val="center"/>
              <w:rPr>
                <w:b/>
                <w:bCs/>
              </w:rPr>
            </w:pPr>
            <w:r w:rsidRPr="00E42C34">
              <w:t>NE (NE, NE)</w:t>
            </w:r>
          </w:p>
        </w:tc>
        <w:tc>
          <w:tcPr>
            <w:tcW w:w="813" w:type="pct"/>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45D00F16" w14:textId="77777777" w:rsidR="00757AE8" w:rsidRPr="00E42C34" w:rsidRDefault="00757AE8" w:rsidP="00644DC1">
            <w:pPr>
              <w:pStyle w:val="Tabletext"/>
              <w:keepNext/>
              <w:keepLines/>
              <w:jc w:val="center"/>
              <w:rPr>
                <w:b/>
                <w:bCs/>
              </w:rPr>
            </w:pPr>
            <w:r w:rsidRPr="00E42C34">
              <w:t>NE (NE, NE)</w:t>
            </w:r>
          </w:p>
        </w:tc>
        <w:tc>
          <w:tcPr>
            <w:tcW w:w="1627" w:type="pct"/>
            <w:gridSpan w:val="2"/>
            <w:vMerge/>
            <w:tcBorders>
              <w:left w:val="nil"/>
              <w:right w:val="single" w:sz="8" w:space="0" w:color="auto"/>
            </w:tcBorders>
            <w:shd w:val="clear" w:color="auto" w:fill="auto"/>
          </w:tcPr>
          <w:p w14:paraId="7EF8E15E" w14:textId="70957F80" w:rsidR="00757AE8" w:rsidRPr="00E42C34" w:rsidRDefault="00757AE8" w:rsidP="00757AE8">
            <w:pPr>
              <w:pStyle w:val="Tabletext"/>
              <w:keepNext/>
              <w:keepLines/>
            </w:pPr>
          </w:p>
        </w:tc>
      </w:tr>
      <w:tr w:rsidR="00757AE8" w:rsidRPr="00E42C34" w14:paraId="375F885F" w14:textId="2CEAD4B3" w:rsidTr="00757AE8">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6FC66E44" w14:textId="77777777" w:rsidR="00757AE8" w:rsidRPr="00E42C34" w:rsidRDefault="00757AE8" w:rsidP="00757AE8">
            <w:pPr>
              <w:pStyle w:val="Tabletext"/>
              <w:keepNext/>
              <w:keepLines/>
            </w:pPr>
            <w:r w:rsidRPr="00E42C34">
              <w:t>Stratified HR (95% CI); log-rank p-value</w:t>
            </w:r>
          </w:p>
        </w:tc>
        <w:tc>
          <w:tcPr>
            <w:tcW w:w="1627" w:type="pct"/>
            <w:gridSpan w:val="2"/>
            <w:tcBorders>
              <w:top w:val="nil"/>
              <w:left w:val="nil"/>
              <w:bottom w:val="single" w:sz="8" w:space="0" w:color="auto"/>
              <w:right w:val="single" w:sz="8" w:space="0" w:color="auto"/>
            </w:tcBorders>
            <w:tcMar>
              <w:top w:w="0" w:type="dxa"/>
              <w:left w:w="57" w:type="dxa"/>
              <w:bottom w:w="0" w:type="dxa"/>
              <w:right w:w="57" w:type="dxa"/>
            </w:tcMar>
            <w:hideMark/>
          </w:tcPr>
          <w:p w14:paraId="2A81246F" w14:textId="77777777" w:rsidR="00757AE8" w:rsidRPr="00E42C34" w:rsidRDefault="00757AE8" w:rsidP="00644DC1">
            <w:pPr>
              <w:pStyle w:val="Tabletext"/>
              <w:keepNext/>
              <w:keepLines/>
              <w:jc w:val="center"/>
              <w:rPr>
                <w:b/>
                <w:bCs/>
              </w:rPr>
            </w:pPr>
            <w:r w:rsidRPr="00E42C34">
              <w:t>1.17 (0.67, 2.03); p=0.580</w:t>
            </w:r>
          </w:p>
        </w:tc>
        <w:tc>
          <w:tcPr>
            <w:tcW w:w="1627" w:type="pct"/>
            <w:gridSpan w:val="2"/>
            <w:vMerge/>
            <w:tcBorders>
              <w:left w:val="nil"/>
              <w:right w:val="single" w:sz="8" w:space="0" w:color="auto"/>
            </w:tcBorders>
            <w:shd w:val="clear" w:color="auto" w:fill="auto"/>
          </w:tcPr>
          <w:p w14:paraId="2B5A4271" w14:textId="516354FD" w:rsidR="00757AE8" w:rsidRPr="00E42C34" w:rsidRDefault="00757AE8" w:rsidP="00757AE8">
            <w:pPr>
              <w:pStyle w:val="Tabletext"/>
              <w:keepNext/>
              <w:keepLines/>
            </w:pPr>
          </w:p>
        </w:tc>
      </w:tr>
      <w:tr w:rsidR="00757AE8" w:rsidRPr="00E42C34" w14:paraId="2142689D" w14:textId="40B3B9E6" w:rsidTr="00757AE8">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66FF7A61" w14:textId="77777777" w:rsidR="00757AE8" w:rsidRPr="00E42C34" w:rsidRDefault="00757AE8" w:rsidP="00757AE8">
            <w:pPr>
              <w:pStyle w:val="Tabletext"/>
              <w:keepNext/>
              <w:keepLines/>
            </w:pPr>
            <w:r w:rsidRPr="00E42C34">
              <w:t>Event free rate at 3 years, %</w:t>
            </w: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7206BB38" w14:textId="77777777" w:rsidR="00757AE8" w:rsidRPr="00E42C34" w:rsidRDefault="00757AE8" w:rsidP="00644DC1">
            <w:pPr>
              <w:pStyle w:val="Tabletext"/>
              <w:keepNext/>
              <w:keepLines/>
              <w:jc w:val="center"/>
              <w:rPr>
                <w:b/>
                <w:bCs/>
              </w:rPr>
            </w:pPr>
            <w:r w:rsidRPr="00E42C34">
              <w:t>74.0</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07494756" w14:textId="77777777" w:rsidR="00757AE8" w:rsidRPr="00E42C34" w:rsidRDefault="00757AE8" w:rsidP="00644DC1">
            <w:pPr>
              <w:pStyle w:val="Tabletext"/>
              <w:keepNext/>
              <w:keepLines/>
              <w:jc w:val="center"/>
              <w:rPr>
                <w:b/>
                <w:bCs/>
              </w:rPr>
            </w:pPr>
            <w:r w:rsidRPr="00E42C34">
              <w:t>80.4</w:t>
            </w:r>
          </w:p>
        </w:tc>
        <w:tc>
          <w:tcPr>
            <w:tcW w:w="1627" w:type="pct"/>
            <w:gridSpan w:val="2"/>
            <w:vMerge/>
            <w:tcBorders>
              <w:left w:val="nil"/>
              <w:right w:val="single" w:sz="8" w:space="0" w:color="auto"/>
            </w:tcBorders>
            <w:shd w:val="clear" w:color="auto" w:fill="auto"/>
          </w:tcPr>
          <w:p w14:paraId="04F54304" w14:textId="622F2AFF" w:rsidR="00757AE8" w:rsidRPr="00E42C34" w:rsidRDefault="00757AE8" w:rsidP="00757AE8">
            <w:pPr>
              <w:pStyle w:val="Tabletext"/>
              <w:keepNext/>
              <w:keepLines/>
            </w:pPr>
          </w:p>
        </w:tc>
      </w:tr>
      <w:tr w:rsidR="00757AE8" w:rsidRPr="00E42C34" w14:paraId="32E5B6D9" w14:textId="501891B8" w:rsidTr="00757AE8">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0BB4159F" w14:textId="77777777" w:rsidR="00757AE8" w:rsidRPr="00E42C34" w:rsidRDefault="00757AE8" w:rsidP="00757AE8">
            <w:pPr>
              <w:pStyle w:val="Tabletext"/>
              <w:keepNext/>
              <w:keepLines/>
              <w:ind w:left="720"/>
            </w:pPr>
            <w:r w:rsidRPr="00E42C34">
              <w:t>Absolute difference in event free rate %, (95% CI)</w:t>
            </w:r>
          </w:p>
        </w:tc>
        <w:tc>
          <w:tcPr>
            <w:tcW w:w="1627" w:type="pct"/>
            <w:gridSpan w:val="2"/>
            <w:tcBorders>
              <w:top w:val="nil"/>
              <w:left w:val="nil"/>
              <w:bottom w:val="single" w:sz="8" w:space="0" w:color="auto"/>
              <w:right w:val="single" w:sz="8" w:space="0" w:color="auto"/>
            </w:tcBorders>
            <w:tcMar>
              <w:top w:w="0" w:type="dxa"/>
              <w:left w:w="57" w:type="dxa"/>
              <w:bottom w:w="0" w:type="dxa"/>
              <w:right w:w="57" w:type="dxa"/>
            </w:tcMar>
            <w:hideMark/>
          </w:tcPr>
          <w:p w14:paraId="16AE2C49" w14:textId="77777777" w:rsidR="00757AE8" w:rsidRPr="00E42C34" w:rsidRDefault="00757AE8" w:rsidP="00644DC1">
            <w:pPr>
              <w:pStyle w:val="Tabletext"/>
              <w:keepNext/>
              <w:keepLines/>
              <w:jc w:val="center"/>
            </w:pPr>
            <w:r w:rsidRPr="00E42C34">
              <w:t>-6.4 (-18.1, 5.2)</w:t>
            </w:r>
          </w:p>
        </w:tc>
        <w:tc>
          <w:tcPr>
            <w:tcW w:w="1627" w:type="pct"/>
            <w:gridSpan w:val="2"/>
            <w:vMerge/>
            <w:tcBorders>
              <w:left w:val="nil"/>
              <w:bottom w:val="single" w:sz="4" w:space="0" w:color="auto"/>
              <w:right w:val="single" w:sz="8" w:space="0" w:color="auto"/>
            </w:tcBorders>
            <w:shd w:val="clear" w:color="auto" w:fill="auto"/>
          </w:tcPr>
          <w:p w14:paraId="31EF7550" w14:textId="5A2210D1" w:rsidR="00757AE8" w:rsidRPr="00E42C34" w:rsidRDefault="00757AE8" w:rsidP="00757AE8">
            <w:pPr>
              <w:pStyle w:val="Tabletext"/>
              <w:keepNext/>
              <w:keepLines/>
            </w:pPr>
          </w:p>
        </w:tc>
      </w:tr>
      <w:tr w:rsidR="00757AE8" w:rsidRPr="00E42C34" w14:paraId="0F6397BF" w14:textId="4A743DFA" w:rsidTr="00757AE8">
        <w:trPr>
          <w:cantSplit/>
        </w:trPr>
        <w:tc>
          <w:tcPr>
            <w:tcW w:w="5000" w:type="pct"/>
            <w:gridSpan w:val="5"/>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3D40FE13" w14:textId="1D049C28" w:rsidR="00757AE8" w:rsidRPr="00E42C34" w:rsidRDefault="00757AE8" w:rsidP="00757AE8">
            <w:pPr>
              <w:pStyle w:val="Tabletext"/>
              <w:keepNext/>
              <w:keepLines/>
              <w:rPr>
                <w:b/>
                <w:bCs/>
              </w:rPr>
            </w:pPr>
            <w:r w:rsidRPr="00E42C34">
              <w:rPr>
                <w:b/>
                <w:bCs/>
              </w:rPr>
              <w:t>Stage II-IIIA PD-L1 ≥ 50% NSCLC subgroup</w:t>
            </w:r>
          </w:p>
        </w:tc>
      </w:tr>
      <w:tr w:rsidR="00757AE8" w:rsidRPr="00E42C34" w14:paraId="2D72C742" w14:textId="016004F5" w:rsidTr="001A2F47">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tcPr>
          <w:p w14:paraId="7AC1216C" w14:textId="77777777" w:rsidR="00757AE8" w:rsidRPr="00E42C34" w:rsidRDefault="00757AE8" w:rsidP="00757AE8">
            <w:pPr>
              <w:pStyle w:val="Tabletext"/>
              <w:keepNext/>
              <w:keepLines/>
            </w:pP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5E2C1E6C" w14:textId="77777777" w:rsidR="00757AE8" w:rsidRPr="00E42C34" w:rsidRDefault="00757AE8" w:rsidP="00644DC1">
            <w:pPr>
              <w:pStyle w:val="Tabletext"/>
              <w:keepNext/>
              <w:keepLines/>
              <w:jc w:val="center"/>
            </w:pPr>
            <w:r w:rsidRPr="00E42C34">
              <w:t>N=115</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5D980E8B" w14:textId="77777777" w:rsidR="00757AE8" w:rsidRPr="00E42C34" w:rsidRDefault="00757AE8" w:rsidP="00644DC1">
            <w:pPr>
              <w:pStyle w:val="Tabletext"/>
              <w:keepNext/>
              <w:keepLines/>
              <w:jc w:val="center"/>
            </w:pPr>
            <w:r w:rsidRPr="00E42C34">
              <w:t>N=114</w:t>
            </w:r>
          </w:p>
        </w:tc>
        <w:tc>
          <w:tcPr>
            <w:tcW w:w="813" w:type="pct"/>
            <w:tcBorders>
              <w:top w:val="nil"/>
              <w:left w:val="nil"/>
              <w:bottom w:val="single" w:sz="8" w:space="0" w:color="auto"/>
              <w:right w:val="single" w:sz="8" w:space="0" w:color="auto"/>
            </w:tcBorders>
          </w:tcPr>
          <w:p w14:paraId="5BAAED9D" w14:textId="458E5954" w:rsidR="00757AE8" w:rsidRPr="00E42C34" w:rsidRDefault="00757AE8" w:rsidP="00644DC1">
            <w:pPr>
              <w:pStyle w:val="Tabletext"/>
              <w:keepNext/>
              <w:keepLines/>
              <w:jc w:val="center"/>
            </w:pPr>
            <w:r w:rsidRPr="00E42C34">
              <w:t>N=115</w:t>
            </w:r>
          </w:p>
        </w:tc>
        <w:tc>
          <w:tcPr>
            <w:tcW w:w="814" w:type="pct"/>
            <w:tcBorders>
              <w:top w:val="nil"/>
              <w:left w:val="nil"/>
              <w:bottom w:val="single" w:sz="8" w:space="0" w:color="auto"/>
              <w:right w:val="single" w:sz="8" w:space="0" w:color="auto"/>
            </w:tcBorders>
          </w:tcPr>
          <w:p w14:paraId="476A8C3C" w14:textId="0105C702" w:rsidR="00757AE8" w:rsidRPr="00E42C34" w:rsidRDefault="00757AE8" w:rsidP="00644DC1">
            <w:pPr>
              <w:pStyle w:val="Tabletext"/>
              <w:keepNext/>
              <w:keepLines/>
              <w:jc w:val="center"/>
            </w:pPr>
            <w:r w:rsidRPr="00E42C34">
              <w:t>N=114</w:t>
            </w:r>
          </w:p>
        </w:tc>
      </w:tr>
      <w:tr w:rsidR="00757AE8" w:rsidRPr="00E42C34" w14:paraId="3046024D" w14:textId="5D92A3D3" w:rsidTr="001A2F47">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275303DF" w14:textId="77777777" w:rsidR="00757AE8" w:rsidRPr="00E42C34" w:rsidRDefault="00757AE8" w:rsidP="00757AE8">
            <w:pPr>
              <w:pStyle w:val="Tabletext"/>
              <w:keepNext/>
              <w:keepLines/>
            </w:pPr>
            <w:r w:rsidRPr="00E42C34">
              <w:t>Patients with event n (%)</w:t>
            </w: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36C85422" w14:textId="77777777" w:rsidR="00757AE8" w:rsidRPr="00E42C34" w:rsidRDefault="00757AE8" w:rsidP="00644DC1">
            <w:pPr>
              <w:pStyle w:val="Tabletext"/>
              <w:keepNext/>
              <w:keepLines/>
              <w:jc w:val="center"/>
            </w:pPr>
            <w:r w:rsidRPr="00E42C34">
              <w:t>11 (9.6)</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3E507930" w14:textId="77777777" w:rsidR="00757AE8" w:rsidRPr="00E42C34" w:rsidRDefault="00757AE8" w:rsidP="00644DC1">
            <w:pPr>
              <w:pStyle w:val="Tabletext"/>
              <w:keepNext/>
              <w:keepLines/>
              <w:jc w:val="center"/>
            </w:pPr>
            <w:r w:rsidRPr="00E42C34">
              <w:t>26 (22.8)</w:t>
            </w:r>
          </w:p>
        </w:tc>
        <w:tc>
          <w:tcPr>
            <w:tcW w:w="813" w:type="pct"/>
            <w:tcBorders>
              <w:top w:val="nil"/>
              <w:left w:val="nil"/>
              <w:bottom w:val="single" w:sz="8" w:space="0" w:color="auto"/>
              <w:right w:val="single" w:sz="8" w:space="0" w:color="auto"/>
            </w:tcBorders>
          </w:tcPr>
          <w:p w14:paraId="5DA3C12C" w14:textId="05A3020E" w:rsidR="00757AE8" w:rsidRPr="00E42C34" w:rsidRDefault="00757AE8" w:rsidP="00644DC1">
            <w:pPr>
              <w:pStyle w:val="Tabletext"/>
              <w:keepNext/>
              <w:keepLines/>
              <w:jc w:val="center"/>
            </w:pPr>
            <w:r>
              <w:t>16 (13.9)</w:t>
            </w:r>
          </w:p>
        </w:tc>
        <w:tc>
          <w:tcPr>
            <w:tcW w:w="814" w:type="pct"/>
            <w:tcBorders>
              <w:top w:val="nil"/>
              <w:left w:val="nil"/>
              <w:bottom w:val="single" w:sz="8" w:space="0" w:color="auto"/>
              <w:right w:val="single" w:sz="8" w:space="0" w:color="auto"/>
            </w:tcBorders>
          </w:tcPr>
          <w:p w14:paraId="6E36A7EC" w14:textId="1E4F7DF9" w:rsidR="00757AE8" w:rsidRPr="00E42C34" w:rsidRDefault="00757AE8" w:rsidP="00644DC1">
            <w:pPr>
              <w:pStyle w:val="Tabletext"/>
              <w:keepNext/>
              <w:keepLines/>
              <w:jc w:val="center"/>
            </w:pPr>
            <w:r>
              <w:t>32 (28.1)</w:t>
            </w:r>
          </w:p>
        </w:tc>
      </w:tr>
      <w:tr w:rsidR="00757AE8" w:rsidRPr="00E42C34" w14:paraId="3AEDD0A0" w14:textId="41D4FB00" w:rsidTr="001A2F47">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08D311FA" w14:textId="77777777" w:rsidR="00757AE8" w:rsidRPr="00E42C34" w:rsidRDefault="00757AE8" w:rsidP="00757AE8">
            <w:pPr>
              <w:pStyle w:val="Tabletext"/>
              <w:keepNext/>
              <w:keepLines/>
            </w:pPr>
            <w:r w:rsidRPr="00E42C34">
              <w:t xml:space="preserve">Median OS, months, (95% CI) </w:t>
            </w: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24655AAB" w14:textId="77777777" w:rsidR="00757AE8" w:rsidRPr="00E42C34" w:rsidRDefault="00757AE8" w:rsidP="00644DC1">
            <w:pPr>
              <w:pStyle w:val="Tabletext"/>
              <w:keepNext/>
              <w:keepLines/>
              <w:jc w:val="center"/>
            </w:pPr>
            <w:r w:rsidRPr="00E42C34">
              <w:t>NE (NE, NE)</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5F542A76" w14:textId="77777777" w:rsidR="00757AE8" w:rsidRPr="00E42C34" w:rsidRDefault="00757AE8" w:rsidP="00644DC1">
            <w:pPr>
              <w:pStyle w:val="Tabletext"/>
              <w:keepNext/>
              <w:keepLines/>
              <w:jc w:val="center"/>
            </w:pPr>
            <w:r w:rsidRPr="00E42C34">
              <w:t>NE (NE, NE)</w:t>
            </w:r>
          </w:p>
        </w:tc>
        <w:tc>
          <w:tcPr>
            <w:tcW w:w="813" w:type="pct"/>
            <w:tcBorders>
              <w:top w:val="nil"/>
              <w:left w:val="nil"/>
              <w:bottom w:val="single" w:sz="8" w:space="0" w:color="auto"/>
              <w:right w:val="single" w:sz="8" w:space="0" w:color="auto"/>
            </w:tcBorders>
          </w:tcPr>
          <w:p w14:paraId="22AE08FE" w14:textId="6B7DEE17" w:rsidR="00757AE8" w:rsidRPr="00E42C34" w:rsidRDefault="00757AE8" w:rsidP="00644DC1">
            <w:pPr>
              <w:pStyle w:val="Tabletext"/>
              <w:keepNext/>
              <w:keepLines/>
              <w:jc w:val="center"/>
            </w:pPr>
            <w:r w:rsidRPr="00E42C34">
              <w:t>NE (NE, NE)</w:t>
            </w:r>
          </w:p>
        </w:tc>
        <w:tc>
          <w:tcPr>
            <w:tcW w:w="814" w:type="pct"/>
            <w:tcBorders>
              <w:top w:val="nil"/>
              <w:left w:val="nil"/>
              <w:bottom w:val="single" w:sz="8" w:space="0" w:color="auto"/>
              <w:right w:val="single" w:sz="8" w:space="0" w:color="auto"/>
            </w:tcBorders>
          </w:tcPr>
          <w:p w14:paraId="099BB186" w14:textId="5923EA21" w:rsidR="00757AE8" w:rsidRPr="00E42C34" w:rsidRDefault="00757AE8" w:rsidP="00644DC1">
            <w:pPr>
              <w:pStyle w:val="Tabletext"/>
              <w:keepNext/>
              <w:keepLines/>
              <w:jc w:val="center"/>
            </w:pPr>
            <w:r w:rsidRPr="00E42C34">
              <w:t>NE (NE, NE)</w:t>
            </w:r>
          </w:p>
        </w:tc>
      </w:tr>
      <w:tr w:rsidR="00757AE8" w:rsidRPr="00E42C34" w14:paraId="56EB5927" w14:textId="34F60C77" w:rsidTr="001A2F47">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50696935" w14:textId="77777777" w:rsidR="00757AE8" w:rsidRPr="00E42C34" w:rsidRDefault="00757AE8" w:rsidP="00757AE8">
            <w:pPr>
              <w:pStyle w:val="Tabletext"/>
              <w:keepNext/>
              <w:keepLines/>
            </w:pPr>
            <w:r w:rsidRPr="00E42C34">
              <w:t>Stratified HR (95% CI); log-rank p-value</w:t>
            </w:r>
          </w:p>
        </w:tc>
        <w:tc>
          <w:tcPr>
            <w:tcW w:w="1627" w:type="pct"/>
            <w:gridSpan w:val="2"/>
            <w:tcBorders>
              <w:top w:val="nil"/>
              <w:left w:val="nil"/>
              <w:bottom w:val="single" w:sz="8" w:space="0" w:color="auto"/>
              <w:right w:val="single" w:sz="8" w:space="0" w:color="auto"/>
            </w:tcBorders>
            <w:tcMar>
              <w:top w:w="0" w:type="dxa"/>
              <w:left w:w="57" w:type="dxa"/>
              <w:bottom w:w="0" w:type="dxa"/>
              <w:right w:w="57" w:type="dxa"/>
            </w:tcMar>
            <w:hideMark/>
          </w:tcPr>
          <w:p w14:paraId="76F60359" w14:textId="77777777" w:rsidR="00757AE8" w:rsidRPr="00E42C34" w:rsidRDefault="00757AE8" w:rsidP="00644DC1">
            <w:pPr>
              <w:pStyle w:val="Tabletext"/>
              <w:keepNext/>
              <w:keepLines/>
              <w:jc w:val="center"/>
            </w:pPr>
            <w:r w:rsidRPr="00E42C34">
              <w:t>0.40 (0.20, 0.81); p=0.009</w:t>
            </w:r>
          </w:p>
        </w:tc>
        <w:tc>
          <w:tcPr>
            <w:tcW w:w="1627" w:type="pct"/>
            <w:gridSpan w:val="2"/>
            <w:tcBorders>
              <w:top w:val="nil"/>
              <w:left w:val="nil"/>
              <w:bottom w:val="single" w:sz="8" w:space="0" w:color="auto"/>
              <w:right w:val="single" w:sz="8" w:space="0" w:color="auto"/>
            </w:tcBorders>
          </w:tcPr>
          <w:p w14:paraId="3199B5F7" w14:textId="3B439F63" w:rsidR="00757AE8" w:rsidRPr="00E42C34" w:rsidRDefault="00757AE8" w:rsidP="00644DC1">
            <w:pPr>
              <w:pStyle w:val="Tabletext"/>
              <w:keepNext/>
              <w:keepLines/>
              <w:jc w:val="center"/>
            </w:pPr>
            <w:r>
              <w:t>0.47 (0.25, 0.86); p=0.0126</w:t>
            </w:r>
          </w:p>
        </w:tc>
      </w:tr>
      <w:tr w:rsidR="00757AE8" w:rsidRPr="00E42C34" w14:paraId="15A25662" w14:textId="70E68DDC" w:rsidTr="001A2F47">
        <w:trPr>
          <w:cantSplit/>
        </w:trPr>
        <w:tc>
          <w:tcPr>
            <w:tcW w:w="1746" w:type="pct"/>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1DC815B2" w14:textId="77777777" w:rsidR="00757AE8" w:rsidRPr="00E42C34" w:rsidRDefault="00757AE8" w:rsidP="00757AE8">
            <w:pPr>
              <w:pStyle w:val="Tabletext"/>
              <w:keepNext/>
              <w:keepLines/>
            </w:pPr>
            <w:r w:rsidRPr="00E42C34">
              <w:t>Event free rate at 3 years, %</w:t>
            </w:r>
          </w:p>
        </w:tc>
        <w:tc>
          <w:tcPr>
            <w:tcW w:w="814" w:type="pct"/>
            <w:tcBorders>
              <w:top w:val="nil"/>
              <w:left w:val="nil"/>
              <w:bottom w:val="single" w:sz="8" w:space="0" w:color="auto"/>
              <w:right w:val="single" w:sz="8" w:space="0" w:color="auto"/>
            </w:tcBorders>
            <w:tcMar>
              <w:top w:w="0" w:type="dxa"/>
              <w:left w:w="57" w:type="dxa"/>
              <w:bottom w:w="0" w:type="dxa"/>
              <w:right w:w="57" w:type="dxa"/>
            </w:tcMar>
            <w:hideMark/>
          </w:tcPr>
          <w:p w14:paraId="1FF5100E" w14:textId="77777777" w:rsidR="00757AE8" w:rsidRPr="00E42C34" w:rsidRDefault="00757AE8" w:rsidP="00644DC1">
            <w:pPr>
              <w:pStyle w:val="Tabletext"/>
              <w:keepNext/>
              <w:keepLines/>
              <w:jc w:val="center"/>
            </w:pPr>
            <w:r w:rsidRPr="00E42C34">
              <w:t>90.9</w:t>
            </w:r>
          </w:p>
        </w:tc>
        <w:tc>
          <w:tcPr>
            <w:tcW w:w="813" w:type="pct"/>
            <w:tcBorders>
              <w:top w:val="nil"/>
              <w:left w:val="nil"/>
              <w:bottom w:val="single" w:sz="8" w:space="0" w:color="auto"/>
              <w:right w:val="single" w:sz="8" w:space="0" w:color="auto"/>
            </w:tcBorders>
            <w:tcMar>
              <w:top w:w="0" w:type="dxa"/>
              <w:left w:w="57" w:type="dxa"/>
              <w:bottom w:w="0" w:type="dxa"/>
              <w:right w:w="57" w:type="dxa"/>
            </w:tcMar>
            <w:hideMark/>
          </w:tcPr>
          <w:p w14:paraId="17759A04" w14:textId="77777777" w:rsidR="00757AE8" w:rsidRPr="00E42C34" w:rsidRDefault="00757AE8" w:rsidP="00644DC1">
            <w:pPr>
              <w:pStyle w:val="Tabletext"/>
              <w:keepNext/>
              <w:keepLines/>
              <w:jc w:val="center"/>
            </w:pPr>
            <w:r w:rsidRPr="00E42C34">
              <w:t>76.7</w:t>
            </w:r>
          </w:p>
        </w:tc>
        <w:tc>
          <w:tcPr>
            <w:tcW w:w="813" w:type="pct"/>
            <w:tcBorders>
              <w:top w:val="nil"/>
              <w:left w:val="nil"/>
              <w:bottom w:val="single" w:sz="8" w:space="0" w:color="auto"/>
              <w:right w:val="single" w:sz="8" w:space="0" w:color="auto"/>
            </w:tcBorders>
          </w:tcPr>
          <w:p w14:paraId="57DD158D" w14:textId="5BB4503B" w:rsidR="00757AE8" w:rsidRPr="00E42C34" w:rsidRDefault="00757AE8" w:rsidP="00644DC1">
            <w:pPr>
              <w:pStyle w:val="Tabletext"/>
              <w:keepNext/>
              <w:keepLines/>
              <w:jc w:val="center"/>
            </w:pPr>
            <w:r>
              <w:t>89.1</w:t>
            </w:r>
          </w:p>
        </w:tc>
        <w:tc>
          <w:tcPr>
            <w:tcW w:w="814" w:type="pct"/>
            <w:tcBorders>
              <w:top w:val="nil"/>
              <w:left w:val="nil"/>
              <w:bottom w:val="single" w:sz="8" w:space="0" w:color="auto"/>
              <w:right w:val="single" w:sz="8" w:space="0" w:color="auto"/>
            </w:tcBorders>
          </w:tcPr>
          <w:p w14:paraId="579099F6" w14:textId="27A8FA19" w:rsidR="00757AE8" w:rsidRPr="00E42C34" w:rsidRDefault="00757AE8" w:rsidP="00644DC1">
            <w:pPr>
              <w:pStyle w:val="Tabletext"/>
              <w:keepNext/>
              <w:keepLines/>
              <w:jc w:val="center"/>
            </w:pPr>
            <w:r>
              <w:t>77.8</w:t>
            </w:r>
          </w:p>
        </w:tc>
      </w:tr>
      <w:tr w:rsidR="00757AE8" w:rsidRPr="00E42C34" w14:paraId="11FA75B8" w14:textId="616F671B" w:rsidTr="00291E1D">
        <w:trPr>
          <w:cantSplit/>
        </w:trPr>
        <w:tc>
          <w:tcPr>
            <w:tcW w:w="1746" w:type="pct"/>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0FD8B9A8" w14:textId="77777777" w:rsidR="00757AE8" w:rsidRPr="00E42C34" w:rsidRDefault="00757AE8" w:rsidP="00757AE8">
            <w:pPr>
              <w:pStyle w:val="Tabletext"/>
              <w:keepNext/>
              <w:keepLines/>
              <w:ind w:left="720"/>
            </w:pPr>
            <w:r w:rsidRPr="00E42C34">
              <w:t>Absolute difference in event free rate %, (95% CI)</w:t>
            </w:r>
          </w:p>
        </w:tc>
        <w:tc>
          <w:tcPr>
            <w:tcW w:w="1627" w:type="pct"/>
            <w:gridSpan w:val="2"/>
            <w:tcBorders>
              <w:top w:val="single" w:sz="4" w:space="0" w:color="auto"/>
              <w:left w:val="nil"/>
              <w:bottom w:val="single" w:sz="4" w:space="0" w:color="auto"/>
              <w:right w:val="single" w:sz="8" w:space="0" w:color="auto"/>
            </w:tcBorders>
            <w:tcMar>
              <w:top w:w="0" w:type="dxa"/>
              <w:left w:w="57" w:type="dxa"/>
              <w:bottom w:w="0" w:type="dxa"/>
              <w:right w:w="57" w:type="dxa"/>
            </w:tcMar>
            <w:hideMark/>
          </w:tcPr>
          <w:p w14:paraId="08572386" w14:textId="77777777" w:rsidR="00757AE8" w:rsidRPr="00E42C34" w:rsidRDefault="00757AE8" w:rsidP="00644DC1">
            <w:pPr>
              <w:pStyle w:val="Tabletext"/>
              <w:keepNext/>
              <w:keepLines/>
              <w:jc w:val="center"/>
            </w:pPr>
            <w:r w:rsidRPr="00E42C34">
              <w:t>14.3 (4.2, 24.4)</w:t>
            </w:r>
          </w:p>
        </w:tc>
        <w:tc>
          <w:tcPr>
            <w:tcW w:w="1627" w:type="pct"/>
            <w:gridSpan w:val="2"/>
            <w:tcBorders>
              <w:top w:val="single" w:sz="4" w:space="0" w:color="auto"/>
              <w:left w:val="nil"/>
              <w:bottom w:val="single" w:sz="4" w:space="0" w:color="auto"/>
              <w:right w:val="single" w:sz="8" w:space="0" w:color="auto"/>
            </w:tcBorders>
          </w:tcPr>
          <w:p w14:paraId="0AC4023D" w14:textId="46D28C3F" w:rsidR="00757AE8" w:rsidRPr="00E42C34" w:rsidRDefault="00757AE8" w:rsidP="00644DC1">
            <w:pPr>
              <w:pStyle w:val="Tabletext"/>
              <w:keepNext/>
              <w:keepLines/>
              <w:jc w:val="center"/>
            </w:pPr>
            <w:r>
              <w:t>11.3 (1.56, 21.1)</w:t>
            </w:r>
          </w:p>
        </w:tc>
      </w:tr>
      <w:tr w:rsidR="00757AE8" w:rsidRPr="00E42C34" w14:paraId="7B1A744B" w14:textId="77777777" w:rsidTr="001A2F47">
        <w:trPr>
          <w:cantSplit/>
        </w:trPr>
        <w:tc>
          <w:tcPr>
            <w:tcW w:w="1746" w:type="pct"/>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tcPr>
          <w:p w14:paraId="5C1EE749" w14:textId="65D57AB4" w:rsidR="00757AE8" w:rsidRPr="00E42C34" w:rsidRDefault="00757AE8" w:rsidP="00757AE8">
            <w:pPr>
              <w:pStyle w:val="Tabletext"/>
              <w:keepNext/>
              <w:keepLines/>
            </w:pPr>
            <w:r w:rsidRPr="00E42C34">
              <w:t xml:space="preserve">Event free rate at </w:t>
            </w:r>
            <w:r>
              <w:t>5</w:t>
            </w:r>
            <w:r w:rsidRPr="00E42C34">
              <w:t xml:space="preserve"> years, %</w:t>
            </w:r>
          </w:p>
        </w:tc>
        <w:tc>
          <w:tcPr>
            <w:tcW w:w="1627" w:type="pct"/>
            <w:gridSpan w:val="2"/>
            <w:tcBorders>
              <w:top w:val="single" w:sz="4" w:space="0" w:color="auto"/>
              <w:left w:val="nil"/>
              <w:bottom w:val="single" w:sz="4" w:space="0" w:color="auto"/>
              <w:right w:val="single" w:sz="8" w:space="0" w:color="auto"/>
            </w:tcBorders>
            <w:tcMar>
              <w:top w:w="0" w:type="dxa"/>
              <w:left w:w="57" w:type="dxa"/>
              <w:bottom w:w="0" w:type="dxa"/>
              <w:right w:w="57" w:type="dxa"/>
            </w:tcMar>
          </w:tcPr>
          <w:p w14:paraId="289BC64B" w14:textId="3A1672A3" w:rsidR="00757AE8" w:rsidRPr="00E42C34" w:rsidRDefault="00757AE8" w:rsidP="00644DC1">
            <w:pPr>
              <w:pStyle w:val="Tabletext"/>
              <w:keepNext/>
              <w:keepLines/>
              <w:jc w:val="center"/>
            </w:pPr>
            <w:r>
              <w:t>-</w:t>
            </w:r>
          </w:p>
        </w:tc>
        <w:tc>
          <w:tcPr>
            <w:tcW w:w="813" w:type="pct"/>
            <w:tcBorders>
              <w:top w:val="single" w:sz="4" w:space="0" w:color="auto"/>
              <w:left w:val="nil"/>
              <w:bottom w:val="single" w:sz="4" w:space="0" w:color="auto"/>
              <w:right w:val="single" w:sz="8" w:space="0" w:color="auto"/>
            </w:tcBorders>
          </w:tcPr>
          <w:p w14:paraId="7B12FEDD" w14:textId="4A1268E8" w:rsidR="00757AE8" w:rsidRDefault="00757AE8" w:rsidP="00644DC1">
            <w:pPr>
              <w:pStyle w:val="Tabletext"/>
              <w:keepNext/>
              <w:keepLines/>
              <w:jc w:val="center"/>
            </w:pPr>
            <w:r>
              <w:t>85.1</w:t>
            </w:r>
          </w:p>
        </w:tc>
        <w:tc>
          <w:tcPr>
            <w:tcW w:w="814" w:type="pct"/>
            <w:tcBorders>
              <w:top w:val="single" w:sz="4" w:space="0" w:color="auto"/>
              <w:left w:val="nil"/>
              <w:bottom w:val="single" w:sz="4" w:space="0" w:color="auto"/>
              <w:right w:val="single" w:sz="8" w:space="0" w:color="auto"/>
            </w:tcBorders>
          </w:tcPr>
          <w:p w14:paraId="22C85966" w14:textId="275AC825" w:rsidR="00757AE8" w:rsidRPr="00E42C34" w:rsidRDefault="00757AE8" w:rsidP="00644DC1">
            <w:pPr>
              <w:pStyle w:val="Tabletext"/>
              <w:keepNext/>
              <w:keepLines/>
              <w:jc w:val="center"/>
            </w:pPr>
            <w:r>
              <w:t>68.7</w:t>
            </w:r>
          </w:p>
        </w:tc>
      </w:tr>
      <w:tr w:rsidR="00757AE8" w:rsidRPr="00E42C34" w14:paraId="6DC09A42" w14:textId="77777777" w:rsidTr="00291E1D">
        <w:trPr>
          <w:cantSplit/>
        </w:trPr>
        <w:tc>
          <w:tcPr>
            <w:tcW w:w="1746" w:type="pct"/>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tcPr>
          <w:p w14:paraId="5AFB34E7" w14:textId="7CEFFD59" w:rsidR="00757AE8" w:rsidRPr="00E42C34" w:rsidRDefault="00757AE8" w:rsidP="00757AE8">
            <w:pPr>
              <w:pStyle w:val="Tabletext"/>
              <w:keepNext/>
              <w:keepLines/>
            </w:pPr>
            <w:r>
              <w:tab/>
            </w:r>
            <w:r w:rsidRPr="00E42C34">
              <w:t xml:space="preserve">Absolute difference in event </w:t>
            </w:r>
            <w:r>
              <w:tab/>
            </w:r>
            <w:r w:rsidRPr="00E42C34">
              <w:t>free rate %, (95% CI)</w:t>
            </w:r>
          </w:p>
        </w:tc>
        <w:tc>
          <w:tcPr>
            <w:tcW w:w="1627" w:type="pct"/>
            <w:gridSpan w:val="2"/>
            <w:tcBorders>
              <w:top w:val="single" w:sz="4" w:space="0" w:color="auto"/>
              <w:left w:val="nil"/>
              <w:bottom w:val="single" w:sz="4" w:space="0" w:color="auto"/>
              <w:right w:val="single" w:sz="8" w:space="0" w:color="auto"/>
            </w:tcBorders>
            <w:tcMar>
              <w:top w:w="0" w:type="dxa"/>
              <w:left w:w="57" w:type="dxa"/>
              <w:bottom w:w="0" w:type="dxa"/>
              <w:right w:w="57" w:type="dxa"/>
            </w:tcMar>
          </w:tcPr>
          <w:p w14:paraId="722974EE" w14:textId="0A38ACA3" w:rsidR="00757AE8" w:rsidRPr="00E42C34" w:rsidRDefault="00757AE8" w:rsidP="00644DC1">
            <w:pPr>
              <w:pStyle w:val="Tabletext"/>
              <w:keepNext/>
              <w:keepLines/>
              <w:jc w:val="center"/>
            </w:pPr>
            <w:r>
              <w:t>-</w:t>
            </w:r>
          </w:p>
        </w:tc>
        <w:tc>
          <w:tcPr>
            <w:tcW w:w="1627" w:type="pct"/>
            <w:gridSpan w:val="2"/>
            <w:tcBorders>
              <w:top w:val="single" w:sz="4" w:space="0" w:color="auto"/>
              <w:left w:val="nil"/>
              <w:bottom w:val="single" w:sz="4" w:space="0" w:color="auto"/>
              <w:right w:val="single" w:sz="8" w:space="0" w:color="auto"/>
            </w:tcBorders>
          </w:tcPr>
          <w:p w14:paraId="7D34CD9A" w14:textId="2947154D" w:rsidR="00757AE8" w:rsidRPr="00E42C34" w:rsidRDefault="00757AE8" w:rsidP="00644DC1">
            <w:pPr>
              <w:pStyle w:val="Tabletext"/>
              <w:keepNext/>
              <w:keepLines/>
              <w:jc w:val="center"/>
            </w:pPr>
            <w:r>
              <w:t>16.4 (4.86, 28.0)</w:t>
            </w:r>
          </w:p>
        </w:tc>
      </w:tr>
    </w:tbl>
    <w:p w14:paraId="5082C37F" w14:textId="61018656" w:rsidR="005F41D3" w:rsidRPr="00E42C34" w:rsidRDefault="005F41D3" w:rsidP="00030F93">
      <w:pPr>
        <w:pStyle w:val="TableFigureFooter"/>
        <w:keepNext/>
        <w:keepLines/>
        <w:rPr>
          <w:rFonts w:cs="SimSun"/>
          <w:szCs w:val="18"/>
        </w:rPr>
      </w:pPr>
      <w:r w:rsidRPr="00E42C34">
        <w:t>Source: IMpower010 CSR, p386 and the TGA Delegate’s Overview for atezolizumab, Figure 15, p36 (PM-2021-02705-1-4)</w:t>
      </w:r>
      <w:r w:rsidR="001A2F47">
        <w:t xml:space="preserve">, </w:t>
      </w:r>
      <w:r w:rsidR="001A2F47" w:rsidRPr="000511F5">
        <w:t>IMpower010 interim OS results.pdf</w:t>
      </w:r>
      <w:r w:rsidR="001A2F47">
        <w:t xml:space="preserve"> provided with pre-PBAC response</w:t>
      </w:r>
      <w:r w:rsidRPr="00E42C34">
        <w:t>.</w:t>
      </w:r>
    </w:p>
    <w:p w14:paraId="4392CD0E" w14:textId="35239DA8" w:rsidR="005F41D3" w:rsidRPr="00E42C34" w:rsidRDefault="005F41D3" w:rsidP="00030F93">
      <w:pPr>
        <w:pStyle w:val="TableFigureFooter"/>
        <w:keepNext/>
        <w:keepLines/>
        <w:rPr>
          <w:rFonts w:cs="Times New Roman"/>
          <w:sz w:val="20"/>
          <w:szCs w:val="20"/>
        </w:rPr>
      </w:pPr>
      <w:r w:rsidRPr="00E42C34">
        <w:t>ATZ = atezolizumab; BSC = best supportive care; NSCLC = non-small cell lung cancer; OS = overall survival; NE = not estimable (not reached); PD-L1 = programmed cell death Ligand 1; TGA = Therapeutic Goods Administration</w:t>
      </w:r>
    </w:p>
    <w:p w14:paraId="6A801EE6" w14:textId="1986080B" w:rsidR="005F41D3" w:rsidRPr="00E42C34" w:rsidRDefault="005F41D3" w:rsidP="0058641B">
      <w:pPr>
        <w:pStyle w:val="TableFigureFooter"/>
        <w:keepNext/>
        <w:keepLines/>
      </w:pPr>
      <w:r w:rsidRPr="00E42C34">
        <w:t>PD-L1 tumour expression status by SP263 IHC assay; Median OS are Kaplan-Meier estimates; 95% CIs for the median are computed using the method of Brookmeyer and Crowley; Hazard ratios and absolute differences for ATZ versus BSC and corresponding 95% CIs are rounded to two decimal places. HR was estimated by Cox regression; stratification factors: stage (II vs. IIIA), sex (female vs. male), and histology (squamous vs. non-squamous).</w:t>
      </w:r>
    </w:p>
    <w:p w14:paraId="6266D68A" w14:textId="3263F5DF" w:rsidR="00C86B8B" w:rsidRDefault="00C86B8B" w:rsidP="00C86B8B">
      <w:pPr>
        <w:pStyle w:val="3-BodyText"/>
      </w:pPr>
      <w:r>
        <w:t xml:space="preserve">Based on a data </w:t>
      </w:r>
      <w:r w:rsidR="00EA56B9">
        <w:t>cut-off</w:t>
      </w:r>
      <w:r>
        <w:t xml:space="preserve"> of January 2021, i</w:t>
      </w:r>
      <w:r w:rsidRPr="00DE7304">
        <w:t>n the PD-L1 ≥ 50% expression subgroup, the reduction in the hazard of death associated with ATZ compared with BSC was 6</w:t>
      </w:r>
      <w:r>
        <w:t>0</w:t>
      </w:r>
      <w:r w:rsidRPr="00DE7304">
        <w:t>% which was statistically significant (HR=0.</w:t>
      </w:r>
      <w:r>
        <w:t>40</w:t>
      </w:r>
      <w:r w:rsidRPr="00DE7304">
        <w:t>; 95% CI: 0.</w:t>
      </w:r>
      <w:r>
        <w:t>20</w:t>
      </w:r>
      <w:r w:rsidRPr="00DE7304">
        <w:t>, 0.</w:t>
      </w:r>
      <w:r>
        <w:t>81</w:t>
      </w:r>
      <w:r w:rsidRPr="00DE7304">
        <w:t>; p-value=0.009). However, in the PD-L1 1-49% expression subgroup, the HR was 1.</w:t>
      </w:r>
      <w:r>
        <w:t>17</w:t>
      </w:r>
      <w:r w:rsidRPr="00DE7304">
        <w:t xml:space="preserve"> (95% CI: 0.</w:t>
      </w:r>
      <w:r>
        <w:t>67</w:t>
      </w:r>
      <w:r w:rsidRPr="00DE7304">
        <w:t>, 2.</w:t>
      </w:r>
      <w:r>
        <w:t>03</w:t>
      </w:r>
      <w:r w:rsidRPr="00DE7304">
        <w:t>; p-value=0.580) with numerically more patients having died in the ATZ arm (23.3%) than in the BSC arm (19.3%). The TGA Delegate noted that although the data is immature, a potential detrimental treatment effect associated with ATZ in the PD-L1 1-49% expression subgroup cannot be excluded (page 4, TGA Delegate’s Overview).</w:t>
      </w:r>
    </w:p>
    <w:p w14:paraId="3089D04D" w14:textId="1615EE45" w:rsidR="00C86B8B" w:rsidRPr="00DE7304" w:rsidRDefault="00C86B8B" w:rsidP="00C86B8B">
      <w:pPr>
        <w:pStyle w:val="3-BodyText"/>
      </w:pPr>
      <w:r>
        <w:lastRenderedPageBreak/>
        <w:t xml:space="preserve">The pre-PBAC response provided the </w:t>
      </w:r>
      <w:r w:rsidRPr="001458AB">
        <w:t xml:space="preserve">first pre-specified interim analysis for OS from IMpower010 which provided an additional 13.1 months of follow-up (clinical </w:t>
      </w:r>
      <w:r w:rsidR="00EA56B9" w:rsidRPr="001458AB">
        <w:t>cut-off</w:t>
      </w:r>
      <w:r w:rsidRPr="001458AB">
        <w:t xml:space="preserve"> 18 April 2022; median follow up: 45.3 months) compared to the primary analysis presented in the submission (clinical </w:t>
      </w:r>
      <w:r w:rsidR="00EA56B9" w:rsidRPr="001458AB">
        <w:t>cut-off</w:t>
      </w:r>
      <w:r w:rsidRPr="001458AB">
        <w:t xml:space="preserve"> 21 January 2021; median follow-up: 32.2 months). This interim analysis was limited to an OS update only. The updated results show</w:t>
      </w:r>
      <w:r>
        <w:t>ed</w:t>
      </w:r>
      <w:r w:rsidRPr="001458AB">
        <w:t xml:space="preserve"> that OS continues to mature in favour of atezolizumab in all three primary analysis populations.</w:t>
      </w:r>
      <w:r>
        <w:t xml:space="preserve"> The pre-PBAC response noted that </w:t>
      </w:r>
      <w:r w:rsidRPr="001458AB">
        <w:t>clinically meaningful OS benefit continue</w:t>
      </w:r>
      <w:r>
        <w:t>d</w:t>
      </w:r>
      <w:r w:rsidRPr="001458AB">
        <w:t xml:space="preserve"> to be observed from atezolizumab treatment in the resected PD-L1 ≥50% stage II-IIIA NSCLC population</w:t>
      </w:r>
      <w:r>
        <w:t>.</w:t>
      </w:r>
      <w:r w:rsidRPr="001458AB">
        <w:t xml:space="preserve"> The Kaplan-Meier curves begin to separate at approximately 4 months after randomisation (corresponding to the first scheduled tumour assessment) and continue to separate thereafter in favour of atezolizumab (Figure </w:t>
      </w:r>
      <w:r>
        <w:t>7</w:t>
      </w:r>
      <w:r w:rsidRPr="001458AB">
        <w:t>).</w:t>
      </w:r>
    </w:p>
    <w:p w14:paraId="19494145" w14:textId="6CC71902" w:rsidR="005F41D3" w:rsidRDefault="004E2EF3" w:rsidP="00A454FA">
      <w:pPr>
        <w:pStyle w:val="TableFigureHeading"/>
        <w:rPr>
          <w:i/>
          <w:iCs/>
        </w:rPr>
      </w:pPr>
      <w:bookmarkStart w:id="35" w:name="_Ref105415298"/>
      <w:r w:rsidRPr="0058641B">
        <w:t xml:space="preserve">Figure </w:t>
      </w:r>
      <w:fldSimple w:instr=" SEQ Figure \* ARABIC ">
        <w:r w:rsidR="0043151A">
          <w:rPr>
            <w:noProof/>
          </w:rPr>
          <w:t>6</w:t>
        </w:r>
      </w:fldSimple>
      <w:bookmarkEnd w:id="35"/>
      <w:r w:rsidR="005F41D3" w:rsidRPr="00DE7304">
        <w:rPr>
          <w:i/>
          <w:iCs/>
        </w:rPr>
        <w:t xml:space="preserve">: </w:t>
      </w:r>
      <w:r w:rsidR="00A454FA" w:rsidRPr="004E2EF3">
        <w:t>Kaplan-Meier plot of overall survival in the PD-L1 ≥50% stage II-IIIA NSCLC subgroup from IMpower010</w:t>
      </w:r>
      <w:r w:rsidR="00C86B8B" w:rsidRPr="004E2EF3">
        <w:t xml:space="preserve"> (data </w:t>
      </w:r>
      <w:r w:rsidR="00EA56B9" w:rsidRPr="004E2EF3">
        <w:t>cut-off</w:t>
      </w:r>
      <w:r w:rsidR="00C86B8B" w:rsidRPr="004E2EF3">
        <w:t xml:space="preserve"> April 2022)</w:t>
      </w:r>
    </w:p>
    <w:p w14:paraId="7A0EC67E" w14:textId="6FF159BC" w:rsidR="00C86B8B" w:rsidRDefault="00C86B8B" w:rsidP="00C86B8B">
      <w:pPr>
        <w:pStyle w:val="In-tableHeading"/>
        <w:rPr>
          <w:lang w:val="en-AU"/>
        </w:rPr>
      </w:pPr>
    </w:p>
    <w:p w14:paraId="190C68C7" w14:textId="2579D646" w:rsidR="00C86B8B" w:rsidRDefault="00C86B8B" w:rsidP="00C86B8B">
      <w:pPr>
        <w:pStyle w:val="In-tableHeading"/>
        <w:rPr>
          <w:lang w:val="en-AU"/>
        </w:rPr>
      </w:pPr>
      <w:r w:rsidRPr="00C86B8B">
        <w:rPr>
          <w:noProof/>
          <w:lang w:val="en-AU" w:eastAsia="zh-CN"/>
        </w:rPr>
        <w:drawing>
          <wp:inline distT="0" distB="0" distL="0" distR="0" wp14:anchorId="4E1E0BAD" wp14:editId="74299FBE">
            <wp:extent cx="5732145" cy="28829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2882900"/>
                    </a:xfrm>
                    <a:prstGeom prst="rect">
                      <a:avLst/>
                    </a:prstGeom>
                  </pic:spPr>
                </pic:pic>
              </a:graphicData>
            </a:graphic>
          </wp:inline>
        </w:drawing>
      </w:r>
    </w:p>
    <w:p w14:paraId="29EBB072" w14:textId="77777777" w:rsidR="00C86B8B" w:rsidRPr="00C86B8B" w:rsidRDefault="00C86B8B" w:rsidP="00C86B8B">
      <w:pPr>
        <w:pStyle w:val="In-tableHeading"/>
        <w:rPr>
          <w:lang w:val="en-AU"/>
        </w:rPr>
      </w:pPr>
    </w:p>
    <w:p w14:paraId="2A59B242" w14:textId="04B80E58" w:rsidR="005F41D3" w:rsidRPr="00DE7304" w:rsidRDefault="005F41D3" w:rsidP="005F41D3">
      <w:pPr>
        <w:pStyle w:val="TableFigureFooter"/>
      </w:pPr>
      <w:r w:rsidRPr="00DE7304">
        <w:t xml:space="preserve">Source: </w:t>
      </w:r>
      <w:r w:rsidR="00A454FA" w:rsidRPr="00A454FA">
        <w:t>IMpower010 interim OS results.pdf</w:t>
      </w:r>
    </w:p>
    <w:p w14:paraId="4E185EAC" w14:textId="7F0C1DE6" w:rsidR="005F41D3" w:rsidRPr="00DE7304" w:rsidRDefault="005F41D3" w:rsidP="005F41D3">
      <w:pPr>
        <w:pStyle w:val="TableFigureFooter"/>
      </w:pPr>
      <w:r w:rsidRPr="00DE7304">
        <w:t xml:space="preserve">Data </w:t>
      </w:r>
      <w:r w:rsidR="00EA56B9" w:rsidRPr="00DE7304">
        <w:t>cut-off</w:t>
      </w:r>
      <w:r w:rsidRPr="00DE7304">
        <w:t xml:space="preserve"> January 2021. Median OS are based on Kaplan-Meier estimates; NSCLC = non-small cell lung cancer; NE = not estimable (not reached); PD-L1 = programmed cell death Ligand 1 </w:t>
      </w:r>
    </w:p>
    <w:p w14:paraId="42013C3C" w14:textId="77777777" w:rsidR="00B60939" w:rsidRPr="0058641B" w:rsidRDefault="00B60939" w:rsidP="00D86231">
      <w:pPr>
        <w:pStyle w:val="4-SubsectionHeading"/>
      </w:pPr>
      <w:bookmarkStart w:id="36" w:name="_Toc22897642"/>
      <w:bookmarkStart w:id="37" w:name="_Toc101281143"/>
      <w:r w:rsidRPr="0058641B">
        <w:t>Comparative harms</w:t>
      </w:r>
      <w:bookmarkEnd w:id="36"/>
      <w:bookmarkEnd w:id="37"/>
    </w:p>
    <w:p w14:paraId="51CE5FBA" w14:textId="6774B069" w:rsidR="002729BC" w:rsidRPr="0058641B" w:rsidRDefault="002729BC" w:rsidP="00D86231">
      <w:pPr>
        <w:pStyle w:val="3-BodyText"/>
      </w:pPr>
      <w:r w:rsidRPr="0058641B">
        <w:t>Overall adverse events (AEs) from IMpower010 are summarised in</w:t>
      </w:r>
      <w:r w:rsidR="00F53A29" w:rsidRPr="0058641B">
        <w:t xml:space="preserve"> </w:t>
      </w:r>
      <w:r w:rsidR="00F53A29" w:rsidRPr="0058641B">
        <w:fldChar w:fldCharType="begin"/>
      </w:r>
      <w:r w:rsidR="00F53A29" w:rsidRPr="0058641B">
        <w:instrText xml:space="preserve"> REF _Ref101254018 \h </w:instrText>
      </w:r>
      <w:r w:rsidR="00F53A29" w:rsidRPr="0058641B">
        <w:fldChar w:fldCharType="separate"/>
      </w:r>
      <w:r w:rsidR="0043151A" w:rsidRPr="0058641B">
        <w:t xml:space="preserve">Table </w:t>
      </w:r>
      <w:r w:rsidR="0043151A">
        <w:rPr>
          <w:noProof/>
        </w:rPr>
        <w:t>9</w:t>
      </w:r>
      <w:r w:rsidR="00F53A29" w:rsidRPr="0058641B">
        <w:fldChar w:fldCharType="end"/>
      </w:r>
      <w:r w:rsidRPr="0058641B">
        <w:t>.</w:t>
      </w:r>
    </w:p>
    <w:p w14:paraId="02ABD6EA" w14:textId="75F3EDC0" w:rsidR="002729BC" w:rsidRPr="0058641B" w:rsidRDefault="002729BC" w:rsidP="00D86277">
      <w:pPr>
        <w:pStyle w:val="TableFigureHeading"/>
        <w:tabs>
          <w:tab w:val="left" w:pos="284"/>
        </w:tabs>
      </w:pPr>
      <w:bookmarkStart w:id="38" w:name="_Ref101254018"/>
      <w:r w:rsidRPr="0058641B">
        <w:lastRenderedPageBreak/>
        <w:t xml:space="preserve">Table </w:t>
      </w:r>
      <w:fldSimple w:instr=" SEQ Table \* ARABIC ">
        <w:r w:rsidR="0043151A">
          <w:rPr>
            <w:noProof/>
          </w:rPr>
          <w:t>9</w:t>
        </w:r>
      </w:fldSimple>
      <w:bookmarkEnd w:id="38"/>
      <w:r w:rsidRPr="0058641B">
        <w:t>: Overview of adverse events and deaths in IMpower010</w:t>
      </w:r>
    </w:p>
    <w:tbl>
      <w:tblPr>
        <w:tblW w:w="5000" w:type="pct"/>
        <w:tblLook w:val="0000" w:firstRow="0" w:lastRow="0" w:firstColumn="0" w:lastColumn="0" w:noHBand="0" w:noVBand="0"/>
      </w:tblPr>
      <w:tblGrid>
        <w:gridCol w:w="3199"/>
        <w:gridCol w:w="1331"/>
        <w:gridCol w:w="1277"/>
        <w:gridCol w:w="1701"/>
        <w:gridCol w:w="1509"/>
      </w:tblGrid>
      <w:tr w:rsidR="002729BC" w:rsidRPr="0058641B" w14:paraId="79165167" w14:textId="77777777" w:rsidTr="00D312D9">
        <w:trPr>
          <w:trHeight w:val="70"/>
          <w:tblHeader/>
        </w:trPr>
        <w:tc>
          <w:tcPr>
            <w:tcW w:w="1774" w:type="pct"/>
            <w:vMerge w:val="restart"/>
            <w:tcBorders>
              <w:top w:val="single" w:sz="4" w:space="0" w:color="auto"/>
              <w:left w:val="single" w:sz="4" w:space="0" w:color="auto"/>
              <w:right w:val="single" w:sz="4" w:space="0" w:color="auto"/>
            </w:tcBorders>
            <w:vAlign w:val="center"/>
          </w:tcPr>
          <w:p w14:paraId="15608E7A" w14:textId="7A46C51D" w:rsidR="002729BC" w:rsidRPr="0058641B" w:rsidRDefault="002729BC" w:rsidP="00001439">
            <w:pPr>
              <w:pStyle w:val="Tabletext"/>
              <w:keepNext/>
              <w:rPr>
                <w:b/>
              </w:rPr>
            </w:pPr>
            <w:r w:rsidRPr="0058641B">
              <w:rPr>
                <w:b/>
              </w:rPr>
              <w:t>Number of patients</w:t>
            </w:r>
            <w:r w:rsidR="008F75F6" w:rsidRPr="0058641B">
              <w:rPr>
                <w:b/>
              </w:rPr>
              <w:t xml:space="preserve"> with</w:t>
            </w:r>
          </w:p>
        </w:tc>
        <w:tc>
          <w:tcPr>
            <w:tcW w:w="1446" w:type="pct"/>
            <w:gridSpan w:val="2"/>
            <w:tcBorders>
              <w:top w:val="single" w:sz="4" w:space="0" w:color="auto"/>
              <w:left w:val="nil"/>
              <w:bottom w:val="single" w:sz="4" w:space="0" w:color="auto"/>
              <w:right w:val="single" w:sz="4" w:space="0" w:color="auto"/>
            </w:tcBorders>
          </w:tcPr>
          <w:p w14:paraId="34468C08" w14:textId="0EE40C99" w:rsidR="002729BC" w:rsidRPr="0058641B" w:rsidRDefault="002729BC" w:rsidP="00644DC1">
            <w:pPr>
              <w:pStyle w:val="Tabletext"/>
              <w:keepNext/>
              <w:jc w:val="center"/>
              <w:rPr>
                <w:b/>
              </w:rPr>
            </w:pPr>
            <w:r w:rsidRPr="0058641B">
              <w:rPr>
                <w:b/>
              </w:rPr>
              <w:t>Number of patients</w:t>
            </w:r>
          </w:p>
        </w:tc>
        <w:tc>
          <w:tcPr>
            <w:tcW w:w="943" w:type="pct"/>
            <w:vMerge w:val="restart"/>
            <w:tcBorders>
              <w:top w:val="single" w:sz="4" w:space="0" w:color="auto"/>
              <w:left w:val="single" w:sz="4" w:space="0" w:color="auto"/>
              <w:right w:val="single" w:sz="4" w:space="0" w:color="auto"/>
            </w:tcBorders>
            <w:vAlign w:val="center"/>
          </w:tcPr>
          <w:p w14:paraId="1176D1BF" w14:textId="77777777" w:rsidR="002729BC" w:rsidRPr="0058641B" w:rsidRDefault="002729BC" w:rsidP="00644DC1">
            <w:pPr>
              <w:pStyle w:val="Tabletext"/>
              <w:keepNext/>
              <w:jc w:val="center"/>
              <w:rPr>
                <w:b/>
              </w:rPr>
            </w:pPr>
            <w:r w:rsidRPr="0058641B">
              <w:rPr>
                <w:b/>
              </w:rPr>
              <w:t>RR, (95% CI)</w:t>
            </w:r>
          </w:p>
        </w:tc>
        <w:tc>
          <w:tcPr>
            <w:tcW w:w="837" w:type="pct"/>
            <w:vMerge w:val="restart"/>
            <w:tcBorders>
              <w:top w:val="single" w:sz="4" w:space="0" w:color="auto"/>
              <w:left w:val="single" w:sz="4" w:space="0" w:color="auto"/>
              <w:right w:val="single" w:sz="4" w:space="0" w:color="auto"/>
            </w:tcBorders>
            <w:vAlign w:val="center"/>
          </w:tcPr>
          <w:p w14:paraId="165940C4" w14:textId="77777777" w:rsidR="002729BC" w:rsidRPr="0058641B" w:rsidRDefault="002729BC" w:rsidP="00644DC1">
            <w:pPr>
              <w:pStyle w:val="Tabletext"/>
              <w:keepNext/>
              <w:jc w:val="center"/>
              <w:rPr>
                <w:b/>
              </w:rPr>
            </w:pPr>
            <w:r w:rsidRPr="0058641B">
              <w:rPr>
                <w:b/>
              </w:rPr>
              <w:t>RD, % (95% CI)</w:t>
            </w:r>
          </w:p>
        </w:tc>
      </w:tr>
      <w:tr w:rsidR="002729BC" w:rsidRPr="0058641B" w14:paraId="18D49022" w14:textId="77777777" w:rsidTr="00D312D9">
        <w:trPr>
          <w:trHeight w:val="70"/>
          <w:tblHeader/>
        </w:trPr>
        <w:tc>
          <w:tcPr>
            <w:tcW w:w="1774" w:type="pct"/>
            <w:vMerge/>
            <w:tcBorders>
              <w:left w:val="single" w:sz="4" w:space="0" w:color="auto"/>
              <w:bottom w:val="single" w:sz="4" w:space="0" w:color="auto"/>
              <w:right w:val="single" w:sz="4" w:space="0" w:color="auto"/>
            </w:tcBorders>
            <w:vAlign w:val="center"/>
          </w:tcPr>
          <w:p w14:paraId="683DD114" w14:textId="77777777" w:rsidR="002729BC" w:rsidRPr="0058641B" w:rsidRDefault="002729BC" w:rsidP="00001439">
            <w:pPr>
              <w:pStyle w:val="Tabletext"/>
              <w:keepNext/>
            </w:pPr>
          </w:p>
        </w:tc>
        <w:tc>
          <w:tcPr>
            <w:tcW w:w="738" w:type="pct"/>
            <w:tcBorders>
              <w:top w:val="single" w:sz="4" w:space="0" w:color="auto"/>
              <w:left w:val="nil"/>
              <w:bottom w:val="single" w:sz="4" w:space="0" w:color="auto"/>
              <w:right w:val="single" w:sz="4" w:space="0" w:color="auto"/>
            </w:tcBorders>
            <w:vAlign w:val="center"/>
          </w:tcPr>
          <w:p w14:paraId="268AE56D" w14:textId="77777777" w:rsidR="002729BC" w:rsidRPr="0058641B" w:rsidRDefault="002729BC" w:rsidP="00644DC1">
            <w:pPr>
              <w:pStyle w:val="Tabletext"/>
              <w:keepNext/>
              <w:jc w:val="center"/>
              <w:rPr>
                <w:b/>
              </w:rPr>
            </w:pPr>
            <w:r w:rsidRPr="0058641B">
              <w:rPr>
                <w:b/>
              </w:rPr>
              <w:t>ATZ (N=495)</w:t>
            </w:r>
          </w:p>
        </w:tc>
        <w:tc>
          <w:tcPr>
            <w:tcW w:w="708" w:type="pct"/>
            <w:tcBorders>
              <w:top w:val="single" w:sz="4" w:space="0" w:color="auto"/>
              <w:left w:val="single" w:sz="4" w:space="0" w:color="auto"/>
              <w:bottom w:val="single" w:sz="4" w:space="0" w:color="auto"/>
              <w:right w:val="single" w:sz="4" w:space="0" w:color="auto"/>
            </w:tcBorders>
            <w:vAlign w:val="center"/>
          </w:tcPr>
          <w:p w14:paraId="3990556C" w14:textId="77777777" w:rsidR="002729BC" w:rsidRPr="0058641B" w:rsidRDefault="002729BC" w:rsidP="00644DC1">
            <w:pPr>
              <w:pStyle w:val="Tabletext"/>
              <w:keepNext/>
              <w:jc w:val="center"/>
              <w:rPr>
                <w:b/>
              </w:rPr>
            </w:pPr>
            <w:r w:rsidRPr="0058641B">
              <w:rPr>
                <w:b/>
              </w:rPr>
              <w:t>BSC (N=495)</w:t>
            </w:r>
          </w:p>
        </w:tc>
        <w:tc>
          <w:tcPr>
            <w:tcW w:w="943" w:type="pct"/>
            <w:vMerge/>
            <w:tcBorders>
              <w:left w:val="single" w:sz="4" w:space="0" w:color="auto"/>
              <w:bottom w:val="single" w:sz="4" w:space="0" w:color="auto"/>
              <w:right w:val="single" w:sz="4" w:space="0" w:color="auto"/>
            </w:tcBorders>
            <w:vAlign w:val="center"/>
          </w:tcPr>
          <w:p w14:paraId="7129ED5E" w14:textId="77777777" w:rsidR="002729BC" w:rsidRPr="0058641B" w:rsidRDefault="002729BC" w:rsidP="00644DC1">
            <w:pPr>
              <w:pStyle w:val="Tabletext"/>
              <w:keepNext/>
              <w:jc w:val="center"/>
            </w:pPr>
          </w:p>
        </w:tc>
        <w:tc>
          <w:tcPr>
            <w:tcW w:w="837" w:type="pct"/>
            <w:vMerge/>
            <w:tcBorders>
              <w:left w:val="single" w:sz="4" w:space="0" w:color="auto"/>
              <w:bottom w:val="single" w:sz="4" w:space="0" w:color="auto"/>
              <w:right w:val="single" w:sz="4" w:space="0" w:color="auto"/>
            </w:tcBorders>
            <w:vAlign w:val="center"/>
          </w:tcPr>
          <w:p w14:paraId="708426E2" w14:textId="77777777" w:rsidR="002729BC" w:rsidRPr="0058641B" w:rsidRDefault="002729BC" w:rsidP="00644DC1">
            <w:pPr>
              <w:pStyle w:val="Tabletext"/>
              <w:keepNext/>
              <w:jc w:val="center"/>
            </w:pPr>
          </w:p>
        </w:tc>
      </w:tr>
      <w:tr w:rsidR="002729BC" w:rsidRPr="0058641B" w14:paraId="014FAE97" w14:textId="77777777" w:rsidTr="00D312D9">
        <w:tc>
          <w:tcPr>
            <w:tcW w:w="1774" w:type="pct"/>
            <w:tcBorders>
              <w:top w:val="single" w:sz="4" w:space="0" w:color="auto"/>
              <w:left w:val="single" w:sz="4" w:space="0" w:color="auto"/>
              <w:right w:val="single" w:sz="4" w:space="0" w:color="auto"/>
            </w:tcBorders>
          </w:tcPr>
          <w:p w14:paraId="2DAA2EB6" w14:textId="51F55A4C" w:rsidR="002729BC" w:rsidRPr="0058641B" w:rsidRDefault="002729BC" w:rsidP="00001439">
            <w:pPr>
              <w:pStyle w:val="Tabletext"/>
              <w:keepNext/>
            </w:pPr>
            <w:r w:rsidRPr="0058641B">
              <w:t>At leas</w:t>
            </w:r>
            <w:r w:rsidR="00F6424D" w:rsidRPr="0058641B">
              <w:t>t</w:t>
            </w:r>
            <w:r w:rsidRPr="0058641B">
              <w:t xml:space="preserve"> one adverse event</w:t>
            </w:r>
            <w:r w:rsidR="008A3803" w:rsidRPr="0058641B">
              <w:t>, n, (%)</w:t>
            </w:r>
          </w:p>
        </w:tc>
        <w:tc>
          <w:tcPr>
            <w:tcW w:w="738" w:type="pct"/>
            <w:tcBorders>
              <w:top w:val="single" w:sz="4" w:space="0" w:color="auto"/>
              <w:left w:val="nil"/>
              <w:right w:val="single" w:sz="4" w:space="0" w:color="auto"/>
            </w:tcBorders>
          </w:tcPr>
          <w:p w14:paraId="74CEC518" w14:textId="717E700B" w:rsidR="002729BC" w:rsidRPr="0058641B" w:rsidRDefault="002729BC" w:rsidP="00644DC1">
            <w:pPr>
              <w:pStyle w:val="Tabletext"/>
              <w:keepNext/>
              <w:jc w:val="center"/>
            </w:pPr>
            <w:r w:rsidRPr="0058641B">
              <w:t>459 (92.7)</w:t>
            </w:r>
          </w:p>
        </w:tc>
        <w:tc>
          <w:tcPr>
            <w:tcW w:w="708" w:type="pct"/>
            <w:tcBorders>
              <w:top w:val="single" w:sz="4" w:space="0" w:color="auto"/>
              <w:left w:val="single" w:sz="4" w:space="0" w:color="auto"/>
              <w:right w:val="single" w:sz="4" w:space="0" w:color="auto"/>
            </w:tcBorders>
          </w:tcPr>
          <w:p w14:paraId="3B6C26C6" w14:textId="25CCB214" w:rsidR="002729BC" w:rsidRPr="0058641B" w:rsidRDefault="002729BC" w:rsidP="00644DC1">
            <w:pPr>
              <w:pStyle w:val="Tabletext"/>
              <w:keepNext/>
              <w:jc w:val="center"/>
            </w:pPr>
            <w:r w:rsidRPr="0058641B">
              <w:t>350 (70.7)</w:t>
            </w:r>
          </w:p>
        </w:tc>
        <w:tc>
          <w:tcPr>
            <w:tcW w:w="943" w:type="pct"/>
            <w:tcBorders>
              <w:top w:val="single" w:sz="4" w:space="0" w:color="auto"/>
              <w:left w:val="single" w:sz="4" w:space="0" w:color="auto"/>
              <w:right w:val="single" w:sz="4" w:space="0" w:color="auto"/>
            </w:tcBorders>
          </w:tcPr>
          <w:p w14:paraId="3F1859EA" w14:textId="77777777" w:rsidR="002729BC" w:rsidRPr="0058641B" w:rsidRDefault="002729BC" w:rsidP="00644DC1">
            <w:pPr>
              <w:pStyle w:val="Tabletext"/>
              <w:keepNext/>
              <w:jc w:val="center"/>
              <w:rPr>
                <w:bCs/>
              </w:rPr>
            </w:pPr>
            <w:r w:rsidRPr="0058641B">
              <w:rPr>
                <w:bCs/>
              </w:rPr>
              <w:t>1.31 (1.23, 1.40)</w:t>
            </w:r>
          </w:p>
        </w:tc>
        <w:tc>
          <w:tcPr>
            <w:tcW w:w="837" w:type="pct"/>
            <w:tcBorders>
              <w:top w:val="single" w:sz="4" w:space="0" w:color="auto"/>
              <w:left w:val="single" w:sz="4" w:space="0" w:color="auto"/>
              <w:right w:val="single" w:sz="4" w:space="0" w:color="auto"/>
            </w:tcBorders>
          </w:tcPr>
          <w:p w14:paraId="243E33A3" w14:textId="3FF183AD" w:rsidR="002729BC" w:rsidRPr="0058641B" w:rsidRDefault="002729BC" w:rsidP="00644DC1">
            <w:pPr>
              <w:pStyle w:val="Tabletext"/>
              <w:keepNext/>
              <w:jc w:val="center"/>
              <w:rPr>
                <w:bCs/>
              </w:rPr>
            </w:pPr>
            <w:r w:rsidRPr="0058641B">
              <w:rPr>
                <w:bCs/>
              </w:rPr>
              <w:t>22 (17, 27)</w:t>
            </w:r>
          </w:p>
        </w:tc>
      </w:tr>
      <w:tr w:rsidR="002729BC" w:rsidRPr="0058641B" w14:paraId="3A6E61EE" w14:textId="77777777" w:rsidTr="00D312D9">
        <w:tc>
          <w:tcPr>
            <w:tcW w:w="1774" w:type="pct"/>
            <w:tcBorders>
              <w:left w:val="single" w:sz="4" w:space="0" w:color="auto"/>
              <w:right w:val="single" w:sz="4" w:space="0" w:color="auto"/>
            </w:tcBorders>
          </w:tcPr>
          <w:p w14:paraId="68E97713" w14:textId="5A742F70" w:rsidR="002729BC" w:rsidRPr="0058641B" w:rsidRDefault="002729BC" w:rsidP="00001439">
            <w:pPr>
              <w:pStyle w:val="Tabletext"/>
              <w:keepNext/>
            </w:pPr>
            <w:r w:rsidRPr="0058641B">
              <w:t>At least one</w:t>
            </w:r>
            <w:r w:rsidR="008A3803" w:rsidRPr="0058641B">
              <w:t>, n, (%)</w:t>
            </w:r>
            <w:r w:rsidRPr="0058641B">
              <w:t>:</w:t>
            </w:r>
          </w:p>
          <w:p w14:paraId="5F89F1C9" w14:textId="77777777" w:rsidR="002729BC" w:rsidRPr="0058641B" w:rsidRDefault="002729BC" w:rsidP="00D86277">
            <w:pPr>
              <w:pStyle w:val="Tabletext"/>
              <w:keepNext/>
            </w:pPr>
            <w:r w:rsidRPr="0058641B">
              <w:t xml:space="preserve">Grade </w:t>
            </w:r>
            <w:r w:rsidRPr="0058641B">
              <w:sym w:font="Symbol" w:char="F0B3"/>
            </w:r>
            <w:r w:rsidRPr="0058641B">
              <w:t xml:space="preserve">3 adverse </w:t>
            </w:r>
            <w:proofErr w:type="spellStart"/>
            <w:r w:rsidRPr="0058641B">
              <w:t>event</w:t>
            </w:r>
            <w:r w:rsidRPr="0058641B">
              <w:rPr>
                <w:vertAlign w:val="superscript"/>
              </w:rPr>
              <w:t>a</w:t>
            </w:r>
            <w:proofErr w:type="spellEnd"/>
          </w:p>
        </w:tc>
        <w:tc>
          <w:tcPr>
            <w:tcW w:w="738" w:type="pct"/>
            <w:tcBorders>
              <w:left w:val="nil"/>
              <w:right w:val="single" w:sz="4" w:space="0" w:color="auto"/>
            </w:tcBorders>
          </w:tcPr>
          <w:p w14:paraId="4A0DA82D" w14:textId="77777777" w:rsidR="002729BC" w:rsidRPr="0058641B" w:rsidRDefault="002729BC" w:rsidP="00644DC1">
            <w:pPr>
              <w:pStyle w:val="Tabletext"/>
              <w:keepNext/>
              <w:jc w:val="center"/>
            </w:pPr>
          </w:p>
          <w:p w14:paraId="08F99F5E" w14:textId="259DDF6C" w:rsidR="002729BC" w:rsidRPr="0058641B" w:rsidRDefault="002729BC" w:rsidP="00644DC1">
            <w:pPr>
              <w:pStyle w:val="Tabletext"/>
              <w:keepNext/>
              <w:jc w:val="center"/>
            </w:pPr>
            <w:r w:rsidRPr="0058641B">
              <w:t>116 (23.4)</w:t>
            </w:r>
          </w:p>
        </w:tc>
        <w:tc>
          <w:tcPr>
            <w:tcW w:w="708" w:type="pct"/>
            <w:tcBorders>
              <w:left w:val="single" w:sz="4" w:space="0" w:color="auto"/>
              <w:right w:val="single" w:sz="4" w:space="0" w:color="auto"/>
            </w:tcBorders>
          </w:tcPr>
          <w:p w14:paraId="6B638488" w14:textId="77777777" w:rsidR="002729BC" w:rsidRPr="0058641B" w:rsidRDefault="002729BC" w:rsidP="00644DC1">
            <w:pPr>
              <w:pStyle w:val="Tabletext"/>
              <w:keepNext/>
              <w:jc w:val="center"/>
            </w:pPr>
          </w:p>
          <w:p w14:paraId="63E035C3" w14:textId="2336D571" w:rsidR="002729BC" w:rsidRPr="0058641B" w:rsidRDefault="002729BC" w:rsidP="00644DC1">
            <w:pPr>
              <w:pStyle w:val="Tabletext"/>
              <w:keepNext/>
              <w:jc w:val="center"/>
            </w:pPr>
            <w:r w:rsidRPr="0058641B">
              <w:t>60 (12.1)</w:t>
            </w:r>
          </w:p>
        </w:tc>
        <w:tc>
          <w:tcPr>
            <w:tcW w:w="943" w:type="pct"/>
            <w:tcBorders>
              <w:left w:val="single" w:sz="4" w:space="0" w:color="auto"/>
              <w:right w:val="single" w:sz="4" w:space="0" w:color="auto"/>
            </w:tcBorders>
          </w:tcPr>
          <w:p w14:paraId="2B7B6A75" w14:textId="77777777" w:rsidR="002729BC" w:rsidRPr="0058641B" w:rsidRDefault="002729BC" w:rsidP="00644DC1">
            <w:pPr>
              <w:pStyle w:val="Tabletext"/>
              <w:keepNext/>
              <w:jc w:val="center"/>
              <w:rPr>
                <w:bCs/>
              </w:rPr>
            </w:pPr>
          </w:p>
          <w:p w14:paraId="38AFE492" w14:textId="458B309A" w:rsidR="002729BC" w:rsidRPr="0058641B" w:rsidRDefault="002729BC" w:rsidP="00644DC1">
            <w:pPr>
              <w:pStyle w:val="Tabletext"/>
              <w:keepNext/>
              <w:jc w:val="center"/>
              <w:rPr>
                <w:bCs/>
              </w:rPr>
            </w:pPr>
            <w:r w:rsidRPr="0058641B">
              <w:rPr>
                <w:bCs/>
              </w:rPr>
              <w:t>1.9</w:t>
            </w:r>
            <w:r w:rsidR="008A3803" w:rsidRPr="0058641B">
              <w:rPr>
                <w:bCs/>
              </w:rPr>
              <w:t>3</w:t>
            </w:r>
            <w:r w:rsidRPr="0058641B">
              <w:rPr>
                <w:bCs/>
              </w:rPr>
              <w:t xml:space="preserve"> (1.</w:t>
            </w:r>
            <w:r w:rsidR="008A3803" w:rsidRPr="0058641B">
              <w:rPr>
                <w:bCs/>
              </w:rPr>
              <w:t>4</w:t>
            </w:r>
            <w:r w:rsidRPr="0058641B">
              <w:rPr>
                <w:bCs/>
              </w:rPr>
              <w:t>5, 2.</w:t>
            </w:r>
            <w:r w:rsidR="008A3803" w:rsidRPr="0058641B">
              <w:rPr>
                <w:bCs/>
              </w:rPr>
              <w:t>57</w:t>
            </w:r>
            <w:r w:rsidRPr="0058641B">
              <w:rPr>
                <w:bCs/>
              </w:rPr>
              <w:t>)</w:t>
            </w:r>
          </w:p>
        </w:tc>
        <w:tc>
          <w:tcPr>
            <w:tcW w:w="837" w:type="pct"/>
            <w:tcBorders>
              <w:left w:val="single" w:sz="4" w:space="0" w:color="auto"/>
              <w:right w:val="single" w:sz="4" w:space="0" w:color="auto"/>
            </w:tcBorders>
          </w:tcPr>
          <w:p w14:paraId="4EE07541" w14:textId="77777777" w:rsidR="002729BC" w:rsidRPr="0058641B" w:rsidRDefault="002729BC" w:rsidP="00644DC1">
            <w:pPr>
              <w:pStyle w:val="Tabletext"/>
              <w:keepNext/>
              <w:jc w:val="center"/>
              <w:rPr>
                <w:bCs/>
              </w:rPr>
            </w:pPr>
          </w:p>
          <w:p w14:paraId="13FF0BA5" w14:textId="4BC63293" w:rsidR="002729BC" w:rsidRPr="0058641B" w:rsidRDefault="002729BC" w:rsidP="00644DC1">
            <w:pPr>
              <w:pStyle w:val="Tabletext"/>
              <w:keepNext/>
              <w:jc w:val="center"/>
              <w:rPr>
                <w:bCs/>
              </w:rPr>
            </w:pPr>
            <w:r w:rsidRPr="0058641B">
              <w:rPr>
                <w:bCs/>
              </w:rPr>
              <w:t>11 (7, 16)</w:t>
            </w:r>
          </w:p>
        </w:tc>
      </w:tr>
      <w:tr w:rsidR="002729BC" w:rsidRPr="0058641B" w14:paraId="08BCCD4A" w14:textId="77777777" w:rsidTr="00D312D9">
        <w:tc>
          <w:tcPr>
            <w:tcW w:w="1774" w:type="pct"/>
            <w:tcBorders>
              <w:left w:val="single" w:sz="4" w:space="0" w:color="auto"/>
              <w:right w:val="single" w:sz="4" w:space="0" w:color="auto"/>
            </w:tcBorders>
          </w:tcPr>
          <w:p w14:paraId="68E5C331" w14:textId="77777777" w:rsidR="002729BC" w:rsidRPr="0058641B" w:rsidRDefault="002729BC" w:rsidP="00D86277">
            <w:pPr>
              <w:pStyle w:val="Tabletext"/>
              <w:keepNext/>
              <w:tabs>
                <w:tab w:val="left" w:pos="742"/>
              </w:tabs>
              <w:ind w:left="720" w:hanging="545"/>
            </w:pPr>
            <w:r w:rsidRPr="0058641B">
              <w:t>Serious adverse event</w:t>
            </w:r>
          </w:p>
        </w:tc>
        <w:tc>
          <w:tcPr>
            <w:tcW w:w="738" w:type="pct"/>
            <w:tcBorders>
              <w:left w:val="nil"/>
              <w:right w:val="single" w:sz="4" w:space="0" w:color="auto"/>
            </w:tcBorders>
          </w:tcPr>
          <w:p w14:paraId="6D041764" w14:textId="51E65D2A" w:rsidR="002729BC" w:rsidRPr="0058641B" w:rsidRDefault="002729BC" w:rsidP="00644DC1">
            <w:pPr>
              <w:pStyle w:val="Tabletext"/>
              <w:keepNext/>
              <w:jc w:val="center"/>
            </w:pPr>
            <w:r w:rsidRPr="0058641B">
              <w:t>87 (17.6)</w:t>
            </w:r>
          </w:p>
        </w:tc>
        <w:tc>
          <w:tcPr>
            <w:tcW w:w="708" w:type="pct"/>
            <w:tcBorders>
              <w:left w:val="single" w:sz="4" w:space="0" w:color="auto"/>
              <w:right w:val="single" w:sz="4" w:space="0" w:color="auto"/>
            </w:tcBorders>
          </w:tcPr>
          <w:p w14:paraId="60F07938" w14:textId="5569EF31" w:rsidR="002729BC" w:rsidRPr="0058641B" w:rsidRDefault="002729BC" w:rsidP="00644DC1">
            <w:pPr>
              <w:pStyle w:val="Tabletext"/>
              <w:keepNext/>
              <w:jc w:val="center"/>
            </w:pPr>
            <w:r w:rsidRPr="0058641B">
              <w:t>42 (8.5)</w:t>
            </w:r>
          </w:p>
        </w:tc>
        <w:tc>
          <w:tcPr>
            <w:tcW w:w="943" w:type="pct"/>
            <w:tcBorders>
              <w:left w:val="single" w:sz="4" w:space="0" w:color="auto"/>
              <w:right w:val="single" w:sz="4" w:space="0" w:color="auto"/>
            </w:tcBorders>
          </w:tcPr>
          <w:p w14:paraId="08E963CE" w14:textId="4D1CA4C3" w:rsidR="002729BC" w:rsidRPr="0058641B" w:rsidRDefault="002729BC" w:rsidP="00644DC1">
            <w:pPr>
              <w:pStyle w:val="Tabletext"/>
              <w:keepNext/>
              <w:jc w:val="center"/>
              <w:rPr>
                <w:bCs/>
              </w:rPr>
            </w:pPr>
            <w:r w:rsidRPr="0058641B">
              <w:rPr>
                <w:bCs/>
              </w:rPr>
              <w:t>2.07 (1.</w:t>
            </w:r>
            <w:r w:rsidR="008A3803" w:rsidRPr="0058641B">
              <w:rPr>
                <w:bCs/>
              </w:rPr>
              <w:t>46</w:t>
            </w:r>
            <w:r w:rsidRPr="0058641B">
              <w:rPr>
                <w:bCs/>
              </w:rPr>
              <w:t>, 2.9</w:t>
            </w:r>
            <w:r w:rsidR="008A3803" w:rsidRPr="0058641B">
              <w:rPr>
                <w:bCs/>
              </w:rPr>
              <w:t>3</w:t>
            </w:r>
            <w:r w:rsidRPr="0058641B">
              <w:rPr>
                <w:bCs/>
              </w:rPr>
              <w:t>)</w:t>
            </w:r>
          </w:p>
        </w:tc>
        <w:tc>
          <w:tcPr>
            <w:tcW w:w="837" w:type="pct"/>
            <w:tcBorders>
              <w:left w:val="single" w:sz="4" w:space="0" w:color="auto"/>
              <w:right w:val="single" w:sz="4" w:space="0" w:color="auto"/>
            </w:tcBorders>
          </w:tcPr>
          <w:p w14:paraId="1E8C559B" w14:textId="279CD172" w:rsidR="002729BC" w:rsidRPr="0058641B" w:rsidRDefault="002729BC" w:rsidP="00644DC1">
            <w:pPr>
              <w:pStyle w:val="Tabletext"/>
              <w:keepNext/>
              <w:jc w:val="center"/>
              <w:rPr>
                <w:bCs/>
              </w:rPr>
            </w:pPr>
            <w:r w:rsidRPr="0058641B">
              <w:rPr>
                <w:bCs/>
              </w:rPr>
              <w:t>9 (5, 13)</w:t>
            </w:r>
          </w:p>
        </w:tc>
      </w:tr>
      <w:tr w:rsidR="002729BC" w:rsidRPr="0058641B" w14:paraId="15A3B722" w14:textId="77777777" w:rsidTr="00D312D9">
        <w:tc>
          <w:tcPr>
            <w:tcW w:w="1774" w:type="pct"/>
            <w:tcBorders>
              <w:left w:val="single" w:sz="4" w:space="0" w:color="auto"/>
              <w:right w:val="single" w:sz="4" w:space="0" w:color="auto"/>
            </w:tcBorders>
          </w:tcPr>
          <w:p w14:paraId="2E3407E1" w14:textId="29E01683" w:rsidR="002729BC" w:rsidRPr="0058641B" w:rsidRDefault="002729BC" w:rsidP="00D86277">
            <w:pPr>
              <w:pStyle w:val="Tabletext"/>
              <w:keepNext/>
              <w:tabs>
                <w:tab w:val="left" w:pos="175"/>
              </w:tabs>
              <w:ind w:left="175"/>
            </w:pPr>
            <w:r w:rsidRPr="0058641B">
              <w:t>Adverse event leading to treatmen</w:t>
            </w:r>
            <w:r w:rsidR="002C58D1" w:rsidRPr="0058641B">
              <w:t>t</w:t>
            </w:r>
            <w:r w:rsidR="00D86277" w:rsidRPr="0058641B">
              <w:t xml:space="preserve"> </w:t>
            </w:r>
            <w:r w:rsidRPr="0058641B">
              <w:t>discontinuation</w:t>
            </w:r>
          </w:p>
        </w:tc>
        <w:tc>
          <w:tcPr>
            <w:tcW w:w="738" w:type="pct"/>
            <w:tcBorders>
              <w:left w:val="nil"/>
              <w:right w:val="single" w:sz="4" w:space="0" w:color="auto"/>
            </w:tcBorders>
          </w:tcPr>
          <w:p w14:paraId="4ABB2C6A" w14:textId="38079877" w:rsidR="002729BC" w:rsidRPr="0058641B" w:rsidRDefault="002729BC" w:rsidP="00644DC1">
            <w:pPr>
              <w:pStyle w:val="Tabletext"/>
              <w:keepNext/>
              <w:jc w:val="center"/>
            </w:pPr>
            <w:r w:rsidRPr="0058641B">
              <w:t>90 (18.2)</w:t>
            </w:r>
          </w:p>
        </w:tc>
        <w:tc>
          <w:tcPr>
            <w:tcW w:w="708" w:type="pct"/>
            <w:tcBorders>
              <w:left w:val="single" w:sz="4" w:space="0" w:color="auto"/>
              <w:right w:val="single" w:sz="4" w:space="0" w:color="auto"/>
            </w:tcBorders>
          </w:tcPr>
          <w:p w14:paraId="6B1486C8" w14:textId="77777777" w:rsidR="002729BC" w:rsidRPr="0058641B" w:rsidRDefault="002729BC" w:rsidP="00644DC1">
            <w:pPr>
              <w:pStyle w:val="Tabletext"/>
              <w:keepNext/>
              <w:jc w:val="center"/>
            </w:pPr>
            <w:r w:rsidRPr="0058641B">
              <w:t>NA</w:t>
            </w:r>
          </w:p>
        </w:tc>
        <w:tc>
          <w:tcPr>
            <w:tcW w:w="943" w:type="pct"/>
            <w:tcBorders>
              <w:left w:val="single" w:sz="4" w:space="0" w:color="auto"/>
              <w:right w:val="single" w:sz="4" w:space="0" w:color="auto"/>
            </w:tcBorders>
          </w:tcPr>
          <w:p w14:paraId="0EE174E2" w14:textId="77777777" w:rsidR="002729BC" w:rsidRPr="0058641B" w:rsidRDefault="002729BC" w:rsidP="00644DC1">
            <w:pPr>
              <w:pStyle w:val="Tabletext"/>
              <w:keepNext/>
              <w:jc w:val="center"/>
              <w:rPr>
                <w:bCs/>
              </w:rPr>
            </w:pPr>
            <w:r w:rsidRPr="0058641B">
              <w:rPr>
                <w:bCs/>
              </w:rPr>
              <w:t>NC</w:t>
            </w:r>
          </w:p>
        </w:tc>
        <w:tc>
          <w:tcPr>
            <w:tcW w:w="837" w:type="pct"/>
            <w:tcBorders>
              <w:left w:val="single" w:sz="4" w:space="0" w:color="auto"/>
              <w:right w:val="single" w:sz="4" w:space="0" w:color="auto"/>
            </w:tcBorders>
          </w:tcPr>
          <w:p w14:paraId="10B1F229" w14:textId="3EAE7B64" w:rsidR="002729BC" w:rsidRPr="0058641B" w:rsidRDefault="002729BC" w:rsidP="00644DC1">
            <w:pPr>
              <w:pStyle w:val="Tabletext"/>
              <w:keepNext/>
              <w:jc w:val="center"/>
              <w:rPr>
                <w:bCs/>
              </w:rPr>
            </w:pPr>
            <w:r w:rsidRPr="0058641B">
              <w:rPr>
                <w:bCs/>
              </w:rPr>
              <w:t>18 (15, 22)</w:t>
            </w:r>
          </w:p>
        </w:tc>
      </w:tr>
      <w:tr w:rsidR="002729BC" w:rsidRPr="0058641B" w14:paraId="527BB7D4" w14:textId="77777777" w:rsidTr="00D312D9">
        <w:tc>
          <w:tcPr>
            <w:tcW w:w="1774" w:type="pct"/>
            <w:tcBorders>
              <w:top w:val="single" w:sz="4" w:space="0" w:color="auto"/>
              <w:left w:val="single" w:sz="4" w:space="0" w:color="auto"/>
              <w:right w:val="single" w:sz="4" w:space="0" w:color="auto"/>
            </w:tcBorders>
          </w:tcPr>
          <w:p w14:paraId="4D3EC735" w14:textId="302AE249" w:rsidR="002729BC" w:rsidRPr="0058641B" w:rsidRDefault="002729BC" w:rsidP="00001439">
            <w:pPr>
              <w:pStyle w:val="Tabletext"/>
              <w:keepNext/>
            </w:pPr>
            <w:r w:rsidRPr="0058641B">
              <w:t>At least one</w:t>
            </w:r>
            <w:r w:rsidR="008A3803" w:rsidRPr="0058641B">
              <w:t>, n, (%)</w:t>
            </w:r>
            <w:r w:rsidRPr="0058641B">
              <w:t>:</w:t>
            </w:r>
          </w:p>
          <w:p w14:paraId="7C6D0EBF" w14:textId="1A22ECD4" w:rsidR="002729BC" w:rsidRPr="0058641B" w:rsidRDefault="002729BC" w:rsidP="001657F2">
            <w:pPr>
              <w:pStyle w:val="Tabletext"/>
              <w:keepNext/>
              <w:ind w:left="176"/>
            </w:pPr>
            <w:r w:rsidRPr="0058641B">
              <w:t>Treatment-related adverse event</w:t>
            </w:r>
          </w:p>
        </w:tc>
        <w:tc>
          <w:tcPr>
            <w:tcW w:w="738" w:type="pct"/>
            <w:tcBorders>
              <w:top w:val="single" w:sz="4" w:space="0" w:color="auto"/>
              <w:left w:val="nil"/>
              <w:right w:val="single" w:sz="4" w:space="0" w:color="auto"/>
            </w:tcBorders>
          </w:tcPr>
          <w:p w14:paraId="7EDBB510" w14:textId="77777777" w:rsidR="002729BC" w:rsidRPr="0058641B" w:rsidRDefault="002729BC" w:rsidP="00644DC1">
            <w:pPr>
              <w:pStyle w:val="Tabletext"/>
              <w:keepNext/>
              <w:jc w:val="center"/>
            </w:pPr>
          </w:p>
          <w:p w14:paraId="4DBE146F" w14:textId="1691733E" w:rsidR="002729BC" w:rsidRPr="0058641B" w:rsidRDefault="002729BC" w:rsidP="00644DC1">
            <w:pPr>
              <w:pStyle w:val="Tabletext"/>
              <w:keepNext/>
              <w:jc w:val="center"/>
            </w:pPr>
            <w:r w:rsidRPr="0058641B">
              <w:t>335 (67.7)</w:t>
            </w:r>
          </w:p>
        </w:tc>
        <w:tc>
          <w:tcPr>
            <w:tcW w:w="708" w:type="pct"/>
            <w:tcBorders>
              <w:top w:val="single" w:sz="4" w:space="0" w:color="auto"/>
              <w:left w:val="single" w:sz="4" w:space="0" w:color="auto"/>
              <w:right w:val="single" w:sz="4" w:space="0" w:color="auto"/>
            </w:tcBorders>
          </w:tcPr>
          <w:p w14:paraId="1022B647" w14:textId="77777777" w:rsidR="002729BC" w:rsidRPr="0058641B" w:rsidRDefault="002729BC" w:rsidP="00644DC1">
            <w:pPr>
              <w:pStyle w:val="Tabletext"/>
              <w:keepNext/>
              <w:jc w:val="center"/>
            </w:pPr>
          </w:p>
          <w:p w14:paraId="1EB76E01" w14:textId="77777777" w:rsidR="002729BC" w:rsidRPr="0058641B" w:rsidRDefault="002729BC" w:rsidP="00644DC1">
            <w:pPr>
              <w:pStyle w:val="Tabletext"/>
              <w:keepNext/>
              <w:jc w:val="center"/>
            </w:pPr>
            <w:r w:rsidRPr="0058641B">
              <w:t>NA</w:t>
            </w:r>
          </w:p>
        </w:tc>
        <w:tc>
          <w:tcPr>
            <w:tcW w:w="943" w:type="pct"/>
            <w:tcBorders>
              <w:top w:val="single" w:sz="4" w:space="0" w:color="auto"/>
              <w:left w:val="single" w:sz="4" w:space="0" w:color="auto"/>
              <w:right w:val="single" w:sz="4" w:space="0" w:color="auto"/>
            </w:tcBorders>
          </w:tcPr>
          <w:p w14:paraId="7E03D648" w14:textId="77777777" w:rsidR="002729BC" w:rsidRPr="0058641B" w:rsidRDefault="002729BC" w:rsidP="00644DC1">
            <w:pPr>
              <w:pStyle w:val="Tabletext"/>
              <w:keepNext/>
              <w:jc w:val="center"/>
              <w:rPr>
                <w:bCs/>
              </w:rPr>
            </w:pPr>
          </w:p>
          <w:p w14:paraId="744071A7" w14:textId="77777777" w:rsidR="002729BC" w:rsidRPr="0058641B" w:rsidRDefault="002729BC" w:rsidP="00644DC1">
            <w:pPr>
              <w:pStyle w:val="Tabletext"/>
              <w:keepNext/>
              <w:jc w:val="center"/>
              <w:rPr>
                <w:bCs/>
              </w:rPr>
            </w:pPr>
            <w:r w:rsidRPr="0058641B">
              <w:rPr>
                <w:bCs/>
              </w:rPr>
              <w:t>NC</w:t>
            </w:r>
          </w:p>
        </w:tc>
        <w:tc>
          <w:tcPr>
            <w:tcW w:w="837" w:type="pct"/>
            <w:tcBorders>
              <w:top w:val="single" w:sz="4" w:space="0" w:color="auto"/>
              <w:left w:val="single" w:sz="4" w:space="0" w:color="auto"/>
              <w:right w:val="single" w:sz="4" w:space="0" w:color="auto"/>
            </w:tcBorders>
          </w:tcPr>
          <w:p w14:paraId="67550A47" w14:textId="77777777" w:rsidR="002729BC" w:rsidRPr="0058641B" w:rsidRDefault="002729BC" w:rsidP="00644DC1">
            <w:pPr>
              <w:pStyle w:val="Tabletext"/>
              <w:keepNext/>
              <w:jc w:val="center"/>
              <w:rPr>
                <w:bCs/>
              </w:rPr>
            </w:pPr>
          </w:p>
          <w:p w14:paraId="44783450" w14:textId="59F0AD04" w:rsidR="002729BC" w:rsidRPr="0058641B" w:rsidRDefault="00281957" w:rsidP="00644DC1">
            <w:pPr>
              <w:pStyle w:val="Tabletext"/>
              <w:keepNext/>
              <w:jc w:val="center"/>
              <w:rPr>
                <w:bCs/>
              </w:rPr>
            </w:pPr>
            <w:r w:rsidRPr="0058641B">
              <w:rPr>
                <w:bCs/>
              </w:rPr>
              <w:t>6</w:t>
            </w:r>
            <w:r w:rsidR="00093F1A" w:rsidRPr="0058641B">
              <w:rPr>
                <w:bCs/>
              </w:rPr>
              <w:t>8</w:t>
            </w:r>
            <w:r w:rsidR="002729BC" w:rsidRPr="0058641B">
              <w:rPr>
                <w:bCs/>
              </w:rPr>
              <w:t xml:space="preserve"> (64, 72)</w:t>
            </w:r>
          </w:p>
        </w:tc>
      </w:tr>
      <w:tr w:rsidR="002729BC" w:rsidRPr="0058641B" w14:paraId="73D8C609" w14:textId="77777777" w:rsidTr="00D312D9">
        <w:tc>
          <w:tcPr>
            <w:tcW w:w="1774" w:type="pct"/>
            <w:tcBorders>
              <w:left w:val="single" w:sz="4" w:space="0" w:color="auto"/>
              <w:right w:val="single" w:sz="4" w:space="0" w:color="auto"/>
            </w:tcBorders>
          </w:tcPr>
          <w:p w14:paraId="3E08E1BA" w14:textId="5C35624A" w:rsidR="002729BC" w:rsidRPr="0058641B" w:rsidRDefault="002729BC" w:rsidP="001657F2">
            <w:pPr>
              <w:pStyle w:val="Tabletext"/>
              <w:keepNext/>
              <w:ind w:left="176"/>
            </w:pPr>
            <w:r w:rsidRPr="0058641B">
              <w:t xml:space="preserve">Treatment-related grade </w:t>
            </w:r>
            <w:r w:rsidRPr="0058641B">
              <w:sym w:font="Symbol" w:char="F0B3"/>
            </w:r>
            <w:r w:rsidRPr="0058641B">
              <w:t xml:space="preserve">3 adverse </w:t>
            </w:r>
            <w:proofErr w:type="spellStart"/>
            <w:r w:rsidRPr="0058641B">
              <w:t>event</w:t>
            </w:r>
            <w:r w:rsidRPr="0058641B">
              <w:rPr>
                <w:vertAlign w:val="superscript"/>
              </w:rPr>
              <w:t>b</w:t>
            </w:r>
            <w:proofErr w:type="spellEnd"/>
          </w:p>
        </w:tc>
        <w:tc>
          <w:tcPr>
            <w:tcW w:w="738" w:type="pct"/>
            <w:tcBorders>
              <w:left w:val="nil"/>
              <w:right w:val="single" w:sz="4" w:space="0" w:color="auto"/>
            </w:tcBorders>
          </w:tcPr>
          <w:p w14:paraId="28285829" w14:textId="1AA9213B" w:rsidR="002729BC" w:rsidRPr="0058641B" w:rsidRDefault="002729BC" w:rsidP="00644DC1">
            <w:pPr>
              <w:pStyle w:val="Tabletext"/>
              <w:keepNext/>
              <w:jc w:val="center"/>
            </w:pPr>
            <w:r w:rsidRPr="0058641B">
              <w:t>57 (11.5)</w:t>
            </w:r>
          </w:p>
        </w:tc>
        <w:tc>
          <w:tcPr>
            <w:tcW w:w="708" w:type="pct"/>
            <w:tcBorders>
              <w:left w:val="single" w:sz="4" w:space="0" w:color="auto"/>
              <w:right w:val="single" w:sz="4" w:space="0" w:color="auto"/>
            </w:tcBorders>
          </w:tcPr>
          <w:p w14:paraId="3979F237" w14:textId="77777777" w:rsidR="002729BC" w:rsidRPr="0058641B" w:rsidRDefault="002729BC" w:rsidP="00644DC1">
            <w:pPr>
              <w:pStyle w:val="Tabletext"/>
              <w:keepNext/>
              <w:jc w:val="center"/>
            </w:pPr>
            <w:r w:rsidRPr="0058641B">
              <w:t>NA</w:t>
            </w:r>
          </w:p>
        </w:tc>
        <w:tc>
          <w:tcPr>
            <w:tcW w:w="943" w:type="pct"/>
            <w:tcBorders>
              <w:left w:val="single" w:sz="4" w:space="0" w:color="auto"/>
              <w:right w:val="single" w:sz="4" w:space="0" w:color="auto"/>
            </w:tcBorders>
          </w:tcPr>
          <w:p w14:paraId="46950A65" w14:textId="77777777" w:rsidR="002729BC" w:rsidRPr="0058641B" w:rsidRDefault="002729BC" w:rsidP="00644DC1">
            <w:pPr>
              <w:pStyle w:val="Tabletext"/>
              <w:keepNext/>
              <w:jc w:val="center"/>
              <w:rPr>
                <w:bCs/>
              </w:rPr>
            </w:pPr>
            <w:r w:rsidRPr="0058641B">
              <w:rPr>
                <w:bCs/>
              </w:rPr>
              <w:t>NC</w:t>
            </w:r>
          </w:p>
        </w:tc>
        <w:tc>
          <w:tcPr>
            <w:tcW w:w="837" w:type="pct"/>
            <w:tcBorders>
              <w:left w:val="single" w:sz="4" w:space="0" w:color="auto"/>
              <w:right w:val="single" w:sz="4" w:space="0" w:color="auto"/>
            </w:tcBorders>
          </w:tcPr>
          <w:p w14:paraId="07877D26" w14:textId="0FB5F5EB" w:rsidR="002729BC" w:rsidRPr="0058641B" w:rsidRDefault="00281957" w:rsidP="00644DC1">
            <w:pPr>
              <w:pStyle w:val="Tabletext"/>
              <w:keepNext/>
              <w:jc w:val="center"/>
              <w:rPr>
                <w:bCs/>
              </w:rPr>
            </w:pPr>
            <w:r w:rsidRPr="0058641B">
              <w:rPr>
                <w:bCs/>
              </w:rPr>
              <w:t>1</w:t>
            </w:r>
            <w:r w:rsidR="00093F1A" w:rsidRPr="0058641B">
              <w:rPr>
                <w:bCs/>
              </w:rPr>
              <w:t>2</w:t>
            </w:r>
            <w:r w:rsidR="002729BC" w:rsidRPr="0058641B">
              <w:rPr>
                <w:bCs/>
              </w:rPr>
              <w:t xml:space="preserve"> (9, 14)</w:t>
            </w:r>
          </w:p>
        </w:tc>
      </w:tr>
      <w:tr w:rsidR="002729BC" w:rsidRPr="0058641B" w14:paraId="7A2BCB02" w14:textId="77777777" w:rsidTr="00D312D9">
        <w:tc>
          <w:tcPr>
            <w:tcW w:w="1774" w:type="pct"/>
            <w:tcBorders>
              <w:left w:val="single" w:sz="4" w:space="0" w:color="auto"/>
              <w:bottom w:val="single" w:sz="4" w:space="0" w:color="auto"/>
              <w:right w:val="single" w:sz="4" w:space="0" w:color="auto"/>
            </w:tcBorders>
          </w:tcPr>
          <w:p w14:paraId="48D02B6F" w14:textId="4009594A" w:rsidR="002729BC" w:rsidRPr="0058641B" w:rsidRDefault="002729BC" w:rsidP="001657F2">
            <w:pPr>
              <w:pStyle w:val="Tabletext"/>
              <w:keepNext/>
              <w:ind w:left="176"/>
            </w:pPr>
            <w:r w:rsidRPr="0058641B">
              <w:t>Treatment-related serious adverse event</w:t>
            </w:r>
          </w:p>
        </w:tc>
        <w:tc>
          <w:tcPr>
            <w:tcW w:w="738" w:type="pct"/>
            <w:tcBorders>
              <w:left w:val="nil"/>
              <w:bottom w:val="single" w:sz="4" w:space="0" w:color="auto"/>
              <w:right w:val="single" w:sz="4" w:space="0" w:color="auto"/>
            </w:tcBorders>
          </w:tcPr>
          <w:p w14:paraId="433724E4" w14:textId="1FBF2F98" w:rsidR="002729BC" w:rsidRPr="0058641B" w:rsidRDefault="002729BC" w:rsidP="00644DC1">
            <w:pPr>
              <w:pStyle w:val="Tabletext"/>
              <w:keepNext/>
              <w:jc w:val="center"/>
            </w:pPr>
            <w:r w:rsidRPr="0058641B">
              <w:t>37 (7.5)</w:t>
            </w:r>
          </w:p>
        </w:tc>
        <w:tc>
          <w:tcPr>
            <w:tcW w:w="708" w:type="pct"/>
            <w:tcBorders>
              <w:left w:val="single" w:sz="4" w:space="0" w:color="auto"/>
              <w:bottom w:val="single" w:sz="4" w:space="0" w:color="auto"/>
              <w:right w:val="single" w:sz="4" w:space="0" w:color="auto"/>
            </w:tcBorders>
          </w:tcPr>
          <w:p w14:paraId="4C19FC28" w14:textId="77777777" w:rsidR="002729BC" w:rsidRPr="0058641B" w:rsidRDefault="002729BC" w:rsidP="00644DC1">
            <w:pPr>
              <w:pStyle w:val="Tabletext"/>
              <w:keepNext/>
              <w:jc w:val="center"/>
            </w:pPr>
            <w:r w:rsidRPr="0058641B">
              <w:t>NA</w:t>
            </w:r>
          </w:p>
        </w:tc>
        <w:tc>
          <w:tcPr>
            <w:tcW w:w="943" w:type="pct"/>
            <w:tcBorders>
              <w:left w:val="single" w:sz="4" w:space="0" w:color="auto"/>
              <w:bottom w:val="single" w:sz="4" w:space="0" w:color="auto"/>
              <w:right w:val="single" w:sz="4" w:space="0" w:color="auto"/>
            </w:tcBorders>
          </w:tcPr>
          <w:p w14:paraId="31DAD226" w14:textId="77777777" w:rsidR="002729BC" w:rsidRPr="0058641B" w:rsidRDefault="002729BC" w:rsidP="00644DC1">
            <w:pPr>
              <w:pStyle w:val="Tabletext"/>
              <w:keepNext/>
              <w:jc w:val="center"/>
              <w:rPr>
                <w:bCs/>
              </w:rPr>
            </w:pPr>
            <w:r w:rsidRPr="0058641B">
              <w:rPr>
                <w:bCs/>
              </w:rPr>
              <w:t>NC</w:t>
            </w:r>
          </w:p>
        </w:tc>
        <w:tc>
          <w:tcPr>
            <w:tcW w:w="837" w:type="pct"/>
            <w:tcBorders>
              <w:left w:val="single" w:sz="4" w:space="0" w:color="auto"/>
              <w:bottom w:val="single" w:sz="4" w:space="0" w:color="auto"/>
              <w:right w:val="single" w:sz="4" w:space="0" w:color="auto"/>
            </w:tcBorders>
          </w:tcPr>
          <w:p w14:paraId="0F74429A" w14:textId="0557E5FC" w:rsidR="002729BC" w:rsidRPr="0058641B" w:rsidRDefault="002729BC" w:rsidP="00644DC1">
            <w:pPr>
              <w:pStyle w:val="Tabletext"/>
              <w:keepNext/>
              <w:jc w:val="center"/>
              <w:rPr>
                <w:bCs/>
              </w:rPr>
            </w:pPr>
            <w:r w:rsidRPr="0058641B">
              <w:rPr>
                <w:bCs/>
              </w:rPr>
              <w:t>7 (5,10)</w:t>
            </w:r>
          </w:p>
        </w:tc>
      </w:tr>
    </w:tbl>
    <w:p w14:paraId="244F6854" w14:textId="77777777" w:rsidR="00F53A29" w:rsidRPr="0058641B" w:rsidRDefault="002729BC" w:rsidP="002729BC">
      <w:pPr>
        <w:pStyle w:val="TableFigureFooter"/>
      </w:pPr>
      <w:r w:rsidRPr="0058641B">
        <w:t>Source: Modified from Table 2.18, p44 of the submission.</w:t>
      </w:r>
    </w:p>
    <w:p w14:paraId="4E9D14B2" w14:textId="77777777" w:rsidR="00860536" w:rsidRPr="0058641B" w:rsidRDefault="00860536" w:rsidP="00F53A29">
      <w:pPr>
        <w:pStyle w:val="TableFigureFooter"/>
      </w:pPr>
      <w:r w:rsidRPr="0058641B">
        <w:t>ATZ = atezolizumab; BSC = best supportive care; NA = not applicable (BSC); NC = not calculable; RR = relative risk (estimates above 1 favours BSC); RD = risk difference (estimates above zero favours BSC).</w:t>
      </w:r>
    </w:p>
    <w:p w14:paraId="2349AF53" w14:textId="3A4D9D6C" w:rsidR="00F53A29" w:rsidRPr="0058641B" w:rsidRDefault="00F53A29" w:rsidP="00F53A29">
      <w:pPr>
        <w:pStyle w:val="TableFigureFooter"/>
      </w:pPr>
      <w:r w:rsidRPr="0058641B">
        <w:t>Safety evaluable population.</w:t>
      </w:r>
    </w:p>
    <w:p w14:paraId="39C57088" w14:textId="6652EADE" w:rsidR="002729BC" w:rsidRPr="0058641B" w:rsidRDefault="002729BC" w:rsidP="002729BC">
      <w:pPr>
        <w:pStyle w:val="TableFigureFooter"/>
      </w:pPr>
      <w:r w:rsidRPr="0058641B">
        <w:rPr>
          <w:vertAlign w:val="superscript"/>
        </w:rPr>
        <w:t>a</w:t>
      </w:r>
      <w:r w:rsidR="00F9534E">
        <w:rPr>
          <w:vertAlign w:val="superscript"/>
        </w:rPr>
        <w:t xml:space="preserve"> </w:t>
      </w:r>
      <w:r w:rsidRPr="0058641B">
        <w:t xml:space="preserve">Grade 3-4 events plus grade 5 events (AE with fatal outcome); </w:t>
      </w:r>
    </w:p>
    <w:p w14:paraId="34505B2C" w14:textId="160931E0" w:rsidR="002729BC" w:rsidRPr="0058641B" w:rsidRDefault="002729BC" w:rsidP="002729BC">
      <w:pPr>
        <w:pStyle w:val="TableFigureFooter"/>
      </w:pPr>
      <w:r w:rsidRPr="0058641B">
        <w:rPr>
          <w:vertAlign w:val="superscript"/>
        </w:rPr>
        <w:t>b</w:t>
      </w:r>
      <w:r w:rsidR="00F9534E">
        <w:rPr>
          <w:vertAlign w:val="superscript"/>
        </w:rPr>
        <w:t xml:space="preserve"> </w:t>
      </w:r>
      <w:r w:rsidR="00125D51" w:rsidRPr="0058641B">
        <w:t>Drug r</w:t>
      </w:r>
      <w:r w:rsidRPr="0058641B">
        <w:t>elated grade 3-4 AE</w:t>
      </w:r>
      <w:r w:rsidR="00125D51" w:rsidRPr="0058641B">
        <w:t>s</w:t>
      </w:r>
      <w:r w:rsidRPr="0058641B">
        <w:t xml:space="preserve"> plus </w:t>
      </w:r>
      <w:r w:rsidR="00125D51" w:rsidRPr="0058641B">
        <w:t xml:space="preserve">drug related </w:t>
      </w:r>
      <w:r w:rsidRPr="0058641B">
        <w:t>AE</w:t>
      </w:r>
      <w:r w:rsidR="00125D51" w:rsidRPr="0058641B">
        <w:t>s</w:t>
      </w:r>
      <w:r w:rsidRPr="0058641B">
        <w:t xml:space="preserve"> with fatal outcome</w:t>
      </w:r>
    </w:p>
    <w:p w14:paraId="52FD83F7" w14:textId="1A776194" w:rsidR="008F75F6" w:rsidRPr="0058641B" w:rsidRDefault="008F75F6" w:rsidP="00A77382">
      <w:pPr>
        <w:pStyle w:val="3-BodyText"/>
      </w:pPr>
      <w:r w:rsidRPr="0058641B">
        <w:t>The proportion of patients with at least one AE was higher in the ATZ arm (92.7%) than in the BSC arm (70.7%). The frequency of AEs was approximately two-fold with ATZ compared with BSC for Grade ≥3 AEs (23.4% vs. 12.1%) and serious adverse events (SAEs: 17.6% vs. 8.5%). ATZ-related AEs (67.7%) included Grade ≥3 AEs (11.5%), SAEs (7.5%), AEs leading to discontinuation (10.5%) or dose modification/interruption (11.7%)</w:t>
      </w:r>
      <w:r w:rsidR="009E06A7" w:rsidRPr="0058641B">
        <w:t>.</w:t>
      </w:r>
    </w:p>
    <w:p w14:paraId="524E94DB" w14:textId="5E973D38" w:rsidR="008F75F6" w:rsidRPr="0058641B" w:rsidRDefault="008F75F6" w:rsidP="008F75F6">
      <w:pPr>
        <w:pStyle w:val="3-BodyText"/>
      </w:pPr>
      <w:r w:rsidRPr="0058641B">
        <w:t>The most common ATZ-related AEs were hypothyroidism (10.7%), pruritus (8.7%), rash (8.1%), and increased aspartate aminotransferase (AST (7.5%)) and alanine aminotransferase (ALT (7.3%)) levels.</w:t>
      </w:r>
    </w:p>
    <w:p w14:paraId="4CF08FF0" w14:textId="4276BF0F" w:rsidR="005D26B4" w:rsidRPr="0058641B" w:rsidRDefault="00F6424D" w:rsidP="00D86231">
      <w:pPr>
        <w:pStyle w:val="3-BodyText"/>
      </w:pPr>
      <w:r w:rsidRPr="0058641B">
        <w:t xml:space="preserve">The majority of </w:t>
      </w:r>
      <w:r w:rsidR="008F75F6" w:rsidRPr="0058641B">
        <w:t xml:space="preserve">adverse events of special interest (AESIs) </w:t>
      </w:r>
      <w:r w:rsidR="009C676C" w:rsidRPr="0058641B">
        <w:t>were of Grade 1-2 severity. F</w:t>
      </w:r>
      <w:r w:rsidR="008F75F6" w:rsidRPr="0058641B">
        <w:t xml:space="preserve">requencies were substantially higher in the ATZ versus BSC arms for </w:t>
      </w:r>
      <w:r w:rsidR="009C676C" w:rsidRPr="0058641B">
        <w:t xml:space="preserve">any Grade 3-4 AESI (7.9% vs. 0.6%), </w:t>
      </w:r>
      <w:r w:rsidR="008F75F6" w:rsidRPr="0058641B">
        <w:t>any grade rash (18.4% vs. 1.4%), hepatitis (diagnosis and laboratory abnormalities</w:t>
      </w:r>
      <w:r w:rsidR="009C676C" w:rsidRPr="0058641B">
        <w:t>: 17.4% vs. 4.4%</w:t>
      </w:r>
      <w:r w:rsidR="008F75F6" w:rsidRPr="0058641B">
        <w:t xml:space="preserve">), and hypothyroidism (17.4% vs. 0%). </w:t>
      </w:r>
      <w:r w:rsidRPr="0058641B">
        <w:t xml:space="preserve">There were two patients with </w:t>
      </w:r>
      <w:r w:rsidR="00072EA8" w:rsidRPr="0058641B">
        <w:t>fatal (</w:t>
      </w:r>
      <w:r w:rsidRPr="0058641B">
        <w:t>Grade 5</w:t>
      </w:r>
      <w:r w:rsidR="00072EA8" w:rsidRPr="0058641B">
        <w:t>)</w:t>
      </w:r>
      <w:r w:rsidRPr="0058641B">
        <w:t xml:space="preserve"> AESIs (myocarditis and </w:t>
      </w:r>
      <w:r w:rsidR="00072EA8" w:rsidRPr="0058641B">
        <w:t>interstitial lung disease (</w:t>
      </w:r>
      <w:r w:rsidRPr="0058641B">
        <w:t>ILD</w:t>
      </w:r>
      <w:r w:rsidR="00072EA8" w:rsidRPr="0058641B">
        <w:t>)</w:t>
      </w:r>
      <w:r w:rsidRPr="0058641B">
        <w:t>) reported for the ATZ arm.</w:t>
      </w:r>
    </w:p>
    <w:p w14:paraId="43CECBD2" w14:textId="77777777" w:rsidR="007F1017" w:rsidRPr="0058641B" w:rsidRDefault="007F1017" w:rsidP="00D86231">
      <w:pPr>
        <w:pStyle w:val="4-SubsectionHeading"/>
      </w:pPr>
      <w:bookmarkStart w:id="39" w:name="_Toc22897643"/>
      <w:bookmarkStart w:id="40" w:name="_Toc101281144"/>
      <w:r w:rsidRPr="0058641B">
        <w:t>Benefits/harms</w:t>
      </w:r>
      <w:bookmarkEnd w:id="39"/>
      <w:bookmarkEnd w:id="40"/>
    </w:p>
    <w:p w14:paraId="7AC5B80D" w14:textId="6734CFB2" w:rsidR="00A77382" w:rsidRPr="0058641B" w:rsidRDefault="00A77382" w:rsidP="00D2155B">
      <w:pPr>
        <w:pStyle w:val="3-BodyText"/>
      </w:pPr>
      <w:r w:rsidRPr="0058641B">
        <w:t xml:space="preserve">A summary of the comparative benefits and harms for ATZ compared with BSC is presented in </w:t>
      </w:r>
      <w:r w:rsidR="00F53A29" w:rsidRPr="0058641B">
        <w:fldChar w:fldCharType="begin"/>
      </w:r>
      <w:r w:rsidR="00F53A29" w:rsidRPr="0058641B">
        <w:instrText xml:space="preserve"> REF _Ref101254085 \h </w:instrText>
      </w:r>
      <w:r w:rsidR="00F53A29" w:rsidRPr="0058641B">
        <w:fldChar w:fldCharType="separate"/>
      </w:r>
      <w:r w:rsidR="0043151A" w:rsidRPr="0058641B">
        <w:t xml:space="preserve">Table </w:t>
      </w:r>
      <w:r w:rsidR="0043151A">
        <w:rPr>
          <w:noProof/>
        </w:rPr>
        <w:t>10</w:t>
      </w:r>
      <w:r w:rsidR="00F53A29" w:rsidRPr="0058641B">
        <w:fldChar w:fldCharType="end"/>
      </w:r>
      <w:r w:rsidRPr="0058641B">
        <w:t>.</w:t>
      </w:r>
    </w:p>
    <w:p w14:paraId="2ABEB9D2" w14:textId="5B68878F" w:rsidR="00A77382" w:rsidRPr="0058641B" w:rsidRDefault="00A77382" w:rsidP="00A77382">
      <w:pPr>
        <w:pStyle w:val="TableFigureHeading"/>
      </w:pPr>
      <w:bookmarkStart w:id="41" w:name="_Ref101254085"/>
      <w:r w:rsidRPr="0058641B">
        <w:lastRenderedPageBreak/>
        <w:t xml:space="preserve">Table </w:t>
      </w:r>
      <w:fldSimple w:instr=" SEQ Table \* ARABIC ">
        <w:r w:rsidR="0043151A">
          <w:rPr>
            <w:noProof/>
          </w:rPr>
          <w:t>10</w:t>
        </w:r>
      </w:fldSimple>
      <w:bookmarkEnd w:id="41"/>
      <w:r w:rsidRPr="0058641B">
        <w:t xml:space="preserve">: Summary of comparative </w:t>
      </w:r>
      <w:proofErr w:type="spellStart"/>
      <w:r w:rsidRPr="0058641B">
        <w:t>benefits</w:t>
      </w:r>
      <w:r w:rsidRPr="0058641B">
        <w:rPr>
          <w:vertAlign w:val="superscript"/>
        </w:rPr>
        <w:t>a</w:t>
      </w:r>
      <w:proofErr w:type="spellEnd"/>
      <w:r w:rsidRPr="0058641B">
        <w:t xml:space="preserve"> and harms</w:t>
      </w:r>
    </w:p>
    <w:tbl>
      <w:tblPr>
        <w:tblStyle w:val="TableGrid"/>
        <w:tblW w:w="5000" w:type="pct"/>
        <w:tblLayout w:type="fixed"/>
        <w:tblLook w:val="01E0" w:firstRow="1" w:lastRow="1" w:firstColumn="1" w:lastColumn="1" w:noHBand="0" w:noVBand="0"/>
        <w:tblCaption w:val="Table 8: Summary of comparative benefits and harms"/>
      </w:tblPr>
      <w:tblGrid>
        <w:gridCol w:w="4062"/>
        <w:gridCol w:w="2409"/>
        <w:gridCol w:w="68"/>
        <w:gridCol w:w="2478"/>
      </w:tblGrid>
      <w:tr w:rsidR="00A77382" w:rsidRPr="0058641B" w14:paraId="5A4024AD" w14:textId="77777777" w:rsidTr="009B383D">
        <w:trPr>
          <w:tblHeader/>
        </w:trPr>
        <w:tc>
          <w:tcPr>
            <w:tcW w:w="4062" w:type="dxa"/>
          </w:tcPr>
          <w:p w14:paraId="71EB864D" w14:textId="77777777" w:rsidR="00A77382" w:rsidRPr="0058641B" w:rsidRDefault="00A77382" w:rsidP="00001439">
            <w:pPr>
              <w:pStyle w:val="Tabletext"/>
              <w:keepNext/>
              <w:rPr>
                <w:rFonts w:eastAsia="Calibri" w:hAnsi="Calibri" w:cs="Calibri"/>
                <w:szCs w:val="19"/>
              </w:rPr>
            </w:pPr>
          </w:p>
        </w:tc>
        <w:tc>
          <w:tcPr>
            <w:tcW w:w="2409" w:type="dxa"/>
          </w:tcPr>
          <w:p w14:paraId="738C3014" w14:textId="62B613E6" w:rsidR="00A77382" w:rsidRPr="0058641B" w:rsidRDefault="00A77382" w:rsidP="00001439">
            <w:pPr>
              <w:pStyle w:val="Tabletext"/>
              <w:keepNext/>
              <w:jc w:val="center"/>
              <w:rPr>
                <w:b/>
                <w:w w:val="95"/>
              </w:rPr>
            </w:pPr>
            <w:r w:rsidRPr="0058641B">
              <w:rPr>
                <w:b/>
                <w:w w:val="95"/>
              </w:rPr>
              <w:t>ATZ</w:t>
            </w:r>
          </w:p>
          <w:p w14:paraId="641D760F" w14:textId="77777777" w:rsidR="00A77382" w:rsidRPr="0058641B" w:rsidRDefault="00A77382" w:rsidP="00001439">
            <w:pPr>
              <w:pStyle w:val="Tabletext"/>
              <w:keepNext/>
              <w:jc w:val="center"/>
              <w:rPr>
                <w:rFonts w:eastAsia="Calibri" w:hAnsi="Calibri" w:cs="Calibri"/>
                <w:b/>
                <w:szCs w:val="19"/>
              </w:rPr>
            </w:pPr>
            <w:r w:rsidRPr="0058641B">
              <w:rPr>
                <w:rFonts w:eastAsia="Calibri" w:hAnsi="Calibri" w:cs="Calibri"/>
                <w:b/>
                <w:szCs w:val="19"/>
              </w:rPr>
              <w:t>1,200 mg every three weeks.</w:t>
            </w:r>
          </w:p>
          <w:p w14:paraId="594714F5" w14:textId="77777777" w:rsidR="00A77382" w:rsidRPr="0058641B" w:rsidRDefault="00A77382" w:rsidP="00001439">
            <w:pPr>
              <w:pStyle w:val="Tabletext"/>
              <w:keepNext/>
              <w:jc w:val="center"/>
              <w:rPr>
                <w:rFonts w:eastAsia="Calibri" w:hAnsi="Calibri" w:cs="Calibri"/>
                <w:b/>
                <w:szCs w:val="19"/>
              </w:rPr>
            </w:pPr>
            <w:r w:rsidRPr="0058641B">
              <w:rPr>
                <w:rFonts w:eastAsia="Calibri" w:hAnsi="Calibri" w:cs="Calibri"/>
                <w:b/>
                <w:szCs w:val="19"/>
              </w:rPr>
              <w:t>Median exposure 10.4 months (safety population)</w:t>
            </w:r>
          </w:p>
        </w:tc>
        <w:tc>
          <w:tcPr>
            <w:tcW w:w="2546" w:type="dxa"/>
            <w:gridSpan w:val="2"/>
          </w:tcPr>
          <w:p w14:paraId="16FBF058" w14:textId="58E6B3D5" w:rsidR="00A77382" w:rsidRPr="0058641B" w:rsidRDefault="00A77382" w:rsidP="00001439">
            <w:pPr>
              <w:pStyle w:val="Tabletext"/>
              <w:keepNext/>
              <w:jc w:val="center"/>
              <w:rPr>
                <w:b/>
              </w:rPr>
            </w:pPr>
            <w:r w:rsidRPr="0058641B">
              <w:rPr>
                <w:b/>
              </w:rPr>
              <w:t>BSC</w:t>
            </w:r>
          </w:p>
        </w:tc>
      </w:tr>
      <w:tr w:rsidR="00A77382" w:rsidRPr="0058641B" w14:paraId="4FD01E3C" w14:textId="77777777" w:rsidTr="009B383D">
        <w:tc>
          <w:tcPr>
            <w:tcW w:w="9017" w:type="dxa"/>
            <w:gridSpan w:val="4"/>
          </w:tcPr>
          <w:p w14:paraId="69CBF057" w14:textId="77777777" w:rsidR="00A77382" w:rsidRPr="0058641B" w:rsidRDefault="00A77382" w:rsidP="00001439">
            <w:pPr>
              <w:pStyle w:val="Tabletext"/>
              <w:keepNext/>
            </w:pPr>
            <w:r w:rsidRPr="0058641B">
              <w:rPr>
                <w:rFonts w:eastAsia="Calibri" w:hAnsi="Calibri" w:cs="Calibri"/>
                <w:szCs w:val="19"/>
              </w:rPr>
              <w:t>Median duration of follow up across both arms: approximately 32 months.</w:t>
            </w:r>
          </w:p>
        </w:tc>
      </w:tr>
      <w:tr w:rsidR="00F329F2" w:rsidRPr="0058641B" w14:paraId="431D3CE5" w14:textId="77777777" w:rsidTr="0025557E">
        <w:tc>
          <w:tcPr>
            <w:tcW w:w="9017" w:type="dxa"/>
            <w:gridSpan w:val="4"/>
          </w:tcPr>
          <w:p w14:paraId="14C77697" w14:textId="593DA39B" w:rsidR="00F329F2" w:rsidRPr="0058641B" w:rsidRDefault="00F329F2" w:rsidP="0025557E">
            <w:pPr>
              <w:pStyle w:val="Tabletext"/>
              <w:keepNext/>
              <w:rPr>
                <w:rFonts w:eastAsia="Calibri" w:hAnsi="Calibri" w:cs="Calibri"/>
                <w:b/>
                <w:szCs w:val="19"/>
                <w:highlight w:val="yellow"/>
              </w:rPr>
            </w:pPr>
            <w:r w:rsidRPr="0058641B">
              <w:rPr>
                <w:b/>
              </w:rPr>
              <w:t>Stage II-IIIA PD-L1 ≥ 50% NSCLC subgroup</w:t>
            </w:r>
            <w:r>
              <w:rPr>
                <w:b/>
              </w:rPr>
              <w:t xml:space="preserve"> (January 2021 data </w:t>
            </w:r>
            <w:r w:rsidR="00EA56B9">
              <w:rPr>
                <w:b/>
              </w:rPr>
              <w:t>cut-off</w:t>
            </w:r>
            <w:r>
              <w:rPr>
                <w:b/>
              </w:rPr>
              <w:t>)</w:t>
            </w:r>
          </w:p>
        </w:tc>
      </w:tr>
      <w:tr w:rsidR="00A77382" w:rsidRPr="0058641B" w14:paraId="62388BA3" w14:textId="77777777" w:rsidTr="009B383D">
        <w:tc>
          <w:tcPr>
            <w:tcW w:w="9017" w:type="dxa"/>
            <w:gridSpan w:val="4"/>
          </w:tcPr>
          <w:p w14:paraId="7E24BB76" w14:textId="1D72FCFE" w:rsidR="00A77382" w:rsidRPr="0058641B" w:rsidRDefault="00A77382" w:rsidP="00001439">
            <w:pPr>
              <w:pStyle w:val="Tabletext"/>
              <w:keepNext/>
              <w:rPr>
                <w:b/>
              </w:rPr>
            </w:pPr>
            <w:r w:rsidRPr="0058641B">
              <w:rPr>
                <w:b/>
              </w:rPr>
              <w:t>BENEFITS: DFS</w:t>
            </w:r>
            <w:r w:rsidR="00EC739B">
              <w:rPr>
                <w:b/>
              </w:rPr>
              <w:t xml:space="preserve"> </w:t>
            </w:r>
          </w:p>
        </w:tc>
      </w:tr>
      <w:tr w:rsidR="00A77382" w:rsidRPr="0058641B" w14:paraId="1158C825" w14:textId="77777777" w:rsidTr="009B383D">
        <w:tc>
          <w:tcPr>
            <w:tcW w:w="4062" w:type="dxa"/>
          </w:tcPr>
          <w:p w14:paraId="696A9310" w14:textId="77777777" w:rsidR="00A77382" w:rsidRPr="0058641B" w:rsidRDefault="00A77382" w:rsidP="00001439">
            <w:pPr>
              <w:pStyle w:val="Tabletext"/>
              <w:keepNext/>
              <w:rPr>
                <w:rFonts w:eastAsia="Calibri" w:hAnsi="Calibri" w:cs="Calibri"/>
                <w:szCs w:val="19"/>
                <w:highlight w:val="yellow"/>
              </w:rPr>
            </w:pPr>
          </w:p>
        </w:tc>
        <w:tc>
          <w:tcPr>
            <w:tcW w:w="2409" w:type="dxa"/>
          </w:tcPr>
          <w:p w14:paraId="3898CD9D" w14:textId="77777777" w:rsidR="00A77382" w:rsidRPr="0058641B" w:rsidRDefault="00A77382" w:rsidP="00001439">
            <w:pPr>
              <w:pStyle w:val="Tabletext"/>
              <w:keepNext/>
              <w:jc w:val="center"/>
            </w:pPr>
            <w:r w:rsidRPr="0058641B">
              <w:t>N=115</w:t>
            </w:r>
          </w:p>
        </w:tc>
        <w:tc>
          <w:tcPr>
            <w:tcW w:w="2546" w:type="dxa"/>
            <w:gridSpan w:val="2"/>
          </w:tcPr>
          <w:p w14:paraId="5914E317" w14:textId="77777777" w:rsidR="00A77382" w:rsidRPr="0058641B" w:rsidRDefault="00A77382" w:rsidP="00001439">
            <w:pPr>
              <w:pStyle w:val="Tabletext"/>
              <w:keepNext/>
              <w:jc w:val="center"/>
            </w:pPr>
            <w:r w:rsidRPr="0058641B">
              <w:t>N=114</w:t>
            </w:r>
          </w:p>
        </w:tc>
      </w:tr>
      <w:tr w:rsidR="00A77382" w:rsidRPr="0058641B" w14:paraId="650C4EDF" w14:textId="77777777" w:rsidTr="009B383D">
        <w:tc>
          <w:tcPr>
            <w:tcW w:w="4062" w:type="dxa"/>
          </w:tcPr>
          <w:p w14:paraId="1602DE4E" w14:textId="77777777" w:rsidR="00A77382" w:rsidRPr="0058641B" w:rsidRDefault="00A77382" w:rsidP="00001439">
            <w:pPr>
              <w:pStyle w:val="Tabletext"/>
              <w:keepNext/>
              <w:rPr>
                <w:rFonts w:eastAsia="Calibri" w:hAnsi="Calibri" w:cs="Calibri"/>
                <w:szCs w:val="19"/>
              </w:rPr>
            </w:pPr>
            <w:r w:rsidRPr="0058641B">
              <w:t>Events (recurrence or death),</w:t>
            </w:r>
            <w:r w:rsidRPr="0058641B">
              <w:rPr>
                <w:spacing w:val="-5"/>
              </w:rPr>
              <w:t xml:space="preserve"> </w:t>
            </w:r>
            <w:r w:rsidRPr="0058641B">
              <w:t>n</w:t>
            </w:r>
            <w:r w:rsidRPr="0058641B">
              <w:rPr>
                <w:spacing w:val="-4"/>
              </w:rPr>
              <w:t xml:space="preserve"> </w:t>
            </w:r>
            <w:r w:rsidRPr="0058641B">
              <w:t>(event rate per 100 patients, %)</w:t>
            </w:r>
          </w:p>
        </w:tc>
        <w:tc>
          <w:tcPr>
            <w:tcW w:w="2409" w:type="dxa"/>
          </w:tcPr>
          <w:p w14:paraId="071705EB" w14:textId="77777777" w:rsidR="00A77382" w:rsidRPr="0058641B" w:rsidRDefault="00A77382" w:rsidP="00001439">
            <w:pPr>
              <w:pStyle w:val="Tabletext"/>
              <w:keepNext/>
              <w:jc w:val="center"/>
              <w:rPr>
                <w:rFonts w:eastAsia="Calibri" w:hAnsi="Calibri" w:cs="Calibri"/>
                <w:szCs w:val="19"/>
              </w:rPr>
            </w:pPr>
            <w:r w:rsidRPr="0058641B">
              <w:t>28</w:t>
            </w:r>
            <w:r w:rsidRPr="0058641B">
              <w:rPr>
                <w:spacing w:val="-8"/>
              </w:rPr>
              <w:t xml:space="preserve"> </w:t>
            </w:r>
            <w:r w:rsidRPr="0058641B">
              <w:t>(24.3)</w:t>
            </w:r>
          </w:p>
        </w:tc>
        <w:tc>
          <w:tcPr>
            <w:tcW w:w="2546" w:type="dxa"/>
            <w:gridSpan w:val="2"/>
          </w:tcPr>
          <w:p w14:paraId="194AC8F6" w14:textId="77777777" w:rsidR="00A77382" w:rsidRPr="0058641B" w:rsidRDefault="00A77382" w:rsidP="00001439">
            <w:pPr>
              <w:pStyle w:val="Tabletext"/>
              <w:keepNext/>
              <w:jc w:val="center"/>
              <w:rPr>
                <w:rFonts w:eastAsia="Calibri" w:hAnsi="Calibri" w:cs="Calibri"/>
                <w:szCs w:val="19"/>
              </w:rPr>
            </w:pPr>
            <w:r w:rsidRPr="0058641B">
              <w:t>52</w:t>
            </w:r>
            <w:r w:rsidRPr="0058641B">
              <w:rPr>
                <w:spacing w:val="-9"/>
              </w:rPr>
              <w:t xml:space="preserve"> </w:t>
            </w:r>
            <w:r w:rsidRPr="0058641B">
              <w:t>(45.6)</w:t>
            </w:r>
          </w:p>
        </w:tc>
      </w:tr>
      <w:tr w:rsidR="00A77382" w:rsidRPr="0058641B" w14:paraId="6DE4F5AC" w14:textId="77777777" w:rsidTr="009B383D">
        <w:tc>
          <w:tcPr>
            <w:tcW w:w="4062" w:type="dxa"/>
          </w:tcPr>
          <w:p w14:paraId="243AA21F" w14:textId="77777777" w:rsidR="00A77382" w:rsidRPr="0058641B" w:rsidRDefault="00A77382" w:rsidP="00001439">
            <w:pPr>
              <w:pStyle w:val="Tabletext"/>
              <w:keepNext/>
              <w:rPr>
                <w:rFonts w:eastAsia="Calibri" w:hAnsi="Calibri" w:cs="Calibri"/>
                <w:szCs w:val="19"/>
              </w:rPr>
            </w:pPr>
            <w:r w:rsidRPr="0058641B">
              <w:t>Median</w:t>
            </w:r>
            <w:r w:rsidRPr="0058641B">
              <w:rPr>
                <w:spacing w:val="-6"/>
              </w:rPr>
              <w:t xml:space="preserve"> </w:t>
            </w:r>
            <w:r w:rsidRPr="0058641B">
              <w:t>DFS duration,</w:t>
            </w:r>
            <w:r w:rsidRPr="0058641B">
              <w:rPr>
                <w:spacing w:val="-5"/>
              </w:rPr>
              <w:t xml:space="preserve"> </w:t>
            </w:r>
            <w:r w:rsidRPr="0058641B">
              <w:t>months</w:t>
            </w:r>
            <w:r w:rsidRPr="0058641B">
              <w:rPr>
                <w:spacing w:val="-5"/>
              </w:rPr>
              <w:t xml:space="preserve"> </w:t>
            </w:r>
            <w:r w:rsidRPr="0058641B">
              <w:t>(95%</w:t>
            </w:r>
            <w:r w:rsidRPr="0058641B">
              <w:rPr>
                <w:spacing w:val="-7"/>
              </w:rPr>
              <w:t xml:space="preserve"> </w:t>
            </w:r>
            <w:r w:rsidRPr="0058641B">
              <w:t>CI)</w:t>
            </w:r>
          </w:p>
        </w:tc>
        <w:tc>
          <w:tcPr>
            <w:tcW w:w="2409" w:type="dxa"/>
          </w:tcPr>
          <w:p w14:paraId="786A4252" w14:textId="77777777" w:rsidR="00A77382" w:rsidRPr="0058641B" w:rsidRDefault="00A77382" w:rsidP="00001439">
            <w:pPr>
              <w:pStyle w:val="Tabletext"/>
              <w:keepNext/>
              <w:jc w:val="center"/>
            </w:pPr>
            <w:r w:rsidRPr="0058641B">
              <w:t>NE (42.30, NE)</w:t>
            </w:r>
          </w:p>
        </w:tc>
        <w:tc>
          <w:tcPr>
            <w:tcW w:w="2546" w:type="dxa"/>
            <w:gridSpan w:val="2"/>
            <w:shd w:val="clear" w:color="auto" w:fill="auto"/>
          </w:tcPr>
          <w:p w14:paraId="1F7F336F" w14:textId="77777777" w:rsidR="00A77382" w:rsidRPr="0058641B" w:rsidRDefault="00A77382" w:rsidP="00001439">
            <w:pPr>
              <w:pStyle w:val="Tabletext"/>
              <w:keepNext/>
              <w:jc w:val="center"/>
            </w:pPr>
            <w:r w:rsidRPr="0058641B">
              <w:t>35.7 (29.70, NE)</w:t>
            </w:r>
          </w:p>
        </w:tc>
      </w:tr>
      <w:tr w:rsidR="00A77382" w:rsidRPr="0058641B" w14:paraId="281A76AA" w14:textId="77777777" w:rsidTr="009B383D">
        <w:tc>
          <w:tcPr>
            <w:tcW w:w="4062" w:type="dxa"/>
            <w:tcBorders>
              <w:bottom w:val="single" w:sz="4" w:space="0" w:color="auto"/>
            </w:tcBorders>
          </w:tcPr>
          <w:p w14:paraId="03B1CB36" w14:textId="77777777" w:rsidR="00A77382" w:rsidRPr="0058641B" w:rsidRDefault="00A77382" w:rsidP="00001439">
            <w:pPr>
              <w:pStyle w:val="Tabletext"/>
              <w:keepNext/>
              <w:rPr>
                <w:rFonts w:eastAsia="Calibri" w:hAnsi="Calibri" w:cs="Calibri"/>
                <w:sz w:val="12"/>
                <w:szCs w:val="12"/>
                <w:vertAlign w:val="superscript"/>
              </w:rPr>
            </w:pPr>
            <w:r w:rsidRPr="0058641B">
              <w:t>Stratified</w:t>
            </w:r>
            <w:r w:rsidRPr="0058641B">
              <w:rPr>
                <w:spacing w:val="-9"/>
              </w:rPr>
              <w:t xml:space="preserve"> </w:t>
            </w:r>
            <w:r w:rsidRPr="0058641B">
              <w:t>HR</w:t>
            </w:r>
            <w:r w:rsidRPr="0058641B">
              <w:rPr>
                <w:position w:val="6"/>
                <w:sz w:val="12"/>
                <w:vertAlign w:val="superscript"/>
              </w:rPr>
              <w:t xml:space="preserve"> </w:t>
            </w:r>
            <w:r w:rsidRPr="0058641B">
              <w:t>(95% CI); p-value</w:t>
            </w:r>
          </w:p>
        </w:tc>
        <w:tc>
          <w:tcPr>
            <w:tcW w:w="4955" w:type="dxa"/>
            <w:gridSpan w:val="3"/>
          </w:tcPr>
          <w:p w14:paraId="56CD96AE" w14:textId="77777777" w:rsidR="00A77382" w:rsidRPr="0058641B" w:rsidRDefault="00A77382" w:rsidP="00001439">
            <w:pPr>
              <w:pStyle w:val="Tabletext"/>
              <w:keepNext/>
              <w:jc w:val="center"/>
              <w:rPr>
                <w:b/>
              </w:rPr>
            </w:pPr>
            <w:r w:rsidRPr="0058641B">
              <w:rPr>
                <w:b/>
              </w:rPr>
              <w:t>0.47 (0.29, 0.75); p-value=0.0012</w:t>
            </w:r>
          </w:p>
        </w:tc>
      </w:tr>
      <w:tr w:rsidR="00A77382" w:rsidRPr="0058641B" w14:paraId="227A5582" w14:textId="77777777" w:rsidTr="009B383D">
        <w:tc>
          <w:tcPr>
            <w:tcW w:w="4062" w:type="dxa"/>
            <w:tcBorders>
              <w:bottom w:val="nil"/>
            </w:tcBorders>
          </w:tcPr>
          <w:p w14:paraId="1A472F5A" w14:textId="77777777" w:rsidR="00A77382" w:rsidRPr="0058641B" w:rsidRDefault="00A77382" w:rsidP="00001439">
            <w:pPr>
              <w:pStyle w:val="Tabletext"/>
              <w:keepNext/>
              <w:rPr>
                <w:rFonts w:eastAsia="Calibri" w:hAnsi="Calibri" w:cs="Calibri"/>
                <w:szCs w:val="19"/>
              </w:rPr>
            </w:pPr>
            <w:r w:rsidRPr="0058641B">
              <w:t>DFS</w:t>
            </w:r>
            <w:r w:rsidRPr="0058641B">
              <w:rPr>
                <w:spacing w:val="-6"/>
              </w:rPr>
              <w:t xml:space="preserve"> </w:t>
            </w:r>
            <w:r w:rsidRPr="0058641B">
              <w:t>rate</w:t>
            </w:r>
            <w:r w:rsidRPr="0058641B">
              <w:rPr>
                <w:spacing w:val="-4"/>
              </w:rPr>
              <w:t xml:space="preserve"> </w:t>
            </w:r>
            <w:r w:rsidRPr="0058641B">
              <w:t>at</w:t>
            </w:r>
            <w:r w:rsidRPr="0058641B">
              <w:rPr>
                <w:spacing w:val="-6"/>
              </w:rPr>
              <w:t xml:space="preserve"> 3 years</w:t>
            </w:r>
            <w:r w:rsidRPr="0058641B">
              <w:rPr>
                <w:spacing w:val="-3"/>
              </w:rPr>
              <w:t>, %</w:t>
            </w:r>
          </w:p>
        </w:tc>
        <w:tc>
          <w:tcPr>
            <w:tcW w:w="2409" w:type="dxa"/>
          </w:tcPr>
          <w:p w14:paraId="37F05022" w14:textId="77777777" w:rsidR="00A77382" w:rsidRPr="0058641B" w:rsidRDefault="00A77382" w:rsidP="00001439">
            <w:pPr>
              <w:pStyle w:val="Tabletext"/>
              <w:keepNext/>
              <w:jc w:val="center"/>
            </w:pPr>
            <w:r w:rsidRPr="0058641B">
              <w:t>73.8</w:t>
            </w:r>
          </w:p>
        </w:tc>
        <w:tc>
          <w:tcPr>
            <w:tcW w:w="2546" w:type="dxa"/>
            <w:gridSpan w:val="2"/>
            <w:shd w:val="clear" w:color="auto" w:fill="auto"/>
          </w:tcPr>
          <w:p w14:paraId="193F0A49" w14:textId="77777777" w:rsidR="00A77382" w:rsidRPr="0058641B" w:rsidRDefault="00A77382" w:rsidP="00001439">
            <w:pPr>
              <w:pStyle w:val="Tabletext"/>
              <w:keepNext/>
            </w:pPr>
            <w:r w:rsidRPr="0058641B">
              <w:t>48.6</w:t>
            </w:r>
          </w:p>
        </w:tc>
      </w:tr>
      <w:tr w:rsidR="00A77382" w:rsidRPr="0058641B" w14:paraId="5921AB8D" w14:textId="77777777" w:rsidTr="009B383D">
        <w:tc>
          <w:tcPr>
            <w:tcW w:w="4062" w:type="dxa"/>
            <w:tcBorders>
              <w:top w:val="nil"/>
            </w:tcBorders>
          </w:tcPr>
          <w:p w14:paraId="4A2F1E8A" w14:textId="77777777" w:rsidR="00A77382" w:rsidRPr="0058641B" w:rsidRDefault="00A77382" w:rsidP="00001439">
            <w:pPr>
              <w:pStyle w:val="Tabletext"/>
              <w:keepNext/>
              <w:ind w:left="1440" w:hanging="1418"/>
            </w:pPr>
            <w:r w:rsidRPr="0058641B">
              <w:t>Difference between ATZ and BSC, %, (95% CI)</w:t>
            </w:r>
          </w:p>
        </w:tc>
        <w:tc>
          <w:tcPr>
            <w:tcW w:w="4955" w:type="dxa"/>
            <w:gridSpan w:val="3"/>
          </w:tcPr>
          <w:p w14:paraId="0CB36476" w14:textId="77777777" w:rsidR="00A77382" w:rsidRPr="0058641B" w:rsidRDefault="00A77382" w:rsidP="00001439">
            <w:pPr>
              <w:pStyle w:val="Tabletext"/>
              <w:keepNext/>
              <w:jc w:val="center"/>
              <w:rPr>
                <w:b/>
              </w:rPr>
            </w:pPr>
            <w:r w:rsidRPr="0058641B">
              <w:rPr>
                <w:b/>
              </w:rPr>
              <w:t>25.2 (11.0, 39.4)</w:t>
            </w:r>
          </w:p>
        </w:tc>
      </w:tr>
      <w:tr w:rsidR="00F329F2" w:rsidRPr="0058641B" w14:paraId="261CC815" w14:textId="77777777" w:rsidTr="0025557E">
        <w:tc>
          <w:tcPr>
            <w:tcW w:w="4062" w:type="dxa"/>
            <w:tcBorders>
              <w:top w:val="nil"/>
            </w:tcBorders>
          </w:tcPr>
          <w:p w14:paraId="48B840F2" w14:textId="3B5C9DE1" w:rsidR="00F329F2" w:rsidRPr="00F329F2" w:rsidRDefault="00F329F2" w:rsidP="00001439">
            <w:pPr>
              <w:pStyle w:val="Tabletext"/>
              <w:keepNext/>
              <w:ind w:left="1440" w:hanging="1418"/>
              <w:rPr>
                <w:b/>
                <w:bCs/>
              </w:rPr>
            </w:pPr>
            <w:r w:rsidRPr="00F329F2">
              <w:rPr>
                <w:b/>
                <w:bCs/>
              </w:rPr>
              <w:t>BENEFITS: OS</w:t>
            </w:r>
          </w:p>
        </w:tc>
        <w:tc>
          <w:tcPr>
            <w:tcW w:w="2477" w:type="dxa"/>
            <w:gridSpan w:val="2"/>
          </w:tcPr>
          <w:p w14:paraId="40934091" w14:textId="77777777" w:rsidR="00F329F2" w:rsidRPr="0058641B" w:rsidRDefault="00F329F2" w:rsidP="00001439">
            <w:pPr>
              <w:pStyle w:val="Tabletext"/>
              <w:keepNext/>
              <w:jc w:val="center"/>
              <w:rPr>
                <w:b/>
              </w:rPr>
            </w:pPr>
          </w:p>
        </w:tc>
        <w:tc>
          <w:tcPr>
            <w:tcW w:w="2478" w:type="dxa"/>
          </w:tcPr>
          <w:p w14:paraId="5FA05D01" w14:textId="65CB3A95" w:rsidR="00F329F2" w:rsidRPr="0058641B" w:rsidRDefault="00F329F2" w:rsidP="00001439">
            <w:pPr>
              <w:pStyle w:val="Tabletext"/>
              <w:keepNext/>
              <w:jc w:val="center"/>
              <w:rPr>
                <w:b/>
              </w:rPr>
            </w:pPr>
          </w:p>
        </w:tc>
      </w:tr>
      <w:tr w:rsidR="00F329F2" w:rsidRPr="0058641B" w14:paraId="29E033A8" w14:textId="77777777" w:rsidTr="0025557E">
        <w:tc>
          <w:tcPr>
            <w:tcW w:w="4062" w:type="dxa"/>
            <w:tcBorders>
              <w:top w:val="nil"/>
            </w:tcBorders>
          </w:tcPr>
          <w:p w14:paraId="0751EAFE" w14:textId="77777777" w:rsidR="00F329F2" w:rsidRPr="00F329F2" w:rsidRDefault="00F329F2" w:rsidP="00F329F2">
            <w:pPr>
              <w:pStyle w:val="Tabletext"/>
              <w:keepNext/>
              <w:ind w:left="1440" w:hanging="1418"/>
              <w:rPr>
                <w:b/>
                <w:bCs/>
              </w:rPr>
            </w:pPr>
          </w:p>
        </w:tc>
        <w:tc>
          <w:tcPr>
            <w:tcW w:w="2477" w:type="dxa"/>
            <w:gridSpan w:val="2"/>
          </w:tcPr>
          <w:p w14:paraId="6CB0CEBD" w14:textId="35AEA728" w:rsidR="00F329F2" w:rsidRPr="0058641B" w:rsidRDefault="00F329F2" w:rsidP="00F329F2">
            <w:pPr>
              <w:pStyle w:val="Tabletext"/>
              <w:keepNext/>
              <w:jc w:val="center"/>
              <w:rPr>
                <w:b/>
              </w:rPr>
            </w:pPr>
            <w:r w:rsidRPr="00E42C34">
              <w:t>N=115</w:t>
            </w:r>
          </w:p>
        </w:tc>
        <w:tc>
          <w:tcPr>
            <w:tcW w:w="2478" w:type="dxa"/>
          </w:tcPr>
          <w:p w14:paraId="55F818E7" w14:textId="084F786F" w:rsidR="00F329F2" w:rsidRPr="0058641B" w:rsidRDefault="00F329F2" w:rsidP="00F329F2">
            <w:pPr>
              <w:pStyle w:val="Tabletext"/>
              <w:keepNext/>
              <w:jc w:val="center"/>
              <w:rPr>
                <w:b/>
              </w:rPr>
            </w:pPr>
            <w:r w:rsidRPr="00E42C34">
              <w:t>N=114</w:t>
            </w:r>
          </w:p>
        </w:tc>
      </w:tr>
      <w:tr w:rsidR="00F329F2" w:rsidRPr="0058641B" w14:paraId="18868037" w14:textId="77777777" w:rsidTr="0025557E">
        <w:tc>
          <w:tcPr>
            <w:tcW w:w="4062" w:type="dxa"/>
            <w:tcBorders>
              <w:top w:val="nil"/>
            </w:tcBorders>
          </w:tcPr>
          <w:p w14:paraId="657E1944" w14:textId="26982A81" w:rsidR="00F329F2" w:rsidRPr="00F329F2" w:rsidRDefault="00F329F2" w:rsidP="00F329F2">
            <w:pPr>
              <w:pStyle w:val="Tabletext"/>
              <w:keepNext/>
              <w:ind w:left="1440" w:hanging="1418"/>
              <w:rPr>
                <w:b/>
                <w:bCs/>
              </w:rPr>
            </w:pPr>
            <w:r w:rsidRPr="00E42C34">
              <w:t>Patients with event n (%)</w:t>
            </w:r>
          </w:p>
        </w:tc>
        <w:tc>
          <w:tcPr>
            <w:tcW w:w="2477" w:type="dxa"/>
            <w:gridSpan w:val="2"/>
          </w:tcPr>
          <w:p w14:paraId="319C3AD1" w14:textId="6BCBF810" w:rsidR="00F329F2" w:rsidRPr="0058641B" w:rsidRDefault="00F329F2" w:rsidP="00F329F2">
            <w:pPr>
              <w:pStyle w:val="Tabletext"/>
              <w:keepNext/>
              <w:jc w:val="center"/>
              <w:rPr>
                <w:b/>
              </w:rPr>
            </w:pPr>
            <w:r w:rsidRPr="00E42C34">
              <w:t>11 (9.6)</w:t>
            </w:r>
          </w:p>
        </w:tc>
        <w:tc>
          <w:tcPr>
            <w:tcW w:w="2478" w:type="dxa"/>
          </w:tcPr>
          <w:p w14:paraId="51893A18" w14:textId="0AF8716E" w:rsidR="00F329F2" w:rsidRPr="0058641B" w:rsidRDefault="00F329F2" w:rsidP="00F329F2">
            <w:pPr>
              <w:pStyle w:val="Tabletext"/>
              <w:keepNext/>
              <w:jc w:val="center"/>
              <w:rPr>
                <w:b/>
              </w:rPr>
            </w:pPr>
            <w:r w:rsidRPr="00E42C34">
              <w:t>26 (22.8)</w:t>
            </w:r>
          </w:p>
        </w:tc>
      </w:tr>
      <w:tr w:rsidR="00F329F2" w:rsidRPr="0058641B" w14:paraId="1374D7F8" w14:textId="77777777" w:rsidTr="0025557E">
        <w:tc>
          <w:tcPr>
            <w:tcW w:w="4062" w:type="dxa"/>
            <w:tcBorders>
              <w:top w:val="nil"/>
            </w:tcBorders>
          </w:tcPr>
          <w:p w14:paraId="066E24EB" w14:textId="36A35E92" w:rsidR="00F329F2" w:rsidRPr="00F329F2" w:rsidRDefault="00F329F2" w:rsidP="00F329F2">
            <w:pPr>
              <w:pStyle w:val="Tabletext"/>
              <w:keepNext/>
              <w:ind w:left="1440" w:hanging="1418"/>
              <w:rPr>
                <w:b/>
                <w:bCs/>
              </w:rPr>
            </w:pPr>
            <w:r w:rsidRPr="00E42C34">
              <w:t xml:space="preserve">Median OS, months, (95% CI) </w:t>
            </w:r>
          </w:p>
        </w:tc>
        <w:tc>
          <w:tcPr>
            <w:tcW w:w="2477" w:type="dxa"/>
            <w:gridSpan w:val="2"/>
          </w:tcPr>
          <w:p w14:paraId="4A8AF2B5" w14:textId="782446EC" w:rsidR="00F329F2" w:rsidRPr="0058641B" w:rsidRDefault="00F329F2" w:rsidP="00F329F2">
            <w:pPr>
              <w:pStyle w:val="Tabletext"/>
              <w:keepNext/>
              <w:jc w:val="center"/>
              <w:rPr>
                <w:b/>
              </w:rPr>
            </w:pPr>
            <w:r w:rsidRPr="00E42C34">
              <w:t>NE (NE, NE)</w:t>
            </w:r>
          </w:p>
        </w:tc>
        <w:tc>
          <w:tcPr>
            <w:tcW w:w="2478" w:type="dxa"/>
          </w:tcPr>
          <w:p w14:paraId="4F8DF174" w14:textId="22C1D441" w:rsidR="00F329F2" w:rsidRPr="0058641B" w:rsidRDefault="00F329F2" w:rsidP="00F329F2">
            <w:pPr>
              <w:pStyle w:val="Tabletext"/>
              <w:keepNext/>
              <w:jc w:val="center"/>
              <w:rPr>
                <w:b/>
              </w:rPr>
            </w:pPr>
            <w:r w:rsidRPr="00E42C34">
              <w:t>NE (NE, NE)</w:t>
            </w:r>
          </w:p>
        </w:tc>
      </w:tr>
      <w:tr w:rsidR="00EC739B" w:rsidRPr="0058641B" w14:paraId="3F8FA182" w14:textId="77777777" w:rsidTr="0025557E">
        <w:tc>
          <w:tcPr>
            <w:tcW w:w="4062" w:type="dxa"/>
            <w:tcBorders>
              <w:top w:val="nil"/>
            </w:tcBorders>
          </w:tcPr>
          <w:p w14:paraId="5211A26A" w14:textId="758EED2D" w:rsidR="00EC739B" w:rsidRPr="00F329F2" w:rsidRDefault="00EC739B" w:rsidP="00EC739B">
            <w:pPr>
              <w:pStyle w:val="Tabletext"/>
              <w:keepNext/>
              <w:ind w:left="1440" w:hanging="1418"/>
              <w:rPr>
                <w:b/>
                <w:bCs/>
              </w:rPr>
            </w:pPr>
            <w:r w:rsidRPr="00E42C34">
              <w:t>Stratified HR (95% CI); log-rank p-value</w:t>
            </w:r>
          </w:p>
        </w:tc>
        <w:tc>
          <w:tcPr>
            <w:tcW w:w="4955" w:type="dxa"/>
            <w:gridSpan w:val="3"/>
          </w:tcPr>
          <w:p w14:paraId="0C269786" w14:textId="583A078F" w:rsidR="00EC739B" w:rsidRPr="00EC739B" w:rsidRDefault="00EC739B" w:rsidP="00EC739B">
            <w:pPr>
              <w:pStyle w:val="Tabletext"/>
              <w:keepNext/>
              <w:jc w:val="center"/>
              <w:rPr>
                <w:b/>
                <w:bCs/>
              </w:rPr>
            </w:pPr>
            <w:r w:rsidRPr="00EC739B">
              <w:rPr>
                <w:b/>
                <w:bCs/>
              </w:rPr>
              <w:t>0.40 (0.20, 0.81); p=0.009</w:t>
            </w:r>
          </w:p>
        </w:tc>
      </w:tr>
      <w:tr w:rsidR="00EC739B" w:rsidRPr="0058641B" w14:paraId="5FA5595A" w14:textId="77777777" w:rsidTr="0025557E">
        <w:tc>
          <w:tcPr>
            <w:tcW w:w="4062" w:type="dxa"/>
            <w:tcBorders>
              <w:top w:val="nil"/>
            </w:tcBorders>
          </w:tcPr>
          <w:p w14:paraId="128519E6" w14:textId="03265FD2" w:rsidR="00EC739B" w:rsidRPr="00F329F2" w:rsidRDefault="00EC739B" w:rsidP="00EC739B">
            <w:pPr>
              <w:pStyle w:val="Tabletext"/>
              <w:keepNext/>
              <w:ind w:left="1440" w:hanging="1418"/>
              <w:rPr>
                <w:b/>
                <w:bCs/>
              </w:rPr>
            </w:pPr>
            <w:r w:rsidRPr="00E42C34">
              <w:t>Event free rate at 3 years, %</w:t>
            </w:r>
          </w:p>
        </w:tc>
        <w:tc>
          <w:tcPr>
            <w:tcW w:w="2477" w:type="dxa"/>
            <w:gridSpan w:val="2"/>
          </w:tcPr>
          <w:p w14:paraId="173F51B7" w14:textId="7236AE8A" w:rsidR="00EC739B" w:rsidRPr="0058641B" w:rsidRDefault="00EC739B" w:rsidP="00EC739B">
            <w:pPr>
              <w:pStyle w:val="Tabletext"/>
              <w:keepNext/>
              <w:jc w:val="center"/>
              <w:rPr>
                <w:b/>
              </w:rPr>
            </w:pPr>
            <w:r w:rsidRPr="00E42C34">
              <w:t>90.9</w:t>
            </w:r>
          </w:p>
        </w:tc>
        <w:tc>
          <w:tcPr>
            <w:tcW w:w="2478" w:type="dxa"/>
          </w:tcPr>
          <w:p w14:paraId="732EA60E" w14:textId="36D2C744" w:rsidR="00EC739B" w:rsidRPr="0058641B" w:rsidRDefault="00EC739B" w:rsidP="00EC739B">
            <w:pPr>
              <w:pStyle w:val="Tabletext"/>
              <w:keepNext/>
              <w:jc w:val="center"/>
              <w:rPr>
                <w:b/>
              </w:rPr>
            </w:pPr>
            <w:r w:rsidRPr="00E42C34">
              <w:t>76.7</w:t>
            </w:r>
          </w:p>
        </w:tc>
      </w:tr>
      <w:tr w:rsidR="00EC739B" w:rsidRPr="0058641B" w14:paraId="4E2F9466" w14:textId="77777777" w:rsidTr="0025557E">
        <w:tc>
          <w:tcPr>
            <w:tcW w:w="4062" w:type="dxa"/>
            <w:tcBorders>
              <w:top w:val="nil"/>
            </w:tcBorders>
          </w:tcPr>
          <w:p w14:paraId="4367214E" w14:textId="698BDFD3" w:rsidR="00EC739B" w:rsidRPr="00E42C34" w:rsidRDefault="00EC739B" w:rsidP="00EC739B">
            <w:pPr>
              <w:pStyle w:val="Tabletext"/>
              <w:keepNext/>
              <w:ind w:left="1440" w:hanging="1418"/>
            </w:pPr>
            <w:r w:rsidRPr="0058641B">
              <w:t>Difference between ATZ and BSC, %, (95% CI)</w:t>
            </w:r>
          </w:p>
        </w:tc>
        <w:tc>
          <w:tcPr>
            <w:tcW w:w="4955" w:type="dxa"/>
            <w:gridSpan w:val="3"/>
          </w:tcPr>
          <w:p w14:paraId="47060D0D" w14:textId="75EE01A9" w:rsidR="00EC739B" w:rsidRPr="00E42C34" w:rsidRDefault="00EC739B" w:rsidP="00EC739B">
            <w:pPr>
              <w:pStyle w:val="Tabletext"/>
              <w:keepNext/>
              <w:jc w:val="center"/>
            </w:pPr>
            <w:r w:rsidRPr="00E42C34">
              <w:t>14.3 (4.2, 24.4)</w:t>
            </w:r>
          </w:p>
        </w:tc>
      </w:tr>
      <w:tr w:rsidR="00EC739B" w:rsidRPr="0058641B" w14:paraId="70F81FB6" w14:textId="77777777" w:rsidTr="009B383D">
        <w:tc>
          <w:tcPr>
            <w:tcW w:w="9017" w:type="dxa"/>
            <w:gridSpan w:val="4"/>
          </w:tcPr>
          <w:p w14:paraId="7BBF3243" w14:textId="77777777" w:rsidR="00EC739B" w:rsidRPr="0058641B" w:rsidRDefault="00EC739B" w:rsidP="00EC739B">
            <w:pPr>
              <w:pStyle w:val="Tabletext"/>
              <w:keepNext/>
              <w:rPr>
                <w:b/>
              </w:rPr>
            </w:pPr>
            <w:r w:rsidRPr="0058641B">
              <w:rPr>
                <w:b/>
              </w:rPr>
              <w:t>HARMS: (event rate per 100 patients), Safety evaluable population</w:t>
            </w:r>
          </w:p>
        </w:tc>
      </w:tr>
      <w:tr w:rsidR="00EC739B" w:rsidRPr="0058641B" w14:paraId="55E6DAA3" w14:textId="77777777" w:rsidTr="009B383D">
        <w:tc>
          <w:tcPr>
            <w:tcW w:w="4062" w:type="dxa"/>
          </w:tcPr>
          <w:p w14:paraId="79E56E31" w14:textId="77777777" w:rsidR="00EC739B" w:rsidRPr="0058641B" w:rsidRDefault="00EC739B" w:rsidP="00EC739B">
            <w:pPr>
              <w:pStyle w:val="Tabletext"/>
              <w:keepNext/>
            </w:pPr>
          </w:p>
        </w:tc>
        <w:tc>
          <w:tcPr>
            <w:tcW w:w="2409" w:type="dxa"/>
          </w:tcPr>
          <w:p w14:paraId="71C14F59" w14:textId="77777777" w:rsidR="00EC739B" w:rsidRPr="0058641B" w:rsidRDefault="00EC739B" w:rsidP="00EC739B">
            <w:pPr>
              <w:pStyle w:val="Tabletext"/>
              <w:keepNext/>
              <w:jc w:val="center"/>
            </w:pPr>
            <w:r w:rsidRPr="0058641B">
              <w:t>N=495</w:t>
            </w:r>
          </w:p>
        </w:tc>
        <w:tc>
          <w:tcPr>
            <w:tcW w:w="2546" w:type="dxa"/>
            <w:gridSpan w:val="2"/>
          </w:tcPr>
          <w:p w14:paraId="200E0BC9" w14:textId="77777777" w:rsidR="00EC739B" w:rsidRPr="0058641B" w:rsidRDefault="00EC739B" w:rsidP="00EC739B">
            <w:pPr>
              <w:pStyle w:val="Tabletext"/>
              <w:keepNext/>
              <w:jc w:val="center"/>
            </w:pPr>
            <w:r w:rsidRPr="0058641B">
              <w:t>N=495</w:t>
            </w:r>
          </w:p>
        </w:tc>
      </w:tr>
      <w:tr w:rsidR="00EC739B" w:rsidRPr="0058641B" w14:paraId="20161367" w14:textId="77777777" w:rsidTr="009B383D">
        <w:tc>
          <w:tcPr>
            <w:tcW w:w="4062" w:type="dxa"/>
          </w:tcPr>
          <w:p w14:paraId="145E7709" w14:textId="77777777" w:rsidR="00EC739B" w:rsidRPr="0058641B" w:rsidRDefault="00EC739B" w:rsidP="00EC739B">
            <w:pPr>
              <w:pStyle w:val="Tabletext"/>
              <w:keepNext/>
            </w:pPr>
            <w:r w:rsidRPr="0058641B">
              <w:t>With drug related Grade 3-5 AEs, n (%)</w:t>
            </w:r>
          </w:p>
        </w:tc>
        <w:tc>
          <w:tcPr>
            <w:tcW w:w="2409" w:type="dxa"/>
          </w:tcPr>
          <w:p w14:paraId="07094341" w14:textId="77777777" w:rsidR="00EC739B" w:rsidRPr="0058641B" w:rsidRDefault="00EC739B" w:rsidP="00EC739B">
            <w:pPr>
              <w:pStyle w:val="Tabletext"/>
              <w:keepNext/>
              <w:jc w:val="center"/>
            </w:pPr>
            <w:r w:rsidRPr="0058641B">
              <w:t>57 (11.5)</w:t>
            </w:r>
          </w:p>
        </w:tc>
        <w:tc>
          <w:tcPr>
            <w:tcW w:w="2546" w:type="dxa"/>
            <w:gridSpan w:val="2"/>
          </w:tcPr>
          <w:p w14:paraId="0965C3D2" w14:textId="77777777" w:rsidR="00EC739B" w:rsidRPr="0058641B" w:rsidRDefault="00EC739B" w:rsidP="00EC739B">
            <w:pPr>
              <w:pStyle w:val="Tabletext"/>
              <w:keepNext/>
              <w:jc w:val="center"/>
            </w:pPr>
            <w:r w:rsidRPr="0058641B">
              <w:t>NA</w:t>
            </w:r>
          </w:p>
        </w:tc>
      </w:tr>
      <w:tr w:rsidR="00EC739B" w:rsidRPr="0058641B" w14:paraId="7C7DF670" w14:textId="77777777" w:rsidTr="009B383D">
        <w:tc>
          <w:tcPr>
            <w:tcW w:w="4062" w:type="dxa"/>
          </w:tcPr>
          <w:p w14:paraId="09F30E2B" w14:textId="77777777" w:rsidR="00EC739B" w:rsidRPr="0058641B" w:rsidRDefault="00EC739B" w:rsidP="00EC739B">
            <w:pPr>
              <w:pStyle w:val="Tabletext"/>
              <w:keepNext/>
              <w:ind w:left="720"/>
              <w:rPr>
                <w:vertAlign w:val="superscript"/>
              </w:rPr>
            </w:pPr>
            <w:r w:rsidRPr="0058641B">
              <w:t>Difference between ATZ and BSC</w:t>
            </w:r>
          </w:p>
        </w:tc>
        <w:tc>
          <w:tcPr>
            <w:tcW w:w="4955" w:type="dxa"/>
            <w:gridSpan w:val="3"/>
          </w:tcPr>
          <w:p w14:paraId="4C73407E" w14:textId="77777777" w:rsidR="00EC739B" w:rsidRPr="0058641B" w:rsidRDefault="00EC739B" w:rsidP="00EC739B">
            <w:pPr>
              <w:pStyle w:val="Tabletext"/>
              <w:keepNext/>
              <w:jc w:val="center"/>
            </w:pPr>
            <w:r w:rsidRPr="0058641B">
              <w:t>11.5%</w:t>
            </w:r>
          </w:p>
        </w:tc>
      </w:tr>
      <w:tr w:rsidR="00EC739B" w:rsidRPr="0058641B" w14:paraId="1277424F" w14:textId="77777777" w:rsidTr="009B383D">
        <w:tc>
          <w:tcPr>
            <w:tcW w:w="4062" w:type="dxa"/>
          </w:tcPr>
          <w:p w14:paraId="076430A2" w14:textId="77777777" w:rsidR="00EC739B" w:rsidRPr="0058641B" w:rsidRDefault="00EC739B" w:rsidP="00EC739B">
            <w:pPr>
              <w:pStyle w:val="Tabletext"/>
              <w:keepNext/>
            </w:pPr>
            <w:r w:rsidRPr="0058641B">
              <w:t>With drug related serious AEs, n (%)</w:t>
            </w:r>
          </w:p>
        </w:tc>
        <w:tc>
          <w:tcPr>
            <w:tcW w:w="2409" w:type="dxa"/>
            <w:tcBorders>
              <w:left w:val="nil"/>
              <w:right w:val="single" w:sz="4" w:space="0" w:color="auto"/>
            </w:tcBorders>
          </w:tcPr>
          <w:p w14:paraId="29AA79C4" w14:textId="77777777" w:rsidR="00EC739B" w:rsidRPr="0058641B" w:rsidRDefault="00EC739B" w:rsidP="00EC739B">
            <w:pPr>
              <w:pStyle w:val="Tabletext"/>
              <w:keepNext/>
              <w:jc w:val="center"/>
            </w:pPr>
            <w:r w:rsidRPr="0058641B">
              <w:t>37 (7.5)</w:t>
            </w:r>
          </w:p>
        </w:tc>
        <w:tc>
          <w:tcPr>
            <w:tcW w:w="2546" w:type="dxa"/>
            <w:gridSpan w:val="2"/>
            <w:tcBorders>
              <w:left w:val="single" w:sz="4" w:space="0" w:color="auto"/>
              <w:right w:val="single" w:sz="4" w:space="0" w:color="auto"/>
            </w:tcBorders>
          </w:tcPr>
          <w:p w14:paraId="0C0E0F8D" w14:textId="77777777" w:rsidR="00EC739B" w:rsidRPr="0058641B" w:rsidRDefault="00EC739B" w:rsidP="00EC739B">
            <w:pPr>
              <w:pStyle w:val="Tabletext"/>
              <w:keepNext/>
              <w:jc w:val="center"/>
            </w:pPr>
            <w:r w:rsidRPr="0058641B">
              <w:t>NA</w:t>
            </w:r>
          </w:p>
        </w:tc>
      </w:tr>
      <w:tr w:rsidR="00EC739B" w:rsidRPr="0058641B" w14:paraId="7197EB7F" w14:textId="77777777" w:rsidTr="009B383D">
        <w:tc>
          <w:tcPr>
            <w:tcW w:w="4062" w:type="dxa"/>
          </w:tcPr>
          <w:p w14:paraId="04377904" w14:textId="77777777" w:rsidR="00EC739B" w:rsidRPr="0058641B" w:rsidRDefault="00EC739B" w:rsidP="00EC739B">
            <w:pPr>
              <w:pStyle w:val="Tabletext"/>
              <w:keepNext/>
              <w:ind w:left="720"/>
            </w:pPr>
            <w:r w:rsidRPr="0058641B">
              <w:t>Difference between ATZ and BSC</w:t>
            </w:r>
          </w:p>
        </w:tc>
        <w:tc>
          <w:tcPr>
            <w:tcW w:w="4955" w:type="dxa"/>
            <w:gridSpan w:val="3"/>
          </w:tcPr>
          <w:p w14:paraId="5F2A374A" w14:textId="77777777" w:rsidR="00EC739B" w:rsidRPr="0058641B" w:rsidRDefault="00EC739B" w:rsidP="00EC739B">
            <w:pPr>
              <w:pStyle w:val="Tabletext"/>
              <w:keepNext/>
              <w:jc w:val="center"/>
            </w:pPr>
            <w:r w:rsidRPr="0058641B">
              <w:t>7.5%</w:t>
            </w:r>
          </w:p>
        </w:tc>
      </w:tr>
      <w:tr w:rsidR="00EC739B" w:rsidRPr="0058641B" w14:paraId="0339F364" w14:textId="77777777" w:rsidTr="009B383D">
        <w:tc>
          <w:tcPr>
            <w:tcW w:w="4062" w:type="dxa"/>
          </w:tcPr>
          <w:p w14:paraId="6C324A44" w14:textId="3CFCE074" w:rsidR="00EC739B" w:rsidRPr="0058641B" w:rsidRDefault="00EC739B" w:rsidP="00EC739B">
            <w:pPr>
              <w:pStyle w:val="Tabletext"/>
              <w:keepNext/>
            </w:pPr>
            <w:r w:rsidRPr="0058641B">
              <w:t>Any AESI, Grade 3-4, n (%)</w:t>
            </w:r>
          </w:p>
        </w:tc>
        <w:tc>
          <w:tcPr>
            <w:tcW w:w="2409" w:type="dxa"/>
          </w:tcPr>
          <w:p w14:paraId="6057F887" w14:textId="77777777" w:rsidR="00EC739B" w:rsidRPr="0058641B" w:rsidRDefault="00EC739B" w:rsidP="00EC739B">
            <w:pPr>
              <w:pStyle w:val="Tabletext"/>
              <w:keepNext/>
              <w:jc w:val="center"/>
            </w:pPr>
            <w:r w:rsidRPr="0058641B">
              <w:t>39 (7.9)</w:t>
            </w:r>
          </w:p>
        </w:tc>
        <w:tc>
          <w:tcPr>
            <w:tcW w:w="2546" w:type="dxa"/>
            <w:gridSpan w:val="2"/>
          </w:tcPr>
          <w:p w14:paraId="29E64D8D" w14:textId="77777777" w:rsidR="00EC739B" w:rsidRPr="0058641B" w:rsidRDefault="00EC739B" w:rsidP="00EC739B">
            <w:pPr>
              <w:pStyle w:val="Tabletext"/>
              <w:keepNext/>
              <w:jc w:val="center"/>
            </w:pPr>
            <w:r w:rsidRPr="0058641B">
              <w:t>5 (0.6)</w:t>
            </w:r>
          </w:p>
        </w:tc>
      </w:tr>
      <w:tr w:rsidR="00EC739B" w:rsidRPr="0058641B" w14:paraId="787CC516" w14:textId="77777777" w:rsidTr="009B383D">
        <w:tc>
          <w:tcPr>
            <w:tcW w:w="4062" w:type="dxa"/>
          </w:tcPr>
          <w:p w14:paraId="613AFCA6" w14:textId="77777777" w:rsidR="00EC739B" w:rsidRPr="0058641B" w:rsidRDefault="00EC739B" w:rsidP="00EC739B">
            <w:pPr>
              <w:pStyle w:val="Tabletext"/>
              <w:keepNext/>
              <w:ind w:left="720"/>
            </w:pPr>
            <w:r w:rsidRPr="0058641B">
              <w:t>Difference between ATZ and BSC</w:t>
            </w:r>
          </w:p>
        </w:tc>
        <w:tc>
          <w:tcPr>
            <w:tcW w:w="4955" w:type="dxa"/>
            <w:gridSpan w:val="3"/>
          </w:tcPr>
          <w:p w14:paraId="2EFB446D" w14:textId="77777777" w:rsidR="00EC739B" w:rsidRPr="0058641B" w:rsidRDefault="00EC739B" w:rsidP="00EC739B">
            <w:pPr>
              <w:pStyle w:val="Tabletext"/>
              <w:keepNext/>
              <w:jc w:val="center"/>
            </w:pPr>
            <w:r w:rsidRPr="0058641B">
              <w:t>7.3%</w:t>
            </w:r>
          </w:p>
        </w:tc>
      </w:tr>
    </w:tbl>
    <w:p w14:paraId="65A1E5BC" w14:textId="77777777" w:rsidR="00A77382" w:rsidRPr="0058641B" w:rsidRDefault="00A77382" w:rsidP="00A77382">
      <w:pPr>
        <w:pStyle w:val="TableFigureFooter"/>
      </w:pPr>
      <w:r w:rsidRPr="0058641B">
        <w:t>Source: Section 2.5.2 of the submission and Section 5.2 of the IMpower010 Clinical Study Report.</w:t>
      </w:r>
    </w:p>
    <w:p w14:paraId="0BFC7FCE" w14:textId="77777777" w:rsidR="009E06A7" w:rsidRPr="0058641B" w:rsidRDefault="009E06A7" w:rsidP="009E06A7">
      <w:pPr>
        <w:pStyle w:val="TableFigureFooter"/>
      </w:pPr>
      <w:r w:rsidRPr="0058641B">
        <w:t>ATZ = atezolizumab; BSC = best supportive care; CI = confidence interval; HR = hazard ratio; n = number of patients; NA = not applicable as arm is BSC; NE = not estimable (not reached); OS = overall survival; DFS = Disease free survival; AEs = adverse events; AESI = adverse events of special interest</w:t>
      </w:r>
      <w:r w:rsidRPr="0058641B">
        <w:rPr>
          <w:snapToGrid/>
          <w:color w:val="0066FF"/>
        </w:rPr>
        <w:t xml:space="preserve"> </w:t>
      </w:r>
    </w:p>
    <w:p w14:paraId="20F821E8" w14:textId="79CB0F13" w:rsidR="00A77382" w:rsidRPr="0058641B" w:rsidRDefault="00A77382" w:rsidP="00A77382">
      <w:pPr>
        <w:pStyle w:val="TableFigureFooter"/>
      </w:pPr>
      <w:proofErr w:type="spellStart"/>
      <w:proofErr w:type="gramStart"/>
      <w:r w:rsidRPr="0058641B">
        <w:rPr>
          <w:vertAlign w:val="superscript"/>
        </w:rPr>
        <w:t>a</w:t>
      </w:r>
      <w:proofErr w:type="spellEnd"/>
      <w:proofErr w:type="gramEnd"/>
      <w:r w:rsidR="00F9534E">
        <w:rPr>
          <w:vertAlign w:val="superscript"/>
        </w:rPr>
        <w:t xml:space="preserve"> </w:t>
      </w:r>
      <w:r w:rsidRPr="0058641B">
        <w:t xml:space="preserve">Overall survival data remain immature </w:t>
      </w:r>
      <w:r w:rsidR="00564C03" w:rsidRPr="0058641B">
        <w:t xml:space="preserve">at the data </w:t>
      </w:r>
      <w:r w:rsidR="00EA56B9" w:rsidRPr="0058641B">
        <w:t>cut-off</w:t>
      </w:r>
      <w:r w:rsidRPr="0058641B">
        <w:t xml:space="preserve"> date January 2021 and thus only DFS is presented.</w:t>
      </w:r>
    </w:p>
    <w:p w14:paraId="7BC7E229" w14:textId="77777777" w:rsidR="009E06A7" w:rsidRPr="00405321" w:rsidRDefault="009E06A7" w:rsidP="00A77382">
      <w:pPr>
        <w:pStyle w:val="TableFigureFooter"/>
        <w:rPr>
          <w:bCs/>
        </w:rPr>
      </w:pPr>
      <w:r w:rsidRPr="00405321">
        <w:rPr>
          <w:bCs/>
        </w:rPr>
        <w:t>Bolded results are statistically significant</w:t>
      </w:r>
    </w:p>
    <w:p w14:paraId="3FE52A8A" w14:textId="2AE2A3A8" w:rsidR="00A77382" w:rsidRPr="0058641B" w:rsidRDefault="00A77382" w:rsidP="00A77382">
      <w:pPr>
        <w:pStyle w:val="TableFigureFooter"/>
      </w:pPr>
      <w:r w:rsidRPr="0058641B">
        <w:t>Median duration of follow up approximately 32 months.</w:t>
      </w:r>
    </w:p>
    <w:p w14:paraId="7BCD7F8F" w14:textId="62756E0F" w:rsidR="00A77382" w:rsidRPr="0058641B" w:rsidRDefault="00A77382" w:rsidP="00C41F77">
      <w:pPr>
        <w:pStyle w:val="3-BodyText"/>
      </w:pPr>
      <w:r w:rsidRPr="0058641B">
        <w:t xml:space="preserve">On the basis of the direct evidence </w:t>
      </w:r>
      <w:r w:rsidR="00600311" w:rsidRPr="0058641B">
        <w:t>from IMpower010</w:t>
      </w:r>
      <w:r w:rsidR="00176B65" w:rsidRPr="0058641B">
        <w:t xml:space="preserve"> (data </w:t>
      </w:r>
      <w:r w:rsidR="00EA56B9" w:rsidRPr="0058641B">
        <w:t>cut-off</w:t>
      </w:r>
      <w:r w:rsidR="00176B65" w:rsidRPr="0058641B">
        <w:t xml:space="preserve"> 21 January 2021</w:t>
      </w:r>
      <w:r w:rsidR="00F6424D" w:rsidRPr="0058641B">
        <w:t>; median follow up of approximately 32 months</w:t>
      </w:r>
      <w:r w:rsidR="00176B65" w:rsidRPr="0058641B">
        <w:t>), for every 100 patients treated with ATZ 1,200 mg Q3W in comparison with BSC alone</w:t>
      </w:r>
      <w:r w:rsidR="00600311" w:rsidRPr="0058641B">
        <w:t>:</w:t>
      </w:r>
    </w:p>
    <w:p w14:paraId="2FB39E62" w14:textId="4B6EF26C" w:rsidR="001A1D07" w:rsidRPr="0058641B" w:rsidRDefault="00176B65" w:rsidP="001A1D07">
      <w:pPr>
        <w:pStyle w:val="ListParagraph"/>
      </w:pPr>
      <w:r w:rsidRPr="0058641B">
        <w:t xml:space="preserve">In the Stage II-IIIA </w:t>
      </w:r>
      <w:r w:rsidR="00B54752" w:rsidRPr="0058641B">
        <w:t>PD-L1 ≥ 50%</w:t>
      </w:r>
      <w:r w:rsidRPr="0058641B">
        <w:t xml:space="preserve"> NSCLC subgroup, 25 additional patients will remain disease free at 3 years</w:t>
      </w:r>
      <w:r w:rsidR="00EC739B">
        <w:t xml:space="preserve"> and 14 additional patients would be alive</w:t>
      </w:r>
      <w:r w:rsidRPr="0058641B">
        <w:t xml:space="preserve">. </w:t>
      </w:r>
    </w:p>
    <w:p w14:paraId="5C9B0B69" w14:textId="10F7CCFF" w:rsidR="003025DE" w:rsidRPr="003025DE" w:rsidRDefault="00655A9B" w:rsidP="003025DE">
      <w:pPr>
        <w:pStyle w:val="ListParagraph"/>
      </w:pPr>
      <w:r w:rsidRPr="0058641B">
        <w:t xml:space="preserve">Approximately 12 additional patients will experience a Grade 3-5 drug-related AE, 8 additional patients will experience a serious drug-related AE, and 7 additional patients will experience a Grade 3-4 </w:t>
      </w:r>
      <w:r w:rsidR="00F6424D" w:rsidRPr="0058641B">
        <w:t>AESI</w:t>
      </w:r>
      <w:r w:rsidRPr="0058641B">
        <w:t>.</w:t>
      </w:r>
    </w:p>
    <w:p w14:paraId="77C8753D" w14:textId="08AA0A11" w:rsidR="00B60939" w:rsidRPr="0058641B" w:rsidRDefault="00B60939" w:rsidP="00E9094A">
      <w:pPr>
        <w:pStyle w:val="4-SubsectionHeading"/>
      </w:pPr>
      <w:bookmarkStart w:id="42" w:name="_Toc22897644"/>
      <w:bookmarkStart w:id="43" w:name="_Toc101281145"/>
      <w:r w:rsidRPr="0058641B">
        <w:t>Clinical claim</w:t>
      </w:r>
      <w:bookmarkEnd w:id="42"/>
      <w:bookmarkEnd w:id="43"/>
      <w:r w:rsidR="00780B60" w:rsidRPr="0058641B">
        <w:t xml:space="preserve"> </w:t>
      </w:r>
    </w:p>
    <w:p w14:paraId="60468BBB" w14:textId="06314450" w:rsidR="007C70FF" w:rsidRPr="0058641B" w:rsidRDefault="009B4515" w:rsidP="00E9094A">
      <w:pPr>
        <w:pStyle w:val="3-BodyText"/>
      </w:pPr>
      <w:r w:rsidRPr="0058641B">
        <w:t>The submission described ATZ as superior</w:t>
      </w:r>
      <w:r w:rsidR="00562663" w:rsidRPr="0058641B">
        <w:t xml:space="preserve"> in terms of effectiveness</w:t>
      </w:r>
      <w:r w:rsidRPr="0058641B">
        <w:t xml:space="preserve"> and inferior in terms of safety compared to observation</w:t>
      </w:r>
      <w:r w:rsidR="007A11F1" w:rsidRPr="0058641B">
        <w:t xml:space="preserve"> (BSC)</w:t>
      </w:r>
      <w:r w:rsidRPr="0058641B">
        <w:t>.</w:t>
      </w:r>
    </w:p>
    <w:p w14:paraId="0D6B70C2" w14:textId="4A710729" w:rsidR="005F7588" w:rsidRPr="0058641B" w:rsidRDefault="009B4515" w:rsidP="002228F5">
      <w:pPr>
        <w:pStyle w:val="3-BodyText"/>
        <w:rPr>
          <w:rFonts w:eastAsia="Calibri"/>
          <w:i/>
          <w:iCs/>
        </w:rPr>
      </w:pPr>
      <w:r w:rsidRPr="0058641B">
        <w:rPr>
          <w:rFonts w:eastAsia="Calibri"/>
        </w:rPr>
        <w:lastRenderedPageBreak/>
        <w:t xml:space="preserve">Notably, there was potential underutilisation of immunotherapy in the BSC arm of IMpower010. </w:t>
      </w:r>
      <w:r w:rsidR="002228F5" w:rsidRPr="0058641B">
        <w:rPr>
          <w:rFonts w:eastAsia="Calibri"/>
        </w:rPr>
        <w:t xml:space="preserve">Treatment switching from BSC to ATZ was not permitted per protocol. For the Stage II-IIIA PD-L1 ≥ 1% subgroup in IMpower010 (data </w:t>
      </w:r>
      <w:r w:rsidR="00EA56B9" w:rsidRPr="0058641B">
        <w:rPr>
          <w:rFonts w:eastAsia="Calibri"/>
        </w:rPr>
        <w:t>cut-off</w:t>
      </w:r>
      <w:r w:rsidR="002228F5" w:rsidRPr="0058641B">
        <w:rPr>
          <w:rFonts w:eastAsia="Calibri"/>
        </w:rPr>
        <w:t xml:space="preserve"> 21 January 2021), a total of 73 patients in the ATZ arm and 102 patients in the BSC experienced disease recurrence. Of patients who experienced disease recurrence, 11% of patients in the ATZ arm and 35% of patients in the BSC arm received subsequent immunotherapy. </w:t>
      </w:r>
      <w:r w:rsidR="00F6424D" w:rsidRPr="0058641B">
        <w:rPr>
          <w:rFonts w:eastAsia="Calibri"/>
        </w:rPr>
        <w:t>T</w:t>
      </w:r>
      <w:r w:rsidRPr="0058641B">
        <w:rPr>
          <w:rFonts w:eastAsia="Calibri"/>
        </w:rPr>
        <w:t>his potential underutilisation of immunotherapy upon disease recurrence</w:t>
      </w:r>
      <w:r w:rsidR="007A11F1" w:rsidRPr="0058641B">
        <w:rPr>
          <w:rFonts w:eastAsia="Calibri"/>
        </w:rPr>
        <w:t xml:space="preserve"> </w:t>
      </w:r>
      <w:r w:rsidR="002228F5" w:rsidRPr="0058641B">
        <w:rPr>
          <w:rFonts w:eastAsia="Calibri"/>
        </w:rPr>
        <w:t xml:space="preserve">in the BSC arm </w:t>
      </w:r>
      <w:r w:rsidR="007A11F1" w:rsidRPr="0058641B">
        <w:rPr>
          <w:rFonts w:eastAsia="Calibri"/>
        </w:rPr>
        <w:t>suggests there might be an</w:t>
      </w:r>
      <w:r w:rsidRPr="0058641B">
        <w:rPr>
          <w:rFonts w:eastAsia="Calibri"/>
        </w:rPr>
        <w:t xml:space="preserve"> overestimation of </w:t>
      </w:r>
      <w:r w:rsidR="002228F5" w:rsidRPr="0058641B">
        <w:rPr>
          <w:rFonts w:eastAsia="Calibri"/>
        </w:rPr>
        <w:t xml:space="preserve">the incremental </w:t>
      </w:r>
      <w:r w:rsidRPr="0058641B">
        <w:rPr>
          <w:rFonts w:eastAsia="Calibri"/>
        </w:rPr>
        <w:t xml:space="preserve">OS benefit </w:t>
      </w:r>
      <w:r w:rsidR="002228F5" w:rsidRPr="0058641B">
        <w:rPr>
          <w:rFonts w:eastAsia="Calibri"/>
        </w:rPr>
        <w:t xml:space="preserve">associated with </w:t>
      </w:r>
      <w:r w:rsidRPr="0058641B">
        <w:rPr>
          <w:rFonts w:eastAsia="Calibri"/>
        </w:rPr>
        <w:t>adjuvant ATZ</w:t>
      </w:r>
      <w:r w:rsidR="00E87B38" w:rsidRPr="0058641B">
        <w:rPr>
          <w:rStyle w:val="FootnoteReference"/>
        </w:rPr>
        <w:footnoteReference w:id="3"/>
      </w:r>
      <w:r w:rsidR="00E87B38" w:rsidRPr="0058641B">
        <w:rPr>
          <w:vertAlign w:val="superscript"/>
        </w:rPr>
        <w:t>,</w:t>
      </w:r>
      <w:r w:rsidR="00E87B38" w:rsidRPr="0058641B">
        <w:rPr>
          <w:rStyle w:val="FootnoteReference"/>
        </w:rPr>
        <w:footnoteReference w:id="4"/>
      </w:r>
      <w:r w:rsidR="007A11F1" w:rsidRPr="0058641B">
        <w:rPr>
          <w:rFonts w:eastAsia="Calibri"/>
        </w:rPr>
        <w:t xml:space="preserve"> as compared to what would occur in Australian clinical practice</w:t>
      </w:r>
      <w:r w:rsidRPr="0058641B">
        <w:rPr>
          <w:rFonts w:eastAsia="Calibri"/>
        </w:rPr>
        <w:t>.</w:t>
      </w:r>
      <w:r w:rsidR="00780B60" w:rsidRPr="0058641B">
        <w:rPr>
          <w:rFonts w:eastAsia="Calibri"/>
        </w:rPr>
        <w:t xml:space="preserve"> </w:t>
      </w:r>
      <w:r w:rsidR="00780B60" w:rsidRPr="00DE7304">
        <w:rPr>
          <w:rFonts w:eastAsia="Calibri"/>
        </w:rPr>
        <w:t xml:space="preserve">The ESC noted similar data regarding subsequent treatment with immunotherapy for the PD-L1 ≥ 50% </w:t>
      </w:r>
      <w:r w:rsidR="00635E4D" w:rsidRPr="00DE7304">
        <w:rPr>
          <w:rFonts w:eastAsia="Calibri"/>
        </w:rPr>
        <w:t xml:space="preserve">population </w:t>
      </w:r>
      <w:r w:rsidR="00780B60" w:rsidRPr="00DE7304">
        <w:rPr>
          <w:rFonts w:eastAsia="Calibri"/>
        </w:rPr>
        <w:t>was not provided with the submission.</w:t>
      </w:r>
      <w:r w:rsidR="00780B60" w:rsidRPr="0058641B">
        <w:rPr>
          <w:rFonts w:eastAsia="Calibri"/>
          <w:i/>
          <w:iCs/>
        </w:rPr>
        <w:t xml:space="preserve">  </w:t>
      </w:r>
    </w:p>
    <w:p w14:paraId="223DF3D3" w14:textId="2EE269E3" w:rsidR="009B4515" w:rsidRPr="0058641B" w:rsidRDefault="003E3737" w:rsidP="009B4515">
      <w:pPr>
        <w:pStyle w:val="3-BodyText"/>
        <w:rPr>
          <w:rFonts w:eastAsia="Calibri"/>
          <w:iCs/>
        </w:rPr>
      </w:pPr>
      <w:r w:rsidRPr="0058641B">
        <w:rPr>
          <w:rFonts w:eastAsia="Calibri"/>
          <w:iCs/>
        </w:rPr>
        <w:t>For DFS,</w:t>
      </w:r>
      <w:r w:rsidR="009B4515" w:rsidRPr="0058641B">
        <w:rPr>
          <w:rFonts w:eastAsia="Calibri"/>
          <w:iCs/>
        </w:rPr>
        <w:t xml:space="preserve"> </w:t>
      </w:r>
      <w:r w:rsidRPr="0058641B">
        <w:rPr>
          <w:rFonts w:eastAsia="Calibri"/>
          <w:iCs/>
        </w:rPr>
        <w:t xml:space="preserve">the claim </w:t>
      </w:r>
      <w:r w:rsidR="007A11F1" w:rsidRPr="0058641B">
        <w:rPr>
          <w:rFonts w:eastAsia="Calibri"/>
          <w:iCs/>
        </w:rPr>
        <w:t xml:space="preserve">of superior effectiveness </w:t>
      </w:r>
      <w:r w:rsidR="00780B60" w:rsidRPr="00BC4CF8">
        <w:rPr>
          <w:rFonts w:eastAsia="Calibri"/>
          <w:iCs/>
        </w:rPr>
        <w:t>for the PD-L1 ≥ 1% subgroup</w:t>
      </w:r>
      <w:r w:rsidR="00780B60" w:rsidRPr="0058641B">
        <w:rPr>
          <w:rFonts w:eastAsia="Calibri"/>
          <w:iCs/>
        </w:rPr>
        <w:t xml:space="preserve"> </w:t>
      </w:r>
      <w:r w:rsidRPr="0058641B">
        <w:rPr>
          <w:rFonts w:eastAsia="Calibri"/>
          <w:iCs/>
        </w:rPr>
        <w:t>was only partially supported. T</w:t>
      </w:r>
      <w:r w:rsidR="009B4515" w:rsidRPr="0058641B">
        <w:rPr>
          <w:rFonts w:eastAsia="Calibri"/>
          <w:iCs/>
        </w:rPr>
        <w:t xml:space="preserve">he data </w:t>
      </w:r>
      <w:r w:rsidR="00072EA8" w:rsidRPr="0058641B">
        <w:rPr>
          <w:rFonts w:eastAsia="Calibri"/>
          <w:iCs/>
        </w:rPr>
        <w:t xml:space="preserve">from IMpower010 </w:t>
      </w:r>
      <w:r w:rsidRPr="0058641B">
        <w:rPr>
          <w:rFonts w:eastAsia="Calibri"/>
          <w:iCs/>
        </w:rPr>
        <w:t xml:space="preserve">suggested that the observed </w:t>
      </w:r>
      <w:r w:rsidR="00072EA8" w:rsidRPr="0058641B">
        <w:rPr>
          <w:rFonts w:eastAsia="Calibri"/>
          <w:iCs/>
        </w:rPr>
        <w:t xml:space="preserve">DFS </w:t>
      </w:r>
      <w:r w:rsidR="009B4515" w:rsidRPr="0058641B">
        <w:rPr>
          <w:rFonts w:eastAsia="Calibri"/>
          <w:iCs/>
        </w:rPr>
        <w:t>benefit associated with ATZ versus BSC</w:t>
      </w:r>
      <w:r w:rsidR="00072EA8" w:rsidRPr="0058641B">
        <w:rPr>
          <w:rFonts w:eastAsia="Calibri"/>
          <w:iCs/>
        </w:rPr>
        <w:t xml:space="preserve">, in the Stage </w:t>
      </w:r>
      <w:r w:rsidR="009B4515" w:rsidRPr="0058641B">
        <w:rPr>
          <w:rFonts w:eastAsia="Calibri"/>
          <w:iCs/>
        </w:rPr>
        <w:t xml:space="preserve">II-IIIA </w:t>
      </w:r>
      <w:r w:rsidR="00B54752" w:rsidRPr="0058641B">
        <w:rPr>
          <w:rFonts w:eastAsia="Calibri"/>
          <w:iCs/>
        </w:rPr>
        <w:t xml:space="preserve">PD-L1 </w:t>
      </w:r>
      <w:r w:rsidR="00072EA8" w:rsidRPr="0058641B">
        <w:rPr>
          <w:rFonts w:eastAsia="Calibri"/>
          <w:iCs/>
        </w:rPr>
        <w:t xml:space="preserve">positive NSCLC patient population, was likely driven by </w:t>
      </w:r>
      <w:r w:rsidR="0040202B" w:rsidRPr="0058641B">
        <w:rPr>
          <w:rFonts w:eastAsia="Calibri"/>
          <w:iCs/>
        </w:rPr>
        <w:t xml:space="preserve">the benefit in </w:t>
      </w:r>
      <w:r w:rsidR="00072EA8" w:rsidRPr="0058641B">
        <w:rPr>
          <w:rFonts w:eastAsia="Calibri"/>
          <w:iCs/>
        </w:rPr>
        <w:t>patients whose tumours had high</w:t>
      </w:r>
      <w:r w:rsidRPr="0058641B">
        <w:rPr>
          <w:rFonts w:eastAsia="Calibri"/>
          <w:iCs/>
        </w:rPr>
        <w:t xml:space="preserve"> </w:t>
      </w:r>
      <w:r w:rsidR="00B54752" w:rsidRPr="0058641B">
        <w:rPr>
          <w:rFonts w:eastAsia="Calibri"/>
          <w:iCs/>
        </w:rPr>
        <w:t xml:space="preserve">PD-L1 </w:t>
      </w:r>
      <w:r w:rsidR="00072EA8" w:rsidRPr="0058641B">
        <w:rPr>
          <w:rFonts w:eastAsia="Calibri"/>
          <w:iCs/>
        </w:rPr>
        <w:t>expression (</w:t>
      </w:r>
      <w:r w:rsidR="00B54752" w:rsidRPr="0058641B">
        <w:rPr>
          <w:rFonts w:eastAsia="Calibri"/>
          <w:iCs/>
        </w:rPr>
        <w:t>≥ 50%</w:t>
      </w:r>
      <w:r w:rsidR="00072EA8" w:rsidRPr="0058641B">
        <w:rPr>
          <w:rFonts w:eastAsia="Calibri"/>
          <w:iCs/>
        </w:rPr>
        <w:t xml:space="preserve"> of tumour cells)</w:t>
      </w:r>
      <w:r w:rsidRPr="0058641B">
        <w:rPr>
          <w:rFonts w:eastAsia="Calibri"/>
          <w:iCs/>
        </w:rPr>
        <w:t>.</w:t>
      </w:r>
      <w:r w:rsidR="002023C4" w:rsidRPr="0058641B">
        <w:rPr>
          <w:rFonts w:eastAsia="Calibri"/>
          <w:iCs/>
        </w:rPr>
        <w:t xml:space="preserve"> </w:t>
      </w:r>
      <w:r w:rsidR="00780B60" w:rsidRPr="00DE7304">
        <w:rPr>
          <w:rFonts w:eastAsia="Calibri"/>
          <w:iCs/>
        </w:rPr>
        <w:t>The ESC considered a claim of super effectiveness for the PD-L1 ≥ 50% subgroup would likely be supported.</w:t>
      </w:r>
      <w:r w:rsidR="00780B60" w:rsidRPr="0058641B">
        <w:rPr>
          <w:rFonts w:eastAsia="Calibri"/>
          <w:i/>
        </w:rPr>
        <w:t xml:space="preserve">  </w:t>
      </w:r>
    </w:p>
    <w:p w14:paraId="61CFEFE9" w14:textId="5AC1D65C" w:rsidR="00BC4CF8" w:rsidRPr="003025DE" w:rsidRDefault="00BC4CF8" w:rsidP="00BC4CF8">
      <w:pPr>
        <w:pStyle w:val="3-BodyText"/>
        <w:rPr>
          <w:rFonts w:eastAsia="Calibri"/>
          <w:iCs/>
        </w:rPr>
      </w:pPr>
      <w:r w:rsidRPr="003025DE">
        <w:rPr>
          <w:rFonts w:eastAsia="Calibri"/>
          <w:iCs/>
        </w:rPr>
        <w:t xml:space="preserve">The PBAC considered that the claim of superior comparative effectiveness </w:t>
      </w:r>
      <w:r>
        <w:rPr>
          <w:rFonts w:eastAsia="Calibri"/>
          <w:iCs/>
        </w:rPr>
        <w:t xml:space="preserve">in the population of patients with PD-L1 </w:t>
      </w:r>
      <w:r>
        <w:rPr>
          <w:rFonts w:eastAsia="Calibri" w:cstheme="minorHAnsi"/>
          <w:iCs/>
        </w:rPr>
        <w:t>≥</w:t>
      </w:r>
      <w:r>
        <w:rPr>
          <w:rFonts w:eastAsia="Calibri"/>
          <w:iCs/>
        </w:rPr>
        <w:t xml:space="preserve"> 50% </w:t>
      </w:r>
      <w:r w:rsidRPr="003025DE">
        <w:rPr>
          <w:rFonts w:eastAsia="Calibri"/>
          <w:iCs/>
        </w:rPr>
        <w:t>was reasonable</w:t>
      </w:r>
      <w:r>
        <w:rPr>
          <w:rFonts w:eastAsia="Calibri"/>
          <w:iCs/>
        </w:rPr>
        <w:t xml:space="preserve"> and</w:t>
      </w:r>
      <w:r w:rsidRPr="003025DE">
        <w:rPr>
          <w:rFonts w:eastAsia="Calibri"/>
          <w:iCs/>
        </w:rPr>
        <w:t xml:space="preserve"> adequately supported by the data.</w:t>
      </w:r>
    </w:p>
    <w:p w14:paraId="6DD18490" w14:textId="7B7AC293" w:rsidR="005F7588" w:rsidRPr="003025DE" w:rsidRDefault="003E3737" w:rsidP="00E9094A">
      <w:pPr>
        <w:pStyle w:val="3-BodyText"/>
        <w:rPr>
          <w:rFonts w:eastAsia="Calibri"/>
          <w:iCs/>
        </w:rPr>
      </w:pPr>
      <w:r w:rsidRPr="0058641B">
        <w:rPr>
          <w:rFonts w:eastAsia="Calibri"/>
          <w:iCs/>
        </w:rPr>
        <w:t xml:space="preserve">The </w:t>
      </w:r>
      <w:r w:rsidR="00BC4CF8">
        <w:rPr>
          <w:rFonts w:eastAsia="Calibri"/>
          <w:iCs/>
        </w:rPr>
        <w:t xml:space="preserve">PBAC considered the </w:t>
      </w:r>
      <w:r w:rsidRPr="0058641B">
        <w:rPr>
          <w:rFonts w:eastAsia="Calibri"/>
          <w:iCs/>
        </w:rPr>
        <w:t xml:space="preserve">claim of inferior safety was reasonable. </w:t>
      </w:r>
      <w:r w:rsidR="00072EA8" w:rsidRPr="0058641B">
        <w:rPr>
          <w:rFonts w:eastAsia="Calibri"/>
          <w:iCs/>
        </w:rPr>
        <w:t>However, m</w:t>
      </w:r>
      <w:r w:rsidRPr="0058641B">
        <w:rPr>
          <w:rFonts w:eastAsia="Calibri"/>
          <w:iCs/>
        </w:rPr>
        <w:t xml:space="preserve">ost </w:t>
      </w:r>
      <w:r w:rsidR="00F6424D" w:rsidRPr="0058641B">
        <w:rPr>
          <w:rFonts w:eastAsia="Calibri"/>
          <w:iCs/>
        </w:rPr>
        <w:t>AESI</w:t>
      </w:r>
      <w:r w:rsidRPr="0058641B">
        <w:rPr>
          <w:rFonts w:eastAsia="Calibri"/>
          <w:iCs/>
        </w:rPr>
        <w:t xml:space="preserve"> were of low grade and the </w:t>
      </w:r>
      <w:r w:rsidRPr="0058641B">
        <w:rPr>
          <w:iCs/>
        </w:rPr>
        <w:t>safety data were consistent with the known safety profile for ATZ.</w:t>
      </w:r>
    </w:p>
    <w:p w14:paraId="19D76A19" w14:textId="77777777" w:rsidR="00B60939" w:rsidRPr="0058641B" w:rsidRDefault="00B60939" w:rsidP="00E9094A">
      <w:pPr>
        <w:pStyle w:val="4-SubsectionHeading"/>
      </w:pPr>
      <w:bookmarkStart w:id="44" w:name="_Toc22897645"/>
      <w:bookmarkStart w:id="45" w:name="_Toc101281146"/>
      <w:r w:rsidRPr="0058641B">
        <w:t>Economic analysis</w:t>
      </w:r>
      <w:bookmarkEnd w:id="44"/>
      <w:bookmarkEnd w:id="45"/>
      <w:r w:rsidR="00491B3A" w:rsidRPr="0058641B">
        <w:t xml:space="preserve"> </w:t>
      </w:r>
    </w:p>
    <w:p w14:paraId="54048224" w14:textId="52101455" w:rsidR="00C37C68" w:rsidRPr="0058641B" w:rsidRDefault="00C37C68" w:rsidP="00F0184F">
      <w:pPr>
        <w:pStyle w:val="3-BodyText"/>
      </w:pPr>
      <w:bookmarkStart w:id="46" w:name="_Toc22897646"/>
      <w:bookmarkStart w:id="47" w:name="_Toc22897650"/>
      <w:r w:rsidRPr="0058641B">
        <w:rPr>
          <w:snapToGrid/>
        </w:rPr>
        <w:t xml:space="preserve">The submission presented a stepped economic evaluation based on the key trial IMpower010 and implemented a modelled evaluation comparing adjuvant ATZ </w:t>
      </w:r>
      <w:r w:rsidRPr="00F0184F">
        <w:rPr>
          <w:iCs/>
          <w:snapToGrid/>
        </w:rPr>
        <w:t xml:space="preserve">versus </w:t>
      </w:r>
      <w:r w:rsidRPr="0058641B">
        <w:rPr>
          <w:snapToGrid/>
        </w:rPr>
        <w:t xml:space="preserve">BSC for treatment of patients with Stage II-IIIA, PD-L1 positive NSCLC, following complete resection and platinum-based chemotherapy. The base case economic evaluation included patients with Stage II-IIIA, PD-L1 ≥ 1% NSCLC. A scenario analysis was performed including </w:t>
      </w:r>
      <w:r w:rsidRPr="0058641B">
        <w:rPr>
          <w:rFonts w:cs="Calibri"/>
          <w:snapToGrid/>
        </w:rPr>
        <w:t xml:space="preserve">patients with Stage II-IIIA, PD-L1 ≥ 50% NSCLC, </w:t>
      </w:r>
      <w:r w:rsidR="000645B9" w:rsidRPr="00DE7304">
        <w:rPr>
          <w:rFonts w:cs="Calibri"/>
          <w:snapToGrid/>
        </w:rPr>
        <w:t xml:space="preserve">which </w:t>
      </w:r>
      <w:r w:rsidR="000B6E5E" w:rsidRPr="00DE7304">
        <w:rPr>
          <w:rFonts w:cs="Calibri"/>
          <w:snapToGrid/>
        </w:rPr>
        <w:t xml:space="preserve">the ESC noted </w:t>
      </w:r>
      <w:r w:rsidR="000645B9" w:rsidRPr="00DE7304">
        <w:rPr>
          <w:rFonts w:cs="Calibri"/>
          <w:snapToGrid/>
        </w:rPr>
        <w:t xml:space="preserve">is relevant given the </w:t>
      </w:r>
      <w:r w:rsidRPr="00DE7304">
        <w:rPr>
          <w:rFonts w:cs="Calibri"/>
          <w:snapToGrid/>
        </w:rPr>
        <w:t xml:space="preserve">final TGA indication </w:t>
      </w:r>
      <w:r w:rsidR="00260FC9">
        <w:rPr>
          <w:rFonts w:cs="Calibri"/>
          <w:snapToGrid/>
        </w:rPr>
        <w:t xml:space="preserve">is likely to </w:t>
      </w:r>
      <w:r w:rsidRPr="00DE7304">
        <w:rPr>
          <w:rFonts w:cs="Calibri"/>
          <w:snapToGrid/>
        </w:rPr>
        <w:t>restrict</w:t>
      </w:r>
      <w:r w:rsidR="000645B9" w:rsidRPr="00DE7304">
        <w:rPr>
          <w:rFonts w:cs="Calibri"/>
          <w:snapToGrid/>
        </w:rPr>
        <w:t>ed</w:t>
      </w:r>
      <w:r w:rsidRPr="00DE7304">
        <w:rPr>
          <w:rFonts w:cs="Calibri"/>
          <w:snapToGrid/>
        </w:rPr>
        <w:t xml:space="preserve"> use of ATZ to this subgroup</w:t>
      </w:r>
      <w:r w:rsidRPr="00DE7304">
        <w:rPr>
          <w:snapToGrid/>
        </w:rPr>
        <w:t xml:space="preserve">. </w:t>
      </w:r>
      <w:r w:rsidR="000645B9" w:rsidRPr="00DE7304">
        <w:rPr>
          <w:snapToGrid/>
        </w:rPr>
        <w:t xml:space="preserve">The </w:t>
      </w:r>
      <w:r w:rsidR="000B6E5E" w:rsidRPr="00DE7304">
        <w:rPr>
          <w:snapToGrid/>
        </w:rPr>
        <w:t xml:space="preserve">ESC noted the </w:t>
      </w:r>
      <w:r w:rsidR="000645B9" w:rsidRPr="00DE7304">
        <w:rPr>
          <w:snapToGrid/>
        </w:rPr>
        <w:t>structural issues and point</w:t>
      </w:r>
      <w:r w:rsidR="00260FC9">
        <w:rPr>
          <w:snapToGrid/>
        </w:rPr>
        <w:t>s</w:t>
      </w:r>
      <w:r w:rsidR="000645B9" w:rsidRPr="00DE7304">
        <w:rPr>
          <w:snapToGrid/>
        </w:rPr>
        <w:t xml:space="preserve"> of uncertainty that applied to the PD-L1 ≥ 1% group also applied to the ≥ 50%</w:t>
      </w:r>
      <w:r w:rsidR="000B6E5E" w:rsidRPr="00DE7304">
        <w:rPr>
          <w:snapToGrid/>
        </w:rPr>
        <w:t xml:space="preserve"> group</w:t>
      </w:r>
      <w:r w:rsidR="000645B9" w:rsidRPr="00DE7304">
        <w:rPr>
          <w:snapToGrid/>
        </w:rPr>
        <w:t xml:space="preserve">, but the ICER is relatively </w:t>
      </w:r>
      <w:r w:rsidR="000B6E5E" w:rsidRPr="00DE7304">
        <w:rPr>
          <w:snapToGrid/>
        </w:rPr>
        <w:lastRenderedPageBreak/>
        <w:t xml:space="preserve">more </w:t>
      </w:r>
      <w:r w:rsidR="000645B9" w:rsidRPr="00DE7304">
        <w:rPr>
          <w:snapToGrid/>
        </w:rPr>
        <w:t xml:space="preserve">favourable in the latter. </w:t>
      </w:r>
      <w:r w:rsidRPr="0058641B">
        <w:rPr>
          <w:snapToGrid/>
        </w:rPr>
        <w:t xml:space="preserve">The key components of the economic evaluation are summarised in </w:t>
      </w:r>
      <w:r w:rsidRPr="0058641B">
        <w:rPr>
          <w:snapToGrid/>
        </w:rPr>
        <w:fldChar w:fldCharType="begin"/>
      </w:r>
      <w:r w:rsidRPr="0058641B">
        <w:rPr>
          <w:snapToGrid/>
        </w:rPr>
        <w:instrText xml:space="preserve"> REF _Ref101225631 \h </w:instrText>
      </w:r>
      <w:r w:rsidRPr="0058641B">
        <w:rPr>
          <w:snapToGrid/>
        </w:rPr>
      </w:r>
      <w:r w:rsidRPr="0058641B">
        <w:rPr>
          <w:snapToGrid/>
        </w:rPr>
        <w:fldChar w:fldCharType="separate"/>
      </w:r>
      <w:r w:rsidR="0043151A" w:rsidRPr="0058641B">
        <w:t xml:space="preserve">Table </w:t>
      </w:r>
      <w:r w:rsidR="0043151A">
        <w:rPr>
          <w:noProof/>
        </w:rPr>
        <w:t>11</w:t>
      </w:r>
      <w:r w:rsidRPr="0058641B">
        <w:rPr>
          <w:snapToGrid/>
        </w:rPr>
        <w:fldChar w:fldCharType="end"/>
      </w:r>
      <w:r w:rsidRPr="0058641B">
        <w:rPr>
          <w:snapToGrid/>
        </w:rPr>
        <w:t>.</w:t>
      </w:r>
    </w:p>
    <w:p w14:paraId="4C017159" w14:textId="13530B31" w:rsidR="00C37C68" w:rsidRPr="0058641B" w:rsidRDefault="00C37C68" w:rsidP="00C37C68">
      <w:pPr>
        <w:pStyle w:val="TableFigureHeading"/>
        <w:rPr>
          <w:rStyle w:val="CommentReference"/>
          <w:b/>
          <w:szCs w:val="24"/>
        </w:rPr>
      </w:pPr>
      <w:bookmarkStart w:id="48" w:name="_Ref101225631"/>
      <w:bookmarkStart w:id="49" w:name="_Ref101225623"/>
      <w:r w:rsidRPr="0058641B">
        <w:t xml:space="preserve">Table </w:t>
      </w:r>
      <w:fldSimple w:instr=" SEQ Table \* ARABIC ">
        <w:r w:rsidR="0043151A">
          <w:rPr>
            <w:noProof/>
          </w:rPr>
          <w:t>11</w:t>
        </w:r>
      </w:fldSimple>
      <w:bookmarkEnd w:id="48"/>
      <w:r w:rsidRPr="0058641B">
        <w:t xml:space="preserve">: </w:t>
      </w:r>
      <w:r w:rsidRPr="0058641B">
        <w:rPr>
          <w:rStyle w:val="CommentReference"/>
          <w:b/>
          <w:szCs w:val="24"/>
        </w:rPr>
        <w:t>Summary of model structure, key inputs and rationale</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9"/>
        <w:gridCol w:w="7358"/>
      </w:tblGrid>
      <w:tr w:rsidR="00C37C68" w:rsidRPr="0058641B" w14:paraId="59418BB6" w14:textId="77777777" w:rsidTr="00D312D9">
        <w:tc>
          <w:tcPr>
            <w:tcW w:w="920" w:type="pct"/>
          </w:tcPr>
          <w:p w14:paraId="6E664E1A" w14:textId="77777777" w:rsidR="00C37C68" w:rsidRPr="0058641B" w:rsidRDefault="00C37C68" w:rsidP="00D312D9">
            <w:pPr>
              <w:pStyle w:val="In-tableHeading"/>
              <w:rPr>
                <w:lang w:val="en-AU"/>
              </w:rPr>
            </w:pPr>
            <w:r w:rsidRPr="0058641B">
              <w:rPr>
                <w:lang w:val="en-AU"/>
              </w:rPr>
              <w:t>Component</w:t>
            </w:r>
          </w:p>
        </w:tc>
        <w:tc>
          <w:tcPr>
            <w:tcW w:w="4080" w:type="pct"/>
          </w:tcPr>
          <w:p w14:paraId="65CF356D" w14:textId="77777777" w:rsidR="00C37C68" w:rsidRPr="0058641B" w:rsidRDefault="00C37C68" w:rsidP="00D312D9">
            <w:pPr>
              <w:pStyle w:val="In-tableHeading"/>
              <w:rPr>
                <w:lang w:val="en-AU"/>
              </w:rPr>
            </w:pPr>
            <w:r w:rsidRPr="0058641B">
              <w:rPr>
                <w:lang w:val="en-AU"/>
              </w:rPr>
              <w:t>Summary</w:t>
            </w:r>
          </w:p>
        </w:tc>
      </w:tr>
      <w:tr w:rsidR="00C37C68" w:rsidRPr="0058641B" w14:paraId="511DF798" w14:textId="77777777" w:rsidTr="00D312D9">
        <w:tc>
          <w:tcPr>
            <w:tcW w:w="920" w:type="pct"/>
            <w:shd w:val="clear" w:color="auto" w:fill="auto"/>
            <w:vAlign w:val="center"/>
          </w:tcPr>
          <w:p w14:paraId="42999B49" w14:textId="77777777" w:rsidR="00C37C68" w:rsidRPr="0058641B" w:rsidRDefault="00C37C68" w:rsidP="00D312D9">
            <w:pPr>
              <w:pStyle w:val="TableText0"/>
            </w:pPr>
            <w:r w:rsidRPr="0058641B">
              <w:t>Treatments</w:t>
            </w:r>
          </w:p>
        </w:tc>
        <w:tc>
          <w:tcPr>
            <w:tcW w:w="4080" w:type="pct"/>
            <w:shd w:val="clear" w:color="auto" w:fill="auto"/>
            <w:vAlign w:val="center"/>
          </w:tcPr>
          <w:p w14:paraId="19E71504" w14:textId="77777777" w:rsidR="00C37C68" w:rsidRPr="0058641B" w:rsidRDefault="00C37C68" w:rsidP="00D312D9">
            <w:pPr>
              <w:pStyle w:val="TableText0"/>
            </w:pPr>
            <w:r w:rsidRPr="0058641B">
              <w:t xml:space="preserve">Adjuvant atezolizumab </w:t>
            </w:r>
            <w:r w:rsidRPr="0058641B">
              <w:rPr>
                <w:i/>
              </w:rPr>
              <w:t xml:space="preserve">vs. </w:t>
            </w:r>
            <w:r w:rsidRPr="0058641B">
              <w:t>best supportive care</w:t>
            </w:r>
          </w:p>
        </w:tc>
      </w:tr>
      <w:tr w:rsidR="00C37C68" w:rsidRPr="0058641B" w14:paraId="3A433B68" w14:textId="77777777" w:rsidTr="00D312D9">
        <w:tc>
          <w:tcPr>
            <w:tcW w:w="920" w:type="pct"/>
          </w:tcPr>
          <w:p w14:paraId="05B06474" w14:textId="77777777" w:rsidR="00C37C68" w:rsidRPr="0058641B" w:rsidRDefault="00C37C68" w:rsidP="00D312D9">
            <w:pPr>
              <w:pStyle w:val="TableText0"/>
            </w:pPr>
            <w:r w:rsidRPr="0058641B">
              <w:t>Outcomes</w:t>
            </w:r>
          </w:p>
        </w:tc>
        <w:tc>
          <w:tcPr>
            <w:tcW w:w="4080" w:type="pct"/>
          </w:tcPr>
          <w:p w14:paraId="5B0A6EA3" w14:textId="77777777" w:rsidR="00C37C68" w:rsidRPr="0058641B" w:rsidRDefault="00C37C68" w:rsidP="00D312D9">
            <w:pPr>
              <w:pStyle w:val="TableText0"/>
            </w:pPr>
            <w:r w:rsidRPr="0058641B">
              <w:t xml:space="preserve">LYs gained and QALYs gained </w:t>
            </w:r>
          </w:p>
        </w:tc>
      </w:tr>
      <w:tr w:rsidR="00C37C68" w:rsidRPr="0058641B" w14:paraId="332B786A" w14:textId="77777777" w:rsidTr="00D312D9">
        <w:tc>
          <w:tcPr>
            <w:tcW w:w="920" w:type="pct"/>
          </w:tcPr>
          <w:p w14:paraId="404AD69A" w14:textId="77777777" w:rsidR="00C37C68" w:rsidRPr="0058641B" w:rsidRDefault="00C37C68" w:rsidP="00D312D9">
            <w:pPr>
              <w:pStyle w:val="TableText0"/>
            </w:pPr>
            <w:r w:rsidRPr="0058641B">
              <w:t>Time horizon</w:t>
            </w:r>
          </w:p>
        </w:tc>
        <w:tc>
          <w:tcPr>
            <w:tcW w:w="4080" w:type="pct"/>
          </w:tcPr>
          <w:p w14:paraId="1217B946" w14:textId="77777777" w:rsidR="00C37C68" w:rsidRPr="0058641B" w:rsidRDefault="00C37C68" w:rsidP="00D312D9">
            <w:pPr>
              <w:pStyle w:val="TableText0"/>
            </w:pPr>
            <w:r w:rsidRPr="0058641B">
              <w:t xml:space="preserve">25 years in the model base case </w:t>
            </w:r>
            <w:r w:rsidRPr="0058641B">
              <w:rPr>
                <w:i/>
              </w:rPr>
              <w:t>vs.</w:t>
            </w:r>
            <w:r w:rsidRPr="0058641B">
              <w:t xml:space="preserve"> median follow-up of 32.2 months in Trial IMpower010</w:t>
            </w:r>
          </w:p>
        </w:tc>
      </w:tr>
      <w:tr w:rsidR="00C37C68" w:rsidRPr="0058641B" w14:paraId="4A7CDB37" w14:textId="77777777" w:rsidTr="00D312D9">
        <w:tc>
          <w:tcPr>
            <w:tcW w:w="920" w:type="pct"/>
          </w:tcPr>
          <w:p w14:paraId="25B74703" w14:textId="77777777" w:rsidR="00C37C68" w:rsidRPr="0058641B" w:rsidRDefault="00C37C68" w:rsidP="00D312D9">
            <w:pPr>
              <w:pStyle w:val="TableText0"/>
            </w:pPr>
            <w:r w:rsidRPr="0058641B">
              <w:t>Methods used to generate results</w:t>
            </w:r>
          </w:p>
        </w:tc>
        <w:tc>
          <w:tcPr>
            <w:tcW w:w="4080" w:type="pct"/>
          </w:tcPr>
          <w:p w14:paraId="032C0307" w14:textId="77777777" w:rsidR="00C37C68" w:rsidRPr="0058641B" w:rsidRDefault="00C37C68" w:rsidP="00D312D9">
            <w:pPr>
              <w:pStyle w:val="TableText0"/>
            </w:pPr>
            <w:r w:rsidRPr="0058641B">
              <w:t>Markov model</w:t>
            </w:r>
          </w:p>
        </w:tc>
      </w:tr>
      <w:tr w:rsidR="00C37C68" w:rsidRPr="0058641B" w14:paraId="03DC5A5B" w14:textId="77777777" w:rsidTr="00D312D9">
        <w:tc>
          <w:tcPr>
            <w:tcW w:w="920" w:type="pct"/>
          </w:tcPr>
          <w:p w14:paraId="32F2A540" w14:textId="77777777" w:rsidR="00C37C68" w:rsidRPr="0058641B" w:rsidRDefault="00C37C68" w:rsidP="00D312D9">
            <w:pPr>
              <w:pStyle w:val="TableText0"/>
            </w:pPr>
            <w:r w:rsidRPr="0058641B">
              <w:t>Health states</w:t>
            </w:r>
          </w:p>
        </w:tc>
        <w:tc>
          <w:tcPr>
            <w:tcW w:w="4080" w:type="pct"/>
          </w:tcPr>
          <w:p w14:paraId="21BA51AF" w14:textId="77777777" w:rsidR="00C37C68" w:rsidRPr="0058641B" w:rsidRDefault="00C37C68" w:rsidP="00D312D9">
            <w:pPr>
              <w:pStyle w:val="TableText0"/>
            </w:pPr>
            <w:r w:rsidRPr="0058641B">
              <w:t>Five health states: disease-free survival, locoregional recurrence (LRR), first-line distant recurrence (1L DR), second-line distant recurrence (2L DR), and death</w:t>
            </w:r>
          </w:p>
        </w:tc>
      </w:tr>
      <w:tr w:rsidR="00C37C68" w:rsidRPr="0058641B" w14:paraId="71BD66AA" w14:textId="77777777" w:rsidTr="00D312D9">
        <w:tc>
          <w:tcPr>
            <w:tcW w:w="920" w:type="pct"/>
          </w:tcPr>
          <w:p w14:paraId="3782F5E1" w14:textId="77777777" w:rsidR="00C37C68" w:rsidRPr="0058641B" w:rsidRDefault="00C37C68" w:rsidP="00D312D9">
            <w:pPr>
              <w:pStyle w:val="TableText0"/>
            </w:pPr>
            <w:r w:rsidRPr="0058641B">
              <w:t>Cycle length</w:t>
            </w:r>
          </w:p>
        </w:tc>
        <w:tc>
          <w:tcPr>
            <w:tcW w:w="4080" w:type="pct"/>
          </w:tcPr>
          <w:p w14:paraId="361F81A5" w14:textId="77777777" w:rsidR="00C37C68" w:rsidRPr="0058641B" w:rsidRDefault="00C37C68" w:rsidP="00D312D9">
            <w:pPr>
              <w:pStyle w:val="TableText0"/>
            </w:pPr>
            <w:r w:rsidRPr="0058641B">
              <w:t>1 week</w:t>
            </w:r>
          </w:p>
        </w:tc>
      </w:tr>
      <w:tr w:rsidR="00C37C68" w:rsidRPr="0058641B" w14:paraId="498D0E4B" w14:textId="77777777" w:rsidTr="00D312D9">
        <w:tc>
          <w:tcPr>
            <w:tcW w:w="920" w:type="pct"/>
          </w:tcPr>
          <w:p w14:paraId="0A186BCA" w14:textId="77777777" w:rsidR="00C37C68" w:rsidRPr="0058641B" w:rsidRDefault="00C37C68" w:rsidP="00D312D9">
            <w:pPr>
              <w:pStyle w:val="TableText0"/>
            </w:pPr>
            <w:r w:rsidRPr="0058641B">
              <w:t>Transition probabilities</w:t>
            </w:r>
          </w:p>
        </w:tc>
        <w:tc>
          <w:tcPr>
            <w:tcW w:w="4080" w:type="pct"/>
          </w:tcPr>
          <w:p w14:paraId="65EBEABD" w14:textId="77777777" w:rsidR="00C37C68" w:rsidRPr="0058641B" w:rsidRDefault="00C37C68" w:rsidP="00D312D9">
            <w:pPr>
              <w:pStyle w:val="TableText0"/>
            </w:pPr>
            <w:r w:rsidRPr="0058641B">
              <w:t xml:space="preserve">IMpower010 was the data source for the transition probabilities from DFS to LRR, from DFS to 1L DR and from DFS to death in the </w:t>
            </w:r>
            <w:proofErr w:type="gramStart"/>
            <w:r w:rsidRPr="0058641B">
              <w:t>early stage</w:t>
            </w:r>
            <w:proofErr w:type="gramEnd"/>
            <w:r w:rsidRPr="0058641B">
              <w:t xml:space="preserve"> NSCLC setting. </w:t>
            </w:r>
          </w:p>
          <w:p w14:paraId="26994401" w14:textId="77777777" w:rsidR="00C37C68" w:rsidRPr="0058641B" w:rsidRDefault="00C37C68" w:rsidP="00D312D9">
            <w:pPr>
              <w:pStyle w:val="TableText0"/>
            </w:pPr>
            <w:r w:rsidRPr="0058641B">
              <w:t xml:space="preserve">The transition probabilities from LRR to 1L DR were sourced from </w:t>
            </w:r>
            <w:proofErr w:type="spellStart"/>
            <w:r w:rsidRPr="0058641B">
              <w:t>Nakamichi</w:t>
            </w:r>
            <w:proofErr w:type="spellEnd"/>
            <w:r w:rsidRPr="0058641B">
              <w:t xml:space="preserve"> 2017. </w:t>
            </w:r>
          </w:p>
          <w:p w14:paraId="60D2B10E" w14:textId="365F4479" w:rsidR="00C37C68" w:rsidRPr="0058641B" w:rsidRDefault="00C37C68" w:rsidP="00D312D9">
            <w:pPr>
              <w:pStyle w:val="TableText0"/>
            </w:pPr>
            <w:r w:rsidRPr="0058641B">
              <w:t>Three other immunotherapy studies (KN189, IMpower150 and OAK) were used to estimate the transition probabilities for NSCLC distant recurrence (e.g. from 1L DR to 2L DR, from 1L DR to death and from 2L DR to death</w:t>
            </w:r>
            <w:r w:rsidR="00EB794C" w:rsidRPr="0058641B">
              <w:t>)</w:t>
            </w:r>
            <w:r w:rsidRPr="0058641B">
              <w:t xml:space="preserve">.  </w:t>
            </w:r>
          </w:p>
          <w:p w14:paraId="0DDF45FF" w14:textId="77777777" w:rsidR="00C37C68" w:rsidRPr="0058641B" w:rsidRDefault="00C37C68" w:rsidP="00D312D9">
            <w:pPr>
              <w:pStyle w:val="TableText0"/>
            </w:pPr>
            <w:r w:rsidRPr="0058641B">
              <w:t xml:space="preserve">Australian age-specific background mortality from ABS Life Tables was also </w:t>
            </w:r>
            <w:proofErr w:type="gramStart"/>
            <w:r w:rsidRPr="0058641B">
              <w:t>taken into account</w:t>
            </w:r>
            <w:proofErr w:type="gramEnd"/>
            <w:r w:rsidRPr="0058641B">
              <w:t xml:space="preserve"> in the economic model.</w:t>
            </w:r>
          </w:p>
        </w:tc>
      </w:tr>
      <w:tr w:rsidR="00C37C68" w:rsidRPr="0058641B" w14:paraId="306D5AD6" w14:textId="77777777" w:rsidTr="00D312D9">
        <w:tc>
          <w:tcPr>
            <w:tcW w:w="920" w:type="pct"/>
          </w:tcPr>
          <w:p w14:paraId="436A381A" w14:textId="77777777" w:rsidR="00C37C68" w:rsidRPr="0058641B" w:rsidRDefault="00C37C68" w:rsidP="00D312D9">
            <w:pPr>
              <w:pStyle w:val="TableText0"/>
            </w:pPr>
            <w:r w:rsidRPr="0058641B">
              <w:t>Extrapolation method</w:t>
            </w:r>
          </w:p>
        </w:tc>
        <w:tc>
          <w:tcPr>
            <w:tcW w:w="4080" w:type="pct"/>
          </w:tcPr>
          <w:p w14:paraId="5CF703A7" w14:textId="033C9748" w:rsidR="00C37C68" w:rsidRPr="0058641B" w:rsidRDefault="00C37C68" w:rsidP="00D312D9">
            <w:pPr>
              <w:pStyle w:val="TableText0"/>
            </w:pPr>
            <w:r w:rsidRPr="0058641B">
              <w:t xml:space="preserve">The DFS curves from the IMpower010 trial were extrapolated from 32.2 months, using an independent log-logistic distribution. </w:t>
            </w:r>
            <w:r w:rsidR="001820D7" w:rsidRPr="0058641B">
              <w:t>The submission stated that an adjustment for time limited treatment effect was applied to the economic model by assuming that the treatment effect of atezolizumab over</w:t>
            </w:r>
            <w:r w:rsidR="002E2E1B" w:rsidRPr="0058641B">
              <w:t xml:space="preserve"> BSC </w:t>
            </w:r>
            <w:r w:rsidR="001820D7" w:rsidRPr="0058641B">
              <w:t xml:space="preserve">decreased linearly between Year 5 and Year 10. </w:t>
            </w:r>
            <w:r w:rsidR="00840897" w:rsidRPr="0058641B">
              <w:t xml:space="preserve">Then an adjustment for sustained DFS was applied by assuming </w:t>
            </w:r>
            <w:r w:rsidR="001820D7" w:rsidRPr="0058641B">
              <w:t xml:space="preserve">that the proportion of </w:t>
            </w:r>
            <w:r w:rsidR="00840897" w:rsidRPr="0058641B">
              <w:t xml:space="preserve">“cured” </w:t>
            </w:r>
            <w:r w:rsidR="001820D7" w:rsidRPr="0058641B">
              <w:t>patients (i.e. no disease recurrence) increased linearly from Year 2 to a maximum of 91.5% in Year 5. Neither of these adjustments w</w:t>
            </w:r>
            <w:r w:rsidR="009048DA" w:rsidRPr="0058641B">
              <w:t>as</w:t>
            </w:r>
            <w:r w:rsidR="001820D7" w:rsidRPr="0058641B">
              <w:t xml:space="preserve"> well justified (</w:t>
            </w:r>
            <w:r w:rsidR="009048DA" w:rsidRPr="0058641B">
              <w:t>see detailed discussion below)</w:t>
            </w:r>
            <w:r w:rsidR="001820D7" w:rsidRPr="0058641B">
              <w:t xml:space="preserve">. </w:t>
            </w:r>
          </w:p>
          <w:p w14:paraId="0B53FF14" w14:textId="77777777" w:rsidR="00C37C68" w:rsidRPr="0058641B" w:rsidRDefault="00C37C68" w:rsidP="00D312D9">
            <w:pPr>
              <w:pStyle w:val="TableText0"/>
            </w:pPr>
            <w:r w:rsidRPr="0058641B">
              <w:t>The submission assumed that the per cycle transition probabilities between the post-DFS health states (i.e. LRR, 1L DR, 2L DR and death) would be constant over the entire time horizon.</w:t>
            </w:r>
          </w:p>
        </w:tc>
      </w:tr>
      <w:tr w:rsidR="00C37C68" w:rsidRPr="0058641B" w14:paraId="54289E22" w14:textId="77777777" w:rsidTr="00D312D9">
        <w:tc>
          <w:tcPr>
            <w:tcW w:w="920" w:type="pct"/>
          </w:tcPr>
          <w:p w14:paraId="6E42A2E6" w14:textId="77777777" w:rsidR="00C37C68" w:rsidRPr="0058641B" w:rsidRDefault="00C37C68" w:rsidP="00D312D9">
            <w:pPr>
              <w:pStyle w:val="TableText0"/>
            </w:pPr>
            <w:r w:rsidRPr="0058641B">
              <w:t>Health related quality of life</w:t>
            </w:r>
          </w:p>
        </w:tc>
        <w:tc>
          <w:tcPr>
            <w:tcW w:w="4080" w:type="pct"/>
          </w:tcPr>
          <w:p w14:paraId="0D70459F" w14:textId="77777777" w:rsidR="00C37C68" w:rsidRPr="0058641B" w:rsidRDefault="00C37C68" w:rsidP="00D312D9">
            <w:pPr>
              <w:pStyle w:val="TableText0"/>
            </w:pPr>
            <w:r w:rsidRPr="0058641B">
              <w:t xml:space="preserve">The submission assumed identical utilities between the two treatment arms in each health state. The health state utilities were derived from the literature. </w:t>
            </w:r>
          </w:p>
          <w:p w14:paraId="272BA62D" w14:textId="77777777" w:rsidR="00C37C68" w:rsidRPr="0058641B" w:rsidRDefault="00C37C68" w:rsidP="00D312D9">
            <w:pPr>
              <w:pStyle w:val="TableText0"/>
            </w:pPr>
            <w:r w:rsidRPr="0058641B">
              <w:t>DFS: 0.81 (Grutters 2010)</w:t>
            </w:r>
          </w:p>
          <w:p w14:paraId="5092D5C7" w14:textId="77777777" w:rsidR="00C37C68" w:rsidRPr="00073D5D" w:rsidRDefault="00C37C68" w:rsidP="00D312D9">
            <w:pPr>
              <w:pStyle w:val="TableText0"/>
              <w:rPr>
                <w:lang w:val="de-DE"/>
              </w:rPr>
            </w:pPr>
            <w:r w:rsidRPr="00073D5D">
              <w:rPr>
                <w:lang w:val="de-DE"/>
              </w:rPr>
              <w:t>LRR: 0.72 (Grutters 2010)</w:t>
            </w:r>
          </w:p>
          <w:p w14:paraId="2C200D6F" w14:textId="77777777" w:rsidR="00C37C68" w:rsidRPr="00073D5D" w:rsidRDefault="00C37C68" w:rsidP="00D312D9">
            <w:pPr>
              <w:pStyle w:val="TableText0"/>
              <w:rPr>
                <w:lang w:val="de-DE"/>
              </w:rPr>
            </w:pPr>
            <w:r w:rsidRPr="00073D5D">
              <w:rPr>
                <w:lang w:val="de-DE"/>
              </w:rPr>
              <w:t>1L DR: 0.69 (KN189)</w:t>
            </w:r>
          </w:p>
          <w:p w14:paraId="64B02281" w14:textId="77777777" w:rsidR="00C37C68" w:rsidRPr="0058641B" w:rsidRDefault="00C37C68" w:rsidP="00D312D9">
            <w:pPr>
              <w:pStyle w:val="TableText0"/>
            </w:pPr>
            <w:r w:rsidRPr="0058641B">
              <w:t>2L DR: 0.667 (OAK)</w:t>
            </w:r>
          </w:p>
        </w:tc>
      </w:tr>
    </w:tbl>
    <w:p w14:paraId="35474E14" w14:textId="77777777" w:rsidR="00C37C68" w:rsidRPr="0058641B" w:rsidRDefault="00C37C68" w:rsidP="00C37C68">
      <w:pPr>
        <w:pStyle w:val="TableFigureFooter"/>
      </w:pPr>
      <w:r w:rsidRPr="0058641B">
        <w:t>Source: Table 3.2, pp64-65 and Table 3.9, p83 of the submission.</w:t>
      </w:r>
    </w:p>
    <w:p w14:paraId="0B8B12EF" w14:textId="13227080" w:rsidR="00C37C68" w:rsidRPr="0058641B" w:rsidRDefault="002E2E1B" w:rsidP="00C37C68">
      <w:pPr>
        <w:pStyle w:val="TableFigureFooter"/>
      </w:pPr>
      <w:r w:rsidRPr="0058641B">
        <w:t xml:space="preserve">BSC = best supportive care; </w:t>
      </w:r>
      <w:r w:rsidR="00C37C68" w:rsidRPr="0058641B">
        <w:t>LY = life year; NSCLC = non-small cell lung cancer; QALY = quality-adjusted life year</w:t>
      </w:r>
    </w:p>
    <w:p w14:paraId="7424E879" w14:textId="6A203D31" w:rsidR="00B779BE" w:rsidRPr="0058641B" w:rsidRDefault="00C37C68" w:rsidP="00C37C68">
      <w:pPr>
        <w:pStyle w:val="3-BodyText"/>
        <w:rPr>
          <w:iCs/>
        </w:rPr>
      </w:pPr>
      <w:r w:rsidRPr="0058641B">
        <w:t xml:space="preserve">The economic model assumed a 25-year time horizon. </w:t>
      </w:r>
      <w:r w:rsidR="00840897" w:rsidRPr="0058641B">
        <w:rPr>
          <w:iCs/>
        </w:rPr>
        <w:t xml:space="preserve">This was longer than the time horizon </w:t>
      </w:r>
      <w:r w:rsidR="00625383" w:rsidRPr="0058641B">
        <w:rPr>
          <w:iCs/>
        </w:rPr>
        <w:t xml:space="preserve">used </w:t>
      </w:r>
      <w:r w:rsidR="00D865C3" w:rsidRPr="0058641B">
        <w:rPr>
          <w:iCs/>
        </w:rPr>
        <w:t xml:space="preserve">in </w:t>
      </w:r>
      <w:r w:rsidR="00840897" w:rsidRPr="0058641B">
        <w:rPr>
          <w:iCs/>
        </w:rPr>
        <w:t xml:space="preserve">the durvalumab </w:t>
      </w:r>
      <w:r w:rsidR="00D865C3" w:rsidRPr="0058641B">
        <w:rPr>
          <w:iCs/>
        </w:rPr>
        <w:t>economic model</w:t>
      </w:r>
      <w:r w:rsidR="009B71EE" w:rsidRPr="0058641B">
        <w:rPr>
          <w:iCs/>
        </w:rPr>
        <w:t>s</w:t>
      </w:r>
      <w:r w:rsidR="00D865C3" w:rsidRPr="0058641B">
        <w:rPr>
          <w:iCs/>
        </w:rPr>
        <w:t xml:space="preserve"> (10 years in the model base case vs. 50 months in the key PACIFIC trial) for </w:t>
      </w:r>
      <w:r w:rsidR="00625383" w:rsidRPr="0058641B">
        <w:rPr>
          <w:iCs/>
        </w:rPr>
        <w:t xml:space="preserve">the </w:t>
      </w:r>
      <w:r w:rsidR="00D865C3" w:rsidRPr="0058641B">
        <w:rPr>
          <w:iCs/>
        </w:rPr>
        <w:t xml:space="preserve">treatment of Stage III unresectable NSCLC after platinum-based chemoradiation therapy, </w:t>
      </w:r>
      <w:r w:rsidR="00E01F55" w:rsidRPr="0058641B">
        <w:rPr>
          <w:iCs/>
        </w:rPr>
        <w:t xml:space="preserve">which represents </w:t>
      </w:r>
      <w:r w:rsidR="00D865C3" w:rsidRPr="0058641B">
        <w:rPr>
          <w:iCs/>
        </w:rPr>
        <w:t xml:space="preserve">a more advanced disease stage than the proposed indication for ATZ </w:t>
      </w:r>
      <w:r w:rsidR="00AA3BF1" w:rsidRPr="0058641B">
        <w:rPr>
          <w:iCs/>
        </w:rPr>
        <w:t>(Durvalumab public summary documents (PSDs), November 2018 and July 2019 PBAC meetings)</w:t>
      </w:r>
      <w:r w:rsidR="00D865C3" w:rsidRPr="0058641B">
        <w:rPr>
          <w:iCs/>
        </w:rPr>
        <w:t xml:space="preserve">. </w:t>
      </w:r>
      <w:r w:rsidR="009B1A06" w:rsidRPr="00DE7304">
        <w:rPr>
          <w:iCs/>
        </w:rPr>
        <w:t>The</w:t>
      </w:r>
      <w:r w:rsidR="00263DB2">
        <w:rPr>
          <w:iCs/>
        </w:rPr>
        <w:t xml:space="preserve"> </w:t>
      </w:r>
      <w:r w:rsidR="00263DB2">
        <w:t>Pre-Sub-Committee Response</w:t>
      </w:r>
      <w:r w:rsidR="009B1A06" w:rsidRPr="00DE7304">
        <w:rPr>
          <w:iCs/>
        </w:rPr>
        <w:t xml:space="preserve"> </w:t>
      </w:r>
      <w:r w:rsidR="00263DB2">
        <w:rPr>
          <w:iCs/>
        </w:rPr>
        <w:t>(</w:t>
      </w:r>
      <w:r w:rsidR="009B1A06" w:rsidRPr="00DE7304">
        <w:rPr>
          <w:iCs/>
        </w:rPr>
        <w:t>PSCR</w:t>
      </w:r>
      <w:r w:rsidR="00263DB2">
        <w:rPr>
          <w:iCs/>
        </w:rPr>
        <w:t>)</w:t>
      </w:r>
      <w:r w:rsidR="009B1A06" w:rsidRPr="00DE7304">
        <w:rPr>
          <w:iCs/>
        </w:rPr>
        <w:t xml:space="preserve"> stated that for a more advanced disease setting, such as that modelled in the durvalumab submission, a shorter time horizon would suffice to reflect the shorter lifetime time horizon expected in patients with incurable disease. The ESC considered a better prognosis might justify a longer time horizon, but less clinical data makes th</w:t>
      </w:r>
      <w:r w:rsidR="004E2984" w:rsidRPr="00DE7304">
        <w:rPr>
          <w:iCs/>
        </w:rPr>
        <w:t>e</w:t>
      </w:r>
      <w:r w:rsidR="009B1A06" w:rsidRPr="00DE7304">
        <w:rPr>
          <w:iCs/>
        </w:rPr>
        <w:t xml:space="preserve"> extrapolation more uncertain</w:t>
      </w:r>
      <w:r w:rsidR="00A523E4" w:rsidRPr="00DE7304">
        <w:rPr>
          <w:iCs/>
        </w:rPr>
        <w:t>.</w:t>
      </w:r>
      <w:r w:rsidR="00A523E4" w:rsidRPr="0058641B">
        <w:rPr>
          <w:i/>
        </w:rPr>
        <w:t xml:space="preserve"> </w:t>
      </w:r>
    </w:p>
    <w:p w14:paraId="7162211B" w14:textId="07A23D27" w:rsidR="00C37C68" w:rsidRPr="0058641B" w:rsidRDefault="00C37C68" w:rsidP="00C37C68">
      <w:pPr>
        <w:pStyle w:val="3-BodyText"/>
        <w:rPr>
          <w:i/>
        </w:rPr>
      </w:pPr>
      <w:r w:rsidRPr="0058641B">
        <w:rPr>
          <w:iCs/>
        </w:rPr>
        <w:lastRenderedPageBreak/>
        <w:t xml:space="preserve">Although a lifetime time horizon allows capturing differences between adjuvant ATZ and BSC with regard to costs and outcomes incurred throughout the disease course of </w:t>
      </w:r>
      <w:proofErr w:type="gramStart"/>
      <w:r w:rsidRPr="0058641B">
        <w:rPr>
          <w:iCs/>
        </w:rPr>
        <w:t>early stage</w:t>
      </w:r>
      <w:proofErr w:type="gramEnd"/>
      <w:r w:rsidRPr="0058641B">
        <w:rPr>
          <w:iCs/>
        </w:rPr>
        <w:t xml:space="preserve"> NSCLC after complete resection and platinum-based chemotherapy, the trial data did not provide a reliable basis for a long-term extrapolation. Around 92% of the incremental quality-adjusted life years (QALYs) between the treatment arms accumulated during the extrapolation period; whilst the incremental costs dropped during this period, primarily due to the cumulative cost savings from treatment in the first-line distant recurrence (1L DR) setting (chemotherapy in the ATZ arm vs. 80% pembrolizumab + chemotherapy and 20% chemotherapy in the BSC arm). The time horizon is a key driver of the result favouring ATZ.  </w:t>
      </w:r>
      <w:r w:rsidR="00152070">
        <w:rPr>
          <w:bCs/>
          <w:lang w:val="en-GB"/>
        </w:rPr>
        <w:t>The PBAC agreed with</w:t>
      </w:r>
      <w:r w:rsidR="00152070" w:rsidRPr="0057333C">
        <w:rPr>
          <w:bCs/>
          <w:lang w:val="en-GB"/>
        </w:rPr>
        <w:t xml:space="preserve"> </w:t>
      </w:r>
      <w:r w:rsidR="00152070">
        <w:rPr>
          <w:bCs/>
          <w:lang w:val="en-GB"/>
        </w:rPr>
        <w:t xml:space="preserve">ESC </w:t>
      </w:r>
      <w:r w:rsidR="00152070" w:rsidRPr="0057333C">
        <w:rPr>
          <w:bCs/>
          <w:lang w:val="en-GB"/>
        </w:rPr>
        <w:t xml:space="preserve">that, based on the duration of follow-up in the clinical trials and the extent of extrapolation required, a </w:t>
      </w:r>
      <w:proofErr w:type="gramStart"/>
      <w:r w:rsidR="00152070" w:rsidRPr="0057333C">
        <w:rPr>
          <w:bCs/>
          <w:lang w:val="en-GB"/>
        </w:rPr>
        <w:t>15 year</w:t>
      </w:r>
      <w:proofErr w:type="gramEnd"/>
      <w:r w:rsidR="00152070" w:rsidRPr="0057333C">
        <w:rPr>
          <w:bCs/>
          <w:lang w:val="en-GB"/>
        </w:rPr>
        <w:t xml:space="preserve"> time horizon was more reasonable in this population.</w:t>
      </w:r>
    </w:p>
    <w:p w14:paraId="5C9CF12F" w14:textId="6D26F1E7" w:rsidR="00C37C68" w:rsidRPr="0058641B" w:rsidRDefault="00C37C68" w:rsidP="00C37C68">
      <w:pPr>
        <w:pStyle w:val="3-BodyText"/>
      </w:pPr>
      <w:r w:rsidRPr="0058641B">
        <w:t xml:space="preserve">The DFS curves from the Stage II-IIIA, PD-L1 </w:t>
      </w:r>
      <w:r w:rsidRPr="0058641B">
        <w:rPr>
          <w:rFonts w:cstheme="minorHAnsi"/>
        </w:rPr>
        <w:t>≥</w:t>
      </w:r>
      <w:r w:rsidRPr="0058641B">
        <w:t xml:space="preserve"> 1% subgroup of IMpower010 were used in the economic model. As the locoregional recurrence (LRR) and 1L DR survival curves in IMpower010 were not available, the transition probabilities from DFS to LRR and from DFS to 1L DR at each model cycle were calculated by applying the split of LRR events </w:t>
      </w:r>
      <w:r w:rsidRPr="0058641B">
        <w:rPr>
          <w:iCs/>
        </w:rPr>
        <w:t>versus</w:t>
      </w:r>
      <w:r w:rsidRPr="0058641B">
        <w:rPr>
          <w:i/>
        </w:rPr>
        <w:t xml:space="preserve"> </w:t>
      </w:r>
      <w:r w:rsidRPr="0058641B">
        <w:t xml:space="preserve">1L DR events in patients who experienced disease recurrence, as reported in IMpower010, to the per cycle transition probabilities of disease recurrence (based on the DFS curves). </w:t>
      </w:r>
      <w:r w:rsidRPr="0058641B">
        <w:rPr>
          <w:iCs/>
        </w:rPr>
        <w:t>The submission effectively assumed a constant probability of LRR events versus DR events in patients having disease recurrence throughout the entire model time horizon, no matter how long the patients stayed in the DFS health state or whether the patients were on or off adjuvant ATZ. The submission did not provide clinical evidence to support is assumption.</w:t>
      </w:r>
    </w:p>
    <w:p w14:paraId="2E70C48D" w14:textId="4044038C" w:rsidR="009048DA" w:rsidRPr="00DE7304" w:rsidRDefault="00C37C68" w:rsidP="00C37C68">
      <w:pPr>
        <w:pStyle w:val="3-BodyText"/>
        <w:rPr>
          <w:iCs/>
        </w:rPr>
      </w:pPr>
      <w:r w:rsidRPr="0058641B">
        <w:t xml:space="preserve">DFS was extrapolated from the pooled median follow-up in IMpower010, </w:t>
      </w:r>
      <w:r w:rsidRPr="0058641B">
        <w:rPr>
          <w:iCs/>
        </w:rPr>
        <w:t xml:space="preserve">i.e. 32.2 months. This was the median follow-up in the ITT population whereas the modelled population was the subgroup of patients with Stage II-IIIA, PD-L1 ≥ 1% patients. The PBAC guidelines (version 5.0) recommends use </w:t>
      </w:r>
      <w:r w:rsidR="00F0184F">
        <w:rPr>
          <w:iCs/>
        </w:rPr>
        <w:t xml:space="preserve">of </w:t>
      </w:r>
      <w:r w:rsidRPr="0058641B">
        <w:rPr>
          <w:iCs/>
        </w:rPr>
        <w:t xml:space="preserve">observed time-to-event data in preference to </w:t>
      </w:r>
      <w:proofErr w:type="gramStart"/>
      <w:r w:rsidRPr="0058641B">
        <w:rPr>
          <w:iCs/>
        </w:rPr>
        <w:t>modelled</w:t>
      </w:r>
      <w:proofErr w:type="gramEnd"/>
      <w:r w:rsidRPr="0058641B">
        <w:rPr>
          <w:iCs/>
        </w:rPr>
        <w:t xml:space="preserve"> data up to the time point at which the observed data become unreliable as a result of small numbers of patients remaining event-free. Visual inspection of the DFS curves for the Stage II-IIIA, PD-L1 </w:t>
      </w:r>
      <w:r w:rsidRPr="0058641B">
        <w:rPr>
          <w:rFonts w:cstheme="minorHAnsi"/>
          <w:iCs/>
        </w:rPr>
        <w:t>≥</w:t>
      </w:r>
      <w:r w:rsidRPr="0058641B">
        <w:rPr>
          <w:iCs/>
        </w:rPr>
        <w:t xml:space="preserve"> </w:t>
      </w:r>
      <w:r w:rsidR="00C20F36" w:rsidRPr="0058641B">
        <w:rPr>
          <w:iCs/>
        </w:rPr>
        <w:t xml:space="preserve">1% </w:t>
      </w:r>
      <w:r w:rsidRPr="0058641B">
        <w:rPr>
          <w:iCs/>
        </w:rPr>
        <w:t>subgroup (</w:t>
      </w:r>
      <w:r w:rsidR="00C20F36" w:rsidRPr="0058641B">
        <w:rPr>
          <w:iCs/>
        </w:rPr>
        <w:fldChar w:fldCharType="begin"/>
      </w:r>
      <w:r w:rsidR="00C20F36" w:rsidRPr="0058641B">
        <w:rPr>
          <w:iCs/>
        </w:rPr>
        <w:instrText xml:space="preserve"> REF _Ref101253245 \h  \* MERGEFORMAT </w:instrText>
      </w:r>
      <w:r w:rsidR="00C20F36" w:rsidRPr="0058641B">
        <w:rPr>
          <w:iCs/>
        </w:rPr>
      </w:r>
      <w:r w:rsidR="00C20F36" w:rsidRPr="0058641B">
        <w:rPr>
          <w:iCs/>
        </w:rPr>
        <w:fldChar w:fldCharType="separate"/>
      </w:r>
      <w:r w:rsidR="0043151A" w:rsidRPr="0043151A">
        <w:rPr>
          <w:iCs/>
        </w:rPr>
        <w:t>Figure 1</w:t>
      </w:r>
      <w:r w:rsidR="00C20F36" w:rsidRPr="0058641B">
        <w:rPr>
          <w:iCs/>
        </w:rPr>
        <w:fldChar w:fldCharType="end"/>
      </w:r>
      <w:r w:rsidRPr="0058641B">
        <w:rPr>
          <w:iCs/>
        </w:rPr>
        <w:t>) suggests that there were still reasonable number of patients at risk between Month 33 and Month 37 (e.g. at Month 36: n = 38 in the ATZ arm and n = 54 in the BSC arm); thereafter, the Kaplan-Meier curves became flat</w:t>
      </w:r>
      <w:r w:rsidRPr="00DE7304">
        <w:rPr>
          <w:iCs/>
        </w:rPr>
        <w:t xml:space="preserve">. </w:t>
      </w:r>
      <w:r w:rsidR="00030F93" w:rsidRPr="00DE7304">
        <w:rPr>
          <w:iCs/>
        </w:rPr>
        <w:t xml:space="preserve">The PSCR stated the median follow-up in the population of patients with PD-L1 ≥ 1% was 32.84 months and using this as the extrapolation time point made minimal difference to the </w:t>
      </w:r>
      <w:r w:rsidR="009D598F" w:rsidRPr="00DE7304">
        <w:rPr>
          <w:iCs/>
        </w:rPr>
        <w:t>incremental cost effectiveness ratio (</w:t>
      </w:r>
      <w:r w:rsidR="00030F93" w:rsidRPr="00DE7304">
        <w:rPr>
          <w:iCs/>
        </w:rPr>
        <w:t>ICER</w:t>
      </w:r>
      <w:r w:rsidR="009D598F" w:rsidRPr="00DE7304">
        <w:rPr>
          <w:iCs/>
        </w:rPr>
        <w:t>)</w:t>
      </w:r>
      <w:r w:rsidR="00030F93" w:rsidRPr="00DE7304">
        <w:rPr>
          <w:iCs/>
        </w:rPr>
        <w:t xml:space="preserve">. </w:t>
      </w:r>
      <w:r w:rsidR="00A523E4" w:rsidRPr="00DE7304">
        <w:rPr>
          <w:iCs/>
        </w:rPr>
        <w:t xml:space="preserve">The ESC noted there remained a sufficient number of patients at risk (10% of the cohort) for a truncation point of 37 months to be considered appropriate. The ESC noted the use of </w:t>
      </w:r>
      <w:r w:rsidR="00104FA9" w:rsidRPr="00DE7304">
        <w:rPr>
          <w:iCs/>
        </w:rPr>
        <w:t>the</w:t>
      </w:r>
      <w:r w:rsidR="00A523E4" w:rsidRPr="00DE7304">
        <w:rPr>
          <w:iCs/>
        </w:rPr>
        <w:t xml:space="preserve"> later truncation point increased the ICER from </w:t>
      </w:r>
      <w:r w:rsidR="00CC2453" w:rsidRPr="00CC2453">
        <w:rPr>
          <w:iCs/>
        </w:rPr>
        <w:t>$15,000 to &lt; $25,000</w:t>
      </w:r>
      <w:r w:rsidR="00A523E4" w:rsidRPr="00DE7304">
        <w:rPr>
          <w:iCs/>
        </w:rPr>
        <w:t xml:space="preserve">/ QALY to </w:t>
      </w:r>
      <w:r w:rsidR="00CC2453" w:rsidRPr="00CC2453">
        <w:rPr>
          <w:iCs/>
        </w:rPr>
        <w:t>$25,000 to &lt; $35,000</w:t>
      </w:r>
      <w:r w:rsidR="00A523E4" w:rsidRPr="00DE7304">
        <w:rPr>
          <w:iCs/>
        </w:rPr>
        <w:t>/ QALY.</w:t>
      </w:r>
    </w:p>
    <w:p w14:paraId="0BDD72F7" w14:textId="5074DDE0" w:rsidR="00C37C68" w:rsidRPr="0058641B" w:rsidRDefault="00C37C68" w:rsidP="00C37C68">
      <w:pPr>
        <w:pStyle w:val="3-BodyText"/>
      </w:pPr>
      <w:r w:rsidRPr="0058641B">
        <w:t xml:space="preserve">The selection of an independent log-logistic parametric function to extrapolate DFS in the base case was based on the goodness of fit statistics, graphical inspection and assessment of clinical plausibility. </w:t>
      </w:r>
      <w:r w:rsidRPr="0058641B">
        <w:rPr>
          <w:iCs/>
        </w:rPr>
        <w:t>This was reasonable.</w:t>
      </w:r>
      <w:r w:rsidRPr="0058641B">
        <w:rPr>
          <w:i/>
        </w:rPr>
        <w:t xml:space="preserve"> </w:t>
      </w:r>
    </w:p>
    <w:p w14:paraId="49902DDE" w14:textId="00D89C6E" w:rsidR="00C37C68" w:rsidRPr="0058641B" w:rsidRDefault="00C37C68" w:rsidP="00C37C68">
      <w:pPr>
        <w:pStyle w:val="3-BodyText"/>
        <w:rPr>
          <w:iCs/>
        </w:rPr>
      </w:pPr>
      <w:bookmarkStart w:id="50" w:name="_Ref103073964"/>
      <w:r w:rsidRPr="0058641B">
        <w:lastRenderedPageBreak/>
        <w:t xml:space="preserve">The economic model assumed that the treatment effect of ATZ </w:t>
      </w:r>
      <w:r w:rsidRPr="0058641B">
        <w:rPr>
          <w:iCs/>
        </w:rPr>
        <w:t>versus</w:t>
      </w:r>
      <w:r w:rsidRPr="0058641B">
        <w:rPr>
          <w:i/>
        </w:rPr>
        <w:t xml:space="preserve"> </w:t>
      </w:r>
      <w:r w:rsidRPr="0058641B">
        <w:t>BSC would decrease linearly between Year 5 and Year 10.</w:t>
      </w:r>
      <w:r w:rsidRPr="0058641B">
        <w:rPr>
          <w:i/>
        </w:rPr>
        <w:t xml:space="preserve"> </w:t>
      </w:r>
      <w:r w:rsidRPr="0058641B">
        <w:t xml:space="preserve">The submission stated that “a correction for a time limited treatment effect is applied so that the modelled DFS curves converge from a defined time point in the economic evaluation”. </w:t>
      </w:r>
      <w:r w:rsidRPr="0058641B">
        <w:rPr>
          <w:iCs/>
        </w:rPr>
        <w:t xml:space="preserve">This assertion was </w:t>
      </w:r>
      <w:r w:rsidR="00F21AF5">
        <w:rPr>
          <w:iCs/>
        </w:rPr>
        <w:t>incorrect</w:t>
      </w:r>
      <w:r w:rsidRPr="0058641B">
        <w:rPr>
          <w:iCs/>
        </w:rPr>
        <w:t xml:space="preserve">. Based on the Kaplan-Meier DFS estimates followed by independent log-logistic extrapolation, the DFS survival probability for ATZ at each weekly cycle after Month 57 was lower than that for BSC. The submission’s method of adjusting the treatment effect from Year 5 to Year 10 resulted in a divergence, not convergence, of the DFS curves of the two treatment arms. </w:t>
      </w:r>
      <w:bookmarkEnd w:id="50"/>
    </w:p>
    <w:p w14:paraId="406CB2E3" w14:textId="52503B31" w:rsidR="00140C79" w:rsidRPr="0058641B" w:rsidRDefault="00C37C68" w:rsidP="00140C79">
      <w:pPr>
        <w:pStyle w:val="3-BodyText"/>
        <w:rPr>
          <w:i/>
        </w:rPr>
      </w:pPr>
      <w:bookmarkStart w:id="51" w:name="_Ref103073966"/>
      <w:r w:rsidRPr="0058641B">
        <w:t>The economic model allowed the proportion of patients in the DFS health state who are “cured” (</w:t>
      </w:r>
      <w:r w:rsidRPr="00644DC1">
        <w:rPr>
          <w:iCs/>
        </w:rPr>
        <w:t>i.e.</w:t>
      </w:r>
      <w:r w:rsidRPr="0058641B">
        <w:t xml:space="preserve"> achieving sustained DFS) to increase linearly from Year 2 to a maximum 91.5% at Year 5.</w:t>
      </w:r>
      <w:r w:rsidRPr="0058641B">
        <w:rPr>
          <w:i/>
        </w:rPr>
        <w:t xml:space="preserve"> </w:t>
      </w:r>
      <w:r w:rsidRPr="0058641B">
        <w:rPr>
          <w:iCs/>
        </w:rPr>
        <w:t xml:space="preserve">The maximum cure rate of 91.5% was based on the clinical studies where the majority of the participants had Stage I NSCLC before resection, and so were outside the proposed PBS population (78% in Maeda 2010 and 53% in </w:t>
      </w:r>
      <w:proofErr w:type="spellStart"/>
      <w:r w:rsidRPr="0058641B">
        <w:rPr>
          <w:iCs/>
        </w:rPr>
        <w:t>Sonoda</w:t>
      </w:r>
      <w:proofErr w:type="spellEnd"/>
      <w:r w:rsidRPr="0058641B">
        <w:rPr>
          <w:iCs/>
        </w:rPr>
        <w:t xml:space="preserve"> 2019</w:t>
      </w:r>
      <w:r w:rsidRPr="0058641B">
        <w:rPr>
          <w:rStyle w:val="FootnoteReference"/>
          <w:rFonts w:eastAsiaTheme="minorEastAsia"/>
          <w:iCs/>
        </w:rPr>
        <w:footnoteReference w:id="5"/>
      </w:r>
      <w:r w:rsidRPr="0058641B">
        <w:rPr>
          <w:iCs/>
        </w:rPr>
        <w:t xml:space="preserve">). An early disease stage is a good prognostic factor for disease recurrence. In addition, in </w:t>
      </w:r>
      <w:proofErr w:type="spellStart"/>
      <w:r w:rsidRPr="0058641B">
        <w:rPr>
          <w:iCs/>
        </w:rPr>
        <w:t>Sonoda</w:t>
      </w:r>
      <w:proofErr w:type="spellEnd"/>
      <w:r w:rsidRPr="0058641B">
        <w:rPr>
          <w:iCs/>
        </w:rPr>
        <w:t xml:space="preserve"> 2019, the cause of death was not clear in 169 cases (12% of the study patients). The authors acknowledged that there was a possibility that recurrence developed in these cases and was overlooked. Overall, while the rationale for the adjustment for sustained DFS appeared reasonable, the time point when the patients achieving sustained DFS and the magnitude of the change in the proportion of patients with sustained DFS over time were not well justified by the submission.</w:t>
      </w:r>
      <w:bookmarkEnd w:id="51"/>
      <w:r w:rsidR="00140C79" w:rsidRPr="0058641B">
        <w:t xml:space="preserve"> </w:t>
      </w:r>
      <w:r w:rsidR="00140C79" w:rsidRPr="00DE7304">
        <w:t xml:space="preserve">The ESC noted the study by </w:t>
      </w:r>
      <w:proofErr w:type="spellStart"/>
      <w:r w:rsidR="00140C79" w:rsidRPr="00DE7304">
        <w:t>Sonoda</w:t>
      </w:r>
      <w:proofErr w:type="spellEnd"/>
      <w:r w:rsidR="00140C79" w:rsidRPr="00DE7304">
        <w:t xml:space="preserve"> et al 2019 reported that 6% and 2.5% of recurrences occur at 5-10 years, and 10+ years, respectively, in patients with NSCLC who underwent curative resection and systematic lymph node dissection. The ESC considered it was uncertain if this data supported 91.5% being cured at 5 years.</w:t>
      </w:r>
    </w:p>
    <w:p w14:paraId="01DD0101" w14:textId="26845289" w:rsidR="00140C79" w:rsidRPr="00DE7304" w:rsidRDefault="00140C79" w:rsidP="00140C79">
      <w:pPr>
        <w:pStyle w:val="3-BodyText"/>
        <w:rPr>
          <w:iCs/>
        </w:rPr>
      </w:pPr>
      <w:r w:rsidRPr="00DE7304">
        <w:rPr>
          <w:iCs/>
        </w:rPr>
        <w:t xml:space="preserve">The ESC noted the comparison of the </w:t>
      </w:r>
      <w:proofErr w:type="gramStart"/>
      <w:r w:rsidRPr="00DE7304">
        <w:rPr>
          <w:iCs/>
        </w:rPr>
        <w:t>trial-based</w:t>
      </w:r>
      <w:proofErr w:type="gramEnd"/>
      <w:r w:rsidRPr="00DE7304">
        <w:rPr>
          <w:iCs/>
        </w:rPr>
        <w:t xml:space="preserve"> DFS, parametric extrapolated DFS and modelled DFS after adjustments for time limited treatment effect and for sustained DFS (without incorporating background mortality) as shown in </w:t>
      </w:r>
      <w:r w:rsidRPr="00DE7304">
        <w:rPr>
          <w:iCs/>
        </w:rPr>
        <w:fldChar w:fldCharType="begin"/>
      </w:r>
      <w:r w:rsidRPr="00DE7304">
        <w:rPr>
          <w:iCs/>
        </w:rPr>
        <w:instrText xml:space="preserve"> REF _Ref100332706 \h  \* MERGEFORMAT </w:instrText>
      </w:r>
      <w:r w:rsidRPr="00DE7304">
        <w:rPr>
          <w:iCs/>
        </w:rPr>
      </w:r>
      <w:r w:rsidRPr="00DE7304">
        <w:rPr>
          <w:iCs/>
        </w:rPr>
        <w:fldChar w:fldCharType="separate"/>
      </w:r>
      <w:r w:rsidR="0043151A" w:rsidRPr="0043151A">
        <w:rPr>
          <w:iCs/>
        </w:rPr>
        <w:t>Figure</w:t>
      </w:r>
      <w:r w:rsidR="0043151A">
        <w:rPr>
          <w:rFonts w:ascii="Arial Narrow" w:eastAsiaTheme="majorEastAsia" w:hAnsi="Arial Narrow" w:cstheme="majorBidi"/>
          <w:b/>
          <w:bCs/>
          <w:sz w:val="20"/>
        </w:rPr>
        <w:t xml:space="preserve"> </w:t>
      </w:r>
      <w:r w:rsidR="0043151A" w:rsidRPr="00F9737B">
        <w:rPr>
          <w:rFonts w:eastAsiaTheme="majorEastAsia" w:cstheme="minorHAnsi"/>
          <w:noProof/>
          <w:sz w:val="22"/>
          <w:szCs w:val="22"/>
        </w:rPr>
        <w:t>9</w:t>
      </w:r>
      <w:r w:rsidRPr="00DE7304">
        <w:rPr>
          <w:iCs/>
        </w:rPr>
        <w:fldChar w:fldCharType="end"/>
      </w:r>
      <w:r w:rsidRPr="00DE7304">
        <w:rPr>
          <w:iCs/>
        </w:rPr>
        <w:t xml:space="preserve">. </w:t>
      </w:r>
    </w:p>
    <w:p w14:paraId="4689E27B" w14:textId="77777777" w:rsidR="00140C79" w:rsidRPr="0058641B" w:rsidRDefault="00140C79" w:rsidP="00140C79"/>
    <w:p w14:paraId="32C27076" w14:textId="1A3FB288" w:rsidR="00140C79" w:rsidRPr="00F0184F" w:rsidRDefault="00140C79" w:rsidP="00140C79">
      <w:pPr>
        <w:pStyle w:val="TableFigureHeading"/>
      </w:pPr>
      <w:r w:rsidRPr="00F0184F">
        <w:lastRenderedPageBreak/>
        <w:t xml:space="preserve">Figure </w:t>
      </w:r>
      <w:fldSimple w:instr=" SEQ Figure \* ARABIC ">
        <w:r w:rsidR="0043151A">
          <w:rPr>
            <w:noProof/>
          </w:rPr>
          <w:t>7</w:t>
        </w:r>
      </w:fldSimple>
      <w:r w:rsidRPr="00F0184F">
        <w:t xml:space="preserve">: Modelled DFS with adjustments for time limited treatment effect and sustained remission </w:t>
      </w:r>
      <w:r w:rsidR="007156A3" w:rsidRPr="00F0184F">
        <w:t>(without incorporating background morality)</w:t>
      </w:r>
    </w:p>
    <w:p w14:paraId="6861284B" w14:textId="77777777" w:rsidR="00140C79" w:rsidRPr="00F0184F" w:rsidRDefault="00140C79" w:rsidP="00140C79">
      <w:r w:rsidRPr="00F0184F">
        <w:rPr>
          <w:noProof/>
          <w:lang w:eastAsia="zh-CN"/>
        </w:rPr>
        <w:drawing>
          <wp:inline distT="0" distB="0" distL="0" distR="0" wp14:anchorId="3B4722E1" wp14:editId="3311EF66">
            <wp:extent cx="4972050" cy="24828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025198" cy="2509390"/>
                    </a:xfrm>
                    <a:prstGeom prst="rect">
                      <a:avLst/>
                    </a:prstGeom>
                    <a:noFill/>
                    <a:ln>
                      <a:noFill/>
                    </a:ln>
                    <a:extLst>
                      <a:ext uri="{53640926-AAD7-44D8-BBD7-CCE9431645EC}">
                        <a14:shadowObscured xmlns:a14="http://schemas.microsoft.com/office/drawing/2010/main"/>
                      </a:ext>
                    </a:extLst>
                  </pic:spPr>
                </pic:pic>
              </a:graphicData>
            </a:graphic>
          </wp:inline>
        </w:drawing>
      </w:r>
    </w:p>
    <w:p w14:paraId="7253C5BF" w14:textId="77777777" w:rsidR="00140C79" w:rsidRPr="00F0184F" w:rsidRDefault="00140C79" w:rsidP="00140C79">
      <w:pPr>
        <w:pStyle w:val="TableFooter"/>
      </w:pPr>
      <w:r w:rsidRPr="00F0184F">
        <w:t>Source: Figure constructed during the evaluation, based on the “Economic Evaluation” Excel workbook.</w:t>
      </w:r>
    </w:p>
    <w:p w14:paraId="12D61DEF" w14:textId="77777777" w:rsidR="00140C79" w:rsidRPr="00F0184F" w:rsidRDefault="00140C79" w:rsidP="00140C79">
      <w:pPr>
        <w:pStyle w:val="TableFooter"/>
      </w:pPr>
      <w:r w:rsidRPr="00F0184F">
        <w:t>ATZ = atezolizumab; BSC = best supportive care; DFS= disease-free survival; KM = Kaplan-Meier</w:t>
      </w:r>
    </w:p>
    <w:p w14:paraId="0BB1A836" w14:textId="398EDEEF" w:rsidR="00140C79" w:rsidRPr="0058641B" w:rsidRDefault="00140C79" w:rsidP="00644DC1"/>
    <w:p w14:paraId="2032BD93" w14:textId="17936416" w:rsidR="009D598F" w:rsidRPr="0058641B" w:rsidRDefault="009D598F" w:rsidP="009D598F">
      <w:pPr>
        <w:pStyle w:val="3-BodyText"/>
        <w:rPr>
          <w:iCs/>
        </w:rPr>
      </w:pPr>
      <w:r w:rsidRPr="0058641B">
        <w:rPr>
          <w:iCs/>
        </w:rPr>
        <w:t xml:space="preserve">To estimate the transition probability from DFS to death, the submission used the pooled pre-recurrence death data from IMpower010 due to lack of statistically significant difference between the ATZ group and the BSC group. As the treatment-specific pre-recurrence death probability was higher for ATZ than for BSC (weekly probability: 0.0004 vs. 0.0001), the use of a pooled value in the economic evaluation resulted in a more favourable ICER.    </w:t>
      </w:r>
    </w:p>
    <w:p w14:paraId="1C89A803" w14:textId="173471E0" w:rsidR="00C37C68" w:rsidRPr="0058641B" w:rsidRDefault="00C37C68" w:rsidP="00505704">
      <w:pPr>
        <w:pStyle w:val="3-BodyText"/>
        <w:rPr>
          <w:iCs/>
        </w:rPr>
      </w:pPr>
      <w:r w:rsidRPr="0058641B">
        <w:t xml:space="preserve">The economic model assumed that 80% of the patients in the BSC arm would receive pembrolizumab combination therapy in the 1L DR setting, with the remaining 20% treated with chemotherapy alone. Patients who had received adjuvant ATZ were allocated the outcomes of the KN189 chemotherapy only treatment arm since PBS listed PD-(L) inhibitors can only be accessed once in a lifetime for a patient with NSCLC. </w:t>
      </w:r>
      <w:r w:rsidR="001540EC" w:rsidRPr="0058641B">
        <w:rPr>
          <w:iCs/>
        </w:rPr>
        <w:t>Th</w:t>
      </w:r>
      <w:r w:rsidR="00C75AA6" w:rsidRPr="0058641B">
        <w:rPr>
          <w:iCs/>
        </w:rPr>
        <w:t>e</w:t>
      </w:r>
      <w:r w:rsidR="001540EC" w:rsidRPr="0058641B">
        <w:rPr>
          <w:iCs/>
        </w:rPr>
        <w:t xml:space="preserve"> </w:t>
      </w:r>
      <w:r w:rsidR="00C75AA6" w:rsidRPr="0058641B">
        <w:rPr>
          <w:iCs/>
        </w:rPr>
        <w:t xml:space="preserve">assumption of a </w:t>
      </w:r>
      <w:r w:rsidR="001540EC" w:rsidRPr="0058641B">
        <w:rPr>
          <w:iCs/>
        </w:rPr>
        <w:t xml:space="preserve">high proportion of patients receiving pembrolizumab </w:t>
      </w:r>
      <w:r w:rsidR="00C75AA6" w:rsidRPr="0058641B">
        <w:rPr>
          <w:iCs/>
        </w:rPr>
        <w:t>combination therapy</w:t>
      </w:r>
      <w:r w:rsidR="001540EC" w:rsidRPr="0058641B">
        <w:rPr>
          <w:iCs/>
        </w:rPr>
        <w:t xml:space="preserve"> </w:t>
      </w:r>
      <w:r w:rsidRPr="0058641B">
        <w:rPr>
          <w:iCs/>
        </w:rPr>
        <w:t xml:space="preserve">for metastatic NSCLC </w:t>
      </w:r>
      <w:r w:rsidR="00C75AA6" w:rsidRPr="0058641B">
        <w:rPr>
          <w:iCs/>
        </w:rPr>
        <w:t>in the BSC arm was in line with previous PBAC advice</w:t>
      </w:r>
      <w:r w:rsidR="009156BB">
        <w:rPr>
          <w:iCs/>
        </w:rPr>
        <w:t xml:space="preserve"> for NSCLC treatments (paragraph 7.4, </w:t>
      </w:r>
      <w:proofErr w:type="spellStart"/>
      <w:r w:rsidR="009156BB">
        <w:rPr>
          <w:iCs/>
        </w:rPr>
        <w:t>tepotinib</w:t>
      </w:r>
      <w:proofErr w:type="spellEnd"/>
      <w:r w:rsidR="009156BB">
        <w:rPr>
          <w:iCs/>
        </w:rPr>
        <w:t xml:space="preserve"> PSD, November 2021 PBAC meeting)</w:t>
      </w:r>
      <w:r w:rsidR="00C75AA6" w:rsidRPr="0058641B">
        <w:rPr>
          <w:iCs/>
        </w:rPr>
        <w:t xml:space="preserve">. </w:t>
      </w:r>
    </w:p>
    <w:p w14:paraId="67FF3BE7" w14:textId="0C48D945" w:rsidR="00C37C68" w:rsidRPr="0058641B" w:rsidRDefault="00C37C68" w:rsidP="00174EA9">
      <w:pPr>
        <w:pStyle w:val="3-BodyText"/>
        <w:rPr>
          <w:i/>
        </w:rPr>
      </w:pPr>
      <w:bookmarkStart w:id="52" w:name="_Ref109296593"/>
      <w:r w:rsidRPr="0058641B">
        <w:t xml:space="preserve">The transition probabilities between post-DFS health states, </w:t>
      </w:r>
      <w:r w:rsidRPr="0058641B">
        <w:rPr>
          <w:i/>
        </w:rPr>
        <w:t xml:space="preserve">e.g. </w:t>
      </w:r>
      <w:r w:rsidRPr="0058641B">
        <w:t>LRR to 1L DR, 1L DR to second-line distant recurrence (2L DR) and 1L DR or 2L DR to death, were based on external studies, including</w:t>
      </w:r>
      <w:r w:rsidRPr="0058641B">
        <w:rPr>
          <w:i/>
        </w:rPr>
        <w:t xml:space="preserve"> </w:t>
      </w:r>
      <w:proofErr w:type="spellStart"/>
      <w:r w:rsidRPr="0058641B">
        <w:t>Nakamichi</w:t>
      </w:r>
      <w:proofErr w:type="spellEnd"/>
      <w:r w:rsidRPr="0058641B">
        <w:t xml:space="preserve"> 2017</w:t>
      </w:r>
      <w:r w:rsidRPr="0058641B">
        <w:rPr>
          <w:rStyle w:val="FootnoteReference"/>
          <w:rFonts w:eastAsiaTheme="minorEastAsia"/>
        </w:rPr>
        <w:footnoteReference w:id="6"/>
      </w:r>
      <w:r w:rsidRPr="0058641B">
        <w:t xml:space="preserve">, KN189, IMpower150 and OAK. </w:t>
      </w:r>
      <w:r w:rsidRPr="0058641B">
        <w:rPr>
          <w:iCs/>
        </w:rPr>
        <w:t>There were transitivity issues between the populations of these trials and the proposed</w:t>
      </w:r>
      <w:r w:rsidRPr="0058641B">
        <w:rPr>
          <w:i/>
        </w:rPr>
        <w:t xml:space="preserve"> </w:t>
      </w:r>
      <w:r w:rsidRPr="0058641B">
        <w:rPr>
          <w:iCs/>
        </w:rPr>
        <w:t xml:space="preserve">patient population, in terms of PD-L1 positivity (regardless of PD-L1 expression level vs. PD-L1 </w:t>
      </w:r>
      <w:r w:rsidRPr="0058641B">
        <w:rPr>
          <w:rFonts w:cstheme="minorHAnsi"/>
          <w:iCs/>
        </w:rPr>
        <w:t xml:space="preserve">≥ </w:t>
      </w:r>
      <w:r w:rsidRPr="0058641B">
        <w:rPr>
          <w:iCs/>
        </w:rPr>
        <w:t xml:space="preserve">1%), tumour histology (non-squamous vs. all NSCLC </w:t>
      </w:r>
      <w:proofErr w:type="spellStart"/>
      <w:r w:rsidRPr="0058641B">
        <w:rPr>
          <w:iCs/>
        </w:rPr>
        <w:t>histologies</w:t>
      </w:r>
      <w:proofErr w:type="spellEnd"/>
      <w:r w:rsidRPr="0058641B">
        <w:rPr>
          <w:iCs/>
        </w:rPr>
        <w:t xml:space="preserve">) and/or other factors which might affect the health outcomes in the post-DFS health states. </w:t>
      </w:r>
      <w:r w:rsidRPr="0058641B">
        <w:rPr>
          <w:iCs/>
        </w:rPr>
        <w:lastRenderedPageBreak/>
        <w:t xml:space="preserve">The results reported in these clinical trials might not be applicable to the requested PBS population. In addition, the submission assumed </w:t>
      </w:r>
      <w:r w:rsidR="0086118A" w:rsidRPr="0058641B">
        <w:rPr>
          <w:iCs/>
        </w:rPr>
        <w:t xml:space="preserve">time constant </w:t>
      </w:r>
      <w:r w:rsidRPr="0058641B">
        <w:rPr>
          <w:iCs/>
        </w:rPr>
        <w:t>transition probabilities between the post-DFS health states throughout the time horizon.</w:t>
      </w:r>
      <w:r w:rsidRPr="0058641B">
        <w:rPr>
          <w:iCs/>
          <w:lang w:eastAsia="en-US"/>
        </w:rPr>
        <w:t xml:space="preserve"> No evidence has been provided by the submission to justify this assumption</w:t>
      </w:r>
      <w:r w:rsidRPr="0058641B">
        <w:rPr>
          <w:iCs/>
        </w:rPr>
        <w:t xml:space="preserve">. </w:t>
      </w:r>
      <w:r w:rsidR="00174EA9" w:rsidRPr="0058641B">
        <w:rPr>
          <w:iCs/>
        </w:rPr>
        <w:t xml:space="preserve">Costs and health outcomes in the 1L DR health state varied by model arm as pembrolizumab combination therapy was assumed to be used in </w:t>
      </w:r>
      <w:r w:rsidR="0086118A" w:rsidRPr="0058641B">
        <w:rPr>
          <w:iCs/>
        </w:rPr>
        <w:t xml:space="preserve">80% of the patients </w:t>
      </w:r>
      <w:r w:rsidR="00174EA9" w:rsidRPr="0058641B">
        <w:rPr>
          <w:iCs/>
        </w:rPr>
        <w:t xml:space="preserve">in the </w:t>
      </w:r>
      <w:r w:rsidR="00211D08" w:rsidRPr="0058641B">
        <w:rPr>
          <w:iCs/>
        </w:rPr>
        <w:t>BSC</w:t>
      </w:r>
      <w:r w:rsidR="00174EA9" w:rsidRPr="0058641B">
        <w:rPr>
          <w:iCs/>
        </w:rPr>
        <w:t xml:space="preserve"> arm </w:t>
      </w:r>
      <w:r w:rsidR="0086118A" w:rsidRPr="0058641B">
        <w:rPr>
          <w:iCs/>
        </w:rPr>
        <w:t xml:space="preserve">who </w:t>
      </w:r>
      <w:r w:rsidR="00174EA9" w:rsidRPr="0058641B">
        <w:rPr>
          <w:iCs/>
        </w:rPr>
        <w:t>experienced metastatic recurrence</w:t>
      </w:r>
      <w:r w:rsidR="00AA3BF1" w:rsidRPr="0058641B">
        <w:rPr>
          <w:iCs/>
        </w:rPr>
        <w:t>,</w:t>
      </w:r>
      <w:r w:rsidR="00174EA9" w:rsidRPr="0058641B">
        <w:rPr>
          <w:iCs/>
        </w:rPr>
        <w:t xml:space="preserve"> whilst use of adjuvant </w:t>
      </w:r>
      <w:r w:rsidR="00211D08" w:rsidRPr="0058641B">
        <w:rPr>
          <w:iCs/>
        </w:rPr>
        <w:t>ATZ</w:t>
      </w:r>
      <w:r w:rsidR="00174EA9" w:rsidRPr="0058641B">
        <w:rPr>
          <w:iCs/>
        </w:rPr>
        <w:t xml:space="preserve"> was assumed to preclude use of any PD-(L)1 inhibitors in the 1L DR setting. </w:t>
      </w:r>
      <w:r w:rsidRPr="0058641B">
        <w:rPr>
          <w:iCs/>
        </w:rPr>
        <w:t xml:space="preserve">A comparison of the PFS Kaplan-Meier curves from KN189 with the modelled 1L DR to 2L DR curves showed a poor fit of the parametric distribution for the pembrolizumab + chemotherapy arm. The modelled survival estimates were generally lower than the trial data. </w:t>
      </w:r>
      <w:r w:rsidR="003E6DBB" w:rsidRPr="00DE7304">
        <w:rPr>
          <w:iCs/>
        </w:rPr>
        <w:t>The ESC noted that</w:t>
      </w:r>
      <w:r w:rsidR="003E6DBB" w:rsidRPr="0058641B">
        <w:rPr>
          <w:iCs/>
        </w:rPr>
        <w:t xml:space="preserve"> t</w:t>
      </w:r>
      <w:r w:rsidRPr="0058641B">
        <w:rPr>
          <w:iCs/>
        </w:rPr>
        <w:t>his</w:t>
      </w:r>
      <w:r w:rsidR="00174EA9" w:rsidRPr="0058641B">
        <w:rPr>
          <w:iCs/>
        </w:rPr>
        <w:t xml:space="preserve">, in addition to </w:t>
      </w:r>
      <w:r w:rsidR="00AF4366" w:rsidRPr="0058641B">
        <w:rPr>
          <w:iCs/>
        </w:rPr>
        <w:t xml:space="preserve">the other issues </w:t>
      </w:r>
      <w:r w:rsidR="009B5BF0" w:rsidRPr="0058641B">
        <w:rPr>
          <w:iCs/>
        </w:rPr>
        <w:t>in</w:t>
      </w:r>
      <w:r w:rsidR="00AF4366" w:rsidRPr="0058641B">
        <w:rPr>
          <w:iCs/>
        </w:rPr>
        <w:t xml:space="preserve"> the submission’s approach to model metastatic recurrences, </w:t>
      </w:r>
      <w:r w:rsidR="00B14344" w:rsidRPr="0058641B">
        <w:rPr>
          <w:iCs/>
        </w:rPr>
        <w:t>resulted in a scenario where pembrolizumab combination therapy was not cost-effective</w:t>
      </w:r>
      <w:r w:rsidR="003E6DBB" w:rsidRPr="0058641B">
        <w:rPr>
          <w:iCs/>
        </w:rPr>
        <w:t xml:space="preserve"> </w:t>
      </w:r>
      <w:r w:rsidR="003E6DBB" w:rsidRPr="00DE7304">
        <w:rPr>
          <w:iCs/>
        </w:rPr>
        <w:t xml:space="preserve">with an ICER over </w:t>
      </w:r>
      <w:r w:rsidR="00CC2453" w:rsidRPr="00CC2453">
        <w:rPr>
          <w:iCs/>
        </w:rPr>
        <w:t>$95,000 to &lt; $115,000</w:t>
      </w:r>
      <w:r w:rsidR="003E6DBB" w:rsidRPr="00DE7304">
        <w:rPr>
          <w:iCs/>
        </w:rPr>
        <w:t>/QALY</w:t>
      </w:r>
      <w:r w:rsidR="00B14344" w:rsidRPr="0058641B">
        <w:rPr>
          <w:iCs/>
        </w:rPr>
        <w:t>. Thi</w:t>
      </w:r>
      <w:r w:rsidR="009B5BF0" w:rsidRPr="0058641B">
        <w:rPr>
          <w:iCs/>
        </w:rPr>
        <w:t>s influenced the</w:t>
      </w:r>
      <w:r w:rsidR="00B14344" w:rsidRPr="0058641B">
        <w:rPr>
          <w:iCs/>
        </w:rPr>
        <w:t xml:space="preserve"> ICER </w:t>
      </w:r>
      <w:r w:rsidR="009B5BF0" w:rsidRPr="0058641B">
        <w:rPr>
          <w:iCs/>
        </w:rPr>
        <w:t xml:space="preserve">in favour of </w:t>
      </w:r>
      <w:r w:rsidR="00B14344" w:rsidRPr="0058641B">
        <w:rPr>
          <w:iCs/>
        </w:rPr>
        <w:t xml:space="preserve">ATZ </w:t>
      </w:r>
      <w:r w:rsidR="009B5BF0" w:rsidRPr="0058641B">
        <w:rPr>
          <w:iCs/>
        </w:rPr>
        <w:t>over</w:t>
      </w:r>
      <w:r w:rsidR="00B14344" w:rsidRPr="0058641B">
        <w:rPr>
          <w:iCs/>
        </w:rPr>
        <w:t xml:space="preserve"> BSC in the NSCLC adjuvant setting</w:t>
      </w:r>
      <w:r w:rsidRPr="0058641B">
        <w:rPr>
          <w:iCs/>
        </w:rPr>
        <w:t>.</w:t>
      </w:r>
      <w:bookmarkEnd w:id="52"/>
      <w:r w:rsidRPr="0058641B">
        <w:rPr>
          <w:i/>
        </w:rPr>
        <w:t xml:space="preserve"> </w:t>
      </w:r>
    </w:p>
    <w:p w14:paraId="45A9EB54" w14:textId="0216CB07" w:rsidR="00C37C68" w:rsidRPr="0058641B" w:rsidRDefault="00C37C68" w:rsidP="00C37C68">
      <w:pPr>
        <w:pStyle w:val="3-BodyText"/>
      </w:pPr>
      <w:r w:rsidRPr="0058641B">
        <w:t xml:space="preserve">Markov traces of the proportion of patients in the DFS health state and alive over time are presented in </w:t>
      </w:r>
      <w:r w:rsidR="009314E7" w:rsidRPr="0058641B">
        <w:fldChar w:fldCharType="begin"/>
      </w:r>
      <w:r w:rsidR="009314E7" w:rsidRPr="0058641B">
        <w:instrText xml:space="preserve"> REF _Ref100332699 \h </w:instrText>
      </w:r>
      <w:r w:rsidR="009314E7" w:rsidRPr="0058641B">
        <w:fldChar w:fldCharType="separate"/>
      </w:r>
      <w:r w:rsidR="0043151A" w:rsidRPr="0058641B">
        <w:t xml:space="preserve">Figure </w:t>
      </w:r>
      <w:r w:rsidR="0043151A">
        <w:rPr>
          <w:noProof/>
        </w:rPr>
        <w:t>8</w:t>
      </w:r>
      <w:r w:rsidR="009314E7" w:rsidRPr="0058641B">
        <w:fldChar w:fldCharType="end"/>
      </w:r>
      <w:r w:rsidRPr="0058641B">
        <w:t xml:space="preserve">. The Markov traces of LRR, 1L DR and 2L DR in the ATZ arm and in the BSC arm are presented in </w:t>
      </w:r>
      <w:r w:rsidR="009314E7" w:rsidRPr="0058641B">
        <w:fldChar w:fldCharType="begin"/>
      </w:r>
      <w:r w:rsidR="009314E7" w:rsidRPr="0058641B">
        <w:instrText xml:space="preserve"> REF _Ref100332706 \h  \* MERGEFORMAT </w:instrText>
      </w:r>
      <w:r w:rsidR="009314E7" w:rsidRPr="0058641B">
        <w:fldChar w:fldCharType="separate"/>
      </w:r>
      <w:r w:rsidR="0043151A" w:rsidRPr="0043151A">
        <w:t>Figure 9</w:t>
      </w:r>
      <w:r w:rsidR="009314E7" w:rsidRPr="0058641B">
        <w:fldChar w:fldCharType="end"/>
      </w:r>
      <w:r w:rsidRPr="0058641B">
        <w:t xml:space="preserve">. </w:t>
      </w:r>
      <w:r w:rsidRPr="0058641B">
        <w:rPr>
          <w:iCs/>
        </w:rPr>
        <w:t>Time spent in the DFS state was the key driver of the clinical benefit in the model. It was noted that the modelled 5-year OS in the BSC arm (57%) was substantially greater than the 5-year survival of 32.3% (95% CI: 28.5%, 36.2%) for Stage II lung cancer in 2011-2016 as published by the Australian Institute of Health and Welfare (AIHW)</w:t>
      </w:r>
      <w:r w:rsidRPr="0058641B">
        <w:rPr>
          <w:rStyle w:val="FootnoteReference"/>
          <w:iCs/>
        </w:rPr>
        <w:footnoteReference w:id="7"/>
      </w:r>
      <w:r w:rsidRPr="0058641B">
        <w:rPr>
          <w:iCs/>
        </w:rPr>
        <w:t xml:space="preserve">. Although </w:t>
      </w:r>
      <w:r w:rsidR="003647B0" w:rsidRPr="0058641B">
        <w:rPr>
          <w:iCs/>
        </w:rPr>
        <w:t xml:space="preserve">some </w:t>
      </w:r>
      <w:r w:rsidRPr="0058641B">
        <w:rPr>
          <w:iCs/>
        </w:rPr>
        <w:t>improvement would be expected (due to the availability of PD-(L)1 inhibitors for treatment of distant recurrence), the submission’s modelled survival estimates might be optimistic.</w:t>
      </w:r>
    </w:p>
    <w:p w14:paraId="22B5CA43" w14:textId="39453C4D" w:rsidR="00C37C68" w:rsidRPr="0058641B" w:rsidRDefault="00C37C68" w:rsidP="00C37C68">
      <w:pPr>
        <w:pStyle w:val="TableFigureHeading"/>
      </w:pPr>
      <w:bookmarkStart w:id="53" w:name="_Ref100332699"/>
      <w:bookmarkStart w:id="54" w:name="_Hlk106622231"/>
      <w:r w:rsidRPr="0058641B">
        <w:t xml:space="preserve">Figure </w:t>
      </w:r>
      <w:fldSimple w:instr=" SEQ Figure \* ARABIC ">
        <w:r w:rsidR="0043151A">
          <w:rPr>
            <w:noProof/>
          </w:rPr>
          <w:t>8</w:t>
        </w:r>
      </w:fldSimple>
      <w:bookmarkEnd w:id="53"/>
      <w:r w:rsidRPr="0058641B">
        <w:t>: Modelled DFS and OS for patients treated with adjuvant ATZ and BSC</w:t>
      </w:r>
    </w:p>
    <w:bookmarkEnd w:id="54"/>
    <w:p w14:paraId="331D3087" w14:textId="77777777" w:rsidR="00C37C68" w:rsidRPr="0058641B" w:rsidRDefault="00C37C68" w:rsidP="00C37C68">
      <w:pPr>
        <w:rPr>
          <w:lang w:eastAsia="zh-CN"/>
        </w:rPr>
      </w:pPr>
      <w:r w:rsidRPr="0058641B">
        <w:rPr>
          <w:noProof/>
          <w:lang w:eastAsia="zh-CN"/>
        </w:rPr>
        <w:drawing>
          <wp:inline distT="0" distB="0" distL="0" distR="0" wp14:anchorId="197F35D8" wp14:editId="26B060C8">
            <wp:extent cx="4693920" cy="2143760"/>
            <wp:effectExtent l="0" t="0" r="0" b="8890"/>
            <wp:docPr id="24" name="Picture 24" descr="Figure 7: Modelled DFS and OS for patients treated with adjuvant ATZ and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7: Modelled DFS and OS for patients treated with adjuvant ATZ and BSC"/>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4718275" cy="2154883"/>
                    </a:xfrm>
                    <a:prstGeom prst="rect">
                      <a:avLst/>
                    </a:prstGeom>
                    <a:noFill/>
                    <a:ln>
                      <a:noFill/>
                    </a:ln>
                    <a:extLst>
                      <a:ext uri="{53640926-AAD7-44D8-BBD7-CCE9431645EC}">
                        <a14:shadowObscured xmlns:a14="http://schemas.microsoft.com/office/drawing/2010/main"/>
                      </a:ext>
                    </a:extLst>
                  </pic:spPr>
                </pic:pic>
              </a:graphicData>
            </a:graphic>
          </wp:inline>
        </w:drawing>
      </w:r>
    </w:p>
    <w:p w14:paraId="01DB69C3" w14:textId="77777777" w:rsidR="00C37C68" w:rsidRPr="0058641B" w:rsidRDefault="00C37C68" w:rsidP="00C37C68">
      <w:pPr>
        <w:pStyle w:val="TableFooter"/>
      </w:pPr>
      <w:r w:rsidRPr="0058641B">
        <w:t xml:space="preserve">Source: Revised from Figure 3.8, p91 of the submission. </w:t>
      </w:r>
    </w:p>
    <w:p w14:paraId="59751297" w14:textId="77777777" w:rsidR="00C37C68" w:rsidRPr="0058641B" w:rsidRDefault="00C37C68" w:rsidP="00C37C68">
      <w:pPr>
        <w:pStyle w:val="TableFooter"/>
      </w:pPr>
      <w:r w:rsidRPr="0058641B">
        <w:t>ATZ = atezolizumab; BSC = best supportive care; DFS = disease-free survival; OS= overall survival.</w:t>
      </w:r>
    </w:p>
    <w:p w14:paraId="7B56FFE6" w14:textId="77777777" w:rsidR="00C37C68" w:rsidRPr="0058641B" w:rsidRDefault="00C37C68" w:rsidP="00C37C68"/>
    <w:p w14:paraId="53A4119D" w14:textId="3351FA02" w:rsidR="00C37C68" w:rsidRPr="0058641B" w:rsidRDefault="00C37C68" w:rsidP="00C37C68">
      <w:pPr>
        <w:keepNext/>
        <w:rPr>
          <w:rFonts w:ascii="Arial Narrow" w:eastAsiaTheme="majorEastAsia" w:hAnsi="Arial Narrow" w:cstheme="majorBidi"/>
          <w:b/>
          <w:bCs/>
          <w:sz w:val="20"/>
        </w:rPr>
      </w:pPr>
      <w:bookmarkStart w:id="55" w:name="_Ref100332706"/>
      <w:r w:rsidRPr="0058641B">
        <w:rPr>
          <w:rFonts w:ascii="Arial Narrow" w:eastAsiaTheme="majorEastAsia" w:hAnsi="Arial Narrow" w:cstheme="majorBidi"/>
          <w:b/>
          <w:bCs/>
          <w:sz w:val="20"/>
        </w:rPr>
        <w:lastRenderedPageBreak/>
        <w:t>Figure</w:t>
      </w:r>
      <w:r w:rsidR="00FB5AC1">
        <w:rPr>
          <w:rFonts w:ascii="Arial Narrow" w:eastAsiaTheme="majorEastAsia" w:hAnsi="Arial Narrow" w:cstheme="majorBidi"/>
          <w:b/>
          <w:bCs/>
          <w:sz w:val="20"/>
        </w:rPr>
        <w:t xml:space="preserve"> </w:t>
      </w:r>
      <w:r w:rsidRPr="0058641B">
        <w:rPr>
          <w:rFonts w:ascii="Arial Narrow" w:eastAsiaTheme="majorEastAsia" w:hAnsi="Arial Narrow" w:cstheme="majorBidi"/>
          <w:b/>
          <w:bCs/>
          <w:sz w:val="20"/>
        </w:rPr>
        <w:fldChar w:fldCharType="begin"/>
      </w:r>
      <w:r w:rsidRPr="0058641B">
        <w:rPr>
          <w:rFonts w:ascii="Arial Narrow" w:eastAsiaTheme="majorEastAsia" w:hAnsi="Arial Narrow" w:cstheme="majorBidi"/>
          <w:b/>
          <w:bCs/>
          <w:sz w:val="20"/>
        </w:rPr>
        <w:instrText xml:space="preserve"> SEQ Figure \* ARABIC </w:instrText>
      </w:r>
      <w:r w:rsidRPr="0058641B">
        <w:rPr>
          <w:rFonts w:ascii="Arial Narrow" w:eastAsiaTheme="majorEastAsia" w:hAnsi="Arial Narrow" w:cstheme="majorBidi"/>
          <w:b/>
          <w:bCs/>
          <w:sz w:val="20"/>
        </w:rPr>
        <w:fldChar w:fldCharType="separate"/>
      </w:r>
      <w:r w:rsidR="0043151A">
        <w:rPr>
          <w:rFonts w:ascii="Arial Narrow" w:eastAsiaTheme="majorEastAsia" w:hAnsi="Arial Narrow" w:cstheme="majorBidi"/>
          <w:b/>
          <w:bCs/>
          <w:noProof/>
          <w:sz w:val="20"/>
        </w:rPr>
        <w:t>9</w:t>
      </w:r>
      <w:r w:rsidRPr="0058641B">
        <w:rPr>
          <w:rFonts w:ascii="Arial Narrow" w:eastAsiaTheme="majorEastAsia" w:hAnsi="Arial Narrow" w:cstheme="majorBidi"/>
          <w:b/>
          <w:bCs/>
          <w:sz w:val="20"/>
        </w:rPr>
        <w:fldChar w:fldCharType="end"/>
      </w:r>
      <w:bookmarkEnd w:id="55"/>
      <w:r w:rsidRPr="0058641B">
        <w:rPr>
          <w:rFonts w:ascii="Arial Narrow" w:eastAsiaTheme="majorEastAsia" w:hAnsi="Arial Narrow" w:cstheme="majorBidi"/>
          <w:b/>
          <w:bCs/>
          <w:sz w:val="20"/>
        </w:rPr>
        <w:t>:</w:t>
      </w:r>
      <w:r w:rsidRPr="0058641B">
        <w:t xml:space="preserve"> </w:t>
      </w:r>
      <w:r w:rsidRPr="0058641B">
        <w:rPr>
          <w:rFonts w:ascii="Arial Narrow" w:eastAsiaTheme="majorEastAsia" w:hAnsi="Arial Narrow" w:cstheme="majorBidi"/>
          <w:b/>
          <w:bCs/>
          <w:sz w:val="20"/>
        </w:rPr>
        <w:t>Modelled LRR, 1L DR and 2L DR health states for patients treated with adjuvant ATZ and BSC</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326"/>
      </w:tblGrid>
      <w:tr w:rsidR="00C37C68" w:rsidRPr="0058641B" w14:paraId="2F17828B" w14:textId="77777777" w:rsidTr="00D312D9">
        <w:tc>
          <w:tcPr>
            <w:tcW w:w="4927" w:type="dxa"/>
            <w:vAlign w:val="center"/>
          </w:tcPr>
          <w:p w14:paraId="5844A600" w14:textId="77777777" w:rsidR="00C37C68" w:rsidRPr="0058641B" w:rsidRDefault="00C37C68" w:rsidP="00D312D9">
            <w:pPr>
              <w:pStyle w:val="TableNotes"/>
              <w:keepNext/>
              <w:ind w:left="0" w:firstLine="0"/>
              <w:jc w:val="center"/>
              <w:rPr>
                <w:rFonts w:ascii="Arial Narrow" w:hAnsi="Arial Narrow"/>
                <w:sz w:val="20"/>
                <w:szCs w:val="20"/>
              </w:rPr>
            </w:pPr>
            <w:r w:rsidRPr="0058641B">
              <w:rPr>
                <w:rFonts w:ascii="Arial Narrow" w:hAnsi="Arial Narrow"/>
                <w:noProof/>
                <w:sz w:val="20"/>
                <w:szCs w:val="20"/>
              </w:rPr>
              <w:drawing>
                <wp:inline distT="0" distB="0" distL="0" distR="0" wp14:anchorId="2978ED27" wp14:editId="3CAB3E0E">
                  <wp:extent cx="2860882" cy="1741336"/>
                  <wp:effectExtent l="0" t="0" r="0" b="0"/>
                  <wp:docPr id="25" name="Picture 25" descr="Figure 8: Modelled LRR, 1L DR and 2L DR health states for patients treated with adjuvant ATZ and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8: Modelled LRR, 1L DR and 2L DR health states for patients treated with adjuvant ATZ and BSC"/>
                          <pic:cNvPicPr>
                            <a:picLocks noChangeAspect="1" noChangeArrowheads="1"/>
                          </pic:cNvPicPr>
                        </pic:nvPicPr>
                        <pic:blipFill rotWithShape="1">
                          <a:blip r:embed="rId16">
                            <a:extLst>
                              <a:ext uri="{28A0092B-C50C-407E-A947-70E740481C1C}">
                                <a14:useLocalDpi xmlns:a14="http://schemas.microsoft.com/office/drawing/2010/main" val="0"/>
                              </a:ext>
                            </a:extLst>
                          </a:blip>
                          <a:srcRect l="2984" t="12631" r="2646" b="6112"/>
                          <a:stretch/>
                        </pic:blipFill>
                        <pic:spPr bwMode="auto">
                          <a:xfrm>
                            <a:off x="0" y="0"/>
                            <a:ext cx="3052112" cy="1857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5" w:type="dxa"/>
            <w:vAlign w:val="center"/>
          </w:tcPr>
          <w:p w14:paraId="5CA13267" w14:textId="77777777" w:rsidR="00C37C68" w:rsidRPr="0058641B" w:rsidRDefault="00C37C68" w:rsidP="00D312D9">
            <w:pPr>
              <w:pStyle w:val="TableNotes"/>
              <w:keepNext/>
              <w:ind w:left="0" w:firstLine="0"/>
              <w:jc w:val="center"/>
              <w:rPr>
                <w:rFonts w:ascii="Arial Narrow" w:hAnsi="Arial Narrow"/>
                <w:sz w:val="20"/>
                <w:szCs w:val="20"/>
              </w:rPr>
            </w:pPr>
            <w:r w:rsidRPr="0058641B">
              <w:rPr>
                <w:rFonts w:ascii="Arial Narrow" w:hAnsi="Arial Narrow"/>
                <w:noProof/>
                <w:sz w:val="20"/>
                <w:szCs w:val="20"/>
              </w:rPr>
              <w:drawing>
                <wp:inline distT="0" distB="0" distL="0" distR="0" wp14:anchorId="5BF91967" wp14:editId="42362BC2">
                  <wp:extent cx="2600993" cy="1701579"/>
                  <wp:effectExtent l="0" t="0" r="8890" b="0"/>
                  <wp:docPr id="26" name="Picture 26" descr="Figure 8: Modelled LRR, 1L DR and 2L DR health states for patients treated with adjuvant ATZ and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8: Modelled LRR, 1L DR and 2L DR health states for patients treated with adjuvant ATZ and BSC"/>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698009" cy="17650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7C68" w:rsidRPr="0058641B" w14:paraId="4BE3F541" w14:textId="77777777" w:rsidTr="00D312D9">
        <w:tc>
          <w:tcPr>
            <w:tcW w:w="4927" w:type="dxa"/>
            <w:vAlign w:val="center"/>
          </w:tcPr>
          <w:p w14:paraId="33F7E244" w14:textId="77777777" w:rsidR="00C37C68" w:rsidRPr="0058641B" w:rsidRDefault="00C37C68" w:rsidP="005C38D0">
            <w:pPr>
              <w:pStyle w:val="TableNotes"/>
              <w:keepNext/>
              <w:numPr>
                <w:ilvl w:val="0"/>
                <w:numId w:val="7"/>
              </w:numPr>
              <w:jc w:val="center"/>
              <w:rPr>
                <w:rFonts w:ascii="Arial Narrow" w:hAnsi="Arial Narrow"/>
                <w:b/>
                <w:sz w:val="20"/>
                <w:szCs w:val="20"/>
                <w:lang w:eastAsia="en-AU"/>
              </w:rPr>
            </w:pPr>
            <w:r w:rsidRPr="0058641B">
              <w:rPr>
                <w:rFonts w:ascii="Arial Narrow" w:hAnsi="Arial Narrow"/>
                <w:b/>
                <w:sz w:val="20"/>
                <w:szCs w:val="20"/>
                <w:lang w:eastAsia="en-AU"/>
              </w:rPr>
              <w:t>ATZ</w:t>
            </w:r>
          </w:p>
        </w:tc>
        <w:tc>
          <w:tcPr>
            <w:tcW w:w="4145" w:type="dxa"/>
            <w:vAlign w:val="center"/>
          </w:tcPr>
          <w:p w14:paraId="47B02764" w14:textId="77777777" w:rsidR="00C37C68" w:rsidRPr="0058641B" w:rsidRDefault="00C37C68" w:rsidP="005C38D0">
            <w:pPr>
              <w:pStyle w:val="TableNotes"/>
              <w:keepNext/>
              <w:numPr>
                <w:ilvl w:val="0"/>
                <w:numId w:val="7"/>
              </w:numPr>
              <w:jc w:val="center"/>
              <w:rPr>
                <w:rFonts w:ascii="Arial Narrow" w:hAnsi="Arial Narrow"/>
                <w:b/>
                <w:sz w:val="20"/>
                <w:szCs w:val="20"/>
              </w:rPr>
            </w:pPr>
            <w:r w:rsidRPr="0058641B">
              <w:rPr>
                <w:rFonts w:ascii="Arial Narrow" w:hAnsi="Arial Narrow"/>
                <w:b/>
                <w:sz w:val="20"/>
                <w:szCs w:val="20"/>
              </w:rPr>
              <w:t>BSC</w:t>
            </w:r>
          </w:p>
        </w:tc>
      </w:tr>
    </w:tbl>
    <w:p w14:paraId="034494DC" w14:textId="77777777" w:rsidR="00C37C68" w:rsidRPr="0058641B" w:rsidRDefault="00C37C68" w:rsidP="00C37C68">
      <w:pPr>
        <w:pStyle w:val="TableFooter"/>
      </w:pPr>
      <w:r w:rsidRPr="0058641B">
        <w:t xml:space="preserve">Source: Revised from Figure 3.9, p92 of the submission. </w:t>
      </w:r>
    </w:p>
    <w:p w14:paraId="790F7204" w14:textId="77777777" w:rsidR="00C37C68" w:rsidRPr="0058641B" w:rsidRDefault="00C37C68" w:rsidP="00C37C68">
      <w:pPr>
        <w:pStyle w:val="TableFooter"/>
      </w:pPr>
      <w:r w:rsidRPr="0058641B">
        <w:t>1L DR = first-line distant recurrence; 2L DR = second-line distant recurrence; ATZ = atezolizumab; BSC = best supportive care</w:t>
      </w:r>
    </w:p>
    <w:p w14:paraId="60960933" w14:textId="77777777" w:rsidR="00C37C68" w:rsidRPr="0058641B" w:rsidRDefault="00C37C68" w:rsidP="00C37C68"/>
    <w:p w14:paraId="76EBE322" w14:textId="65BB3B37" w:rsidR="00C37C68" w:rsidRPr="0058641B" w:rsidRDefault="008B08C8" w:rsidP="00A97F7D">
      <w:pPr>
        <w:pStyle w:val="3-BodyText"/>
        <w:rPr>
          <w:iCs/>
        </w:rPr>
      </w:pPr>
      <w:r w:rsidRPr="0058641B">
        <w:t xml:space="preserve">The health state utilities applied to the economic model and their sources are summarised in </w:t>
      </w:r>
      <w:r w:rsidRPr="0058641B">
        <w:fldChar w:fldCharType="begin"/>
      </w:r>
      <w:r w:rsidRPr="0058641B">
        <w:instrText xml:space="preserve"> REF _Ref103164935 \h  \* MERGEFORMAT </w:instrText>
      </w:r>
      <w:r w:rsidRPr="0058641B">
        <w:fldChar w:fldCharType="separate"/>
      </w:r>
      <w:r w:rsidR="0043151A" w:rsidRPr="0058641B">
        <w:t xml:space="preserve">Table </w:t>
      </w:r>
      <w:r w:rsidR="0043151A">
        <w:t>12</w:t>
      </w:r>
      <w:r w:rsidRPr="0058641B">
        <w:fldChar w:fldCharType="end"/>
      </w:r>
      <w:r w:rsidRPr="0058641B">
        <w:t xml:space="preserve">. </w:t>
      </w:r>
      <w:r w:rsidR="00C37C68" w:rsidRPr="0058641B">
        <w:t xml:space="preserve">As the key trial IMpower010 did not collect patient-reported outcomes, the health state utility values were derived from external studies. </w:t>
      </w:r>
      <w:r w:rsidR="00C37C68" w:rsidRPr="0058641B">
        <w:rPr>
          <w:iCs/>
        </w:rPr>
        <w:t>The utility value of 0.81 for DFS from Grutters 2010</w:t>
      </w:r>
      <w:r w:rsidR="00C37C68" w:rsidRPr="0058641B">
        <w:rPr>
          <w:rStyle w:val="FootnoteReference"/>
          <w:rFonts w:eastAsiaTheme="minorEastAsia"/>
          <w:iCs/>
        </w:rPr>
        <w:footnoteReference w:id="8"/>
      </w:r>
      <w:r w:rsidR="00C37C68" w:rsidRPr="0058641B">
        <w:rPr>
          <w:iCs/>
        </w:rPr>
        <w:t xml:space="preserve"> represented the median utility score in subgroups with a better quality of life (e.g. patients without severe AEs</w:t>
      </w:r>
      <w:r w:rsidR="00564C03" w:rsidRPr="0058641B">
        <w:rPr>
          <w:iCs/>
        </w:rPr>
        <w:t xml:space="preserve"> and</w:t>
      </w:r>
      <w:r w:rsidR="002D06E8" w:rsidRPr="0058641B">
        <w:rPr>
          <w:iCs/>
        </w:rPr>
        <w:t xml:space="preserve"> patients with Stage I disease at initial diagnosis</w:t>
      </w:r>
      <w:r w:rsidR="00C37C68" w:rsidRPr="0058641B">
        <w:rPr>
          <w:iCs/>
        </w:rPr>
        <w:t xml:space="preserve">). </w:t>
      </w:r>
      <w:r w:rsidRPr="0058641B">
        <w:rPr>
          <w:iCs/>
        </w:rPr>
        <w:t>T</w:t>
      </w:r>
      <w:r w:rsidR="00C37C68" w:rsidRPr="0058641B">
        <w:rPr>
          <w:iCs/>
        </w:rPr>
        <w:t xml:space="preserve">he median LRR utility reported </w:t>
      </w:r>
      <w:r w:rsidRPr="0058641B">
        <w:rPr>
          <w:iCs/>
        </w:rPr>
        <w:t xml:space="preserve">in this study </w:t>
      </w:r>
      <w:r w:rsidR="00C37C68" w:rsidRPr="0058641B">
        <w:rPr>
          <w:iCs/>
        </w:rPr>
        <w:t>was 0.74</w:t>
      </w:r>
      <w:r w:rsidRPr="0058641B">
        <w:rPr>
          <w:iCs/>
        </w:rPr>
        <w:t>, not</w:t>
      </w:r>
      <w:r w:rsidR="00C37C68" w:rsidRPr="0058641B">
        <w:rPr>
          <w:iCs/>
        </w:rPr>
        <w:t xml:space="preserve"> 0.72 </w:t>
      </w:r>
      <w:r w:rsidRPr="0058641B">
        <w:rPr>
          <w:iCs/>
        </w:rPr>
        <w:t xml:space="preserve">as </w:t>
      </w:r>
      <w:r w:rsidR="00C37C68" w:rsidRPr="0058641B">
        <w:rPr>
          <w:iCs/>
        </w:rPr>
        <w:t xml:space="preserve">used in the submission. </w:t>
      </w:r>
      <w:r w:rsidR="00A97F7D" w:rsidRPr="0058641B">
        <w:rPr>
          <w:iCs/>
        </w:rPr>
        <w:t xml:space="preserve">It was also noted that the 1L DR utility value applied to the economic model (0.69) was effectively the utility value in patients who experienced disease progression after first-line therapy for metastatic NSCLC (i.e. 2L DR setting) as reported in KN189. </w:t>
      </w:r>
      <w:r w:rsidR="00C37C68" w:rsidRPr="0058641B">
        <w:rPr>
          <w:iCs/>
        </w:rPr>
        <w:t xml:space="preserve">The higher utility value for PFS (i.e. 1L DR setting) reported in KN189 compared with the utilities for Stage II NSLCLC and for LRR from Grutters (2010) (0.765 vs. 0.76 and 0.74) was incongruent with the expected relative values for these health states. This implied that the data sources for health state utility estimates used in the model may not be reasonable. However, the results from sensitivity analysis indicated that the change in health state utility values did not affect the result greatly. AE-related </w:t>
      </w:r>
      <w:proofErr w:type="spellStart"/>
      <w:r w:rsidR="00C37C68" w:rsidRPr="0058641B">
        <w:rPr>
          <w:iCs/>
        </w:rPr>
        <w:t>disutilities</w:t>
      </w:r>
      <w:proofErr w:type="spellEnd"/>
      <w:r w:rsidR="00C37C68" w:rsidRPr="0058641B">
        <w:rPr>
          <w:iCs/>
        </w:rPr>
        <w:t xml:space="preserve"> were not </w:t>
      </w:r>
      <w:proofErr w:type="gramStart"/>
      <w:r w:rsidR="00C37C68" w:rsidRPr="0058641B">
        <w:rPr>
          <w:iCs/>
        </w:rPr>
        <w:t>taken into account</w:t>
      </w:r>
      <w:proofErr w:type="gramEnd"/>
      <w:r w:rsidR="00C37C68" w:rsidRPr="0058641B">
        <w:rPr>
          <w:iCs/>
        </w:rPr>
        <w:t xml:space="preserve"> in the economic model. This had a minimal impact on the result, given the low incidence of the ATZ-related AEs of Grade 3-4 and the short duration of the AEs in comparison with the mean time in the DFS health state (12.1 years (undiscounted) in the ATZ arm).</w:t>
      </w:r>
    </w:p>
    <w:p w14:paraId="5C413D14" w14:textId="02D3FF71" w:rsidR="008B08C8" w:rsidRPr="0058641B" w:rsidRDefault="008B08C8" w:rsidP="00974193">
      <w:pPr>
        <w:pStyle w:val="TableFigureHeading"/>
      </w:pPr>
      <w:bookmarkStart w:id="56" w:name="_Ref103164935"/>
      <w:r w:rsidRPr="0058641B">
        <w:t xml:space="preserve">Table </w:t>
      </w:r>
      <w:fldSimple w:instr=" SEQ Table \* ARABIC ">
        <w:r w:rsidR="0043151A">
          <w:rPr>
            <w:noProof/>
          </w:rPr>
          <w:t>12</w:t>
        </w:r>
      </w:fldSimple>
      <w:bookmarkEnd w:id="56"/>
      <w:r w:rsidRPr="0058641B">
        <w:t>: Utility values used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759"/>
        <w:gridCol w:w="3002"/>
      </w:tblGrid>
      <w:tr w:rsidR="008B08C8" w:rsidRPr="0058641B" w14:paraId="6C4B9A1B" w14:textId="77777777" w:rsidTr="008B08C8">
        <w:trPr>
          <w:trHeight w:val="229"/>
          <w:tblHeader/>
        </w:trPr>
        <w:tc>
          <w:tcPr>
            <w:tcW w:w="3256" w:type="dxa"/>
            <w:vMerge w:val="restart"/>
          </w:tcPr>
          <w:p w14:paraId="4DD10C72" w14:textId="77777777" w:rsidR="008B08C8" w:rsidRPr="0058641B" w:rsidRDefault="008B08C8" w:rsidP="008B08C8">
            <w:pPr>
              <w:pStyle w:val="In-tableHeading"/>
              <w:rPr>
                <w:lang w:val="en-AU"/>
              </w:rPr>
            </w:pPr>
            <w:r w:rsidRPr="0058641B">
              <w:rPr>
                <w:lang w:val="en-AU"/>
              </w:rPr>
              <w:t>Health state</w:t>
            </w:r>
          </w:p>
        </w:tc>
        <w:tc>
          <w:tcPr>
            <w:tcW w:w="2759" w:type="dxa"/>
            <w:vMerge w:val="restart"/>
          </w:tcPr>
          <w:p w14:paraId="67D745A2" w14:textId="77777777" w:rsidR="008B08C8" w:rsidRPr="0058641B" w:rsidRDefault="008B08C8" w:rsidP="008B08C8">
            <w:pPr>
              <w:pStyle w:val="In-tableHeading"/>
              <w:jc w:val="center"/>
              <w:rPr>
                <w:lang w:val="en-AU"/>
              </w:rPr>
            </w:pPr>
            <w:r w:rsidRPr="0058641B">
              <w:rPr>
                <w:lang w:val="en-AU"/>
              </w:rPr>
              <w:t>Utility</w:t>
            </w:r>
          </w:p>
        </w:tc>
        <w:tc>
          <w:tcPr>
            <w:tcW w:w="3002" w:type="dxa"/>
            <w:vMerge w:val="restart"/>
          </w:tcPr>
          <w:p w14:paraId="489737FC" w14:textId="77777777" w:rsidR="008B08C8" w:rsidRPr="0058641B" w:rsidRDefault="008B08C8" w:rsidP="008B08C8">
            <w:pPr>
              <w:pStyle w:val="In-tableHeading"/>
              <w:jc w:val="center"/>
              <w:rPr>
                <w:lang w:val="en-AU"/>
              </w:rPr>
            </w:pPr>
            <w:r w:rsidRPr="0058641B">
              <w:rPr>
                <w:lang w:val="en-AU"/>
              </w:rPr>
              <w:t>Source of estimate</w:t>
            </w:r>
          </w:p>
        </w:tc>
      </w:tr>
      <w:tr w:rsidR="008B08C8" w:rsidRPr="0058641B" w14:paraId="00F54FE7" w14:textId="77777777" w:rsidTr="008B08C8">
        <w:trPr>
          <w:trHeight w:val="229"/>
          <w:tblHeader/>
        </w:trPr>
        <w:tc>
          <w:tcPr>
            <w:tcW w:w="3256" w:type="dxa"/>
            <w:vMerge/>
            <w:vAlign w:val="center"/>
          </w:tcPr>
          <w:p w14:paraId="2B63FCAA" w14:textId="77777777" w:rsidR="008B08C8" w:rsidRPr="0058641B" w:rsidRDefault="008B08C8" w:rsidP="008B08C8">
            <w:pPr>
              <w:pStyle w:val="In-tableHeading"/>
              <w:jc w:val="center"/>
              <w:rPr>
                <w:lang w:val="en-AU"/>
              </w:rPr>
            </w:pPr>
          </w:p>
        </w:tc>
        <w:tc>
          <w:tcPr>
            <w:tcW w:w="2759" w:type="dxa"/>
            <w:vMerge/>
          </w:tcPr>
          <w:p w14:paraId="35E0CD2A" w14:textId="77777777" w:rsidR="008B08C8" w:rsidRPr="0058641B" w:rsidRDefault="008B08C8" w:rsidP="008B08C8">
            <w:pPr>
              <w:pStyle w:val="In-tableHeading"/>
              <w:jc w:val="center"/>
              <w:rPr>
                <w:lang w:val="en-AU"/>
              </w:rPr>
            </w:pPr>
          </w:p>
        </w:tc>
        <w:tc>
          <w:tcPr>
            <w:tcW w:w="3002" w:type="dxa"/>
            <w:vMerge/>
          </w:tcPr>
          <w:p w14:paraId="0C2BA212" w14:textId="77777777" w:rsidR="008B08C8" w:rsidRPr="0058641B" w:rsidRDefault="008B08C8" w:rsidP="008B08C8">
            <w:pPr>
              <w:pStyle w:val="In-tableHeading"/>
              <w:jc w:val="center"/>
              <w:rPr>
                <w:lang w:val="en-AU"/>
              </w:rPr>
            </w:pPr>
          </w:p>
        </w:tc>
      </w:tr>
      <w:tr w:rsidR="008B08C8" w:rsidRPr="0058641B" w14:paraId="76B95467" w14:textId="77777777" w:rsidTr="008B08C8">
        <w:tc>
          <w:tcPr>
            <w:tcW w:w="3256" w:type="dxa"/>
            <w:vAlign w:val="center"/>
          </w:tcPr>
          <w:p w14:paraId="5E070FB5" w14:textId="77777777" w:rsidR="008B08C8" w:rsidRPr="0058641B" w:rsidRDefault="008B08C8" w:rsidP="008B08C8">
            <w:pPr>
              <w:pStyle w:val="TableText0"/>
            </w:pPr>
            <w:r w:rsidRPr="0058641B">
              <w:t>Disease free survival</w:t>
            </w:r>
          </w:p>
        </w:tc>
        <w:tc>
          <w:tcPr>
            <w:tcW w:w="2759" w:type="dxa"/>
            <w:vAlign w:val="center"/>
          </w:tcPr>
          <w:p w14:paraId="4FF274D6" w14:textId="77777777" w:rsidR="008B08C8" w:rsidRPr="0058641B" w:rsidRDefault="008B08C8" w:rsidP="008B08C8">
            <w:pPr>
              <w:pStyle w:val="TableText0"/>
            </w:pPr>
            <w:r w:rsidRPr="0058641B">
              <w:t>0.810 in both arms</w:t>
            </w:r>
          </w:p>
        </w:tc>
        <w:tc>
          <w:tcPr>
            <w:tcW w:w="3002" w:type="dxa"/>
            <w:vAlign w:val="center"/>
          </w:tcPr>
          <w:p w14:paraId="23791221" w14:textId="77777777" w:rsidR="008B08C8" w:rsidRPr="0058641B" w:rsidRDefault="008B08C8" w:rsidP="008B08C8">
            <w:pPr>
              <w:pStyle w:val="TableText0"/>
            </w:pPr>
            <w:r w:rsidRPr="0058641B">
              <w:t>Grutters 2010</w:t>
            </w:r>
          </w:p>
        </w:tc>
      </w:tr>
      <w:tr w:rsidR="008B08C8" w:rsidRPr="0058641B" w14:paraId="14021AA9" w14:textId="77777777" w:rsidTr="008B08C8">
        <w:tc>
          <w:tcPr>
            <w:tcW w:w="3256" w:type="dxa"/>
            <w:vAlign w:val="center"/>
          </w:tcPr>
          <w:p w14:paraId="3EE7DA25" w14:textId="77777777" w:rsidR="008B08C8" w:rsidRPr="0058641B" w:rsidRDefault="008B08C8" w:rsidP="008B08C8">
            <w:pPr>
              <w:pStyle w:val="TableText0"/>
            </w:pPr>
            <w:r w:rsidRPr="0058641B">
              <w:t>Locoregional recurrence</w:t>
            </w:r>
          </w:p>
        </w:tc>
        <w:tc>
          <w:tcPr>
            <w:tcW w:w="2759" w:type="dxa"/>
            <w:vAlign w:val="center"/>
          </w:tcPr>
          <w:p w14:paraId="5FA8987A" w14:textId="77777777" w:rsidR="008B08C8" w:rsidRPr="0058641B" w:rsidRDefault="008B08C8" w:rsidP="008B08C8">
            <w:pPr>
              <w:pStyle w:val="TableText0"/>
            </w:pPr>
            <w:r w:rsidRPr="0058641B">
              <w:t>0.720 in both arms</w:t>
            </w:r>
          </w:p>
        </w:tc>
        <w:tc>
          <w:tcPr>
            <w:tcW w:w="3002" w:type="dxa"/>
            <w:vAlign w:val="center"/>
          </w:tcPr>
          <w:p w14:paraId="61EE74C2" w14:textId="77777777" w:rsidR="008B08C8" w:rsidRPr="0058641B" w:rsidRDefault="008B08C8" w:rsidP="008B08C8">
            <w:pPr>
              <w:pStyle w:val="TableText0"/>
            </w:pPr>
            <w:r w:rsidRPr="0058641B">
              <w:t>Grutters 2010</w:t>
            </w:r>
          </w:p>
        </w:tc>
      </w:tr>
      <w:tr w:rsidR="008B08C8" w:rsidRPr="0058641B" w14:paraId="27E850C0" w14:textId="77777777" w:rsidTr="008B08C8">
        <w:tc>
          <w:tcPr>
            <w:tcW w:w="3256" w:type="dxa"/>
            <w:vAlign w:val="center"/>
          </w:tcPr>
          <w:p w14:paraId="2FC57341" w14:textId="66CBE313" w:rsidR="008B08C8" w:rsidRPr="0058641B" w:rsidRDefault="008B08C8" w:rsidP="008B08C8">
            <w:pPr>
              <w:pStyle w:val="TableText0"/>
            </w:pPr>
            <w:r w:rsidRPr="0058641B">
              <w:t>First-line distant recurrence</w:t>
            </w:r>
          </w:p>
        </w:tc>
        <w:tc>
          <w:tcPr>
            <w:tcW w:w="2759" w:type="dxa"/>
            <w:vAlign w:val="center"/>
          </w:tcPr>
          <w:p w14:paraId="44E33E62" w14:textId="77777777" w:rsidR="008B08C8" w:rsidRPr="0058641B" w:rsidRDefault="008B08C8" w:rsidP="008B08C8">
            <w:pPr>
              <w:pStyle w:val="TableText0"/>
            </w:pPr>
            <w:r w:rsidRPr="0058641B">
              <w:t>0.690 in both arms</w:t>
            </w:r>
          </w:p>
        </w:tc>
        <w:tc>
          <w:tcPr>
            <w:tcW w:w="3002" w:type="dxa"/>
            <w:vAlign w:val="center"/>
          </w:tcPr>
          <w:p w14:paraId="5CDD112A" w14:textId="77777777" w:rsidR="008B08C8" w:rsidRPr="0058641B" w:rsidRDefault="008B08C8" w:rsidP="008B08C8">
            <w:pPr>
              <w:pStyle w:val="TableText0"/>
            </w:pPr>
            <w:r w:rsidRPr="0058641B">
              <w:t>KN189 trial, Huang 2018</w:t>
            </w:r>
          </w:p>
        </w:tc>
      </w:tr>
      <w:tr w:rsidR="008B08C8" w:rsidRPr="0058641B" w14:paraId="5E583F77" w14:textId="77777777" w:rsidTr="008B08C8">
        <w:tc>
          <w:tcPr>
            <w:tcW w:w="3256" w:type="dxa"/>
            <w:vAlign w:val="center"/>
          </w:tcPr>
          <w:p w14:paraId="166E9D16" w14:textId="08649933" w:rsidR="008B08C8" w:rsidRPr="0058641B" w:rsidRDefault="008B08C8" w:rsidP="008B08C8">
            <w:pPr>
              <w:pStyle w:val="TableText0"/>
            </w:pPr>
            <w:r w:rsidRPr="0058641B">
              <w:t>Second-line distant recurrence</w:t>
            </w:r>
          </w:p>
        </w:tc>
        <w:tc>
          <w:tcPr>
            <w:tcW w:w="2759" w:type="dxa"/>
            <w:vAlign w:val="center"/>
          </w:tcPr>
          <w:p w14:paraId="2C8D0579" w14:textId="77777777" w:rsidR="008B08C8" w:rsidRPr="0058641B" w:rsidRDefault="008B08C8" w:rsidP="008B08C8">
            <w:pPr>
              <w:pStyle w:val="TableText0"/>
            </w:pPr>
            <w:r w:rsidRPr="0058641B">
              <w:t>0.667 in both arms</w:t>
            </w:r>
          </w:p>
        </w:tc>
        <w:tc>
          <w:tcPr>
            <w:tcW w:w="3002" w:type="dxa"/>
            <w:vAlign w:val="center"/>
          </w:tcPr>
          <w:p w14:paraId="3917BA70" w14:textId="77777777" w:rsidR="008B08C8" w:rsidRPr="0058641B" w:rsidRDefault="008B08C8" w:rsidP="008B08C8">
            <w:pPr>
              <w:pStyle w:val="TableText0"/>
            </w:pPr>
            <w:r w:rsidRPr="0058641B">
              <w:t>OAK trial, Roche data on file</w:t>
            </w:r>
          </w:p>
        </w:tc>
      </w:tr>
    </w:tbl>
    <w:p w14:paraId="7A879DD4" w14:textId="7D734644" w:rsidR="008B08C8" w:rsidRPr="0058641B" w:rsidRDefault="008B08C8" w:rsidP="008B08C8">
      <w:pPr>
        <w:pStyle w:val="TableFooter"/>
      </w:pPr>
      <w:r w:rsidRPr="0058641B">
        <w:t>Source: Table 3.9, p83 of the submission</w:t>
      </w:r>
    </w:p>
    <w:p w14:paraId="527587FC" w14:textId="33CFCC74" w:rsidR="00C37C68" w:rsidRPr="0058641B" w:rsidRDefault="00C37C68" w:rsidP="00E017CB">
      <w:pPr>
        <w:pStyle w:val="ListParagraph"/>
        <w:numPr>
          <w:ilvl w:val="1"/>
          <w:numId w:val="1"/>
        </w:numPr>
        <w:spacing w:before="240" w:after="160"/>
      </w:pPr>
      <w:r w:rsidRPr="0058641B">
        <w:lastRenderedPageBreak/>
        <w:t xml:space="preserve">A summary of the key drivers of the model is given in </w:t>
      </w:r>
      <w:r w:rsidRPr="0058641B">
        <w:fldChar w:fldCharType="begin"/>
      </w:r>
      <w:r w:rsidRPr="0058641B">
        <w:instrText xml:space="preserve"> REF _Ref101225679 \h </w:instrText>
      </w:r>
      <w:r w:rsidRPr="0058641B">
        <w:fldChar w:fldCharType="separate"/>
      </w:r>
      <w:r w:rsidR="0043151A" w:rsidRPr="0058641B">
        <w:t xml:space="preserve">Table </w:t>
      </w:r>
      <w:r w:rsidR="0043151A">
        <w:rPr>
          <w:noProof/>
        </w:rPr>
        <w:t>13</w:t>
      </w:r>
      <w:r w:rsidRPr="0058641B">
        <w:fldChar w:fldCharType="end"/>
      </w:r>
      <w:r w:rsidRPr="0058641B">
        <w:t>.</w:t>
      </w:r>
    </w:p>
    <w:p w14:paraId="01EEB979" w14:textId="22E35AE0" w:rsidR="00C37C68" w:rsidRPr="0058641B" w:rsidRDefault="00C37C68" w:rsidP="00C37C68">
      <w:pPr>
        <w:pStyle w:val="TableFigureHeading"/>
        <w:rPr>
          <w:rStyle w:val="CommentReference"/>
          <w:b/>
          <w:szCs w:val="24"/>
        </w:rPr>
      </w:pPr>
      <w:bookmarkStart w:id="57" w:name="_Ref101225679"/>
      <w:r w:rsidRPr="0058641B">
        <w:t xml:space="preserve">Table </w:t>
      </w:r>
      <w:fldSimple w:instr=" SEQ Table \* ARABIC ">
        <w:r w:rsidR="0043151A">
          <w:rPr>
            <w:noProof/>
          </w:rPr>
          <w:t>13</w:t>
        </w:r>
      </w:fldSimple>
      <w:bookmarkEnd w:id="57"/>
      <w:r w:rsidRPr="0058641B">
        <w:t>:</w:t>
      </w:r>
      <w:r w:rsidRPr="0058641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2694"/>
        <w:gridCol w:w="4628"/>
      </w:tblGrid>
      <w:tr w:rsidR="00C37C68" w:rsidRPr="0058641B" w14:paraId="3AC51FC2" w14:textId="77777777" w:rsidTr="00D312D9">
        <w:trPr>
          <w:tblHeader/>
        </w:trPr>
        <w:tc>
          <w:tcPr>
            <w:tcW w:w="940" w:type="pct"/>
            <w:shd w:val="clear" w:color="auto" w:fill="auto"/>
            <w:vAlign w:val="center"/>
          </w:tcPr>
          <w:p w14:paraId="3E4E1227" w14:textId="77777777" w:rsidR="00C37C68" w:rsidRPr="0058641B" w:rsidRDefault="00C37C68" w:rsidP="00D312D9">
            <w:pPr>
              <w:pStyle w:val="In-tableHeading"/>
              <w:rPr>
                <w:lang w:val="en-AU"/>
              </w:rPr>
            </w:pPr>
            <w:r w:rsidRPr="0058641B">
              <w:rPr>
                <w:lang w:val="en-AU"/>
              </w:rPr>
              <w:t>Description</w:t>
            </w:r>
          </w:p>
        </w:tc>
        <w:tc>
          <w:tcPr>
            <w:tcW w:w="1494" w:type="pct"/>
            <w:shd w:val="clear" w:color="auto" w:fill="auto"/>
            <w:vAlign w:val="center"/>
          </w:tcPr>
          <w:p w14:paraId="541B28AD" w14:textId="77777777" w:rsidR="00C37C68" w:rsidRPr="0058641B" w:rsidRDefault="00C37C68" w:rsidP="00D312D9">
            <w:pPr>
              <w:pStyle w:val="In-tableHeading"/>
              <w:jc w:val="center"/>
              <w:rPr>
                <w:lang w:val="en-AU"/>
              </w:rPr>
            </w:pPr>
            <w:r w:rsidRPr="0058641B">
              <w:rPr>
                <w:lang w:val="en-AU"/>
              </w:rPr>
              <w:t>Method/Value</w:t>
            </w:r>
          </w:p>
        </w:tc>
        <w:tc>
          <w:tcPr>
            <w:tcW w:w="2566" w:type="pct"/>
            <w:shd w:val="clear" w:color="auto" w:fill="auto"/>
            <w:vAlign w:val="center"/>
          </w:tcPr>
          <w:p w14:paraId="30F462C5" w14:textId="77777777" w:rsidR="00C37C68" w:rsidRPr="0058641B" w:rsidRDefault="00C37C68" w:rsidP="00D312D9">
            <w:pPr>
              <w:pStyle w:val="In-tableHeading"/>
              <w:jc w:val="center"/>
              <w:rPr>
                <w:lang w:val="en-AU"/>
              </w:rPr>
            </w:pPr>
            <w:r w:rsidRPr="0058641B">
              <w:rPr>
                <w:lang w:val="en-AU"/>
              </w:rPr>
              <w:t>Impact</w:t>
            </w:r>
          </w:p>
          <w:p w14:paraId="2A7DE4F4" w14:textId="5C80209E" w:rsidR="00C37C68" w:rsidRPr="0058641B" w:rsidRDefault="00C37C68" w:rsidP="00D312D9">
            <w:pPr>
              <w:pStyle w:val="In-tableHeading"/>
              <w:jc w:val="center"/>
              <w:rPr>
                <w:vertAlign w:val="superscript"/>
                <w:lang w:val="en-AU"/>
              </w:rPr>
            </w:pPr>
            <w:r w:rsidRPr="0058641B">
              <w:rPr>
                <w:lang w:val="en-AU"/>
              </w:rPr>
              <w:t>Base case: $</w:t>
            </w:r>
            <w:r w:rsidR="00A8021D" w:rsidRPr="00A8021D">
              <w:rPr>
                <w:color w:val="000000"/>
                <w:shd w:val="solid" w:color="000000" w:fill="000000"/>
                <w:lang w:val="en-AU"/>
                <w14:textFill>
                  <w14:solidFill>
                    <w14:srgbClr w14:val="000000">
                      <w14:alpha w14:val="100000"/>
                    </w14:srgbClr>
                  </w14:solidFill>
                </w14:textFill>
              </w:rPr>
              <w:t>|</w:t>
            </w:r>
            <w:r w:rsidR="00D266A3" w:rsidRPr="00D266A3">
              <w:rPr>
                <w:b w:val="0"/>
                <w:bCs/>
                <w:vertAlign w:val="superscript"/>
                <w:lang w:val="en-AU"/>
              </w:rPr>
              <w:t>1</w:t>
            </w:r>
            <w:r w:rsidRPr="0058641B">
              <w:rPr>
                <w:lang w:val="en-AU"/>
              </w:rPr>
              <w:t>/</w:t>
            </w:r>
            <w:proofErr w:type="spellStart"/>
            <w:r w:rsidRPr="0058641B">
              <w:rPr>
                <w:lang w:val="en-AU"/>
              </w:rPr>
              <w:t>QALY</w:t>
            </w:r>
            <w:r w:rsidRPr="0058641B">
              <w:rPr>
                <w:vertAlign w:val="superscript"/>
                <w:lang w:val="en-AU"/>
              </w:rPr>
              <w:t>a</w:t>
            </w:r>
            <w:proofErr w:type="spellEnd"/>
          </w:p>
        </w:tc>
      </w:tr>
      <w:tr w:rsidR="00C37C68" w:rsidRPr="0058641B" w14:paraId="5EAC103D" w14:textId="77777777" w:rsidTr="00D312D9">
        <w:tc>
          <w:tcPr>
            <w:tcW w:w="940" w:type="pct"/>
            <w:shd w:val="clear" w:color="auto" w:fill="auto"/>
            <w:vAlign w:val="center"/>
          </w:tcPr>
          <w:p w14:paraId="37603B61" w14:textId="77777777" w:rsidR="00C37C68" w:rsidRPr="0058641B" w:rsidRDefault="00C37C68" w:rsidP="00D312D9">
            <w:pPr>
              <w:pStyle w:val="TableText0"/>
            </w:pPr>
            <w:r w:rsidRPr="0058641B">
              <w:t>Time horizon</w:t>
            </w:r>
          </w:p>
        </w:tc>
        <w:tc>
          <w:tcPr>
            <w:tcW w:w="1494" w:type="pct"/>
            <w:shd w:val="clear" w:color="auto" w:fill="auto"/>
            <w:vAlign w:val="center"/>
          </w:tcPr>
          <w:p w14:paraId="01D2D348" w14:textId="77777777" w:rsidR="00C37C68" w:rsidRPr="0058641B" w:rsidRDefault="00C37C68" w:rsidP="00D312D9">
            <w:pPr>
              <w:pStyle w:val="TableText0"/>
            </w:pPr>
            <w:r w:rsidRPr="0058641B">
              <w:t xml:space="preserve">Model adopted a 25-year time horizon. </w:t>
            </w:r>
          </w:p>
        </w:tc>
        <w:tc>
          <w:tcPr>
            <w:tcW w:w="2566" w:type="pct"/>
            <w:shd w:val="clear" w:color="auto" w:fill="auto"/>
            <w:vAlign w:val="center"/>
          </w:tcPr>
          <w:p w14:paraId="100018DF" w14:textId="77777777" w:rsidR="00C37C68" w:rsidRPr="0058641B" w:rsidRDefault="00C37C68" w:rsidP="00D312D9">
            <w:pPr>
              <w:pStyle w:val="TableText0"/>
            </w:pPr>
            <w:r w:rsidRPr="0058641B">
              <w:t>Moderate, favoured ATZ.</w:t>
            </w:r>
          </w:p>
          <w:p w14:paraId="6EC6E0D4" w14:textId="173AB149" w:rsidR="00C37C68" w:rsidRPr="0058641B" w:rsidRDefault="00C37C68" w:rsidP="00D312D9">
            <w:pPr>
              <w:pStyle w:val="TableText0"/>
            </w:pPr>
            <w:r w:rsidRPr="0058641B">
              <w:t>Time horizon of 15 years, increased the ICER to $</w:t>
            </w:r>
            <w:r w:rsidR="00A8021D" w:rsidRPr="00A8021D">
              <w:rPr>
                <w:color w:val="000000"/>
                <w:spacing w:val="53"/>
                <w:shd w:val="solid" w:color="000000" w:fill="000000"/>
                <w:fitText w:val="330" w:id="-1435765504"/>
                <w14:textFill>
                  <w14:solidFill>
                    <w14:srgbClr w14:val="000000">
                      <w14:alpha w14:val="100000"/>
                    </w14:srgbClr>
                  </w14:solidFill>
                </w14:textFill>
              </w:rPr>
              <w:t>|||</w:t>
            </w:r>
            <w:r w:rsidR="00A8021D" w:rsidRPr="00A8021D">
              <w:rPr>
                <w:color w:val="000000"/>
                <w:spacing w:val="1"/>
                <w:shd w:val="solid" w:color="000000" w:fill="000000"/>
                <w:fitText w:val="330" w:id="-1435765504"/>
                <w14:textFill>
                  <w14:solidFill>
                    <w14:srgbClr w14:val="000000">
                      <w14:alpha w14:val="100000"/>
                    </w14:srgbClr>
                  </w14:solidFill>
                </w14:textFill>
              </w:rPr>
              <w:t>|</w:t>
            </w:r>
            <w:r w:rsidR="00D266A3" w:rsidRPr="00D266A3">
              <w:rPr>
                <w:vertAlign w:val="superscript"/>
              </w:rPr>
              <w:t>2</w:t>
            </w:r>
            <w:r w:rsidRPr="0058641B">
              <w:t xml:space="preserve">/QALY </w:t>
            </w:r>
          </w:p>
        </w:tc>
      </w:tr>
      <w:tr w:rsidR="00C37C68" w:rsidRPr="0058641B" w14:paraId="48E74A6B" w14:textId="77777777" w:rsidTr="00D312D9">
        <w:trPr>
          <w:trHeight w:val="451"/>
        </w:trPr>
        <w:tc>
          <w:tcPr>
            <w:tcW w:w="940" w:type="pct"/>
            <w:shd w:val="clear" w:color="auto" w:fill="auto"/>
            <w:vAlign w:val="center"/>
          </w:tcPr>
          <w:p w14:paraId="09F7CB4E" w14:textId="77777777" w:rsidR="00C37C68" w:rsidRPr="0058641B" w:rsidRDefault="00C37C68" w:rsidP="00D312D9">
            <w:pPr>
              <w:pStyle w:val="TableText0"/>
            </w:pPr>
            <w:r w:rsidRPr="0058641B">
              <w:t>Extrapolation time point</w:t>
            </w:r>
          </w:p>
        </w:tc>
        <w:tc>
          <w:tcPr>
            <w:tcW w:w="1494" w:type="pct"/>
            <w:shd w:val="clear" w:color="auto" w:fill="auto"/>
            <w:vAlign w:val="center"/>
          </w:tcPr>
          <w:p w14:paraId="023F2C55" w14:textId="77777777" w:rsidR="00C37C68" w:rsidRPr="0058641B" w:rsidRDefault="00C37C68" w:rsidP="00D312D9">
            <w:pPr>
              <w:pStyle w:val="TableText0"/>
            </w:pPr>
            <w:r w:rsidRPr="0058641B">
              <w:t>32.2 months</w:t>
            </w:r>
          </w:p>
        </w:tc>
        <w:tc>
          <w:tcPr>
            <w:tcW w:w="2566" w:type="pct"/>
            <w:shd w:val="clear" w:color="auto" w:fill="auto"/>
            <w:vAlign w:val="center"/>
          </w:tcPr>
          <w:p w14:paraId="4C9466CF" w14:textId="77777777" w:rsidR="00C37C68" w:rsidRPr="0058641B" w:rsidRDefault="00C37C68" w:rsidP="00D312D9">
            <w:pPr>
              <w:pStyle w:val="TableText0"/>
            </w:pPr>
            <w:r w:rsidRPr="0058641B">
              <w:t>Moderate, favoured ATZ</w:t>
            </w:r>
          </w:p>
          <w:p w14:paraId="7438FA4D" w14:textId="766748C1" w:rsidR="00C37C68" w:rsidRPr="0058641B" w:rsidRDefault="00C37C68" w:rsidP="00D312D9">
            <w:pPr>
              <w:pStyle w:val="TableText0"/>
            </w:pPr>
            <w:r w:rsidRPr="0058641B">
              <w:t>Trial data extrapolated from 37 months, the ICER increased to $</w:t>
            </w:r>
            <w:r w:rsidR="00A8021D" w:rsidRPr="00A8021D">
              <w:rPr>
                <w:color w:val="000000"/>
                <w:spacing w:val="53"/>
                <w:shd w:val="solid" w:color="000000" w:fill="000000"/>
                <w:fitText w:val="330" w:id="-1435765503"/>
                <w14:textFill>
                  <w14:solidFill>
                    <w14:srgbClr w14:val="000000">
                      <w14:alpha w14:val="100000"/>
                    </w14:srgbClr>
                  </w14:solidFill>
                </w14:textFill>
              </w:rPr>
              <w:t>|||</w:t>
            </w:r>
            <w:r w:rsidR="00A8021D" w:rsidRPr="00A8021D">
              <w:rPr>
                <w:color w:val="000000"/>
                <w:spacing w:val="1"/>
                <w:shd w:val="solid" w:color="000000" w:fill="000000"/>
                <w:fitText w:val="330" w:id="-1435765503"/>
                <w14:textFill>
                  <w14:solidFill>
                    <w14:srgbClr w14:val="000000">
                      <w14:alpha w14:val="100000"/>
                    </w14:srgbClr>
                  </w14:solidFill>
                </w14:textFill>
              </w:rPr>
              <w:t>|</w:t>
            </w:r>
            <w:r w:rsidR="00D266A3" w:rsidRPr="00D266A3">
              <w:rPr>
                <w:vertAlign w:val="superscript"/>
              </w:rPr>
              <w:t>2</w:t>
            </w:r>
            <w:r w:rsidRPr="0058641B">
              <w:t>/QALY</w:t>
            </w:r>
          </w:p>
        </w:tc>
      </w:tr>
      <w:tr w:rsidR="00C37C68" w:rsidRPr="0058641B" w14:paraId="0F16C851" w14:textId="77777777" w:rsidTr="00D312D9">
        <w:trPr>
          <w:trHeight w:val="451"/>
        </w:trPr>
        <w:tc>
          <w:tcPr>
            <w:tcW w:w="940" w:type="pct"/>
            <w:shd w:val="clear" w:color="auto" w:fill="auto"/>
            <w:vAlign w:val="center"/>
          </w:tcPr>
          <w:p w14:paraId="6C1EBAD1" w14:textId="77777777" w:rsidR="00C37C68" w:rsidRPr="0058641B" w:rsidRDefault="00C37C68" w:rsidP="00D312D9">
            <w:pPr>
              <w:pStyle w:val="TableText0"/>
            </w:pPr>
            <w:r w:rsidRPr="0058641B">
              <w:t>Adjustment for sustained DFS</w:t>
            </w:r>
          </w:p>
        </w:tc>
        <w:tc>
          <w:tcPr>
            <w:tcW w:w="1494" w:type="pct"/>
            <w:shd w:val="clear" w:color="auto" w:fill="auto"/>
            <w:vAlign w:val="center"/>
          </w:tcPr>
          <w:p w14:paraId="71F1DCDB" w14:textId="77777777" w:rsidR="00C37C68" w:rsidRPr="0058641B" w:rsidRDefault="00C37C68" w:rsidP="00D312D9">
            <w:pPr>
              <w:pStyle w:val="TableText0"/>
            </w:pPr>
            <w:r w:rsidRPr="0058641B">
              <w:t>Proportion of patients with sustained DFS started to increase from Year 2 and achieve maximum of 91.5% at Year 5</w:t>
            </w:r>
          </w:p>
        </w:tc>
        <w:tc>
          <w:tcPr>
            <w:tcW w:w="2566" w:type="pct"/>
            <w:shd w:val="clear" w:color="auto" w:fill="auto"/>
            <w:vAlign w:val="center"/>
          </w:tcPr>
          <w:p w14:paraId="66B2C45A" w14:textId="77777777" w:rsidR="00C37C68" w:rsidRPr="0058641B" w:rsidRDefault="00C37C68" w:rsidP="00D312D9">
            <w:pPr>
              <w:pStyle w:val="TableText0"/>
            </w:pPr>
            <w:r w:rsidRPr="0058641B">
              <w:t>Moderate, favoured ATZ</w:t>
            </w:r>
          </w:p>
          <w:p w14:paraId="7323A834" w14:textId="5FFFC840" w:rsidR="00C37C68" w:rsidRPr="0058641B" w:rsidRDefault="00C37C68" w:rsidP="00D312D9">
            <w:pPr>
              <w:pStyle w:val="TableText0"/>
            </w:pPr>
            <w:r w:rsidRPr="0058641B">
              <w:t>Without adjustment for sustained DFS, the ICER increased to $</w:t>
            </w:r>
            <w:r w:rsidR="00A8021D" w:rsidRPr="00A8021D">
              <w:rPr>
                <w:color w:val="000000"/>
                <w:spacing w:val="53"/>
                <w:shd w:val="solid" w:color="000000" w:fill="000000"/>
                <w:fitText w:val="330" w:id="-1435765502"/>
                <w14:textFill>
                  <w14:solidFill>
                    <w14:srgbClr w14:val="000000">
                      <w14:alpha w14:val="100000"/>
                    </w14:srgbClr>
                  </w14:solidFill>
                </w14:textFill>
              </w:rPr>
              <w:t>|||</w:t>
            </w:r>
            <w:r w:rsidR="00A8021D" w:rsidRPr="00A8021D">
              <w:rPr>
                <w:color w:val="000000"/>
                <w:spacing w:val="1"/>
                <w:shd w:val="solid" w:color="000000" w:fill="000000"/>
                <w:fitText w:val="330" w:id="-1435765502"/>
                <w14:textFill>
                  <w14:solidFill>
                    <w14:srgbClr w14:val="000000">
                      <w14:alpha w14:val="100000"/>
                    </w14:srgbClr>
                  </w14:solidFill>
                </w14:textFill>
              </w:rPr>
              <w:t>|</w:t>
            </w:r>
            <w:r w:rsidR="00D266A3" w:rsidRPr="00D266A3">
              <w:rPr>
                <w:vertAlign w:val="superscript"/>
              </w:rPr>
              <w:t>2</w:t>
            </w:r>
            <w:r w:rsidRPr="0058641B">
              <w:t>/QALY</w:t>
            </w:r>
          </w:p>
          <w:p w14:paraId="39F8C83B" w14:textId="76EE032D" w:rsidR="00C37C68" w:rsidRPr="0058641B" w:rsidRDefault="00C37C68" w:rsidP="00D312D9">
            <w:pPr>
              <w:pStyle w:val="TableText0"/>
            </w:pPr>
            <w:r w:rsidRPr="0058641B">
              <w:t>Maximum 75% achieving sustained DFS, the ICER increased to $</w:t>
            </w:r>
            <w:r w:rsidR="00A8021D" w:rsidRPr="00A8021D">
              <w:rPr>
                <w:color w:val="000000"/>
                <w:spacing w:val="53"/>
                <w:shd w:val="solid" w:color="000000" w:fill="000000"/>
                <w:fitText w:val="330" w:id="-1435765501"/>
                <w14:textFill>
                  <w14:solidFill>
                    <w14:srgbClr w14:val="000000">
                      <w14:alpha w14:val="100000"/>
                    </w14:srgbClr>
                  </w14:solidFill>
                </w14:textFill>
              </w:rPr>
              <w:t>|||</w:t>
            </w:r>
            <w:r w:rsidR="00A8021D" w:rsidRPr="00A8021D">
              <w:rPr>
                <w:color w:val="000000"/>
                <w:spacing w:val="1"/>
                <w:shd w:val="solid" w:color="000000" w:fill="000000"/>
                <w:fitText w:val="330" w:id="-1435765501"/>
                <w14:textFill>
                  <w14:solidFill>
                    <w14:srgbClr w14:val="000000">
                      <w14:alpha w14:val="100000"/>
                    </w14:srgbClr>
                  </w14:solidFill>
                </w14:textFill>
              </w:rPr>
              <w:t>|</w:t>
            </w:r>
            <w:r w:rsidR="00D266A3" w:rsidRPr="00D266A3">
              <w:rPr>
                <w:vertAlign w:val="superscript"/>
              </w:rPr>
              <w:t>1</w:t>
            </w:r>
            <w:r w:rsidRPr="0058641B">
              <w:t>/QALY</w:t>
            </w:r>
          </w:p>
          <w:p w14:paraId="1826444C" w14:textId="54B80BE8" w:rsidR="00C37C68" w:rsidRPr="0058641B" w:rsidRDefault="00C37C68" w:rsidP="00D312D9">
            <w:pPr>
              <w:pStyle w:val="TableText0"/>
            </w:pPr>
            <w:r w:rsidRPr="0058641B">
              <w:t>Proportion of patients with sustained DFS started to increase from Year 4 and achieved the maximum at Year 10, the ICER increased to $</w:t>
            </w:r>
            <w:r w:rsidR="00A8021D" w:rsidRPr="00A8021D">
              <w:rPr>
                <w:color w:val="000000"/>
                <w:spacing w:val="53"/>
                <w:shd w:val="solid" w:color="000000" w:fill="000000"/>
                <w:fitText w:val="330" w:id="-1435765500"/>
                <w14:textFill>
                  <w14:solidFill>
                    <w14:srgbClr w14:val="000000">
                      <w14:alpha w14:val="100000"/>
                    </w14:srgbClr>
                  </w14:solidFill>
                </w14:textFill>
              </w:rPr>
              <w:t>|||</w:t>
            </w:r>
            <w:r w:rsidR="00A8021D" w:rsidRPr="00A8021D">
              <w:rPr>
                <w:color w:val="000000"/>
                <w:spacing w:val="1"/>
                <w:shd w:val="solid" w:color="000000" w:fill="000000"/>
                <w:fitText w:val="330" w:id="-1435765500"/>
                <w14:textFill>
                  <w14:solidFill>
                    <w14:srgbClr w14:val="000000">
                      <w14:alpha w14:val="100000"/>
                    </w14:srgbClr>
                  </w14:solidFill>
                </w14:textFill>
              </w:rPr>
              <w:t>|</w:t>
            </w:r>
            <w:r w:rsidR="00D266A3" w:rsidRPr="00D266A3">
              <w:rPr>
                <w:vertAlign w:val="superscript"/>
              </w:rPr>
              <w:t>2</w:t>
            </w:r>
            <w:r w:rsidRPr="0058641B">
              <w:t>/QALY</w:t>
            </w:r>
          </w:p>
        </w:tc>
      </w:tr>
      <w:tr w:rsidR="00C37C68" w:rsidRPr="0058641B" w14:paraId="3AC674D6" w14:textId="77777777" w:rsidTr="00D312D9">
        <w:trPr>
          <w:trHeight w:val="451"/>
        </w:trPr>
        <w:tc>
          <w:tcPr>
            <w:tcW w:w="940" w:type="pct"/>
            <w:shd w:val="clear" w:color="auto" w:fill="auto"/>
            <w:vAlign w:val="center"/>
          </w:tcPr>
          <w:p w14:paraId="780F8172" w14:textId="388F39F4" w:rsidR="00C37C68" w:rsidRPr="0058641B" w:rsidRDefault="00C37C68" w:rsidP="00D312D9">
            <w:pPr>
              <w:pStyle w:val="TableText0"/>
            </w:pPr>
            <w:r w:rsidRPr="0058641B">
              <w:t xml:space="preserve">Use of pembrolizumab combination therapy in 1L DR </w:t>
            </w:r>
            <w:proofErr w:type="spellStart"/>
            <w:r w:rsidRPr="0058641B">
              <w:t>setting</w:t>
            </w:r>
            <w:r w:rsidR="00841186" w:rsidRPr="00841186">
              <w:rPr>
                <w:vertAlign w:val="superscript"/>
              </w:rPr>
              <w:t>b</w:t>
            </w:r>
            <w:proofErr w:type="spellEnd"/>
          </w:p>
        </w:tc>
        <w:tc>
          <w:tcPr>
            <w:tcW w:w="1494" w:type="pct"/>
            <w:shd w:val="clear" w:color="auto" w:fill="auto"/>
            <w:vAlign w:val="center"/>
          </w:tcPr>
          <w:p w14:paraId="05E5F132" w14:textId="4D288BF1" w:rsidR="00C37C68" w:rsidRPr="0058641B" w:rsidRDefault="00C37C68" w:rsidP="00D312D9">
            <w:pPr>
              <w:pStyle w:val="TableText0"/>
            </w:pPr>
            <w:r w:rsidRPr="0058641B">
              <w:t xml:space="preserve">80% </w:t>
            </w:r>
            <w:r w:rsidR="002126D5" w:rsidRPr="0058641B">
              <w:t xml:space="preserve">of patients who experienced distant recurrence </w:t>
            </w:r>
            <w:r w:rsidRPr="0058641B">
              <w:t>in the BSC arm (20% on chemotherapy) and 0% in the ATZ arm (100% on chemotherapy)</w:t>
            </w:r>
          </w:p>
        </w:tc>
        <w:tc>
          <w:tcPr>
            <w:tcW w:w="2566" w:type="pct"/>
            <w:shd w:val="clear" w:color="auto" w:fill="auto"/>
            <w:vAlign w:val="center"/>
          </w:tcPr>
          <w:p w14:paraId="6162CB87" w14:textId="336F6390" w:rsidR="00C37C68" w:rsidRPr="0058641B" w:rsidRDefault="00C37C68" w:rsidP="00D312D9">
            <w:pPr>
              <w:pStyle w:val="TableText0"/>
            </w:pPr>
            <w:r w:rsidRPr="0058641B">
              <w:t>Moderate</w:t>
            </w:r>
            <w:r w:rsidR="00987A33" w:rsidRPr="0058641B">
              <w:t>-high</w:t>
            </w:r>
            <w:r w:rsidRPr="0058641B">
              <w:t>, favoured ATZ</w:t>
            </w:r>
          </w:p>
          <w:p w14:paraId="13607099" w14:textId="4329F3A4" w:rsidR="00C37C68" w:rsidRPr="0058641B" w:rsidRDefault="00C37C68" w:rsidP="00D312D9">
            <w:pPr>
              <w:pStyle w:val="TableText0"/>
            </w:pPr>
            <w:r w:rsidRPr="0058641B">
              <w:t>60% use of pembrolizumab combination therapy in the 1L DR setting after BSC, the ICER increased to $</w:t>
            </w:r>
            <w:r w:rsidR="00A8021D" w:rsidRPr="00A8021D">
              <w:rPr>
                <w:color w:val="000000"/>
                <w:spacing w:val="53"/>
                <w:shd w:val="solid" w:color="000000" w:fill="000000"/>
                <w:fitText w:val="330" w:id="-1435765499"/>
                <w14:textFill>
                  <w14:solidFill>
                    <w14:srgbClr w14:val="000000">
                      <w14:alpha w14:val="100000"/>
                    </w14:srgbClr>
                  </w14:solidFill>
                </w14:textFill>
              </w:rPr>
              <w:t>|||</w:t>
            </w:r>
            <w:r w:rsidR="00A8021D" w:rsidRPr="00A8021D">
              <w:rPr>
                <w:color w:val="000000"/>
                <w:spacing w:val="1"/>
                <w:shd w:val="solid" w:color="000000" w:fill="000000"/>
                <w:fitText w:val="330" w:id="-1435765499"/>
                <w14:textFill>
                  <w14:solidFill>
                    <w14:srgbClr w14:val="000000">
                      <w14:alpha w14:val="100000"/>
                    </w14:srgbClr>
                  </w14:solidFill>
                </w14:textFill>
              </w:rPr>
              <w:t>|</w:t>
            </w:r>
            <w:r w:rsidR="00D266A3" w:rsidRPr="00D266A3">
              <w:rPr>
                <w:vertAlign w:val="superscript"/>
              </w:rPr>
              <w:t>2</w:t>
            </w:r>
            <w:r w:rsidRPr="0058641B">
              <w:t>/QALY</w:t>
            </w:r>
          </w:p>
          <w:p w14:paraId="2626D502" w14:textId="09505B3E" w:rsidR="00987A33" w:rsidRPr="0058641B" w:rsidRDefault="00987A33" w:rsidP="00D312D9">
            <w:pPr>
              <w:pStyle w:val="TableText0"/>
            </w:pPr>
            <w:r w:rsidRPr="0058641B">
              <w:t>0% use of pembrolizumab combination therapy in the 1L DR setting after BSC, the ICER increased to $</w:t>
            </w:r>
            <w:r w:rsidR="00A8021D" w:rsidRPr="00A8021D">
              <w:rPr>
                <w:color w:val="000000"/>
                <w:spacing w:val="53"/>
                <w:shd w:val="solid" w:color="000000" w:fill="000000"/>
                <w:fitText w:val="330" w:id="-1435765498"/>
                <w14:textFill>
                  <w14:solidFill>
                    <w14:srgbClr w14:val="000000">
                      <w14:alpha w14:val="100000"/>
                    </w14:srgbClr>
                  </w14:solidFill>
                </w14:textFill>
              </w:rPr>
              <w:t>|||</w:t>
            </w:r>
            <w:r w:rsidR="00A8021D" w:rsidRPr="00A8021D">
              <w:rPr>
                <w:color w:val="000000"/>
                <w:spacing w:val="1"/>
                <w:shd w:val="solid" w:color="000000" w:fill="000000"/>
                <w:fitText w:val="330" w:id="-1435765498"/>
                <w14:textFill>
                  <w14:solidFill>
                    <w14:srgbClr w14:val="000000">
                      <w14:alpha w14:val="100000"/>
                    </w14:srgbClr>
                  </w14:solidFill>
                </w14:textFill>
              </w:rPr>
              <w:t>|</w:t>
            </w:r>
            <w:r w:rsidR="00D266A3">
              <w:rPr>
                <w:vertAlign w:val="superscript"/>
              </w:rPr>
              <w:t>3</w:t>
            </w:r>
            <w:r w:rsidRPr="0058641B">
              <w:t>/QALY</w:t>
            </w:r>
          </w:p>
        </w:tc>
      </w:tr>
    </w:tbl>
    <w:p w14:paraId="6A7CF7AD" w14:textId="77777777" w:rsidR="00C37C68" w:rsidRPr="0058641B" w:rsidRDefault="00C37C68" w:rsidP="00C37C68">
      <w:pPr>
        <w:pStyle w:val="TableFigureFooter"/>
      </w:pPr>
      <w:r w:rsidRPr="0058641B">
        <w:t>Source: Compiled during the evaluation, based on Section 3.9 of the submission and the sensitivity analyses performed during the evaluation</w:t>
      </w:r>
    </w:p>
    <w:p w14:paraId="5736A20E" w14:textId="0DDB3C74" w:rsidR="00C37C68" w:rsidRPr="0058641B" w:rsidRDefault="00C37C68" w:rsidP="00C37C68">
      <w:pPr>
        <w:pStyle w:val="TableFigureFooter"/>
      </w:pPr>
      <w:r w:rsidRPr="0058641B">
        <w:t xml:space="preserve">1L DR = first-line distant recurrence; DFS = disease-free survival; ICER = incremental cost-effectiveness ratio; QALY = quality-adjusted </w:t>
      </w:r>
      <w:r w:rsidR="00EA56B9" w:rsidRPr="0058641B">
        <w:t>life year</w:t>
      </w:r>
    </w:p>
    <w:p w14:paraId="65F3D6BD" w14:textId="3A68CFC0" w:rsidR="00C37C68" w:rsidRDefault="00C37C68" w:rsidP="00C37C68">
      <w:pPr>
        <w:pStyle w:val="TableFigureFooter"/>
      </w:pPr>
      <w:r w:rsidRPr="00B04F72">
        <w:rPr>
          <w:vertAlign w:val="superscript"/>
        </w:rPr>
        <w:t xml:space="preserve">a </w:t>
      </w:r>
      <w:r w:rsidRPr="00B04F72">
        <w:t xml:space="preserve">The economic evaluation results presented in this table are the revised results after correcting the following the errors identified during the evaluation (see the table notes under </w:t>
      </w:r>
      <w:r w:rsidRPr="00B04F72">
        <w:fldChar w:fldCharType="begin"/>
      </w:r>
      <w:r w:rsidRPr="00B04F72">
        <w:instrText xml:space="preserve"> REF _Ref100330697 \h  \* MERGEFORMAT </w:instrText>
      </w:r>
      <w:r w:rsidRPr="00B04F72">
        <w:fldChar w:fldCharType="separate"/>
      </w:r>
      <w:r w:rsidR="0043151A" w:rsidRPr="00B04F72">
        <w:t xml:space="preserve">Table </w:t>
      </w:r>
      <w:r w:rsidR="0043151A">
        <w:t>14</w:t>
      </w:r>
      <w:r w:rsidRPr="00B04F72">
        <w:fldChar w:fldCharType="end"/>
      </w:r>
      <w:r w:rsidRPr="00B04F72">
        <w:t>).</w:t>
      </w:r>
    </w:p>
    <w:p w14:paraId="7ABCCCDE" w14:textId="4F11E243" w:rsidR="00841186" w:rsidRDefault="00841186" w:rsidP="00644DC1">
      <w:pPr>
        <w:pStyle w:val="TableFigureFooter"/>
        <w:spacing w:after="0"/>
      </w:pPr>
      <w:r w:rsidRPr="00644DC1">
        <w:rPr>
          <w:vertAlign w:val="superscript"/>
        </w:rPr>
        <w:t>b</w:t>
      </w:r>
      <w:r>
        <w:t xml:space="preserve"> Assuming the effective price of pembrolizumab with a </w:t>
      </w:r>
      <w:r w:rsidR="00A8021D" w:rsidRPr="00A8021D">
        <w:rPr>
          <w:color w:val="000000"/>
          <w:spacing w:val="40"/>
          <w:shd w:val="solid" w:color="000000" w:fill="000000"/>
          <w:fitText w:val="280" w:id="-1435765497"/>
          <w14:textFill>
            <w14:solidFill>
              <w14:srgbClr w14:val="000000">
                <w14:alpha w14:val="100000"/>
              </w14:srgbClr>
            </w14:solidFill>
          </w14:textFill>
        </w:rPr>
        <w:t xml:space="preserve">|  </w:t>
      </w:r>
      <w:r w:rsidR="00A8021D" w:rsidRPr="00A8021D">
        <w:rPr>
          <w:color w:val="000000"/>
          <w:spacing w:val="2"/>
          <w:shd w:val="solid" w:color="000000" w:fill="000000"/>
          <w:fitText w:val="280" w:id="-1435765497"/>
          <w14:textFill>
            <w14:solidFill>
              <w14:srgbClr w14:val="000000">
                <w14:alpha w14:val="100000"/>
              </w14:srgbClr>
            </w14:solidFill>
          </w14:textFill>
        </w:rPr>
        <w:t>|</w:t>
      </w:r>
      <w:r>
        <w:t>% rebate off the published ex-manufacturer price</w:t>
      </w:r>
    </w:p>
    <w:p w14:paraId="4868C1E9" w14:textId="77777777" w:rsidR="00D266A3" w:rsidRPr="00A4427F" w:rsidRDefault="00D266A3" w:rsidP="00D266A3">
      <w:pPr>
        <w:pStyle w:val="TableFigureFooter"/>
        <w:keepNext/>
        <w:spacing w:after="0"/>
        <w:contextualSpacing w:val="0"/>
        <w:rPr>
          <w:i/>
        </w:rPr>
      </w:pPr>
      <w:bookmarkStart w:id="58" w:name="_Hlk112839435"/>
      <w:r w:rsidRPr="00A4427F">
        <w:rPr>
          <w:i/>
        </w:rPr>
        <w:t>The redacted values correspond to the following ranges:</w:t>
      </w:r>
    </w:p>
    <w:bookmarkEnd w:id="58"/>
    <w:p w14:paraId="75E3EBAC" w14:textId="61AA73B5" w:rsidR="00D266A3" w:rsidRPr="00281DAB" w:rsidRDefault="00D266A3" w:rsidP="00D266A3">
      <w:pPr>
        <w:pStyle w:val="TableFigureFooter"/>
        <w:keepNext/>
        <w:spacing w:after="0"/>
        <w:contextualSpacing w:val="0"/>
      </w:pPr>
      <w:r w:rsidRPr="00A4427F">
        <w:rPr>
          <w:i/>
          <w:szCs w:val="18"/>
          <w:vertAlign w:val="superscript"/>
        </w:rPr>
        <w:t>1</w:t>
      </w:r>
      <w:r w:rsidRPr="00A4427F">
        <w:rPr>
          <w:i/>
          <w:szCs w:val="18"/>
        </w:rPr>
        <w:t xml:space="preserve"> </w:t>
      </w:r>
      <w:r w:rsidRPr="00D266A3">
        <w:rPr>
          <w:i/>
          <w:szCs w:val="18"/>
        </w:rPr>
        <w:t>$15,000 to &lt; $25,000</w:t>
      </w:r>
    </w:p>
    <w:p w14:paraId="43D51221" w14:textId="3233A6AC" w:rsidR="00D266A3" w:rsidRPr="00A4427F" w:rsidRDefault="00D266A3" w:rsidP="00D266A3">
      <w:pPr>
        <w:rPr>
          <w:rFonts w:ascii="Arial Narrow" w:hAnsi="Arial Narrow"/>
          <w:i/>
          <w:sz w:val="18"/>
          <w:szCs w:val="18"/>
        </w:rPr>
      </w:pPr>
      <w:r w:rsidRPr="00A4427F">
        <w:rPr>
          <w:rFonts w:ascii="Arial Narrow" w:hAnsi="Arial Narrow"/>
          <w:i/>
          <w:sz w:val="18"/>
          <w:szCs w:val="18"/>
          <w:vertAlign w:val="superscript"/>
        </w:rPr>
        <w:t>2</w:t>
      </w:r>
      <w:r w:rsidRPr="00A4427F">
        <w:rPr>
          <w:rFonts w:ascii="Arial Narrow" w:hAnsi="Arial Narrow"/>
          <w:i/>
          <w:sz w:val="18"/>
          <w:szCs w:val="18"/>
        </w:rPr>
        <w:t xml:space="preserve"> </w:t>
      </w:r>
      <w:r w:rsidRPr="00D266A3">
        <w:rPr>
          <w:rFonts w:ascii="Arial Narrow" w:hAnsi="Arial Narrow"/>
          <w:i/>
          <w:sz w:val="18"/>
          <w:szCs w:val="18"/>
        </w:rPr>
        <w:t>$25,000 to &lt; $35,000</w:t>
      </w:r>
    </w:p>
    <w:p w14:paraId="6EEE5611" w14:textId="5C5C6E70" w:rsidR="00D266A3" w:rsidRPr="00D266A3" w:rsidRDefault="00D266A3" w:rsidP="00D266A3">
      <w:pPr>
        <w:rPr>
          <w:rFonts w:ascii="Arial Narrow" w:hAnsi="Arial Narrow"/>
          <w:i/>
          <w:sz w:val="18"/>
          <w:szCs w:val="18"/>
        </w:rPr>
      </w:pPr>
      <w:r w:rsidRPr="00A4427F">
        <w:rPr>
          <w:rFonts w:ascii="Arial Narrow" w:hAnsi="Arial Narrow"/>
          <w:i/>
          <w:sz w:val="18"/>
          <w:szCs w:val="18"/>
          <w:vertAlign w:val="superscript"/>
        </w:rPr>
        <w:t xml:space="preserve">3 </w:t>
      </w:r>
      <w:r w:rsidRPr="00D266A3">
        <w:rPr>
          <w:rFonts w:ascii="Arial Narrow" w:hAnsi="Arial Narrow"/>
          <w:i/>
          <w:sz w:val="18"/>
          <w:szCs w:val="18"/>
        </w:rPr>
        <w:t>$35,000 to &lt; $45,000</w:t>
      </w:r>
    </w:p>
    <w:p w14:paraId="568200D4" w14:textId="77777777" w:rsidR="00C37C68" w:rsidRPr="00B04F72" w:rsidRDefault="00C37C68" w:rsidP="00644DC1"/>
    <w:p w14:paraId="54669BA2" w14:textId="51E34017" w:rsidR="00C37C68" w:rsidRPr="00B04F72" w:rsidRDefault="00C37C68" w:rsidP="00C37C68">
      <w:pPr>
        <w:pStyle w:val="3-BodyText"/>
        <w:rPr>
          <w:iCs/>
        </w:rPr>
      </w:pPr>
      <w:r w:rsidRPr="00B04F72">
        <w:t xml:space="preserve">The results of the stepped economic evaluation presented in the submission </w:t>
      </w:r>
      <w:r w:rsidR="008350CA">
        <w:t xml:space="preserve">are </w:t>
      </w:r>
      <w:r w:rsidRPr="00B04F72">
        <w:t xml:space="preserve">summarised in </w:t>
      </w:r>
      <w:r w:rsidRPr="00B04F72">
        <w:fldChar w:fldCharType="begin"/>
      </w:r>
      <w:r w:rsidRPr="00B04F72">
        <w:instrText xml:space="preserve"> REF _Ref100330697 \h </w:instrText>
      </w:r>
      <w:r w:rsidR="00B04F72" w:rsidRPr="00B04F72">
        <w:instrText xml:space="preserve"> \* MERGEFORMAT </w:instrText>
      </w:r>
      <w:r w:rsidRPr="00B04F72">
        <w:fldChar w:fldCharType="separate"/>
      </w:r>
      <w:r w:rsidR="0043151A" w:rsidRPr="00B04F72">
        <w:t xml:space="preserve">Table </w:t>
      </w:r>
      <w:r w:rsidR="0043151A">
        <w:t>14</w:t>
      </w:r>
      <w:r w:rsidRPr="00B04F72">
        <w:fldChar w:fldCharType="end"/>
      </w:r>
      <w:r w:rsidRPr="00B04F72">
        <w:rPr>
          <w:i/>
        </w:rPr>
        <w:t xml:space="preserve">. </w:t>
      </w:r>
      <w:proofErr w:type="gramStart"/>
      <w:r w:rsidRPr="00B04F72">
        <w:rPr>
          <w:iCs/>
        </w:rPr>
        <w:t>A number of</w:t>
      </w:r>
      <w:proofErr w:type="gramEnd"/>
      <w:r w:rsidRPr="00B04F72">
        <w:rPr>
          <w:iCs/>
        </w:rPr>
        <w:t xml:space="preserve"> errors were identified during the evaluation in the submission’s model Excel workbook (see table notes under </w:t>
      </w:r>
      <w:r w:rsidRPr="00B04F72">
        <w:rPr>
          <w:iCs/>
        </w:rPr>
        <w:fldChar w:fldCharType="begin"/>
      </w:r>
      <w:r w:rsidRPr="00B04F72">
        <w:rPr>
          <w:iCs/>
        </w:rPr>
        <w:instrText xml:space="preserve"> REF _Ref100330697 \h  \* MERGEFORMAT </w:instrText>
      </w:r>
      <w:r w:rsidRPr="00B04F72">
        <w:rPr>
          <w:iCs/>
        </w:rPr>
      </w:r>
      <w:r w:rsidRPr="00B04F72">
        <w:rPr>
          <w:iCs/>
        </w:rPr>
        <w:fldChar w:fldCharType="separate"/>
      </w:r>
      <w:r w:rsidR="0043151A" w:rsidRPr="0043151A">
        <w:rPr>
          <w:iCs/>
        </w:rPr>
        <w:t>Table 14</w:t>
      </w:r>
      <w:r w:rsidRPr="00B04F72">
        <w:rPr>
          <w:iCs/>
        </w:rPr>
        <w:fldChar w:fldCharType="end"/>
      </w:r>
      <w:r w:rsidRPr="00B04F72">
        <w:rPr>
          <w:iCs/>
        </w:rPr>
        <w:t>)</w:t>
      </w:r>
      <w:r w:rsidR="00260FC9">
        <w:rPr>
          <w:iCs/>
        </w:rPr>
        <w:t xml:space="preserve"> and revised results are presented in the table. </w:t>
      </w:r>
    </w:p>
    <w:p w14:paraId="7F6D6ECA" w14:textId="08795E81" w:rsidR="00C37C68" w:rsidRPr="0058641B" w:rsidRDefault="00C37C68" w:rsidP="00C37C68">
      <w:pPr>
        <w:pStyle w:val="TableFigureHeading"/>
        <w:rPr>
          <w:rStyle w:val="CommentReference"/>
          <w:b/>
          <w:szCs w:val="24"/>
        </w:rPr>
      </w:pPr>
      <w:bookmarkStart w:id="59" w:name="_Ref100330697"/>
      <w:r w:rsidRPr="00B04F72">
        <w:lastRenderedPageBreak/>
        <w:t xml:space="preserve">Table </w:t>
      </w:r>
      <w:fldSimple w:instr=" SEQ Table \* ARABIC ">
        <w:r w:rsidR="0043151A">
          <w:rPr>
            <w:noProof/>
          </w:rPr>
          <w:t>14</w:t>
        </w:r>
      </w:fldSimple>
      <w:bookmarkEnd w:id="59"/>
      <w:r w:rsidRPr="00B04F72">
        <w:t>:</w:t>
      </w:r>
      <w:r w:rsidRPr="00B04F72">
        <w:rPr>
          <w:rStyle w:val="CommentReference"/>
          <w:b/>
          <w:szCs w:val="24"/>
        </w:rPr>
        <w:t xml:space="preserve"> Results of the stepped economic evaluation (base case, Stage II-IIIA PD-L1 ≥ 1%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29"/>
        <w:gridCol w:w="2379"/>
        <w:gridCol w:w="2298"/>
        <w:gridCol w:w="1511"/>
      </w:tblGrid>
      <w:tr w:rsidR="00C37C68" w:rsidRPr="0058641B" w14:paraId="30CDD566" w14:textId="77777777" w:rsidTr="00D312D9">
        <w:trPr>
          <w:tblHeader/>
        </w:trPr>
        <w:tc>
          <w:tcPr>
            <w:tcW w:w="1569" w:type="pct"/>
            <w:vAlign w:val="center"/>
          </w:tcPr>
          <w:p w14:paraId="24402C87" w14:textId="77777777" w:rsidR="00C37C68" w:rsidRPr="0058641B" w:rsidRDefault="00C37C68" w:rsidP="00D312D9">
            <w:pPr>
              <w:pStyle w:val="Tabletext"/>
              <w:keepNext/>
              <w:rPr>
                <w:b/>
              </w:rPr>
            </w:pPr>
            <w:r w:rsidRPr="0058641B">
              <w:rPr>
                <w:b/>
              </w:rPr>
              <w:t>Step and component</w:t>
            </w:r>
          </w:p>
        </w:tc>
        <w:tc>
          <w:tcPr>
            <w:tcW w:w="1319" w:type="pct"/>
            <w:vAlign w:val="center"/>
          </w:tcPr>
          <w:p w14:paraId="4CF8F54F" w14:textId="77777777" w:rsidR="00C37C68" w:rsidRPr="0058641B" w:rsidRDefault="00C37C68" w:rsidP="00D312D9">
            <w:pPr>
              <w:pStyle w:val="Tabletext"/>
              <w:keepNext/>
              <w:jc w:val="center"/>
              <w:rPr>
                <w:b/>
              </w:rPr>
            </w:pPr>
            <w:r w:rsidRPr="0058641B">
              <w:rPr>
                <w:b/>
              </w:rPr>
              <w:t>Atezolizumab</w:t>
            </w:r>
          </w:p>
        </w:tc>
        <w:tc>
          <w:tcPr>
            <w:tcW w:w="1274" w:type="pct"/>
            <w:vAlign w:val="center"/>
          </w:tcPr>
          <w:p w14:paraId="05E7AF5F" w14:textId="77777777" w:rsidR="00C37C68" w:rsidRPr="0058641B" w:rsidRDefault="00C37C68" w:rsidP="00D312D9">
            <w:pPr>
              <w:pStyle w:val="Tabletext"/>
              <w:keepNext/>
              <w:jc w:val="center"/>
              <w:rPr>
                <w:b/>
              </w:rPr>
            </w:pPr>
            <w:r w:rsidRPr="0058641B">
              <w:rPr>
                <w:b/>
              </w:rPr>
              <w:t>Best supportive care</w:t>
            </w:r>
          </w:p>
        </w:tc>
        <w:tc>
          <w:tcPr>
            <w:tcW w:w="838" w:type="pct"/>
            <w:vAlign w:val="center"/>
          </w:tcPr>
          <w:p w14:paraId="243F708F" w14:textId="77777777" w:rsidR="00C37C68" w:rsidRPr="0058641B" w:rsidRDefault="00C37C68" w:rsidP="00D312D9">
            <w:pPr>
              <w:pStyle w:val="Tabletext"/>
              <w:keepNext/>
              <w:jc w:val="center"/>
              <w:rPr>
                <w:b/>
              </w:rPr>
            </w:pPr>
            <w:r w:rsidRPr="0058641B">
              <w:rPr>
                <w:b/>
              </w:rPr>
              <w:t>Increment</w:t>
            </w:r>
          </w:p>
        </w:tc>
      </w:tr>
      <w:tr w:rsidR="00C37C68" w:rsidRPr="0058641B" w14:paraId="50F260A9" w14:textId="77777777" w:rsidTr="00D312D9">
        <w:tc>
          <w:tcPr>
            <w:tcW w:w="5000" w:type="pct"/>
            <w:gridSpan w:val="4"/>
            <w:vAlign w:val="center"/>
          </w:tcPr>
          <w:p w14:paraId="63806D6A" w14:textId="77777777" w:rsidR="00C37C68" w:rsidRPr="0058641B" w:rsidRDefault="00C37C68" w:rsidP="00D312D9">
            <w:pPr>
              <w:pStyle w:val="Tabletext"/>
              <w:keepNext/>
              <w:rPr>
                <w:b/>
              </w:rPr>
            </w:pPr>
            <w:r w:rsidRPr="0058641B">
              <w:rPr>
                <w:b/>
              </w:rPr>
              <w:t>Step 1: trial-based costs and outcomes (42.3 months)</w:t>
            </w:r>
          </w:p>
        </w:tc>
      </w:tr>
      <w:tr w:rsidR="00C37C68" w:rsidRPr="0058641B" w14:paraId="203214DF" w14:textId="77777777" w:rsidTr="00D312D9">
        <w:tc>
          <w:tcPr>
            <w:tcW w:w="1569" w:type="pct"/>
            <w:vAlign w:val="center"/>
          </w:tcPr>
          <w:p w14:paraId="7D731579" w14:textId="77777777" w:rsidR="00C37C68" w:rsidRPr="0058641B" w:rsidRDefault="00C37C68" w:rsidP="00D312D9">
            <w:pPr>
              <w:pStyle w:val="Tabletext"/>
              <w:keepNext/>
              <w:rPr>
                <w:rFonts w:ascii="Times" w:hAnsi="Times"/>
              </w:rPr>
            </w:pPr>
            <w:r w:rsidRPr="0058641B">
              <w:t>Costs</w:t>
            </w:r>
          </w:p>
        </w:tc>
        <w:tc>
          <w:tcPr>
            <w:tcW w:w="1319" w:type="pct"/>
            <w:vAlign w:val="center"/>
          </w:tcPr>
          <w:p w14:paraId="33F4BCF5" w14:textId="6F688B59"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1431CB46" w14:textId="05F078CD" w:rsidR="00C37C68" w:rsidRPr="0058641B" w:rsidRDefault="00C37C68" w:rsidP="00D312D9">
            <w:pPr>
              <w:pStyle w:val="Tabletext"/>
              <w:keepNext/>
              <w:jc w:val="center"/>
              <w:rPr>
                <w:rFonts w:ascii="Times" w:hAnsi="Times"/>
              </w:rPr>
            </w:pPr>
            <w:r w:rsidRPr="0058641B">
              <w:t>$</w:t>
            </w:r>
            <w:r w:rsidRPr="003E12A4">
              <w:t>18,080</w:t>
            </w:r>
          </w:p>
        </w:tc>
        <w:tc>
          <w:tcPr>
            <w:tcW w:w="838" w:type="pct"/>
            <w:vAlign w:val="center"/>
          </w:tcPr>
          <w:p w14:paraId="79E6A418" w14:textId="6E26C697"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3E3CBC56" w14:textId="77777777" w:rsidTr="00D312D9">
        <w:tc>
          <w:tcPr>
            <w:tcW w:w="1569" w:type="pct"/>
            <w:vAlign w:val="center"/>
          </w:tcPr>
          <w:p w14:paraId="3C577512" w14:textId="73AA0319" w:rsidR="00C37C68" w:rsidRPr="0058641B" w:rsidRDefault="00C37C68" w:rsidP="00D312D9">
            <w:pPr>
              <w:pStyle w:val="Tabletext"/>
              <w:keepNext/>
              <w:rPr>
                <w:rFonts w:ascii="Times" w:hAnsi="Times"/>
              </w:rPr>
            </w:pPr>
            <w:r w:rsidRPr="0058641B">
              <w:t>LYG</w:t>
            </w:r>
          </w:p>
        </w:tc>
        <w:tc>
          <w:tcPr>
            <w:tcW w:w="1319" w:type="pct"/>
            <w:vAlign w:val="center"/>
          </w:tcPr>
          <w:p w14:paraId="02330703" w14:textId="77777777" w:rsidR="00C37C68" w:rsidRPr="0058641B" w:rsidRDefault="00C37C68" w:rsidP="00D312D9">
            <w:pPr>
              <w:pStyle w:val="Tabletext"/>
              <w:keepNext/>
              <w:jc w:val="center"/>
              <w:rPr>
                <w:rFonts w:ascii="Times" w:hAnsi="Times"/>
              </w:rPr>
            </w:pPr>
            <w:r w:rsidRPr="0058641B">
              <w:t>2.455</w:t>
            </w:r>
          </w:p>
        </w:tc>
        <w:tc>
          <w:tcPr>
            <w:tcW w:w="1274" w:type="pct"/>
            <w:vAlign w:val="center"/>
          </w:tcPr>
          <w:p w14:paraId="7AA0BEE6" w14:textId="77777777" w:rsidR="00C37C68" w:rsidRPr="0058641B" w:rsidRDefault="00C37C68" w:rsidP="00D312D9">
            <w:pPr>
              <w:pStyle w:val="Tabletext"/>
              <w:keepNext/>
              <w:jc w:val="center"/>
              <w:rPr>
                <w:rFonts w:ascii="Times" w:hAnsi="Times"/>
              </w:rPr>
            </w:pPr>
            <w:r w:rsidRPr="0058641B">
              <w:t>2.407</w:t>
            </w:r>
          </w:p>
        </w:tc>
        <w:tc>
          <w:tcPr>
            <w:tcW w:w="838" w:type="pct"/>
            <w:vAlign w:val="center"/>
          </w:tcPr>
          <w:p w14:paraId="03C88255" w14:textId="77777777" w:rsidR="00C37C68" w:rsidRPr="0058641B" w:rsidRDefault="00C37C68" w:rsidP="00D312D9">
            <w:pPr>
              <w:pStyle w:val="Tabletext"/>
              <w:keepNext/>
              <w:jc w:val="center"/>
            </w:pPr>
            <w:r w:rsidRPr="0058641B">
              <w:t>0.047</w:t>
            </w:r>
          </w:p>
        </w:tc>
      </w:tr>
      <w:tr w:rsidR="00C37C68" w:rsidRPr="0058641B" w14:paraId="100FE88E" w14:textId="77777777" w:rsidTr="00D312D9">
        <w:tc>
          <w:tcPr>
            <w:tcW w:w="4162" w:type="pct"/>
            <w:gridSpan w:val="3"/>
            <w:vAlign w:val="center"/>
          </w:tcPr>
          <w:p w14:paraId="3B1217B1"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36FFD80B" w14:textId="3E0D61EF"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D266A3" w:rsidRPr="00D266A3">
              <w:rPr>
                <w:vertAlign w:val="superscript"/>
              </w:rPr>
              <w:t>1</w:t>
            </w:r>
          </w:p>
        </w:tc>
      </w:tr>
      <w:tr w:rsidR="00C37C68" w:rsidRPr="0058641B" w14:paraId="72E4C033" w14:textId="77777777" w:rsidTr="00D312D9">
        <w:tc>
          <w:tcPr>
            <w:tcW w:w="5000" w:type="pct"/>
            <w:gridSpan w:val="4"/>
            <w:vAlign w:val="center"/>
          </w:tcPr>
          <w:p w14:paraId="4D5938CC" w14:textId="77777777" w:rsidR="00C37C68" w:rsidRPr="0058641B" w:rsidRDefault="00C37C68" w:rsidP="00D312D9">
            <w:pPr>
              <w:pStyle w:val="Tabletext"/>
              <w:keepNext/>
              <w:rPr>
                <w:b/>
              </w:rPr>
            </w:pPr>
            <w:r w:rsidRPr="0058641B">
              <w:rPr>
                <w:b/>
              </w:rPr>
              <w:t>Step 2: time horizon extrapolated to 25 years</w:t>
            </w:r>
          </w:p>
        </w:tc>
      </w:tr>
      <w:tr w:rsidR="00C37C68" w:rsidRPr="0058641B" w14:paraId="7F980639" w14:textId="77777777" w:rsidTr="00D312D9">
        <w:tc>
          <w:tcPr>
            <w:tcW w:w="1569" w:type="pct"/>
            <w:vAlign w:val="center"/>
          </w:tcPr>
          <w:p w14:paraId="4CAE596A" w14:textId="77777777" w:rsidR="00C37C68" w:rsidRPr="0058641B" w:rsidRDefault="00C37C68" w:rsidP="00D312D9">
            <w:pPr>
              <w:pStyle w:val="Tabletext"/>
              <w:keepNext/>
              <w:rPr>
                <w:rFonts w:ascii="Times" w:hAnsi="Times"/>
              </w:rPr>
            </w:pPr>
            <w:r w:rsidRPr="0058641B">
              <w:t>Costs</w:t>
            </w:r>
          </w:p>
        </w:tc>
        <w:tc>
          <w:tcPr>
            <w:tcW w:w="1319" w:type="pct"/>
            <w:vAlign w:val="center"/>
          </w:tcPr>
          <w:p w14:paraId="0E1C3D36" w14:textId="57F231D5"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793CBFA5" w14:textId="4B640183" w:rsidR="00C37C68" w:rsidRPr="003E12A4" w:rsidRDefault="00C37C68" w:rsidP="00D312D9">
            <w:pPr>
              <w:pStyle w:val="Tabletext"/>
              <w:keepNext/>
              <w:jc w:val="center"/>
              <w:rPr>
                <w:rFonts w:ascii="Times" w:hAnsi="Times"/>
              </w:rPr>
            </w:pPr>
            <w:r w:rsidRPr="003E12A4">
              <w:t>$33,400</w:t>
            </w:r>
          </w:p>
        </w:tc>
        <w:tc>
          <w:tcPr>
            <w:tcW w:w="838" w:type="pct"/>
            <w:vAlign w:val="center"/>
          </w:tcPr>
          <w:p w14:paraId="1A9C7743" w14:textId="64E101DE"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69A1E2F2" w14:textId="77777777" w:rsidTr="00D312D9">
        <w:tc>
          <w:tcPr>
            <w:tcW w:w="1569" w:type="pct"/>
            <w:vAlign w:val="center"/>
          </w:tcPr>
          <w:p w14:paraId="0633C474" w14:textId="77777777" w:rsidR="00C37C68" w:rsidRPr="0058641B" w:rsidRDefault="00C37C68" w:rsidP="00D312D9">
            <w:pPr>
              <w:pStyle w:val="Tabletext"/>
              <w:keepNext/>
              <w:rPr>
                <w:rFonts w:ascii="Times" w:hAnsi="Times"/>
              </w:rPr>
            </w:pPr>
            <w:r w:rsidRPr="0058641B">
              <w:t>LYG</w:t>
            </w:r>
          </w:p>
        </w:tc>
        <w:tc>
          <w:tcPr>
            <w:tcW w:w="1319" w:type="pct"/>
            <w:vAlign w:val="center"/>
          </w:tcPr>
          <w:p w14:paraId="0B04407B" w14:textId="77777777" w:rsidR="00C37C68" w:rsidRPr="0058641B" w:rsidRDefault="00C37C68" w:rsidP="00D312D9">
            <w:pPr>
              <w:pStyle w:val="Tabletext"/>
              <w:keepNext/>
              <w:jc w:val="center"/>
              <w:rPr>
                <w:rFonts w:ascii="Times" w:hAnsi="Times"/>
              </w:rPr>
            </w:pPr>
            <w:r w:rsidRPr="0058641B">
              <w:t>6.513</w:t>
            </w:r>
          </w:p>
        </w:tc>
        <w:tc>
          <w:tcPr>
            <w:tcW w:w="1274" w:type="pct"/>
            <w:vAlign w:val="center"/>
          </w:tcPr>
          <w:p w14:paraId="3D2A53D9" w14:textId="77777777" w:rsidR="00C37C68" w:rsidRPr="0058641B" w:rsidRDefault="00C37C68" w:rsidP="00D312D9">
            <w:pPr>
              <w:pStyle w:val="Tabletext"/>
              <w:keepNext/>
              <w:jc w:val="center"/>
              <w:rPr>
                <w:rFonts w:ascii="Times" w:hAnsi="Times"/>
              </w:rPr>
            </w:pPr>
            <w:r w:rsidRPr="0058641B">
              <w:t>5.988</w:t>
            </w:r>
          </w:p>
        </w:tc>
        <w:tc>
          <w:tcPr>
            <w:tcW w:w="838" w:type="pct"/>
            <w:vAlign w:val="center"/>
          </w:tcPr>
          <w:p w14:paraId="1BDF8945" w14:textId="77777777" w:rsidR="00C37C68" w:rsidRPr="0058641B" w:rsidRDefault="00C37C68" w:rsidP="00D312D9">
            <w:pPr>
              <w:pStyle w:val="Tabletext"/>
              <w:keepNext/>
              <w:jc w:val="center"/>
            </w:pPr>
            <w:r w:rsidRPr="0058641B">
              <w:t>0.524</w:t>
            </w:r>
          </w:p>
        </w:tc>
      </w:tr>
      <w:tr w:rsidR="00C37C68" w:rsidRPr="0058641B" w14:paraId="6B89A7C0" w14:textId="77777777" w:rsidTr="00D312D9">
        <w:tc>
          <w:tcPr>
            <w:tcW w:w="4162" w:type="pct"/>
            <w:gridSpan w:val="3"/>
            <w:vAlign w:val="center"/>
          </w:tcPr>
          <w:p w14:paraId="028C57AD"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3A4105D6" w14:textId="5426DB48" w:rsidR="00C37C68" w:rsidRPr="0058641B" w:rsidRDefault="00C37C68" w:rsidP="006B1EF8">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D266A3">
              <w:rPr>
                <w:vertAlign w:val="superscript"/>
              </w:rPr>
              <w:t>2</w:t>
            </w:r>
          </w:p>
        </w:tc>
      </w:tr>
      <w:tr w:rsidR="00C37C68" w:rsidRPr="0058641B" w14:paraId="50E7A142" w14:textId="77777777" w:rsidTr="00D312D9">
        <w:tc>
          <w:tcPr>
            <w:tcW w:w="5000" w:type="pct"/>
            <w:gridSpan w:val="4"/>
            <w:vAlign w:val="center"/>
          </w:tcPr>
          <w:p w14:paraId="1AF555C2" w14:textId="77777777" w:rsidR="00C37C68" w:rsidRPr="0058641B" w:rsidRDefault="00C37C68" w:rsidP="00D312D9">
            <w:pPr>
              <w:pStyle w:val="Tabletext"/>
              <w:keepNext/>
              <w:rPr>
                <w:b/>
              </w:rPr>
            </w:pPr>
            <w:r w:rsidRPr="0058641B">
              <w:rPr>
                <w:b/>
              </w:rPr>
              <w:t>Step 3: Applying time limited treatment effect adjustment to the DFS curves</w:t>
            </w:r>
          </w:p>
        </w:tc>
      </w:tr>
      <w:tr w:rsidR="00C37C68" w:rsidRPr="0058641B" w14:paraId="2324BB86" w14:textId="77777777" w:rsidTr="00D312D9">
        <w:tc>
          <w:tcPr>
            <w:tcW w:w="1569" w:type="pct"/>
            <w:vAlign w:val="center"/>
          </w:tcPr>
          <w:p w14:paraId="61223A24" w14:textId="77777777" w:rsidR="00C37C68" w:rsidRPr="0058641B" w:rsidRDefault="00C37C68" w:rsidP="00D312D9">
            <w:pPr>
              <w:pStyle w:val="Tabletext"/>
              <w:keepNext/>
              <w:rPr>
                <w:rFonts w:ascii="Times" w:hAnsi="Times"/>
              </w:rPr>
            </w:pPr>
            <w:r w:rsidRPr="0058641B">
              <w:t>Costs</w:t>
            </w:r>
          </w:p>
        </w:tc>
        <w:tc>
          <w:tcPr>
            <w:tcW w:w="1319" w:type="pct"/>
            <w:vAlign w:val="center"/>
          </w:tcPr>
          <w:p w14:paraId="75964EF4" w14:textId="002EDDF4"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51E8D814" w14:textId="72BA7A53" w:rsidR="00C37C68" w:rsidRPr="0058641B" w:rsidRDefault="00C37C68" w:rsidP="00D312D9">
            <w:pPr>
              <w:pStyle w:val="Tabletext"/>
              <w:keepNext/>
              <w:jc w:val="center"/>
              <w:rPr>
                <w:rFonts w:ascii="Times" w:hAnsi="Times"/>
              </w:rPr>
            </w:pPr>
            <w:r w:rsidRPr="003E12A4">
              <w:t>$33,400</w:t>
            </w:r>
          </w:p>
        </w:tc>
        <w:tc>
          <w:tcPr>
            <w:tcW w:w="838" w:type="pct"/>
            <w:vAlign w:val="center"/>
          </w:tcPr>
          <w:p w14:paraId="2D153F28" w14:textId="5B5E8E40"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6A55B5C4" w14:textId="77777777" w:rsidTr="00D312D9">
        <w:tc>
          <w:tcPr>
            <w:tcW w:w="1569" w:type="pct"/>
            <w:vAlign w:val="center"/>
          </w:tcPr>
          <w:p w14:paraId="533ABCED" w14:textId="77777777" w:rsidR="00C37C68" w:rsidRPr="0058641B" w:rsidRDefault="00C37C68" w:rsidP="00D312D9">
            <w:pPr>
              <w:pStyle w:val="Tabletext"/>
              <w:keepNext/>
              <w:rPr>
                <w:rFonts w:ascii="Times" w:hAnsi="Times"/>
              </w:rPr>
            </w:pPr>
            <w:r w:rsidRPr="0058641B">
              <w:t>LYG</w:t>
            </w:r>
          </w:p>
        </w:tc>
        <w:tc>
          <w:tcPr>
            <w:tcW w:w="1319" w:type="pct"/>
            <w:vAlign w:val="center"/>
          </w:tcPr>
          <w:p w14:paraId="0F6EA140" w14:textId="77777777" w:rsidR="00C37C68" w:rsidRPr="0058641B" w:rsidRDefault="00C37C68" w:rsidP="00D312D9">
            <w:pPr>
              <w:pStyle w:val="Tabletext"/>
              <w:keepNext/>
              <w:jc w:val="center"/>
              <w:rPr>
                <w:rFonts w:ascii="Times" w:hAnsi="Times"/>
              </w:rPr>
            </w:pPr>
            <w:r w:rsidRPr="0058641B">
              <w:t>6.579</w:t>
            </w:r>
          </w:p>
        </w:tc>
        <w:tc>
          <w:tcPr>
            <w:tcW w:w="1274" w:type="pct"/>
            <w:vAlign w:val="center"/>
          </w:tcPr>
          <w:p w14:paraId="222CBCDD" w14:textId="77777777" w:rsidR="00C37C68" w:rsidRPr="0058641B" w:rsidRDefault="00C37C68" w:rsidP="00D312D9">
            <w:pPr>
              <w:pStyle w:val="Tabletext"/>
              <w:keepNext/>
              <w:jc w:val="center"/>
              <w:rPr>
                <w:rFonts w:ascii="Times" w:hAnsi="Times"/>
              </w:rPr>
            </w:pPr>
            <w:r w:rsidRPr="0058641B">
              <w:t>5.988</w:t>
            </w:r>
          </w:p>
        </w:tc>
        <w:tc>
          <w:tcPr>
            <w:tcW w:w="838" w:type="pct"/>
            <w:vAlign w:val="center"/>
          </w:tcPr>
          <w:p w14:paraId="29562EFF" w14:textId="77777777" w:rsidR="00C37C68" w:rsidRPr="0058641B" w:rsidRDefault="00C37C68" w:rsidP="00D312D9">
            <w:pPr>
              <w:pStyle w:val="Tabletext"/>
              <w:keepNext/>
              <w:jc w:val="center"/>
            </w:pPr>
            <w:r w:rsidRPr="0058641B">
              <w:t>0.591</w:t>
            </w:r>
          </w:p>
        </w:tc>
      </w:tr>
      <w:tr w:rsidR="00C37C68" w:rsidRPr="0058641B" w14:paraId="296092C2" w14:textId="77777777" w:rsidTr="00D312D9">
        <w:tc>
          <w:tcPr>
            <w:tcW w:w="4162" w:type="pct"/>
            <w:gridSpan w:val="3"/>
            <w:vAlign w:val="center"/>
          </w:tcPr>
          <w:p w14:paraId="752B04D4"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5BFD8EEA" w14:textId="46D67D8A"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D266A3">
              <w:rPr>
                <w:vertAlign w:val="superscript"/>
              </w:rPr>
              <w:t>3</w:t>
            </w:r>
          </w:p>
        </w:tc>
      </w:tr>
      <w:tr w:rsidR="00C37C68" w:rsidRPr="0058641B" w14:paraId="645DC81F" w14:textId="77777777" w:rsidTr="00D312D9">
        <w:tc>
          <w:tcPr>
            <w:tcW w:w="5000" w:type="pct"/>
            <w:gridSpan w:val="4"/>
            <w:vAlign w:val="center"/>
          </w:tcPr>
          <w:p w14:paraId="78EAD798" w14:textId="77777777" w:rsidR="00C37C68" w:rsidRPr="0058641B" w:rsidRDefault="00C37C68" w:rsidP="00D312D9">
            <w:pPr>
              <w:pStyle w:val="Tabletext"/>
              <w:keepNext/>
              <w:rPr>
                <w:b/>
              </w:rPr>
            </w:pPr>
            <w:r w:rsidRPr="0058641B">
              <w:rPr>
                <w:b/>
              </w:rPr>
              <w:t xml:space="preserve">Step 4: Applying sustained DFS adjustment </w:t>
            </w:r>
          </w:p>
        </w:tc>
      </w:tr>
      <w:tr w:rsidR="00C37C68" w:rsidRPr="0058641B" w14:paraId="391ABD1F" w14:textId="77777777" w:rsidTr="00D312D9">
        <w:tc>
          <w:tcPr>
            <w:tcW w:w="1569" w:type="pct"/>
            <w:vAlign w:val="center"/>
          </w:tcPr>
          <w:p w14:paraId="7CD3284C" w14:textId="77777777" w:rsidR="00C37C68" w:rsidRPr="0058641B" w:rsidRDefault="00C37C68" w:rsidP="00D312D9">
            <w:pPr>
              <w:pStyle w:val="Tabletext"/>
              <w:keepNext/>
              <w:rPr>
                <w:rFonts w:ascii="Times" w:hAnsi="Times"/>
              </w:rPr>
            </w:pPr>
            <w:r w:rsidRPr="0058641B">
              <w:t>Costs</w:t>
            </w:r>
          </w:p>
        </w:tc>
        <w:tc>
          <w:tcPr>
            <w:tcW w:w="1319" w:type="pct"/>
            <w:vAlign w:val="center"/>
          </w:tcPr>
          <w:p w14:paraId="4E4910B0" w14:textId="2A982D48"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244CFA9D" w14:textId="608F1CAF" w:rsidR="00C37C68" w:rsidRPr="0058641B" w:rsidRDefault="00C37C68" w:rsidP="00D312D9">
            <w:pPr>
              <w:pStyle w:val="Tabletext"/>
              <w:keepNext/>
              <w:jc w:val="center"/>
              <w:rPr>
                <w:rFonts w:ascii="Times" w:hAnsi="Times"/>
              </w:rPr>
            </w:pPr>
            <w:r w:rsidRPr="0058641B">
              <w:t>$</w:t>
            </w:r>
            <w:r w:rsidRPr="003E12A4">
              <w:t>24,887</w:t>
            </w:r>
          </w:p>
        </w:tc>
        <w:tc>
          <w:tcPr>
            <w:tcW w:w="838" w:type="pct"/>
            <w:vAlign w:val="center"/>
          </w:tcPr>
          <w:p w14:paraId="3346AAFF" w14:textId="5F9A31F4"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5CD5EBC3" w14:textId="77777777" w:rsidTr="00D312D9">
        <w:tc>
          <w:tcPr>
            <w:tcW w:w="1569" w:type="pct"/>
            <w:vAlign w:val="center"/>
          </w:tcPr>
          <w:p w14:paraId="51D628D9" w14:textId="77777777" w:rsidR="00C37C68" w:rsidRPr="0058641B" w:rsidRDefault="00C37C68" w:rsidP="00D312D9">
            <w:pPr>
              <w:pStyle w:val="Tabletext"/>
              <w:keepNext/>
              <w:rPr>
                <w:rFonts w:ascii="Times" w:hAnsi="Times"/>
              </w:rPr>
            </w:pPr>
            <w:r w:rsidRPr="0058641B">
              <w:t>LYG</w:t>
            </w:r>
          </w:p>
        </w:tc>
        <w:tc>
          <w:tcPr>
            <w:tcW w:w="1319" w:type="pct"/>
            <w:vAlign w:val="center"/>
          </w:tcPr>
          <w:p w14:paraId="1FE9FDD4" w14:textId="77777777" w:rsidR="00C37C68" w:rsidRPr="0058641B" w:rsidRDefault="00C37C68" w:rsidP="00D312D9">
            <w:pPr>
              <w:pStyle w:val="Tabletext"/>
              <w:keepNext/>
              <w:jc w:val="center"/>
              <w:rPr>
                <w:rFonts w:ascii="Times" w:hAnsi="Times"/>
              </w:rPr>
            </w:pPr>
            <w:r w:rsidRPr="0058641B">
              <w:t>8.712</w:t>
            </w:r>
          </w:p>
        </w:tc>
        <w:tc>
          <w:tcPr>
            <w:tcW w:w="1274" w:type="pct"/>
            <w:vAlign w:val="center"/>
          </w:tcPr>
          <w:p w14:paraId="6EBB5E31" w14:textId="77777777" w:rsidR="00C37C68" w:rsidRPr="0058641B" w:rsidRDefault="00C37C68" w:rsidP="00D312D9">
            <w:pPr>
              <w:pStyle w:val="Tabletext"/>
              <w:keepNext/>
              <w:jc w:val="center"/>
              <w:rPr>
                <w:rFonts w:ascii="Times" w:hAnsi="Times"/>
              </w:rPr>
            </w:pPr>
            <w:r w:rsidRPr="0058641B">
              <w:t>7.655</w:t>
            </w:r>
          </w:p>
        </w:tc>
        <w:tc>
          <w:tcPr>
            <w:tcW w:w="838" w:type="pct"/>
            <w:vAlign w:val="center"/>
          </w:tcPr>
          <w:p w14:paraId="25197623" w14:textId="77777777" w:rsidR="00C37C68" w:rsidRPr="0058641B" w:rsidRDefault="00C37C68" w:rsidP="00D312D9">
            <w:pPr>
              <w:pStyle w:val="Tabletext"/>
              <w:keepNext/>
              <w:jc w:val="center"/>
              <w:rPr>
                <w:bCs/>
              </w:rPr>
            </w:pPr>
            <w:r w:rsidRPr="0058641B">
              <w:t>1.056</w:t>
            </w:r>
          </w:p>
        </w:tc>
      </w:tr>
      <w:tr w:rsidR="00C37C68" w:rsidRPr="0058641B" w14:paraId="2F7C957E" w14:textId="77777777" w:rsidTr="00D312D9">
        <w:tc>
          <w:tcPr>
            <w:tcW w:w="4162" w:type="pct"/>
            <w:gridSpan w:val="3"/>
            <w:vAlign w:val="center"/>
          </w:tcPr>
          <w:p w14:paraId="15C289E2"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5316DF2D" w14:textId="30280E82" w:rsidR="00C37C68" w:rsidRPr="0058641B" w:rsidRDefault="00C37C68" w:rsidP="008350CA">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EB6159">
              <w:rPr>
                <w:vertAlign w:val="superscript"/>
              </w:rPr>
              <w:t>3</w:t>
            </w:r>
          </w:p>
        </w:tc>
      </w:tr>
      <w:tr w:rsidR="00C37C68" w:rsidRPr="0058641B" w14:paraId="192565E0" w14:textId="77777777" w:rsidTr="00D312D9">
        <w:tc>
          <w:tcPr>
            <w:tcW w:w="5000" w:type="pct"/>
            <w:gridSpan w:val="4"/>
            <w:vAlign w:val="center"/>
          </w:tcPr>
          <w:p w14:paraId="597FDBF0" w14:textId="77777777" w:rsidR="00C37C68" w:rsidRPr="0058641B" w:rsidRDefault="00C37C68" w:rsidP="00D312D9">
            <w:pPr>
              <w:pStyle w:val="Tabletext"/>
              <w:keepNext/>
              <w:rPr>
                <w:b/>
              </w:rPr>
            </w:pPr>
            <w:r w:rsidRPr="0058641B">
              <w:rPr>
                <w:b/>
              </w:rPr>
              <w:t>Step 5: Incorporation of MRU costs</w:t>
            </w:r>
          </w:p>
        </w:tc>
      </w:tr>
      <w:tr w:rsidR="00C37C68" w:rsidRPr="0058641B" w14:paraId="2DC01191" w14:textId="77777777" w:rsidTr="00D312D9">
        <w:tc>
          <w:tcPr>
            <w:tcW w:w="1569" w:type="pct"/>
            <w:vAlign w:val="center"/>
          </w:tcPr>
          <w:p w14:paraId="4AC1F421" w14:textId="77777777" w:rsidR="00C37C68" w:rsidRPr="0058641B" w:rsidRDefault="00C37C68" w:rsidP="00D312D9">
            <w:pPr>
              <w:pStyle w:val="Tabletext"/>
              <w:keepNext/>
              <w:rPr>
                <w:rFonts w:ascii="Times" w:hAnsi="Times"/>
              </w:rPr>
            </w:pPr>
            <w:r w:rsidRPr="0058641B">
              <w:t>Costs</w:t>
            </w:r>
          </w:p>
        </w:tc>
        <w:tc>
          <w:tcPr>
            <w:tcW w:w="1319" w:type="pct"/>
            <w:vAlign w:val="center"/>
          </w:tcPr>
          <w:p w14:paraId="01F3038F" w14:textId="649EB88C"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32656231" w14:textId="2500EEA8" w:rsidR="00C37C68" w:rsidRPr="0058641B" w:rsidRDefault="00C37C68" w:rsidP="00D312D9">
            <w:pPr>
              <w:pStyle w:val="Tabletext"/>
              <w:keepNext/>
              <w:jc w:val="center"/>
              <w:rPr>
                <w:rFonts w:ascii="Times" w:hAnsi="Times"/>
              </w:rPr>
            </w:pPr>
            <w:r w:rsidRPr="003E12A4">
              <w:t>$40,990</w:t>
            </w:r>
          </w:p>
        </w:tc>
        <w:tc>
          <w:tcPr>
            <w:tcW w:w="838" w:type="pct"/>
            <w:vAlign w:val="center"/>
          </w:tcPr>
          <w:p w14:paraId="775C5F47" w14:textId="3AD4C20D"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399A4B14" w14:textId="77777777" w:rsidTr="00D312D9">
        <w:tc>
          <w:tcPr>
            <w:tcW w:w="1569" w:type="pct"/>
            <w:vAlign w:val="center"/>
          </w:tcPr>
          <w:p w14:paraId="3C6EBB5F" w14:textId="77777777" w:rsidR="00C37C68" w:rsidRPr="0058641B" w:rsidRDefault="00C37C68" w:rsidP="00D312D9">
            <w:pPr>
              <w:pStyle w:val="Tabletext"/>
              <w:keepNext/>
              <w:rPr>
                <w:rFonts w:ascii="Times" w:hAnsi="Times"/>
              </w:rPr>
            </w:pPr>
            <w:r w:rsidRPr="0058641B">
              <w:t>LYG</w:t>
            </w:r>
          </w:p>
        </w:tc>
        <w:tc>
          <w:tcPr>
            <w:tcW w:w="1319" w:type="pct"/>
            <w:vAlign w:val="center"/>
          </w:tcPr>
          <w:p w14:paraId="7F17013A" w14:textId="77777777" w:rsidR="00C37C68" w:rsidRPr="0058641B" w:rsidRDefault="00C37C68" w:rsidP="00D312D9">
            <w:pPr>
              <w:pStyle w:val="Tabletext"/>
              <w:keepNext/>
              <w:jc w:val="center"/>
              <w:rPr>
                <w:rFonts w:ascii="Times" w:hAnsi="Times"/>
              </w:rPr>
            </w:pPr>
            <w:r w:rsidRPr="0058641B">
              <w:t>8.712</w:t>
            </w:r>
          </w:p>
        </w:tc>
        <w:tc>
          <w:tcPr>
            <w:tcW w:w="1274" w:type="pct"/>
            <w:vAlign w:val="center"/>
          </w:tcPr>
          <w:p w14:paraId="3097067B" w14:textId="77777777" w:rsidR="00C37C68" w:rsidRPr="0058641B" w:rsidRDefault="00C37C68" w:rsidP="00D312D9">
            <w:pPr>
              <w:pStyle w:val="Tabletext"/>
              <w:keepNext/>
              <w:jc w:val="center"/>
              <w:rPr>
                <w:rFonts w:ascii="Times" w:hAnsi="Times"/>
              </w:rPr>
            </w:pPr>
            <w:r w:rsidRPr="0058641B">
              <w:t>7.655</w:t>
            </w:r>
          </w:p>
        </w:tc>
        <w:tc>
          <w:tcPr>
            <w:tcW w:w="838" w:type="pct"/>
            <w:vAlign w:val="center"/>
          </w:tcPr>
          <w:p w14:paraId="2CE072A1" w14:textId="77777777" w:rsidR="00C37C68" w:rsidRPr="0058641B" w:rsidRDefault="00C37C68" w:rsidP="00D312D9">
            <w:pPr>
              <w:pStyle w:val="Tabletext"/>
              <w:keepNext/>
              <w:jc w:val="center"/>
              <w:rPr>
                <w:bCs/>
              </w:rPr>
            </w:pPr>
            <w:r w:rsidRPr="0058641B">
              <w:t>1.056</w:t>
            </w:r>
          </w:p>
        </w:tc>
      </w:tr>
      <w:tr w:rsidR="00C37C68" w:rsidRPr="0058641B" w14:paraId="20827FED" w14:textId="77777777" w:rsidTr="00D312D9">
        <w:tc>
          <w:tcPr>
            <w:tcW w:w="4162" w:type="pct"/>
            <w:gridSpan w:val="3"/>
            <w:vAlign w:val="center"/>
          </w:tcPr>
          <w:p w14:paraId="6F3F07C5" w14:textId="77777777" w:rsidR="00C37C68" w:rsidRPr="0058641B" w:rsidRDefault="00C37C68" w:rsidP="00D312D9">
            <w:pPr>
              <w:pStyle w:val="Tabletext"/>
              <w:keepNext/>
              <w:rPr>
                <w:rFonts w:ascii="Times" w:hAnsi="Times"/>
                <w:bCs/>
              </w:rPr>
            </w:pPr>
            <w:r w:rsidRPr="0058641B">
              <w:t>Incremental cost/LYG</w:t>
            </w:r>
          </w:p>
        </w:tc>
        <w:tc>
          <w:tcPr>
            <w:tcW w:w="838" w:type="pct"/>
            <w:vAlign w:val="center"/>
          </w:tcPr>
          <w:p w14:paraId="5E593CE8" w14:textId="33BF59B3" w:rsidR="00C37C68" w:rsidRPr="0058641B" w:rsidRDefault="00C37C68" w:rsidP="00D312D9">
            <w:pPr>
              <w:pStyle w:val="Tabletext"/>
              <w:keepNext/>
              <w:jc w:val="center"/>
              <w:rPr>
                <w:rFonts w:ascii="Times" w:hAnsi="Times"/>
                <w:bCs/>
              </w:rPr>
            </w:pPr>
            <w:r w:rsidRPr="0058641B">
              <w:t>$</w:t>
            </w:r>
            <w:r w:rsidR="00A8021D" w:rsidRPr="00A8021D">
              <w:rPr>
                <w:color w:val="000000"/>
                <w:shd w:val="solid" w:color="000000" w:fill="000000"/>
                <w14:textFill>
                  <w14:solidFill>
                    <w14:srgbClr w14:val="000000">
                      <w14:alpha w14:val="100000"/>
                    </w14:srgbClr>
                  </w14:solidFill>
                </w14:textFill>
              </w:rPr>
              <w:t>|</w:t>
            </w:r>
            <w:r w:rsidR="00EB6159">
              <w:rPr>
                <w:vertAlign w:val="superscript"/>
              </w:rPr>
              <w:t>3</w:t>
            </w:r>
          </w:p>
        </w:tc>
      </w:tr>
      <w:tr w:rsidR="00C37C68" w:rsidRPr="0058641B" w14:paraId="46BE2066" w14:textId="77777777" w:rsidTr="00D312D9">
        <w:tc>
          <w:tcPr>
            <w:tcW w:w="5000" w:type="pct"/>
            <w:gridSpan w:val="4"/>
            <w:vAlign w:val="center"/>
          </w:tcPr>
          <w:p w14:paraId="4972734D" w14:textId="77777777" w:rsidR="00C37C68" w:rsidRPr="0058641B" w:rsidRDefault="00C37C68" w:rsidP="00D312D9">
            <w:pPr>
              <w:pStyle w:val="Tabletext"/>
              <w:keepNext/>
              <w:rPr>
                <w:b/>
              </w:rPr>
            </w:pPr>
            <w:r w:rsidRPr="0058641B">
              <w:rPr>
                <w:b/>
              </w:rPr>
              <w:t>Step 6: Incorporation of AE related costs</w:t>
            </w:r>
          </w:p>
        </w:tc>
      </w:tr>
      <w:tr w:rsidR="00C37C68" w:rsidRPr="0058641B" w14:paraId="37A26B57" w14:textId="77777777" w:rsidTr="00D312D9">
        <w:tc>
          <w:tcPr>
            <w:tcW w:w="1569" w:type="pct"/>
            <w:vAlign w:val="center"/>
          </w:tcPr>
          <w:p w14:paraId="06EDB137" w14:textId="77777777" w:rsidR="00C37C68" w:rsidRPr="0058641B" w:rsidRDefault="00C37C68" w:rsidP="00D312D9">
            <w:pPr>
              <w:pStyle w:val="Tabletext"/>
              <w:keepNext/>
              <w:rPr>
                <w:b/>
              </w:rPr>
            </w:pPr>
            <w:r w:rsidRPr="0058641B">
              <w:t>Costs</w:t>
            </w:r>
          </w:p>
        </w:tc>
        <w:tc>
          <w:tcPr>
            <w:tcW w:w="1319" w:type="pct"/>
            <w:vAlign w:val="center"/>
          </w:tcPr>
          <w:p w14:paraId="0857057B" w14:textId="380D9B0C"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1CB40393" w14:textId="22BC97C6" w:rsidR="00C37C68" w:rsidRPr="0058641B" w:rsidRDefault="00C37C68" w:rsidP="00D312D9">
            <w:pPr>
              <w:pStyle w:val="Tabletext"/>
              <w:keepNext/>
              <w:jc w:val="center"/>
              <w:rPr>
                <w:b/>
              </w:rPr>
            </w:pPr>
            <w:r w:rsidRPr="003E12A4">
              <w:t>$41,041</w:t>
            </w:r>
          </w:p>
        </w:tc>
        <w:tc>
          <w:tcPr>
            <w:tcW w:w="838" w:type="pct"/>
            <w:vAlign w:val="center"/>
          </w:tcPr>
          <w:p w14:paraId="4D3CFC28" w14:textId="60E9C3F2"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21ADC709" w14:textId="77777777" w:rsidTr="00D312D9">
        <w:tc>
          <w:tcPr>
            <w:tcW w:w="1569" w:type="pct"/>
            <w:vAlign w:val="center"/>
          </w:tcPr>
          <w:p w14:paraId="6CFCB627" w14:textId="77777777" w:rsidR="00C37C68" w:rsidRPr="0058641B" w:rsidRDefault="00C37C68" w:rsidP="00D312D9">
            <w:pPr>
              <w:pStyle w:val="Tabletext"/>
              <w:keepNext/>
              <w:rPr>
                <w:b/>
              </w:rPr>
            </w:pPr>
            <w:r w:rsidRPr="0058641B">
              <w:t>LYG</w:t>
            </w:r>
          </w:p>
        </w:tc>
        <w:tc>
          <w:tcPr>
            <w:tcW w:w="1319" w:type="pct"/>
            <w:vAlign w:val="center"/>
          </w:tcPr>
          <w:p w14:paraId="35E4F64C" w14:textId="77777777" w:rsidR="00C37C68" w:rsidRPr="0058641B" w:rsidRDefault="00C37C68" w:rsidP="00D312D9">
            <w:pPr>
              <w:pStyle w:val="Tabletext"/>
              <w:keepNext/>
              <w:jc w:val="center"/>
              <w:rPr>
                <w:b/>
              </w:rPr>
            </w:pPr>
            <w:r w:rsidRPr="0058641B">
              <w:t>8.712</w:t>
            </w:r>
          </w:p>
        </w:tc>
        <w:tc>
          <w:tcPr>
            <w:tcW w:w="1274" w:type="pct"/>
            <w:vAlign w:val="center"/>
          </w:tcPr>
          <w:p w14:paraId="2BC98C77" w14:textId="77777777" w:rsidR="00C37C68" w:rsidRPr="0058641B" w:rsidRDefault="00C37C68" w:rsidP="00D312D9">
            <w:pPr>
              <w:pStyle w:val="Tabletext"/>
              <w:keepNext/>
              <w:jc w:val="center"/>
              <w:rPr>
                <w:b/>
              </w:rPr>
            </w:pPr>
            <w:r w:rsidRPr="0058641B">
              <w:t>7.655</w:t>
            </w:r>
          </w:p>
        </w:tc>
        <w:tc>
          <w:tcPr>
            <w:tcW w:w="838" w:type="pct"/>
            <w:vAlign w:val="center"/>
          </w:tcPr>
          <w:p w14:paraId="6E1E7650" w14:textId="77777777" w:rsidR="00C37C68" w:rsidRPr="0058641B" w:rsidRDefault="00C37C68" w:rsidP="00D312D9">
            <w:pPr>
              <w:pStyle w:val="Tabletext"/>
              <w:keepNext/>
              <w:jc w:val="center"/>
              <w:rPr>
                <w:bCs/>
              </w:rPr>
            </w:pPr>
            <w:r w:rsidRPr="0058641B">
              <w:t>1.056</w:t>
            </w:r>
          </w:p>
        </w:tc>
      </w:tr>
      <w:tr w:rsidR="00C37C68" w:rsidRPr="0058641B" w14:paraId="02A5D7CB" w14:textId="77777777" w:rsidTr="00D312D9">
        <w:tc>
          <w:tcPr>
            <w:tcW w:w="4162" w:type="pct"/>
            <w:gridSpan w:val="3"/>
            <w:vAlign w:val="center"/>
          </w:tcPr>
          <w:p w14:paraId="22B9745F" w14:textId="77777777" w:rsidR="00C37C68" w:rsidRPr="0058641B" w:rsidRDefault="00C37C68" w:rsidP="00D312D9">
            <w:pPr>
              <w:pStyle w:val="Tabletext"/>
              <w:keepNext/>
              <w:rPr>
                <w:bCs/>
              </w:rPr>
            </w:pPr>
            <w:r w:rsidRPr="0058641B">
              <w:t>Incremental cost/LYG</w:t>
            </w:r>
          </w:p>
        </w:tc>
        <w:tc>
          <w:tcPr>
            <w:tcW w:w="838" w:type="pct"/>
            <w:vAlign w:val="center"/>
          </w:tcPr>
          <w:p w14:paraId="2EB57713" w14:textId="20D6FC8A"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r w:rsidR="00EB6159">
              <w:rPr>
                <w:vertAlign w:val="superscript"/>
              </w:rPr>
              <w:t>3</w:t>
            </w:r>
          </w:p>
        </w:tc>
      </w:tr>
      <w:tr w:rsidR="00C37C68" w:rsidRPr="0058641B" w14:paraId="4ACC4B17" w14:textId="77777777" w:rsidTr="00D312D9">
        <w:tc>
          <w:tcPr>
            <w:tcW w:w="5000" w:type="pct"/>
            <w:gridSpan w:val="4"/>
            <w:vAlign w:val="center"/>
          </w:tcPr>
          <w:p w14:paraId="2F542997" w14:textId="77777777" w:rsidR="00C37C68" w:rsidRPr="0058641B" w:rsidRDefault="00C37C68" w:rsidP="00D312D9">
            <w:pPr>
              <w:pStyle w:val="Tabletext"/>
              <w:keepNext/>
              <w:rPr>
                <w:b/>
              </w:rPr>
            </w:pPr>
            <w:r w:rsidRPr="0058641B">
              <w:rPr>
                <w:b/>
              </w:rPr>
              <w:t xml:space="preserve">Step 7: Inclusion of </w:t>
            </w:r>
            <w:proofErr w:type="gramStart"/>
            <w:r w:rsidRPr="0058641B">
              <w:rPr>
                <w:b/>
              </w:rPr>
              <w:t>end of life</w:t>
            </w:r>
            <w:proofErr w:type="gramEnd"/>
            <w:r w:rsidRPr="0058641B">
              <w:rPr>
                <w:b/>
              </w:rPr>
              <w:t xml:space="preserve"> costs</w:t>
            </w:r>
          </w:p>
        </w:tc>
      </w:tr>
      <w:tr w:rsidR="00C37C68" w:rsidRPr="0058641B" w14:paraId="1434A85D" w14:textId="77777777" w:rsidTr="00D312D9">
        <w:tc>
          <w:tcPr>
            <w:tcW w:w="1569" w:type="pct"/>
            <w:vAlign w:val="center"/>
          </w:tcPr>
          <w:p w14:paraId="1A699BE8" w14:textId="77777777" w:rsidR="00C37C68" w:rsidRPr="0058641B" w:rsidRDefault="00C37C68" w:rsidP="00D312D9">
            <w:pPr>
              <w:pStyle w:val="Tabletext"/>
              <w:keepNext/>
              <w:rPr>
                <w:b/>
              </w:rPr>
            </w:pPr>
            <w:r w:rsidRPr="0058641B">
              <w:t>Costs</w:t>
            </w:r>
          </w:p>
        </w:tc>
        <w:tc>
          <w:tcPr>
            <w:tcW w:w="1319" w:type="pct"/>
            <w:vAlign w:val="center"/>
          </w:tcPr>
          <w:p w14:paraId="621AFEBF" w14:textId="435F80A8"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1CDBABCE" w14:textId="14A2C827" w:rsidR="00C37C68" w:rsidRPr="0058641B" w:rsidRDefault="00C37C68" w:rsidP="00D312D9">
            <w:pPr>
              <w:pStyle w:val="Tabletext"/>
              <w:keepNext/>
              <w:jc w:val="center"/>
              <w:rPr>
                <w:b/>
              </w:rPr>
            </w:pPr>
            <w:r w:rsidRPr="0058641B">
              <w:t>$</w:t>
            </w:r>
            <w:r w:rsidRPr="003E12A4">
              <w:t>42,229</w:t>
            </w:r>
          </w:p>
        </w:tc>
        <w:tc>
          <w:tcPr>
            <w:tcW w:w="838" w:type="pct"/>
            <w:vAlign w:val="center"/>
          </w:tcPr>
          <w:p w14:paraId="6147A292" w14:textId="798526CA"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0928F8FC" w14:textId="77777777" w:rsidTr="00D312D9">
        <w:tc>
          <w:tcPr>
            <w:tcW w:w="1569" w:type="pct"/>
            <w:vAlign w:val="center"/>
          </w:tcPr>
          <w:p w14:paraId="432BABC9" w14:textId="77777777" w:rsidR="00C37C68" w:rsidRPr="0058641B" w:rsidRDefault="00C37C68" w:rsidP="00D312D9">
            <w:pPr>
              <w:pStyle w:val="Tabletext"/>
              <w:keepNext/>
              <w:rPr>
                <w:b/>
              </w:rPr>
            </w:pPr>
            <w:r w:rsidRPr="0058641B">
              <w:t>LYG</w:t>
            </w:r>
          </w:p>
        </w:tc>
        <w:tc>
          <w:tcPr>
            <w:tcW w:w="1319" w:type="pct"/>
            <w:vAlign w:val="center"/>
          </w:tcPr>
          <w:p w14:paraId="7D6A1A1A" w14:textId="77777777" w:rsidR="00C37C68" w:rsidRPr="0058641B" w:rsidRDefault="00C37C68" w:rsidP="00D312D9">
            <w:pPr>
              <w:pStyle w:val="Tabletext"/>
              <w:keepNext/>
              <w:jc w:val="center"/>
              <w:rPr>
                <w:b/>
              </w:rPr>
            </w:pPr>
            <w:r w:rsidRPr="0058641B">
              <w:t>8.712</w:t>
            </w:r>
          </w:p>
        </w:tc>
        <w:tc>
          <w:tcPr>
            <w:tcW w:w="1274" w:type="pct"/>
            <w:vAlign w:val="center"/>
          </w:tcPr>
          <w:p w14:paraId="6A7860B6" w14:textId="77777777" w:rsidR="00C37C68" w:rsidRPr="0058641B" w:rsidRDefault="00C37C68" w:rsidP="00D312D9">
            <w:pPr>
              <w:pStyle w:val="Tabletext"/>
              <w:keepNext/>
              <w:jc w:val="center"/>
              <w:rPr>
                <w:b/>
              </w:rPr>
            </w:pPr>
            <w:r w:rsidRPr="0058641B">
              <w:t>7.655</w:t>
            </w:r>
          </w:p>
        </w:tc>
        <w:tc>
          <w:tcPr>
            <w:tcW w:w="838" w:type="pct"/>
            <w:vAlign w:val="center"/>
          </w:tcPr>
          <w:p w14:paraId="27231D54" w14:textId="77777777" w:rsidR="00C37C68" w:rsidRPr="0058641B" w:rsidRDefault="00C37C68" w:rsidP="00D312D9">
            <w:pPr>
              <w:pStyle w:val="Tabletext"/>
              <w:keepNext/>
              <w:jc w:val="center"/>
              <w:rPr>
                <w:bCs/>
              </w:rPr>
            </w:pPr>
            <w:r w:rsidRPr="0058641B">
              <w:rPr>
                <w:bCs/>
              </w:rPr>
              <w:t>1.056</w:t>
            </w:r>
          </w:p>
        </w:tc>
      </w:tr>
      <w:tr w:rsidR="00C37C68" w:rsidRPr="0058641B" w14:paraId="56D74A38" w14:textId="77777777" w:rsidTr="00D312D9">
        <w:tc>
          <w:tcPr>
            <w:tcW w:w="4162" w:type="pct"/>
            <w:gridSpan w:val="3"/>
            <w:vAlign w:val="center"/>
          </w:tcPr>
          <w:p w14:paraId="03E48A62" w14:textId="77777777" w:rsidR="00C37C68" w:rsidRPr="0058641B" w:rsidRDefault="00C37C68" w:rsidP="00D312D9">
            <w:pPr>
              <w:pStyle w:val="Tabletext"/>
              <w:keepNext/>
              <w:rPr>
                <w:bCs/>
              </w:rPr>
            </w:pPr>
            <w:r w:rsidRPr="0058641B">
              <w:t>Incremental cost/LYG</w:t>
            </w:r>
          </w:p>
        </w:tc>
        <w:tc>
          <w:tcPr>
            <w:tcW w:w="838" w:type="pct"/>
            <w:vAlign w:val="center"/>
          </w:tcPr>
          <w:p w14:paraId="404CA15D" w14:textId="2CA09C4A" w:rsidR="00C37C68" w:rsidRPr="0058641B" w:rsidRDefault="00C37C68" w:rsidP="00D312D9">
            <w:pPr>
              <w:pStyle w:val="Tabletext"/>
              <w:keepNext/>
              <w:jc w:val="center"/>
              <w:rPr>
                <w:bCs/>
              </w:rPr>
            </w:pPr>
            <w:r w:rsidRPr="0058641B">
              <w:rPr>
                <w:bCs/>
              </w:rPr>
              <w:t>$</w:t>
            </w:r>
            <w:r w:rsidR="00A8021D" w:rsidRPr="00A8021D">
              <w:rPr>
                <w:bCs/>
                <w:color w:val="000000"/>
                <w:shd w:val="solid" w:color="000000" w:fill="000000"/>
                <w14:textFill>
                  <w14:solidFill>
                    <w14:srgbClr w14:val="000000">
                      <w14:alpha w14:val="100000"/>
                    </w14:srgbClr>
                  </w14:solidFill>
                </w14:textFill>
              </w:rPr>
              <w:t>|</w:t>
            </w:r>
            <w:r w:rsidR="00EB6159">
              <w:rPr>
                <w:vertAlign w:val="superscript"/>
              </w:rPr>
              <w:t>3</w:t>
            </w:r>
          </w:p>
        </w:tc>
      </w:tr>
      <w:tr w:rsidR="00C37C68" w:rsidRPr="0058641B" w14:paraId="7292FB3F" w14:textId="77777777" w:rsidTr="00D312D9">
        <w:tc>
          <w:tcPr>
            <w:tcW w:w="5000" w:type="pct"/>
            <w:gridSpan w:val="4"/>
            <w:vAlign w:val="center"/>
          </w:tcPr>
          <w:p w14:paraId="1C473397" w14:textId="77777777" w:rsidR="00C37C68" w:rsidRPr="0058641B" w:rsidRDefault="00C37C68" w:rsidP="00D312D9">
            <w:pPr>
              <w:pStyle w:val="Tabletext"/>
              <w:keepNext/>
              <w:rPr>
                <w:b/>
              </w:rPr>
            </w:pPr>
            <w:r w:rsidRPr="0058641B">
              <w:rPr>
                <w:b/>
              </w:rPr>
              <w:t>Step 8: Incorporation of utility values to determine QALYs (base-case analysis)</w:t>
            </w:r>
          </w:p>
        </w:tc>
      </w:tr>
      <w:tr w:rsidR="00C37C68" w:rsidRPr="0058641B" w14:paraId="7B9CB2A0" w14:textId="77777777" w:rsidTr="00D312D9">
        <w:tc>
          <w:tcPr>
            <w:tcW w:w="1569" w:type="pct"/>
            <w:vAlign w:val="center"/>
          </w:tcPr>
          <w:p w14:paraId="0BBDA676" w14:textId="77777777" w:rsidR="00C37C68" w:rsidRPr="0058641B" w:rsidRDefault="00C37C68" w:rsidP="00D312D9">
            <w:pPr>
              <w:pStyle w:val="Tabletext"/>
              <w:keepNext/>
            </w:pPr>
            <w:r w:rsidRPr="0058641B">
              <w:t>Costs</w:t>
            </w:r>
          </w:p>
        </w:tc>
        <w:tc>
          <w:tcPr>
            <w:tcW w:w="1319" w:type="pct"/>
            <w:vAlign w:val="center"/>
          </w:tcPr>
          <w:p w14:paraId="0E7262A4" w14:textId="57FBC588"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vAlign w:val="center"/>
          </w:tcPr>
          <w:p w14:paraId="6B54C4D6" w14:textId="6558BD8A" w:rsidR="00C37C68" w:rsidRPr="0058641B" w:rsidRDefault="00C37C68" w:rsidP="00D266A3">
            <w:pPr>
              <w:pStyle w:val="Tabletext"/>
              <w:keepNext/>
              <w:jc w:val="center"/>
              <w:rPr>
                <w:bCs/>
              </w:rPr>
            </w:pPr>
            <w:r w:rsidRPr="003E12A4">
              <w:t>$42,229</w:t>
            </w:r>
          </w:p>
        </w:tc>
        <w:tc>
          <w:tcPr>
            <w:tcW w:w="838" w:type="pct"/>
            <w:vAlign w:val="center"/>
          </w:tcPr>
          <w:p w14:paraId="414127B2" w14:textId="61181C19"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07BF413C" w14:textId="77777777" w:rsidTr="00D312D9">
        <w:tc>
          <w:tcPr>
            <w:tcW w:w="1569" w:type="pct"/>
            <w:vAlign w:val="center"/>
          </w:tcPr>
          <w:p w14:paraId="457D9198" w14:textId="77777777" w:rsidR="00C37C68" w:rsidRPr="0058641B" w:rsidRDefault="00C37C68" w:rsidP="00D312D9">
            <w:pPr>
              <w:pStyle w:val="Tabletext"/>
              <w:keepNext/>
            </w:pPr>
            <w:r w:rsidRPr="0058641B">
              <w:t>QALYs gained</w:t>
            </w:r>
          </w:p>
        </w:tc>
        <w:tc>
          <w:tcPr>
            <w:tcW w:w="1319" w:type="pct"/>
            <w:vAlign w:val="center"/>
          </w:tcPr>
          <w:p w14:paraId="7D475C97" w14:textId="77777777" w:rsidR="00C37C68" w:rsidRPr="0058641B" w:rsidRDefault="00C37C68" w:rsidP="00D312D9">
            <w:pPr>
              <w:pStyle w:val="Tabletext"/>
              <w:keepNext/>
              <w:jc w:val="center"/>
            </w:pPr>
            <w:r w:rsidRPr="0058641B">
              <w:t>6.950</w:t>
            </w:r>
          </w:p>
        </w:tc>
        <w:tc>
          <w:tcPr>
            <w:tcW w:w="1274" w:type="pct"/>
            <w:vAlign w:val="center"/>
          </w:tcPr>
          <w:p w14:paraId="35B80E08" w14:textId="77777777" w:rsidR="00C37C68" w:rsidRPr="0058641B" w:rsidRDefault="00C37C68" w:rsidP="00D312D9">
            <w:pPr>
              <w:pStyle w:val="Tabletext"/>
              <w:keepNext/>
              <w:jc w:val="center"/>
            </w:pPr>
            <w:r w:rsidRPr="0058641B">
              <w:t>6.050</w:t>
            </w:r>
          </w:p>
        </w:tc>
        <w:tc>
          <w:tcPr>
            <w:tcW w:w="838" w:type="pct"/>
            <w:vAlign w:val="center"/>
          </w:tcPr>
          <w:p w14:paraId="70FF2870" w14:textId="77777777" w:rsidR="00C37C68" w:rsidRPr="0058641B" w:rsidRDefault="00C37C68" w:rsidP="00D312D9">
            <w:pPr>
              <w:pStyle w:val="Tabletext"/>
              <w:keepNext/>
              <w:jc w:val="center"/>
              <w:rPr>
                <w:bCs/>
              </w:rPr>
            </w:pPr>
            <w:r w:rsidRPr="0058641B">
              <w:t>0.900</w:t>
            </w:r>
          </w:p>
        </w:tc>
      </w:tr>
      <w:tr w:rsidR="00C37C68" w:rsidRPr="0058641B" w14:paraId="78D9E132" w14:textId="77777777" w:rsidTr="00D312D9">
        <w:tc>
          <w:tcPr>
            <w:tcW w:w="4162" w:type="pct"/>
            <w:gridSpan w:val="3"/>
            <w:vAlign w:val="center"/>
          </w:tcPr>
          <w:p w14:paraId="4F3647AE" w14:textId="77777777" w:rsidR="00C37C68" w:rsidRPr="0058641B" w:rsidRDefault="00C37C68" w:rsidP="00D312D9">
            <w:pPr>
              <w:pStyle w:val="Tabletext"/>
              <w:keepNext/>
              <w:rPr>
                <w:b/>
                <w:bCs/>
              </w:rPr>
            </w:pPr>
            <w:r w:rsidRPr="0058641B">
              <w:rPr>
                <w:b/>
                <w:bCs/>
              </w:rPr>
              <w:t>Incremental cost/QALY gained (base case)</w:t>
            </w:r>
          </w:p>
        </w:tc>
        <w:tc>
          <w:tcPr>
            <w:tcW w:w="838" w:type="pct"/>
            <w:vAlign w:val="center"/>
          </w:tcPr>
          <w:p w14:paraId="7B474974" w14:textId="0E8955D8" w:rsidR="00C37C68" w:rsidRPr="0058641B" w:rsidRDefault="00C37C68" w:rsidP="00D312D9">
            <w:pPr>
              <w:pStyle w:val="Tabletext"/>
              <w:keepNext/>
              <w:jc w:val="center"/>
              <w:rPr>
                <w:b/>
                <w:bCs/>
              </w:rPr>
            </w:pPr>
            <w:r w:rsidRPr="0058641B">
              <w:rPr>
                <w:b/>
              </w:rPr>
              <w:t>$</w:t>
            </w:r>
            <w:r w:rsidR="00A8021D" w:rsidRPr="00A8021D">
              <w:rPr>
                <w:b/>
                <w:color w:val="000000"/>
                <w:shd w:val="solid" w:color="000000" w:fill="000000"/>
                <w14:textFill>
                  <w14:solidFill>
                    <w14:srgbClr w14:val="000000">
                      <w14:alpha w14:val="100000"/>
                    </w14:srgbClr>
                  </w14:solidFill>
                </w14:textFill>
              </w:rPr>
              <w:t>|</w:t>
            </w:r>
            <w:r w:rsidR="00EB6159">
              <w:rPr>
                <w:vertAlign w:val="superscript"/>
              </w:rPr>
              <w:t>3</w:t>
            </w:r>
          </w:p>
        </w:tc>
      </w:tr>
    </w:tbl>
    <w:p w14:paraId="59A13752" w14:textId="77777777" w:rsidR="00C37C68" w:rsidRPr="0058641B" w:rsidRDefault="00C37C68" w:rsidP="00C37C68">
      <w:pPr>
        <w:pStyle w:val="TableFooter"/>
      </w:pPr>
      <w:r w:rsidRPr="0058641B">
        <w:t xml:space="preserve">Source: Table compiled during the evaluation, based on Tables 3.15 to 3.21, pp93-96 of the submission. </w:t>
      </w:r>
    </w:p>
    <w:p w14:paraId="18D41DE2" w14:textId="77777777" w:rsidR="00C37C68" w:rsidRPr="0058641B" w:rsidRDefault="00C37C68" w:rsidP="00C37C68">
      <w:pPr>
        <w:pStyle w:val="TableFooter"/>
      </w:pPr>
      <w:r w:rsidRPr="0058641B">
        <w:t>AE = adverse event; DFS = disease-free survival; LYG = life year gained; MRU = medical resource use; NSCLC = non-small cell lung cancer; PD-L1 = programmed cell death ligand 1; QALY= quality-adjusted life year.</w:t>
      </w:r>
    </w:p>
    <w:p w14:paraId="1C8B1975" w14:textId="18BB2A73" w:rsidR="00C37C68" w:rsidRPr="0058641B" w:rsidRDefault="00C37C68" w:rsidP="00C37C68">
      <w:pPr>
        <w:pStyle w:val="TableFooter"/>
      </w:pPr>
      <w:r w:rsidRPr="0058641B">
        <w:t>Notes: the following the errors</w:t>
      </w:r>
      <w:r w:rsidR="009156BB">
        <w:t xml:space="preserve"> were</w:t>
      </w:r>
      <w:r w:rsidRPr="0058641B">
        <w:t xml:space="preserve"> identified during the evaluation</w:t>
      </w:r>
      <w:r w:rsidR="009156BB">
        <w:t xml:space="preserve"> and corrected results are presented above</w:t>
      </w:r>
      <w:r w:rsidRPr="0058641B">
        <w:t xml:space="preserve">: </w:t>
      </w:r>
    </w:p>
    <w:p w14:paraId="1F5C5361" w14:textId="53B014E7" w:rsidR="00C37C68" w:rsidRPr="0058641B" w:rsidRDefault="00C37C68" w:rsidP="00C37C68">
      <w:pPr>
        <w:pStyle w:val="TableFooter"/>
      </w:pPr>
      <w:r w:rsidRPr="0058641B">
        <w:t xml:space="preserve">1) the omission of costs in the second-line distant recurrence health state in calculating the total costs (Cells G37 and J37 in the ‘Results’ spreadsheet); </w:t>
      </w:r>
    </w:p>
    <w:p w14:paraId="33F77AB8" w14:textId="27F04952" w:rsidR="00C37C68" w:rsidRPr="0058641B" w:rsidRDefault="00C37C68" w:rsidP="00C37C68">
      <w:pPr>
        <w:pStyle w:val="TableFooter"/>
      </w:pPr>
      <w:r w:rsidRPr="0058641B">
        <w:t>2) errors in the formulas calculating the MRU costs during the off-treatment period in the DFS health state (Cells AV9:AV2097 in both the ‘Atezolizumab’ spreadsheet and the ‘Best Supportive Care’ spreadsheet)</w:t>
      </w:r>
    </w:p>
    <w:p w14:paraId="382BAD73" w14:textId="660445CC" w:rsidR="00C37C68" w:rsidRPr="0058641B" w:rsidRDefault="00C37C68" w:rsidP="00C37C68">
      <w:pPr>
        <w:pStyle w:val="TableFooter"/>
      </w:pPr>
      <w:r w:rsidRPr="0058641B">
        <w:t xml:space="preserve">3) double counting the MRU costs in the DFS health state in the best supportive care arm (Cells AU9:AU2097 in the ‘Best Supportive Care’ spreadsheet); </w:t>
      </w:r>
    </w:p>
    <w:p w14:paraId="7EA9EEFD" w14:textId="2AEA1C7F" w:rsidR="00C37C68" w:rsidRPr="0058641B" w:rsidRDefault="00C37C68" w:rsidP="00C37C68">
      <w:pPr>
        <w:pStyle w:val="TableFooter"/>
      </w:pPr>
      <w:r w:rsidRPr="0058641B">
        <w:t>4) referencing errors in the formulas calculating the weights of hospital admissions due to major disorders vs. hospital admissions due to minor disorders associated with management of rash and hypertension (Cells M13:M14 and Cells M19:M20 in the ‘Adverse Events Costs’ spreadsheet); and</w:t>
      </w:r>
    </w:p>
    <w:p w14:paraId="5842546C" w14:textId="2A3E5E66" w:rsidR="00C37C68" w:rsidRDefault="00C37C68" w:rsidP="00C37C68">
      <w:pPr>
        <w:pStyle w:val="TableFooter"/>
      </w:pPr>
      <w:r w:rsidRPr="0058641B">
        <w:t xml:space="preserve">5) referencing errors in the formulas calculating the weighted drug cost for pembrolizumab per administration (Cells K44 and K48 in the ‘Drug Doses &amp; Acquisition Costs’ spreadsheet). </w:t>
      </w:r>
    </w:p>
    <w:p w14:paraId="76E30C9D" w14:textId="77777777" w:rsidR="00EB6159" w:rsidRPr="00A4427F" w:rsidRDefault="00EB6159" w:rsidP="00EB6159">
      <w:pPr>
        <w:pStyle w:val="TableFigureFooter"/>
        <w:keepNext/>
        <w:spacing w:after="0"/>
        <w:contextualSpacing w:val="0"/>
        <w:rPr>
          <w:i/>
        </w:rPr>
      </w:pPr>
      <w:r w:rsidRPr="00A4427F">
        <w:rPr>
          <w:i/>
        </w:rPr>
        <w:t>The redacted values correspond to the following ranges:</w:t>
      </w:r>
    </w:p>
    <w:p w14:paraId="7F67E435" w14:textId="4AB71222" w:rsidR="00EB6159" w:rsidRPr="00281DAB" w:rsidRDefault="00EB6159" w:rsidP="00EB6159">
      <w:pPr>
        <w:pStyle w:val="TableFigureFooter"/>
        <w:keepNext/>
        <w:spacing w:after="0"/>
        <w:contextualSpacing w:val="0"/>
      </w:pPr>
      <w:r w:rsidRPr="00A4427F">
        <w:rPr>
          <w:i/>
          <w:szCs w:val="18"/>
          <w:vertAlign w:val="superscript"/>
        </w:rPr>
        <w:t>1</w:t>
      </w:r>
      <w:r w:rsidRPr="00A4427F">
        <w:rPr>
          <w:i/>
          <w:szCs w:val="18"/>
        </w:rPr>
        <w:t xml:space="preserve"> </w:t>
      </w:r>
      <w:r w:rsidRPr="00EB6159">
        <w:rPr>
          <w:i/>
          <w:szCs w:val="18"/>
        </w:rPr>
        <w:t>$455,000 to &lt; $555,000</w:t>
      </w:r>
    </w:p>
    <w:p w14:paraId="4FAACB26" w14:textId="7B05A82B" w:rsidR="00EB6159" w:rsidRPr="00A4427F" w:rsidRDefault="00EB6159" w:rsidP="00EB6159">
      <w:pPr>
        <w:rPr>
          <w:rFonts w:ascii="Arial Narrow" w:hAnsi="Arial Narrow"/>
          <w:i/>
          <w:sz w:val="18"/>
          <w:szCs w:val="18"/>
        </w:rPr>
      </w:pPr>
      <w:r w:rsidRPr="00A4427F">
        <w:rPr>
          <w:rFonts w:ascii="Arial Narrow" w:hAnsi="Arial Narrow"/>
          <w:i/>
          <w:sz w:val="18"/>
          <w:szCs w:val="18"/>
          <w:vertAlign w:val="superscript"/>
        </w:rPr>
        <w:t>2</w:t>
      </w:r>
      <w:r w:rsidRPr="00A4427F">
        <w:rPr>
          <w:rFonts w:ascii="Arial Narrow" w:hAnsi="Arial Narrow"/>
          <w:i/>
          <w:sz w:val="18"/>
          <w:szCs w:val="18"/>
        </w:rPr>
        <w:t xml:space="preserve"> </w:t>
      </w:r>
      <w:r w:rsidRPr="00EB6159">
        <w:rPr>
          <w:rFonts w:ascii="Arial Narrow" w:hAnsi="Arial Narrow"/>
          <w:i/>
          <w:sz w:val="18"/>
          <w:szCs w:val="18"/>
        </w:rPr>
        <w:t>$25,000 to &lt; $35,000</w:t>
      </w:r>
    </w:p>
    <w:p w14:paraId="35B83557" w14:textId="697EF3E2" w:rsidR="00EB6159" w:rsidRPr="00EB6159" w:rsidRDefault="00EB6159" w:rsidP="00EB6159">
      <w:pPr>
        <w:rPr>
          <w:rFonts w:ascii="Arial Narrow" w:hAnsi="Arial Narrow"/>
          <w:i/>
          <w:sz w:val="18"/>
          <w:szCs w:val="18"/>
        </w:rPr>
      </w:pPr>
      <w:r w:rsidRPr="00A4427F">
        <w:rPr>
          <w:rFonts w:ascii="Arial Narrow" w:hAnsi="Arial Narrow"/>
          <w:i/>
          <w:sz w:val="18"/>
          <w:szCs w:val="18"/>
          <w:vertAlign w:val="superscript"/>
        </w:rPr>
        <w:t xml:space="preserve">3 </w:t>
      </w:r>
      <w:r w:rsidRPr="00EB6159">
        <w:rPr>
          <w:rFonts w:ascii="Arial Narrow" w:hAnsi="Arial Narrow"/>
          <w:i/>
          <w:sz w:val="18"/>
          <w:szCs w:val="18"/>
        </w:rPr>
        <w:t>$15,000 to &lt; $25,000</w:t>
      </w:r>
    </w:p>
    <w:p w14:paraId="7391237D" w14:textId="77777777" w:rsidR="00FB2543" w:rsidRPr="0058641B" w:rsidRDefault="00FB2543" w:rsidP="00644DC1"/>
    <w:p w14:paraId="2E5B5B36" w14:textId="26A44872" w:rsidR="00FB2543" w:rsidRPr="0058641B" w:rsidRDefault="00FB2543" w:rsidP="00C37C68">
      <w:pPr>
        <w:pStyle w:val="3-BodyText"/>
      </w:pPr>
      <w:r w:rsidRPr="0058641B">
        <w:lastRenderedPageBreak/>
        <w:t xml:space="preserve">The health outcome in Step 1 (trial-based) of the economic evaluation was </w:t>
      </w:r>
      <w:r w:rsidR="0020662C" w:rsidRPr="0058641B">
        <w:t>life year gained (</w:t>
      </w:r>
      <w:r w:rsidRPr="0058641B">
        <w:t>LY</w:t>
      </w:r>
      <w:r w:rsidR="0020662C" w:rsidRPr="0058641B">
        <w:t>G)</w:t>
      </w:r>
      <w:r w:rsidRPr="0058641B">
        <w:t xml:space="preserve">. The proportion of PD-L1 ≥ 1% patients with a recurrence event (excluding pre-recurrence death) during the trial observation period was 29.4% (73/248) for </w:t>
      </w:r>
      <w:r w:rsidR="0020662C" w:rsidRPr="0058641B">
        <w:t xml:space="preserve">ATZ </w:t>
      </w:r>
      <w:r w:rsidRPr="0058641B">
        <w:t xml:space="preserve">and 44.7% (102/228) for </w:t>
      </w:r>
      <w:r w:rsidR="0020662C" w:rsidRPr="0058641B">
        <w:t>BSC</w:t>
      </w:r>
      <w:r w:rsidRPr="0058641B">
        <w:t>. The cost per recurrence avoided was estimated to be $</w:t>
      </w:r>
      <w:r w:rsidR="00A8021D" w:rsidRPr="00AD58F5">
        <w:rPr>
          <w:color w:val="000000"/>
          <w:w w:val="15"/>
          <w:shd w:val="solid" w:color="000000" w:fill="000000"/>
          <w:fitText w:val="-20" w:id="-1435765248"/>
          <w14:textFill>
            <w14:solidFill>
              <w14:srgbClr w14:val="000000">
                <w14:alpha w14:val="100000"/>
              </w14:srgbClr>
            </w14:solidFill>
          </w14:textFill>
        </w:rPr>
        <w:t xml:space="preserve">|  </w:t>
      </w:r>
      <w:r w:rsidR="00A8021D" w:rsidRPr="00AD58F5">
        <w:rPr>
          <w:color w:val="000000"/>
          <w:spacing w:val="-69"/>
          <w:w w:val="15"/>
          <w:shd w:val="solid" w:color="000000" w:fill="000000"/>
          <w:fitText w:val="-20" w:id="-1435765248"/>
          <w14:textFill>
            <w14:solidFill>
              <w14:srgbClr w14:val="000000">
                <w14:alpha w14:val="100000"/>
              </w14:srgbClr>
            </w14:solidFill>
          </w14:textFill>
        </w:rPr>
        <w:t>|</w:t>
      </w:r>
      <w:r w:rsidRPr="0058641B">
        <w:t xml:space="preserve"> (=$</w:t>
      </w:r>
      <w:r w:rsidR="00A8021D" w:rsidRPr="00AD58F5">
        <w:rPr>
          <w:color w:val="000000"/>
          <w:w w:val="15"/>
          <w:shd w:val="solid" w:color="000000" w:fill="000000"/>
          <w:fitText w:val="-20" w:id="-1435765247"/>
          <w14:textFill>
            <w14:solidFill>
              <w14:srgbClr w14:val="000000">
                <w14:alpha w14:val="100000"/>
              </w14:srgbClr>
            </w14:solidFill>
          </w14:textFill>
        </w:rPr>
        <w:t xml:space="preserve">|  </w:t>
      </w:r>
      <w:r w:rsidR="00A8021D" w:rsidRPr="00AD58F5">
        <w:rPr>
          <w:color w:val="000000"/>
          <w:spacing w:val="-69"/>
          <w:w w:val="15"/>
          <w:shd w:val="solid" w:color="000000" w:fill="000000"/>
          <w:fitText w:val="-20" w:id="-1435765247"/>
          <w14:textFill>
            <w14:solidFill>
              <w14:srgbClr w14:val="000000">
                <w14:alpha w14:val="100000"/>
              </w14:srgbClr>
            </w14:solidFill>
          </w14:textFill>
        </w:rPr>
        <w:t>|</w:t>
      </w:r>
      <w:r w:rsidRPr="0058641B">
        <w:t xml:space="preserve">/(44.7%-29.4%)) in Step 1. The proportion of PD-L1 ≥ 1% patients </w:t>
      </w:r>
      <w:r w:rsidR="00F67B16">
        <w:t xml:space="preserve">who </w:t>
      </w:r>
      <w:r w:rsidRPr="0058641B">
        <w:t xml:space="preserve">died in the trial was 16.9% (42/248) for </w:t>
      </w:r>
      <w:r w:rsidR="0020662C" w:rsidRPr="0058641B">
        <w:t xml:space="preserve">ATZ </w:t>
      </w:r>
      <w:r w:rsidRPr="0058641B">
        <w:t xml:space="preserve">and 21.1% (48/228) for </w:t>
      </w:r>
      <w:r w:rsidR="0020662C" w:rsidRPr="0058641B">
        <w:t>BSC</w:t>
      </w:r>
      <w:r w:rsidRPr="0058641B">
        <w:t>. The cost per death avoided was estimated to be $</w:t>
      </w:r>
      <w:r w:rsidR="00A8021D" w:rsidRPr="00AD58F5">
        <w:rPr>
          <w:color w:val="000000"/>
          <w:w w:val="15"/>
          <w:shd w:val="solid" w:color="000000" w:fill="000000"/>
          <w:fitText w:val="-20" w:id="-1435765246"/>
          <w14:textFill>
            <w14:solidFill>
              <w14:srgbClr w14:val="000000">
                <w14:alpha w14:val="100000"/>
              </w14:srgbClr>
            </w14:solidFill>
          </w14:textFill>
        </w:rPr>
        <w:t xml:space="preserve">|  </w:t>
      </w:r>
      <w:r w:rsidR="00A8021D" w:rsidRPr="00AD58F5">
        <w:rPr>
          <w:color w:val="000000"/>
          <w:spacing w:val="-69"/>
          <w:w w:val="15"/>
          <w:shd w:val="solid" w:color="000000" w:fill="000000"/>
          <w:fitText w:val="-20" w:id="-1435765246"/>
          <w14:textFill>
            <w14:solidFill>
              <w14:srgbClr w14:val="000000">
                <w14:alpha w14:val="100000"/>
              </w14:srgbClr>
            </w14:solidFill>
          </w14:textFill>
        </w:rPr>
        <w:t>|</w:t>
      </w:r>
      <w:r w:rsidRPr="0058641B">
        <w:t>.</w:t>
      </w:r>
    </w:p>
    <w:p w14:paraId="36A4C592" w14:textId="66309CDF" w:rsidR="00C37C68" w:rsidRPr="0058641B" w:rsidRDefault="00C37C68" w:rsidP="00C37C68">
      <w:pPr>
        <w:pStyle w:val="3-BodyText"/>
        <w:rPr>
          <w:iCs/>
        </w:rPr>
      </w:pPr>
      <w:r w:rsidRPr="0058641B">
        <w:rPr>
          <w:iCs/>
        </w:rPr>
        <w:t>The extension of the time horizon to 25 years (Step 2) had a significant impact on the ICER, increasing the incremental LYG from 0.047 to 0.524.</w:t>
      </w:r>
      <w:r w:rsidR="004D6EB3" w:rsidRPr="0058641B">
        <w:rPr>
          <w:iCs/>
        </w:rPr>
        <w:t xml:space="preserve"> Additionally</w:t>
      </w:r>
      <w:r w:rsidRPr="0058641B">
        <w:rPr>
          <w:iCs/>
        </w:rPr>
        <w:t>, the extension of the time horizon resulted in a decrease in incremental costs from $</w:t>
      </w:r>
      <w:r w:rsidR="00A8021D" w:rsidRPr="00AD58F5">
        <w:rPr>
          <w:iCs/>
          <w:color w:val="000000"/>
          <w:w w:val="15"/>
          <w:shd w:val="solid" w:color="000000" w:fill="000000"/>
          <w:fitText w:val="-20" w:id="-1435765245"/>
          <w14:textFill>
            <w14:solidFill>
              <w14:srgbClr w14:val="000000">
                <w14:alpha w14:val="100000"/>
              </w14:srgbClr>
            </w14:solidFill>
          </w14:textFill>
        </w:rPr>
        <w:t xml:space="preserve">|  </w:t>
      </w:r>
      <w:r w:rsidR="00A8021D" w:rsidRPr="00AD58F5">
        <w:rPr>
          <w:iCs/>
          <w:color w:val="000000"/>
          <w:spacing w:val="-69"/>
          <w:w w:val="15"/>
          <w:shd w:val="solid" w:color="000000" w:fill="000000"/>
          <w:fitText w:val="-20" w:id="-1435765245"/>
          <w14:textFill>
            <w14:solidFill>
              <w14:srgbClr w14:val="000000">
                <w14:alpha w14:val="100000"/>
              </w14:srgbClr>
            </w14:solidFill>
          </w14:textFill>
        </w:rPr>
        <w:t>|</w:t>
      </w:r>
      <w:r w:rsidRPr="0058641B">
        <w:rPr>
          <w:iCs/>
        </w:rPr>
        <w:t xml:space="preserve"> to $</w:t>
      </w:r>
      <w:r w:rsidR="00A8021D" w:rsidRPr="00AD58F5">
        <w:rPr>
          <w:iCs/>
          <w:color w:val="000000"/>
          <w:w w:val="15"/>
          <w:shd w:val="solid" w:color="000000" w:fill="000000"/>
          <w:fitText w:val="-20" w:id="-1435765244"/>
          <w14:textFill>
            <w14:solidFill>
              <w14:srgbClr w14:val="000000">
                <w14:alpha w14:val="100000"/>
              </w14:srgbClr>
            </w14:solidFill>
          </w14:textFill>
        </w:rPr>
        <w:t xml:space="preserve">|  </w:t>
      </w:r>
      <w:r w:rsidR="00A8021D" w:rsidRPr="00AD58F5">
        <w:rPr>
          <w:iCs/>
          <w:color w:val="000000"/>
          <w:spacing w:val="-69"/>
          <w:w w:val="15"/>
          <w:shd w:val="solid" w:color="000000" w:fill="000000"/>
          <w:fitText w:val="-20" w:id="-1435765244"/>
          <w14:textFill>
            <w14:solidFill>
              <w14:srgbClr w14:val="000000">
                <w14:alpha w14:val="100000"/>
              </w14:srgbClr>
            </w14:solidFill>
          </w14:textFill>
        </w:rPr>
        <w:t>|</w:t>
      </w:r>
      <w:r w:rsidRPr="0058641B">
        <w:rPr>
          <w:iCs/>
        </w:rPr>
        <w:t xml:space="preserve">, which was primarily due to the accumulated cost savings from treatment in the 1L DR setting (chemotherapy in the ATZ arm vs. 80% pembrolizumab + chemotherapy and 20% chemotherapy in the BSC arm). Applying a sustained DFS adjustment in Step 4 increased the incremental LYG from 0.591 to 1.056, accompanied by an increase in the incremental costs, but to a lesser extent. The resulting ICER reduced from </w:t>
      </w:r>
      <w:r w:rsidR="003E12A4" w:rsidRPr="003E12A4">
        <w:rPr>
          <w:iCs/>
        </w:rPr>
        <w:t>$15,000 to &lt; $25,000</w:t>
      </w:r>
      <w:r w:rsidRPr="0058641B">
        <w:rPr>
          <w:iCs/>
        </w:rPr>
        <w:t xml:space="preserve">/LYG to </w:t>
      </w:r>
      <w:r w:rsidR="003E12A4" w:rsidRPr="003E12A4">
        <w:rPr>
          <w:iCs/>
        </w:rPr>
        <w:t>$15,000 to &lt; $25,000</w:t>
      </w:r>
      <w:r w:rsidRPr="0058641B">
        <w:rPr>
          <w:iCs/>
        </w:rPr>
        <w:t xml:space="preserve">/LYG. The other steps did not result in remarkable changes in incremental costs and incremental LYG. Applying quality of life transformations in Step 8 increased the ICER to </w:t>
      </w:r>
      <w:r w:rsidR="003E12A4" w:rsidRPr="003E12A4">
        <w:rPr>
          <w:iCs/>
        </w:rPr>
        <w:t xml:space="preserve">$15,000 to </w:t>
      </w:r>
      <w:r w:rsidR="005F2AB0">
        <w:rPr>
          <w:iCs/>
        </w:rPr>
        <w:br/>
      </w:r>
      <w:r w:rsidR="003E12A4" w:rsidRPr="003E12A4">
        <w:rPr>
          <w:iCs/>
        </w:rPr>
        <w:t>&lt; $25,000</w:t>
      </w:r>
      <w:r w:rsidRPr="0058641B">
        <w:rPr>
          <w:iCs/>
        </w:rPr>
        <w:t>/QALY gained.</w:t>
      </w:r>
    </w:p>
    <w:p w14:paraId="6A3C4E6C" w14:textId="56B717ED" w:rsidR="00C37C68" w:rsidRPr="0058641B" w:rsidRDefault="00C37C68" w:rsidP="00C37C68">
      <w:pPr>
        <w:pStyle w:val="ListParagraph"/>
        <w:numPr>
          <w:ilvl w:val="1"/>
          <w:numId w:val="1"/>
        </w:numPr>
        <w:spacing w:after="160"/>
        <w:rPr>
          <w:iCs/>
        </w:rPr>
      </w:pPr>
      <w:r w:rsidRPr="0058641B">
        <w:rPr>
          <w:iCs/>
        </w:rPr>
        <w:fldChar w:fldCharType="begin"/>
      </w:r>
      <w:r w:rsidRPr="0058641B">
        <w:rPr>
          <w:iCs/>
        </w:rPr>
        <w:instrText xml:space="preserve"> REF _Ref101225714 \h  \* MERGEFORMAT </w:instrText>
      </w:r>
      <w:r w:rsidRPr="0058641B">
        <w:rPr>
          <w:iCs/>
        </w:rPr>
      </w:r>
      <w:r w:rsidRPr="0058641B">
        <w:rPr>
          <w:iCs/>
        </w:rPr>
        <w:fldChar w:fldCharType="separate"/>
      </w:r>
      <w:r w:rsidR="0043151A" w:rsidRPr="0043151A">
        <w:rPr>
          <w:iCs/>
        </w:rPr>
        <w:t>Table 15</w:t>
      </w:r>
      <w:r w:rsidRPr="0058641B">
        <w:rPr>
          <w:iCs/>
        </w:rPr>
        <w:fldChar w:fldCharType="end"/>
      </w:r>
      <w:r w:rsidRPr="0058641B">
        <w:rPr>
          <w:iCs/>
        </w:rPr>
        <w:t xml:space="preserve"> summarises the number of LRR events, 1L DR events and deaths avoided in the economic model over the 25-year time horizon together with a comparison of the number of events avoided in the IMpower010 trial.</w:t>
      </w:r>
    </w:p>
    <w:p w14:paraId="26998404" w14:textId="68DE4AE4" w:rsidR="00C37C68" w:rsidRPr="0058641B" w:rsidRDefault="00C37C68" w:rsidP="00644DC1">
      <w:pPr>
        <w:pStyle w:val="TableFigureHeading"/>
        <w:keepNext w:val="0"/>
        <w:keepLines/>
      </w:pPr>
      <w:bookmarkStart w:id="60" w:name="_Ref101225714"/>
      <w:r w:rsidRPr="0058641B">
        <w:t xml:space="preserve">Table </w:t>
      </w:r>
      <w:fldSimple w:instr=" SEQ Table \* ARABIC ">
        <w:r w:rsidR="0043151A">
          <w:rPr>
            <w:noProof/>
          </w:rPr>
          <w:t>15</w:t>
        </w:r>
      </w:fldSimple>
      <w:bookmarkEnd w:id="60"/>
      <w:r w:rsidRPr="0058641B">
        <w:t xml:space="preserve">: Average events per patient in the trial </w:t>
      </w:r>
      <w:r w:rsidRPr="0058641B">
        <w:rPr>
          <w:i/>
        </w:rPr>
        <w:t>versus</w:t>
      </w:r>
      <w:r w:rsidRPr="0058641B">
        <w:t xml:space="preserve"> the economic model (Stage II-IIIA, PD-L1 ≥ 1% NSCLC)</w:t>
      </w:r>
    </w:p>
    <w:tbl>
      <w:tblPr>
        <w:tblStyle w:val="TableGrid"/>
        <w:tblW w:w="5000" w:type="pct"/>
        <w:tblLook w:val="04A0" w:firstRow="1" w:lastRow="0" w:firstColumn="1" w:lastColumn="0" w:noHBand="0" w:noVBand="1"/>
      </w:tblPr>
      <w:tblGrid>
        <w:gridCol w:w="1379"/>
        <w:gridCol w:w="1451"/>
        <w:gridCol w:w="1646"/>
        <w:gridCol w:w="1196"/>
        <w:gridCol w:w="1123"/>
        <w:gridCol w:w="1123"/>
        <w:gridCol w:w="1099"/>
      </w:tblGrid>
      <w:tr w:rsidR="00C37C68" w:rsidRPr="0058641B" w14:paraId="1DE1CD40" w14:textId="77777777" w:rsidTr="00C02EBB">
        <w:tc>
          <w:tcPr>
            <w:tcW w:w="1379" w:type="dxa"/>
            <w:vMerge w:val="restart"/>
          </w:tcPr>
          <w:p w14:paraId="6A6A4DD0" w14:textId="77777777" w:rsidR="00C37C68" w:rsidRPr="0058641B" w:rsidRDefault="00C37C68" w:rsidP="00644DC1">
            <w:pPr>
              <w:keepLines/>
              <w:rPr>
                <w:rFonts w:ascii="Arial Narrow" w:hAnsi="Arial Narrow"/>
                <w:b/>
                <w:sz w:val="20"/>
                <w:szCs w:val="16"/>
              </w:rPr>
            </w:pPr>
          </w:p>
        </w:tc>
        <w:tc>
          <w:tcPr>
            <w:tcW w:w="4293" w:type="dxa"/>
            <w:gridSpan w:val="3"/>
          </w:tcPr>
          <w:p w14:paraId="0B3825E4"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IMpower010</w:t>
            </w:r>
          </w:p>
          <w:p w14:paraId="041262F0"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(median follow-up of 32.2 months)</w:t>
            </w:r>
          </w:p>
        </w:tc>
        <w:tc>
          <w:tcPr>
            <w:tcW w:w="3345" w:type="dxa"/>
            <w:gridSpan w:val="3"/>
          </w:tcPr>
          <w:p w14:paraId="506A5320"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Economic model</w:t>
            </w:r>
          </w:p>
          <w:p w14:paraId="1A03C679"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(time horizon of 25 years)</w:t>
            </w:r>
          </w:p>
        </w:tc>
      </w:tr>
      <w:tr w:rsidR="00C37C68" w:rsidRPr="0058641B" w14:paraId="100CECD4" w14:textId="77777777" w:rsidTr="00C36990">
        <w:tc>
          <w:tcPr>
            <w:tcW w:w="1379" w:type="dxa"/>
            <w:vMerge/>
          </w:tcPr>
          <w:p w14:paraId="7A8BDA0D" w14:textId="77777777" w:rsidR="00C37C68" w:rsidRPr="0058641B" w:rsidRDefault="00C37C68" w:rsidP="00644DC1">
            <w:pPr>
              <w:keepLines/>
              <w:rPr>
                <w:rFonts w:ascii="Arial Narrow" w:hAnsi="Arial Narrow"/>
                <w:sz w:val="20"/>
                <w:szCs w:val="16"/>
              </w:rPr>
            </w:pPr>
          </w:p>
        </w:tc>
        <w:tc>
          <w:tcPr>
            <w:tcW w:w="1451" w:type="dxa"/>
          </w:tcPr>
          <w:p w14:paraId="623921B4"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ATZ</w:t>
            </w:r>
          </w:p>
        </w:tc>
        <w:tc>
          <w:tcPr>
            <w:tcW w:w="1646" w:type="dxa"/>
          </w:tcPr>
          <w:p w14:paraId="44CECF55"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BSC</w:t>
            </w:r>
          </w:p>
        </w:tc>
        <w:tc>
          <w:tcPr>
            <w:tcW w:w="1196" w:type="dxa"/>
          </w:tcPr>
          <w:p w14:paraId="4CF4BAA8" w14:textId="77777777" w:rsidR="00C37C68" w:rsidRPr="0058641B" w:rsidRDefault="00C37C68" w:rsidP="00644DC1">
            <w:pPr>
              <w:keepLines/>
              <w:jc w:val="center"/>
              <w:rPr>
                <w:rFonts w:ascii="Arial Narrow" w:hAnsi="Arial Narrow"/>
                <w:b/>
                <w:sz w:val="20"/>
                <w:szCs w:val="16"/>
              </w:rPr>
            </w:pPr>
            <w:r w:rsidRPr="0058641B">
              <w:rPr>
                <w:rFonts w:ascii="Arial Narrow" w:hAnsi="Arial Narrow"/>
                <w:b/>
                <w:sz w:val="20"/>
                <w:szCs w:val="16"/>
              </w:rPr>
              <w:t>Difference</w:t>
            </w:r>
          </w:p>
        </w:tc>
        <w:tc>
          <w:tcPr>
            <w:tcW w:w="1123" w:type="dxa"/>
          </w:tcPr>
          <w:p w14:paraId="63A9A382" w14:textId="77777777" w:rsidR="00C37C68" w:rsidRPr="0058641B" w:rsidRDefault="00C37C68" w:rsidP="00644DC1">
            <w:pPr>
              <w:keepLines/>
              <w:jc w:val="center"/>
              <w:rPr>
                <w:rFonts w:ascii="Arial Narrow" w:hAnsi="Arial Narrow"/>
                <w:sz w:val="20"/>
                <w:szCs w:val="16"/>
              </w:rPr>
            </w:pPr>
            <w:r w:rsidRPr="0058641B">
              <w:rPr>
                <w:rFonts w:ascii="Arial Narrow" w:hAnsi="Arial Narrow"/>
                <w:b/>
                <w:sz w:val="20"/>
                <w:szCs w:val="16"/>
              </w:rPr>
              <w:t>ATZ</w:t>
            </w:r>
          </w:p>
        </w:tc>
        <w:tc>
          <w:tcPr>
            <w:tcW w:w="1123" w:type="dxa"/>
          </w:tcPr>
          <w:p w14:paraId="7DF2A251" w14:textId="77777777" w:rsidR="00C37C68" w:rsidRPr="0058641B" w:rsidRDefault="00C37C68" w:rsidP="00644DC1">
            <w:pPr>
              <w:keepLines/>
              <w:jc w:val="center"/>
              <w:rPr>
                <w:rFonts w:ascii="Arial Narrow" w:hAnsi="Arial Narrow"/>
                <w:sz w:val="20"/>
                <w:szCs w:val="16"/>
              </w:rPr>
            </w:pPr>
            <w:r w:rsidRPr="0058641B">
              <w:rPr>
                <w:rFonts w:ascii="Arial Narrow" w:hAnsi="Arial Narrow"/>
                <w:b/>
                <w:sz w:val="20"/>
                <w:szCs w:val="16"/>
              </w:rPr>
              <w:t>BSC</w:t>
            </w:r>
          </w:p>
        </w:tc>
        <w:tc>
          <w:tcPr>
            <w:tcW w:w="1099" w:type="dxa"/>
          </w:tcPr>
          <w:p w14:paraId="6049F370" w14:textId="77777777" w:rsidR="00C37C68" w:rsidRPr="0058641B" w:rsidRDefault="00C37C68" w:rsidP="00644DC1">
            <w:pPr>
              <w:keepLines/>
              <w:jc w:val="center"/>
              <w:rPr>
                <w:rFonts w:ascii="Arial Narrow" w:hAnsi="Arial Narrow"/>
                <w:sz w:val="20"/>
                <w:szCs w:val="16"/>
              </w:rPr>
            </w:pPr>
            <w:r w:rsidRPr="0058641B">
              <w:rPr>
                <w:rFonts w:ascii="Arial Narrow" w:hAnsi="Arial Narrow"/>
                <w:b/>
                <w:sz w:val="20"/>
                <w:szCs w:val="16"/>
              </w:rPr>
              <w:t>Difference</w:t>
            </w:r>
          </w:p>
        </w:tc>
      </w:tr>
      <w:tr w:rsidR="009458BC" w:rsidRPr="0058641B" w14:paraId="235DA301" w14:textId="77777777" w:rsidTr="00C36990">
        <w:tc>
          <w:tcPr>
            <w:tcW w:w="1379" w:type="dxa"/>
          </w:tcPr>
          <w:p w14:paraId="19BE817E" w14:textId="1FE83B0C" w:rsidR="009458BC" w:rsidRPr="0058641B" w:rsidRDefault="009458BC" w:rsidP="00644DC1">
            <w:pPr>
              <w:keepLines/>
              <w:rPr>
                <w:rFonts w:ascii="Arial Narrow" w:hAnsi="Arial Narrow"/>
                <w:sz w:val="20"/>
                <w:szCs w:val="16"/>
              </w:rPr>
            </w:pPr>
            <w:r w:rsidRPr="0058641B">
              <w:rPr>
                <w:rFonts w:ascii="Arial Narrow" w:hAnsi="Arial Narrow"/>
                <w:sz w:val="20"/>
                <w:szCs w:val="16"/>
              </w:rPr>
              <w:t>Any recurrence (from DFS)</w:t>
            </w:r>
          </w:p>
        </w:tc>
        <w:tc>
          <w:tcPr>
            <w:tcW w:w="1451" w:type="dxa"/>
          </w:tcPr>
          <w:p w14:paraId="3C7A8AC0" w14:textId="1A393C29" w:rsidR="009458BC" w:rsidRPr="0058641B" w:rsidRDefault="009458BC"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29.4% (73/248)</w:t>
            </w:r>
            <w:r w:rsidRPr="0058641B">
              <w:rPr>
                <w:rFonts w:ascii="Arial Narrow" w:hAnsi="Arial Narrow"/>
                <w:sz w:val="20"/>
                <w:szCs w:val="16"/>
                <w:vertAlign w:val="superscript"/>
              </w:rPr>
              <w:t>a</w:t>
            </w:r>
          </w:p>
        </w:tc>
        <w:tc>
          <w:tcPr>
            <w:tcW w:w="1646" w:type="dxa"/>
          </w:tcPr>
          <w:p w14:paraId="4429C8A2" w14:textId="78C044B6" w:rsidR="009458BC" w:rsidRPr="0058641B" w:rsidRDefault="00C36990"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44.7% (102/228)</w:t>
            </w:r>
            <w:r w:rsidRPr="0058641B">
              <w:rPr>
                <w:rFonts w:ascii="Arial Narrow" w:hAnsi="Arial Narrow"/>
                <w:sz w:val="20"/>
                <w:szCs w:val="16"/>
                <w:vertAlign w:val="superscript"/>
              </w:rPr>
              <w:t>a</w:t>
            </w:r>
          </w:p>
        </w:tc>
        <w:tc>
          <w:tcPr>
            <w:tcW w:w="1196" w:type="dxa"/>
          </w:tcPr>
          <w:p w14:paraId="1202C360" w14:textId="706DF63D" w:rsidR="009458BC" w:rsidRPr="0058641B" w:rsidRDefault="00C36990" w:rsidP="00644DC1">
            <w:pPr>
              <w:keepLines/>
              <w:jc w:val="center"/>
              <w:rPr>
                <w:rFonts w:ascii="Arial Narrow" w:hAnsi="Arial Narrow"/>
                <w:sz w:val="20"/>
                <w:szCs w:val="16"/>
              </w:rPr>
            </w:pPr>
            <w:r w:rsidRPr="0058641B">
              <w:rPr>
                <w:rFonts w:ascii="Arial Narrow" w:hAnsi="Arial Narrow"/>
                <w:sz w:val="20"/>
                <w:szCs w:val="16"/>
              </w:rPr>
              <w:t>-15.3%</w:t>
            </w:r>
          </w:p>
        </w:tc>
        <w:tc>
          <w:tcPr>
            <w:tcW w:w="1123" w:type="dxa"/>
          </w:tcPr>
          <w:p w14:paraId="0F0DE928" w14:textId="35C5D885" w:rsidR="009458BC" w:rsidRPr="0058641B" w:rsidRDefault="00C36990" w:rsidP="00644DC1">
            <w:pPr>
              <w:keepLines/>
              <w:jc w:val="center"/>
              <w:rPr>
                <w:rFonts w:ascii="Arial Narrow" w:hAnsi="Arial Narrow"/>
                <w:sz w:val="20"/>
                <w:szCs w:val="16"/>
                <w:vertAlign w:val="superscript"/>
              </w:rPr>
            </w:pPr>
            <w:r w:rsidRPr="0058641B">
              <w:rPr>
                <w:rFonts w:ascii="Arial Narrow" w:hAnsi="Arial Narrow"/>
                <w:sz w:val="20"/>
                <w:szCs w:val="16"/>
              </w:rPr>
              <w:t>47.4%</w:t>
            </w:r>
            <w:r w:rsidRPr="0058641B">
              <w:rPr>
                <w:rFonts w:ascii="Arial Narrow" w:hAnsi="Arial Narrow"/>
                <w:sz w:val="20"/>
                <w:szCs w:val="16"/>
                <w:vertAlign w:val="superscript"/>
              </w:rPr>
              <w:t>i</w:t>
            </w:r>
          </w:p>
        </w:tc>
        <w:tc>
          <w:tcPr>
            <w:tcW w:w="1123" w:type="dxa"/>
          </w:tcPr>
          <w:p w14:paraId="23B66E9D" w14:textId="00404114" w:rsidR="009458BC" w:rsidRPr="0058641B" w:rsidRDefault="00C36990" w:rsidP="00644DC1">
            <w:pPr>
              <w:keepLines/>
              <w:jc w:val="center"/>
              <w:rPr>
                <w:rFonts w:ascii="Arial Narrow" w:hAnsi="Arial Narrow"/>
                <w:sz w:val="20"/>
                <w:szCs w:val="16"/>
                <w:vertAlign w:val="superscript"/>
              </w:rPr>
            </w:pPr>
            <w:r w:rsidRPr="0058641B">
              <w:rPr>
                <w:rFonts w:ascii="Arial Narrow" w:hAnsi="Arial Narrow"/>
                <w:sz w:val="20"/>
                <w:szCs w:val="16"/>
              </w:rPr>
              <w:t>57.6%</w:t>
            </w:r>
            <w:r w:rsidRPr="0058641B">
              <w:rPr>
                <w:rFonts w:ascii="Arial Narrow" w:hAnsi="Arial Narrow"/>
                <w:sz w:val="20"/>
                <w:szCs w:val="16"/>
                <w:vertAlign w:val="superscript"/>
              </w:rPr>
              <w:t>i</w:t>
            </w:r>
          </w:p>
        </w:tc>
        <w:tc>
          <w:tcPr>
            <w:tcW w:w="1099" w:type="dxa"/>
          </w:tcPr>
          <w:p w14:paraId="28BE30AA" w14:textId="72CC2343" w:rsidR="00C36990" w:rsidRPr="0058641B" w:rsidRDefault="00C36990" w:rsidP="00644DC1">
            <w:pPr>
              <w:keepLines/>
              <w:jc w:val="center"/>
              <w:rPr>
                <w:rFonts w:ascii="Arial Narrow" w:hAnsi="Arial Narrow"/>
                <w:sz w:val="20"/>
                <w:szCs w:val="16"/>
              </w:rPr>
            </w:pPr>
            <w:r w:rsidRPr="0058641B">
              <w:rPr>
                <w:rFonts w:ascii="Arial Narrow" w:hAnsi="Arial Narrow"/>
                <w:sz w:val="20"/>
                <w:szCs w:val="16"/>
              </w:rPr>
              <w:t>-10.3%</w:t>
            </w:r>
          </w:p>
        </w:tc>
      </w:tr>
      <w:tr w:rsidR="00C37C68" w:rsidRPr="0058641B" w14:paraId="241A096F" w14:textId="77777777" w:rsidTr="00C36990">
        <w:tc>
          <w:tcPr>
            <w:tcW w:w="1379" w:type="dxa"/>
          </w:tcPr>
          <w:p w14:paraId="5AE62C06" w14:textId="77777777" w:rsidR="00C37C68" w:rsidRPr="0058641B" w:rsidRDefault="00C37C68" w:rsidP="00644DC1">
            <w:pPr>
              <w:keepLines/>
              <w:rPr>
                <w:rFonts w:ascii="Arial Narrow" w:hAnsi="Arial Narrow"/>
                <w:sz w:val="20"/>
                <w:szCs w:val="16"/>
              </w:rPr>
            </w:pPr>
            <w:r w:rsidRPr="0058641B">
              <w:rPr>
                <w:rFonts w:ascii="Arial Narrow" w:hAnsi="Arial Narrow"/>
                <w:sz w:val="20"/>
                <w:szCs w:val="16"/>
              </w:rPr>
              <w:t>LRR events</w:t>
            </w:r>
          </w:p>
        </w:tc>
        <w:tc>
          <w:tcPr>
            <w:tcW w:w="1451" w:type="dxa"/>
          </w:tcPr>
          <w:p w14:paraId="4B33C60F"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14.5% (36/248)</w:t>
            </w:r>
            <w:r w:rsidRPr="0058641B">
              <w:rPr>
                <w:rFonts w:ascii="Arial Narrow" w:hAnsi="Arial Narrow"/>
                <w:sz w:val="20"/>
                <w:szCs w:val="16"/>
                <w:vertAlign w:val="superscript"/>
              </w:rPr>
              <w:t>a</w:t>
            </w:r>
          </w:p>
        </w:tc>
        <w:tc>
          <w:tcPr>
            <w:tcW w:w="1646" w:type="dxa"/>
          </w:tcPr>
          <w:p w14:paraId="1C420C29"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19.7% (45/228)</w:t>
            </w:r>
            <w:r w:rsidRPr="0058641B">
              <w:rPr>
                <w:rFonts w:ascii="Arial Narrow" w:hAnsi="Arial Narrow"/>
                <w:sz w:val="20"/>
                <w:szCs w:val="16"/>
                <w:vertAlign w:val="superscript"/>
              </w:rPr>
              <w:t>a</w:t>
            </w:r>
          </w:p>
        </w:tc>
        <w:tc>
          <w:tcPr>
            <w:tcW w:w="1196" w:type="dxa"/>
          </w:tcPr>
          <w:p w14:paraId="2CD94B26"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-5.2%</w:t>
            </w:r>
          </w:p>
        </w:tc>
        <w:tc>
          <w:tcPr>
            <w:tcW w:w="1123" w:type="dxa"/>
          </w:tcPr>
          <w:p w14:paraId="2724CADF"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23.4%</w:t>
            </w:r>
            <w:r w:rsidRPr="0058641B">
              <w:rPr>
                <w:rFonts w:ascii="Arial Narrow" w:hAnsi="Arial Narrow"/>
                <w:sz w:val="20"/>
                <w:szCs w:val="16"/>
                <w:vertAlign w:val="superscript"/>
              </w:rPr>
              <w:t>e</w:t>
            </w:r>
          </w:p>
        </w:tc>
        <w:tc>
          <w:tcPr>
            <w:tcW w:w="1123" w:type="dxa"/>
          </w:tcPr>
          <w:p w14:paraId="49878D3A"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25.4%</w:t>
            </w:r>
            <w:r w:rsidRPr="0058641B">
              <w:rPr>
                <w:rFonts w:ascii="Arial Narrow" w:hAnsi="Arial Narrow"/>
                <w:sz w:val="20"/>
                <w:szCs w:val="16"/>
                <w:vertAlign w:val="superscript"/>
              </w:rPr>
              <w:t>e</w:t>
            </w:r>
          </w:p>
        </w:tc>
        <w:tc>
          <w:tcPr>
            <w:tcW w:w="1099" w:type="dxa"/>
          </w:tcPr>
          <w:p w14:paraId="7041B718"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-2.1%</w:t>
            </w:r>
          </w:p>
        </w:tc>
      </w:tr>
      <w:tr w:rsidR="00C37C68" w:rsidRPr="0058641B" w14:paraId="1C8E6D13" w14:textId="77777777" w:rsidTr="00C36990">
        <w:tc>
          <w:tcPr>
            <w:tcW w:w="1379" w:type="dxa"/>
          </w:tcPr>
          <w:p w14:paraId="15E8A897" w14:textId="77777777" w:rsidR="00C37C68" w:rsidRPr="0058641B" w:rsidRDefault="00C37C68" w:rsidP="00644DC1">
            <w:pPr>
              <w:keepLines/>
              <w:rPr>
                <w:rFonts w:ascii="Arial Narrow" w:hAnsi="Arial Narrow"/>
                <w:sz w:val="20"/>
                <w:szCs w:val="16"/>
              </w:rPr>
            </w:pPr>
            <w:r w:rsidRPr="0058641B">
              <w:rPr>
                <w:rFonts w:ascii="Arial Narrow" w:hAnsi="Arial Narrow"/>
                <w:sz w:val="20"/>
                <w:szCs w:val="16"/>
              </w:rPr>
              <w:t>1L DR events</w:t>
            </w:r>
          </w:p>
        </w:tc>
        <w:tc>
          <w:tcPr>
            <w:tcW w:w="1451" w:type="dxa"/>
          </w:tcPr>
          <w:p w14:paraId="1998645A"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14.9% (37/248)</w:t>
            </w:r>
            <w:proofErr w:type="spellStart"/>
            <w:r w:rsidRPr="0058641B">
              <w:rPr>
                <w:rFonts w:ascii="Arial Narrow" w:hAnsi="Arial Narrow"/>
                <w:sz w:val="20"/>
                <w:szCs w:val="16"/>
                <w:vertAlign w:val="superscript"/>
              </w:rPr>
              <w:t>a,b</w:t>
            </w:r>
            <w:proofErr w:type="spellEnd"/>
          </w:p>
        </w:tc>
        <w:tc>
          <w:tcPr>
            <w:tcW w:w="1646" w:type="dxa"/>
          </w:tcPr>
          <w:p w14:paraId="064E8CB7"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25.0% (57/228)</w:t>
            </w:r>
            <w:proofErr w:type="spellStart"/>
            <w:r w:rsidRPr="0058641B">
              <w:rPr>
                <w:rFonts w:ascii="Arial Narrow" w:hAnsi="Arial Narrow"/>
                <w:sz w:val="20"/>
                <w:szCs w:val="16"/>
                <w:vertAlign w:val="superscript"/>
              </w:rPr>
              <w:t>a,b</w:t>
            </w:r>
            <w:proofErr w:type="spellEnd"/>
          </w:p>
        </w:tc>
        <w:tc>
          <w:tcPr>
            <w:tcW w:w="1196" w:type="dxa"/>
          </w:tcPr>
          <w:p w14:paraId="0E790EEB"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-10.1%</w:t>
            </w:r>
          </w:p>
        </w:tc>
        <w:tc>
          <w:tcPr>
            <w:tcW w:w="1123" w:type="dxa"/>
          </w:tcPr>
          <w:p w14:paraId="553DF6F5" w14:textId="77777777" w:rsidR="00C37C68" w:rsidRPr="0058641B" w:rsidRDefault="00C37C68" w:rsidP="00644DC1">
            <w:pPr>
              <w:keepLines/>
              <w:jc w:val="center"/>
              <w:rPr>
                <w:rFonts w:ascii="Arial Narrow" w:hAnsi="Arial Narrow"/>
                <w:sz w:val="20"/>
                <w:szCs w:val="16"/>
                <w:vertAlign w:val="subscript"/>
              </w:rPr>
            </w:pPr>
            <w:r w:rsidRPr="0058641B">
              <w:rPr>
                <w:rFonts w:ascii="Arial Narrow" w:hAnsi="Arial Narrow"/>
                <w:sz w:val="20"/>
                <w:szCs w:val="16"/>
              </w:rPr>
              <w:t>46.9%</w:t>
            </w:r>
            <w:r w:rsidRPr="0058641B">
              <w:rPr>
                <w:rFonts w:ascii="Arial Narrow" w:hAnsi="Arial Narrow"/>
                <w:sz w:val="20"/>
                <w:szCs w:val="16"/>
                <w:vertAlign w:val="superscript"/>
              </w:rPr>
              <w:t>f</w:t>
            </w:r>
          </w:p>
        </w:tc>
        <w:tc>
          <w:tcPr>
            <w:tcW w:w="1123" w:type="dxa"/>
          </w:tcPr>
          <w:p w14:paraId="4537E793"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57.4%</w:t>
            </w:r>
            <w:r w:rsidRPr="0058641B">
              <w:rPr>
                <w:rFonts w:ascii="Arial Narrow" w:hAnsi="Arial Narrow"/>
                <w:sz w:val="20"/>
                <w:szCs w:val="16"/>
                <w:vertAlign w:val="superscript"/>
              </w:rPr>
              <w:t>f</w:t>
            </w:r>
          </w:p>
        </w:tc>
        <w:tc>
          <w:tcPr>
            <w:tcW w:w="1099" w:type="dxa"/>
          </w:tcPr>
          <w:p w14:paraId="0CBBD2B0"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-10.5%</w:t>
            </w:r>
          </w:p>
        </w:tc>
      </w:tr>
      <w:tr w:rsidR="00C37C68" w:rsidRPr="0058641B" w14:paraId="245CF9BA" w14:textId="77777777" w:rsidTr="00C36990">
        <w:tc>
          <w:tcPr>
            <w:tcW w:w="1379" w:type="dxa"/>
          </w:tcPr>
          <w:p w14:paraId="1EFB4227" w14:textId="77777777" w:rsidR="00C37C68" w:rsidRPr="0058641B" w:rsidRDefault="00C37C68" w:rsidP="00644DC1">
            <w:pPr>
              <w:keepLines/>
              <w:rPr>
                <w:rFonts w:ascii="Arial Narrow" w:hAnsi="Arial Narrow"/>
                <w:sz w:val="20"/>
                <w:szCs w:val="16"/>
              </w:rPr>
            </w:pPr>
            <w:r w:rsidRPr="0058641B">
              <w:rPr>
                <w:rFonts w:ascii="Arial Narrow" w:hAnsi="Arial Narrow"/>
                <w:sz w:val="20"/>
                <w:szCs w:val="16"/>
              </w:rPr>
              <w:t>Deaths</w:t>
            </w:r>
          </w:p>
        </w:tc>
        <w:tc>
          <w:tcPr>
            <w:tcW w:w="1451" w:type="dxa"/>
          </w:tcPr>
          <w:p w14:paraId="28259A40"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16.9% (42/248)</w:t>
            </w:r>
            <w:r w:rsidRPr="0058641B">
              <w:rPr>
                <w:rFonts w:ascii="Arial Narrow" w:hAnsi="Arial Narrow"/>
                <w:sz w:val="20"/>
                <w:szCs w:val="16"/>
                <w:vertAlign w:val="superscript"/>
              </w:rPr>
              <w:t>c</w:t>
            </w:r>
          </w:p>
        </w:tc>
        <w:tc>
          <w:tcPr>
            <w:tcW w:w="1646" w:type="dxa"/>
          </w:tcPr>
          <w:p w14:paraId="459B590C"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21.1% (48/228)</w:t>
            </w:r>
            <w:r w:rsidRPr="0058641B">
              <w:rPr>
                <w:rFonts w:ascii="Arial Narrow" w:hAnsi="Arial Narrow"/>
                <w:sz w:val="20"/>
                <w:szCs w:val="16"/>
                <w:vertAlign w:val="superscript"/>
              </w:rPr>
              <w:t>c</w:t>
            </w:r>
          </w:p>
        </w:tc>
        <w:tc>
          <w:tcPr>
            <w:tcW w:w="1196" w:type="dxa"/>
          </w:tcPr>
          <w:p w14:paraId="73B40C5B"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-4.2%</w:t>
            </w:r>
          </w:p>
        </w:tc>
        <w:tc>
          <w:tcPr>
            <w:tcW w:w="1123" w:type="dxa"/>
          </w:tcPr>
          <w:p w14:paraId="5D4AE795"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69.6%</w:t>
            </w:r>
            <w:r w:rsidRPr="0058641B">
              <w:rPr>
                <w:rFonts w:ascii="Arial Narrow" w:hAnsi="Arial Narrow"/>
                <w:sz w:val="20"/>
                <w:szCs w:val="16"/>
                <w:vertAlign w:val="superscript"/>
              </w:rPr>
              <w:t>g</w:t>
            </w:r>
          </w:p>
        </w:tc>
        <w:tc>
          <w:tcPr>
            <w:tcW w:w="1123" w:type="dxa"/>
          </w:tcPr>
          <w:p w14:paraId="1DA327F5"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75.7%</w:t>
            </w:r>
            <w:r w:rsidRPr="0058641B">
              <w:rPr>
                <w:rFonts w:ascii="Arial Narrow" w:hAnsi="Arial Narrow"/>
                <w:sz w:val="20"/>
                <w:szCs w:val="16"/>
                <w:vertAlign w:val="superscript"/>
              </w:rPr>
              <w:t>g</w:t>
            </w:r>
          </w:p>
        </w:tc>
        <w:tc>
          <w:tcPr>
            <w:tcW w:w="1099" w:type="dxa"/>
          </w:tcPr>
          <w:p w14:paraId="174099E7"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-6.0%</w:t>
            </w:r>
          </w:p>
        </w:tc>
      </w:tr>
      <w:tr w:rsidR="00C37C68" w:rsidRPr="0058641B" w14:paraId="1DDE0865" w14:textId="77777777" w:rsidTr="00C36990">
        <w:tc>
          <w:tcPr>
            <w:tcW w:w="1379" w:type="dxa"/>
          </w:tcPr>
          <w:p w14:paraId="1DE52100" w14:textId="77777777" w:rsidR="00C37C68" w:rsidRPr="0058641B" w:rsidRDefault="00C37C68" w:rsidP="00644DC1">
            <w:pPr>
              <w:keepLines/>
              <w:jc w:val="left"/>
              <w:rPr>
                <w:rFonts w:ascii="Arial Narrow" w:hAnsi="Arial Narrow"/>
                <w:sz w:val="20"/>
                <w:szCs w:val="16"/>
              </w:rPr>
            </w:pPr>
            <w:r w:rsidRPr="0058641B">
              <w:rPr>
                <w:rFonts w:ascii="Arial Narrow" w:hAnsi="Arial Narrow"/>
                <w:sz w:val="20"/>
                <w:szCs w:val="16"/>
              </w:rPr>
              <w:t>Life years (undiscounted)</w:t>
            </w:r>
          </w:p>
        </w:tc>
        <w:tc>
          <w:tcPr>
            <w:tcW w:w="1451" w:type="dxa"/>
          </w:tcPr>
          <w:p w14:paraId="7A2FBAF6"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2.556</w:t>
            </w:r>
            <w:r w:rsidRPr="0058641B">
              <w:rPr>
                <w:rFonts w:ascii="Arial Narrow" w:hAnsi="Arial Narrow"/>
                <w:sz w:val="20"/>
                <w:szCs w:val="16"/>
                <w:vertAlign w:val="superscript"/>
              </w:rPr>
              <w:t>d</w:t>
            </w:r>
          </w:p>
        </w:tc>
        <w:tc>
          <w:tcPr>
            <w:tcW w:w="1646" w:type="dxa"/>
          </w:tcPr>
          <w:p w14:paraId="142477E4" w14:textId="77777777" w:rsidR="00C37C68" w:rsidRPr="0058641B" w:rsidRDefault="00C37C68" w:rsidP="00644DC1">
            <w:pPr>
              <w:keepLines/>
              <w:ind w:left="-57" w:right="-57"/>
              <w:jc w:val="center"/>
              <w:rPr>
                <w:rFonts w:ascii="Arial Narrow" w:hAnsi="Arial Narrow"/>
                <w:sz w:val="20"/>
                <w:szCs w:val="16"/>
                <w:vertAlign w:val="superscript"/>
              </w:rPr>
            </w:pPr>
            <w:r w:rsidRPr="0058641B">
              <w:rPr>
                <w:rFonts w:ascii="Arial Narrow" w:hAnsi="Arial Narrow"/>
                <w:sz w:val="20"/>
                <w:szCs w:val="16"/>
              </w:rPr>
              <w:t>2.505</w:t>
            </w:r>
            <w:r w:rsidRPr="0058641B">
              <w:rPr>
                <w:rFonts w:ascii="Arial Narrow" w:hAnsi="Arial Narrow"/>
                <w:sz w:val="20"/>
                <w:szCs w:val="16"/>
                <w:vertAlign w:val="superscript"/>
              </w:rPr>
              <w:t>d</w:t>
            </w:r>
          </w:p>
        </w:tc>
        <w:tc>
          <w:tcPr>
            <w:tcW w:w="1196" w:type="dxa"/>
          </w:tcPr>
          <w:p w14:paraId="56181781"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0.051</w:t>
            </w:r>
          </w:p>
        </w:tc>
        <w:tc>
          <w:tcPr>
            <w:tcW w:w="1123" w:type="dxa"/>
          </w:tcPr>
          <w:p w14:paraId="754A9A1C"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13.184</w:t>
            </w:r>
            <w:r w:rsidRPr="0058641B">
              <w:rPr>
                <w:rFonts w:ascii="Arial Narrow" w:hAnsi="Arial Narrow"/>
                <w:sz w:val="20"/>
                <w:szCs w:val="16"/>
                <w:vertAlign w:val="superscript"/>
              </w:rPr>
              <w:t>h</w:t>
            </w:r>
          </w:p>
        </w:tc>
        <w:tc>
          <w:tcPr>
            <w:tcW w:w="1123" w:type="dxa"/>
          </w:tcPr>
          <w:p w14:paraId="4A0713BD" w14:textId="77777777" w:rsidR="00C37C68" w:rsidRPr="0058641B" w:rsidRDefault="00C37C68" w:rsidP="00644DC1">
            <w:pPr>
              <w:keepLines/>
              <w:jc w:val="center"/>
              <w:rPr>
                <w:rFonts w:ascii="Arial Narrow" w:hAnsi="Arial Narrow"/>
                <w:sz w:val="20"/>
                <w:szCs w:val="16"/>
                <w:vertAlign w:val="superscript"/>
              </w:rPr>
            </w:pPr>
            <w:r w:rsidRPr="0058641B">
              <w:rPr>
                <w:rFonts w:ascii="Arial Narrow" w:hAnsi="Arial Narrow"/>
                <w:sz w:val="20"/>
                <w:szCs w:val="16"/>
              </w:rPr>
              <w:t>11.310</w:t>
            </w:r>
            <w:r w:rsidRPr="0058641B">
              <w:rPr>
                <w:rFonts w:ascii="Arial Narrow" w:hAnsi="Arial Narrow"/>
                <w:sz w:val="20"/>
                <w:szCs w:val="16"/>
                <w:vertAlign w:val="superscript"/>
              </w:rPr>
              <w:t>h</w:t>
            </w:r>
          </w:p>
        </w:tc>
        <w:tc>
          <w:tcPr>
            <w:tcW w:w="1099" w:type="dxa"/>
          </w:tcPr>
          <w:p w14:paraId="0C8D2556" w14:textId="77777777" w:rsidR="00C37C68" w:rsidRPr="0058641B" w:rsidRDefault="00C37C68" w:rsidP="00644DC1">
            <w:pPr>
              <w:keepLines/>
              <w:jc w:val="center"/>
              <w:rPr>
                <w:rFonts w:ascii="Arial Narrow" w:hAnsi="Arial Narrow"/>
                <w:sz w:val="20"/>
                <w:szCs w:val="16"/>
              </w:rPr>
            </w:pPr>
            <w:r w:rsidRPr="0058641B">
              <w:rPr>
                <w:rFonts w:ascii="Arial Narrow" w:hAnsi="Arial Narrow"/>
                <w:sz w:val="20"/>
                <w:szCs w:val="16"/>
              </w:rPr>
              <w:t>1.874</w:t>
            </w:r>
          </w:p>
        </w:tc>
      </w:tr>
    </w:tbl>
    <w:p w14:paraId="69F4CE59" w14:textId="77777777" w:rsidR="00C37C68" w:rsidRPr="0058641B" w:rsidRDefault="00C37C68" w:rsidP="00644DC1">
      <w:pPr>
        <w:pStyle w:val="TableFigureFooter"/>
        <w:keepLines/>
      </w:pPr>
      <w:r w:rsidRPr="0058641B">
        <w:t>Source: Table compiled during the evaluation, based on the “Economic Evaluation” Excel workbook”</w:t>
      </w:r>
    </w:p>
    <w:p w14:paraId="6F9D2D5B" w14:textId="77777777" w:rsidR="00C37C68" w:rsidRPr="0058641B" w:rsidRDefault="00C37C68" w:rsidP="00644DC1">
      <w:pPr>
        <w:pStyle w:val="TableFigureFooter"/>
        <w:keepLines/>
      </w:pPr>
      <w:r w:rsidRPr="0058641B">
        <w:t>1L DR = first-line distant recurrence; ATZ = atezolizumab; BSC = best supportive care; DFS = disease-free survival; LRR = locoregional recurrence; NSCLC = non-small cell lung cancer; PD-L1 = programmed cell death ligand 1</w:t>
      </w:r>
    </w:p>
    <w:p w14:paraId="7BE1F404" w14:textId="77777777" w:rsidR="00C37C68" w:rsidRPr="0058641B" w:rsidRDefault="00C37C68" w:rsidP="00644DC1">
      <w:pPr>
        <w:pStyle w:val="TableFigureFooter"/>
        <w:keepLines/>
      </w:pPr>
      <w:r w:rsidRPr="0058641B">
        <w:rPr>
          <w:vertAlign w:val="superscript"/>
        </w:rPr>
        <w:t xml:space="preserve">a </w:t>
      </w:r>
      <w:r w:rsidRPr="0058641B">
        <w:t>Data derived from Cells C12:D18 in the ‘Transition Inputs’ spreadsheet</w:t>
      </w:r>
    </w:p>
    <w:p w14:paraId="265B3650" w14:textId="77777777" w:rsidR="00C37C68" w:rsidRPr="0058641B" w:rsidRDefault="00C37C68" w:rsidP="00644DC1">
      <w:pPr>
        <w:pStyle w:val="TableFigureFooter"/>
        <w:keepLines/>
        <w:rPr>
          <w:iCs/>
        </w:rPr>
      </w:pPr>
      <w:r w:rsidRPr="0058641B">
        <w:rPr>
          <w:iCs/>
          <w:vertAlign w:val="superscript"/>
        </w:rPr>
        <w:t xml:space="preserve">b </w:t>
      </w:r>
      <w:r w:rsidRPr="0058641B">
        <w:rPr>
          <w:iCs/>
        </w:rPr>
        <w:t xml:space="preserve">Only including patients transitioning from DFS directly to 1L DR. Data on the number of 1L DR events from LRR during the trial period of IMpower010 were not available.  </w:t>
      </w:r>
    </w:p>
    <w:p w14:paraId="143F7474" w14:textId="77777777" w:rsidR="00C37C68" w:rsidRPr="0058641B" w:rsidRDefault="00C37C68" w:rsidP="00644DC1">
      <w:pPr>
        <w:pStyle w:val="TableFigureFooter"/>
        <w:keepLines/>
        <w:rPr>
          <w:iCs/>
        </w:rPr>
      </w:pPr>
      <w:r w:rsidRPr="0058641B">
        <w:rPr>
          <w:iCs/>
          <w:vertAlign w:val="superscript"/>
        </w:rPr>
        <w:t xml:space="preserve">c </w:t>
      </w:r>
      <w:r w:rsidRPr="0058641B">
        <w:rPr>
          <w:iCs/>
        </w:rPr>
        <w:t xml:space="preserve">Data sourced from Table 2.17, p43 of the submission. </w:t>
      </w:r>
    </w:p>
    <w:p w14:paraId="6163545D" w14:textId="77777777" w:rsidR="00C37C68" w:rsidRPr="0058641B" w:rsidRDefault="00C37C68" w:rsidP="00644DC1">
      <w:pPr>
        <w:pStyle w:val="TableFigureFooter"/>
        <w:keepLines/>
        <w:rPr>
          <w:iCs/>
        </w:rPr>
      </w:pPr>
      <w:r w:rsidRPr="0058641B">
        <w:rPr>
          <w:iCs/>
          <w:vertAlign w:val="superscript"/>
        </w:rPr>
        <w:t>d</w:t>
      </w:r>
      <w:r w:rsidRPr="0058641B">
        <w:rPr>
          <w:iCs/>
        </w:rPr>
        <w:t xml:space="preserve"> Mean life years: Cells G14 and J14 in the ‘Results’ spreadsheet, after changing Cell D5 ‘Results’ (step selection) into “Step 1’ and Cell E9 ‘Model Inputs’ (discounting rate for health outcomes) into 0%.</w:t>
      </w:r>
    </w:p>
    <w:p w14:paraId="3AA865E7" w14:textId="77777777" w:rsidR="00C37C68" w:rsidRPr="0058641B" w:rsidRDefault="00C37C68" w:rsidP="00644DC1">
      <w:pPr>
        <w:pStyle w:val="TableFigureFooter"/>
        <w:keepLines/>
        <w:rPr>
          <w:iCs/>
        </w:rPr>
      </w:pPr>
      <w:r w:rsidRPr="0058641B">
        <w:rPr>
          <w:iCs/>
          <w:vertAlign w:val="superscript"/>
        </w:rPr>
        <w:t xml:space="preserve">e </w:t>
      </w:r>
      <w:r w:rsidRPr="0058641B">
        <w:rPr>
          <w:iCs/>
        </w:rPr>
        <w:t>Sum(U9:U1313) in the ‘Atezolizumab’ spreadsheet or in the ‘Best Supportive care’ spreadsheet (accumulated transitions from DFS to LRR)</w:t>
      </w:r>
    </w:p>
    <w:p w14:paraId="695A1AE5" w14:textId="77777777" w:rsidR="00C37C68" w:rsidRPr="0058641B" w:rsidRDefault="00C37C68" w:rsidP="00644DC1">
      <w:pPr>
        <w:pStyle w:val="TableFigureFooter"/>
        <w:keepLines/>
        <w:rPr>
          <w:iCs/>
        </w:rPr>
      </w:pPr>
      <w:r w:rsidRPr="0058641B">
        <w:rPr>
          <w:iCs/>
          <w:vertAlign w:val="superscript"/>
        </w:rPr>
        <w:t xml:space="preserve">f </w:t>
      </w:r>
      <w:r w:rsidRPr="0058641B">
        <w:rPr>
          <w:iCs/>
        </w:rPr>
        <w:t>Sum(T9:T1313)+Sum(X9:X1313) in the ‘Atezolizumab’ spreadsheet or in the ‘Best Supportive care’ spreadsheet (accumulated transitions from DFS to 1L DR plus accumulated transitions from LRR to 1L DR)</w:t>
      </w:r>
    </w:p>
    <w:p w14:paraId="40C6A413" w14:textId="77777777" w:rsidR="00C37C68" w:rsidRPr="0058641B" w:rsidRDefault="00C37C68" w:rsidP="00644DC1">
      <w:pPr>
        <w:pStyle w:val="TableFigureFooter"/>
        <w:keepLines/>
        <w:rPr>
          <w:iCs/>
        </w:rPr>
      </w:pPr>
      <w:r w:rsidRPr="0058641B">
        <w:rPr>
          <w:iCs/>
          <w:vertAlign w:val="superscript"/>
        </w:rPr>
        <w:t xml:space="preserve">g </w:t>
      </w:r>
      <w:r w:rsidRPr="0058641B">
        <w:rPr>
          <w:iCs/>
        </w:rPr>
        <w:t xml:space="preserve">Cell AD1313 in the ‘Atezolizumab’ spreadsheet or in the ‘Best Supportive care’ spreadsheet (cumulative death at Cycle 1304 (= end of 25-year time horizon)) </w:t>
      </w:r>
    </w:p>
    <w:p w14:paraId="1F91416C" w14:textId="45B11DD5" w:rsidR="00C37C68" w:rsidRPr="0058641B" w:rsidRDefault="00C37C68" w:rsidP="00644DC1">
      <w:pPr>
        <w:pStyle w:val="TableFigureFooter"/>
        <w:keepLines/>
        <w:rPr>
          <w:iCs/>
        </w:rPr>
      </w:pPr>
      <w:r w:rsidRPr="0058641B">
        <w:rPr>
          <w:iCs/>
          <w:vertAlign w:val="superscript"/>
        </w:rPr>
        <w:lastRenderedPageBreak/>
        <w:t>h</w:t>
      </w:r>
      <w:r w:rsidRPr="0058641B">
        <w:rPr>
          <w:iCs/>
        </w:rPr>
        <w:t xml:space="preserve"> Mean life years: Cells G14 and J14 in the ‘Results’ spreadsheet, after changing Cell D5 ‘Results’ (step selection) into “Step 8’ and Cell E9 ‘Model Inputs’ (discounting rate for health outcomes) into 0%.</w:t>
      </w:r>
    </w:p>
    <w:p w14:paraId="36D24B85" w14:textId="45CA811F" w:rsidR="00C36990" w:rsidRPr="0058641B" w:rsidRDefault="00C36990" w:rsidP="00644DC1">
      <w:pPr>
        <w:pStyle w:val="TableFigureFooter"/>
        <w:keepLines/>
        <w:rPr>
          <w:iCs/>
        </w:rPr>
      </w:pPr>
      <w:proofErr w:type="spellStart"/>
      <w:r w:rsidRPr="0058641B">
        <w:rPr>
          <w:iCs/>
          <w:vertAlign w:val="superscript"/>
        </w:rPr>
        <w:t>i</w:t>
      </w:r>
      <w:proofErr w:type="spellEnd"/>
      <w:r w:rsidRPr="0058641B">
        <w:rPr>
          <w:iCs/>
          <w:vertAlign w:val="superscript"/>
        </w:rPr>
        <w:t xml:space="preserve">  </w:t>
      </w:r>
      <w:r w:rsidRPr="0058641B">
        <w:rPr>
          <w:iCs/>
        </w:rPr>
        <w:t xml:space="preserve">Sum(T9:T1313)+Sum(U9:U1313) in the ‘Atezolizumab’ spreadsheet or in the ‘Best Supportive care’ spreadsheet (accumulated transitions from DFS to LRR plus accumulated transitions from DFS to 1L DR). Of note, </w:t>
      </w:r>
      <w:r w:rsidR="008049EB" w:rsidRPr="0058641B">
        <w:rPr>
          <w:iCs/>
        </w:rPr>
        <w:t xml:space="preserve">in the economic model, </w:t>
      </w:r>
      <w:r w:rsidRPr="0058641B">
        <w:rPr>
          <w:iCs/>
        </w:rPr>
        <w:t>any recurrence is not the sum of LRR and 1L DR, as patients who experience a LRR could later develop a 1L DR.</w:t>
      </w:r>
    </w:p>
    <w:p w14:paraId="4859FFD1" w14:textId="68420D27" w:rsidR="00C37C68" w:rsidRPr="0058641B" w:rsidRDefault="00C37C68" w:rsidP="00C37C68">
      <w:pPr>
        <w:pStyle w:val="3-BodyText"/>
        <w:rPr>
          <w:iCs/>
        </w:rPr>
      </w:pPr>
      <w:r w:rsidRPr="0058641B">
        <w:t xml:space="preserve">The proportion of patients who experienced a LRR event in the ATZ arm increased from 14.5% in IMpower010 (median follow-up of 32.2 months) to 23.4% by the end of the 25-year time horizon. The corresponding proportion in the BSC arm increased from 19.7% in the trial to 25.4% in the economic model. </w:t>
      </w:r>
      <w:r w:rsidRPr="0058641B">
        <w:rPr>
          <w:iCs/>
        </w:rPr>
        <w:t>The absolute difference between the two treatment arms was smaller at the end of the model time horizon than in the trial because over time a higher proportion of patients transitioned from DFS to LRR in the ATZ arm, compared with the BSC arm, due to a higher proportion of patient at risk (i.e. remaining in DFS) (</w:t>
      </w:r>
      <w:r w:rsidR="009314E7" w:rsidRPr="0058641B">
        <w:rPr>
          <w:iCs/>
        </w:rPr>
        <w:fldChar w:fldCharType="begin"/>
      </w:r>
      <w:r w:rsidR="009314E7" w:rsidRPr="0058641B">
        <w:rPr>
          <w:iCs/>
        </w:rPr>
        <w:instrText xml:space="preserve"> REF _Ref100332699 \h  \* MERGEFORMAT </w:instrText>
      </w:r>
      <w:r w:rsidR="009314E7" w:rsidRPr="0058641B">
        <w:rPr>
          <w:iCs/>
        </w:rPr>
      </w:r>
      <w:r w:rsidR="009314E7" w:rsidRPr="0058641B">
        <w:rPr>
          <w:iCs/>
        </w:rPr>
        <w:fldChar w:fldCharType="separate"/>
      </w:r>
      <w:r w:rsidR="0043151A" w:rsidRPr="0043151A">
        <w:rPr>
          <w:iCs/>
        </w:rPr>
        <w:t>Figure 8</w:t>
      </w:r>
      <w:r w:rsidR="009314E7" w:rsidRPr="0058641B">
        <w:rPr>
          <w:iCs/>
        </w:rPr>
        <w:fldChar w:fldCharType="end"/>
      </w:r>
      <w:r w:rsidRPr="0058641B">
        <w:rPr>
          <w:iCs/>
        </w:rPr>
        <w:t xml:space="preserve">). The results of 1L DR events between the trial and the model were difficult to interpret, as IMpower010 only provided the number of patients transitioning from DFS to 1L DR; and the trial data on the number of patients developed DR via LRR following adjuvant ATZ and BSC were not available. The proportion of patients who died increased from 16.9% to 69.6% in the ATZ arm and from 21.1% to 75.7% in the BSC arm during the extrapolation period. A comparison of the trial results and the model results suggested that the main benefit of adjuvant ATZ relative to BSC over the 25-year time horizon was delaying and preventing disease recurrence, and thus death events. The incremental LYG increased from 0.051 during the trial period to an extrapolated 1.874 at Year 25.  </w:t>
      </w:r>
    </w:p>
    <w:p w14:paraId="42906169" w14:textId="300028CA" w:rsidR="004B69BC" w:rsidRPr="004B69BC" w:rsidRDefault="00C37C68" w:rsidP="004B69BC">
      <w:pPr>
        <w:pStyle w:val="ListParagraph"/>
        <w:numPr>
          <w:ilvl w:val="1"/>
          <w:numId w:val="1"/>
        </w:numPr>
        <w:spacing w:after="160"/>
        <w:rPr>
          <w:i/>
          <w:iCs/>
        </w:rPr>
      </w:pPr>
      <w:r w:rsidRPr="0058641B">
        <w:t xml:space="preserve">Results of univariate and multivariate sensitivity analyses specified by the submission </w:t>
      </w:r>
      <w:r w:rsidRPr="004B69BC">
        <w:rPr>
          <w:iCs/>
        </w:rPr>
        <w:t xml:space="preserve">and additional analyses conducted during the evaluation are presented in </w:t>
      </w:r>
      <w:r w:rsidR="009314E7" w:rsidRPr="004B69BC">
        <w:rPr>
          <w:iCs/>
        </w:rPr>
        <w:fldChar w:fldCharType="begin"/>
      </w:r>
      <w:r w:rsidR="009314E7" w:rsidRPr="004B69BC">
        <w:rPr>
          <w:iCs/>
        </w:rPr>
        <w:instrText xml:space="preserve"> REF _Ref100333743 \h  \* MERGEFORMAT </w:instrText>
      </w:r>
      <w:r w:rsidR="009314E7" w:rsidRPr="004B69BC">
        <w:rPr>
          <w:iCs/>
        </w:rPr>
      </w:r>
      <w:r w:rsidR="009314E7" w:rsidRPr="004B69BC">
        <w:rPr>
          <w:iCs/>
        </w:rPr>
        <w:fldChar w:fldCharType="separate"/>
      </w:r>
      <w:r w:rsidR="0043151A" w:rsidRPr="0043151A">
        <w:rPr>
          <w:iCs/>
        </w:rPr>
        <w:t>Figure 10</w:t>
      </w:r>
      <w:r w:rsidR="009314E7" w:rsidRPr="004B69BC">
        <w:rPr>
          <w:iCs/>
        </w:rPr>
        <w:fldChar w:fldCharType="end"/>
      </w:r>
      <w:r w:rsidR="009314E7" w:rsidRPr="004B69BC">
        <w:rPr>
          <w:iCs/>
        </w:rPr>
        <w:t xml:space="preserve"> </w:t>
      </w:r>
      <w:r w:rsidR="00D72CC6" w:rsidRPr="004B69BC">
        <w:rPr>
          <w:iCs/>
        </w:rPr>
        <w:t>and</w:t>
      </w:r>
      <w:r w:rsidR="004B69BC">
        <w:rPr>
          <w:iCs/>
        </w:rPr>
        <w:t xml:space="preserve"> </w:t>
      </w:r>
      <w:r w:rsidR="004B69BC">
        <w:rPr>
          <w:iCs/>
        </w:rPr>
        <w:fldChar w:fldCharType="begin"/>
      </w:r>
      <w:r w:rsidR="004B69BC">
        <w:rPr>
          <w:iCs/>
        </w:rPr>
        <w:instrText xml:space="preserve"> REF _Ref109677820 \h </w:instrText>
      </w:r>
      <w:r w:rsidR="004B69BC">
        <w:rPr>
          <w:iCs/>
        </w:rPr>
      </w:r>
      <w:r w:rsidR="004B69BC">
        <w:rPr>
          <w:iCs/>
        </w:rPr>
        <w:fldChar w:fldCharType="separate"/>
      </w:r>
      <w:r w:rsidR="0043151A" w:rsidRPr="0058641B">
        <w:rPr>
          <w:iCs/>
        </w:rPr>
        <w:t xml:space="preserve">Table </w:t>
      </w:r>
      <w:r w:rsidR="0043151A">
        <w:rPr>
          <w:iCs/>
          <w:noProof/>
        </w:rPr>
        <w:t>16</w:t>
      </w:r>
      <w:r w:rsidR="004B69BC">
        <w:rPr>
          <w:iCs/>
        </w:rPr>
        <w:fldChar w:fldCharType="end"/>
      </w:r>
      <w:r w:rsidR="004B69BC">
        <w:rPr>
          <w:iCs/>
        </w:rPr>
        <w:t>.</w:t>
      </w:r>
    </w:p>
    <w:p w14:paraId="65F6F949" w14:textId="2E7433AC" w:rsidR="00C37C68" w:rsidRPr="0058641B" w:rsidRDefault="00C37C68" w:rsidP="00C37C68">
      <w:pPr>
        <w:pStyle w:val="TableFigureHeading"/>
      </w:pPr>
      <w:bookmarkStart w:id="61" w:name="_Ref100333743"/>
      <w:r w:rsidRPr="0058641B">
        <w:rPr>
          <w:bCs w:val="0"/>
        </w:rPr>
        <w:t xml:space="preserve">Figure </w:t>
      </w:r>
      <w:r w:rsidRPr="0058641B">
        <w:rPr>
          <w:bCs w:val="0"/>
        </w:rPr>
        <w:fldChar w:fldCharType="begin"/>
      </w:r>
      <w:r w:rsidRPr="0058641B">
        <w:rPr>
          <w:bCs w:val="0"/>
        </w:rPr>
        <w:instrText xml:space="preserve"> SEQ Figure \* ARABIC </w:instrText>
      </w:r>
      <w:r w:rsidRPr="0058641B">
        <w:rPr>
          <w:bCs w:val="0"/>
        </w:rPr>
        <w:fldChar w:fldCharType="separate"/>
      </w:r>
      <w:r w:rsidR="0043151A">
        <w:rPr>
          <w:bCs w:val="0"/>
          <w:noProof/>
        </w:rPr>
        <w:t>10</w:t>
      </w:r>
      <w:r w:rsidRPr="0058641B">
        <w:rPr>
          <w:bCs w:val="0"/>
        </w:rPr>
        <w:fldChar w:fldCharType="end"/>
      </w:r>
      <w:bookmarkEnd w:id="61"/>
      <w:r w:rsidRPr="0058641B">
        <w:rPr>
          <w:bCs w:val="0"/>
        </w:rPr>
        <w:t>:</w:t>
      </w:r>
      <w:r w:rsidRPr="0058641B">
        <w:t xml:space="preserve"> Change in ICER over time (Stage II-IIIA, PD-L1 ≥ 1% NSCLC)</w:t>
      </w:r>
    </w:p>
    <w:p w14:paraId="4EC64354" w14:textId="5E5B52BC" w:rsidR="00C37C68" w:rsidRPr="0058641B" w:rsidRDefault="00DA7CC7" w:rsidP="00C37C68">
      <w:pPr>
        <w:pStyle w:val="TableFooter"/>
        <w:rPr>
          <w:rStyle w:val="CommentReference"/>
          <w:b w:val="0"/>
          <w:i/>
          <w:sz w:val="18"/>
          <w:szCs w:val="22"/>
        </w:rPr>
      </w:pPr>
      <w:r w:rsidRPr="00DA7CC7">
        <w:rPr>
          <w:rStyle w:val="CommentReference"/>
          <w:b w:val="0"/>
          <w:i/>
          <w:noProof/>
          <w:sz w:val="18"/>
          <w:szCs w:val="22"/>
        </w:rPr>
        <w:drawing>
          <wp:inline distT="0" distB="0" distL="0" distR="0" wp14:anchorId="43931F54" wp14:editId="2F2ABAA1">
            <wp:extent cx="5668010" cy="27412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53" t="-478" b="-4296"/>
                    <a:stretch/>
                  </pic:blipFill>
                  <pic:spPr bwMode="auto">
                    <a:xfrm>
                      <a:off x="0" y="0"/>
                      <a:ext cx="5668010" cy="2741276"/>
                    </a:xfrm>
                    <a:prstGeom prst="rect">
                      <a:avLst/>
                    </a:prstGeom>
                    <a:ln>
                      <a:noFill/>
                    </a:ln>
                    <a:extLst>
                      <a:ext uri="{53640926-AAD7-44D8-BBD7-CCE9431645EC}">
                        <a14:shadowObscured xmlns:a14="http://schemas.microsoft.com/office/drawing/2010/main"/>
                      </a:ext>
                    </a:extLst>
                  </pic:spPr>
                </pic:pic>
              </a:graphicData>
            </a:graphic>
          </wp:inline>
        </w:drawing>
      </w:r>
    </w:p>
    <w:p w14:paraId="2711D73E" w14:textId="3DDC0EAF" w:rsidR="00C37C68" w:rsidRPr="0058641B" w:rsidRDefault="00C37C68" w:rsidP="00C37C68">
      <w:pPr>
        <w:pStyle w:val="TableFooter"/>
        <w:rPr>
          <w:rStyle w:val="CommentReference"/>
          <w:b w:val="0"/>
          <w:iCs/>
          <w:sz w:val="18"/>
          <w:szCs w:val="22"/>
        </w:rPr>
      </w:pPr>
      <w:r w:rsidRPr="0058641B">
        <w:rPr>
          <w:rStyle w:val="CommentReference"/>
          <w:b w:val="0"/>
          <w:iCs/>
          <w:sz w:val="18"/>
          <w:szCs w:val="22"/>
        </w:rPr>
        <w:t>ICER = incremental cost-effectiveness ratio; NSCLC = non-small cell lung cancer; PD-L1 = programmed cell death ligand 1; QALYs = quality-adjusted life years</w:t>
      </w:r>
    </w:p>
    <w:p w14:paraId="727B2450" w14:textId="77777777" w:rsidR="00C37C68" w:rsidRPr="0058641B" w:rsidRDefault="00C37C68" w:rsidP="00C37C68">
      <w:pPr>
        <w:pStyle w:val="TableFooter"/>
        <w:rPr>
          <w:rStyle w:val="CommentReference"/>
          <w:b w:val="0"/>
          <w:iCs/>
          <w:sz w:val="18"/>
          <w:szCs w:val="22"/>
        </w:rPr>
      </w:pPr>
      <w:r w:rsidRPr="0058641B">
        <w:rPr>
          <w:rStyle w:val="CommentReference"/>
          <w:b w:val="0"/>
          <w:iCs/>
          <w:sz w:val="18"/>
          <w:szCs w:val="22"/>
        </w:rPr>
        <w:t>Source: Figure constructed during the evaluation, based on the “Economic Evaluation” Excel workbook</w:t>
      </w:r>
    </w:p>
    <w:p w14:paraId="026C9796" w14:textId="77777777" w:rsidR="00DA7CC7" w:rsidRPr="00944FDB" w:rsidRDefault="00DA7CC7" w:rsidP="00DA7CC7">
      <w:pPr>
        <w:pStyle w:val="TableFigureFooter"/>
        <w:keepNext/>
        <w:spacing w:after="0"/>
        <w:contextualSpacing w:val="0"/>
        <w:rPr>
          <w:i/>
        </w:rPr>
      </w:pPr>
      <w:r w:rsidRPr="00944FDB">
        <w:rPr>
          <w:i/>
        </w:rPr>
        <w:lastRenderedPageBreak/>
        <w:t>The redacted values correspond to the following ranges:</w:t>
      </w:r>
    </w:p>
    <w:p w14:paraId="1B00140F" w14:textId="3DE13B97" w:rsidR="00DA7CC7" w:rsidRPr="00281DAB" w:rsidRDefault="00DA7CC7" w:rsidP="00DA7CC7">
      <w:pPr>
        <w:pStyle w:val="TableFigureFooter"/>
        <w:keepNext/>
        <w:spacing w:after="0"/>
        <w:contextualSpacing w:val="0"/>
      </w:pPr>
      <w:r w:rsidRPr="00944FDB">
        <w:rPr>
          <w:i/>
          <w:szCs w:val="18"/>
          <w:vertAlign w:val="superscript"/>
        </w:rPr>
        <w:t>1</w:t>
      </w:r>
      <w:r w:rsidRPr="00944FDB">
        <w:rPr>
          <w:i/>
          <w:szCs w:val="18"/>
        </w:rPr>
        <w:t xml:space="preserve"> </w:t>
      </w:r>
      <w:r w:rsidRPr="00DA7CC7">
        <w:rPr>
          <w:i/>
          <w:szCs w:val="18"/>
        </w:rPr>
        <w:t>$15,000 to &lt; $25,000</w:t>
      </w:r>
    </w:p>
    <w:p w14:paraId="6D0E50A0" w14:textId="2B1B1B93" w:rsidR="00DA7CC7" w:rsidRPr="00944FDB" w:rsidRDefault="00DA7CC7" w:rsidP="00DA7CC7">
      <w:pPr>
        <w:rPr>
          <w:rFonts w:ascii="Arial Narrow" w:hAnsi="Arial Narrow"/>
          <w:i/>
          <w:sz w:val="18"/>
          <w:szCs w:val="18"/>
        </w:rPr>
      </w:pPr>
      <w:r w:rsidRPr="00944FDB">
        <w:rPr>
          <w:rFonts w:ascii="Arial Narrow" w:hAnsi="Arial Narrow"/>
          <w:i/>
          <w:sz w:val="18"/>
          <w:szCs w:val="18"/>
          <w:vertAlign w:val="superscript"/>
        </w:rPr>
        <w:t>2</w:t>
      </w:r>
      <w:r>
        <w:rPr>
          <w:rFonts w:ascii="Arial Narrow" w:hAnsi="Arial Narrow"/>
          <w:i/>
          <w:sz w:val="18"/>
          <w:szCs w:val="18"/>
        </w:rPr>
        <w:t xml:space="preserve"> </w:t>
      </w:r>
      <w:r w:rsidRPr="00DA7CC7">
        <w:rPr>
          <w:rFonts w:ascii="Arial Narrow" w:hAnsi="Arial Narrow"/>
          <w:i/>
          <w:sz w:val="18"/>
          <w:szCs w:val="18"/>
        </w:rPr>
        <w:t>$35,000 to &lt; $45,000</w:t>
      </w:r>
    </w:p>
    <w:p w14:paraId="5937FE6A" w14:textId="546CC930" w:rsidR="00DA7CC7" w:rsidRPr="00944FDB" w:rsidRDefault="00DA7CC7" w:rsidP="00DA7CC7">
      <w:pPr>
        <w:rPr>
          <w:rFonts w:ascii="Arial Narrow" w:hAnsi="Arial Narrow"/>
          <w:i/>
          <w:sz w:val="18"/>
          <w:szCs w:val="18"/>
        </w:rPr>
      </w:pPr>
      <w:r w:rsidRPr="00944FDB">
        <w:rPr>
          <w:rFonts w:ascii="Arial Narrow" w:hAnsi="Arial Narrow"/>
          <w:i/>
          <w:sz w:val="18"/>
          <w:szCs w:val="18"/>
          <w:vertAlign w:val="superscript"/>
        </w:rPr>
        <w:t xml:space="preserve">3 </w:t>
      </w:r>
      <w:r w:rsidRPr="00DA7CC7">
        <w:rPr>
          <w:rFonts w:ascii="Arial Narrow" w:hAnsi="Arial Narrow"/>
          <w:i/>
          <w:sz w:val="18"/>
          <w:szCs w:val="18"/>
        </w:rPr>
        <w:t>$55,000 to &lt; $75,000</w:t>
      </w:r>
    </w:p>
    <w:p w14:paraId="5427FEC0" w14:textId="65ED6D07" w:rsidR="00DA7CC7" w:rsidRPr="00944FDB" w:rsidRDefault="00DA7CC7" w:rsidP="00DA7CC7">
      <w:pPr>
        <w:rPr>
          <w:rFonts w:ascii="Arial Narrow" w:hAnsi="Arial Narrow"/>
          <w:i/>
          <w:sz w:val="18"/>
          <w:szCs w:val="18"/>
        </w:rPr>
      </w:pPr>
      <w:r w:rsidRPr="00944FDB">
        <w:rPr>
          <w:rFonts w:ascii="Arial Narrow" w:hAnsi="Arial Narrow"/>
          <w:i/>
          <w:sz w:val="18"/>
          <w:szCs w:val="18"/>
          <w:vertAlign w:val="superscript"/>
        </w:rPr>
        <w:t xml:space="preserve">4 </w:t>
      </w:r>
      <w:r w:rsidRPr="00DA7CC7">
        <w:rPr>
          <w:rFonts w:ascii="Arial Narrow" w:hAnsi="Arial Narrow"/>
          <w:i/>
          <w:sz w:val="18"/>
          <w:szCs w:val="18"/>
        </w:rPr>
        <w:t>$75,000 to &lt; $95,000</w:t>
      </w:r>
    </w:p>
    <w:p w14:paraId="1D64E837" w14:textId="6E9CB09B" w:rsidR="00DA7CC7" w:rsidRPr="00944FDB" w:rsidRDefault="00DA7CC7" w:rsidP="00DA7CC7">
      <w:pPr>
        <w:rPr>
          <w:rFonts w:ascii="Arial Narrow" w:hAnsi="Arial Narrow"/>
          <w:i/>
          <w:sz w:val="18"/>
          <w:szCs w:val="18"/>
        </w:rPr>
      </w:pPr>
      <w:r w:rsidRPr="00944FDB">
        <w:rPr>
          <w:rFonts w:ascii="Arial Narrow" w:hAnsi="Arial Narrow"/>
          <w:i/>
          <w:sz w:val="18"/>
          <w:szCs w:val="18"/>
          <w:vertAlign w:val="superscript"/>
        </w:rPr>
        <w:t>5</w:t>
      </w:r>
      <w:r w:rsidRPr="00944FDB">
        <w:rPr>
          <w:rFonts w:ascii="Arial Narrow" w:hAnsi="Arial Narrow"/>
          <w:i/>
          <w:sz w:val="18"/>
          <w:szCs w:val="18"/>
        </w:rPr>
        <w:t xml:space="preserve"> </w:t>
      </w:r>
      <w:r w:rsidRPr="00DA7CC7">
        <w:rPr>
          <w:rFonts w:ascii="Arial Narrow" w:hAnsi="Arial Narrow"/>
          <w:i/>
          <w:sz w:val="18"/>
          <w:szCs w:val="18"/>
        </w:rPr>
        <w:t>$95,000 to &lt; $115,000</w:t>
      </w:r>
    </w:p>
    <w:p w14:paraId="432D3F00" w14:textId="5719CF7C" w:rsidR="00DA7CC7" w:rsidRPr="00944FDB" w:rsidRDefault="00DA7CC7" w:rsidP="00DA7CC7">
      <w:pPr>
        <w:rPr>
          <w:rFonts w:ascii="Arial Narrow" w:hAnsi="Arial Narrow"/>
          <w:i/>
          <w:sz w:val="18"/>
          <w:szCs w:val="18"/>
        </w:rPr>
      </w:pPr>
      <w:r w:rsidRPr="00944FDB">
        <w:rPr>
          <w:rFonts w:ascii="Arial Narrow" w:hAnsi="Arial Narrow"/>
          <w:i/>
          <w:sz w:val="18"/>
          <w:szCs w:val="18"/>
          <w:vertAlign w:val="superscript"/>
        </w:rPr>
        <w:t xml:space="preserve">6 </w:t>
      </w:r>
      <w:r w:rsidRPr="00DA7CC7">
        <w:rPr>
          <w:rFonts w:ascii="Arial Narrow" w:hAnsi="Arial Narrow"/>
          <w:i/>
          <w:sz w:val="18"/>
          <w:szCs w:val="18"/>
        </w:rPr>
        <w:t>$115,000 to &lt; $135,000</w:t>
      </w:r>
    </w:p>
    <w:p w14:paraId="792CF324" w14:textId="77777777" w:rsidR="00C37C68" w:rsidRPr="0058641B" w:rsidRDefault="00C37C68" w:rsidP="00C37C68">
      <w:pPr>
        <w:rPr>
          <w:rStyle w:val="CommentReference"/>
          <w:b w:val="0"/>
          <w:i/>
          <w:sz w:val="18"/>
          <w:szCs w:val="22"/>
        </w:rPr>
      </w:pPr>
    </w:p>
    <w:p w14:paraId="71D30EF3" w14:textId="77777777" w:rsidR="006B1EF8" w:rsidRDefault="006B1EF8">
      <w:pPr>
        <w:jc w:val="left"/>
        <w:rPr>
          <w:rFonts w:ascii="Arial Narrow" w:eastAsiaTheme="majorEastAsia" w:hAnsi="Arial Narrow" w:cstheme="majorBidi"/>
          <w:b/>
          <w:bCs/>
          <w:iCs/>
          <w:sz w:val="20"/>
        </w:rPr>
      </w:pPr>
      <w:bookmarkStart w:id="62" w:name="_Ref100334118"/>
      <w:r>
        <w:rPr>
          <w:iCs/>
        </w:rPr>
        <w:br w:type="page"/>
      </w:r>
    </w:p>
    <w:p w14:paraId="4C78A370" w14:textId="56591977" w:rsidR="00C37C68" w:rsidRPr="0058641B" w:rsidRDefault="00C37C68" w:rsidP="00C37C68">
      <w:pPr>
        <w:pStyle w:val="TableFigureHeading"/>
        <w:rPr>
          <w:iCs/>
          <w:vertAlign w:val="superscript"/>
        </w:rPr>
      </w:pPr>
      <w:bookmarkStart w:id="63" w:name="_Ref109677820"/>
      <w:r w:rsidRPr="0058641B">
        <w:rPr>
          <w:iCs/>
        </w:rPr>
        <w:lastRenderedPageBreak/>
        <w:t xml:space="preserve">Table </w:t>
      </w:r>
      <w:r w:rsidRPr="0058641B">
        <w:rPr>
          <w:iCs/>
        </w:rPr>
        <w:fldChar w:fldCharType="begin"/>
      </w:r>
      <w:r w:rsidRPr="0058641B">
        <w:rPr>
          <w:iCs/>
        </w:rPr>
        <w:instrText xml:space="preserve"> SEQ Table \* ARABIC </w:instrText>
      </w:r>
      <w:r w:rsidRPr="0058641B">
        <w:rPr>
          <w:iCs/>
        </w:rPr>
        <w:fldChar w:fldCharType="separate"/>
      </w:r>
      <w:r w:rsidR="0043151A">
        <w:rPr>
          <w:iCs/>
          <w:noProof/>
        </w:rPr>
        <w:t>16</w:t>
      </w:r>
      <w:r w:rsidRPr="0058641B">
        <w:rPr>
          <w:iCs/>
        </w:rPr>
        <w:fldChar w:fldCharType="end"/>
      </w:r>
      <w:bookmarkEnd w:id="62"/>
      <w:bookmarkEnd w:id="63"/>
      <w:r w:rsidRPr="0058641B">
        <w:rPr>
          <w:iCs/>
        </w:rPr>
        <w:t>: Results of key sensitivity analyses (Stage II-IIIA, PD-L1 ≥ 1% NSCLC)</w:t>
      </w:r>
      <w:r w:rsidRPr="0058641B">
        <w:rPr>
          <w:iCs/>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83"/>
        <w:gridCol w:w="2611"/>
        <w:gridCol w:w="1784"/>
        <w:gridCol w:w="1032"/>
        <w:gridCol w:w="959"/>
        <w:gridCol w:w="1095"/>
        <w:gridCol w:w="853"/>
      </w:tblGrid>
      <w:tr w:rsidR="00C37C68" w:rsidRPr="0058641B" w14:paraId="6ADE7269" w14:textId="77777777" w:rsidTr="00D312D9">
        <w:trPr>
          <w:cantSplit/>
          <w:tblHeader/>
        </w:trPr>
        <w:tc>
          <w:tcPr>
            <w:tcW w:w="1827" w:type="pct"/>
            <w:gridSpan w:val="2"/>
            <w:tcBorders>
              <w:bottom w:val="single" w:sz="4" w:space="0" w:color="auto"/>
            </w:tcBorders>
          </w:tcPr>
          <w:p w14:paraId="4B22E72A" w14:textId="77777777" w:rsidR="00C37C68" w:rsidRPr="0058641B" w:rsidRDefault="00C37C68" w:rsidP="00D034DA">
            <w:pPr>
              <w:pStyle w:val="TableText0"/>
              <w:keepNext w:val="0"/>
              <w:rPr>
                <w:b/>
                <w:iCs/>
              </w:rPr>
            </w:pPr>
            <w:r w:rsidRPr="0058641B">
              <w:rPr>
                <w:b/>
                <w:iCs/>
              </w:rPr>
              <w:t>Sensitivity analyses</w:t>
            </w:r>
          </w:p>
        </w:tc>
        <w:tc>
          <w:tcPr>
            <w:tcW w:w="989" w:type="pct"/>
          </w:tcPr>
          <w:p w14:paraId="150B0A2E" w14:textId="77777777" w:rsidR="00C37C68" w:rsidRPr="0058641B" w:rsidRDefault="00C37C68" w:rsidP="00D034DA">
            <w:pPr>
              <w:pStyle w:val="TableText0"/>
              <w:keepNext w:val="0"/>
              <w:jc w:val="center"/>
              <w:rPr>
                <w:b/>
                <w:iCs/>
              </w:rPr>
            </w:pPr>
            <w:r w:rsidRPr="0058641B">
              <w:rPr>
                <w:b/>
                <w:iCs/>
              </w:rPr>
              <w:t>Base case</w:t>
            </w:r>
          </w:p>
        </w:tc>
        <w:tc>
          <w:tcPr>
            <w:tcW w:w="572" w:type="pct"/>
          </w:tcPr>
          <w:p w14:paraId="63924AF8" w14:textId="77777777" w:rsidR="00C37C68" w:rsidRPr="0058641B" w:rsidRDefault="00C37C68" w:rsidP="00D034DA">
            <w:pPr>
              <w:pStyle w:val="TableText0"/>
              <w:keepNext w:val="0"/>
              <w:jc w:val="center"/>
              <w:rPr>
                <w:b/>
                <w:iCs/>
              </w:rPr>
            </w:pPr>
            <w:r w:rsidRPr="0058641B">
              <w:rPr>
                <w:b/>
                <w:iCs/>
              </w:rPr>
              <w:t>Incr costs</w:t>
            </w:r>
          </w:p>
        </w:tc>
        <w:tc>
          <w:tcPr>
            <w:tcW w:w="532" w:type="pct"/>
          </w:tcPr>
          <w:p w14:paraId="7E52F823" w14:textId="3F676D73" w:rsidR="00C37C68" w:rsidRPr="0058641B" w:rsidRDefault="00C37C68" w:rsidP="00D034DA">
            <w:pPr>
              <w:pStyle w:val="TableText0"/>
              <w:keepNext w:val="0"/>
              <w:jc w:val="center"/>
              <w:rPr>
                <w:b/>
                <w:iCs/>
              </w:rPr>
            </w:pPr>
            <w:r w:rsidRPr="0058641B">
              <w:rPr>
                <w:b/>
                <w:iCs/>
              </w:rPr>
              <w:t>Incr QALYs</w:t>
            </w:r>
          </w:p>
        </w:tc>
        <w:tc>
          <w:tcPr>
            <w:tcW w:w="607" w:type="pct"/>
          </w:tcPr>
          <w:p w14:paraId="50065412" w14:textId="77777777" w:rsidR="00C37C68" w:rsidRPr="0058641B" w:rsidRDefault="00C37C68" w:rsidP="00D034DA">
            <w:pPr>
              <w:pStyle w:val="TableText0"/>
              <w:keepNext w:val="0"/>
              <w:jc w:val="center"/>
              <w:rPr>
                <w:b/>
                <w:iCs/>
              </w:rPr>
            </w:pPr>
            <w:r w:rsidRPr="0058641B">
              <w:rPr>
                <w:b/>
                <w:iCs/>
              </w:rPr>
              <w:t>Incr cost per QALY</w:t>
            </w:r>
          </w:p>
        </w:tc>
        <w:tc>
          <w:tcPr>
            <w:tcW w:w="473" w:type="pct"/>
          </w:tcPr>
          <w:p w14:paraId="1DD40C09" w14:textId="77777777" w:rsidR="00C37C68" w:rsidRPr="0058641B" w:rsidRDefault="00C37C68" w:rsidP="00D034DA">
            <w:pPr>
              <w:pStyle w:val="TableText0"/>
              <w:keepNext w:val="0"/>
              <w:jc w:val="center"/>
              <w:rPr>
                <w:b/>
                <w:iCs/>
              </w:rPr>
            </w:pPr>
            <w:r w:rsidRPr="0058641B">
              <w:rPr>
                <w:b/>
                <w:iCs/>
              </w:rPr>
              <w:t>% change</w:t>
            </w:r>
          </w:p>
        </w:tc>
      </w:tr>
      <w:tr w:rsidR="00C37C68" w:rsidRPr="0058641B" w14:paraId="58EEFEE4" w14:textId="77777777" w:rsidTr="00D312D9">
        <w:trPr>
          <w:cantSplit/>
        </w:trPr>
        <w:tc>
          <w:tcPr>
            <w:tcW w:w="1827" w:type="pct"/>
            <w:gridSpan w:val="2"/>
          </w:tcPr>
          <w:p w14:paraId="72D8085F" w14:textId="77777777" w:rsidR="00C37C68" w:rsidRPr="0058641B" w:rsidRDefault="00C37C68" w:rsidP="00D034DA">
            <w:pPr>
              <w:pStyle w:val="TableText0"/>
              <w:keepNext w:val="0"/>
              <w:rPr>
                <w:b/>
                <w:iCs/>
              </w:rPr>
            </w:pPr>
            <w:r w:rsidRPr="0058641B">
              <w:rPr>
                <w:b/>
                <w:iCs/>
              </w:rPr>
              <w:t>Base case</w:t>
            </w:r>
          </w:p>
        </w:tc>
        <w:tc>
          <w:tcPr>
            <w:tcW w:w="989" w:type="pct"/>
          </w:tcPr>
          <w:p w14:paraId="64C629CF" w14:textId="77777777" w:rsidR="00C37C68" w:rsidRPr="0058641B" w:rsidRDefault="00C37C68" w:rsidP="00D034DA">
            <w:pPr>
              <w:pStyle w:val="TableText0"/>
              <w:keepNext w:val="0"/>
              <w:jc w:val="center"/>
              <w:rPr>
                <w:b/>
                <w:iCs/>
              </w:rPr>
            </w:pPr>
            <w:r w:rsidRPr="0058641B">
              <w:rPr>
                <w:b/>
                <w:iCs/>
              </w:rPr>
              <w:t>–</w:t>
            </w:r>
          </w:p>
        </w:tc>
        <w:tc>
          <w:tcPr>
            <w:tcW w:w="572" w:type="pct"/>
          </w:tcPr>
          <w:p w14:paraId="213EC96F" w14:textId="29B4AA53" w:rsidR="00C37C68" w:rsidRPr="0058641B" w:rsidRDefault="00C37C68" w:rsidP="00D034DA">
            <w:pPr>
              <w:pStyle w:val="TableText0"/>
              <w:keepNext w:val="0"/>
              <w:jc w:val="center"/>
              <w:rPr>
                <w:b/>
                <w:iCs/>
              </w:rPr>
            </w:pPr>
            <w:r w:rsidRPr="0058641B">
              <w:rPr>
                <w:b/>
                <w:iCs/>
              </w:rPr>
              <w:t>$</w:t>
            </w:r>
            <w:r w:rsidR="00A8021D" w:rsidRPr="00A8021D">
              <w:rPr>
                <w:b/>
                <w:iCs/>
                <w:color w:val="000000"/>
                <w:spacing w:val="46"/>
                <w:shd w:val="solid" w:color="000000" w:fill="000000"/>
                <w:fitText w:val="230" w:id="-1435765243"/>
                <w14:textFill>
                  <w14:solidFill>
                    <w14:srgbClr w14:val="000000">
                      <w14:alpha w14:val="100000"/>
                    </w14:srgbClr>
                  </w14:solidFill>
                </w14:textFill>
              </w:rPr>
              <w:t>||</w:t>
            </w:r>
            <w:r w:rsidR="00A8021D" w:rsidRPr="00A8021D">
              <w:rPr>
                <w:b/>
                <w:iCs/>
                <w:color w:val="000000"/>
                <w:spacing w:val="1"/>
                <w:shd w:val="solid" w:color="000000" w:fill="000000"/>
                <w:fitText w:val="230" w:id="-1435765243"/>
                <w14:textFill>
                  <w14:solidFill>
                    <w14:srgbClr w14:val="000000">
                      <w14:alpha w14:val="100000"/>
                    </w14:srgbClr>
                  </w14:solidFill>
                </w14:textFill>
              </w:rPr>
              <w:t>|</w:t>
            </w:r>
          </w:p>
        </w:tc>
        <w:tc>
          <w:tcPr>
            <w:tcW w:w="532" w:type="pct"/>
          </w:tcPr>
          <w:p w14:paraId="00C27BFF" w14:textId="77777777" w:rsidR="00C37C68" w:rsidRPr="0058641B" w:rsidRDefault="00C37C68" w:rsidP="00D034DA">
            <w:pPr>
              <w:pStyle w:val="TableText0"/>
              <w:keepNext w:val="0"/>
              <w:jc w:val="center"/>
              <w:rPr>
                <w:b/>
                <w:iCs/>
              </w:rPr>
            </w:pPr>
            <w:r w:rsidRPr="0058641B">
              <w:rPr>
                <w:b/>
                <w:iCs/>
              </w:rPr>
              <w:t>0.900</w:t>
            </w:r>
          </w:p>
        </w:tc>
        <w:tc>
          <w:tcPr>
            <w:tcW w:w="607" w:type="pct"/>
          </w:tcPr>
          <w:p w14:paraId="401BA2DA" w14:textId="1E61C045" w:rsidR="00C37C68" w:rsidRPr="001A775F" w:rsidRDefault="00C37C68" w:rsidP="00D034DA">
            <w:pPr>
              <w:pStyle w:val="TableText0"/>
              <w:keepNext w:val="0"/>
              <w:jc w:val="center"/>
              <w:rPr>
                <w:b/>
                <w:iCs/>
                <w:vertAlign w:val="superscript"/>
              </w:rPr>
            </w:pPr>
            <w:r w:rsidRPr="0058641B">
              <w:rPr>
                <w:b/>
                <w:iCs/>
              </w:rPr>
              <w:t>$</w:t>
            </w:r>
            <w:r w:rsidR="00A8021D" w:rsidRPr="00A8021D">
              <w:rPr>
                <w:b/>
                <w:iCs/>
                <w:color w:val="000000"/>
                <w:spacing w:val="148"/>
                <w:shd w:val="solid" w:color="000000" w:fill="000000"/>
                <w:fitText w:val="240" w:id="-1435765242"/>
                <w14:textFill>
                  <w14:solidFill>
                    <w14:srgbClr w14:val="000000">
                      <w14:alpha w14:val="100000"/>
                    </w14:srgbClr>
                  </w14:solidFill>
                </w14:textFill>
              </w:rPr>
              <w:t>|</w:t>
            </w:r>
            <w:r w:rsidR="00A8021D" w:rsidRPr="00A8021D">
              <w:rPr>
                <w:b/>
                <w:iCs/>
                <w:color w:val="000000"/>
                <w:spacing w:val="1"/>
                <w:shd w:val="solid" w:color="000000" w:fill="000000"/>
                <w:fitText w:val="240" w:id="-1435765242"/>
                <w14:textFill>
                  <w14:solidFill>
                    <w14:srgbClr w14:val="000000">
                      <w14:alpha w14:val="100000"/>
                    </w14:srgbClr>
                  </w14:solidFill>
                </w14:textFill>
              </w:rPr>
              <w:t>|</w:t>
            </w:r>
            <w:r w:rsidR="001A775F" w:rsidRPr="001A775F">
              <w:rPr>
                <w:bCs w:val="0"/>
                <w:iCs/>
                <w:vertAlign w:val="superscript"/>
              </w:rPr>
              <w:t>1</w:t>
            </w:r>
          </w:p>
        </w:tc>
        <w:tc>
          <w:tcPr>
            <w:tcW w:w="473" w:type="pct"/>
          </w:tcPr>
          <w:p w14:paraId="7F436E64" w14:textId="77777777" w:rsidR="00C37C68" w:rsidRPr="0058641B" w:rsidRDefault="00C37C68" w:rsidP="00D034DA">
            <w:pPr>
              <w:pStyle w:val="TableText0"/>
              <w:keepNext w:val="0"/>
              <w:jc w:val="center"/>
              <w:rPr>
                <w:b/>
                <w:iCs/>
              </w:rPr>
            </w:pPr>
            <w:r w:rsidRPr="0058641B">
              <w:rPr>
                <w:b/>
                <w:iCs/>
              </w:rPr>
              <w:t>–</w:t>
            </w:r>
          </w:p>
        </w:tc>
      </w:tr>
      <w:tr w:rsidR="00C37C68" w:rsidRPr="0058641B" w14:paraId="6462927C" w14:textId="77777777" w:rsidTr="00855FED">
        <w:trPr>
          <w:cantSplit/>
        </w:trPr>
        <w:tc>
          <w:tcPr>
            <w:tcW w:w="379" w:type="pct"/>
            <w:tcBorders>
              <w:right w:val="nil"/>
            </w:tcBorders>
          </w:tcPr>
          <w:p w14:paraId="63B567BD" w14:textId="1FD53761" w:rsidR="00C37C68" w:rsidRPr="0058641B" w:rsidRDefault="00C37C68" w:rsidP="00D034DA">
            <w:pPr>
              <w:pStyle w:val="TableText0"/>
              <w:keepNext w:val="0"/>
              <w:rPr>
                <w:iCs/>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w:t>
            </w:r>
            <w:r w:rsidRPr="0058641B">
              <w:rPr>
                <w:iCs/>
              </w:rPr>
              <w:fldChar w:fldCharType="end"/>
            </w:r>
          </w:p>
        </w:tc>
        <w:tc>
          <w:tcPr>
            <w:tcW w:w="1448" w:type="pct"/>
            <w:tcBorders>
              <w:left w:val="nil"/>
            </w:tcBorders>
            <w:vAlign w:val="center"/>
          </w:tcPr>
          <w:p w14:paraId="4159A19D" w14:textId="77777777" w:rsidR="00C37C68" w:rsidRPr="0058641B" w:rsidRDefault="00C37C68" w:rsidP="00D034DA">
            <w:pPr>
              <w:pStyle w:val="TableText0"/>
              <w:keepNext w:val="0"/>
              <w:rPr>
                <w:iCs/>
              </w:rPr>
            </w:pPr>
            <w:r w:rsidRPr="0058641B">
              <w:rPr>
                <w:iCs/>
              </w:rPr>
              <w:t>15-year time horizon</w:t>
            </w:r>
          </w:p>
        </w:tc>
        <w:tc>
          <w:tcPr>
            <w:tcW w:w="989" w:type="pct"/>
            <w:vMerge w:val="restart"/>
          </w:tcPr>
          <w:p w14:paraId="2699E9B7" w14:textId="77777777" w:rsidR="00C37C68" w:rsidRPr="0058641B" w:rsidRDefault="00C37C68" w:rsidP="00D034DA">
            <w:pPr>
              <w:pStyle w:val="TableText0"/>
              <w:keepNext w:val="0"/>
              <w:rPr>
                <w:iCs/>
              </w:rPr>
            </w:pPr>
            <w:r w:rsidRPr="0058641B">
              <w:rPr>
                <w:iCs/>
              </w:rPr>
              <w:t>25 years</w:t>
            </w:r>
          </w:p>
        </w:tc>
        <w:tc>
          <w:tcPr>
            <w:tcW w:w="572" w:type="pct"/>
          </w:tcPr>
          <w:p w14:paraId="79A7D79C" w14:textId="59E364C8"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41"/>
                <w14:textFill>
                  <w14:solidFill>
                    <w14:srgbClr w14:val="000000">
                      <w14:alpha w14:val="100000"/>
                    </w14:srgbClr>
                  </w14:solidFill>
                </w14:textFill>
              </w:rPr>
              <w:t>|</w:t>
            </w:r>
            <w:r w:rsidR="00A8021D" w:rsidRPr="00A8021D">
              <w:rPr>
                <w:iCs/>
                <w:color w:val="000000"/>
                <w:spacing w:val="1"/>
                <w:shd w:val="solid" w:color="000000" w:fill="000000"/>
                <w:fitText w:val="190" w:id="-1435765241"/>
                <w14:textFill>
                  <w14:solidFill>
                    <w14:srgbClr w14:val="000000">
                      <w14:alpha w14:val="100000"/>
                    </w14:srgbClr>
                  </w14:solidFill>
                </w14:textFill>
              </w:rPr>
              <w:t>|</w:t>
            </w:r>
          </w:p>
        </w:tc>
        <w:tc>
          <w:tcPr>
            <w:tcW w:w="532" w:type="pct"/>
          </w:tcPr>
          <w:p w14:paraId="37077C79" w14:textId="77777777" w:rsidR="00C37C68" w:rsidRPr="0058641B" w:rsidRDefault="00C37C68" w:rsidP="00D034DA">
            <w:pPr>
              <w:pStyle w:val="TableText0"/>
              <w:keepNext w:val="0"/>
              <w:jc w:val="center"/>
              <w:rPr>
                <w:iCs/>
              </w:rPr>
            </w:pPr>
            <w:r w:rsidRPr="0058641B">
              <w:rPr>
                <w:iCs/>
              </w:rPr>
              <w:t>0.658</w:t>
            </w:r>
          </w:p>
        </w:tc>
        <w:tc>
          <w:tcPr>
            <w:tcW w:w="607" w:type="pct"/>
          </w:tcPr>
          <w:p w14:paraId="353F1117" w14:textId="5B8D90E5"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40"/>
                <w14:textFill>
                  <w14:solidFill>
                    <w14:srgbClr w14:val="000000">
                      <w14:alpha w14:val="100000"/>
                    </w14:srgbClr>
                  </w14:solidFill>
                </w14:textFill>
              </w:rPr>
              <w:t>|</w:t>
            </w:r>
            <w:r w:rsidR="00A8021D" w:rsidRPr="00A8021D">
              <w:rPr>
                <w:iCs/>
                <w:color w:val="000000"/>
                <w:spacing w:val="1"/>
                <w:shd w:val="solid" w:color="000000" w:fill="000000"/>
                <w:fitText w:val="190" w:id="-1435765240"/>
                <w14:textFill>
                  <w14:solidFill>
                    <w14:srgbClr w14:val="000000">
                      <w14:alpha w14:val="100000"/>
                    </w14:srgbClr>
                  </w14:solidFill>
                </w14:textFill>
              </w:rPr>
              <w:t>|</w:t>
            </w:r>
            <w:r w:rsidR="001A775F">
              <w:rPr>
                <w:bCs w:val="0"/>
                <w:iCs/>
                <w:vertAlign w:val="superscript"/>
              </w:rPr>
              <w:t>2</w:t>
            </w:r>
          </w:p>
        </w:tc>
        <w:tc>
          <w:tcPr>
            <w:tcW w:w="473" w:type="pct"/>
          </w:tcPr>
          <w:p w14:paraId="4F7F5EBF" w14:textId="77777777" w:rsidR="00C37C68" w:rsidRPr="0058641B" w:rsidRDefault="00C37C68" w:rsidP="00D034DA">
            <w:pPr>
              <w:pStyle w:val="TableText0"/>
              <w:keepNext w:val="0"/>
              <w:jc w:val="center"/>
              <w:rPr>
                <w:iCs/>
              </w:rPr>
            </w:pPr>
            <w:r w:rsidRPr="0058641B">
              <w:rPr>
                <w:iCs/>
              </w:rPr>
              <w:t>35%</w:t>
            </w:r>
          </w:p>
        </w:tc>
      </w:tr>
      <w:tr w:rsidR="00C37C68" w:rsidRPr="0058641B" w14:paraId="79E33E44" w14:textId="77777777" w:rsidTr="00855FED">
        <w:trPr>
          <w:cantSplit/>
        </w:trPr>
        <w:tc>
          <w:tcPr>
            <w:tcW w:w="379" w:type="pct"/>
            <w:tcBorders>
              <w:right w:val="nil"/>
            </w:tcBorders>
          </w:tcPr>
          <w:p w14:paraId="349A9BBB" w14:textId="294B3D59" w:rsidR="00C37C68" w:rsidRPr="0058641B" w:rsidRDefault="00C37C68" w:rsidP="00D034DA">
            <w:pPr>
              <w:pStyle w:val="TableText0"/>
              <w:keepNext w:val="0"/>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2</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tcBorders>
            <w:vAlign w:val="center"/>
          </w:tcPr>
          <w:p w14:paraId="2A551200" w14:textId="77777777" w:rsidR="00C37C68" w:rsidRPr="0058641B" w:rsidRDefault="00C37C68" w:rsidP="00D034DA">
            <w:pPr>
              <w:pStyle w:val="TableText0"/>
              <w:keepNext w:val="0"/>
              <w:rPr>
                <w:iCs/>
              </w:rPr>
            </w:pPr>
            <w:r w:rsidRPr="0058641B">
              <w:rPr>
                <w:iCs/>
              </w:rPr>
              <w:t>20-year time horizon</w:t>
            </w:r>
          </w:p>
        </w:tc>
        <w:tc>
          <w:tcPr>
            <w:tcW w:w="989" w:type="pct"/>
            <w:vMerge/>
            <w:tcBorders>
              <w:bottom w:val="single" w:sz="4" w:space="0" w:color="auto"/>
            </w:tcBorders>
          </w:tcPr>
          <w:p w14:paraId="1CA06544" w14:textId="77777777" w:rsidR="00C37C68" w:rsidRPr="0058641B" w:rsidRDefault="00C37C68" w:rsidP="00D034DA">
            <w:pPr>
              <w:pStyle w:val="TableText0"/>
              <w:keepNext w:val="0"/>
              <w:rPr>
                <w:iCs/>
              </w:rPr>
            </w:pPr>
          </w:p>
        </w:tc>
        <w:tc>
          <w:tcPr>
            <w:tcW w:w="572" w:type="pct"/>
            <w:tcBorders>
              <w:top w:val="single" w:sz="4" w:space="0" w:color="auto"/>
              <w:bottom w:val="single" w:sz="4" w:space="0" w:color="auto"/>
              <w:right w:val="single" w:sz="4" w:space="0" w:color="auto"/>
            </w:tcBorders>
          </w:tcPr>
          <w:p w14:paraId="50599E52" w14:textId="45AC186B"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9"/>
                <w14:textFill>
                  <w14:solidFill>
                    <w14:srgbClr w14:val="000000">
                      <w14:alpha w14:val="100000"/>
                    </w14:srgbClr>
                  </w14:solidFill>
                </w14:textFill>
              </w:rPr>
              <w:t>|</w:t>
            </w:r>
            <w:r w:rsidR="00A8021D" w:rsidRPr="00A8021D">
              <w:rPr>
                <w:iCs/>
                <w:color w:val="000000"/>
                <w:spacing w:val="1"/>
                <w:shd w:val="solid" w:color="000000" w:fill="000000"/>
                <w:fitText w:val="190" w:id="-1435765239"/>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191B879C" w14:textId="77777777" w:rsidR="00C37C68" w:rsidRPr="0058641B" w:rsidRDefault="00C37C68" w:rsidP="00D034DA">
            <w:pPr>
              <w:pStyle w:val="TableText0"/>
              <w:keepNext w:val="0"/>
              <w:jc w:val="center"/>
              <w:rPr>
                <w:iCs/>
              </w:rPr>
            </w:pPr>
            <w:r w:rsidRPr="0058641B">
              <w:rPr>
                <w:iCs/>
              </w:rPr>
              <w:t>0.804</w:t>
            </w:r>
          </w:p>
        </w:tc>
        <w:tc>
          <w:tcPr>
            <w:tcW w:w="607" w:type="pct"/>
            <w:tcBorders>
              <w:top w:val="single" w:sz="4" w:space="0" w:color="auto"/>
              <w:left w:val="single" w:sz="4" w:space="0" w:color="auto"/>
              <w:bottom w:val="single" w:sz="4" w:space="0" w:color="auto"/>
              <w:right w:val="single" w:sz="4" w:space="0" w:color="auto"/>
            </w:tcBorders>
          </w:tcPr>
          <w:p w14:paraId="502E1AA7" w14:textId="50ABDDA9"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8"/>
                <w14:textFill>
                  <w14:solidFill>
                    <w14:srgbClr w14:val="000000">
                      <w14:alpha w14:val="100000"/>
                    </w14:srgbClr>
                  </w14:solidFill>
                </w14:textFill>
              </w:rPr>
              <w:t>|</w:t>
            </w:r>
            <w:r w:rsidR="00A8021D" w:rsidRPr="00A8021D">
              <w:rPr>
                <w:iCs/>
                <w:color w:val="000000"/>
                <w:spacing w:val="1"/>
                <w:shd w:val="solid" w:color="000000" w:fill="000000"/>
                <w:fitText w:val="190" w:id="-1435765238"/>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13C14E3D" w14:textId="77777777" w:rsidR="00C37C68" w:rsidRPr="0058641B" w:rsidRDefault="00C37C68" w:rsidP="00D034DA">
            <w:pPr>
              <w:pStyle w:val="TableText0"/>
              <w:keepNext w:val="0"/>
              <w:jc w:val="center"/>
              <w:rPr>
                <w:iCs/>
              </w:rPr>
            </w:pPr>
            <w:r w:rsidRPr="0058641B">
              <w:rPr>
                <w:iCs/>
              </w:rPr>
              <w:t>11%</w:t>
            </w:r>
          </w:p>
        </w:tc>
      </w:tr>
      <w:tr w:rsidR="00C37C68" w:rsidRPr="0058641B" w14:paraId="7FA64733" w14:textId="77777777" w:rsidTr="00855FED">
        <w:trPr>
          <w:cantSplit/>
        </w:trPr>
        <w:tc>
          <w:tcPr>
            <w:tcW w:w="379" w:type="pct"/>
            <w:tcBorders>
              <w:right w:val="nil"/>
            </w:tcBorders>
          </w:tcPr>
          <w:p w14:paraId="1DD8BB2E" w14:textId="19F74869" w:rsidR="00C37C68" w:rsidRPr="0058641B" w:rsidRDefault="00C37C68" w:rsidP="00D034DA">
            <w:pPr>
              <w:pStyle w:val="TableText0"/>
              <w:keepNext w:val="0"/>
              <w:rPr>
                <w:iCs/>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3</w:t>
            </w:r>
            <w:r w:rsidRPr="0058641B">
              <w:rPr>
                <w:iCs/>
              </w:rPr>
              <w:fldChar w:fldCharType="end"/>
            </w:r>
          </w:p>
        </w:tc>
        <w:tc>
          <w:tcPr>
            <w:tcW w:w="1448" w:type="pct"/>
            <w:tcBorders>
              <w:left w:val="nil"/>
            </w:tcBorders>
          </w:tcPr>
          <w:p w14:paraId="1E918C95" w14:textId="77777777" w:rsidR="00C37C68" w:rsidRPr="0058641B" w:rsidRDefault="00C37C68" w:rsidP="00D034DA">
            <w:pPr>
              <w:pStyle w:val="TableText0"/>
              <w:keepNext w:val="0"/>
              <w:rPr>
                <w:iCs/>
              </w:rPr>
            </w:pPr>
            <w:r w:rsidRPr="0058641B">
              <w:rPr>
                <w:iCs/>
              </w:rPr>
              <w:t>Utility values of 0.74 for DFS, 0.65 for LRR, 0.544 for 1L DR and 0.528 for 2L DR (Koide 2010 &amp; Sari 2020)</w:t>
            </w:r>
          </w:p>
        </w:tc>
        <w:tc>
          <w:tcPr>
            <w:tcW w:w="989" w:type="pct"/>
            <w:vMerge w:val="restart"/>
          </w:tcPr>
          <w:p w14:paraId="50CB04CC" w14:textId="77777777" w:rsidR="00C37C68" w:rsidRPr="0058641B" w:rsidRDefault="00C37C68" w:rsidP="00D034DA">
            <w:pPr>
              <w:pStyle w:val="TableText0"/>
              <w:keepNext w:val="0"/>
              <w:rPr>
                <w:iCs/>
              </w:rPr>
            </w:pPr>
            <w:r w:rsidRPr="0058641B">
              <w:rPr>
                <w:iCs/>
              </w:rPr>
              <w:t>Utility values of 0.81 for DFS, 0.72 for LRR, 0.69 for 1L DR and 0.667 for 2L DR (Grutters 2010 &amp; KN189/OAK trials)</w:t>
            </w:r>
          </w:p>
        </w:tc>
        <w:tc>
          <w:tcPr>
            <w:tcW w:w="572" w:type="pct"/>
          </w:tcPr>
          <w:p w14:paraId="1783E9B1" w14:textId="1E1726D2"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7"/>
                <w14:textFill>
                  <w14:solidFill>
                    <w14:srgbClr w14:val="000000">
                      <w14:alpha w14:val="100000"/>
                    </w14:srgbClr>
                  </w14:solidFill>
                </w14:textFill>
              </w:rPr>
              <w:t>|</w:t>
            </w:r>
            <w:r w:rsidR="00A8021D" w:rsidRPr="00A8021D">
              <w:rPr>
                <w:iCs/>
                <w:color w:val="000000"/>
                <w:spacing w:val="1"/>
                <w:shd w:val="solid" w:color="000000" w:fill="000000"/>
                <w:fitText w:val="190" w:id="-1435765237"/>
                <w14:textFill>
                  <w14:solidFill>
                    <w14:srgbClr w14:val="000000">
                      <w14:alpha w14:val="100000"/>
                    </w14:srgbClr>
                  </w14:solidFill>
                </w14:textFill>
              </w:rPr>
              <w:t>|</w:t>
            </w:r>
          </w:p>
        </w:tc>
        <w:tc>
          <w:tcPr>
            <w:tcW w:w="532" w:type="pct"/>
          </w:tcPr>
          <w:p w14:paraId="3AA8EE23" w14:textId="77777777" w:rsidR="00C37C68" w:rsidRPr="0058641B" w:rsidRDefault="00C37C68" w:rsidP="00D034DA">
            <w:pPr>
              <w:pStyle w:val="TableText0"/>
              <w:keepNext w:val="0"/>
              <w:jc w:val="center"/>
              <w:rPr>
                <w:iCs/>
              </w:rPr>
            </w:pPr>
            <w:r w:rsidRPr="0058641B">
              <w:rPr>
                <w:iCs/>
              </w:rPr>
              <w:t>0.849</w:t>
            </w:r>
          </w:p>
        </w:tc>
        <w:tc>
          <w:tcPr>
            <w:tcW w:w="607" w:type="pct"/>
          </w:tcPr>
          <w:p w14:paraId="7DC48F73" w14:textId="479228BA"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6"/>
                <w14:textFill>
                  <w14:solidFill>
                    <w14:srgbClr w14:val="000000">
                      <w14:alpha w14:val="100000"/>
                    </w14:srgbClr>
                  </w14:solidFill>
                </w14:textFill>
              </w:rPr>
              <w:t>|</w:t>
            </w:r>
            <w:r w:rsidR="00A8021D" w:rsidRPr="00A8021D">
              <w:rPr>
                <w:iCs/>
                <w:color w:val="000000"/>
                <w:spacing w:val="1"/>
                <w:shd w:val="solid" w:color="000000" w:fill="000000"/>
                <w:fitText w:val="190" w:id="-1435765236"/>
                <w14:textFill>
                  <w14:solidFill>
                    <w14:srgbClr w14:val="000000">
                      <w14:alpha w14:val="100000"/>
                    </w14:srgbClr>
                  </w14:solidFill>
                </w14:textFill>
              </w:rPr>
              <w:t>|</w:t>
            </w:r>
            <w:r w:rsidR="001A775F" w:rsidRPr="001A775F">
              <w:rPr>
                <w:bCs w:val="0"/>
                <w:iCs/>
                <w:vertAlign w:val="superscript"/>
              </w:rPr>
              <w:t>1</w:t>
            </w:r>
          </w:p>
        </w:tc>
        <w:tc>
          <w:tcPr>
            <w:tcW w:w="473" w:type="pct"/>
          </w:tcPr>
          <w:p w14:paraId="78C02DB4" w14:textId="77777777" w:rsidR="00C37C68" w:rsidRPr="0058641B" w:rsidRDefault="00C37C68" w:rsidP="00D034DA">
            <w:pPr>
              <w:pStyle w:val="TableText0"/>
              <w:keepNext w:val="0"/>
              <w:jc w:val="center"/>
              <w:rPr>
                <w:iCs/>
              </w:rPr>
            </w:pPr>
            <w:r w:rsidRPr="0058641B">
              <w:rPr>
                <w:iCs/>
              </w:rPr>
              <w:t>6%</w:t>
            </w:r>
          </w:p>
        </w:tc>
      </w:tr>
      <w:tr w:rsidR="00C37C68" w:rsidRPr="0058641B" w14:paraId="09BCB083" w14:textId="77777777" w:rsidTr="00855FED">
        <w:trPr>
          <w:cantSplit/>
        </w:trPr>
        <w:tc>
          <w:tcPr>
            <w:tcW w:w="379" w:type="pct"/>
            <w:tcBorders>
              <w:right w:val="nil"/>
            </w:tcBorders>
          </w:tcPr>
          <w:p w14:paraId="290676A0" w14:textId="27C1F78D" w:rsidR="00C37C68" w:rsidRPr="0058641B" w:rsidRDefault="00C37C68" w:rsidP="00D034DA">
            <w:pPr>
              <w:pStyle w:val="TableText0"/>
              <w:keepNext w:val="0"/>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4</w:t>
            </w:r>
            <w:r w:rsidRPr="0058641B">
              <w:rPr>
                <w:iCs/>
              </w:rPr>
              <w:fldChar w:fldCharType="end"/>
            </w:r>
            <w:r w:rsidRPr="0058641B">
              <w:rPr>
                <w:iCs/>
                <w:vertAlign w:val="superscript"/>
              </w:rPr>
              <w:t>b</w:t>
            </w:r>
          </w:p>
        </w:tc>
        <w:tc>
          <w:tcPr>
            <w:tcW w:w="1448" w:type="pct"/>
            <w:tcBorders>
              <w:left w:val="nil"/>
            </w:tcBorders>
          </w:tcPr>
          <w:p w14:paraId="78019EC7" w14:textId="77777777" w:rsidR="00C37C68" w:rsidRPr="0058641B" w:rsidRDefault="00C37C68" w:rsidP="00D034DA">
            <w:pPr>
              <w:pStyle w:val="TableText0"/>
              <w:keepNext w:val="0"/>
              <w:rPr>
                <w:iCs/>
              </w:rPr>
            </w:pPr>
            <w:r w:rsidRPr="0058641B">
              <w:rPr>
                <w:iCs/>
              </w:rPr>
              <w:t>Utility values of 0.76 for DFS and 0.74 for LRR (Grutters 2010)</w:t>
            </w:r>
            <w:r w:rsidRPr="0058641B">
              <w:rPr>
                <w:iCs/>
                <w:vertAlign w:val="superscript"/>
              </w:rPr>
              <w:t>c</w:t>
            </w:r>
          </w:p>
        </w:tc>
        <w:tc>
          <w:tcPr>
            <w:tcW w:w="989" w:type="pct"/>
            <w:vMerge/>
          </w:tcPr>
          <w:p w14:paraId="71354382" w14:textId="77777777" w:rsidR="00C37C68" w:rsidRPr="0058641B" w:rsidRDefault="00C37C68" w:rsidP="00D034DA">
            <w:pPr>
              <w:pStyle w:val="TableText0"/>
              <w:keepNext w:val="0"/>
              <w:rPr>
                <w:iCs/>
              </w:rPr>
            </w:pPr>
          </w:p>
        </w:tc>
        <w:tc>
          <w:tcPr>
            <w:tcW w:w="572" w:type="pct"/>
          </w:tcPr>
          <w:p w14:paraId="236BBEF3" w14:textId="4F849390"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5"/>
                <w14:textFill>
                  <w14:solidFill>
                    <w14:srgbClr w14:val="000000">
                      <w14:alpha w14:val="100000"/>
                    </w14:srgbClr>
                  </w14:solidFill>
                </w14:textFill>
              </w:rPr>
              <w:t>|</w:t>
            </w:r>
            <w:r w:rsidR="00A8021D" w:rsidRPr="00A8021D">
              <w:rPr>
                <w:iCs/>
                <w:color w:val="000000"/>
                <w:spacing w:val="1"/>
                <w:shd w:val="solid" w:color="000000" w:fill="000000"/>
                <w:fitText w:val="190" w:id="-1435765235"/>
                <w14:textFill>
                  <w14:solidFill>
                    <w14:srgbClr w14:val="000000">
                      <w14:alpha w14:val="100000"/>
                    </w14:srgbClr>
                  </w14:solidFill>
                </w14:textFill>
              </w:rPr>
              <w:t>|</w:t>
            </w:r>
          </w:p>
        </w:tc>
        <w:tc>
          <w:tcPr>
            <w:tcW w:w="532" w:type="pct"/>
          </w:tcPr>
          <w:p w14:paraId="77893954" w14:textId="77777777" w:rsidR="00C37C68" w:rsidRPr="0058641B" w:rsidRDefault="00C37C68" w:rsidP="00D034DA">
            <w:pPr>
              <w:pStyle w:val="TableText0"/>
              <w:keepNext w:val="0"/>
              <w:jc w:val="center"/>
              <w:rPr>
                <w:iCs/>
              </w:rPr>
            </w:pPr>
            <w:r w:rsidRPr="0058641B">
              <w:rPr>
                <w:iCs/>
              </w:rPr>
              <w:t>0.828</w:t>
            </w:r>
          </w:p>
        </w:tc>
        <w:tc>
          <w:tcPr>
            <w:tcW w:w="607" w:type="pct"/>
          </w:tcPr>
          <w:p w14:paraId="66694F8A" w14:textId="21619678" w:rsidR="00C37C68" w:rsidRPr="0058641B" w:rsidRDefault="00C37C68"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4"/>
                <w14:textFill>
                  <w14:solidFill>
                    <w14:srgbClr w14:val="000000">
                      <w14:alpha w14:val="100000"/>
                    </w14:srgbClr>
                  </w14:solidFill>
                </w14:textFill>
              </w:rPr>
              <w:t>|</w:t>
            </w:r>
            <w:r w:rsidR="00A8021D" w:rsidRPr="00A8021D">
              <w:rPr>
                <w:iCs/>
                <w:color w:val="000000"/>
                <w:spacing w:val="1"/>
                <w:shd w:val="solid" w:color="000000" w:fill="000000"/>
                <w:fitText w:val="190" w:id="-1435765234"/>
                <w14:textFill>
                  <w14:solidFill>
                    <w14:srgbClr w14:val="000000">
                      <w14:alpha w14:val="100000"/>
                    </w14:srgbClr>
                  </w14:solidFill>
                </w14:textFill>
              </w:rPr>
              <w:t>|</w:t>
            </w:r>
            <w:r w:rsidR="001A775F" w:rsidRPr="001A775F">
              <w:rPr>
                <w:bCs w:val="0"/>
                <w:iCs/>
                <w:vertAlign w:val="superscript"/>
              </w:rPr>
              <w:t>1</w:t>
            </w:r>
          </w:p>
        </w:tc>
        <w:tc>
          <w:tcPr>
            <w:tcW w:w="473" w:type="pct"/>
          </w:tcPr>
          <w:p w14:paraId="711D3D11" w14:textId="77777777" w:rsidR="00C37C68" w:rsidRPr="0058641B" w:rsidRDefault="00C37C68" w:rsidP="00D034DA">
            <w:pPr>
              <w:pStyle w:val="TableText0"/>
              <w:keepNext w:val="0"/>
              <w:jc w:val="center"/>
              <w:rPr>
                <w:iCs/>
              </w:rPr>
            </w:pPr>
            <w:r w:rsidRPr="0058641B">
              <w:rPr>
                <w:iCs/>
              </w:rPr>
              <w:t>9%</w:t>
            </w:r>
          </w:p>
        </w:tc>
      </w:tr>
      <w:tr w:rsidR="005C3F0D" w:rsidRPr="0058641B" w14:paraId="7B04AF6A" w14:textId="77777777" w:rsidTr="00855FED">
        <w:trPr>
          <w:cantSplit/>
        </w:trPr>
        <w:tc>
          <w:tcPr>
            <w:tcW w:w="379" w:type="pct"/>
            <w:tcBorders>
              <w:right w:val="nil"/>
            </w:tcBorders>
          </w:tcPr>
          <w:p w14:paraId="26CC4478" w14:textId="12750434" w:rsidR="005C3F0D" w:rsidRPr="0058641B" w:rsidRDefault="005C3F0D" w:rsidP="00D034DA">
            <w:pPr>
              <w:pStyle w:val="TableText0"/>
              <w:keepNext w:val="0"/>
              <w:rPr>
                <w:iCs/>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5</w:t>
            </w:r>
            <w:r w:rsidRPr="0058641B">
              <w:rPr>
                <w:iCs/>
              </w:rPr>
              <w:fldChar w:fldCharType="end"/>
            </w:r>
          </w:p>
        </w:tc>
        <w:tc>
          <w:tcPr>
            <w:tcW w:w="1448" w:type="pct"/>
            <w:tcBorders>
              <w:left w:val="nil"/>
            </w:tcBorders>
            <w:vAlign w:val="center"/>
          </w:tcPr>
          <w:p w14:paraId="056B6FE3" w14:textId="77777777" w:rsidR="005C3F0D" w:rsidRPr="0058641B" w:rsidRDefault="005C3F0D" w:rsidP="00D034DA">
            <w:pPr>
              <w:pStyle w:val="TableText0"/>
              <w:keepNext w:val="0"/>
              <w:rPr>
                <w:iCs/>
              </w:rPr>
            </w:pPr>
            <w:r w:rsidRPr="0058641B">
              <w:rPr>
                <w:iCs/>
              </w:rPr>
              <w:t>70% use of pembrolizumab combination therapy in the 1L DR setting after BSC</w:t>
            </w:r>
          </w:p>
        </w:tc>
        <w:tc>
          <w:tcPr>
            <w:tcW w:w="989" w:type="pct"/>
            <w:vMerge w:val="restart"/>
          </w:tcPr>
          <w:p w14:paraId="05B0051A" w14:textId="6C821E58" w:rsidR="005C3F0D" w:rsidRPr="0058641B" w:rsidRDefault="005C3F0D" w:rsidP="005C3F0D">
            <w:pPr>
              <w:pStyle w:val="TableText0"/>
              <w:keepNext w:val="0"/>
              <w:rPr>
                <w:iCs/>
              </w:rPr>
            </w:pPr>
            <w:r w:rsidRPr="0058641B">
              <w:rPr>
                <w:iCs/>
              </w:rPr>
              <w:t>80%</w:t>
            </w:r>
          </w:p>
        </w:tc>
        <w:tc>
          <w:tcPr>
            <w:tcW w:w="572" w:type="pct"/>
          </w:tcPr>
          <w:p w14:paraId="4CC05B4F" w14:textId="463A6BC8" w:rsidR="005C3F0D" w:rsidRPr="0058641B" w:rsidRDefault="005C3F0D"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3"/>
                <w14:textFill>
                  <w14:solidFill>
                    <w14:srgbClr w14:val="000000">
                      <w14:alpha w14:val="100000"/>
                    </w14:srgbClr>
                  </w14:solidFill>
                </w14:textFill>
              </w:rPr>
              <w:t>|</w:t>
            </w:r>
            <w:r w:rsidR="00A8021D" w:rsidRPr="00A8021D">
              <w:rPr>
                <w:iCs/>
                <w:color w:val="000000"/>
                <w:spacing w:val="1"/>
                <w:shd w:val="solid" w:color="000000" w:fill="000000"/>
                <w:fitText w:val="190" w:id="-1435765233"/>
                <w14:textFill>
                  <w14:solidFill>
                    <w14:srgbClr w14:val="000000">
                      <w14:alpha w14:val="100000"/>
                    </w14:srgbClr>
                  </w14:solidFill>
                </w14:textFill>
              </w:rPr>
              <w:t>|</w:t>
            </w:r>
          </w:p>
        </w:tc>
        <w:tc>
          <w:tcPr>
            <w:tcW w:w="532" w:type="pct"/>
          </w:tcPr>
          <w:p w14:paraId="0A7BCDA1" w14:textId="77777777" w:rsidR="005C3F0D" w:rsidRPr="0058641B" w:rsidRDefault="005C3F0D" w:rsidP="00D034DA">
            <w:pPr>
              <w:pStyle w:val="TableText0"/>
              <w:keepNext w:val="0"/>
              <w:jc w:val="center"/>
              <w:rPr>
                <w:iCs/>
              </w:rPr>
            </w:pPr>
            <w:r w:rsidRPr="0058641B">
              <w:rPr>
                <w:iCs/>
              </w:rPr>
              <w:t>0.914</w:t>
            </w:r>
          </w:p>
        </w:tc>
        <w:tc>
          <w:tcPr>
            <w:tcW w:w="607" w:type="pct"/>
          </w:tcPr>
          <w:p w14:paraId="4A8C4A7E" w14:textId="02FCD51C" w:rsidR="005C3F0D" w:rsidRPr="0058641B" w:rsidRDefault="005C3F0D"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32"/>
                <w14:textFill>
                  <w14:solidFill>
                    <w14:srgbClr w14:val="000000">
                      <w14:alpha w14:val="100000"/>
                    </w14:srgbClr>
                  </w14:solidFill>
                </w14:textFill>
              </w:rPr>
              <w:t>|</w:t>
            </w:r>
            <w:r w:rsidR="00A8021D" w:rsidRPr="00A8021D">
              <w:rPr>
                <w:iCs/>
                <w:color w:val="000000"/>
                <w:spacing w:val="1"/>
                <w:shd w:val="solid" w:color="000000" w:fill="000000"/>
                <w:fitText w:val="190" w:id="-1435765232"/>
                <w14:textFill>
                  <w14:solidFill>
                    <w14:srgbClr w14:val="000000">
                      <w14:alpha w14:val="100000"/>
                    </w14:srgbClr>
                  </w14:solidFill>
                </w14:textFill>
              </w:rPr>
              <w:t>|</w:t>
            </w:r>
            <w:r w:rsidR="001A775F">
              <w:rPr>
                <w:bCs w:val="0"/>
                <w:iCs/>
                <w:vertAlign w:val="superscript"/>
              </w:rPr>
              <w:t>2</w:t>
            </w:r>
          </w:p>
        </w:tc>
        <w:tc>
          <w:tcPr>
            <w:tcW w:w="473" w:type="pct"/>
          </w:tcPr>
          <w:p w14:paraId="031295AD" w14:textId="77777777" w:rsidR="005C3F0D" w:rsidRPr="0058641B" w:rsidRDefault="005C3F0D" w:rsidP="00D034DA">
            <w:pPr>
              <w:pStyle w:val="TableText0"/>
              <w:keepNext w:val="0"/>
              <w:jc w:val="center"/>
              <w:rPr>
                <w:iCs/>
              </w:rPr>
            </w:pPr>
            <w:r w:rsidRPr="0058641B">
              <w:rPr>
                <w:iCs/>
              </w:rPr>
              <w:t>10%</w:t>
            </w:r>
          </w:p>
        </w:tc>
      </w:tr>
      <w:tr w:rsidR="005C3F0D" w:rsidRPr="0058641B" w14:paraId="358F8A45" w14:textId="77777777" w:rsidTr="00575137">
        <w:trPr>
          <w:cantSplit/>
          <w:trHeight w:val="44"/>
        </w:trPr>
        <w:tc>
          <w:tcPr>
            <w:tcW w:w="379" w:type="pct"/>
            <w:tcBorders>
              <w:top w:val="single" w:sz="4" w:space="0" w:color="auto"/>
              <w:left w:val="single" w:sz="4" w:space="0" w:color="auto"/>
              <w:bottom w:val="single" w:sz="4" w:space="0" w:color="auto"/>
              <w:right w:val="nil"/>
            </w:tcBorders>
          </w:tcPr>
          <w:p w14:paraId="7DCA5DBB" w14:textId="27346906" w:rsidR="005C3F0D" w:rsidRPr="0058641B" w:rsidRDefault="005C3F0D" w:rsidP="00D034DA">
            <w:pPr>
              <w:pStyle w:val="TableText0"/>
              <w:keepNext w:val="0"/>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6</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tcBorders>
            <w:vAlign w:val="center"/>
          </w:tcPr>
          <w:p w14:paraId="577AD92D" w14:textId="0132183A" w:rsidR="005C3F0D" w:rsidRPr="0058641B" w:rsidRDefault="005C3F0D" w:rsidP="00D034DA">
            <w:pPr>
              <w:pStyle w:val="TableText0"/>
              <w:keepNext w:val="0"/>
              <w:rPr>
                <w:iCs/>
              </w:rPr>
            </w:pPr>
            <w:r w:rsidRPr="0058641B">
              <w:rPr>
                <w:iCs/>
              </w:rPr>
              <w:t>60% use of pembrolizumab combination therapy in the 1L DR setting after BSC</w:t>
            </w:r>
          </w:p>
        </w:tc>
        <w:tc>
          <w:tcPr>
            <w:tcW w:w="989" w:type="pct"/>
            <w:vMerge/>
          </w:tcPr>
          <w:p w14:paraId="1EEA7222" w14:textId="530B3AF3" w:rsidR="005C3F0D" w:rsidRPr="0058641B" w:rsidRDefault="005C3F0D" w:rsidP="00D034DA">
            <w:pPr>
              <w:pStyle w:val="TableText0"/>
              <w:rPr>
                <w:iCs/>
              </w:rPr>
            </w:pPr>
          </w:p>
        </w:tc>
        <w:tc>
          <w:tcPr>
            <w:tcW w:w="572" w:type="pct"/>
            <w:tcBorders>
              <w:top w:val="single" w:sz="4" w:space="0" w:color="auto"/>
              <w:bottom w:val="single" w:sz="4" w:space="0" w:color="auto"/>
              <w:right w:val="single" w:sz="4" w:space="0" w:color="auto"/>
            </w:tcBorders>
          </w:tcPr>
          <w:p w14:paraId="23295393" w14:textId="550AACBF" w:rsidR="005C3F0D" w:rsidRPr="0058641B" w:rsidRDefault="005C3F0D"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48"/>
                <w14:textFill>
                  <w14:solidFill>
                    <w14:srgbClr w14:val="000000">
                      <w14:alpha w14:val="100000"/>
                    </w14:srgbClr>
                  </w14:solidFill>
                </w14:textFill>
              </w:rPr>
              <w:t>|</w:t>
            </w:r>
            <w:r w:rsidR="00A8021D" w:rsidRPr="00A8021D">
              <w:rPr>
                <w:iCs/>
                <w:color w:val="000000"/>
                <w:spacing w:val="1"/>
                <w:shd w:val="solid" w:color="000000" w:fill="000000"/>
                <w:fitText w:val="190" w:id="-1435765248"/>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03780459" w14:textId="77777777" w:rsidR="005C3F0D" w:rsidRPr="0058641B" w:rsidRDefault="005C3F0D" w:rsidP="00D034DA">
            <w:pPr>
              <w:pStyle w:val="TableText0"/>
              <w:keepNext w:val="0"/>
              <w:jc w:val="center"/>
              <w:rPr>
                <w:iCs/>
              </w:rPr>
            </w:pPr>
            <w:r w:rsidRPr="0058641B">
              <w:rPr>
                <w:iCs/>
              </w:rPr>
              <w:t>0.927</w:t>
            </w:r>
          </w:p>
        </w:tc>
        <w:tc>
          <w:tcPr>
            <w:tcW w:w="607" w:type="pct"/>
            <w:tcBorders>
              <w:top w:val="single" w:sz="4" w:space="0" w:color="auto"/>
              <w:left w:val="single" w:sz="4" w:space="0" w:color="auto"/>
              <w:bottom w:val="single" w:sz="4" w:space="0" w:color="auto"/>
              <w:right w:val="single" w:sz="4" w:space="0" w:color="auto"/>
            </w:tcBorders>
          </w:tcPr>
          <w:p w14:paraId="2E4B8AEC" w14:textId="17CFF3CA" w:rsidR="005C3F0D" w:rsidRPr="0058641B" w:rsidRDefault="005C3F0D" w:rsidP="00D034DA">
            <w:pPr>
              <w:pStyle w:val="TableText0"/>
              <w:keepNext w:val="0"/>
              <w:jc w:val="center"/>
              <w:rPr>
                <w:iCs/>
              </w:rPr>
            </w:pPr>
            <w:r w:rsidRPr="0058641B">
              <w:rPr>
                <w:iCs/>
              </w:rPr>
              <w:t>$</w:t>
            </w:r>
            <w:r w:rsidR="00A8021D" w:rsidRPr="00A8021D">
              <w:rPr>
                <w:iCs/>
                <w:color w:val="000000"/>
                <w:spacing w:val="104"/>
                <w:shd w:val="solid" w:color="000000" w:fill="000000"/>
                <w:fitText w:val="190" w:id="-1435765247"/>
                <w14:textFill>
                  <w14:solidFill>
                    <w14:srgbClr w14:val="000000">
                      <w14:alpha w14:val="100000"/>
                    </w14:srgbClr>
                  </w14:solidFill>
                </w14:textFill>
              </w:rPr>
              <w:t>|</w:t>
            </w:r>
            <w:r w:rsidR="00A8021D" w:rsidRPr="00A8021D">
              <w:rPr>
                <w:iCs/>
                <w:color w:val="000000"/>
                <w:spacing w:val="1"/>
                <w:shd w:val="solid" w:color="000000" w:fill="000000"/>
                <w:fitText w:val="190" w:id="-1435765247"/>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231D493E" w14:textId="77777777" w:rsidR="005C3F0D" w:rsidRPr="0058641B" w:rsidRDefault="005C3F0D" w:rsidP="00D034DA">
            <w:pPr>
              <w:pStyle w:val="TableText0"/>
              <w:keepNext w:val="0"/>
              <w:jc w:val="center"/>
              <w:rPr>
                <w:iCs/>
              </w:rPr>
            </w:pPr>
            <w:r w:rsidRPr="0058641B">
              <w:rPr>
                <w:iCs/>
              </w:rPr>
              <w:t>19%</w:t>
            </w:r>
          </w:p>
        </w:tc>
      </w:tr>
      <w:tr w:rsidR="005C3F0D" w:rsidRPr="0058641B" w14:paraId="57D98FDD"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719E5F16" w14:textId="6265BEA6" w:rsidR="005C3F0D" w:rsidRPr="0058641B" w:rsidRDefault="005C3F0D" w:rsidP="005C3F0D">
            <w:pPr>
              <w:pStyle w:val="TableText0"/>
              <w:keepNext w:val="0"/>
              <w:rPr>
                <w:iCs/>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7</w:t>
            </w:r>
            <w:r w:rsidRPr="0058641B">
              <w:rPr>
                <w:iCs/>
              </w:rPr>
              <w:fldChar w:fldCharType="end"/>
            </w:r>
          </w:p>
        </w:tc>
        <w:tc>
          <w:tcPr>
            <w:tcW w:w="1448" w:type="pct"/>
            <w:tcBorders>
              <w:top w:val="single" w:sz="4" w:space="0" w:color="auto"/>
              <w:left w:val="nil"/>
              <w:bottom w:val="single" w:sz="4" w:space="0" w:color="auto"/>
            </w:tcBorders>
            <w:vAlign w:val="center"/>
          </w:tcPr>
          <w:p w14:paraId="63B2C3F4" w14:textId="4EAD19B2" w:rsidR="005C3F0D" w:rsidRPr="0058641B" w:rsidRDefault="005C3F0D" w:rsidP="005C3F0D">
            <w:pPr>
              <w:pStyle w:val="TableText0"/>
              <w:keepNext w:val="0"/>
              <w:rPr>
                <w:iCs/>
              </w:rPr>
            </w:pPr>
            <w:r w:rsidRPr="0058641B">
              <w:rPr>
                <w:iCs/>
              </w:rPr>
              <w:t>0% use of pembrolizumab combination therapy in the 1L DR setting after BSC</w:t>
            </w:r>
          </w:p>
        </w:tc>
        <w:tc>
          <w:tcPr>
            <w:tcW w:w="989" w:type="pct"/>
            <w:vMerge/>
            <w:tcBorders>
              <w:bottom w:val="single" w:sz="4" w:space="0" w:color="auto"/>
            </w:tcBorders>
          </w:tcPr>
          <w:p w14:paraId="5C14564F" w14:textId="1F299844" w:rsidR="005C3F0D" w:rsidRPr="0058641B" w:rsidRDefault="005C3F0D" w:rsidP="005C3F0D">
            <w:pPr>
              <w:pStyle w:val="TableText0"/>
              <w:keepNext w:val="0"/>
              <w:rPr>
                <w:iCs/>
              </w:rPr>
            </w:pPr>
          </w:p>
        </w:tc>
        <w:tc>
          <w:tcPr>
            <w:tcW w:w="572" w:type="pct"/>
            <w:tcBorders>
              <w:top w:val="single" w:sz="4" w:space="0" w:color="auto"/>
              <w:bottom w:val="single" w:sz="4" w:space="0" w:color="auto"/>
              <w:right w:val="single" w:sz="4" w:space="0" w:color="auto"/>
            </w:tcBorders>
          </w:tcPr>
          <w:p w14:paraId="133FF968" w14:textId="79373743"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6"/>
                <w14:textFill>
                  <w14:solidFill>
                    <w14:srgbClr w14:val="000000">
                      <w14:alpha w14:val="100000"/>
                    </w14:srgbClr>
                  </w14:solidFill>
                </w14:textFill>
              </w:rPr>
              <w:t>|</w:t>
            </w:r>
            <w:r w:rsidR="00A8021D" w:rsidRPr="00A8021D">
              <w:rPr>
                <w:iCs/>
                <w:color w:val="000000"/>
                <w:spacing w:val="1"/>
                <w:shd w:val="solid" w:color="000000" w:fill="000000"/>
                <w:fitText w:val="190" w:id="-1435765246"/>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184FC30E" w14:textId="4F06A5AD" w:rsidR="005C3F0D" w:rsidRPr="0058641B" w:rsidRDefault="005C3F0D" w:rsidP="005C3F0D">
            <w:pPr>
              <w:pStyle w:val="TableText0"/>
              <w:keepNext w:val="0"/>
              <w:jc w:val="center"/>
              <w:rPr>
                <w:iCs/>
              </w:rPr>
            </w:pPr>
            <w:r w:rsidRPr="0058641B">
              <w:rPr>
                <w:iCs/>
              </w:rPr>
              <w:t>0.981</w:t>
            </w:r>
          </w:p>
        </w:tc>
        <w:tc>
          <w:tcPr>
            <w:tcW w:w="607" w:type="pct"/>
            <w:tcBorders>
              <w:top w:val="single" w:sz="4" w:space="0" w:color="auto"/>
              <w:left w:val="single" w:sz="4" w:space="0" w:color="auto"/>
              <w:bottom w:val="single" w:sz="4" w:space="0" w:color="auto"/>
              <w:right w:val="single" w:sz="4" w:space="0" w:color="auto"/>
            </w:tcBorders>
          </w:tcPr>
          <w:p w14:paraId="46FAB35F" w14:textId="55FCA2D8"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5"/>
                <w14:textFill>
                  <w14:solidFill>
                    <w14:srgbClr w14:val="000000">
                      <w14:alpha w14:val="100000"/>
                    </w14:srgbClr>
                  </w14:solidFill>
                </w14:textFill>
              </w:rPr>
              <w:t>|</w:t>
            </w:r>
            <w:r w:rsidR="00A8021D" w:rsidRPr="00A8021D">
              <w:rPr>
                <w:iCs/>
                <w:color w:val="000000"/>
                <w:spacing w:val="1"/>
                <w:shd w:val="solid" w:color="000000" w:fill="000000"/>
                <w:fitText w:val="190" w:id="-1435765245"/>
                <w14:textFill>
                  <w14:solidFill>
                    <w14:srgbClr w14:val="000000">
                      <w14:alpha w14:val="100000"/>
                    </w14:srgbClr>
                  </w14:solidFill>
                </w14:textFill>
              </w:rPr>
              <w:t>|</w:t>
            </w:r>
            <w:r w:rsidR="001A775F">
              <w:rPr>
                <w:bCs w:val="0"/>
                <w:iCs/>
                <w:vertAlign w:val="superscript"/>
              </w:rPr>
              <w:t>3</w:t>
            </w:r>
          </w:p>
        </w:tc>
        <w:tc>
          <w:tcPr>
            <w:tcW w:w="473" w:type="pct"/>
            <w:tcBorders>
              <w:top w:val="single" w:sz="4" w:space="0" w:color="auto"/>
              <w:left w:val="single" w:sz="4" w:space="0" w:color="auto"/>
              <w:bottom w:val="single" w:sz="4" w:space="0" w:color="auto"/>
              <w:right w:val="single" w:sz="4" w:space="0" w:color="auto"/>
            </w:tcBorders>
          </w:tcPr>
          <w:p w14:paraId="1AC021B3" w14:textId="4BC8C8A8" w:rsidR="005C3F0D" w:rsidRPr="0058641B" w:rsidRDefault="005C3F0D" w:rsidP="005C3F0D">
            <w:pPr>
              <w:pStyle w:val="TableText0"/>
              <w:keepNext w:val="0"/>
              <w:jc w:val="center"/>
              <w:rPr>
                <w:iCs/>
              </w:rPr>
            </w:pPr>
            <w:r w:rsidRPr="0058641B">
              <w:rPr>
                <w:iCs/>
              </w:rPr>
              <w:t>76%</w:t>
            </w:r>
          </w:p>
        </w:tc>
      </w:tr>
      <w:tr w:rsidR="005C3F0D" w:rsidRPr="0058641B" w14:paraId="684DA3B4"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5EB83C20" w14:textId="48A3CF59"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8</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5CE78744" w14:textId="77777777" w:rsidR="005C3F0D" w:rsidRPr="0058641B" w:rsidRDefault="005C3F0D" w:rsidP="005C3F0D">
            <w:pPr>
              <w:pStyle w:val="TableText0"/>
              <w:keepNext w:val="0"/>
              <w:rPr>
                <w:iCs/>
              </w:rPr>
            </w:pPr>
            <w:r w:rsidRPr="0058641B">
              <w:rPr>
                <w:iCs/>
              </w:rPr>
              <w:t xml:space="preserve">No adjustment for time limited treatment effect </w:t>
            </w:r>
          </w:p>
        </w:tc>
        <w:tc>
          <w:tcPr>
            <w:tcW w:w="989" w:type="pct"/>
            <w:tcBorders>
              <w:top w:val="single" w:sz="4" w:space="0" w:color="auto"/>
              <w:left w:val="single" w:sz="4" w:space="0" w:color="auto"/>
              <w:bottom w:val="single" w:sz="4" w:space="0" w:color="auto"/>
              <w:right w:val="single" w:sz="4" w:space="0" w:color="auto"/>
            </w:tcBorders>
          </w:tcPr>
          <w:p w14:paraId="393D2E45" w14:textId="77777777" w:rsidR="005C3F0D" w:rsidRPr="0058641B" w:rsidRDefault="005C3F0D" w:rsidP="005C3F0D">
            <w:pPr>
              <w:pStyle w:val="TableText0"/>
              <w:keepNext w:val="0"/>
              <w:rPr>
                <w:iCs/>
              </w:rPr>
            </w:pPr>
            <w:r w:rsidRPr="0058641B">
              <w:rPr>
                <w:iCs/>
              </w:rPr>
              <w:t>Incorporating adjustment for time limited treatment effect</w:t>
            </w:r>
          </w:p>
        </w:tc>
        <w:tc>
          <w:tcPr>
            <w:tcW w:w="572" w:type="pct"/>
            <w:tcBorders>
              <w:top w:val="single" w:sz="4" w:space="0" w:color="auto"/>
              <w:left w:val="single" w:sz="4" w:space="0" w:color="auto"/>
              <w:bottom w:val="single" w:sz="4" w:space="0" w:color="auto"/>
              <w:right w:val="single" w:sz="4" w:space="0" w:color="auto"/>
            </w:tcBorders>
          </w:tcPr>
          <w:p w14:paraId="7B24DC7D" w14:textId="4643CBA5"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4"/>
                <w14:textFill>
                  <w14:solidFill>
                    <w14:srgbClr w14:val="000000">
                      <w14:alpha w14:val="100000"/>
                    </w14:srgbClr>
                  </w14:solidFill>
                </w14:textFill>
              </w:rPr>
              <w:t>|</w:t>
            </w:r>
            <w:r w:rsidR="00A8021D" w:rsidRPr="00A8021D">
              <w:rPr>
                <w:iCs/>
                <w:color w:val="000000"/>
                <w:spacing w:val="1"/>
                <w:shd w:val="solid" w:color="000000" w:fill="000000"/>
                <w:fitText w:val="190" w:id="-1435765244"/>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502B95EE" w14:textId="77777777" w:rsidR="005C3F0D" w:rsidRPr="0058641B" w:rsidRDefault="005C3F0D" w:rsidP="005C3F0D">
            <w:pPr>
              <w:pStyle w:val="TableText0"/>
              <w:keepNext w:val="0"/>
              <w:jc w:val="center"/>
              <w:rPr>
                <w:iCs/>
              </w:rPr>
            </w:pPr>
            <w:r w:rsidRPr="0058641B">
              <w:rPr>
                <w:iCs/>
              </w:rPr>
              <w:t>0.885</w:t>
            </w:r>
          </w:p>
        </w:tc>
        <w:tc>
          <w:tcPr>
            <w:tcW w:w="607" w:type="pct"/>
            <w:tcBorders>
              <w:top w:val="single" w:sz="4" w:space="0" w:color="auto"/>
              <w:left w:val="single" w:sz="4" w:space="0" w:color="auto"/>
              <w:bottom w:val="single" w:sz="4" w:space="0" w:color="auto"/>
              <w:right w:val="single" w:sz="4" w:space="0" w:color="auto"/>
            </w:tcBorders>
          </w:tcPr>
          <w:p w14:paraId="3323A24E" w14:textId="427B8C19"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3"/>
                <w14:textFill>
                  <w14:solidFill>
                    <w14:srgbClr w14:val="000000">
                      <w14:alpha w14:val="100000"/>
                    </w14:srgbClr>
                  </w14:solidFill>
                </w14:textFill>
              </w:rPr>
              <w:t>|</w:t>
            </w:r>
            <w:r w:rsidR="00A8021D" w:rsidRPr="00A8021D">
              <w:rPr>
                <w:iCs/>
                <w:color w:val="000000"/>
                <w:spacing w:val="1"/>
                <w:shd w:val="solid" w:color="000000" w:fill="000000"/>
                <w:fitText w:val="190" w:id="-1435765243"/>
                <w14:textFill>
                  <w14:solidFill>
                    <w14:srgbClr w14:val="000000">
                      <w14:alpha w14:val="100000"/>
                    </w14:srgbClr>
                  </w14:solidFill>
                </w14:textFill>
              </w:rPr>
              <w:t>|</w:t>
            </w:r>
            <w:r w:rsidR="001A775F" w:rsidRPr="001A775F">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791651D0" w14:textId="77777777" w:rsidR="005C3F0D" w:rsidRPr="0058641B" w:rsidRDefault="005C3F0D" w:rsidP="005C3F0D">
            <w:pPr>
              <w:pStyle w:val="TableText0"/>
              <w:keepNext w:val="0"/>
              <w:jc w:val="center"/>
              <w:rPr>
                <w:iCs/>
              </w:rPr>
            </w:pPr>
            <w:r w:rsidRPr="0058641B">
              <w:rPr>
                <w:iCs/>
              </w:rPr>
              <w:t>2%</w:t>
            </w:r>
          </w:p>
        </w:tc>
      </w:tr>
      <w:tr w:rsidR="005C3F0D" w:rsidRPr="0058641B" w14:paraId="07EBF32D"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058E1612" w14:textId="0386E966"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9</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36F176AC" w14:textId="77777777" w:rsidR="005C3F0D" w:rsidRPr="0058641B" w:rsidRDefault="005C3F0D" w:rsidP="005C3F0D">
            <w:pPr>
              <w:pStyle w:val="TableText0"/>
              <w:keepNext w:val="0"/>
              <w:rPr>
                <w:iCs/>
              </w:rPr>
            </w:pPr>
            <w:r w:rsidRPr="0058641B">
              <w:rPr>
                <w:iCs/>
              </w:rPr>
              <w:t>No adjustment for sustained DFS</w:t>
            </w:r>
          </w:p>
        </w:tc>
        <w:tc>
          <w:tcPr>
            <w:tcW w:w="989" w:type="pct"/>
            <w:vMerge w:val="restart"/>
            <w:tcBorders>
              <w:top w:val="single" w:sz="4" w:space="0" w:color="auto"/>
              <w:left w:val="single" w:sz="4" w:space="0" w:color="auto"/>
              <w:right w:val="single" w:sz="4" w:space="0" w:color="auto"/>
            </w:tcBorders>
          </w:tcPr>
          <w:p w14:paraId="68627EEC" w14:textId="77777777" w:rsidR="005C3F0D" w:rsidRPr="0058641B" w:rsidRDefault="005C3F0D" w:rsidP="005C3F0D">
            <w:pPr>
              <w:pStyle w:val="TableText0"/>
              <w:keepNext w:val="0"/>
              <w:rPr>
                <w:iCs/>
              </w:rPr>
            </w:pPr>
            <w:r w:rsidRPr="0058641B">
              <w:rPr>
                <w:iCs/>
              </w:rPr>
              <w:t>Incorporating adjustment for sustained DFS, proportion of patients with sustained DFS starts to increase from Year 2 and achieve maximum of 91.5% at Year 5</w:t>
            </w:r>
          </w:p>
        </w:tc>
        <w:tc>
          <w:tcPr>
            <w:tcW w:w="572" w:type="pct"/>
            <w:tcBorders>
              <w:top w:val="single" w:sz="4" w:space="0" w:color="auto"/>
              <w:left w:val="single" w:sz="4" w:space="0" w:color="auto"/>
              <w:bottom w:val="single" w:sz="4" w:space="0" w:color="auto"/>
              <w:right w:val="single" w:sz="4" w:space="0" w:color="auto"/>
            </w:tcBorders>
          </w:tcPr>
          <w:p w14:paraId="25AC06CB" w14:textId="0B903DCC"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2"/>
                <w14:textFill>
                  <w14:solidFill>
                    <w14:srgbClr w14:val="000000">
                      <w14:alpha w14:val="100000"/>
                    </w14:srgbClr>
                  </w14:solidFill>
                </w14:textFill>
              </w:rPr>
              <w:t>|</w:t>
            </w:r>
            <w:r w:rsidR="00A8021D" w:rsidRPr="00A8021D">
              <w:rPr>
                <w:iCs/>
                <w:color w:val="000000"/>
                <w:spacing w:val="1"/>
                <w:shd w:val="solid" w:color="000000" w:fill="000000"/>
                <w:fitText w:val="190" w:id="-1435765242"/>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538D522B" w14:textId="77777777" w:rsidR="005C3F0D" w:rsidRPr="0058641B" w:rsidRDefault="005C3F0D" w:rsidP="005C3F0D">
            <w:pPr>
              <w:pStyle w:val="TableText0"/>
              <w:keepNext w:val="0"/>
              <w:jc w:val="center"/>
              <w:rPr>
                <w:iCs/>
              </w:rPr>
            </w:pPr>
            <w:r w:rsidRPr="0058641B">
              <w:rPr>
                <w:iCs/>
              </w:rPr>
              <w:t>0.517</w:t>
            </w:r>
          </w:p>
        </w:tc>
        <w:tc>
          <w:tcPr>
            <w:tcW w:w="607" w:type="pct"/>
            <w:tcBorders>
              <w:top w:val="single" w:sz="4" w:space="0" w:color="auto"/>
              <w:left w:val="single" w:sz="4" w:space="0" w:color="auto"/>
              <w:bottom w:val="single" w:sz="4" w:space="0" w:color="auto"/>
              <w:right w:val="single" w:sz="4" w:space="0" w:color="auto"/>
            </w:tcBorders>
          </w:tcPr>
          <w:p w14:paraId="6F960CD7" w14:textId="49C32797"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1"/>
                <w14:textFill>
                  <w14:solidFill>
                    <w14:srgbClr w14:val="000000">
                      <w14:alpha w14:val="100000"/>
                    </w14:srgbClr>
                  </w14:solidFill>
                </w14:textFill>
              </w:rPr>
              <w:t>|</w:t>
            </w:r>
            <w:r w:rsidR="00A8021D" w:rsidRPr="00A8021D">
              <w:rPr>
                <w:iCs/>
                <w:color w:val="000000"/>
                <w:spacing w:val="1"/>
                <w:shd w:val="solid" w:color="000000" w:fill="000000"/>
                <w:fitText w:val="190" w:id="-1435765241"/>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6A779069" w14:textId="77777777" w:rsidR="005C3F0D" w:rsidRPr="0058641B" w:rsidRDefault="005C3F0D" w:rsidP="005C3F0D">
            <w:pPr>
              <w:pStyle w:val="TableText0"/>
              <w:keepNext w:val="0"/>
              <w:jc w:val="center"/>
              <w:rPr>
                <w:iCs/>
              </w:rPr>
            </w:pPr>
            <w:r w:rsidRPr="0058641B">
              <w:rPr>
                <w:iCs/>
              </w:rPr>
              <w:t>20%</w:t>
            </w:r>
          </w:p>
        </w:tc>
      </w:tr>
      <w:tr w:rsidR="005C3F0D" w:rsidRPr="0058641B" w14:paraId="419D9BE8"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01DCAF76" w14:textId="645768EF"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10</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0A43F87E" w14:textId="77777777" w:rsidR="005C3F0D" w:rsidRPr="0058641B" w:rsidRDefault="005C3F0D" w:rsidP="005C3F0D">
            <w:pPr>
              <w:pStyle w:val="TableText0"/>
              <w:keepNext w:val="0"/>
              <w:rPr>
                <w:iCs/>
              </w:rPr>
            </w:pPr>
            <w:r w:rsidRPr="0058641B">
              <w:rPr>
                <w:iCs/>
              </w:rPr>
              <w:t>Maximum 75% achieving sustained DFS (arbitrary value)</w:t>
            </w:r>
          </w:p>
        </w:tc>
        <w:tc>
          <w:tcPr>
            <w:tcW w:w="989" w:type="pct"/>
            <w:vMerge/>
            <w:tcBorders>
              <w:left w:val="single" w:sz="4" w:space="0" w:color="auto"/>
              <w:right w:val="single" w:sz="4" w:space="0" w:color="auto"/>
            </w:tcBorders>
          </w:tcPr>
          <w:p w14:paraId="6CA0BD35" w14:textId="77777777" w:rsidR="005C3F0D" w:rsidRPr="0058641B" w:rsidRDefault="005C3F0D" w:rsidP="005C3F0D">
            <w:pPr>
              <w:pStyle w:val="TableText0"/>
              <w:keepNext w:val="0"/>
              <w:rPr>
                <w:iCs/>
              </w:rPr>
            </w:pPr>
          </w:p>
        </w:tc>
        <w:tc>
          <w:tcPr>
            <w:tcW w:w="572" w:type="pct"/>
            <w:tcBorders>
              <w:top w:val="single" w:sz="4" w:space="0" w:color="auto"/>
              <w:left w:val="single" w:sz="4" w:space="0" w:color="auto"/>
              <w:bottom w:val="single" w:sz="4" w:space="0" w:color="auto"/>
              <w:right w:val="single" w:sz="4" w:space="0" w:color="auto"/>
            </w:tcBorders>
          </w:tcPr>
          <w:p w14:paraId="6D879D5E" w14:textId="6C3C2A0B"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0"/>
                <w14:textFill>
                  <w14:solidFill>
                    <w14:srgbClr w14:val="000000">
                      <w14:alpha w14:val="100000"/>
                    </w14:srgbClr>
                  </w14:solidFill>
                </w14:textFill>
              </w:rPr>
              <w:t>|</w:t>
            </w:r>
            <w:r w:rsidR="00A8021D" w:rsidRPr="00A8021D">
              <w:rPr>
                <w:iCs/>
                <w:color w:val="000000"/>
                <w:spacing w:val="1"/>
                <w:shd w:val="solid" w:color="000000" w:fill="000000"/>
                <w:fitText w:val="190" w:id="-143576524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06AD0B46" w14:textId="77777777" w:rsidR="005C3F0D" w:rsidRPr="0058641B" w:rsidRDefault="005C3F0D" w:rsidP="005C3F0D">
            <w:pPr>
              <w:pStyle w:val="TableText0"/>
              <w:keepNext w:val="0"/>
              <w:jc w:val="center"/>
              <w:rPr>
                <w:iCs/>
              </w:rPr>
            </w:pPr>
            <w:r w:rsidRPr="0058641B">
              <w:rPr>
                <w:iCs/>
              </w:rPr>
              <w:t>0.800</w:t>
            </w:r>
          </w:p>
        </w:tc>
        <w:tc>
          <w:tcPr>
            <w:tcW w:w="607" w:type="pct"/>
            <w:tcBorders>
              <w:top w:val="single" w:sz="4" w:space="0" w:color="auto"/>
              <w:left w:val="single" w:sz="4" w:space="0" w:color="auto"/>
              <w:bottom w:val="single" w:sz="4" w:space="0" w:color="auto"/>
              <w:right w:val="single" w:sz="4" w:space="0" w:color="auto"/>
            </w:tcBorders>
          </w:tcPr>
          <w:p w14:paraId="3796341A" w14:textId="3B2F3DFC"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9"/>
                <w14:textFill>
                  <w14:solidFill>
                    <w14:srgbClr w14:val="000000">
                      <w14:alpha w14:val="100000"/>
                    </w14:srgbClr>
                  </w14:solidFill>
                </w14:textFill>
              </w:rPr>
              <w:t>|</w:t>
            </w:r>
            <w:r w:rsidR="00A8021D" w:rsidRPr="00A8021D">
              <w:rPr>
                <w:iCs/>
                <w:color w:val="000000"/>
                <w:spacing w:val="1"/>
                <w:shd w:val="solid" w:color="000000" w:fill="000000"/>
                <w:fitText w:val="190" w:id="-1435765239"/>
                <w14:textFill>
                  <w14:solidFill>
                    <w14:srgbClr w14:val="000000">
                      <w14:alpha w14:val="100000"/>
                    </w14:srgbClr>
                  </w14:solidFill>
                </w14:textFill>
              </w:rPr>
              <w:t>|</w:t>
            </w:r>
            <w:r w:rsidR="001A775F" w:rsidRPr="001A775F">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1859A1B7" w14:textId="77777777" w:rsidR="005C3F0D" w:rsidRPr="0058641B" w:rsidRDefault="005C3F0D" w:rsidP="005C3F0D">
            <w:pPr>
              <w:pStyle w:val="TableText0"/>
              <w:keepNext w:val="0"/>
              <w:jc w:val="center"/>
              <w:rPr>
                <w:iCs/>
              </w:rPr>
            </w:pPr>
            <w:r w:rsidRPr="0058641B">
              <w:rPr>
                <w:iCs/>
              </w:rPr>
              <w:t>3%</w:t>
            </w:r>
          </w:p>
        </w:tc>
      </w:tr>
      <w:tr w:rsidR="005C3F0D" w:rsidRPr="0058641B" w14:paraId="18FDF18B"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5672F67C" w14:textId="05514F6A"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11</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1366DFC5" w14:textId="77777777" w:rsidR="005C3F0D" w:rsidRPr="0058641B" w:rsidRDefault="005C3F0D" w:rsidP="005C3F0D">
            <w:pPr>
              <w:pStyle w:val="TableText0"/>
              <w:keepNext w:val="0"/>
              <w:rPr>
                <w:iCs/>
              </w:rPr>
            </w:pPr>
            <w:r w:rsidRPr="0058641B">
              <w:rPr>
                <w:iCs/>
              </w:rPr>
              <w:t>Proportion of patients with sustained DFS starts to increase from Year 4 and achieve the maximum (91.5%) at Year 10</w:t>
            </w:r>
          </w:p>
        </w:tc>
        <w:tc>
          <w:tcPr>
            <w:tcW w:w="989" w:type="pct"/>
            <w:vMerge/>
            <w:tcBorders>
              <w:left w:val="single" w:sz="4" w:space="0" w:color="auto"/>
              <w:bottom w:val="single" w:sz="4" w:space="0" w:color="auto"/>
              <w:right w:val="single" w:sz="4" w:space="0" w:color="auto"/>
            </w:tcBorders>
          </w:tcPr>
          <w:p w14:paraId="6CA3518B" w14:textId="77777777" w:rsidR="005C3F0D" w:rsidRPr="0058641B" w:rsidRDefault="005C3F0D" w:rsidP="005C3F0D">
            <w:pPr>
              <w:pStyle w:val="TableText0"/>
              <w:keepNext w:val="0"/>
              <w:rPr>
                <w:iCs/>
              </w:rPr>
            </w:pPr>
          </w:p>
        </w:tc>
        <w:tc>
          <w:tcPr>
            <w:tcW w:w="572" w:type="pct"/>
            <w:tcBorders>
              <w:top w:val="single" w:sz="4" w:space="0" w:color="auto"/>
              <w:left w:val="single" w:sz="4" w:space="0" w:color="auto"/>
              <w:bottom w:val="single" w:sz="4" w:space="0" w:color="auto"/>
              <w:right w:val="single" w:sz="4" w:space="0" w:color="auto"/>
            </w:tcBorders>
          </w:tcPr>
          <w:p w14:paraId="507C3E8D" w14:textId="75A9958F"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8"/>
                <w14:textFill>
                  <w14:solidFill>
                    <w14:srgbClr w14:val="000000">
                      <w14:alpha w14:val="100000"/>
                    </w14:srgbClr>
                  </w14:solidFill>
                </w14:textFill>
              </w:rPr>
              <w:t>|</w:t>
            </w:r>
            <w:r w:rsidR="00A8021D" w:rsidRPr="00A8021D">
              <w:rPr>
                <w:iCs/>
                <w:color w:val="000000"/>
                <w:spacing w:val="1"/>
                <w:shd w:val="solid" w:color="000000" w:fill="000000"/>
                <w:fitText w:val="190" w:id="-1435765238"/>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49788735" w14:textId="77777777" w:rsidR="005C3F0D" w:rsidRPr="0058641B" w:rsidRDefault="005C3F0D" w:rsidP="005C3F0D">
            <w:pPr>
              <w:pStyle w:val="TableText0"/>
              <w:keepNext w:val="0"/>
              <w:jc w:val="center"/>
              <w:rPr>
                <w:iCs/>
              </w:rPr>
            </w:pPr>
            <w:r w:rsidRPr="0058641B">
              <w:rPr>
                <w:iCs/>
              </w:rPr>
              <w:t>0.659</w:t>
            </w:r>
          </w:p>
        </w:tc>
        <w:tc>
          <w:tcPr>
            <w:tcW w:w="607" w:type="pct"/>
            <w:tcBorders>
              <w:top w:val="single" w:sz="4" w:space="0" w:color="auto"/>
              <w:left w:val="single" w:sz="4" w:space="0" w:color="auto"/>
              <w:bottom w:val="single" w:sz="4" w:space="0" w:color="auto"/>
              <w:right w:val="single" w:sz="4" w:space="0" w:color="auto"/>
            </w:tcBorders>
          </w:tcPr>
          <w:p w14:paraId="2FE7C9E2" w14:textId="6F0CE8B6"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7"/>
                <w14:textFill>
                  <w14:solidFill>
                    <w14:srgbClr w14:val="000000">
                      <w14:alpha w14:val="100000"/>
                    </w14:srgbClr>
                  </w14:solidFill>
                </w14:textFill>
              </w:rPr>
              <w:t>|</w:t>
            </w:r>
            <w:r w:rsidR="00A8021D" w:rsidRPr="00A8021D">
              <w:rPr>
                <w:iCs/>
                <w:color w:val="000000"/>
                <w:spacing w:val="1"/>
                <w:shd w:val="solid" w:color="000000" w:fill="000000"/>
                <w:fitText w:val="190" w:id="-1435765237"/>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6A389D78" w14:textId="77777777" w:rsidR="005C3F0D" w:rsidRPr="0058641B" w:rsidRDefault="005C3F0D" w:rsidP="005C3F0D">
            <w:pPr>
              <w:pStyle w:val="TableText0"/>
              <w:keepNext w:val="0"/>
              <w:jc w:val="center"/>
              <w:rPr>
                <w:iCs/>
              </w:rPr>
            </w:pPr>
            <w:r w:rsidRPr="0058641B">
              <w:rPr>
                <w:iCs/>
              </w:rPr>
              <w:t>11%</w:t>
            </w:r>
          </w:p>
        </w:tc>
      </w:tr>
      <w:tr w:rsidR="005C3F0D" w:rsidRPr="0058641B" w14:paraId="6A1F96E6"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61281904" w14:textId="0D46A8E5"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12</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5A549F25" w14:textId="77777777" w:rsidR="005C3F0D" w:rsidRPr="0058641B" w:rsidRDefault="005C3F0D" w:rsidP="005C3F0D">
            <w:pPr>
              <w:pStyle w:val="TableText0"/>
              <w:keepNext w:val="0"/>
              <w:rPr>
                <w:iCs/>
              </w:rPr>
            </w:pPr>
            <w:r w:rsidRPr="0058641B">
              <w:rPr>
                <w:iCs/>
              </w:rPr>
              <w:t>Truncation time point for trial-based DFS estimates: 33 months</w:t>
            </w:r>
          </w:p>
        </w:tc>
        <w:tc>
          <w:tcPr>
            <w:tcW w:w="989" w:type="pct"/>
            <w:vMerge w:val="restart"/>
            <w:tcBorders>
              <w:top w:val="single" w:sz="4" w:space="0" w:color="auto"/>
              <w:left w:val="single" w:sz="4" w:space="0" w:color="auto"/>
              <w:right w:val="single" w:sz="4" w:space="0" w:color="auto"/>
            </w:tcBorders>
          </w:tcPr>
          <w:p w14:paraId="7B6A2F78" w14:textId="77777777" w:rsidR="005C3F0D" w:rsidRPr="0058641B" w:rsidRDefault="005C3F0D" w:rsidP="005C3F0D">
            <w:pPr>
              <w:pStyle w:val="TableText0"/>
              <w:keepNext w:val="0"/>
              <w:rPr>
                <w:iCs/>
              </w:rPr>
            </w:pPr>
            <w:r w:rsidRPr="0058641B">
              <w:rPr>
                <w:iCs/>
              </w:rPr>
              <w:t>32.2 months</w:t>
            </w:r>
          </w:p>
        </w:tc>
        <w:tc>
          <w:tcPr>
            <w:tcW w:w="572" w:type="pct"/>
            <w:tcBorders>
              <w:top w:val="single" w:sz="4" w:space="0" w:color="auto"/>
              <w:left w:val="single" w:sz="4" w:space="0" w:color="auto"/>
              <w:bottom w:val="single" w:sz="4" w:space="0" w:color="auto"/>
              <w:right w:val="single" w:sz="4" w:space="0" w:color="auto"/>
            </w:tcBorders>
          </w:tcPr>
          <w:p w14:paraId="33AC176A" w14:textId="466E5208"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6"/>
                <w14:textFill>
                  <w14:solidFill>
                    <w14:srgbClr w14:val="000000">
                      <w14:alpha w14:val="100000"/>
                    </w14:srgbClr>
                  </w14:solidFill>
                </w14:textFill>
              </w:rPr>
              <w:t>|</w:t>
            </w:r>
            <w:r w:rsidR="00A8021D" w:rsidRPr="00A8021D">
              <w:rPr>
                <w:iCs/>
                <w:color w:val="000000"/>
                <w:spacing w:val="1"/>
                <w:shd w:val="solid" w:color="000000" w:fill="000000"/>
                <w:fitText w:val="190" w:id="-1435765236"/>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6C0B0B0E" w14:textId="77777777" w:rsidR="005C3F0D" w:rsidRPr="0058641B" w:rsidRDefault="005C3F0D" w:rsidP="005C3F0D">
            <w:pPr>
              <w:pStyle w:val="TableText0"/>
              <w:keepNext w:val="0"/>
              <w:jc w:val="center"/>
              <w:rPr>
                <w:iCs/>
              </w:rPr>
            </w:pPr>
            <w:r w:rsidRPr="0058641B">
              <w:rPr>
                <w:iCs/>
              </w:rPr>
              <w:t>0.785</w:t>
            </w:r>
          </w:p>
        </w:tc>
        <w:tc>
          <w:tcPr>
            <w:tcW w:w="607" w:type="pct"/>
            <w:tcBorders>
              <w:top w:val="single" w:sz="4" w:space="0" w:color="auto"/>
              <w:left w:val="single" w:sz="4" w:space="0" w:color="auto"/>
              <w:bottom w:val="single" w:sz="4" w:space="0" w:color="auto"/>
              <w:right w:val="single" w:sz="4" w:space="0" w:color="auto"/>
            </w:tcBorders>
          </w:tcPr>
          <w:p w14:paraId="7EB41836" w14:textId="1A3AFF85"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5"/>
                <w14:textFill>
                  <w14:solidFill>
                    <w14:srgbClr w14:val="000000">
                      <w14:alpha w14:val="100000"/>
                    </w14:srgbClr>
                  </w14:solidFill>
                </w14:textFill>
              </w:rPr>
              <w:t>|</w:t>
            </w:r>
            <w:r w:rsidR="00A8021D" w:rsidRPr="00A8021D">
              <w:rPr>
                <w:iCs/>
                <w:color w:val="000000"/>
                <w:spacing w:val="1"/>
                <w:shd w:val="solid" w:color="000000" w:fill="000000"/>
                <w:fitText w:val="190" w:id="-1435765235"/>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5E11C0D5" w14:textId="77777777" w:rsidR="005C3F0D" w:rsidRPr="0058641B" w:rsidRDefault="005C3F0D" w:rsidP="005C3F0D">
            <w:pPr>
              <w:pStyle w:val="TableText0"/>
              <w:keepNext w:val="0"/>
              <w:jc w:val="center"/>
              <w:rPr>
                <w:iCs/>
              </w:rPr>
            </w:pPr>
            <w:r w:rsidRPr="0058641B">
              <w:rPr>
                <w:iCs/>
              </w:rPr>
              <w:t>15%</w:t>
            </w:r>
          </w:p>
        </w:tc>
      </w:tr>
      <w:tr w:rsidR="005C3F0D" w:rsidRPr="0058641B" w14:paraId="6B9F2D81"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58ECE87E" w14:textId="6BD44DD0"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13</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13A01C0B" w14:textId="77777777" w:rsidR="005C3F0D" w:rsidRPr="0058641B" w:rsidRDefault="005C3F0D" w:rsidP="005C3F0D">
            <w:pPr>
              <w:pStyle w:val="TableText0"/>
              <w:keepNext w:val="0"/>
              <w:rPr>
                <w:iCs/>
              </w:rPr>
            </w:pPr>
            <w:r w:rsidRPr="0058641B">
              <w:rPr>
                <w:iCs/>
              </w:rPr>
              <w:t>Truncation time point for trial-based DFS estimates: 35 months</w:t>
            </w:r>
          </w:p>
        </w:tc>
        <w:tc>
          <w:tcPr>
            <w:tcW w:w="989" w:type="pct"/>
            <w:vMerge/>
            <w:tcBorders>
              <w:left w:val="single" w:sz="4" w:space="0" w:color="auto"/>
              <w:right w:val="single" w:sz="4" w:space="0" w:color="auto"/>
            </w:tcBorders>
          </w:tcPr>
          <w:p w14:paraId="0060858D" w14:textId="77777777" w:rsidR="005C3F0D" w:rsidRPr="0058641B" w:rsidRDefault="005C3F0D" w:rsidP="005C3F0D">
            <w:pPr>
              <w:pStyle w:val="TableText0"/>
              <w:keepNext w:val="0"/>
              <w:rPr>
                <w:iCs/>
              </w:rPr>
            </w:pPr>
          </w:p>
        </w:tc>
        <w:tc>
          <w:tcPr>
            <w:tcW w:w="572" w:type="pct"/>
            <w:tcBorders>
              <w:top w:val="single" w:sz="4" w:space="0" w:color="auto"/>
              <w:left w:val="single" w:sz="4" w:space="0" w:color="auto"/>
              <w:bottom w:val="single" w:sz="4" w:space="0" w:color="auto"/>
              <w:right w:val="single" w:sz="4" w:space="0" w:color="auto"/>
            </w:tcBorders>
          </w:tcPr>
          <w:p w14:paraId="11F02481" w14:textId="602AFB25"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4"/>
                <w14:textFill>
                  <w14:solidFill>
                    <w14:srgbClr w14:val="000000">
                      <w14:alpha w14:val="100000"/>
                    </w14:srgbClr>
                  </w14:solidFill>
                </w14:textFill>
              </w:rPr>
              <w:t>|</w:t>
            </w:r>
            <w:r w:rsidR="00A8021D" w:rsidRPr="00A8021D">
              <w:rPr>
                <w:iCs/>
                <w:color w:val="000000"/>
                <w:spacing w:val="1"/>
                <w:shd w:val="solid" w:color="000000" w:fill="000000"/>
                <w:fitText w:val="190" w:id="-1435765234"/>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44B517C5" w14:textId="77777777" w:rsidR="005C3F0D" w:rsidRPr="0058641B" w:rsidRDefault="005C3F0D" w:rsidP="005C3F0D">
            <w:pPr>
              <w:pStyle w:val="TableText0"/>
              <w:keepNext w:val="0"/>
              <w:jc w:val="center"/>
              <w:rPr>
                <w:iCs/>
              </w:rPr>
            </w:pPr>
            <w:r w:rsidRPr="0058641B">
              <w:rPr>
                <w:iCs/>
              </w:rPr>
              <w:t>0.870</w:t>
            </w:r>
          </w:p>
        </w:tc>
        <w:tc>
          <w:tcPr>
            <w:tcW w:w="607" w:type="pct"/>
            <w:tcBorders>
              <w:top w:val="single" w:sz="4" w:space="0" w:color="auto"/>
              <w:left w:val="single" w:sz="4" w:space="0" w:color="auto"/>
              <w:bottom w:val="single" w:sz="4" w:space="0" w:color="auto"/>
              <w:right w:val="single" w:sz="4" w:space="0" w:color="auto"/>
            </w:tcBorders>
          </w:tcPr>
          <w:p w14:paraId="725DBD88" w14:textId="1A4DE2F9"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3"/>
                <w14:textFill>
                  <w14:solidFill>
                    <w14:srgbClr w14:val="000000">
                      <w14:alpha w14:val="100000"/>
                    </w14:srgbClr>
                  </w14:solidFill>
                </w14:textFill>
              </w:rPr>
              <w:t>|</w:t>
            </w:r>
            <w:r w:rsidR="00A8021D" w:rsidRPr="00A8021D">
              <w:rPr>
                <w:iCs/>
                <w:color w:val="000000"/>
                <w:spacing w:val="1"/>
                <w:shd w:val="solid" w:color="000000" w:fill="000000"/>
                <w:fitText w:val="190" w:id="-1435765233"/>
                <w14:textFill>
                  <w14:solidFill>
                    <w14:srgbClr w14:val="000000">
                      <w14:alpha w14:val="100000"/>
                    </w14:srgbClr>
                  </w14:solidFill>
                </w14:textFill>
              </w:rPr>
              <w:t>|</w:t>
            </w:r>
            <w:r w:rsidR="001A775F" w:rsidRPr="001A775F">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113CFC13" w14:textId="77777777" w:rsidR="005C3F0D" w:rsidRPr="0058641B" w:rsidRDefault="005C3F0D" w:rsidP="005C3F0D">
            <w:pPr>
              <w:pStyle w:val="TableText0"/>
              <w:keepNext w:val="0"/>
              <w:jc w:val="center"/>
              <w:rPr>
                <w:iCs/>
              </w:rPr>
            </w:pPr>
            <w:r w:rsidRPr="0058641B">
              <w:rPr>
                <w:iCs/>
              </w:rPr>
              <w:t>4%</w:t>
            </w:r>
          </w:p>
        </w:tc>
      </w:tr>
      <w:tr w:rsidR="005C3F0D" w:rsidRPr="0058641B" w14:paraId="07F302B9" w14:textId="77777777" w:rsidTr="00855FED">
        <w:trPr>
          <w:cantSplit/>
          <w:trHeight w:val="44"/>
        </w:trPr>
        <w:tc>
          <w:tcPr>
            <w:tcW w:w="379" w:type="pct"/>
            <w:tcBorders>
              <w:top w:val="single" w:sz="4" w:space="0" w:color="auto"/>
              <w:left w:val="single" w:sz="4" w:space="0" w:color="auto"/>
              <w:bottom w:val="single" w:sz="4" w:space="0" w:color="auto"/>
              <w:right w:val="nil"/>
            </w:tcBorders>
          </w:tcPr>
          <w:p w14:paraId="54A1AE70" w14:textId="2486B5FC" w:rsidR="005C3F0D" w:rsidRPr="0058641B" w:rsidRDefault="005C3F0D" w:rsidP="005C3F0D">
            <w:pPr>
              <w:pStyle w:val="TableText0"/>
              <w:keepNext w:val="0"/>
              <w:ind w:right="-57"/>
              <w:rPr>
                <w:iCs/>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14</w:t>
            </w:r>
            <w:r w:rsidRPr="0058641B">
              <w:rPr>
                <w:iCs/>
              </w:rPr>
              <w:fldChar w:fldCharType="end"/>
            </w:r>
            <w:r w:rsidRPr="0058641B">
              <w:rPr>
                <w:iCs/>
                <w:vertAlign w:val="superscript"/>
              </w:rPr>
              <w:t>b</w:t>
            </w:r>
          </w:p>
        </w:tc>
        <w:tc>
          <w:tcPr>
            <w:tcW w:w="1448" w:type="pct"/>
            <w:tcBorders>
              <w:top w:val="single" w:sz="4" w:space="0" w:color="auto"/>
              <w:left w:val="nil"/>
              <w:bottom w:val="single" w:sz="4" w:space="0" w:color="auto"/>
              <w:right w:val="single" w:sz="4" w:space="0" w:color="auto"/>
            </w:tcBorders>
          </w:tcPr>
          <w:p w14:paraId="59ADF333" w14:textId="77777777" w:rsidR="005C3F0D" w:rsidRPr="0058641B" w:rsidRDefault="005C3F0D" w:rsidP="005C3F0D">
            <w:pPr>
              <w:pStyle w:val="TableText0"/>
              <w:keepNext w:val="0"/>
              <w:rPr>
                <w:iCs/>
              </w:rPr>
            </w:pPr>
            <w:r w:rsidRPr="0058641B">
              <w:rPr>
                <w:iCs/>
              </w:rPr>
              <w:t>Truncation time point for trial-based DFS estimates: 37 months</w:t>
            </w:r>
          </w:p>
        </w:tc>
        <w:tc>
          <w:tcPr>
            <w:tcW w:w="989" w:type="pct"/>
            <w:vMerge/>
            <w:tcBorders>
              <w:left w:val="single" w:sz="4" w:space="0" w:color="auto"/>
              <w:bottom w:val="single" w:sz="4" w:space="0" w:color="auto"/>
              <w:right w:val="single" w:sz="4" w:space="0" w:color="auto"/>
            </w:tcBorders>
          </w:tcPr>
          <w:p w14:paraId="0157D6AE" w14:textId="77777777" w:rsidR="005C3F0D" w:rsidRPr="0058641B" w:rsidRDefault="005C3F0D" w:rsidP="005C3F0D">
            <w:pPr>
              <w:pStyle w:val="TableText0"/>
              <w:keepNext w:val="0"/>
              <w:rPr>
                <w:iCs/>
              </w:rPr>
            </w:pPr>
          </w:p>
        </w:tc>
        <w:tc>
          <w:tcPr>
            <w:tcW w:w="572" w:type="pct"/>
            <w:tcBorders>
              <w:top w:val="single" w:sz="4" w:space="0" w:color="auto"/>
              <w:left w:val="single" w:sz="4" w:space="0" w:color="auto"/>
              <w:bottom w:val="single" w:sz="4" w:space="0" w:color="auto"/>
              <w:right w:val="single" w:sz="4" w:space="0" w:color="auto"/>
            </w:tcBorders>
          </w:tcPr>
          <w:p w14:paraId="21D37AF3" w14:textId="47612F08"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2"/>
                <w14:textFill>
                  <w14:solidFill>
                    <w14:srgbClr w14:val="000000">
                      <w14:alpha w14:val="100000"/>
                    </w14:srgbClr>
                  </w14:solidFill>
                </w14:textFill>
              </w:rPr>
              <w:t>|</w:t>
            </w:r>
            <w:r w:rsidR="00A8021D" w:rsidRPr="00A8021D">
              <w:rPr>
                <w:iCs/>
                <w:color w:val="000000"/>
                <w:spacing w:val="1"/>
                <w:shd w:val="solid" w:color="000000" w:fill="000000"/>
                <w:fitText w:val="190" w:id="-1435765232"/>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4920766C" w14:textId="77777777" w:rsidR="005C3F0D" w:rsidRPr="0058641B" w:rsidRDefault="005C3F0D" w:rsidP="005C3F0D">
            <w:pPr>
              <w:pStyle w:val="TableText0"/>
              <w:keepNext w:val="0"/>
              <w:jc w:val="center"/>
              <w:rPr>
                <w:iCs/>
              </w:rPr>
            </w:pPr>
            <w:r w:rsidRPr="0058641B">
              <w:rPr>
                <w:iCs/>
              </w:rPr>
              <w:t>0.711</w:t>
            </w:r>
          </w:p>
        </w:tc>
        <w:tc>
          <w:tcPr>
            <w:tcW w:w="607" w:type="pct"/>
            <w:tcBorders>
              <w:top w:val="single" w:sz="4" w:space="0" w:color="auto"/>
              <w:left w:val="single" w:sz="4" w:space="0" w:color="auto"/>
              <w:bottom w:val="single" w:sz="4" w:space="0" w:color="auto"/>
              <w:right w:val="single" w:sz="4" w:space="0" w:color="auto"/>
            </w:tcBorders>
          </w:tcPr>
          <w:p w14:paraId="7D6BF0C6" w14:textId="4F7DE7D0"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8"/>
                <w14:textFill>
                  <w14:solidFill>
                    <w14:srgbClr w14:val="000000">
                      <w14:alpha w14:val="100000"/>
                    </w14:srgbClr>
                  </w14:solidFill>
                </w14:textFill>
              </w:rPr>
              <w:t>|</w:t>
            </w:r>
            <w:r w:rsidR="00A8021D" w:rsidRPr="00A8021D">
              <w:rPr>
                <w:iCs/>
                <w:color w:val="000000"/>
                <w:spacing w:val="1"/>
                <w:shd w:val="solid" w:color="000000" w:fill="000000"/>
                <w:fitText w:val="190" w:id="-1435765248"/>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3100D4DD" w14:textId="77777777" w:rsidR="005C3F0D" w:rsidRPr="0058641B" w:rsidRDefault="005C3F0D" w:rsidP="005C3F0D">
            <w:pPr>
              <w:pStyle w:val="TableText0"/>
              <w:keepNext w:val="0"/>
              <w:jc w:val="center"/>
              <w:rPr>
                <w:iCs/>
              </w:rPr>
            </w:pPr>
            <w:r w:rsidRPr="0058641B">
              <w:rPr>
                <w:iCs/>
              </w:rPr>
              <w:t>25%</w:t>
            </w:r>
          </w:p>
        </w:tc>
      </w:tr>
      <w:tr w:rsidR="005C3F0D" w:rsidRPr="0058641B" w14:paraId="334617C1" w14:textId="77777777" w:rsidTr="001540EC">
        <w:trPr>
          <w:cantSplit/>
          <w:trHeight w:val="708"/>
        </w:trPr>
        <w:tc>
          <w:tcPr>
            <w:tcW w:w="379" w:type="pct"/>
            <w:tcBorders>
              <w:top w:val="single" w:sz="4" w:space="0" w:color="auto"/>
              <w:left w:val="single" w:sz="4" w:space="0" w:color="auto"/>
              <w:right w:val="nil"/>
            </w:tcBorders>
          </w:tcPr>
          <w:p w14:paraId="627AFAB9" w14:textId="4BC1628E" w:rsidR="005C3F0D" w:rsidRPr="0058641B" w:rsidRDefault="005C3F0D" w:rsidP="005C3F0D">
            <w:pPr>
              <w:pStyle w:val="TableText0"/>
              <w:keepNext w:val="0"/>
              <w:ind w:right="-57"/>
              <w:rPr>
                <w:iCs/>
                <w:vertAlign w:val="superscript"/>
              </w:rPr>
            </w:pPr>
            <w:r w:rsidRPr="0058641B">
              <w:rPr>
                <w:iCs/>
              </w:rPr>
              <w:t>SA.</w:t>
            </w:r>
            <w:r w:rsidRPr="0058641B">
              <w:rPr>
                <w:iCs/>
              </w:rPr>
              <w:fldChar w:fldCharType="begin"/>
            </w:r>
            <w:r w:rsidRPr="0058641B">
              <w:rPr>
                <w:iCs/>
              </w:rPr>
              <w:instrText xml:space="preserve"> SEQ SA. \* ARABIC </w:instrText>
            </w:r>
            <w:r w:rsidRPr="0058641B">
              <w:rPr>
                <w:iCs/>
              </w:rPr>
              <w:fldChar w:fldCharType="separate"/>
            </w:r>
            <w:r w:rsidR="0043151A">
              <w:rPr>
                <w:iCs/>
                <w:noProof/>
              </w:rPr>
              <w:t>15</w:t>
            </w:r>
            <w:r w:rsidRPr="0058641B">
              <w:rPr>
                <w:iCs/>
              </w:rPr>
              <w:fldChar w:fldCharType="end"/>
            </w:r>
            <w:r w:rsidRPr="0058641B">
              <w:rPr>
                <w:iCs/>
                <w:vertAlign w:val="superscript"/>
              </w:rPr>
              <w:t>b</w:t>
            </w:r>
          </w:p>
        </w:tc>
        <w:tc>
          <w:tcPr>
            <w:tcW w:w="1448" w:type="pct"/>
            <w:tcBorders>
              <w:top w:val="single" w:sz="4" w:space="0" w:color="auto"/>
              <w:left w:val="nil"/>
              <w:right w:val="single" w:sz="4" w:space="0" w:color="auto"/>
            </w:tcBorders>
          </w:tcPr>
          <w:p w14:paraId="22F175BF" w14:textId="5992DE1C" w:rsidR="005C3F0D" w:rsidRPr="0058641B" w:rsidRDefault="005C3F0D" w:rsidP="005C3F0D">
            <w:pPr>
              <w:pStyle w:val="TableText0"/>
              <w:keepNext w:val="0"/>
              <w:rPr>
                <w:iCs/>
              </w:rPr>
            </w:pPr>
            <w:r w:rsidRPr="0058641B">
              <w:rPr>
                <w:iCs/>
              </w:rPr>
              <w:t>Using treatment specific pre-recurrence death rate (weekly probability: 0.0004 for ATZ and 0.0001 for BSC)</w:t>
            </w:r>
          </w:p>
        </w:tc>
        <w:tc>
          <w:tcPr>
            <w:tcW w:w="989" w:type="pct"/>
            <w:tcBorders>
              <w:top w:val="single" w:sz="4" w:space="0" w:color="auto"/>
              <w:left w:val="single" w:sz="4" w:space="0" w:color="auto"/>
              <w:right w:val="single" w:sz="4" w:space="0" w:color="auto"/>
            </w:tcBorders>
          </w:tcPr>
          <w:p w14:paraId="243EF62E" w14:textId="091A3A35" w:rsidR="005C3F0D" w:rsidRPr="0058641B" w:rsidRDefault="005C3F0D" w:rsidP="005C3F0D">
            <w:pPr>
              <w:pStyle w:val="TableText0"/>
              <w:keepNext w:val="0"/>
              <w:rPr>
                <w:iCs/>
              </w:rPr>
            </w:pPr>
            <w:r w:rsidRPr="0058641B">
              <w:rPr>
                <w:iCs/>
              </w:rPr>
              <w:t>Pooled weekly probability of 0.0003</w:t>
            </w:r>
          </w:p>
        </w:tc>
        <w:tc>
          <w:tcPr>
            <w:tcW w:w="572" w:type="pct"/>
            <w:tcBorders>
              <w:top w:val="single" w:sz="4" w:space="0" w:color="auto"/>
              <w:left w:val="single" w:sz="4" w:space="0" w:color="auto"/>
              <w:right w:val="single" w:sz="4" w:space="0" w:color="auto"/>
            </w:tcBorders>
          </w:tcPr>
          <w:p w14:paraId="1E771BBA" w14:textId="7C250275"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7"/>
                <w14:textFill>
                  <w14:solidFill>
                    <w14:srgbClr w14:val="000000">
                      <w14:alpha w14:val="100000"/>
                    </w14:srgbClr>
                  </w14:solidFill>
                </w14:textFill>
              </w:rPr>
              <w:t>|</w:t>
            </w:r>
            <w:r w:rsidR="00A8021D" w:rsidRPr="00A8021D">
              <w:rPr>
                <w:iCs/>
                <w:color w:val="000000"/>
                <w:spacing w:val="1"/>
                <w:shd w:val="solid" w:color="000000" w:fill="000000"/>
                <w:fitText w:val="190" w:id="-1435765247"/>
                <w14:textFill>
                  <w14:solidFill>
                    <w14:srgbClr w14:val="000000">
                      <w14:alpha w14:val="100000"/>
                    </w14:srgbClr>
                  </w14:solidFill>
                </w14:textFill>
              </w:rPr>
              <w:t>|</w:t>
            </w:r>
          </w:p>
        </w:tc>
        <w:tc>
          <w:tcPr>
            <w:tcW w:w="532" w:type="pct"/>
            <w:tcBorders>
              <w:top w:val="single" w:sz="4" w:space="0" w:color="auto"/>
              <w:left w:val="single" w:sz="4" w:space="0" w:color="auto"/>
              <w:right w:val="single" w:sz="4" w:space="0" w:color="auto"/>
            </w:tcBorders>
          </w:tcPr>
          <w:p w14:paraId="5A6F8051" w14:textId="6559700B" w:rsidR="005C3F0D" w:rsidRPr="0058641B" w:rsidRDefault="005C3F0D" w:rsidP="005C3F0D">
            <w:pPr>
              <w:pStyle w:val="TableText0"/>
              <w:keepNext w:val="0"/>
              <w:jc w:val="center"/>
              <w:rPr>
                <w:iCs/>
              </w:rPr>
            </w:pPr>
            <w:r w:rsidRPr="0058641B">
              <w:rPr>
                <w:iCs/>
              </w:rPr>
              <w:t>0.671</w:t>
            </w:r>
          </w:p>
        </w:tc>
        <w:tc>
          <w:tcPr>
            <w:tcW w:w="607" w:type="pct"/>
            <w:tcBorders>
              <w:top w:val="single" w:sz="4" w:space="0" w:color="auto"/>
              <w:left w:val="single" w:sz="4" w:space="0" w:color="auto"/>
              <w:right w:val="single" w:sz="4" w:space="0" w:color="auto"/>
            </w:tcBorders>
          </w:tcPr>
          <w:p w14:paraId="029A83CA" w14:textId="6EC56BA4"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6"/>
                <w14:textFill>
                  <w14:solidFill>
                    <w14:srgbClr w14:val="000000">
                      <w14:alpha w14:val="100000"/>
                    </w14:srgbClr>
                  </w14:solidFill>
                </w14:textFill>
              </w:rPr>
              <w:t>|</w:t>
            </w:r>
            <w:r w:rsidR="00A8021D" w:rsidRPr="00A8021D">
              <w:rPr>
                <w:iCs/>
                <w:color w:val="000000"/>
                <w:spacing w:val="1"/>
                <w:shd w:val="solid" w:color="000000" w:fill="000000"/>
                <w:fitText w:val="190" w:id="-1435765246"/>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right w:val="single" w:sz="4" w:space="0" w:color="auto"/>
            </w:tcBorders>
          </w:tcPr>
          <w:p w14:paraId="7CBE801F" w14:textId="421FABCF" w:rsidR="005C3F0D" w:rsidRPr="0058641B" w:rsidRDefault="005C3F0D" w:rsidP="005C3F0D">
            <w:pPr>
              <w:pStyle w:val="TableText0"/>
              <w:keepNext w:val="0"/>
              <w:jc w:val="center"/>
              <w:rPr>
                <w:iCs/>
              </w:rPr>
            </w:pPr>
            <w:r w:rsidRPr="0058641B">
              <w:rPr>
                <w:iCs/>
              </w:rPr>
              <w:t>26%</w:t>
            </w:r>
          </w:p>
        </w:tc>
      </w:tr>
      <w:tr w:rsidR="005C3F0D" w:rsidRPr="0058641B" w14:paraId="48FF3871" w14:textId="77777777" w:rsidTr="00575137">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3AF33B70" w14:textId="4ABB6D30" w:rsidR="005C3F0D" w:rsidRPr="0058641B" w:rsidRDefault="005C3F0D" w:rsidP="005C3F0D">
            <w:pPr>
              <w:pStyle w:val="TableText0"/>
              <w:keepNext w:val="0"/>
              <w:rPr>
                <w:iCs/>
              </w:rPr>
            </w:pPr>
            <w:r w:rsidRPr="0058641B">
              <w:rPr>
                <w:iCs/>
              </w:rPr>
              <w:t>SA.8+SA.9</w:t>
            </w:r>
            <w:r w:rsidRPr="0058641B">
              <w:rPr>
                <w:iCs/>
                <w:vertAlign w:val="superscript"/>
              </w:rPr>
              <w:t xml:space="preserve">b </w:t>
            </w:r>
          </w:p>
        </w:tc>
        <w:tc>
          <w:tcPr>
            <w:tcW w:w="572" w:type="pct"/>
            <w:tcBorders>
              <w:top w:val="single" w:sz="4" w:space="0" w:color="auto"/>
              <w:left w:val="single" w:sz="4" w:space="0" w:color="auto"/>
              <w:bottom w:val="single" w:sz="4" w:space="0" w:color="auto"/>
              <w:right w:val="single" w:sz="4" w:space="0" w:color="auto"/>
            </w:tcBorders>
          </w:tcPr>
          <w:p w14:paraId="203C18F2" w14:textId="2ABD35C1"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5"/>
                <w14:textFill>
                  <w14:solidFill>
                    <w14:srgbClr w14:val="000000">
                      <w14:alpha w14:val="100000"/>
                    </w14:srgbClr>
                  </w14:solidFill>
                </w14:textFill>
              </w:rPr>
              <w:t>|</w:t>
            </w:r>
            <w:r w:rsidR="00A8021D" w:rsidRPr="00A8021D">
              <w:rPr>
                <w:iCs/>
                <w:color w:val="000000"/>
                <w:spacing w:val="1"/>
                <w:shd w:val="solid" w:color="000000" w:fill="000000"/>
                <w:fitText w:val="190" w:id="-1435765245"/>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C95CCE9" w14:textId="6FF1E3DA" w:rsidR="005C3F0D" w:rsidRPr="0058641B" w:rsidRDefault="005C3F0D" w:rsidP="005C3F0D">
            <w:pPr>
              <w:pStyle w:val="TableText0"/>
              <w:keepNext w:val="0"/>
              <w:jc w:val="center"/>
              <w:rPr>
                <w:iCs/>
              </w:rPr>
            </w:pPr>
            <w:r w:rsidRPr="0058641B">
              <w:rPr>
                <w:iCs/>
              </w:rPr>
              <w:t>0.461</w:t>
            </w:r>
          </w:p>
        </w:tc>
        <w:tc>
          <w:tcPr>
            <w:tcW w:w="607" w:type="pct"/>
            <w:tcBorders>
              <w:top w:val="single" w:sz="4" w:space="0" w:color="auto"/>
              <w:left w:val="single" w:sz="4" w:space="0" w:color="auto"/>
              <w:bottom w:val="single" w:sz="4" w:space="0" w:color="auto"/>
              <w:right w:val="single" w:sz="4" w:space="0" w:color="auto"/>
            </w:tcBorders>
          </w:tcPr>
          <w:p w14:paraId="59E2EE0B" w14:textId="5A33D309"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4"/>
                <w14:textFill>
                  <w14:solidFill>
                    <w14:srgbClr w14:val="000000">
                      <w14:alpha w14:val="100000"/>
                    </w14:srgbClr>
                  </w14:solidFill>
                </w14:textFill>
              </w:rPr>
              <w:t>|</w:t>
            </w:r>
            <w:r w:rsidR="00A8021D" w:rsidRPr="00A8021D">
              <w:rPr>
                <w:iCs/>
                <w:color w:val="000000"/>
                <w:spacing w:val="1"/>
                <w:shd w:val="solid" w:color="000000" w:fill="000000"/>
                <w:fitText w:val="190" w:id="-1435765244"/>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71D30F4F" w14:textId="18C85288" w:rsidR="005C3F0D" w:rsidRPr="0058641B" w:rsidRDefault="005C3F0D" w:rsidP="005C3F0D">
            <w:pPr>
              <w:pStyle w:val="TableText0"/>
              <w:keepNext w:val="0"/>
              <w:jc w:val="center"/>
              <w:rPr>
                <w:iCs/>
              </w:rPr>
            </w:pPr>
            <w:r w:rsidRPr="0058641B">
              <w:rPr>
                <w:iCs/>
              </w:rPr>
              <w:t>35%</w:t>
            </w:r>
          </w:p>
        </w:tc>
      </w:tr>
      <w:tr w:rsidR="005C3F0D" w:rsidRPr="0058641B" w14:paraId="2B29B4F7" w14:textId="77777777" w:rsidTr="00D312D9">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10BC1DEB" w14:textId="6EF19A85" w:rsidR="005C3F0D" w:rsidRPr="0058641B" w:rsidRDefault="005C3F0D" w:rsidP="005C3F0D">
            <w:pPr>
              <w:pStyle w:val="TableText0"/>
              <w:keepNext w:val="0"/>
              <w:rPr>
                <w:iCs/>
                <w:vertAlign w:val="superscript"/>
              </w:rPr>
            </w:pPr>
            <w:r w:rsidRPr="0058641B">
              <w:rPr>
                <w:iCs/>
              </w:rPr>
              <w:t>SA.2+SA.14</w:t>
            </w:r>
            <w:r w:rsidRPr="0058641B">
              <w:rPr>
                <w:iCs/>
                <w:vertAlign w:val="superscript"/>
              </w:rPr>
              <w:t>b</w:t>
            </w:r>
          </w:p>
        </w:tc>
        <w:tc>
          <w:tcPr>
            <w:tcW w:w="572" w:type="pct"/>
            <w:tcBorders>
              <w:top w:val="single" w:sz="4" w:space="0" w:color="auto"/>
              <w:left w:val="single" w:sz="4" w:space="0" w:color="auto"/>
              <w:bottom w:val="single" w:sz="4" w:space="0" w:color="auto"/>
              <w:right w:val="single" w:sz="4" w:space="0" w:color="auto"/>
            </w:tcBorders>
          </w:tcPr>
          <w:p w14:paraId="1BD48861" w14:textId="2D58AF90"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3"/>
                <w14:textFill>
                  <w14:solidFill>
                    <w14:srgbClr w14:val="000000">
                      <w14:alpha w14:val="100000"/>
                    </w14:srgbClr>
                  </w14:solidFill>
                </w14:textFill>
              </w:rPr>
              <w:t>|</w:t>
            </w:r>
            <w:r w:rsidR="00A8021D" w:rsidRPr="00A8021D">
              <w:rPr>
                <w:iCs/>
                <w:color w:val="000000"/>
                <w:spacing w:val="1"/>
                <w:shd w:val="solid" w:color="000000" w:fill="000000"/>
                <w:fitText w:val="190" w:id="-1435765243"/>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4380BA12" w14:textId="77777777" w:rsidR="005C3F0D" w:rsidRPr="0058641B" w:rsidRDefault="005C3F0D" w:rsidP="005C3F0D">
            <w:pPr>
              <w:pStyle w:val="TableText0"/>
              <w:keepNext w:val="0"/>
              <w:jc w:val="center"/>
              <w:rPr>
                <w:iCs/>
              </w:rPr>
            </w:pPr>
            <w:r w:rsidRPr="0058641B">
              <w:rPr>
                <w:iCs/>
              </w:rPr>
              <w:t>0.639</w:t>
            </w:r>
          </w:p>
        </w:tc>
        <w:tc>
          <w:tcPr>
            <w:tcW w:w="607" w:type="pct"/>
            <w:tcBorders>
              <w:top w:val="single" w:sz="4" w:space="0" w:color="auto"/>
              <w:left w:val="single" w:sz="4" w:space="0" w:color="auto"/>
              <w:bottom w:val="single" w:sz="4" w:space="0" w:color="auto"/>
              <w:right w:val="single" w:sz="4" w:space="0" w:color="auto"/>
            </w:tcBorders>
          </w:tcPr>
          <w:p w14:paraId="3C6F0D4C" w14:textId="53C3C102"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2"/>
                <w14:textFill>
                  <w14:solidFill>
                    <w14:srgbClr w14:val="000000">
                      <w14:alpha w14:val="100000"/>
                    </w14:srgbClr>
                  </w14:solidFill>
                </w14:textFill>
              </w:rPr>
              <w:t>|</w:t>
            </w:r>
            <w:r w:rsidR="00A8021D" w:rsidRPr="00A8021D">
              <w:rPr>
                <w:iCs/>
                <w:color w:val="000000"/>
                <w:spacing w:val="1"/>
                <w:shd w:val="solid" w:color="000000" w:fill="000000"/>
                <w:fitText w:val="190" w:id="-1435765242"/>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0B5DDE66" w14:textId="77777777" w:rsidR="005C3F0D" w:rsidRPr="0058641B" w:rsidRDefault="005C3F0D" w:rsidP="005C3F0D">
            <w:pPr>
              <w:pStyle w:val="TableText0"/>
              <w:keepNext w:val="0"/>
              <w:jc w:val="center"/>
              <w:rPr>
                <w:iCs/>
              </w:rPr>
            </w:pPr>
            <w:r w:rsidRPr="0058641B">
              <w:rPr>
                <w:iCs/>
              </w:rPr>
              <w:t>38%</w:t>
            </w:r>
          </w:p>
        </w:tc>
      </w:tr>
      <w:tr w:rsidR="005C3F0D" w:rsidRPr="0058641B" w14:paraId="50D75DBA" w14:textId="77777777" w:rsidTr="00D312D9">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7A102D43" w14:textId="38E64A9D" w:rsidR="005C3F0D" w:rsidRPr="0058641B" w:rsidRDefault="005C3F0D" w:rsidP="005C3F0D">
            <w:pPr>
              <w:pStyle w:val="TableText0"/>
              <w:keepNext w:val="0"/>
              <w:rPr>
                <w:iCs/>
              </w:rPr>
            </w:pPr>
            <w:r w:rsidRPr="0058641B">
              <w:rPr>
                <w:iCs/>
              </w:rPr>
              <w:t>SA.2+SA.14+SA.8</w:t>
            </w:r>
            <w:r w:rsidRPr="0058641B">
              <w:rPr>
                <w:iCs/>
                <w:vertAlign w:val="superscript"/>
              </w:rPr>
              <w:t>b</w:t>
            </w:r>
          </w:p>
        </w:tc>
        <w:tc>
          <w:tcPr>
            <w:tcW w:w="572" w:type="pct"/>
            <w:tcBorders>
              <w:top w:val="single" w:sz="4" w:space="0" w:color="auto"/>
              <w:left w:val="single" w:sz="4" w:space="0" w:color="auto"/>
              <w:bottom w:val="single" w:sz="4" w:space="0" w:color="auto"/>
              <w:right w:val="single" w:sz="4" w:space="0" w:color="auto"/>
            </w:tcBorders>
          </w:tcPr>
          <w:p w14:paraId="59A552C2" w14:textId="11104EF6"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1"/>
                <w14:textFill>
                  <w14:solidFill>
                    <w14:srgbClr w14:val="000000">
                      <w14:alpha w14:val="100000"/>
                    </w14:srgbClr>
                  </w14:solidFill>
                </w14:textFill>
              </w:rPr>
              <w:t>|</w:t>
            </w:r>
            <w:r w:rsidR="00A8021D" w:rsidRPr="00A8021D">
              <w:rPr>
                <w:iCs/>
                <w:color w:val="000000"/>
                <w:spacing w:val="1"/>
                <w:shd w:val="solid" w:color="000000" w:fill="000000"/>
                <w:fitText w:val="190" w:id="-1435765241"/>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664BA36" w14:textId="77777777" w:rsidR="005C3F0D" w:rsidRPr="0058641B" w:rsidRDefault="005C3F0D" w:rsidP="005C3F0D">
            <w:pPr>
              <w:pStyle w:val="TableText0"/>
              <w:keepNext w:val="0"/>
              <w:jc w:val="center"/>
              <w:rPr>
                <w:iCs/>
              </w:rPr>
            </w:pPr>
            <w:r w:rsidRPr="0058641B">
              <w:rPr>
                <w:iCs/>
              </w:rPr>
              <w:t>0.630</w:t>
            </w:r>
          </w:p>
        </w:tc>
        <w:tc>
          <w:tcPr>
            <w:tcW w:w="607" w:type="pct"/>
            <w:tcBorders>
              <w:top w:val="single" w:sz="4" w:space="0" w:color="auto"/>
              <w:left w:val="single" w:sz="4" w:space="0" w:color="auto"/>
              <w:bottom w:val="single" w:sz="4" w:space="0" w:color="auto"/>
              <w:right w:val="single" w:sz="4" w:space="0" w:color="auto"/>
            </w:tcBorders>
          </w:tcPr>
          <w:p w14:paraId="51488C5F" w14:textId="2C1C5DCA"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40"/>
                <w14:textFill>
                  <w14:solidFill>
                    <w14:srgbClr w14:val="000000">
                      <w14:alpha w14:val="100000"/>
                    </w14:srgbClr>
                  </w14:solidFill>
                </w14:textFill>
              </w:rPr>
              <w:t>|</w:t>
            </w:r>
            <w:r w:rsidR="00A8021D" w:rsidRPr="00A8021D">
              <w:rPr>
                <w:iCs/>
                <w:color w:val="000000"/>
                <w:spacing w:val="1"/>
                <w:shd w:val="solid" w:color="000000" w:fill="000000"/>
                <w:fitText w:val="190" w:id="-1435765240"/>
                <w14:textFill>
                  <w14:solidFill>
                    <w14:srgbClr w14:val="000000">
                      <w14:alpha w14:val="100000"/>
                    </w14:srgbClr>
                  </w14:solidFill>
                </w14:textFill>
              </w:rPr>
              <w:t>|</w:t>
            </w:r>
            <w:r w:rsidR="001A775F">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673E01C9" w14:textId="77777777" w:rsidR="005C3F0D" w:rsidRPr="0058641B" w:rsidRDefault="005C3F0D" w:rsidP="005C3F0D">
            <w:pPr>
              <w:pStyle w:val="TableText0"/>
              <w:keepNext w:val="0"/>
              <w:jc w:val="center"/>
              <w:rPr>
                <w:iCs/>
              </w:rPr>
            </w:pPr>
            <w:r w:rsidRPr="0058641B">
              <w:rPr>
                <w:iCs/>
              </w:rPr>
              <w:t>40%</w:t>
            </w:r>
          </w:p>
        </w:tc>
      </w:tr>
      <w:tr w:rsidR="005C3F0D" w:rsidRPr="0058641B" w14:paraId="74049B5A" w14:textId="77777777" w:rsidTr="00D312D9">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71337D03" w14:textId="4DC699DF" w:rsidR="005C3F0D" w:rsidRPr="0058641B" w:rsidRDefault="005C3F0D" w:rsidP="005C3F0D">
            <w:pPr>
              <w:pStyle w:val="TableText0"/>
              <w:keepNext w:val="0"/>
              <w:rPr>
                <w:iCs/>
              </w:rPr>
            </w:pPr>
            <w:r w:rsidRPr="0058641B">
              <w:rPr>
                <w:iCs/>
              </w:rPr>
              <w:t>SA.2+SA.14+SA.8+SA.9</w:t>
            </w:r>
            <w:r w:rsidRPr="0058641B">
              <w:rPr>
                <w:iCs/>
                <w:vertAlign w:val="superscript"/>
              </w:rPr>
              <w:t>b</w:t>
            </w:r>
          </w:p>
        </w:tc>
        <w:tc>
          <w:tcPr>
            <w:tcW w:w="572" w:type="pct"/>
            <w:tcBorders>
              <w:top w:val="single" w:sz="4" w:space="0" w:color="auto"/>
              <w:left w:val="single" w:sz="4" w:space="0" w:color="auto"/>
              <w:bottom w:val="single" w:sz="4" w:space="0" w:color="auto"/>
              <w:right w:val="single" w:sz="4" w:space="0" w:color="auto"/>
            </w:tcBorders>
          </w:tcPr>
          <w:p w14:paraId="5F4FD120" w14:textId="06CCDFCD"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9"/>
                <w14:textFill>
                  <w14:solidFill>
                    <w14:srgbClr w14:val="000000">
                      <w14:alpha w14:val="100000"/>
                    </w14:srgbClr>
                  </w14:solidFill>
                </w14:textFill>
              </w:rPr>
              <w:t>|</w:t>
            </w:r>
            <w:r w:rsidR="00A8021D" w:rsidRPr="00A8021D">
              <w:rPr>
                <w:iCs/>
                <w:color w:val="000000"/>
                <w:spacing w:val="1"/>
                <w:shd w:val="solid" w:color="000000" w:fill="000000"/>
                <w:fitText w:val="190" w:id="-1435765239"/>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1416AE57" w14:textId="77777777" w:rsidR="005C3F0D" w:rsidRPr="0058641B" w:rsidRDefault="005C3F0D" w:rsidP="005C3F0D">
            <w:pPr>
              <w:pStyle w:val="TableText0"/>
              <w:keepNext w:val="0"/>
              <w:jc w:val="center"/>
              <w:rPr>
                <w:iCs/>
              </w:rPr>
            </w:pPr>
            <w:r w:rsidRPr="0058641B">
              <w:rPr>
                <w:iCs/>
              </w:rPr>
              <w:t>0.323</w:t>
            </w:r>
          </w:p>
        </w:tc>
        <w:tc>
          <w:tcPr>
            <w:tcW w:w="607" w:type="pct"/>
            <w:tcBorders>
              <w:top w:val="single" w:sz="4" w:space="0" w:color="auto"/>
              <w:left w:val="single" w:sz="4" w:space="0" w:color="auto"/>
              <w:bottom w:val="single" w:sz="4" w:space="0" w:color="auto"/>
              <w:right w:val="single" w:sz="4" w:space="0" w:color="auto"/>
            </w:tcBorders>
          </w:tcPr>
          <w:p w14:paraId="452B00CB" w14:textId="0476351A"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8"/>
                <w14:textFill>
                  <w14:solidFill>
                    <w14:srgbClr w14:val="000000">
                      <w14:alpha w14:val="100000"/>
                    </w14:srgbClr>
                  </w14:solidFill>
                </w14:textFill>
              </w:rPr>
              <w:t>|</w:t>
            </w:r>
            <w:r w:rsidR="00A8021D" w:rsidRPr="00A8021D">
              <w:rPr>
                <w:iCs/>
                <w:color w:val="000000"/>
                <w:spacing w:val="1"/>
                <w:shd w:val="solid" w:color="000000" w:fill="000000"/>
                <w:fitText w:val="190" w:id="-1435765238"/>
                <w14:textFill>
                  <w14:solidFill>
                    <w14:srgbClr w14:val="000000">
                      <w14:alpha w14:val="100000"/>
                    </w14:srgbClr>
                  </w14:solidFill>
                </w14:textFill>
              </w:rPr>
              <w:t>|</w:t>
            </w:r>
            <w:r w:rsidR="001A775F">
              <w:rPr>
                <w:bCs w:val="0"/>
                <w:iCs/>
                <w:vertAlign w:val="superscript"/>
              </w:rPr>
              <w:t>3</w:t>
            </w:r>
          </w:p>
        </w:tc>
        <w:tc>
          <w:tcPr>
            <w:tcW w:w="473" w:type="pct"/>
            <w:tcBorders>
              <w:top w:val="single" w:sz="4" w:space="0" w:color="auto"/>
              <w:left w:val="single" w:sz="4" w:space="0" w:color="auto"/>
              <w:bottom w:val="single" w:sz="4" w:space="0" w:color="auto"/>
              <w:right w:val="single" w:sz="4" w:space="0" w:color="auto"/>
            </w:tcBorders>
          </w:tcPr>
          <w:p w14:paraId="1DCA46A3" w14:textId="77777777" w:rsidR="005C3F0D" w:rsidRPr="0058641B" w:rsidRDefault="005C3F0D" w:rsidP="005C3F0D">
            <w:pPr>
              <w:pStyle w:val="TableText0"/>
              <w:keepNext w:val="0"/>
              <w:jc w:val="center"/>
              <w:rPr>
                <w:iCs/>
              </w:rPr>
            </w:pPr>
            <w:r w:rsidRPr="0058641B">
              <w:rPr>
                <w:iCs/>
              </w:rPr>
              <w:t>90%</w:t>
            </w:r>
          </w:p>
        </w:tc>
      </w:tr>
      <w:tr w:rsidR="005C3F0D" w:rsidRPr="0058641B" w14:paraId="303C4181" w14:textId="77777777" w:rsidTr="00D312D9">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6FC8B81D" w14:textId="7301ABA8" w:rsidR="005C3F0D" w:rsidRPr="00073D5D" w:rsidRDefault="005C3F0D" w:rsidP="005C3F0D">
            <w:pPr>
              <w:pStyle w:val="TableText0"/>
              <w:keepNext w:val="0"/>
              <w:rPr>
                <w:iCs/>
                <w:vertAlign w:val="superscript"/>
                <w:lang w:val="fr-FR"/>
              </w:rPr>
            </w:pPr>
            <w:r w:rsidRPr="00073D5D">
              <w:rPr>
                <w:iCs/>
                <w:lang w:val="fr-FR"/>
              </w:rPr>
              <w:t>SA.2+SA.14+SA.8+SA.10+SA.11</w:t>
            </w:r>
            <w:r w:rsidRPr="00073D5D">
              <w:rPr>
                <w:iCs/>
                <w:vertAlign w:val="superscript"/>
                <w:lang w:val="fr-FR"/>
              </w:rPr>
              <w:t>b</w:t>
            </w:r>
          </w:p>
        </w:tc>
        <w:tc>
          <w:tcPr>
            <w:tcW w:w="572" w:type="pct"/>
            <w:tcBorders>
              <w:top w:val="single" w:sz="4" w:space="0" w:color="auto"/>
              <w:left w:val="single" w:sz="4" w:space="0" w:color="auto"/>
              <w:bottom w:val="single" w:sz="4" w:space="0" w:color="auto"/>
              <w:right w:val="single" w:sz="4" w:space="0" w:color="auto"/>
            </w:tcBorders>
          </w:tcPr>
          <w:p w14:paraId="024C2A73" w14:textId="058A1B47"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7"/>
                <w14:textFill>
                  <w14:solidFill>
                    <w14:srgbClr w14:val="000000">
                      <w14:alpha w14:val="100000"/>
                    </w14:srgbClr>
                  </w14:solidFill>
                </w14:textFill>
              </w:rPr>
              <w:t>|</w:t>
            </w:r>
            <w:r w:rsidR="00A8021D" w:rsidRPr="00A8021D">
              <w:rPr>
                <w:iCs/>
                <w:color w:val="000000"/>
                <w:spacing w:val="1"/>
                <w:shd w:val="solid" w:color="000000" w:fill="000000"/>
                <w:fitText w:val="190" w:id="-1435765237"/>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F051F45" w14:textId="77777777" w:rsidR="005C3F0D" w:rsidRPr="0058641B" w:rsidRDefault="005C3F0D" w:rsidP="005C3F0D">
            <w:pPr>
              <w:pStyle w:val="TableText0"/>
              <w:keepNext w:val="0"/>
              <w:jc w:val="center"/>
              <w:rPr>
                <w:iCs/>
              </w:rPr>
            </w:pPr>
            <w:r w:rsidRPr="0058641B">
              <w:rPr>
                <w:iCs/>
              </w:rPr>
              <w:t>0.399</w:t>
            </w:r>
          </w:p>
        </w:tc>
        <w:tc>
          <w:tcPr>
            <w:tcW w:w="607" w:type="pct"/>
            <w:tcBorders>
              <w:top w:val="single" w:sz="4" w:space="0" w:color="auto"/>
              <w:left w:val="single" w:sz="4" w:space="0" w:color="auto"/>
              <w:bottom w:val="single" w:sz="4" w:space="0" w:color="auto"/>
              <w:right w:val="single" w:sz="4" w:space="0" w:color="auto"/>
            </w:tcBorders>
          </w:tcPr>
          <w:p w14:paraId="428D7B53" w14:textId="05BB88D7"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6"/>
                <w14:textFill>
                  <w14:solidFill>
                    <w14:srgbClr w14:val="000000">
                      <w14:alpha w14:val="100000"/>
                    </w14:srgbClr>
                  </w14:solidFill>
                </w14:textFill>
              </w:rPr>
              <w:t>|</w:t>
            </w:r>
            <w:r w:rsidR="00A8021D" w:rsidRPr="00A8021D">
              <w:rPr>
                <w:iCs/>
                <w:color w:val="000000"/>
                <w:spacing w:val="1"/>
                <w:shd w:val="solid" w:color="000000" w:fill="000000"/>
                <w:fitText w:val="190" w:id="-1435765236"/>
                <w14:textFill>
                  <w14:solidFill>
                    <w14:srgbClr w14:val="000000">
                      <w14:alpha w14:val="100000"/>
                    </w14:srgbClr>
                  </w14:solidFill>
                </w14:textFill>
              </w:rPr>
              <w:t>|</w:t>
            </w:r>
            <w:r w:rsidR="001A775F">
              <w:rPr>
                <w:bCs w:val="0"/>
                <w:iCs/>
                <w:vertAlign w:val="superscript"/>
              </w:rPr>
              <w:t>3</w:t>
            </w:r>
          </w:p>
        </w:tc>
        <w:tc>
          <w:tcPr>
            <w:tcW w:w="473" w:type="pct"/>
            <w:tcBorders>
              <w:top w:val="single" w:sz="4" w:space="0" w:color="auto"/>
              <w:left w:val="single" w:sz="4" w:space="0" w:color="auto"/>
              <w:bottom w:val="single" w:sz="4" w:space="0" w:color="auto"/>
              <w:right w:val="single" w:sz="4" w:space="0" w:color="auto"/>
            </w:tcBorders>
          </w:tcPr>
          <w:p w14:paraId="48C10727" w14:textId="77777777" w:rsidR="005C3F0D" w:rsidRPr="0058641B" w:rsidRDefault="005C3F0D" w:rsidP="005C3F0D">
            <w:pPr>
              <w:pStyle w:val="TableText0"/>
              <w:keepNext w:val="0"/>
              <w:jc w:val="center"/>
              <w:rPr>
                <w:iCs/>
              </w:rPr>
            </w:pPr>
            <w:r w:rsidRPr="0058641B">
              <w:rPr>
                <w:iCs/>
              </w:rPr>
              <w:t>73%</w:t>
            </w:r>
          </w:p>
        </w:tc>
      </w:tr>
      <w:tr w:rsidR="005C3F0D" w:rsidRPr="0058641B" w14:paraId="4CA2A25A" w14:textId="77777777" w:rsidTr="00575137">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53D2FFCA" w14:textId="430230E2" w:rsidR="005C3F0D" w:rsidRPr="00073D5D" w:rsidRDefault="005C3F0D" w:rsidP="005C3F0D">
            <w:pPr>
              <w:pStyle w:val="TableText0"/>
              <w:keepNext w:val="0"/>
              <w:rPr>
                <w:iCs/>
                <w:lang w:val="fr-FR"/>
              </w:rPr>
            </w:pPr>
            <w:r w:rsidRPr="00073D5D">
              <w:rPr>
                <w:iCs/>
                <w:lang w:val="fr-FR"/>
              </w:rPr>
              <w:t>SA.2+SA.14+SA.8+SA.10+SA11+SA.15</w:t>
            </w:r>
            <w:r w:rsidRPr="00073D5D">
              <w:rPr>
                <w:iCs/>
                <w:vertAlign w:val="superscript"/>
                <w:lang w:val="fr-FR"/>
              </w:rPr>
              <w:t>b</w:t>
            </w:r>
          </w:p>
        </w:tc>
        <w:tc>
          <w:tcPr>
            <w:tcW w:w="572" w:type="pct"/>
            <w:tcBorders>
              <w:top w:val="single" w:sz="4" w:space="0" w:color="auto"/>
              <w:left w:val="single" w:sz="4" w:space="0" w:color="auto"/>
              <w:bottom w:val="single" w:sz="4" w:space="0" w:color="auto"/>
              <w:right w:val="single" w:sz="4" w:space="0" w:color="auto"/>
            </w:tcBorders>
          </w:tcPr>
          <w:p w14:paraId="60ABD1E1" w14:textId="7B54FB9B"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5"/>
                <w14:textFill>
                  <w14:solidFill>
                    <w14:srgbClr w14:val="000000">
                      <w14:alpha w14:val="100000"/>
                    </w14:srgbClr>
                  </w14:solidFill>
                </w14:textFill>
              </w:rPr>
              <w:t>|</w:t>
            </w:r>
            <w:r w:rsidR="00A8021D" w:rsidRPr="00A8021D">
              <w:rPr>
                <w:iCs/>
                <w:color w:val="000000"/>
                <w:spacing w:val="1"/>
                <w:shd w:val="solid" w:color="000000" w:fill="000000"/>
                <w:fitText w:val="190" w:id="-1435765235"/>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A9F9B5A" w14:textId="4A3F6090" w:rsidR="005C3F0D" w:rsidRPr="0058641B" w:rsidRDefault="005C3F0D" w:rsidP="005C3F0D">
            <w:pPr>
              <w:pStyle w:val="TableText0"/>
              <w:keepNext w:val="0"/>
              <w:jc w:val="center"/>
              <w:rPr>
                <w:iCs/>
              </w:rPr>
            </w:pPr>
            <w:r w:rsidRPr="0058641B">
              <w:rPr>
                <w:iCs/>
              </w:rPr>
              <w:t>0.205</w:t>
            </w:r>
          </w:p>
        </w:tc>
        <w:tc>
          <w:tcPr>
            <w:tcW w:w="607" w:type="pct"/>
            <w:tcBorders>
              <w:top w:val="single" w:sz="4" w:space="0" w:color="auto"/>
              <w:left w:val="single" w:sz="4" w:space="0" w:color="auto"/>
              <w:bottom w:val="single" w:sz="4" w:space="0" w:color="auto"/>
              <w:right w:val="single" w:sz="4" w:space="0" w:color="auto"/>
            </w:tcBorders>
          </w:tcPr>
          <w:p w14:paraId="181793C7" w14:textId="0370D772"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4"/>
                <w14:textFill>
                  <w14:solidFill>
                    <w14:srgbClr w14:val="000000">
                      <w14:alpha w14:val="100000"/>
                    </w14:srgbClr>
                  </w14:solidFill>
                </w14:textFill>
              </w:rPr>
              <w:t>|</w:t>
            </w:r>
            <w:r w:rsidR="00A8021D" w:rsidRPr="00A8021D">
              <w:rPr>
                <w:iCs/>
                <w:color w:val="000000"/>
                <w:spacing w:val="1"/>
                <w:shd w:val="solid" w:color="000000" w:fill="000000"/>
                <w:fitText w:val="190" w:id="-1435765234"/>
                <w14:textFill>
                  <w14:solidFill>
                    <w14:srgbClr w14:val="000000">
                      <w14:alpha w14:val="100000"/>
                    </w14:srgbClr>
                  </w14:solidFill>
                </w14:textFill>
              </w:rPr>
              <w:t>|</w:t>
            </w:r>
            <w:r w:rsidR="001A775F">
              <w:rPr>
                <w:bCs w:val="0"/>
                <w:iCs/>
                <w:vertAlign w:val="superscript"/>
              </w:rPr>
              <w:t>4</w:t>
            </w:r>
          </w:p>
        </w:tc>
        <w:tc>
          <w:tcPr>
            <w:tcW w:w="473" w:type="pct"/>
            <w:tcBorders>
              <w:top w:val="single" w:sz="4" w:space="0" w:color="auto"/>
              <w:left w:val="single" w:sz="4" w:space="0" w:color="auto"/>
              <w:bottom w:val="single" w:sz="4" w:space="0" w:color="auto"/>
              <w:right w:val="single" w:sz="4" w:space="0" w:color="auto"/>
            </w:tcBorders>
          </w:tcPr>
          <w:p w14:paraId="5B8D0917" w14:textId="467A17A3" w:rsidR="005C3F0D" w:rsidRPr="0058641B" w:rsidRDefault="005C3F0D" w:rsidP="005C3F0D">
            <w:pPr>
              <w:pStyle w:val="TableText0"/>
              <w:keepNext w:val="0"/>
              <w:jc w:val="center"/>
              <w:rPr>
                <w:iCs/>
              </w:rPr>
            </w:pPr>
            <w:r w:rsidRPr="0058641B">
              <w:rPr>
                <w:iCs/>
              </w:rPr>
              <w:t>199%</w:t>
            </w:r>
          </w:p>
        </w:tc>
      </w:tr>
      <w:tr w:rsidR="005C3F0D" w:rsidRPr="0058641B" w14:paraId="7BD5D67F" w14:textId="77777777" w:rsidTr="00575137">
        <w:trPr>
          <w:cantSplit/>
          <w:trHeight w:val="44"/>
        </w:trPr>
        <w:tc>
          <w:tcPr>
            <w:tcW w:w="2816" w:type="pct"/>
            <w:gridSpan w:val="3"/>
            <w:tcBorders>
              <w:top w:val="single" w:sz="4" w:space="0" w:color="auto"/>
              <w:left w:val="single" w:sz="4" w:space="0" w:color="auto"/>
              <w:bottom w:val="single" w:sz="4" w:space="0" w:color="auto"/>
              <w:right w:val="single" w:sz="4" w:space="0" w:color="auto"/>
            </w:tcBorders>
          </w:tcPr>
          <w:p w14:paraId="0ADC3A12" w14:textId="772DD0EB" w:rsidR="005C3F0D" w:rsidRPr="00073D5D" w:rsidRDefault="005C3F0D" w:rsidP="005C3F0D">
            <w:pPr>
              <w:pStyle w:val="TableText0"/>
              <w:keepNext w:val="0"/>
              <w:rPr>
                <w:iCs/>
                <w:vertAlign w:val="superscript"/>
                <w:lang w:val="fr-FR"/>
              </w:rPr>
            </w:pPr>
            <w:r w:rsidRPr="00073D5D">
              <w:rPr>
                <w:iCs/>
                <w:lang w:val="fr-FR"/>
              </w:rPr>
              <w:lastRenderedPageBreak/>
              <w:t>SA.2+SA.14+SA.8+SA.9+SA.15</w:t>
            </w:r>
            <w:r w:rsidRPr="00073D5D">
              <w:rPr>
                <w:iCs/>
                <w:vertAlign w:val="superscript"/>
                <w:lang w:val="fr-FR"/>
              </w:rPr>
              <w:t>b</w:t>
            </w:r>
          </w:p>
        </w:tc>
        <w:tc>
          <w:tcPr>
            <w:tcW w:w="572" w:type="pct"/>
            <w:tcBorders>
              <w:top w:val="single" w:sz="4" w:space="0" w:color="auto"/>
              <w:left w:val="single" w:sz="4" w:space="0" w:color="auto"/>
              <w:bottom w:val="single" w:sz="4" w:space="0" w:color="auto"/>
              <w:right w:val="single" w:sz="4" w:space="0" w:color="auto"/>
            </w:tcBorders>
          </w:tcPr>
          <w:p w14:paraId="3DAC8727" w14:textId="52DDDEBB" w:rsidR="005C3F0D" w:rsidRPr="0058641B" w:rsidRDefault="005C3F0D" w:rsidP="005C3F0D">
            <w:pPr>
              <w:pStyle w:val="TableText0"/>
              <w:keepNext w:val="0"/>
              <w:jc w:val="center"/>
              <w:rPr>
                <w:iCs/>
              </w:rPr>
            </w:pPr>
            <w:r w:rsidRPr="0058641B">
              <w:rPr>
                <w:iCs/>
              </w:rPr>
              <w:t>$</w:t>
            </w:r>
            <w:r w:rsidR="00A8021D" w:rsidRPr="00A8021D">
              <w:rPr>
                <w:iCs/>
                <w:color w:val="000000"/>
                <w:spacing w:val="104"/>
                <w:shd w:val="solid" w:color="000000" w:fill="000000"/>
                <w:fitText w:val="190" w:id="-1435765233"/>
                <w14:textFill>
                  <w14:solidFill>
                    <w14:srgbClr w14:val="000000">
                      <w14:alpha w14:val="100000"/>
                    </w14:srgbClr>
                  </w14:solidFill>
                </w14:textFill>
              </w:rPr>
              <w:t>|</w:t>
            </w:r>
            <w:r w:rsidR="00A8021D" w:rsidRPr="00A8021D">
              <w:rPr>
                <w:iCs/>
                <w:color w:val="000000"/>
                <w:spacing w:val="1"/>
                <w:shd w:val="solid" w:color="000000" w:fill="000000"/>
                <w:fitText w:val="190" w:id="-1435765233"/>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1EC9A901" w14:textId="485466D5" w:rsidR="005C3F0D" w:rsidRPr="0058641B" w:rsidRDefault="005C3F0D" w:rsidP="005C3F0D">
            <w:pPr>
              <w:pStyle w:val="TableText0"/>
              <w:keepNext w:val="0"/>
              <w:jc w:val="center"/>
              <w:rPr>
                <w:iCs/>
              </w:rPr>
            </w:pPr>
            <w:r w:rsidRPr="0058641B">
              <w:rPr>
                <w:iCs/>
              </w:rPr>
              <w:t>0.148</w:t>
            </w:r>
          </w:p>
        </w:tc>
        <w:tc>
          <w:tcPr>
            <w:tcW w:w="607" w:type="pct"/>
            <w:tcBorders>
              <w:top w:val="single" w:sz="4" w:space="0" w:color="auto"/>
              <w:left w:val="single" w:sz="4" w:space="0" w:color="auto"/>
              <w:bottom w:val="single" w:sz="4" w:space="0" w:color="auto"/>
              <w:right w:val="single" w:sz="4" w:space="0" w:color="auto"/>
            </w:tcBorders>
          </w:tcPr>
          <w:p w14:paraId="396549EE" w14:textId="27C75D2F" w:rsidR="005C3F0D" w:rsidRPr="001A775F" w:rsidRDefault="005C3F0D" w:rsidP="005C3F0D">
            <w:pPr>
              <w:pStyle w:val="TableText0"/>
              <w:keepNext w:val="0"/>
              <w:jc w:val="center"/>
              <w:rPr>
                <w:iCs/>
                <w:vertAlign w:val="superscript"/>
              </w:rPr>
            </w:pPr>
            <w:r w:rsidRPr="0058641B">
              <w:rPr>
                <w:iCs/>
              </w:rPr>
              <w:t>$</w:t>
            </w:r>
            <w:r w:rsidR="00A8021D" w:rsidRPr="00A8021D">
              <w:rPr>
                <w:iCs/>
                <w:color w:val="000000"/>
                <w:spacing w:val="104"/>
                <w:shd w:val="solid" w:color="000000" w:fill="000000"/>
                <w:fitText w:val="190" w:id="-1435765232"/>
                <w14:textFill>
                  <w14:solidFill>
                    <w14:srgbClr w14:val="000000">
                      <w14:alpha w14:val="100000"/>
                    </w14:srgbClr>
                  </w14:solidFill>
                </w14:textFill>
              </w:rPr>
              <w:t>|</w:t>
            </w:r>
            <w:r w:rsidR="00A8021D" w:rsidRPr="00A8021D">
              <w:rPr>
                <w:iCs/>
                <w:color w:val="000000"/>
                <w:spacing w:val="1"/>
                <w:shd w:val="solid" w:color="000000" w:fill="000000"/>
                <w:fitText w:val="190" w:id="-1435765232"/>
                <w14:textFill>
                  <w14:solidFill>
                    <w14:srgbClr w14:val="000000">
                      <w14:alpha w14:val="100000"/>
                    </w14:srgbClr>
                  </w14:solidFill>
                </w14:textFill>
              </w:rPr>
              <w:t>|</w:t>
            </w:r>
            <w:r w:rsidR="001A775F">
              <w:rPr>
                <w:iCs/>
                <w:vertAlign w:val="superscript"/>
              </w:rPr>
              <w:t>5</w:t>
            </w:r>
          </w:p>
        </w:tc>
        <w:tc>
          <w:tcPr>
            <w:tcW w:w="473" w:type="pct"/>
            <w:tcBorders>
              <w:top w:val="single" w:sz="4" w:space="0" w:color="auto"/>
              <w:left w:val="single" w:sz="4" w:space="0" w:color="auto"/>
              <w:bottom w:val="single" w:sz="4" w:space="0" w:color="auto"/>
              <w:right w:val="single" w:sz="4" w:space="0" w:color="auto"/>
            </w:tcBorders>
          </w:tcPr>
          <w:p w14:paraId="7DD1FCA2" w14:textId="52F23F79" w:rsidR="005C3F0D" w:rsidRPr="0058641B" w:rsidRDefault="005C3F0D" w:rsidP="005C3F0D">
            <w:pPr>
              <w:pStyle w:val="TableText0"/>
              <w:keepNext w:val="0"/>
              <w:jc w:val="center"/>
              <w:rPr>
                <w:iCs/>
              </w:rPr>
            </w:pPr>
            <w:r w:rsidRPr="0058641B">
              <w:rPr>
                <w:iCs/>
              </w:rPr>
              <w:t>251%</w:t>
            </w:r>
          </w:p>
        </w:tc>
      </w:tr>
    </w:tbl>
    <w:p w14:paraId="3EA7BDD9" w14:textId="77777777" w:rsidR="00C37C68" w:rsidRPr="0058641B" w:rsidRDefault="00C37C68" w:rsidP="00C37C68">
      <w:pPr>
        <w:pStyle w:val="TableFooter"/>
        <w:rPr>
          <w:iCs/>
        </w:rPr>
      </w:pPr>
      <w:r w:rsidRPr="0058641B">
        <w:rPr>
          <w:iCs/>
        </w:rPr>
        <w:t>Source: Table 3.23, p98 of the submission and calculated during the evaluation.</w:t>
      </w:r>
    </w:p>
    <w:p w14:paraId="442AFED4" w14:textId="0735E849" w:rsidR="00C37C68" w:rsidRPr="0058641B" w:rsidRDefault="00C37C68" w:rsidP="00C37C68">
      <w:pPr>
        <w:pStyle w:val="TableFooter"/>
        <w:rPr>
          <w:iCs/>
        </w:rPr>
      </w:pPr>
      <w:r w:rsidRPr="0058641B">
        <w:rPr>
          <w:iCs/>
        </w:rPr>
        <w:t>1L DR = first-line distant recurrence; 2L DR = second-line distant recurrence; ATZ = atezolizumab; BSC = best supportive care; DFS = disease-free survival; LRR = locoregional recurrence</w:t>
      </w:r>
    </w:p>
    <w:p w14:paraId="407EF26B" w14:textId="77777777" w:rsidR="00C37C68" w:rsidRPr="0058641B" w:rsidRDefault="00C37C68" w:rsidP="00C37C68">
      <w:pPr>
        <w:pStyle w:val="TableFooter"/>
        <w:rPr>
          <w:iCs/>
        </w:rPr>
      </w:pPr>
      <w:r w:rsidRPr="0058641B">
        <w:rPr>
          <w:iCs/>
          <w:vertAlign w:val="superscript"/>
        </w:rPr>
        <w:t xml:space="preserve">a </w:t>
      </w:r>
      <w:r w:rsidRPr="0058641B">
        <w:rPr>
          <w:iCs/>
        </w:rPr>
        <w:t xml:space="preserve">The economic evaluation results presented in this table are the revised results after correcting the following the errors identified during the evaluation: </w:t>
      </w:r>
    </w:p>
    <w:p w14:paraId="6126BFD2" w14:textId="77777777" w:rsidR="00C37C68" w:rsidRPr="0058641B" w:rsidRDefault="00C37C68" w:rsidP="00C37C68">
      <w:pPr>
        <w:pStyle w:val="TableFooter"/>
        <w:rPr>
          <w:iCs/>
        </w:rPr>
      </w:pPr>
      <w:r w:rsidRPr="0058641B">
        <w:rPr>
          <w:iCs/>
        </w:rPr>
        <w:t>1) the omission of costs in the second-line distant recurrence health state in calculating the total costs (Cells G37 and J37 in the ‘Results’ spreadsheet);</w:t>
      </w:r>
    </w:p>
    <w:p w14:paraId="2699CA09" w14:textId="77777777" w:rsidR="00C37C68" w:rsidRPr="0058641B" w:rsidRDefault="00C37C68" w:rsidP="00C37C68">
      <w:pPr>
        <w:pStyle w:val="TableFooter"/>
        <w:rPr>
          <w:iCs/>
        </w:rPr>
      </w:pPr>
      <w:r w:rsidRPr="0058641B">
        <w:rPr>
          <w:iCs/>
        </w:rPr>
        <w:t>2) errors in the formulas calculating the MRU costs during the off-treatment period in the DFS health state (Cells AV9:AV2097 in both the ‘Atezolizumab’ spreadsheet and the ‘Best Supportive Care’ spreadsheet);</w:t>
      </w:r>
    </w:p>
    <w:p w14:paraId="74E88093" w14:textId="77777777" w:rsidR="00C37C68" w:rsidRPr="0058641B" w:rsidRDefault="00C37C68" w:rsidP="00C37C68">
      <w:pPr>
        <w:pStyle w:val="TableFooter"/>
        <w:rPr>
          <w:iCs/>
        </w:rPr>
      </w:pPr>
      <w:r w:rsidRPr="0058641B">
        <w:rPr>
          <w:iCs/>
        </w:rPr>
        <w:t xml:space="preserve">3) double counting the MRU costs in the DFS health state in the best supportive care arm (Cells AU9:AU2097 in the ‘Best Supportive Care’ spreadsheet); </w:t>
      </w:r>
    </w:p>
    <w:p w14:paraId="16998848" w14:textId="77777777" w:rsidR="00C37C68" w:rsidRPr="0058641B" w:rsidRDefault="00C37C68" w:rsidP="00C37C68">
      <w:pPr>
        <w:pStyle w:val="TableFooter"/>
        <w:rPr>
          <w:iCs/>
        </w:rPr>
      </w:pPr>
      <w:r w:rsidRPr="0058641B">
        <w:rPr>
          <w:iCs/>
        </w:rPr>
        <w:t>4) referencing errors in the formulas calculating the weights of hospital admissions due to major disorders vs. hospital admissions due to minor disorders associated with management of rash and hypertension (Cells M13:M14 and Cells M19:M20 in the ‘Adverse Events Costs’ spreadsheet); and</w:t>
      </w:r>
    </w:p>
    <w:p w14:paraId="1B0DF5D2" w14:textId="77777777" w:rsidR="00C37C68" w:rsidRPr="0058641B" w:rsidRDefault="00C37C68" w:rsidP="00C37C68">
      <w:pPr>
        <w:pStyle w:val="TableFooter"/>
        <w:rPr>
          <w:iCs/>
          <w:sz w:val="20"/>
        </w:rPr>
      </w:pPr>
      <w:r w:rsidRPr="0058641B">
        <w:rPr>
          <w:iCs/>
        </w:rPr>
        <w:t>5) referencing errors in the formulas calculating the weighted drug cost for pembrolizumab per administration (Cells K44 and K48 in the ‘Drug Doses &amp; Acquisition Costs’ spreadsheet).</w:t>
      </w:r>
    </w:p>
    <w:p w14:paraId="019C2D98" w14:textId="77777777" w:rsidR="00C37C68" w:rsidRPr="0058641B" w:rsidRDefault="00C37C68" w:rsidP="00C37C68">
      <w:pPr>
        <w:pStyle w:val="TableFooter"/>
        <w:rPr>
          <w:iCs/>
        </w:rPr>
      </w:pPr>
      <w:r w:rsidRPr="0058641B">
        <w:rPr>
          <w:iCs/>
          <w:vertAlign w:val="superscript"/>
        </w:rPr>
        <w:t xml:space="preserve">b </w:t>
      </w:r>
      <w:r w:rsidRPr="0058641B">
        <w:rPr>
          <w:iCs/>
        </w:rPr>
        <w:t>Sensitivity analyses performed during the evaluation.</w:t>
      </w:r>
    </w:p>
    <w:p w14:paraId="09CA90F6" w14:textId="4728AD81" w:rsidR="00260989" w:rsidRDefault="00C37C68" w:rsidP="00C37C68">
      <w:pPr>
        <w:pStyle w:val="TableFooter"/>
        <w:rPr>
          <w:iCs/>
        </w:rPr>
      </w:pPr>
      <w:r w:rsidRPr="0058641B">
        <w:rPr>
          <w:iCs/>
          <w:vertAlign w:val="superscript"/>
        </w:rPr>
        <w:t xml:space="preserve">c </w:t>
      </w:r>
      <w:r w:rsidRPr="0058641B">
        <w:rPr>
          <w:iCs/>
        </w:rPr>
        <w:t>Utilities for the other two health states, i.e. 1L DR and 2L DR, remained unchanged from the base case estimates.</w:t>
      </w:r>
    </w:p>
    <w:p w14:paraId="3663B56B" w14:textId="77777777" w:rsidR="001A775F" w:rsidRPr="00181DAC" w:rsidRDefault="001A775F" w:rsidP="001A775F">
      <w:pPr>
        <w:pStyle w:val="TableFigureFooter"/>
        <w:keepNext/>
        <w:spacing w:after="0"/>
        <w:contextualSpacing w:val="0"/>
        <w:rPr>
          <w:i/>
        </w:rPr>
      </w:pPr>
      <w:r w:rsidRPr="00181DAC">
        <w:rPr>
          <w:i/>
        </w:rPr>
        <w:t>The redacted values correspond to the following ranges:</w:t>
      </w:r>
    </w:p>
    <w:p w14:paraId="2A338EBB" w14:textId="6BAE3A4B" w:rsidR="001A775F" w:rsidRPr="00281DAB" w:rsidRDefault="001A775F" w:rsidP="001A775F">
      <w:pPr>
        <w:pStyle w:val="TableFigureFooter"/>
        <w:keepNext/>
        <w:spacing w:after="0"/>
        <w:contextualSpacing w:val="0"/>
      </w:pPr>
      <w:r w:rsidRPr="00181DAC">
        <w:rPr>
          <w:i/>
          <w:szCs w:val="18"/>
          <w:vertAlign w:val="superscript"/>
        </w:rPr>
        <w:t>1</w:t>
      </w:r>
      <w:r w:rsidRPr="00181DAC">
        <w:rPr>
          <w:i/>
          <w:szCs w:val="18"/>
        </w:rPr>
        <w:t xml:space="preserve"> </w:t>
      </w:r>
      <w:r w:rsidRPr="001A775F">
        <w:rPr>
          <w:i/>
          <w:szCs w:val="18"/>
        </w:rPr>
        <w:t>$15,000 to &lt; $25,000</w:t>
      </w:r>
    </w:p>
    <w:p w14:paraId="16F77301" w14:textId="4B35754B" w:rsidR="001A775F" w:rsidRPr="00181DAC" w:rsidRDefault="001A775F" w:rsidP="001A775F">
      <w:pPr>
        <w:rPr>
          <w:rFonts w:ascii="Arial Narrow" w:hAnsi="Arial Narrow"/>
          <w:i/>
          <w:sz w:val="18"/>
          <w:szCs w:val="18"/>
        </w:rPr>
      </w:pPr>
      <w:r w:rsidRPr="00181DAC">
        <w:rPr>
          <w:rFonts w:ascii="Arial Narrow" w:hAnsi="Arial Narrow"/>
          <w:i/>
          <w:sz w:val="18"/>
          <w:szCs w:val="18"/>
          <w:vertAlign w:val="superscript"/>
        </w:rPr>
        <w:t>2</w:t>
      </w:r>
      <w:r>
        <w:rPr>
          <w:rFonts w:ascii="Arial Narrow" w:hAnsi="Arial Narrow"/>
          <w:i/>
          <w:sz w:val="18"/>
          <w:szCs w:val="18"/>
        </w:rPr>
        <w:t xml:space="preserve"> </w:t>
      </w:r>
      <w:r w:rsidRPr="001A775F">
        <w:rPr>
          <w:rFonts w:ascii="Arial Narrow" w:hAnsi="Arial Narrow"/>
          <w:i/>
          <w:sz w:val="18"/>
          <w:szCs w:val="18"/>
        </w:rPr>
        <w:t>$25,000 to &lt; $35,000</w:t>
      </w:r>
    </w:p>
    <w:p w14:paraId="2E03A363" w14:textId="4A029B3B" w:rsidR="001A775F" w:rsidRPr="00181DAC" w:rsidRDefault="001A775F" w:rsidP="001A775F">
      <w:pPr>
        <w:rPr>
          <w:rFonts w:ascii="Arial Narrow" w:hAnsi="Arial Narrow"/>
          <w:i/>
          <w:sz w:val="18"/>
          <w:szCs w:val="18"/>
        </w:rPr>
      </w:pPr>
      <w:r w:rsidRPr="00181DAC">
        <w:rPr>
          <w:rFonts w:ascii="Arial Narrow" w:hAnsi="Arial Narrow"/>
          <w:i/>
          <w:sz w:val="18"/>
          <w:szCs w:val="18"/>
          <w:vertAlign w:val="superscript"/>
        </w:rPr>
        <w:t xml:space="preserve">3 </w:t>
      </w:r>
      <w:r w:rsidRPr="001A775F">
        <w:rPr>
          <w:rFonts w:ascii="Arial Narrow" w:hAnsi="Arial Narrow"/>
          <w:i/>
          <w:sz w:val="18"/>
          <w:szCs w:val="18"/>
        </w:rPr>
        <w:t>$35,000 to &lt; $45,000</w:t>
      </w:r>
    </w:p>
    <w:p w14:paraId="5C9FE561" w14:textId="1CBF0F17" w:rsidR="001A775F" w:rsidRPr="00181DAC" w:rsidRDefault="001A775F" w:rsidP="001A775F">
      <w:pPr>
        <w:rPr>
          <w:rFonts w:ascii="Arial Narrow" w:hAnsi="Arial Narrow"/>
          <w:i/>
          <w:sz w:val="18"/>
          <w:szCs w:val="18"/>
        </w:rPr>
      </w:pPr>
      <w:r w:rsidRPr="00181DAC">
        <w:rPr>
          <w:rFonts w:ascii="Arial Narrow" w:hAnsi="Arial Narrow"/>
          <w:i/>
          <w:sz w:val="18"/>
          <w:szCs w:val="18"/>
          <w:vertAlign w:val="superscript"/>
        </w:rPr>
        <w:t xml:space="preserve">4 </w:t>
      </w:r>
      <w:r w:rsidRPr="001A775F">
        <w:rPr>
          <w:rFonts w:ascii="Arial Narrow" w:hAnsi="Arial Narrow"/>
          <w:i/>
          <w:sz w:val="18"/>
          <w:szCs w:val="18"/>
        </w:rPr>
        <w:t>$55,000 to &lt; $75,000</w:t>
      </w:r>
    </w:p>
    <w:p w14:paraId="7E950813" w14:textId="7081D6BA" w:rsidR="001A775F" w:rsidRPr="001A775F" w:rsidRDefault="001A775F" w:rsidP="001A775F">
      <w:pPr>
        <w:rPr>
          <w:rFonts w:ascii="Arial Narrow" w:hAnsi="Arial Narrow"/>
          <w:i/>
          <w:sz w:val="18"/>
          <w:szCs w:val="18"/>
        </w:rPr>
      </w:pPr>
      <w:r w:rsidRPr="00181DAC">
        <w:rPr>
          <w:rFonts w:ascii="Arial Narrow" w:hAnsi="Arial Narrow"/>
          <w:i/>
          <w:sz w:val="18"/>
          <w:szCs w:val="18"/>
          <w:vertAlign w:val="superscript"/>
        </w:rPr>
        <w:t>5</w:t>
      </w:r>
      <w:r w:rsidRPr="00181DAC">
        <w:rPr>
          <w:rFonts w:ascii="Arial Narrow" w:hAnsi="Arial Narrow"/>
          <w:i/>
          <w:sz w:val="18"/>
          <w:szCs w:val="18"/>
        </w:rPr>
        <w:t xml:space="preserve"> </w:t>
      </w:r>
      <w:r w:rsidR="00C125B5" w:rsidRPr="00C125B5">
        <w:rPr>
          <w:rFonts w:ascii="Arial Narrow" w:hAnsi="Arial Narrow"/>
          <w:i/>
          <w:sz w:val="18"/>
          <w:szCs w:val="18"/>
        </w:rPr>
        <w:t>$75,000 to &lt; $95,000</w:t>
      </w:r>
    </w:p>
    <w:p w14:paraId="6F9AF9A8" w14:textId="77777777" w:rsidR="00260989" w:rsidRPr="0058641B" w:rsidRDefault="00260989" w:rsidP="00260989">
      <w:pPr>
        <w:rPr>
          <w:iCs/>
        </w:rPr>
      </w:pPr>
    </w:p>
    <w:p w14:paraId="1B06B920" w14:textId="63BC35E1" w:rsidR="00C37C68" w:rsidRPr="0058641B" w:rsidRDefault="00C37C68" w:rsidP="00C37C68">
      <w:pPr>
        <w:pStyle w:val="ListParagraph"/>
        <w:numPr>
          <w:ilvl w:val="1"/>
          <w:numId w:val="1"/>
        </w:numPr>
        <w:spacing w:after="160"/>
        <w:rPr>
          <w:iCs/>
        </w:rPr>
      </w:pPr>
      <w:r w:rsidRPr="0058641B">
        <w:rPr>
          <w:iCs/>
        </w:rPr>
        <w:t xml:space="preserve">Examining the relationship between the ICER and the time horizon of the model revealed that the ICER dropped substantially until levelling out at around 10 years at about </w:t>
      </w:r>
      <w:r w:rsidR="00B0339D" w:rsidRPr="00B0339D">
        <w:rPr>
          <w:iCs/>
        </w:rPr>
        <w:t>$45,000 to &lt; $55,000</w:t>
      </w:r>
      <w:r w:rsidRPr="0058641B">
        <w:rPr>
          <w:iCs/>
        </w:rPr>
        <w:t xml:space="preserve">/QALY gained. Then the ICER decreased gradually to less than </w:t>
      </w:r>
      <w:r w:rsidR="00B0339D" w:rsidRPr="00B0339D">
        <w:rPr>
          <w:iCs/>
        </w:rPr>
        <w:t>$25,000 to &lt; $35,000</w:t>
      </w:r>
      <w:r w:rsidRPr="0058641B">
        <w:rPr>
          <w:iCs/>
        </w:rPr>
        <w:t>/QALY gained at around 21 years.</w:t>
      </w:r>
    </w:p>
    <w:p w14:paraId="6BF8C3FC" w14:textId="36C42C87" w:rsidR="00C37C68" w:rsidRPr="0058641B" w:rsidRDefault="00C37C68" w:rsidP="002D3ECA">
      <w:pPr>
        <w:pStyle w:val="3-BodyText"/>
      </w:pPr>
      <w:r w:rsidRPr="0058641B">
        <w:t xml:space="preserve">The ICER was moderately sensitive to removal of the sustained remission adjustment (increasing to </w:t>
      </w:r>
      <w:r w:rsidR="00B0339D" w:rsidRPr="00B0339D">
        <w:t>$25,000 to &lt; $35,000</w:t>
      </w:r>
      <w:r w:rsidRPr="0058641B">
        <w:t xml:space="preserve">/QALY gained) and assuming trial-based DFS truncated at a later time point (base case: 32.2 months), e.g. 37 months (increasing to </w:t>
      </w:r>
      <w:r w:rsidR="00B0339D" w:rsidRPr="00B0339D">
        <w:t>$25,000 to &lt; $35,000</w:t>
      </w:r>
      <w:r w:rsidRPr="0058641B">
        <w:t xml:space="preserve">). </w:t>
      </w:r>
    </w:p>
    <w:p w14:paraId="6CC6D842" w14:textId="1EECF995" w:rsidR="00C37C68" w:rsidRPr="0058641B" w:rsidRDefault="00C37C68" w:rsidP="00C37C68">
      <w:pPr>
        <w:pStyle w:val="3-BodyText"/>
        <w:rPr>
          <w:iCs/>
        </w:rPr>
      </w:pPr>
      <w:bookmarkStart w:id="64" w:name="_Ref109295767"/>
      <w:r w:rsidRPr="0058641B">
        <w:rPr>
          <w:iCs/>
        </w:rPr>
        <w:t xml:space="preserve">The </w:t>
      </w:r>
      <w:r w:rsidR="008A1D5B" w:rsidRPr="0058641B">
        <w:rPr>
          <w:iCs/>
        </w:rPr>
        <w:t xml:space="preserve">model was sensitive to the change in the </w:t>
      </w:r>
      <w:r w:rsidRPr="0058641B">
        <w:rPr>
          <w:iCs/>
        </w:rPr>
        <w:t>proportion of patients receiving pembrolizumab + chemotherapy (vs. chemotherapy alone) in the 1L DR setting for patients in the comparator BSC arm. The ICER increased by 19% if the use of pembrolizumab combination therapy reduced from 80% in the base to 60%</w:t>
      </w:r>
      <w:r w:rsidR="008A1D5B" w:rsidRPr="0058641B">
        <w:rPr>
          <w:iCs/>
        </w:rPr>
        <w:t xml:space="preserve"> </w:t>
      </w:r>
      <w:r w:rsidR="00B91186" w:rsidRPr="0058641B">
        <w:rPr>
          <w:iCs/>
        </w:rPr>
        <w:t>of patients experiencing distant recurrence in the BSC arm</w:t>
      </w:r>
      <w:r w:rsidR="007413F8" w:rsidRPr="0058641B">
        <w:rPr>
          <w:iCs/>
        </w:rPr>
        <w:t xml:space="preserve">. If the modelled non-cost-effective use of pembrolizumab combination therapy </w:t>
      </w:r>
      <w:r w:rsidR="009229A2" w:rsidRPr="0058641B">
        <w:rPr>
          <w:iCs/>
        </w:rPr>
        <w:t xml:space="preserve">was removed from the economic evaluation (i.e. assuming 0% patients treated with pembrolizumab combination therapy for metastatic recurrence in both arms), the ICER </w:t>
      </w:r>
      <w:r w:rsidR="00B91186" w:rsidRPr="0058641B">
        <w:rPr>
          <w:iCs/>
        </w:rPr>
        <w:t>increase</w:t>
      </w:r>
      <w:r w:rsidR="005C3F0D" w:rsidRPr="0058641B">
        <w:rPr>
          <w:iCs/>
        </w:rPr>
        <w:t>d</w:t>
      </w:r>
      <w:r w:rsidR="00B91186" w:rsidRPr="0058641B">
        <w:rPr>
          <w:iCs/>
        </w:rPr>
        <w:t xml:space="preserve"> </w:t>
      </w:r>
      <w:r w:rsidR="008A1D5B" w:rsidRPr="0058641B">
        <w:rPr>
          <w:iCs/>
        </w:rPr>
        <w:t xml:space="preserve">by 76% </w:t>
      </w:r>
      <w:r w:rsidR="009229A2" w:rsidRPr="0058641B">
        <w:rPr>
          <w:iCs/>
        </w:rPr>
        <w:t xml:space="preserve">to </w:t>
      </w:r>
      <w:r w:rsidR="00B0339D" w:rsidRPr="00B0339D">
        <w:rPr>
          <w:iCs/>
        </w:rPr>
        <w:t>$35,000 to &lt; $45,000</w:t>
      </w:r>
      <w:r w:rsidR="009229A2" w:rsidRPr="0058641B">
        <w:rPr>
          <w:iCs/>
        </w:rPr>
        <w:t xml:space="preserve"> per QALY gained</w:t>
      </w:r>
      <w:r w:rsidRPr="0058641B">
        <w:rPr>
          <w:iCs/>
        </w:rPr>
        <w:t xml:space="preserve">. </w:t>
      </w:r>
      <w:bookmarkEnd w:id="64"/>
    </w:p>
    <w:p w14:paraId="23633AD6" w14:textId="6F22BE48" w:rsidR="00C37C68" w:rsidRPr="0058641B" w:rsidRDefault="00C37C68" w:rsidP="0018397B">
      <w:pPr>
        <w:pStyle w:val="3-BodyText"/>
        <w:rPr>
          <w:iCs/>
        </w:rPr>
      </w:pPr>
      <w:r w:rsidRPr="0058641B">
        <w:rPr>
          <w:iCs/>
        </w:rPr>
        <w:t xml:space="preserve">It is noted that there was inherent uncertainty with the assumptions and methodology the submission used to estimate the split of LRR events and DR events in patients who experienced disease recurrence, and the per cycle transition probabilities from LRR to 1L DR, from 1L DR to 2L DR, and from 1L DR or 2L DR to death over the entire time </w:t>
      </w:r>
      <w:r w:rsidRPr="0058641B">
        <w:rPr>
          <w:iCs/>
        </w:rPr>
        <w:lastRenderedPageBreak/>
        <w:t xml:space="preserve">horizon. The impacts of these model inputs on the ICER cannot be fully assessed based on the available clinical evidence. </w:t>
      </w:r>
      <w:r w:rsidR="00353EDE" w:rsidRPr="0058641B">
        <w:rPr>
          <w:iCs/>
        </w:rPr>
        <w:t xml:space="preserve">Of note, the </w:t>
      </w:r>
      <w:r w:rsidR="0018397B" w:rsidRPr="0058641B">
        <w:rPr>
          <w:iCs/>
        </w:rPr>
        <w:t xml:space="preserve">submission’s approach to model metastatic recurrences resulted in the benefits and costs of pembrolizumab combination therapy </w:t>
      </w:r>
      <w:r w:rsidR="0025557E">
        <w:rPr>
          <w:iCs/>
        </w:rPr>
        <w:t xml:space="preserve">may have </w:t>
      </w:r>
      <w:r w:rsidR="0018397B" w:rsidRPr="0058641B">
        <w:rPr>
          <w:iCs/>
        </w:rPr>
        <w:t xml:space="preserve">resulted in a more favourable ICER for </w:t>
      </w:r>
      <w:r w:rsidR="00211D08" w:rsidRPr="0058641B">
        <w:rPr>
          <w:iCs/>
        </w:rPr>
        <w:t>ATZ</w:t>
      </w:r>
      <w:r w:rsidR="0018397B" w:rsidRPr="0058641B">
        <w:rPr>
          <w:iCs/>
        </w:rPr>
        <w:t xml:space="preserve"> versus </w:t>
      </w:r>
      <w:r w:rsidR="00211D08" w:rsidRPr="0058641B">
        <w:rPr>
          <w:iCs/>
        </w:rPr>
        <w:t>BSC</w:t>
      </w:r>
      <w:r w:rsidR="0018397B" w:rsidRPr="0058641B">
        <w:rPr>
          <w:iCs/>
        </w:rPr>
        <w:t xml:space="preserve"> in the adjuvant setting. </w:t>
      </w:r>
    </w:p>
    <w:p w14:paraId="30D4FC15" w14:textId="77777777" w:rsidR="00C37C68" w:rsidRPr="0058641B" w:rsidRDefault="00C37C68" w:rsidP="00C37C68">
      <w:pPr>
        <w:pStyle w:val="ListBullet"/>
        <w:ind w:left="360" w:hanging="360"/>
        <w:rPr>
          <w:b/>
        </w:rPr>
      </w:pPr>
      <w:r w:rsidRPr="0058641B">
        <w:rPr>
          <w:b/>
        </w:rPr>
        <w:t xml:space="preserve">Scenario analysis in patients with Stage II-IIIA, PD-L1 </w:t>
      </w:r>
      <w:r w:rsidRPr="0058641B">
        <w:rPr>
          <w:rFonts w:cs="Calibri"/>
          <w:b/>
        </w:rPr>
        <w:t>≥</w:t>
      </w:r>
      <w:r w:rsidRPr="0058641B">
        <w:rPr>
          <w:b/>
        </w:rPr>
        <w:t xml:space="preserve"> 50% NSCLC patients</w:t>
      </w:r>
    </w:p>
    <w:p w14:paraId="75D79162" w14:textId="77777777" w:rsidR="00C37C68" w:rsidRPr="0058641B" w:rsidRDefault="00C37C68" w:rsidP="00C37C68">
      <w:pPr>
        <w:pStyle w:val="ListBullet"/>
        <w:ind w:left="360" w:hanging="360"/>
      </w:pPr>
    </w:p>
    <w:p w14:paraId="6C4B5387" w14:textId="16EC5A5F" w:rsidR="00C37C68" w:rsidRPr="000342C0" w:rsidRDefault="00C37C68" w:rsidP="000342C0">
      <w:pPr>
        <w:pStyle w:val="3-BodyText"/>
        <w:rPr>
          <w:iCs/>
        </w:rPr>
      </w:pPr>
      <w:r w:rsidRPr="0058641B">
        <w:t xml:space="preserve">The economic model was replicated to assess the cost-effectiveness of adjuvant ATZ versus BSC for treatment of Stage II-IIIA, PD-L1 </w:t>
      </w:r>
      <w:r w:rsidRPr="0058641B">
        <w:rPr>
          <w:rFonts w:cs="Calibri"/>
        </w:rPr>
        <w:t>≥ 50</w:t>
      </w:r>
      <w:r w:rsidRPr="0058641B">
        <w:t xml:space="preserve">% NSCLC patients. In this scenario analysis, changes were made in the DFS cures for ATZ and BSC, the extrapolation distribution parameters, the split of LRR versus 1L DR in patients experienced disease recurrence and death (without recurrence) rates, based on the relevant data in the Stage II-IIIA, PD-L1 ≥ 50% subgroup of IMpower010. In addition, transition inputs from 1L DR to 2L DR in patients receiving pembrolizumab combination therapy and those treated with chemotherapy alone were derived from the median PFS data from the KN-189 trial for the PD-L1 ≥ 50% patient subgroup. Other model inputs remained the same as the base case analysis. All of the uncertainties identified in the base case </w:t>
      </w:r>
      <w:r w:rsidRPr="000342C0">
        <w:rPr>
          <w:iCs/>
        </w:rPr>
        <w:t xml:space="preserve">economic model remained in the scenario analysis of ATZ compared with BSC in patients with Stage II-IIIA, PD-L1 ≥ 50% NSCLC, except for the transitivity concern regarding the KN189 trial population and the PBS target population in terms of PD-L1 expression (regardless of PD-L1 expression level vs. PD-L1 ≥ 1% in the base case model; both PD-L1 ≥ 50% in the scenario analysis). The results of stepped economic evaluation for the Stage II-IIIA, PD-L1 ≥ 50% patient subgroup are summarised in </w:t>
      </w:r>
      <w:r w:rsidRPr="000342C0">
        <w:rPr>
          <w:iCs/>
        </w:rPr>
        <w:fldChar w:fldCharType="begin"/>
      </w:r>
      <w:r w:rsidRPr="000342C0">
        <w:rPr>
          <w:iCs/>
        </w:rPr>
        <w:instrText xml:space="preserve"> REF _Ref101225778 \h </w:instrText>
      </w:r>
      <w:r w:rsidR="004D4A7C" w:rsidRPr="000342C0">
        <w:rPr>
          <w:iCs/>
        </w:rPr>
        <w:instrText xml:space="preserve"> \* MERGEFORMAT </w:instrText>
      </w:r>
      <w:r w:rsidRPr="000342C0">
        <w:rPr>
          <w:iCs/>
        </w:rPr>
      </w:r>
      <w:r w:rsidRPr="000342C0">
        <w:rPr>
          <w:iCs/>
        </w:rPr>
        <w:fldChar w:fldCharType="separate"/>
      </w:r>
      <w:r w:rsidR="0043151A" w:rsidRPr="0043151A">
        <w:rPr>
          <w:iCs/>
        </w:rPr>
        <w:t>Table 17</w:t>
      </w:r>
      <w:r w:rsidRPr="000342C0">
        <w:rPr>
          <w:iCs/>
        </w:rPr>
        <w:fldChar w:fldCharType="end"/>
      </w:r>
      <w:r w:rsidRPr="000342C0">
        <w:rPr>
          <w:iCs/>
        </w:rPr>
        <w:t xml:space="preserve">. </w:t>
      </w:r>
    </w:p>
    <w:p w14:paraId="20D054D6" w14:textId="28D4A592" w:rsidR="00C37C68" w:rsidRPr="0058641B" w:rsidRDefault="00C37C68" w:rsidP="00C37C68">
      <w:pPr>
        <w:pStyle w:val="TableFigureHeading"/>
      </w:pPr>
      <w:bookmarkStart w:id="65" w:name="_Ref101225778"/>
      <w:r w:rsidRPr="0058641B">
        <w:lastRenderedPageBreak/>
        <w:t xml:space="preserve">Table </w:t>
      </w:r>
      <w:fldSimple w:instr=" SEQ Table \* ARABIC ">
        <w:r w:rsidR="0043151A">
          <w:rPr>
            <w:noProof/>
          </w:rPr>
          <w:t>17</w:t>
        </w:r>
      </w:fldSimple>
      <w:bookmarkEnd w:id="65"/>
      <w:r w:rsidRPr="0058641B">
        <w:t>:</w:t>
      </w:r>
      <w:r w:rsidRPr="0058641B">
        <w:rPr>
          <w:rStyle w:val="CommentReference"/>
          <w:b/>
          <w:szCs w:val="24"/>
        </w:rPr>
        <w:t xml:space="preserve"> Results of the stepped economic evaluation </w:t>
      </w:r>
      <w:r w:rsidRPr="0058641B">
        <w:t>(Stage II-IIIA, PD-L1 ≥ 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29"/>
        <w:gridCol w:w="2379"/>
        <w:gridCol w:w="2298"/>
        <w:gridCol w:w="1511"/>
      </w:tblGrid>
      <w:tr w:rsidR="00C37C68" w:rsidRPr="0058641B" w14:paraId="494B38DB" w14:textId="77777777" w:rsidTr="00D312D9">
        <w:trPr>
          <w:tblHeader/>
        </w:trPr>
        <w:tc>
          <w:tcPr>
            <w:tcW w:w="1569" w:type="pct"/>
            <w:vAlign w:val="center"/>
          </w:tcPr>
          <w:p w14:paraId="735353B5" w14:textId="77777777" w:rsidR="00C37C68" w:rsidRPr="0058641B" w:rsidRDefault="00C37C68" w:rsidP="00D312D9">
            <w:pPr>
              <w:pStyle w:val="Tabletext"/>
              <w:keepNext/>
              <w:rPr>
                <w:b/>
              </w:rPr>
            </w:pPr>
            <w:r w:rsidRPr="0058641B">
              <w:rPr>
                <w:b/>
              </w:rPr>
              <w:t>Step and component</w:t>
            </w:r>
          </w:p>
        </w:tc>
        <w:tc>
          <w:tcPr>
            <w:tcW w:w="1319" w:type="pct"/>
            <w:vAlign w:val="center"/>
          </w:tcPr>
          <w:p w14:paraId="5EBF28E9" w14:textId="77777777" w:rsidR="00C37C68" w:rsidRPr="0058641B" w:rsidRDefault="00C37C68" w:rsidP="00D312D9">
            <w:pPr>
              <w:pStyle w:val="Tabletext"/>
              <w:keepNext/>
              <w:jc w:val="center"/>
              <w:rPr>
                <w:b/>
              </w:rPr>
            </w:pPr>
            <w:r w:rsidRPr="0058641B">
              <w:rPr>
                <w:b/>
              </w:rPr>
              <w:t>Atezolizumab</w:t>
            </w:r>
          </w:p>
        </w:tc>
        <w:tc>
          <w:tcPr>
            <w:tcW w:w="1274" w:type="pct"/>
            <w:vAlign w:val="center"/>
          </w:tcPr>
          <w:p w14:paraId="66914AAF" w14:textId="77777777" w:rsidR="00C37C68" w:rsidRPr="0058641B" w:rsidRDefault="00C37C68" w:rsidP="00D312D9">
            <w:pPr>
              <w:pStyle w:val="Tabletext"/>
              <w:keepNext/>
              <w:jc w:val="center"/>
              <w:rPr>
                <w:b/>
              </w:rPr>
            </w:pPr>
            <w:r w:rsidRPr="0058641B">
              <w:rPr>
                <w:b/>
              </w:rPr>
              <w:t>Best supportive care</w:t>
            </w:r>
          </w:p>
        </w:tc>
        <w:tc>
          <w:tcPr>
            <w:tcW w:w="838" w:type="pct"/>
            <w:vAlign w:val="center"/>
          </w:tcPr>
          <w:p w14:paraId="6EEB05D2" w14:textId="77777777" w:rsidR="00C37C68" w:rsidRPr="0058641B" w:rsidRDefault="00C37C68" w:rsidP="00D312D9">
            <w:pPr>
              <w:pStyle w:val="Tabletext"/>
              <w:keepNext/>
              <w:jc w:val="center"/>
              <w:rPr>
                <w:b/>
              </w:rPr>
            </w:pPr>
            <w:r w:rsidRPr="0058641B">
              <w:rPr>
                <w:b/>
              </w:rPr>
              <w:t>Increment</w:t>
            </w:r>
          </w:p>
        </w:tc>
      </w:tr>
      <w:tr w:rsidR="00C37C68" w:rsidRPr="0058641B" w14:paraId="212852F3" w14:textId="77777777" w:rsidTr="00D312D9">
        <w:tc>
          <w:tcPr>
            <w:tcW w:w="5000" w:type="pct"/>
            <w:gridSpan w:val="4"/>
            <w:vAlign w:val="center"/>
          </w:tcPr>
          <w:p w14:paraId="65D1153B" w14:textId="77777777" w:rsidR="00C37C68" w:rsidRPr="0058641B" w:rsidRDefault="00C37C68" w:rsidP="00D312D9">
            <w:pPr>
              <w:pStyle w:val="Tabletext"/>
              <w:keepNext/>
              <w:rPr>
                <w:b/>
              </w:rPr>
            </w:pPr>
            <w:r w:rsidRPr="0058641B">
              <w:rPr>
                <w:b/>
              </w:rPr>
              <w:t>Step 1: trial-based costs and outcomes (42.3 months)</w:t>
            </w:r>
          </w:p>
        </w:tc>
      </w:tr>
      <w:tr w:rsidR="00C37C68" w:rsidRPr="0058641B" w14:paraId="3D6BA6A1" w14:textId="77777777" w:rsidTr="00D312D9">
        <w:tc>
          <w:tcPr>
            <w:tcW w:w="1569" w:type="pct"/>
            <w:vAlign w:val="center"/>
          </w:tcPr>
          <w:p w14:paraId="2302F7F1" w14:textId="77777777" w:rsidR="00C37C68" w:rsidRPr="0058641B" w:rsidRDefault="00C37C68" w:rsidP="00D312D9">
            <w:pPr>
              <w:pStyle w:val="Tabletext"/>
              <w:keepNext/>
              <w:rPr>
                <w:rFonts w:ascii="Times" w:hAnsi="Times"/>
              </w:rPr>
            </w:pPr>
            <w:r w:rsidRPr="0058641B">
              <w:t>Costs</w:t>
            </w:r>
          </w:p>
        </w:tc>
        <w:tc>
          <w:tcPr>
            <w:tcW w:w="1319" w:type="pct"/>
          </w:tcPr>
          <w:p w14:paraId="319E58CB" w14:textId="27CA4321"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6947E1F7" w14:textId="44D8FAC1" w:rsidR="00C37C68" w:rsidRPr="0058641B" w:rsidRDefault="00C37C68" w:rsidP="00B0339D">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002F9B76" w14:textId="3E5BDE50"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3A389649" w14:textId="77777777" w:rsidTr="00D312D9">
        <w:tc>
          <w:tcPr>
            <w:tcW w:w="1569" w:type="pct"/>
            <w:vAlign w:val="center"/>
          </w:tcPr>
          <w:p w14:paraId="65E44122" w14:textId="676D51B0" w:rsidR="00C37C68" w:rsidRPr="0058641B" w:rsidRDefault="00C37C68" w:rsidP="00D312D9">
            <w:pPr>
              <w:pStyle w:val="Tabletext"/>
              <w:keepNext/>
              <w:rPr>
                <w:rFonts w:ascii="Times" w:hAnsi="Times"/>
                <w:vertAlign w:val="superscript"/>
              </w:rPr>
            </w:pPr>
            <w:r w:rsidRPr="0058641B">
              <w:t>LYG</w:t>
            </w:r>
          </w:p>
        </w:tc>
        <w:tc>
          <w:tcPr>
            <w:tcW w:w="1319" w:type="pct"/>
          </w:tcPr>
          <w:p w14:paraId="00A3AAFE" w14:textId="77777777" w:rsidR="00C37C68" w:rsidRPr="0058641B" w:rsidRDefault="00C37C68" w:rsidP="00D312D9">
            <w:pPr>
              <w:pStyle w:val="Tabletext"/>
              <w:keepNext/>
              <w:jc w:val="center"/>
              <w:rPr>
                <w:rFonts w:ascii="Times" w:hAnsi="Times"/>
              </w:rPr>
            </w:pPr>
            <w:r w:rsidRPr="0058641B">
              <w:t>2.518</w:t>
            </w:r>
          </w:p>
        </w:tc>
        <w:tc>
          <w:tcPr>
            <w:tcW w:w="1274" w:type="pct"/>
          </w:tcPr>
          <w:p w14:paraId="21E38C7F" w14:textId="77777777" w:rsidR="00C37C68" w:rsidRPr="0058641B" w:rsidRDefault="00C37C68" w:rsidP="00D312D9">
            <w:pPr>
              <w:pStyle w:val="Tabletext"/>
              <w:keepNext/>
              <w:jc w:val="center"/>
              <w:rPr>
                <w:rFonts w:ascii="Times" w:hAnsi="Times"/>
              </w:rPr>
            </w:pPr>
            <w:r w:rsidRPr="0058641B">
              <w:t>2.421</w:t>
            </w:r>
          </w:p>
        </w:tc>
        <w:tc>
          <w:tcPr>
            <w:tcW w:w="838" w:type="pct"/>
          </w:tcPr>
          <w:p w14:paraId="31919CC9" w14:textId="77777777" w:rsidR="00C37C68" w:rsidRPr="0058641B" w:rsidRDefault="00C37C68" w:rsidP="00D312D9">
            <w:pPr>
              <w:pStyle w:val="Tabletext"/>
              <w:keepNext/>
              <w:jc w:val="center"/>
            </w:pPr>
            <w:r w:rsidRPr="0058641B">
              <w:t>0.097</w:t>
            </w:r>
          </w:p>
        </w:tc>
      </w:tr>
      <w:tr w:rsidR="00C37C68" w:rsidRPr="0058641B" w14:paraId="5C109417" w14:textId="77777777" w:rsidTr="00D312D9">
        <w:tc>
          <w:tcPr>
            <w:tcW w:w="4162" w:type="pct"/>
            <w:gridSpan w:val="3"/>
            <w:vAlign w:val="center"/>
          </w:tcPr>
          <w:p w14:paraId="27EA46C0"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29EBF486" w14:textId="48DD8C02" w:rsidR="00C37C68" w:rsidRPr="00894A92" w:rsidRDefault="00C37C68" w:rsidP="00D312D9">
            <w:pPr>
              <w:pStyle w:val="Tabletext"/>
              <w:keepNext/>
              <w:jc w:val="center"/>
              <w:rPr>
                <w:rFonts w:ascii="Times" w:hAnsi="Times"/>
                <w:vertAlign w:val="superscript"/>
              </w:rP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1</w:t>
            </w:r>
          </w:p>
        </w:tc>
      </w:tr>
      <w:tr w:rsidR="00C37C68" w:rsidRPr="0058641B" w14:paraId="51057801" w14:textId="77777777" w:rsidTr="00D312D9">
        <w:tc>
          <w:tcPr>
            <w:tcW w:w="5000" w:type="pct"/>
            <w:gridSpan w:val="4"/>
            <w:vAlign w:val="center"/>
          </w:tcPr>
          <w:p w14:paraId="030E2747" w14:textId="77777777" w:rsidR="00C37C68" w:rsidRPr="0058641B" w:rsidRDefault="00C37C68" w:rsidP="00D312D9">
            <w:pPr>
              <w:pStyle w:val="Tabletext"/>
              <w:keepNext/>
              <w:rPr>
                <w:b/>
              </w:rPr>
            </w:pPr>
            <w:r w:rsidRPr="0058641B">
              <w:rPr>
                <w:b/>
              </w:rPr>
              <w:t>Step 2: time horizon extrapolated to 25 years</w:t>
            </w:r>
          </w:p>
        </w:tc>
      </w:tr>
      <w:tr w:rsidR="00C37C68" w:rsidRPr="0058641B" w14:paraId="3D945EEF" w14:textId="77777777" w:rsidTr="00D312D9">
        <w:tc>
          <w:tcPr>
            <w:tcW w:w="1569" w:type="pct"/>
            <w:vAlign w:val="center"/>
          </w:tcPr>
          <w:p w14:paraId="59D99475" w14:textId="77777777" w:rsidR="00C37C68" w:rsidRPr="0058641B" w:rsidRDefault="00C37C68" w:rsidP="00D312D9">
            <w:pPr>
              <w:pStyle w:val="Tabletext"/>
              <w:keepNext/>
              <w:rPr>
                <w:rFonts w:ascii="Times" w:hAnsi="Times"/>
              </w:rPr>
            </w:pPr>
            <w:r w:rsidRPr="0058641B">
              <w:t>Costs</w:t>
            </w:r>
          </w:p>
        </w:tc>
        <w:tc>
          <w:tcPr>
            <w:tcW w:w="1319" w:type="pct"/>
          </w:tcPr>
          <w:p w14:paraId="13893B78" w14:textId="64A36E8A"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30D09AF4" w14:textId="56203F0A"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0955D9E2" w14:textId="7138C1A7"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50F81C06" w14:textId="77777777" w:rsidTr="00D312D9">
        <w:tc>
          <w:tcPr>
            <w:tcW w:w="1569" w:type="pct"/>
            <w:vAlign w:val="center"/>
          </w:tcPr>
          <w:p w14:paraId="000ADAA2" w14:textId="77777777" w:rsidR="00C37C68" w:rsidRPr="0058641B" w:rsidRDefault="00C37C68" w:rsidP="00D312D9">
            <w:pPr>
              <w:pStyle w:val="Tabletext"/>
              <w:keepNext/>
              <w:rPr>
                <w:rFonts w:ascii="Times" w:hAnsi="Times"/>
              </w:rPr>
            </w:pPr>
            <w:r w:rsidRPr="0058641B">
              <w:t>LYG</w:t>
            </w:r>
          </w:p>
        </w:tc>
        <w:tc>
          <w:tcPr>
            <w:tcW w:w="1319" w:type="pct"/>
          </w:tcPr>
          <w:p w14:paraId="3B722A3B" w14:textId="77777777" w:rsidR="00C37C68" w:rsidRPr="0058641B" w:rsidRDefault="00C37C68" w:rsidP="00D312D9">
            <w:pPr>
              <w:pStyle w:val="Tabletext"/>
              <w:keepNext/>
              <w:jc w:val="center"/>
              <w:rPr>
                <w:rFonts w:ascii="Times" w:hAnsi="Times"/>
              </w:rPr>
            </w:pPr>
            <w:r w:rsidRPr="0058641B">
              <w:t>7.537</w:t>
            </w:r>
          </w:p>
        </w:tc>
        <w:tc>
          <w:tcPr>
            <w:tcW w:w="1274" w:type="pct"/>
          </w:tcPr>
          <w:p w14:paraId="25CAE7D0" w14:textId="77777777" w:rsidR="00C37C68" w:rsidRPr="0058641B" w:rsidRDefault="00C37C68" w:rsidP="00D312D9">
            <w:pPr>
              <w:pStyle w:val="Tabletext"/>
              <w:keepNext/>
              <w:jc w:val="center"/>
              <w:rPr>
                <w:rFonts w:ascii="Times" w:hAnsi="Times"/>
              </w:rPr>
            </w:pPr>
            <w:r w:rsidRPr="0058641B">
              <w:t>6.354</w:t>
            </w:r>
          </w:p>
        </w:tc>
        <w:tc>
          <w:tcPr>
            <w:tcW w:w="838" w:type="pct"/>
          </w:tcPr>
          <w:p w14:paraId="742BD786" w14:textId="77777777" w:rsidR="00C37C68" w:rsidRPr="0058641B" w:rsidRDefault="00C37C68" w:rsidP="00D312D9">
            <w:pPr>
              <w:pStyle w:val="Tabletext"/>
              <w:keepNext/>
              <w:jc w:val="center"/>
            </w:pPr>
            <w:r w:rsidRPr="0058641B">
              <w:t>1.183</w:t>
            </w:r>
          </w:p>
        </w:tc>
      </w:tr>
      <w:tr w:rsidR="00C37C68" w:rsidRPr="0058641B" w14:paraId="5D9103D3" w14:textId="77777777" w:rsidTr="00D312D9">
        <w:tc>
          <w:tcPr>
            <w:tcW w:w="4162" w:type="pct"/>
            <w:gridSpan w:val="3"/>
            <w:vAlign w:val="center"/>
          </w:tcPr>
          <w:p w14:paraId="59580532"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52428910" w14:textId="36EDFA06"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5BB2F232" w14:textId="77777777" w:rsidTr="00D312D9">
        <w:tc>
          <w:tcPr>
            <w:tcW w:w="5000" w:type="pct"/>
            <w:gridSpan w:val="4"/>
            <w:vAlign w:val="center"/>
          </w:tcPr>
          <w:p w14:paraId="1F4CADC4" w14:textId="77777777" w:rsidR="00C37C68" w:rsidRPr="0058641B" w:rsidRDefault="00C37C68" w:rsidP="00D312D9">
            <w:pPr>
              <w:pStyle w:val="Tabletext"/>
              <w:keepNext/>
              <w:rPr>
                <w:b/>
              </w:rPr>
            </w:pPr>
            <w:r w:rsidRPr="0058641B">
              <w:rPr>
                <w:b/>
              </w:rPr>
              <w:t>Step 3: Applying time limited treatment effect adjustment to the DFS curves</w:t>
            </w:r>
          </w:p>
        </w:tc>
      </w:tr>
      <w:tr w:rsidR="00C37C68" w:rsidRPr="0058641B" w14:paraId="601485BE" w14:textId="77777777" w:rsidTr="00D312D9">
        <w:tc>
          <w:tcPr>
            <w:tcW w:w="1569" w:type="pct"/>
            <w:vAlign w:val="center"/>
          </w:tcPr>
          <w:p w14:paraId="7B0258A1" w14:textId="77777777" w:rsidR="00C37C68" w:rsidRPr="0058641B" w:rsidRDefault="00C37C68" w:rsidP="00D312D9">
            <w:pPr>
              <w:pStyle w:val="Tabletext"/>
              <w:keepNext/>
              <w:rPr>
                <w:rFonts w:ascii="Times" w:hAnsi="Times"/>
              </w:rPr>
            </w:pPr>
            <w:r w:rsidRPr="0058641B">
              <w:t>Costs</w:t>
            </w:r>
          </w:p>
        </w:tc>
        <w:tc>
          <w:tcPr>
            <w:tcW w:w="1319" w:type="pct"/>
          </w:tcPr>
          <w:p w14:paraId="702507A3" w14:textId="2A282A42"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2018AA1A" w14:textId="0BD51D41" w:rsidR="00C37C68" w:rsidRPr="0058641B" w:rsidRDefault="00C37C68" w:rsidP="00D312D9">
            <w:pPr>
              <w:pStyle w:val="Tabletext"/>
              <w:keepNext/>
              <w:jc w:val="center"/>
              <w:rPr>
                <w:rFonts w:ascii="Times" w:hAnsi="Times"/>
              </w:rPr>
            </w:pPr>
            <w:r w:rsidRPr="0058641B">
              <w:t>$32,829</w:t>
            </w:r>
          </w:p>
        </w:tc>
        <w:tc>
          <w:tcPr>
            <w:tcW w:w="838" w:type="pct"/>
          </w:tcPr>
          <w:p w14:paraId="2A38CCC6" w14:textId="524D73FF"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2AC8651E" w14:textId="77777777" w:rsidTr="00D312D9">
        <w:tc>
          <w:tcPr>
            <w:tcW w:w="1569" w:type="pct"/>
            <w:vAlign w:val="center"/>
          </w:tcPr>
          <w:p w14:paraId="0E5BC49C" w14:textId="77777777" w:rsidR="00C37C68" w:rsidRPr="0058641B" w:rsidRDefault="00C37C68" w:rsidP="00D312D9">
            <w:pPr>
              <w:pStyle w:val="Tabletext"/>
              <w:keepNext/>
              <w:rPr>
                <w:rFonts w:ascii="Times" w:hAnsi="Times"/>
              </w:rPr>
            </w:pPr>
            <w:r w:rsidRPr="0058641B">
              <w:t>LYG</w:t>
            </w:r>
          </w:p>
        </w:tc>
        <w:tc>
          <w:tcPr>
            <w:tcW w:w="1319" w:type="pct"/>
          </w:tcPr>
          <w:p w14:paraId="71924E70" w14:textId="77777777" w:rsidR="00C37C68" w:rsidRPr="0058641B" w:rsidRDefault="00C37C68" w:rsidP="00D312D9">
            <w:pPr>
              <w:pStyle w:val="Tabletext"/>
              <w:keepNext/>
              <w:jc w:val="center"/>
              <w:rPr>
                <w:rFonts w:ascii="Times" w:hAnsi="Times"/>
              </w:rPr>
            </w:pPr>
            <w:r w:rsidRPr="0058641B">
              <w:t>7.730</w:t>
            </w:r>
          </w:p>
        </w:tc>
        <w:tc>
          <w:tcPr>
            <w:tcW w:w="1274" w:type="pct"/>
          </w:tcPr>
          <w:p w14:paraId="14D8209E" w14:textId="77777777" w:rsidR="00C37C68" w:rsidRPr="0058641B" w:rsidRDefault="00C37C68" w:rsidP="00D312D9">
            <w:pPr>
              <w:pStyle w:val="Tabletext"/>
              <w:keepNext/>
              <w:jc w:val="center"/>
              <w:rPr>
                <w:rFonts w:ascii="Times" w:hAnsi="Times"/>
              </w:rPr>
            </w:pPr>
            <w:r w:rsidRPr="0058641B">
              <w:t>6.354</w:t>
            </w:r>
          </w:p>
        </w:tc>
        <w:tc>
          <w:tcPr>
            <w:tcW w:w="838" w:type="pct"/>
          </w:tcPr>
          <w:p w14:paraId="4267FFAD" w14:textId="77777777" w:rsidR="00C37C68" w:rsidRPr="0058641B" w:rsidRDefault="00C37C68" w:rsidP="00D312D9">
            <w:pPr>
              <w:pStyle w:val="Tabletext"/>
              <w:keepNext/>
              <w:jc w:val="center"/>
            </w:pPr>
            <w:r w:rsidRPr="0058641B">
              <w:t>1.376</w:t>
            </w:r>
          </w:p>
        </w:tc>
      </w:tr>
      <w:tr w:rsidR="00C37C68" w:rsidRPr="0058641B" w14:paraId="2A2515E1" w14:textId="77777777" w:rsidTr="00D312D9">
        <w:tc>
          <w:tcPr>
            <w:tcW w:w="4162" w:type="pct"/>
            <w:gridSpan w:val="3"/>
            <w:vAlign w:val="center"/>
          </w:tcPr>
          <w:p w14:paraId="64DBFE7F"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5189AFAB" w14:textId="0C46BFA5"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03C29104" w14:textId="77777777" w:rsidTr="00D312D9">
        <w:tc>
          <w:tcPr>
            <w:tcW w:w="5000" w:type="pct"/>
            <w:gridSpan w:val="4"/>
            <w:vAlign w:val="center"/>
          </w:tcPr>
          <w:p w14:paraId="6BC51BA6" w14:textId="77777777" w:rsidR="00C37C68" w:rsidRPr="0058641B" w:rsidRDefault="00C37C68" w:rsidP="00D312D9">
            <w:pPr>
              <w:pStyle w:val="Tabletext"/>
              <w:keepNext/>
              <w:rPr>
                <w:b/>
              </w:rPr>
            </w:pPr>
            <w:r w:rsidRPr="0058641B">
              <w:rPr>
                <w:b/>
              </w:rPr>
              <w:t xml:space="preserve">Step 4: Applying sustained DFS adjustment </w:t>
            </w:r>
          </w:p>
        </w:tc>
      </w:tr>
      <w:tr w:rsidR="00C37C68" w:rsidRPr="0058641B" w14:paraId="16119479" w14:textId="77777777" w:rsidTr="00D312D9">
        <w:tc>
          <w:tcPr>
            <w:tcW w:w="1569" w:type="pct"/>
            <w:vAlign w:val="center"/>
          </w:tcPr>
          <w:p w14:paraId="5A41F488" w14:textId="77777777" w:rsidR="00C37C68" w:rsidRPr="0058641B" w:rsidRDefault="00C37C68" w:rsidP="00D312D9">
            <w:pPr>
              <w:pStyle w:val="Tabletext"/>
              <w:keepNext/>
              <w:rPr>
                <w:rFonts w:ascii="Times" w:hAnsi="Times"/>
              </w:rPr>
            </w:pPr>
            <w:r w:rsidRPr="0058641B">
              <w:t>Costs</w:t>
            </w:r>
          </w:p>
        </w:tc>
        <w:tc>
          <w:tcPr>
            <w:tcW w:w="1319" w:type="pct"/>
          </w:tcPr>
          <w:p w14:paraId="03EAB69E" w14:textId="72EF8774"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03438970" w14:textId="06EB4461"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7A25C55E" w14:textId="2C4C0A51"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1DBCF646" w14:textId="77777777" w:rsidTr="00D312D9">
        <w:tc>
          <w:tcPr>
            <w:tcW w:w="1569" w:type="pct"/>
            <w:vAlign w:val="center"/>
          </w:tcPr>
          <w:p w14:paraId="3B799A08" w14:textId="77777777" w:rsidR="00C37C68" w:rsidRPr="0058641B" w:rsidRDefault="00C37C68" w:rsidP="00D312D9">
            <w:pPr>
              <w:pStyle w:val="Tabletext"/>
              <w:keepNext/>
              <w:rPr>
                <w:rFonts w:ascii="Times" w:hAnsi="Times"/>
              </w:rPr>
            </w:pPr>
            <w:r w:rsidRPr="0058641B">
              <w:t>LYG</w:t>
            </w:r>
          </w:p>
        </w:tc>
        <w:tc>
          <w:tcPr>
            <w:tcW w:w="1319" w:type="pct"/>
          </w:tcPr>
          <w:p w14:paraId="431707F6" w14:textId="77777777" w:rsidR="00C37C68" w:rsidRPr="0058641B" w:rsidRDefault="00C37C68" w:rsidP="00D312D9">
            <w:pPr>
              <w:pStyle w:val="Tabletext"/>
              <w:keepNext/>
              <w:jc w:val="center"/>
              <w:rPr>
                <w:rFonts w:ascii="Times" w:hAnsi="Times"/>
              </w:rPr>
            </w:pPr>
            <w:r w:rsidRPr="0058641B">
              <w:t>10.229</w:t>
            </w:r>
          </w:p>
        </w:tc>
        <w:tc>
          <w:tcPr>
            <w:tcW w:w="1274" w:type="pct"/>
          </w:tcPr>
          <w:p w14:paraId="65994726" w14:textId="77777777" w:rsidR="00C37C68" w:rsidRPr="0058641B" w:rsidRDefault="00C37C68" w:rsidP="00D312D9">
            <w:pPr>
              <w:pStyle w:val="Tabletext"/>
              <w:keepNext/>
              <w:jc w:val="center"/>
              <w:rPr>
                <w:rFonts w:ascii="Times" w:hAnsi="Times"/>
              </w:rPr>
            </w:pPr>
            <w:r w:rsidRPr="0058641B">
              <w:t>8.065</w:t>
            </w:r>
          </w:p>
        </w:tc>
        <w:tc>
          <w:tcPr>
            <w:tcW w:w="838" w:type="pct"/>
          </w:tcPr>
          <w:p w14:paraId="444B7464" w14:textId="77777777" w:rsidR="00C37C68" w:rsidRPr="0058641B" w:rsidRDefault="00C37C68" w:rsidP="00D312D9">
            <w:pPr>
              <w:pStyle w:val="Tabletext"/>
              <w:keepNext/>
              <w:jc w:val="center"/>
              <w:rPr>
                <w:bCs/>
              </w:rPr>
            </w:pPr>
            <w:r w:rsidRPr="0058641B">
              <w:t>2.164</w:t>
            </w:r>
          </w:p>
        </w:tc>
      </w:tr>
      <w:tr w:rsidR="00C37C68" w:rsidRPr="0058641B" w14:paraId="7A7AF97C" w14:textId="77777777" w:rsidTr="00D312D9">
        <w:tc>
          <w:tcPr>
            <w:tcW w:w="4162" w:type="pct"/>
            <w:gridSpan w:val="3"/>
            <w:vAlign w:val="center"/>
          </w:tcPr>
          <w:p w14:paraId="75409C04" w14:textId="77777777" w:rsidR="00C37C68" w:rsidRPr="0058641B" w:rsidRDefault="00C37C68" w:rsidP="00D312D9">
            <w:pPr>
              <w:pStyle w:val="Tabletext"/>
              <w:keepNext/>
              <w:rPr>
                <w:rFonts w:ascii="Times" w:hAnsi="Times"/>
              </w:rPr>
            </w:pPr>
            <w:r w:rsidRPr="0058641B">
              <w:t>Incremental cost/LYG</w:t>
            </w:r>
          </w:p>
        </w:tc>
        <w:tc>
          <w:tcPr>
            <w:tcW w:w="838" w:type="pct"/>
            <w:vAlign w:val="center"/>
          </w:tcPr>
          <w:p w14:paraId="18406BF9" w14:textId="78574EB4"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5DF6AEB0" w14:textId="77777777" w:rsidTr="00D312D9">
        <w:tc>
          <w:tcPr>
            <w:tcW w:w="5000" w:type="pct"/>
            <w:gridSpan w:val="4"/>
            <w:vAlign w:val="center"/>
          </w:tcPr>
          <w:p w14:paraId="5AC1F591" w14:textId="77777777" w:rsidR="00C37C68" w:rsidRPr="0058641B" w:rsidRDefault="00C37C68" w:rsidP="00D312D9">
            <w:pPr>
              <w:pStyle w:val="Tabletext"/>
              <w:keepNext/>
              <w:rPr>
                <w:b/>
              </w:rPr>
            </w:pPr>
            <w:r w:rsidRPr="0058641B">
              <w:rPr>
                <w:b/>
              </w:rPr>
              <w:t>Step 5: Incorporation of MRU costs</w:t>
            </w:r>
          </w:p>
        </w:tc>
      </w:tr>
      <w:tr w:rsidR="00C37C68" w:rsidRPr="0058641B" w14:paraId="0517C884" w14:textId="77777777" w:rsidTr="00D312D9">
        <w:tc>
          <w:tcPr>
            <w:tcW w:w="1569" w:type="pct"/>
            <w:vAlign w:val="center"/>
          </w:tcPr>
          <w:p w14:paraId="5B988F2C" w14:textId="77777777" w:rsidR="00C37C68" w:rsidRPr="0058641B" w:rsidRDefault="00C37C68" w:rsidP="00D312D9">
            <w:pPr>
              <w:pStyle w:val="Tabletext"/>
              <w:keepNext/>
              <w:rPr>
                <w:rFonts w:ascii="Times" w:hAnsi="Times"/>
              </w:rPr>
            </w:pPr>
            <w:r w:rsidRPr="0058641B">
              <w:t>Costs</w:t>
            </w:r>
          </w:p>
        </w:tc>
        <w:tc>
          <w:tcPr>
            <w:tcW w:w="1319" w:type="pct"/>
          </w:tcPr>
          <w:p w14:paraId="10C28B50" w14:textId="4F610B01"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1A6120C6" w14:textId="51871F8B"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11E12366" w14:textId="1008E6F0" w:rsidR="00C37C68" w:rsidRPr="0058641B" w:rsidRDefault="00C37C68" w:rsidP="00D312D9">
            <w:pPr>
              <w:pStyle w:val="Tabletext"/>
              <w:keepNext/>
              <w:jc w:val="center"/>
              <w:rPr>
                <w:rFonts w:ascii="Times" w:hAnsi="Time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28B4A19B" w14:textId="77777777" w:rsidTr="00D312D9">
        <w:tc>
          <w:tcPr>
            <w:tcW w:w="1569" w:type="pct"/>
            <w:vAlign w:val="center"/>
          </w:tcPr>
          <w:p w14:paraId="7C7415DD" w14:textId="77777777" w:rsidR="00C37C68" w:rsidRPr="0058641B" w:rsidRDefault="00C37C68" w:rsidP="00D312D9">
            <w:pPr>
              <w:pStyle w:val="Tabletext"/>
              <w:keepNext/>
              <w:rPr>
                <w:rFonts w:ascii="Times" w:hAnsi="Times"/>
              </w:rPr>
            </w:pPr>
            <w:r w:rsidRPr="0058641B">
              <w:t>LYG</w:t>
            </w:r>
          </w:p>
        </w:tc>
        <w:tc>
          <w:tcPr>
            <w:tcW w:w="1319" w:type="pct"/>
          </w:tcPr>
          <w:p w14:paraId="0C77BC0B" w14:textId="77777777" w:rsidR="00C37C68" w:rsidRPr="0058641B" w:rsidRDefault="00C37C68" w:rsidP="00D312D9">
            <w:pPr>
              <w:pStyle w:val="Tabletext"/>
              <w:keepNext/>
              <w:jc w:val="center"/>
              <w:rPr>
                <w:rFonts w:ascii="Times" w:hAnsi="Times"/>
              </w:rPr>
            </w:pPr>
            <w:r w:rsidRPr="0058641B">
              <w:t>10.229</w:t>
            </w:r>
          </w:p>
        </w:tc>
        <w:tc>
          <w:tcPr>
            <w:tcW w:w="1274" w:type="pct"/>
          </w:tcPr>
          <w:p w14:paraId="6875B61B" w14:textId="77777777" w:rsidR="00C37C68" w:rsidRPr="0058641B" w:rsidRDefault="00C37C68" w:rsidP="00D312D9">
            <w:pPr>
              <w:pStyle w:val="Tabletext"/>
              <w:keepNext/>
              <w:jc w:val="center"/>
              <w:rPr>
                <w:rFonts w:ascii="Times" w:hAnsi="Times"/>
              </w:rPr>
            </w:pPr>
            <w:r w:rsidRPr="0058641B">
              <w:t>8.065</w:t>
            </w:r>
          </w:p>
        </w:tc>
        <w:tc>
          <w:tcPr>
            <w:tcW w:w="838" w:type="pct"/>
          </w:tcPr>
          <w:p w14:paraId="06D807EC" w14:textId="77777777" w:rsidR="00C37C68" w:rsidRPr="0058641B" w:rsidRDefault="00C37C68" w:rsidP="00D312D9">
            <w:pPr>
              <w:pStyle w:val="Tabletext"/>
              <w:keepNext/>
              <w:jc w:val="center"/>
              <w:rPr>
                <w:bCs/>
              </w:rPr>
            </w:pPr>
            <w:r w:rsidRPr="0058641B">
              <w:t>2.164</w:t>
            </w:r>
          </w:p>
        </w:tc>
      </w:tr>
      <w:tr w:rsidR="00C37C68" w:rsidRPr="0058641B" w14:paraId="159E235B" w14:textId="77777777" w:rsidTr="00D312D9">
        <w:tc>
          <w:tcPr>
            <w:tcW w:w="4162" w:type="pct"/>
            <w:gridSpan w:val="3"/>
            <w:vAlign w:val="center"/>
          </w:tcPr>
          <w:p w14:paraId="34A88BFB" w14:textId="77777777" w:rsidR="00C37C68" w:rsidRPr="0058641B" w:rsidRDefault="00C37C68" w:rsidP="00D312D9">
            <w:pPr>
              <w:pStyle w:val="Tabletext"/>
              <w:keepNext/>
              <w:rPr>
                <w:rFonts w:ascii="Times" w:hAnsi="Times"/>
                <w:bCs/>
              </w:rPr>
            </w:pPr>
            <w:r w:rsidRPr="0058641B">
              <w:t>Incremental cost/LYG</w:t>
            </w:r>
          </w:p>
        </w:tc>
        <w:tc>
          <w:tcPr>
            <w:tcW w:w="838" w:type="pct"/>
            <w:vAlign w:val="center"/>
          </w:tcPr>
          <w:p w14:paraId="71B70740" w14:textId="130FAD2C"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32491483" w14:textId="77777777" w:rsidTr="00D312D9">
        <w:tc>
          <w:tcPr>
            <w:tcW w:w="5000" w:type="pct"/>
            <w:gridSpan w:val="4"/>
            <w:vAlign w:val="center"/>
          </w:tcPr>
          <w:p w14:paraId="6EBF0C55" w14:textId="77777777" w:rsidR="00C37C68" w:rsidRPr="0058641B" w:rsidRDefault="00C37C68" w:rsidP="00D312D9">
            <w:pPr>
              <w:pStyle w:val="Tabletext"/>
              <w:keepNext/>
              <w:rPr>
                <w:b/>
              </w:rPr>
            </w:pPr>
            <w:r w:rsidRPr="0058641B">
              <w:rPr>
                <w:b/>
              </w:rPr>
              <w:t>Step 6: Incorporation of AE related costs</w:t>
            </w:r>
          </w:p>
        </w:tc>
      </w:tr>
      <w:tr w:rsidR="00C37C68" w:rsidRPr="0058641B" w14:paraId="4676DAE3" w14:textId="77777777" w:rsidTr="00D312D9">
        <w:tc>
          <w:tcPr>
            <w:tcW w:w="1569" w:type="pct"/>
            <w:vAlign w:val="center"/>
          </w:tcPr>
          <w:p w14:paraId="38A4B457" w14:textId="77777777" w:rsidR="00C37C68" w:rsidRPr="0058641B" w:rsidRDefault="00C37C68" w:rsidP="00D312D9">
            <w:pPr>
              <w:pStyle w:val="Tabletext"/>
              <w:keepNext/>
              <w:rPr>
                <w:b/>
              </w:rPr>
            </w:pPr>
            <w:r w:rsidRPr="0058641B">
              <w:t>Costs</w:t>
            </w:r>
          </w:p>
        </w:tc>
        <w:tc>
          <w:tcPr>
            <w:tcW w:w="1319" w:type="pct"/>
          </w:tcPr>
          <w:p w14:paraId="28DFD86D" w14:textId="2F4C2F2E"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479D56E4" w14:textId="476D1793"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039A0322" w14:textId="3DCF006C"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6DBFEF2F" w14:textId="77777777" w:rsidTr="00D312D9">
        <w:tc>
          <w:tcPr>
            <w:tcW w:w="1569" w:type="pct"/>
            <w:vAlign w:val="center"/>
          </w:tcPr>
          <w:p w14:paraId="58B7FE65" w14:textId="77777777" w:rsidR="00C37C68" w:rsidRPr="0058641B" w:rsidRDefault="00C37C68" w:rsidP="00D312D9">
            <w:pPr>
              <w:pStyle w:val="Tabletext"/>
              <w:keepNext/>
              <w:rPr>
                <w:b/>
              </w:rPr>
            </w:pPr>
            <w:r w:rsidRPr="0058641B">
              <w:t>LYG</w:t>
            </w:r>
          </w:p>
        </w:tc>
        <w:tc>
          <w:tcPr>
            <w:tcW w:w="1319" w:type="pct"/>
          </w:tcPr>
          <w:p w14:paraId="25A750EB" w14:textId="77777777" w:rsidR="00C37C68" w:rsidRPr="0058641B" w:rsidRDefault="00C37C68" w:rsidP="00D312D9">
            <w:pPr>
              <w:pStyle w:val="Tabletext"/>
              <w:keepNext/>
              <w:jc w:val="center"/>
              <w:rPr>
                <w:b/>
              </w:rPr>
            </w:pPr>
            <w:r w:rsidRPr="0058641B">
              <w:t>10.229</w:t>
            </w:r>
          </w:p>
        </w:tc>
        <w:tc>
          <w:tcPr>
            <w:tcW w:w="1274" w:type="pct"/>
          </w:tcPr>
          <w:p w14:paraId="1ED81440" w14:textId="77777777" w:rsidR="00C37C68" w:rsidRPr="0058641B" w:rsidRDefault="00C37C68" w:rsidP="00D312D9">
            <w:pPr>
              <w:pStyle w:val="Tabletext"/>
              <w:keepNext/>
              <w:jc w:val="center"/>
              <w:rPr>
                <w:b/>
              </w:rPr>
            </w:pPr>
            <w:r w:rsidRPr="0058641B">
              <w:t>8.065</w:t>
            </w:r>
          </w:p>
        </w:tc>
        <w:tc>
          <w:tcPr>
            <w:tcW w:w="838" w:type="pct"/>
          </w:tcPr>
          <w:p w14:paraId="628D9CA9" w14:textId="77777777" w:rsidR="00C37C68" w:rsidRPr="0058641B" w:rsidRDefault="00C37C68" w:rsidP="00D312D9">
            <w:pPr>
              <w:pStyle w:val="Tabletext"/>
              <w:keepNext/>
              <w:jc w:val="center"/>
              <w:rPr>
                <w:bCs/>
              </w:rPr>
            </w:pPr>
            <w:r w:rsidRPr="0058641B">
              <w:t>2.164</w:t>
            </w:r>
          </w:p>
        </w:tc>
      </w:tr>
      <w:tr w:rsidR="00C37C68" w:rsidRPr="0058641B" w14:paraId="543B958F" w14:textId="77777777" w:rsidTr="00D312D9">
        <w:tc>
          <w:tcPr>
            <w:tcW w:w="4162" w:type="pct"/>
            <w:gridSpan w:val="3"/>
            <w:vAlign w:val="center"/>
          </w:tcPr>
          <w:p w14:paraId="7747DE93" w14:textId="77777777" w:rsidR="00C37C68" w:rsidRPr="0058641B" w:rsidRDefault="00C37C68" w:rsidP="00D312D9">
            <w:pPr>
              <w:pStyle w:val="Tabletext"/>
              <w:keepNext/>
              <w:rPr>
                <w:bCs/>
              </w:rPr>
            </w:pPr>
            <w:r w:rsidRPr="0058641B">
              <w:t>Incremental cost/LYG</w:t>
            </w:r>
          </w:p>
        </w:tc>
        <w:tc>
          <w:tcPr>
            <w:tcW w:w="838" w:type="pct"/>
            <w:vAlign w:val="center"/>
          </w:tcPr>
          <w:p w14:paraId="7F720520" w14:textId="290589CD"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58EED3AC" w14:textId="77777777" w:rsidTr="00D312D9">
        <w:tc>
          <w:tcPr>
            <w:tcW w:w="5000" w:type="pct"/>
            <w:gridSpan w:val="4"/>
            <w:vAlign w:val="center"/>
          </w:tcPr>
          <w:p w14:paraId="0CE56F63" w14:textId="77777777" w:rsidR="00C37C68" w:rsidRPr="0058641B" w:rsidRDefault="00C37C68" w:rsidP="00D312D9">
            <w:pPr>
              <w:pStyle w:val="Tabletext"/>
              <w:keepNext/>
              <w:rPr>
                <w:b/>
              </w:rPr>
            </w:pPr>
            <w:r w:rsidRPr="0058641B">
              <w:rPr>
                <w:b/>
              </w:rPr>
              <w:t xml:space="preserve">Step 7: Inclusion of </w:t>
            </w:r>
            <w:proofErr w:type="gramStart"/>
            <w:r w:rsidRPr="0058641B">
              <w:rPr>
                <w:b/>
              </w:rPr>
              <w:t>end of life</w:t>
            </w:r>
            <w:proofErr w:type="gramEnd"/>
            <w:r w:rsidRPr="0058641B">
              <w:rPr>
                <w:b/>
              </w:rPr>
              <w:t xml:space="preserve"> costs</w:t>
            </w:r>
          </w:p>
        </w:tc>
      </w:tr>
      <w:tr w:rsidR="00C37C68" w:rsidRPr="0058641B" w14:paraId="1616B926" w14:textId="77777777" w:rsidTr="00D312D9">
        <w:tc>
          <w:tcPr>
            <w:tcW w:w="1569" w:type="pct"/>
            <w:vAlign w:val="center"/>
          </w:tcPr>
          <w:p w14:paraId="5D3B5BDA" w14:textId="77777777" w:rsidR="00C37C68" w:rsidRPr="0058641B" w:rsidRDefault="00C37C68" w:rsidP="00D312D9">
            <w:pPr>
              <w:pStyle w:val="Tabletext"/>
              <w:keepNext/>
              <w:rPr>
                <w:b/>
              </w:rPr>
            </w:pPr>
            <w:r w:rsidRPr="0058641B">
              <w:t>Costs</w:t>
            </w:r>
          </w:p>
        </w:tc>
        <w:tc>
          <w:tcPr>
            <w:tcW w:w="1319" w:type="pct"/>
          </w:tcPr>
          <w:p w14:paraId="2A522A16" w14:textId="25C45678"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0B727191" w14:textId="64A4C2EA" w:rsidR="00C37C68" w:rsidRPr="0058641B" w:rsidRDefault="00C37C68" w:rsidP="00D312D9">
            <w:pPr>
              <w:pStyle w:val="Tabletext"/>
              <w:keepNext/>
              <w:jc w:val="center"/>
              <w:rPr>
                <w:b/>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5EE519AC" w14:textId="623E484A"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3D0BE74A" w14:textId="77777777" w:rsidTr="00D312D9">
        <w:tc>
          <w:tcPr>
            <w:tcW w:w="1569" w:type="pct"/>
            <w:vAlign w:val="center"/>
          </w:tcPr>
          <w:p w14:paraId="00C99C3C" w14:textId="77777777" w:rsidR="00C37C68" w:rsidRPr="0058641B" w:rsidRDefault="00C37C68" w:rsidP="00D312D9">
            <w:pPr>
              <w:pStyle w:val="Tabletext"/>
              <w:keepNext/>
              <w:rPr>
                <w:b/>
              </w:rPr>
            </w:pPr>
            <w:r w:rsidRPr="0058641B">
              <w:t>LYG</w:t>
            </w:r>
          </w:p>
        </w:tc>
        <w:tc>
          <w:tcPr>
            <w:tcW w:w="1319" w:type="pct"/>
          </w:tcPr>
          <w:p w14:paraId="517B4A77" w14:textId="77777777" w:rsidR="00C37C68" w:rsidRPr="0058641B" w:rsidRDefault="00C37C68" w:rsidP="00D312D9">
            <w:pPr>
              <w:pStyle w:val="Tabletext"/>
              <w:keepNext/>
              <w:jc w:val="center"/>
              <w:rPr>
                <w:b/>
              </w:rPr>
            </w:pPr>
            <w:r w:rsidRPr="0058641B">
              <w:t>10.229</w:t>
            </w:r>
          </w:p>
        </w:tc>
        <w:tc>
          <w:tcPr>
            <w:tcW w:w="1274" w:type="pct"/>
          </w:tcPr>
          <w:p w14:paraId="01E49891" w14:textId="77777777" w:rsidR="00C37C68" w:rsidRPr="0058641B" w:rsidRDefault="00C37C68" w:rsidP="00D312D9">
            <w:pPr>
              <w:pStyle w:val="Tabletext"/>
              <w:keepNext/>
              <w:jc w:val="center"/>
              <w:rPr>
                <w:b/>
              </w:rPr>
            </w:pPr>
            <w:r w:rsidRPr="0058641B">
              <w:t>8.065</w:t>
            </w:r>
          </w:p>
        </w:tc>
        <w:tc>
          <w:tcPr>
            <w:tcW w:w="838" w:type="pct"/>
          </w:tcPr>
          <w:p w14:paraId="39BDAFBE" w14:textId="77777777" w:rsidR="00C37C68" w:rsidRPr="0058641B" w:rsidRDefault="00C37C68" w:rsidP="00D312D9">
            <w:pPr>
              <w:pStyle w:val="Tabletext"/>
              <w:keepNext/>
              <w:jc w:val="center"/>
              <w:rPr>
                <w:bCs/>
              </w:rPr>
            </w:pPr>
            <w:r w:rsidRPr="0058641B">
              <w:t>2.164</w:t>
            </w:r>
          </w:p>
        </w:tc>
      </w:tr>
      <w:tr w:rsidR="00C37C68" w:rsidRPr="0058641B" w14:paraId="151B0D63" w14:textId="77777777" w:rsidTr="00D312D9">
        <w:tc>
          <w:tcPr>
            <w:tcW w:w="4162" w:type="pct"/>
            <w:gridSpan w:val="3"/>
            <w:vAlign w:val="center"/>
          </w:tcPr>
          <w:p w14:paraId="0CB4D582" w14:textId="77777777" w:rsidR="00C37C68" w:rsidRPr="0058641B" w:rsidRDefault="00C37C68" w:rsidP="00D312D9">
            <w:pPr>
              <w:pStyle w:val="Tabletext"/>
              <w:keepNext/>
              <w:rPr>
                <w:bCs/>
              </w:rPr>
            </w:pPr>
            <w:r w:rsidRPr="0058641B">
              <w:t>Incremental cost/LYG</w:t>
            </w:r>
          </w:p>
        </w:tc>
        <w:tc>
          <w:tcPr>
            <w:tcW w:w="838" w:type="pct"/>
            <w:vAlign w:val="center"/>
          </w:tcPr>
          <w:p w14:paraId="213F5134" w14:textId="368870E7"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r w:rsidR="00894A92">
              <w:rPr>
                <w:vertAlign w:val="superscript"/>
              </w:rPr>
              <w:t>2</w:t>
            </w:r>
          </w:p>
        </w:tc>
      </w:tr>
      <w:tr w:rsidR="00C37C68" w:rsidRPr="0058641B" w14:paraId="49BD8A0A" w14:textId="77777777" w:rsidTr="00D312D9">
        <w:tc>
          <w:tcPr>
            <w:tcW w:w="5000" w:type="pct"/>
            <w:gridSpan w:val="4"/>
            <w:vAlign w:val="center"/>
          </w:tcPr>
          <w:p w14:paraId="49DD4C1B" w14:textId="77777777" w:rsidR="00C37C68" w:rsidRPr="0058641B" w:rsidRDefault="00C37C68" w:rsidP="00D312D9">
            <w:pPr>
              <w:pStyle w:val="Tabletext"/>
              <w:keepNext/>
              <w:rPr>
                <w:b/>
              </w:rPr>
            </w:pPr>
            <w:r w:rsidRPr="0058641B">
              <w:rPr>
                <w:b/>
              </w:rPr>
              <w:t>Step 8: Incorporation of utility values to determine QALYs (base-case analysis)</w:t>
            </w:r>
          </w:p>
        </w:tc>
      </w:tr>
      <w:tr w:rsidR="00C37C68" w:rsidRPr="0058641B" w14:paraId="08F7E72F" w14:textId="77777777" w:rsidTr="00D312D9">
        <w:tc>
          <w:tcPr>
            <w:tcW w:w="1569" w:type="pct"/>
            <w:vAlign w:val="center"/>
          </w:tcPr>
          <w:p w14:paraId="0765807F" w14:textId="77777777" w:rsidR="00C37C68" w:rsidRPr="0058641B" w:rsidRDefault="00C37C68" w:rsidP="00D312D9">
            <w:pPr>
              <w:pStyle w:val="Tabletext"/>
              <w:keepNext/>
            </w:pPr>
            <w:r w:rsidRPr="0058641B">
              <w:t>Costs</w:t>
            </w:r>
          </w:p>
        </w:tc>
        <w:tc>
          <w:tcPr>
            <w:tcW w:w="1319" w:type="pct"/>
          </w:tcPr>
          <w:p w14:paraId="695F8A8D" w14:textId="1AEBC77C"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1274" w:type="pct"/>
          </w:tcPr>
          <w:p w14:paraId="3E942935" w14:textId="347D9E4A" w:rsidR="00C37C68" w:rsidRPr="0058641B" w:rsidRDefault="00C37C68" w:rsidP="00D312D9">
            <w:pPr>
              <w:pStyle w:val="Tabletext"/>
              <w:keepNext/>
              <w:jc w:val="center"/>
              <w:rPr>
                <w:bCs/>
              </w:rPr>
            </w:pPr>
            <w:r w:rsidRPr="0058641B">
              <w:t>$</w:t>
            </w:r>
            <w:r w:rsidR="00A8021D" w:rsidRPr="00A8021D">
              <w:rPr>
                <w:color w:val="000000"/>
                <w:shd w:val="solid" w:color="000000" w:fill="000000"/>
                <w14:textFill>
                  <w14:solidFill>
                    <w14:srgbClr w14:val="000000">
                      <w14:alpha w14:val="100000"/>
                    </w14:srgbClr>
                  </w14:solidFill>
                </w14:textFill>
              </w:rPr>
              <w:t>|</w:t>
            </w:r>
          </w:p>
        </w:tc>
        <w:tc>
          <w:tcPr>
            <w:tcW w:w="838" w:type="pct"/>
          </w:tcPr>
          <w:p w14:paraId="2159B16A" w14:textId="49337AD4" w:rsidR="00C37C68" w:rsidRPr="0058641B" w:rsidRDefault="00C37C68" w:rsidP="00D312D9">
            <w:pPr>
              <w:pStyle w:val="Tabletext"/>
              <w:keepNext/>
              <w:jc w:val="center"/>
            </w:pPr>
            <w:r w:rsidRPr="0058641B">
              <w:t>$</w:t>
            </w:r>
            <w:r w:rsidR="00A8021D" w:rsidRPr="00A8021D">
              <w:rPr>
                <w:color w:val="000000"/>
                <w:shd w:val="solid" w:color="000000" w:fill="000000"/>
                <w14:textFill>
                  <w14:solidFill>
                    <w14:srgbClr w14:val="000000">
                      <w14:alpha w14:val="100000"/>
                    </w14:srgbClr>
                  </w14:solidFill>
                </w14:textFill>
              </w:rPr>
              <w:t>|</w:t>
            </w:r>
          </w:p>
        </w:tc>
      </w:tr>
      <w:tr w:rsidR="00C37C68" w:rsidRPr="0058641B" w14:paraId="4F30CB10" w14:textId="77777777" w:rsidTr="00D312D9">
        <w:tc>
          <w:tcPr>
            <w:tcW w:w="1569" w:type="pct"/>
            <w:vAlign w:val="center"/>
          </w:tcPr>
          <w:p w14:paraId="296CA7FA" w14:textId="77777777" w:rsidR="00C37C68" w:rsidRPr="0058641B" w:rsidRDefault="00C37C68" w:rsidP="00D312D9">
            <w:pPr>
              <w:pStyle w:val="Tabletext"/>
              <w:keepNext/>
            </w:pPr>
            <w:r w:rsidRPr="0058641B">
              <w:t>QALYs</w:t>
            </w:r>
          </w:p>
        </w:tc>
        <w:tc>
          <w:tcPr>
            <w:tcW w:w="1319" w:type="pct"/>
            <w:vAlign w:val="center"/>
          </w:tcPr>
          <w:p w14:paraId="4874FA9C" w14:textId="77777777" w:rsidR="00C37C68" w:rsidRPr="0058641B" w:rsidRDefault="00C37C68" w:rsidP="00D312D9">
            <w:pPr>
              <w:pStyle w:val="Tabletext"/>
              <w:keepNext/>
              <w:jc w:val="center"/>
            </w:pPr>
            <w:r w:rsidRPr="0058641B">
              <w:t>8.204</w:t>
            </w:r>
          </w:p>
        </w:tc>
        <w:tc>
          <w:tcPr>
            <w:tcW w:w="1274" w:type="pct"/>
            <w:vAlign w:val="center"/>
          </w:tcPr>
          <w:p w14:paraId="4ABF15E0" w14:textId="77777777" w:rsidR="00C37C68" w:rsidRPr="0058641B" w:rsidRDefault="00C37C68" w:rsidP="00D312D9">
            <w:pPr>
              <w:pStyle w:val="Tabletext"/>
              <w:keepNext/>
              <w:jc w:val="center"/>
            </w:pPr>
            <w:r w:rsidRPr="0058641B">
              <w:t>6.386</w:t>
            </w:r>
          </w:p>
        </w:tc>
        <w:tc>
          <w:tcPr>
            <w:tcW w:w="838" w:type="pct"/>
            <w:vAlign w:val="center"/>
          </w:tcPr>
          <w:p w14:paraId="1FB71F19" w14:textId="77777777" w:rsidR="00C37C68" w:rsidRPr="0058641B" w:rsidRDefault="00C37C68" w:rsidP="00D312D9">
            <w:pPr>
              <w:pStyle w:val="Tabletext"/>
              <w:keepNext/>
              <w:jc w:val="center"/>
              <w:rPr>
                <w:bCs/>
              </w:rPr>
            </w:pPr>
            <w:r w:rsidRPr="0058641B">
              <w:t>1.818</w:t>
            </w:r>
          </w:p>
        </w:tc>
      </w:tr>
      <w:tr w:rsidR="00C37C68" w:rsidRPr="0058641B" w14:paraId="2FD68459" w14:textId="77777777" w:rsidTr="00D312D9">
        <w:tc>
          <w:tcPr>
            <w:tcW w:w="4162" w:type="pct"/>
            <w:gridSpan w:val="3"/>
            <w:vAlign w:val="center"/>
          </w:tcPr>
          <w:p w14:paraId="1DEAFB82" w14:textId="77777777" w:rsidR="00C37C68" w:rsidRPr="0058641B" w:rsidRDefault="00C37C68" w:rsidP="00D312D9">
            <w:pPr>
              <w:pStyle w:val="Tabletext"/>
              <w:keepNext/>
              <w:rPr>
                <w:b/>
                <w:bCs/>
              </w:rPr>
            </w:pPr>
            <w:r w:rsidRPr="0058641B">
              <w:rPr>
                <w:b/>
                <w:bCs/>
              </w:rPr>
              <w:t>Incremental cost/QALY gained (base case)</w:t>
            </w:r>
          </w:p>
        </w:tc>
        <w:tc>
          <w:tcPr>
            <w:tcW w:w="838" w:type="pct"/>
            <w:vAlign w:val="center"/>
          </w:tcPr>
          <w:p w14:paraId="7B636995" w14:textId="655626AF" w:rsidR="00C37C68" w:rsidRPr="0058641B" w:rsidRDefault="00C37C68" w:rsidP="00D312D9">
            <w:pPr>
              <w:pStyle w:val="Tabletext"/>
              <w:keepNext/>
              <w:jc w:val="center"/>
              <w:rPr>
                <w:b/>
                <w:bCs/>
              </w:rPr>
            </w:pPr>
            <w:r w:rsidRPr="0058641B">
              <w:rPr>
                <w:b/>
                <w:bCs/>
              </w:rPr>
              <w:t>$</w:t>
            </w:r>
            <w:r w:rsidR="00A8021D" w:rsidRPr="00A8021D">
              <w:rPr>
                <w:b/>
                <w:bCs/>
                <w:color w:val="000000"/>
                <w:shd w:val="solid" w:color="000000" w:fill="000000"/>
                <w14:textFill>
                  <w14:solidFill>
                    <w14:srgbClr w14:val="000000">
                      <w14:alpha w14:val="100000"/>
                    </w14:srgbClr>
                  </w14:solidFill>
                </w14:textFill>
              </w:rPr>
              <w:t>|</w:t>
            </w:r>
            <w:r w:rsidR="00894A92">
              <w:rPr>
                <w:vertAlign w:val="superscript"/>
              </w:rPr>
              <w:t>2</w:t>
            </w:r>
          </w:p>
        </w:tc>
      </w:tr>
    </w:tbl>
    <w:p w14:paraId="53A010B0" w14:textId="77777777" w:rsidR="00C37C68" w:rsidRPr="0058641B" w:rsidRDefault="00C37C68" w:rsidP="00C37C68">
      <w:pPr>
        <w:pStyle w:val="TableFooter"/>
      </w:pPr>
      <w:r w:rsidRPr="0058641B">
        <w:t xml:space="preserve">Source: Table compiled during the evaluation, based on Tables 3.25, p101 of the submission; the “PDL1 high_Economic Evaluation” Excel workbook. </w:t>
      </w:r>
    </w:p>
    <w:p w14:paraId="3EAD1F48" w14:textId="77777777" w:rsidR="00C37C68" w:rsidRPr="0058641B" w:rsidRDefault="00C37C68" w:rsidP="00C37C68">
      <w:pPr>
        <w:pStyle w:val="TableFooter"/>
      </w:pPr>
      <w:r w:rsidRPr="0058641B">
        <w:t>AE = adverse event; DFS = disease-free survival; LYG = life year gained; MRU = medical resource use; PD-L1 = programmed cell death ligand 1; QALY= quality-adjusted life year.</w:t>
      </w:r>
    </w:p>
    <w:p w14:paraId="1295E3DA" w14:textId="01792101" w:rsidR="00C37C68" w:rsidRPr="0058641B" w:rsidRDefault="00C37C68" w:rsidP="00C37C68">
      <w:pPr>
        <w:pStyle w:val="TableFooter"/>
      </w:pPr>
      <w:r w:rsidRPr="0058641B">
        <w:t xml:space="preserve">Notes: the following the errors </w:t>
      </w:r>
      <w:r w:rsidR="00507D68">
        <w:t xml:space="preserve">were </w:t>
      </w:r>
      <w:r w:rsidRPr="0058641B">
        <w:t>identified during the evaluation</w:t>
      </w:r>
      <w:r w:rsidR="00507D68">
        <w:t xml:space="preserve"> and corrected results are presented above</w:t>
      </w:r>
      <w:r w:rsidRPr="0058641B">
        <w:t xml:space="preserve">: </w:t>
      </w:r>
    </w:p>
    <w:p w14:paraId="1B52DBBE" w14:textId="77777777" w:rsidR="00C37C68" w:rsidRPr="0058641B" w:rsidRDefault="00C37C68" w:rsidP="00C37C68">
      <w:pPr>
        <w:pStyle w:val="TableFooter"/>
      </w:pPr>
      <w:r w:rsidRPr="0058641B">
        <w:t xml:space="preserve">1) the omission of costs in the second-line distant recurrence health state in calculating the total costs (Cells G37 and J37 in the ‘Results’ spreadsheet); </w:t>
      </w:r>
    </w:p>
    <w:p w14:paraId="54C4CEAE" w14:textId="77777777" w:rsidR="00C37C68" w:rsidRPr="0058641B" w:rsidRDefault="00C37C68" w:rsidP="00C37C68">
      <w:pPr>
        <w:pStyle w:val="TableFooter"/>
      </w:pPr>
      <w:r w:rsidRPr="0058641B">
        <w:t>2) errors in the formulas calculating the MRU costs during the off-treatment period in the DFS health state (Cells AV9:AV2097 in both the ‘Atezolizumab’ spreadsheet and the ‘Best Supportive Care’ spreadsheet)</w:t>
      </w:r>
    </w:p>
    <w:p w14:paraId="1D39CE11" w14:textId="77777777" w:rsidR="00C37C68" w:rsidRPr="0058641B" w:rsidRDefault="00C37C68" w:rsidP="00C37C68">
      <w:pPr>
        <w:pStyle w:val="TableFooter"/>
      </w:pPr>
      <w:r w:rsidRPr="0058641B">
        <w:t xml:space="preserve">3) double counting the MRU costs in the DFS health state in the best supportive care arm (Cells AU9:AU2097 in the ‘Best Supportive Care’ spreadsheet); </w:t>
      </w:r>
    </w:p>
    <w:p w14:paraId="4DA32862" w14:textId="77777777" w:rsidR="00C37C68" w:rsidRPr="0058641B" w:rsidRDefault="00C37C68" w:rsidP="00C37C68">
      <w:pPr>
        <w:pStyle w:val="TableFooter"/>
      </w:pPr>
      <w:r w:rsidRPr="0058641B">
        <w:t>4) referencing errors in the formulas calculating the weights of hospital admissions due to major disorders vs. hospital admissions due to minor disorders associated with management of rash and hypertension (Cells M13:M14 and Cells M19:M20 in the ‘Adverse Events Costs’ spreadsheet); and</w:t>
      </w:r>
    </w:p>
    <w:p w14:paraId="07511903" w14:textId="7B4FDC22" w:rsidR="00C37C68" w:rsidRDefault="00C37C68" w:rsidP="00C37C68">
      <w:pPr>
        <w:pStyle w:val="TableFooter"/>
      </w:pPr>
      <w:r w:rsidRPr="0058641B">
        <w:t>5) referencing errors in the formulas calculating the weighted drug cost for pembrolizumab per administration (Cells K44 and K48 in the ‘Drug Doses &amp; Acquisition Costs’ spreadsheet).</w:t>
      </w:r>
    </w:p>
    <w:p w14:paraId="08B58C2C" w14:textId="77777777" w:rsidR="00894A92" w:rsidRPr="00A4427F" w:rsidRDefault="00894A92" w:rsidP="00894A92">
      <w:pPr>
        <w:pStyle w:val="TableFigureFooter"/>
        <w:keepNext/>
        <w:spacing w:after="0"/>
        <w:contextualSpacing w:val="0"/>
        <w:rPr>
          <w:i/>
        </w:rPr>
      </w:pPr>
      <w:r w:rsidRPr="00A4427F">
        <w:rPr>
          <w:i/>
        </w:rPr>
        <w:t>The redacted values correspond to the following ranges:</w:t>
      </w:r>
    </w:p>
    <w:p w14:paraId="37CF1A80" w14:textId="19F02F69" w:rsidR="00894A92" w:rsidRPr="00281DAB" w:rsidRDefault="00894A92" w:rsidP="00894A92">
      <w:pPr>
        <w:pStyle w:val="TableFigureFooter"/>
        <w:keepNext/>
        <w:tabs>
          <w:tab w:val="left" w:pos="1260"/>
        </w:tabs>
        <w:spacing w:after="0"/>
        <w:contextualSpacing w:val="0"/>
      </w:pPr>
      <w:r w:rsidRPr="00A4427F">
        <w:rPr>
          <w:i/>
          <w:szCs w:val="18"/>
          <w:vertAlign w:val="superscript"/>
        </w:rPr>
        <w:t>1</w:t>
      </w:r>
      <w:r w:rsidRPr="00A4427F">
        <w:rPr>
          <w:i/>
          <w:szCs w:val="18"/>
        </w:rPr>
        <w:t xml:space="preserve"> </w:t>
      </w:r>
      <w:r w:rsidRPr="00894A92">
        <w:rPr>
          <w:i/>
          <w:szCs w:val="18"/>
        </w:rPr>
        <w:t>$155,000 to &lt; $255,000</w:t>
      </w:r>
    </w:p>
    <w:p w14:paraId="41BCF2A5" w14:textId="1200C050" w:rsidR="00894A92" w:rsidRPr="00894A92" w:rsidRDefault="00894A92" w:rsidP="00894A92">
      <w:pPr>
        <w:rPr>
          <w:rFonts w:ascii="Arial Narrow" w:hAnsi="Arial Narrow"/>
          <w:i/>
          <w:sz w:val="18"/>
          <w:szCs w:val="18"/>
        </w:rPr>
      </w:pPr>
      <w:r w:rsidRPr="00A4427F">
        <w:rPr>
          <w:rFonts w:ascii="Arial Narrow" w:hAnsi="Arial Narrow"/>
          <w:i/>
          <w:sz w:val="18"/>
          <w:szCs w:val="18"/>
          <w:vertAlign w:val="superscript"/>
        </w:rPr>
        <w:t>2</w:t>
      </w:r>
      <w:r w:rsidRPr="00A4427F">
        <w:rPr>
          <w:rFonts w:ascii="Arial Narrow" w:hAnsi="Arial Narrow"/>
          <w:i/>
          <w:sz w:val="18"/>
          <w:szCs w:val="18"/>
        </w:rPr>
        <w:t xml:space="preserve"> </w:t>
      </w:r>
      <w:r w:rsidRPr="00894A92">
        <w:rPr>
          <w:rFonts w:ascii="Arial Narrow" w:hAnsi="Arial Narrow"/>
          <w:i/>
          <w:sz w:val="18"/>
          <w:szCs w:val="18"/>
        </w:rPr>
        <w:t>$5,000 to &lt; $15,000</w:t>
      </w:r>
    </w:p>
    <w:p w14:paraId="4D3940A9" w14:textId="77777777" w:rsidR="00C37C68" w:rsidRPr="0058641B" w:rsidRDefault="00C37C68" w:rsidP="00C37C68"/>
    <w:p w14:paraId="198D00C4" w14:textId="26222A0A" w:rsidR="003E6DBB" w:rsidRPr="0058641B" w:rsidRDefault="00FB2543" w:rsidP="003E6DBB">
      <w:pPr>
        <w:pStyle w:val="3-BodyText"/>
      </w:pPr>
      <w:r w:rsidRPr="0058641B">
        <w:lastRenderedPageBreak/>
        <w:t xml:space="preserve">The health outcome in Step 1 (trial-based) of the economic evaluation was </w:t>
      </w:r>
      <w:r w:rsidR="00AC12A4" w:rsidRPr="0058641B">
        <w:t>LYG</w:t>
      </w:r>
      <w:r w:rsidRPr="0058641B">
        <w:t xml:space="preserve">. The proportion of PD-L1 ≥ 50% patients with a recurrence event (excluding pre-recurrence death) during the trial observation period was 21.7% (25/115) for </w:t>
      </w:r>
      <w:r w:rsidR="009229A2" w:rsidRPr="0058641B">
        <w:t xml:space="preserve">ATZ </w:t>
      </w:r>
      <w:r w:rsidRPr="0058641B">
        <w:t xml:space="preserve">and 43.9% (50/114) for </w:t>
      </w:r>
      <w:r w:rsidR="009229A2" w:rsidRPr="0058641B">
        <w:t>BSC</w:t>
      </w:r>
      <w:r w:rsidRPr="0058641B">
        <w:t>. The cost per recurrence avoided was estimated to be $</w:t>
      </w:r>
      <w:r w:rsidR="00A8021D" w:rsidRPr="00AD58F5">
        <w:rPr>
          <w:color w:val="000000"/>
          <w:w w:val="15"/>
          <w:shd w:val="solid" w:color="000000" w:fill="000000"/>
          <w:fitText w:val="-20" w:id="-1435765248"/>
          <w14:textFill>
            <w14:solidFill>
              <w14:srgbClr w14:val="000000">
                <w14:alpha w14:val="100000"/>
              </w14:srgbClr>
            </w14:solidFill>
          </w14:textFill>
        </w:rPr>
        <w:t xml:space="preserve">|  </w:t>
      </w:r>
      <w:r w:rsidR="00A8021D" w:rsidRPr="00AD58F5">
        <w:rPr>
          <w:color w:val="000000"/>
          <w:spacing w:val="-69"/>
          <w:w w:val="15"/>
          <w:shd w:val="solid" w:color="000000" w:fill="000000"/>
          <w:fitText w:val="-20" w:id="-1435765248"/>
          <w14:textFill>
            <w14:solidFill>
              <w14:srgbClr w14:val="000000">
                <w14:alpha w14:val="100000"/>
              </w14:srgbClr>
            </w14:solidFill>
          </w14:textFill>
        </w:rPr>
        <w:t>|</w:t>
      </w:r>
      <w:r w:rsidRPr="0058641B">
        <w:t xml:space="preserve"> (=$</w:t>
      </w:r>
      <w:r w:rsidR="00A8021D" w:rsidRPr="00AD58F5">
        <w:rPr>
          <w:color w:val="000000"/>
          <w:w w:val="15"/>
          <w:shd w:val="solid" w:color="000000" w:fill="000000"/>
          <w:fitText w:val="-20" w:id="-1435765247"/>
          <w14:textFill>
            <w14:solidFill>
              <w14:srgbClr w14:val="000000">
                <w14:alpha w14:val="100000"/>
              </w14:srgbClr>
            </w14:solidFill>
          </w14:textFill>
        </w:rPr>
        <w:t xml:space="preserve">|  </w:t>
      </w:r>
      <w:r w:rsidR="00A8021D" w:rsidRPr="00AD58F5">
        <w:rPr>
          <w:color w:val="000000"/>
          <w:spacing w:val="-69"/>
          <w:w w:val="15"/>
          <w:shd w:val="solid" w:color="000000" w:fill="000000"/>
          <w:fitText w:val="-20" w:id="-1435765247"/>
          <w14:textFill>
            <w14:solidFill>
              <w14:srgbClr w14:val="000000">
                <w14:alpha w14:val="100000"/>
              </w14:srgbClr>
            </w14:solidFill>
          </w14:textFill>
        </w:rPr>
        <w:t>|</w:t>
      </w:r>
      <w:r w:rsidRPr="0058641B">
        <w:t xml:space="preserve">/(43.9%-21.7%)) in Step 1. </w:t>
      </w:r>
    </w:p>
    <w:p w14:paraId="70262E03" w14:textId="69A0B63F" w:rsidR="00F11B4E" w:rsidRPr="00DE7304" w:rsidRDefault="00F11B4E" w:rsidP="00F11B4E">
      <w:pPr>
        <w:pStyle w:val="3-BodyText"/>
        <w:rPr>
          <w:iCs/>
        </w:rPr>
      </w:pPr>
      <w:r w:rsidRPr="00DE7304">
        <w:rPr>
          <w:iCs/>
        </w:rPr>
        <w:t xml:space="preserve">The ESC noted the comparison of the </w:t>
      </w:r>
      <w:proofErr w:type="gramStart"/>
      <w:r w:rsidRPr="00DE7304">
        <w:rPr>
          <w:iCs/>
        </w:rPr>
        <w:t>trial-based</w:t>
      </w:r>
      <w:proofErr w:type="gramEnd"/>
      <w:r w:rsidRPr="00DE7304">
        <w:rPr>
          <w:iCs/>
        </w:rPr>
        <w:t xml:space="preserve"> DFS, parametric extrapolated DFS and modelled DFS after adjustments for time limited treatment effect and for sustained DFS (without incorporating background mortality) for this population as shown in </w:t>
      </w:r>
      <w:r w:rsidR="009314E7" w:rsidRPr="00DE7304">
        <w:rPr>
          <w:iCs/>
        </w:rPr>
        <w:fldChar w:fldCharType="begin"/>
      </w:r>
      <w:r w:rsidR="009314E7" w:rsidRPr="00DE7304">
        <w:rPr>
          <w:iCs/>
        </w:rPr>
        <w:instrText xml:space="preserve"> REF _Ref106625052 \h  \* MERGEFORMAT </w:instrText>
      </w:r>
      <w:r w:rsidR="009314E7" w:rsidRPr="00DE7304">
        <w:rPr>
          <w:iCs/>
        </w:rPr>
      </w:r>
      <w:r w:rsidR="009314E7" w:rsidRPr="00DE7304">
        <w:rPr>
          <w:iCs/>
        </w:rPr>
        <w:fldChar w:fldCharType="separate"/>
      </w:r>
      <w:r w:rsidR="0043151A" w:rsidRPr="0043151A">
        <w:rPr>
          <w:iCs/>
        </w:rPr>
        <w:t>Figure 11</w:t>
      </w:r>
      <w:r w:rsidR="009314E7" w:rsidRPr="00DE7304">
        <w:rPr>
          <w:iCs/>
        </w:rPr>
        <w:fldChar w:fldCharType="end"/>
      </w:r>
      <w:r w:rsidRPr="00DE7304">
        <w:rPr>
          <w:iCs/>
        </w:rPr>
        <w:t>.</w:t>
      </w:r>
    </w:p>
    <w:p w14:paraId="2FD2906D" w14:textId="20786511" w:rsidR="00F11B4E" w:rsidRPr="00DE7304" w:rsidRDefault="00F11B4E" w:rsidP="0058641B">
      <w:pPr>
        <w:keepNext/>
        <w:rPr>
          <w:rFonts w:ascii="Arial Narrow" w:eastAsiaTheme="majorEastAsia" w:hAnsi="Arial Narrow" w:cstheme="majorBidi"/>
          <w:b/>
          <w:bCs/>
          <w:sz w:val="20"/>
        </w:rPr>
      </w:pPr>
      <w:bookmarkStart w:id="66" w:name="_Ref106625052"/>
      <w:r w:rsidRPr="00DE7304">
        <w:rPr>
          <w:rFonts w:ascii="Arial Narrow" w:eastAsiaTheme="majorEastAsia" w:hAnsi="Arial Narrow" w:cstheme="majorBidi"/>
          <w:b/>
          <w:bCs/>
          <w:sz w:val="20"/>
        </w:rPr>
        <w:t xml:space="preserve">Figure </w:t>
      </w:r>
      <w:r w:rsidRPr="00DE7304">
        <w:rPr>
          <w:rFonts w:ascii="Arial Narrow" w:eastAsiaTheme="majorEastAsia" w:hAnsi="Arial Narrow" w:cstheme="majorBidi"/>
          <w:b/>
          <w:bCs/>
          <w:sz w:val="20"/>
        </w:rPr>
        <w:fldChar w:fldCharType="begin"/>
      </w:r>
      <w:r w:rsidRPr="00DE7304">
        <w:rPr>
          <w:rFonts w:ascii="Arial Narrow" w:eastAsiaTheme="majorEastAsia" w:hAnsi="Arial Narrow" w:cstheme="majorBidi"/>
          <w:b/>
          <w:bCs/>
          <w:sz w:val="20"/>
        </w:rPr>
        <w:instrText xml:space="preserve"> SEQ Figure \* ARABIC </w:instrText>
      </w:r>
      <w:r w:rsidRPr="00DE7304">
        <w:rPr>
          <w:rFonts w:ascii="Arial Narrow" w:eastAsiaTheme="majorEastAsia" w:hAnsi="Arial Narrow" w:cstheme="majorBidi"/>
          <w:b/>
          <w:bCs/>
          <w:sz w:val="20"/>
        </w:rPr>
        <w:fldChar w:fldCharType="separate"/>
      </w:r>
      <w:r w:rsidR="0043151A">
        <w:rPr>
          <w:rFonts w:ascii="Arial Narrow" w:eastAsiaTheme="majorEastAsia" w:hAnsi="Arial Narrow" w:cstheme="majorBidi"/>
          <w:b/>
          <w:bCs/>
          <w:noProof/>
          <w:sz w:val="20"/>
        </w:rPr>
        <w:t>11</w:t>
      </w:r>
      <w:r w:rsidRPr="00DE7304">
        <w:rPr>
          <w:rFonts w:ascii="Arial Narrow" w:eastAsiaTheme="majorEastAsia" w:hAnsi="Arial Narrow" w:cstheme="majorBidi"/>
          <w:b/>
          <w:bCs/>
          <w:sz w:val="20"/>
        </w:rPr>
        <w:fldChar w:fldCharType="end"/>
      </w:r>
      <w:bookmarkEnd w:id="66"/>
      <w:r w:rsidRPr="00DE7304">
        <w:rPr>
          <w:rFonts w:ascii="Arial Narrow" w:eastAsiaTheme="majorEastAsia" w:hAnsi="Arial Narrow" w:cstheme="majorBidi"/>
          <w:b/>
          <w:bCs/>
          <w:sz w:val="20"/>
        </w:rPr>
        <w:t>: Modelled DFS with adjustments for time limited treatment effect and sustained remission (without incorporating background morality) in the PD-L1 ≥ 50% subgroup</w:t>
      </w:r>
    </w:p>
    <w:p w14:paraId="3BFB6BE2" w14:textId="77777777" w:rsidR="00F11B4E" w:rsidRPr="0058641B" w:rsidRDefault="00F11B4E" w:rsidP="00F11B4E">
      <w:pPr>
        <w:spacing w:after="160" w:line="259" w:lineRule="auto"/>
        <w:rPr>
          <w:b/>
        </w:rPr>
      </w:pPr>
      <w:r w:rsidRPr="0058641B">
        <w:rPr>
          <w:b/>
          <w:noProof/>
          <w:lang w:eastAsia="zh-CN"/>
        </w:rPr>
        <w:drawing>
          <wp:inline distT="0" distB="0" distL="0" distR="0" wp14:anchorId="6A2873DD" wp14:editId="2CF1D5E7">
            <wp:extent cx="5513037" cy="26612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5526455" cy="2667762"/>
                    </a:xfrm>
                    <a:prstGeom prst="rect">
                      <a:avLst/>
                    </a:prstGeom>
                    <a:noFill/>
                    <a:ln>
                      <a:noFill/>
                    </a:ln>
                    <a:extLst>
                      <a:ext uri="{53640926-AAD7-44D8-BBD7-CCE9431645EC}">
                        <a14:shadowObscured xmlns:a14="http://schemas.microsoft.com/office/drawing/2010/main"/>
                      </a:ext>
                    </a:extLst>
                  </pic:spPr>
                </pic:pic>
              </a:graphicData>
            </a:graphic>
          </wp:inline>
        </w:drawing>
      </w:r>
    </w:p>
    <w:p w14:paraId="37667F1D" w14:textId="77777777" w:rsidR="00F11B4E" w:rsidRPr="0058641B" w:rsidRDefault="00F11B4E" w:rsidP="00F11B4E">
      <w:pPr>
        <w:pStyle w:val="TableFooter"/>
        <w:rPr>
          <w:szCs w:val="18"/>
        </w:rPr>
      </w:pPr>
      <w:r w:rsidRPr="0058641B">
        <w:rPr>
          <w:szCs w:val="18"/>
        </w:rPr>
        <w:t xml:space="preserve">Source: </w:t>
      </w:r>
      <w:r w:rsidRPr="00DE7304">
        <w:rPr>
          <w:iCs/>
          <w:szCs w:val="18"/>
        </w:rPr>
        <w:t>Figure constructed during the evaluation</w:t>
      </w:r>
      <w:r w:rsidRPr="0058641B">
        <w:rPr>
          <w:i/>
          <w:szCs w:val="18"/>
        </w:rPr>
        <w:t xml:space="preserve">, </w:t>
      </w:r>
      <w:r w:rsidRPr="0058641B">
        <w:rPr>
          <w:szCs w:val="18"/>
        </w:rPr>
        <w:t>based on the “PDL1 high_Economic Evaluation” Excel workbook.</w:t>
      </w:r>
    </w:p>
    <w:p w14:paraId="68B12D5D" w14:textId="72275658" w:rsidR="00F11B4E" w:rsidRPr="0058641B" w:rsidRDefault="00F11B4E" w:rsidP="00F11B4E">
      <w:pPr>
        <w:pStyle w:val="3-BodyText"/>
        <w:numPr>
          <w:ilvl w:val="0"/>
          <w:numId w:val="0"/>
        </w:numPr>
        <w:rPr>
          <w:rFonts w:ascii="Arial Narrow" w:hAnsi="Arial Narrow"/>
          <w:i/>
          <w:iCs/>
          <w:sz w:val="18"/>
          <w:szCs w:val="18"/>
        </w:rPr>
      </w:pPr>
      <w:r w:rsidRPr="0058641B">
        <w:rPr>
          <w:rFonts w:ascii="Arial Narrow" w:hAnsi="Arial Narrow"/>
          <w:sz w:val="18"/>
          <w:szCs w:val="18"/>
        </w:rPr>
        <w:t>ATZ = atezolizumab; BSC = best supportive care; DFS= disease-free survival; KM = Kaplan-Meier; PD-L1 = programmed cell death ligand</w:t>
      </w:r>
    </w:p>
    <w:p w14:paraId="21CF0011" w14:textId="77777777" w:rsidR="00F11B4E" w:rsidRPr="0058641B" w:rsidRDefault="00F11B4E" w:rsidP="00F11B4E">
      <w:pPr>
        <w:pStyle w:val="3-BodyText"/>
        <w:numPr>
          <w:ilvl w:val="0"/>
          <w:numId w:val="0"/>
        </w:numPr>
        <w:rPr>
          <w:i/>
          <w:iCs/>
        </w:rPr>
      </w:pPr>
    </w:p>
    <w:p w14:paraId="0A972FE3" w14:textId="4D30DE84" w:rsidR="003E6DBB" w:rsidRPr="00DE7304" w:rsidRDefault="003E6DBB" w:rsidP="003E6DBB">
      <w:pPr>
        <w:pStyle w:val="3-BodyText"/>
      </w:pPr>
      <w:r w:rsidRPr="00DE7304">
        <w:t xml:space="preserve">Markov traces of the proportion of patients in the DFS health state and alive over time are presented in </w:t>
      </w:r>
      <w:r w:rsidR="009314E7" w:rsidRPr="00DE7304">
        <w:fldChar w:fldCharType="begin"/>
      </w:r>
      <w:r w:rsidR="009314E7" w:rsidRPr="00DE7304">
        <w:instrText xml:space="preserve"> REF _Ref106622260 \h </w:instrText>
      </w:r>
      <w:r w:rsidR="009314E7">
        <w:instrText xml:space="preserve"> \* MERGEFORMAT </w:instrText>
      </w:r>
      <w:r w:rsidR="009314E7" w:rsidRPr="00DE7304">
        <w:fldChar w:fldCharType="separate"/>
      </w:r>
      <w:r w:rsidR="0043151A" w:rsidRPr="00DE7304">
        <w:t xml:space="preserve">Figure </w:t>
      </w:r>
      <w:r w:rsidR="0043151A">
        <w:t>12</w:t>
      </w:r>
      <w:r w:rsidR="009314E7" w:rsidRPr="00DE7304">
        <w:fldChar w:fldCharType="end"/>
      </w:r>
      <w:r w:rsidRPr="00DE7304">
        <w:t>.</w:t>
      </w:r>
    </w:p>
    <w:p w14:paraId="68C9B08E" w14:textId="083F5A93" w:rsidR="003E6DBB" w:rsidRPr="00DE7304" w:rsidRDefault="003E6DBB" w:rsidP="003E6DBB">
      <w:pPr>
        <w:pStyle w:val="TableFigureHeading"/>
      </w:pPr>
      <w:bookmarkStart w:id="67" w:name="_Ref106622260"/>
      <w:r w:rsidRPr="00DE7304">
        <w:lastRenderedPageBreak/>
        <w:t xml:space="preserve">Figure </w:t>
      </w:r>
      <w:fldSimple w:instr=" SEQ Figure \* ARABIC ">
        <w:r w:rsidR="0043151A">
          <w:rPr>
            <w:noProof/>
          </w:rPr>
          <w:t>12</w:t>
        </w:r>
      </w:fldSimple>
      <w:bookmarkEnd w:id="67"/>
      <w:r w:rsidRPr="00DE7304">
        <w:t>: Modelled DFS and OS for patients treated with adjuvant ATZ and BSC (</w:t>
      </w:r>
      <w:r w:rsidR="009D0598" w:rsidRPr="00DE7304">
        <w:t xml:space="preserve">Stage II-IIIA, </w:t>
      </w:r>
      <w:r w:rsidRPr="00DE7304">
        <w:t>PD-L1  50%)</w:t>
      </w:r>
    </w:p>
    <w:p w14:paraId="62E436F5" w14:textId="082BA682" w:rsidR="003E6DBB" w:rsidRPr="0058641B" w:rsidRDefault="003E6DBB" w:rsidP="003E6DBB">
      <w:pPr>
        <w:pStyle w:val="3-BodyText"/>
        <w:numPr>
          <w:ilvl w:val="0"/>
          <w:numId w:val="0"/>
        </w:numPr>
      </w:pPr>
      <w:r w:rsidRPr="0058641B">
        <w:rPr>
          <w:noProof/>
          <w:color w:val="1F497D"/>
          <w:sz w:val="22"/>
          <w:szCs w:val="22"/>
          <w:lang w:eastAsia="zh-CN"/>
        </w:rPr>
        <w:drawing>
          <wp:inline distT="0" distB="0" distL="0" distR="0" wp14:anchorId="66469D0B" wp14:editId="2C2364B0">
            <wp:extent cx="5732145" cy="284797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32145" cy="2847975"/>
                    </a:xfrm>
                    <a:prstGeom prst="rect">
                      <a:avLst/>
                    </a:prstGeom>
                    <a:noFill/>
                    <a:ln>
                      <a:noFill/>
                    </a:ln>
                  </pic:spPr>
                </pic:pic>
              </a:graphicData>
            </a:graphic>
          </wp:inline>
        </w:drawing>
      </w:r>
    </w:p>
    <w:p w14:paraId="10E1D186" w14:textId="017DF6DE" w:rsidR="003E6DBB" w:rsidRPr="0058641B" w:rsidRDefault="003E6DBB" w:rsidP="003E6DBB">
      <w:pPr>
        <w:pStyle w:val="3-BodyText"/>
        <w:numPr>
          <w:ilvl w:val="0"/>
          <w:numId w:val="0"/>
        </w:numPr>
      </w:pPr>
    </w:p>
    <w:p w14:paraId="2872728E" w14:textId="268FB0F5" w:rsidR="00C37C68" w:rsidRPr="0058641B" w:rsidRDefault="00C37C68" w:rsidP="00C37C68">
      <w:pPr>
        <w:pStyle w:val="3-BodyText"/>
      </w:pPr>
      <w:r w:rsidRPr="0058641B">
        <w:t xml:space="preserve">Results of the scenario analysis demonstrated that adjuvant treatment with ATZ would be more cost-effective in patients with Stage II-IIIA, PD-L1 ≥ 50% NSCLC, with an ICER of </w:t>
      </w:r>
      <w:r w:rsidR="00894A92" w:rsidRPr="00894A92">
        <w:t>$5,000 to &lt; $15,000</w:t>
      </w:r>
      <w:r w:rsidRPr="0058641B">
        <w:t xml:space="preserve">/QALY gained, compared with </w:t>
      </w:r>
      <w:r w:rsidR="00894A92" w:rsidRPr="00894A92">
        <w:t>$15,000 to &lt; $25,000</w:t>
      </w:r>
      <w:r w:rsidRPr="0058641B">
        <w:t xml:space="preserve">/QALY gained in the base case analysis of patients with a lower level of PD-L1 expression (i.e. </w:t>
      </w:r>
      <w:r w:rsidRPr="0058641B">
        <w:rPr>
          <w:rFonts w:cs="Calibri"/>
        </w:rPr>
        <w:t>≥</w:t>
      </w:r>
      <w:r w:rsidRPr="0058641B">
        <w:t xml:space="preserve"> 1%). This was consistent with the clinical evidence which showed more favourable treatment effects of ATZ in the PD-L1 </w:t>
      </w:r>
      <w:r w:rsidRPr="0058641B">
        <w:rPr>
          <w:rFonts w:cs="Calibri"/>
        </w:rPr>
        <w:t>≥</w:t>
      </w:r>
      <w:r w:rsidRPr="0058641B">
        <w:t xml:space="preserve"> 50% subgroup than in the PD-L1 </w:t>
      </w:r>
      <w:r w:rsidRPr="0058641B">
        <w:rPr>
          <w:rFonts w:cs="Calibri"/>
        </w:rPr>
        <w:t>≥</w:t>
      </w:r>
      <w:r w:rsidRPr="0058641B">
        <w:t xml:space="preserve"> 1% subgroup in terms of DFS. </w:t>
      </w:r>
    </w:p>
    <w:p w14:paraId="550F147E" w14:textId="1FA8C2FD" w:rsidR="008564E9" w:rsidRPr="005739DB" w:rsidRDefault="00C37C68" w:rsidP="0096331D">
      <w:pPr>
        <w:pStyle w:val="3-BodyText"/>
        <w:rPr>
          <w:i/>
          <w:iCs/>
        </w:rPr>
      </w:pPr>
      <w:bookmarkStart w:id="68" w:name="_Ref109216394"/>
      <w:r w:rsidRPr="0058641B">
        <w:t xml:space="preserve">Results showed that the main uncertainties regarding the variables/assumptions in the scenario analysis model, </w:t>
      </w:r>
      <w:r w:rsidR="001264AD" w:rsidRPr="0058641B">
        <w:t xml:space="preserve">to </w:t>
      </w:r>
      <w:r w:rsidRPr="0058641B">
        <w:t xml:space="preserve">which </w:t>
      </w:r>
      <w:r w:rsidR="001264AD" w:rsidRPr="0058641B">
        <w:t>the model was sensitive</w:t>
      </w:r>
      <w:r w:rsidRPr="0058641B">
        <w:t>, included: time horizon, use of pembrolizumab combination therapy in the 1L DR setting following BSC, inclusion/exclusion of adjustment for sustained DFS and the extrapolation time point</w:t>
      </w:r>
      <w:r w:rsidR="005739DB">
        <w:t xml:space="preserve"> (</w:t>
      </w:r>
      <w:r w:rsidR="00465A5B">
        <w:fldChar w:fldCharType="begin"/>
      </w:r>
      <w:r w:rsidR="00465A5B">
        <w:instrText xml:space="preserve"> REF _Ref109650961 \h </w:instrText>
      </w:r>
      <w:r w:rsidR="00465A5B">
        <w:fldChar w:fldCharType="separate"/>
      </w:r>
      <w:r w:rsidR="0043151A" w:rsidRPr="0058641B">
        <w:t xml:space="preserve">Table </w:t>
      </w:r>
      <w:r w:rsidR="0043151A">
        <w:rPr>
          <w:noProof/>
        </w:rPr>
        <w:t>18</w:t>
      </w:r>
      <w:r w:rsidR="00465A5B">
        <w:fldChar w:fldCharType="end"/>
      </w:r>
      <w:r w:rsidR="005739DB">
        <w:t>)</w:t>
      </w:r>
      <w:r w:rsidRPr="0058641B">
        <w:t xml:space="preserve">.  </w:t>
      </w:r>
      <w:r w:rsidR="002D3ECA" w:rsidRPr="00DE7304">
        <w:t xml:space="preserve">The ESC noted the sensitivity analyses for this population resulted in similar changes in the ICER to those observed in sensitivity analyses for the PD-L1 </w:t>
      </w:r>
      <w:r w:rsidR="002D3ECA" w:rsidRPr="00DE7304">
        <w:rPr>
          <w:rFonts w:cstheme="minorHAnsi"/>
        </w:rPr>
        <w:t>≥</w:t>
      </w:r>
      <w:r w:rsidR="002D3ECA" w:rsidRPr="00DE7304">
        <w:t xml:space="preserve"> 1% population. </w:t>
      </w:r>
      <w:bookmarkEnd w:id="68"/>
    </w:p>
    <w:p w14:paraId="76AC345A" w14:textId="56223D3F" w:rsidR="008B35B4" w:rsidRPr="00AD7959" w:rsidRDefault="008B35B4" w:rsidP="004B69BC">
      <w:pPr>
        <w:pStyle w:val="TableFigureHeading"/>
        <w:keepLines/>
        <w:rPr>
          <w:i/>
        </w:rPr>
      </w:pPr>
      <w:bookmarkStart w:id="69" w:name="_Ref109650961"/>
      <w:r w:rsidRPr="0058641B">
        <w:lastRenderedPageBreak/>
        <w:t xml:space="preserve">Table </w:t>
      </w:r>
      <w:fldSimple w:instr=" SEQ Table \* ARABIC ">
        <w:r w:rsidR="0043151A">
          <w:rPr>
            <w:noProof/>
          </w:rPr>
          <w:t>18</w:t>
        </w:r>
      </w:fldSimple>
      <w:bookmarkEnd w:id="69"/>
      <w:r>
        <w:rPr>
          <w:noProof/>
        </w:rPr>
        <w:t xml:space="preserve">: </w:t>
      </w:r>
      <w:r w:rsidRPr="009D5359">
        <w:rPr>
          <w:iCs/>
        </w:rPr>
        <w:t>Results of sensitivity analyses (Stage II-IIIA, PD-L1 ≥ 50% NSCLC)</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08"/>
        <w:gridCol w:w="2264"/>
        <w:gridCol w:w="2271"/>
        <w:gridCol w:w="1065"/>
        <w:gridCol w:w="990"/>
        <w:gridCol w:w="1130"/>
        <w:gridCol w:w="881"/>
      </w:tblGrid>
      <w:tr w:rsidR="008B35B4" w:rsidRPr="00EF1FED" w14:paraId="6F2D075A" w14:textId="77777777" w:rsidTr="00FB2888">
        <w:trPr>
          <w:cantSplit/>
          <w:tblHeader/>
        </w:trPr>
        <w:tc>
          <w:tcPr>
            <w:tcW w:w="1596" w:type="pct"/>
            <w:gridSpan w:val="2"/>
            <w:tcBorders>
              <w:bottom w:val="single" w:sz="4" w:space="0" w:color="auto"/>
            </w:tcBorders>
          </w:tcPr>
          <w:p w14:paraId="47615429" w14:textId="77777777" w:rsidR="008B35B4" w:rsidRPr="00E56F82" w:rsidRDefault="008B35B4" w:rsidP="004B69BC">
            <w:pPr>
              <w:pStyle w:val="TableText0"/>
              <w:keepLines/>
              <w:rPr>
                <w:b/>
                <w:iCs/>
              </w:rPr>
            </w:pPr>
            <w:r w:rsidRPr="00E56F82">
              <w:rPr>
                <w:b/>
                <w:iCs/>
              </w:rPr>
              <w:t>Sensitivity analyses</w:t>
            </w:r>
          </w:p>
        </w:tc>
        <w:tc>
          <w:tcPr>
            <w:tcW w:w="1220" w:type="pct"/>
          </w:tcPr>
          <w:p w14:paraId="7BE67F49" w14:textId="77777777" w:rsidR="008B35B4" w:rsidRPr="00E56F82" w:rsidRDefault="008B35B4" w:rsidP="004B69BC">
            <w:pPr>
              <w:pStyle w:val="TableText0"/>
              <w:keepLines/>
              <w:jc w:val="center"/>
              <w:rPr>
                <w:b/>
                <w:iCs/>
              </w:rPr>
            </w:pPr>
            <w:r w:rsidRPr="00E56F82">
              <w:rPr>
                <w:b/>
                <w:iCs/>
              </w:rPr>
              <w:t>Base case</w:t>
            </w:r>
          </w:p>
        </w:tc>
        <w:tc>
          <w:tcPr>
            <w:tcW w:w="572" w:type="pct"/>
          </w:tcPr>
          <w:p w14:paraId="54ADFDEB" w14:textId="77777777" w:rsidR="008B35B4" w:rsidRPr="00E56F82" w:rsidRDefault="008B35B4" w:rsidP="004B69BC">
            <w:pPr>
              <w:pStyle w:val="TableText0"/>
              <w:keepLines/>
              <w:jc w:val="center"/>
              <w:rPr>
                <w:b/>
                <w:iCs/>
              </w:rPr>
            </w:pPr>
            <w:r w:rsidRPr="00E56F82">
              <w:rPr>
                <w:b/>
                <w:iCs/>
              </w:rPr>
              <w:t>Incr costs</w:t>
            </w:r>
          </w:p>
        </w:tc>
        <w:tc>
          <w:tcPr>
            <w:tcW w:w="532" w:type="pct"/>
          </w:tcPr>
          <w:p w14:paraId="31F2F784" w14:textId="77777777" w:rsidR="008B35B4" w:rsidRPr="00E56F82" w:rsidRDefault="008B35B4" w:rsidP="004B69BC">
            <w:pPr>
              <w:pStyle w:val="TableText0"/>
              <w:keepLines/>
              <w:jc w:val="center"/>
              <w:rPr>
                <w:b/>
                <w:iCs/>
              </w:rPr>
            </w:pPr>
            <w:r w:rsidRPr="00E56F82">
              <w:rPr>
                <w:b/>
                <w:iCs/>
              </w:rPr>
              <w:t>Incr QALYs</w:t>
            </w:r>
          </w:p>
        </w:tc>
        <w:tc>
          <w:tcPr>
            <w:tcW w:w="607" w:type="pct"/>
          </w:tcPr>
          <w:p w14:paraId="510E3FF2" w14:textId="77777777" w:rsidR="008B35B4" w:rsidRPr="00E56F82" w:rsidRDefault="008B35B4" w:rsidP="004B69BC">
            <w:pPr>
              <w:pStyle w:val="TableText0"/>
              <w:keepLines/>
              <w:jc w:val="center"/>
              <w:rPr>
                <w:b/>
                <w:iCs/>
              </w:rPr>
            </w:pPr>
            <w:r w:rsidRPr="00E56F82">
              <w:rPr>
                <w:b/>
                <w:iCs/>
              </w:rPr>
              <w:t>Incr cost per QALY</w:t>
            </w:r>
          </w:p>
        </w:tc>
        <w:tc>
          <w:tcPr>
            <w:tcW w:w="473" w:type="pct"/>
          </w:tcPr>
          <w:p w14:paraId="2AB7FB36" w14:textId="77777777" w:rsidR="008B35B4" w:rsidRPr="00E56F82" w:rsidRDefault="008B35B4" w:rsidP="004B69BC">
            <w:pPr>
              <w:pStyle w:val="TableText0"/>
              <w:keepLines/>
              <w:jc w:val="center"/>
              <w:rPr>
                <w:b/>
                <w:iCs/>
              </w:rPr>
            </w:pPr>
            <w:r w:rsidRPr="00E56F82">
              <w:rPr>
                <w:b/>
                <w:iCs/>
              </w:rPr>
              <w:t>% change</w:t>
            </w:r>
          </w:p>
        </w:tc>
      </w:tr>
      <w:tr w:rsidR="008B35B4" w:rsidRPr="0071608E" w14:paraId="6C0AEBBE" w14:textId="77777777" w:rsidTr="00FB2888">
        <w:trPr>
          <w:cantSplit/>
        </w:trPr>
        <w:tc>
          <w:tcPr>
            <w:tcW w:w="1596" w:type="pct"/>
            <w:gridSpan w:val="2"/>
          </w:tcPr>
          <w:p w14:paraId="2D800580" w14:textId="77777777" w:rsidR="008B35B4" w:rsidRPr="00E56F82" w:rsidRDefault="008B35B4" w:rsidP="004B69BC">
            <w:pPr>
              <w:pStyle w:val="TableText0"/>
              <w:keepLines/>
              <w:rPr>
                <w:b/>
                <w:iCs/>
              </w:rPr>
            </w:pPr>
            <w:r w:rsidRPr="00E56F82">
              <w:rPr>
                <w:b/>
                <w:iCs/>
              </w:rPr>
              <w:t>Base case</w:t>
            </w:r>
          </w:p>
        </w:tc>
        <w:tc>
          <w:tcPr>
            <w:tcW w:w="1220" w:type="pct"/>
          </w:tcPr>
          <w:p w14:paraId="235FD871" w14:textId="77777777" w:rsidR="008B35B4" w:rsidRPr="00E56F82" w:rsidRDefault="008B35B4" w:rsidP="004B69BC">
            <w:pPr>
              <w:pStyle w:val="TableText0"/>
              <w:keepLines/>
              <w:jc w:val="center"/>
              <w:rPr>
                <w:b/>
                <w:iCs/>
              </w:rPr>
            </w:pPr>
            <w:r w:rsidRPr="00E56F82">
              <w:rPr>
                <w:b/>
                <w:iCs/>
              </w:rPr>
              <w:t>–</w:t>
            </w:r>
          </w:p>
        </w:tc>
        <w:tc>
          <w:tcPr>
            <w:tcW w:w="572" w:type="pct"/>
          </w:tcPr>
          <w:p w14:paraId="2EFF31D5" w14:textId="0E9C3811" w:rsidR="008B35B4" w:rsidRPr="00E56F82" w:rsidRDefault="008B35B4" w:rsidP="004B69BC">
            <w:pPr>
              <w:pStyle w:val="TableText0"/>
              <w:keepLines/>
              <w:jc w:val="center"/>
              <w:rPr>
                <w:b/>
                <w:iCs/>
              </w:rPr>
            </w:pPr>
            <w:r w:rsidRPr="00E56F82">
              <w:rPr>
                <w:b/>
                <w:iCs/>
              </w:rPr>
              <w:t>$</w:t>
            </w:r>
            <w:r w:rsidR="00A8021D" w:rsidRPr="00A8021D">
              <w:rPr>
                <w:b/>
                <w:iCs/>
                <w:color w:val="000000"/>
                <w:spacing w:val="41"/>
                <w:shd w:val="solid" w:color="000000" w:fill="000000"/>
                <w:fitText w:val="220" w:id="-1435765246"/>
                <w14:textFill>
                  <w14:solidFill>
                    <w14:srgbClr w14:val="000000">
                      <w14:alpha w14:val="100000"/>
                    </w14:srgbClr>
                  </w14:solidFill>
                </w14:textFill>
              </w:rPr>
              <w:t>||</w:t>
            </w:r>
            <w:r w:rsidR="00A8021D" w:rsidRPr="00A8021D">
              <w:rPr>
                <w:b/>
                <w:iCs/>
                <w:color w:val="000000"/>
                <w:spacing w:val="1"/>
                <w:shd w:val="solid" w:color="000000" w:fill="000000"/>
                <w:fitText w:val="220" w:id="-1435765246"/>
                <w14:textFill>
                  <w14:solidFill>
                    <w14:srgbClr w14:val="000000">
                      <w14:alpha w14:val="100000"/>
                    </w14:srgbClr>
                  </w14:solidFill>
                </w14:textFill>
              </w:rPr>
              <w:t>|</w:t>
            </w:r>
          </w:p>
        </w:tc>
        <w:tc>
          <w:tcPr>
            <w:tcW w:w="532" w:type="pct"/>
          </w:tcPr>
          <w:p w14:paraId="0F27767F" w14:textId="77777777" w:rsidR="008B35B4" w:rsidRPr="00E56F82" w:rsidRDefault="008B35B4" w:rsidP="004B69BC">
            <w:pPr>
              <w:pStyle w:val="TableText0"/>
              <w:keepLines/>
              <w:jc w:val="center"/>
              <w:rPr>
                <w:b/>
                <w:iCs/>
              </w:rPr>
            </w:pPr>
            <w:r w:rsidRPr="00E56F82">
              <w:rPr>
                <w:b/>
                <w:iCs/>
              </w:rPr>
              <w:t>1.818</w:t>
            </w:r>
          </w:p>
        </w:tc>
        <w:tc>
          <w:tcPr>
            <w:tcW w:w="607" w:type="pct"/>
          </w:tcPr>
          <w:p w14:paraId="77F9AFDD" w14:textId="3143AA26" w:rsidR="008B35B4" w:rsidRPr="005F71E8" w:rsidRDefault="008B35B4" w:rsidP="004B69BC">
            <w:pPr>
              <w:pStyle w:val="TableText0"/>
              <w:keepLines/>
              <w:jc w:val="center"/>
              <w:rPr>
                <w:b/>
                <w:iCs/>
                <w:vertAlign w:val="superscript"/>
              </w:rPr>
            </w:pPr>
            <w:r w:rsidRPr="00E56F82">
              <w:rPr>
                <w:b/>
                <w:iCs/>
              </w:rPr>
              <w:t>$</w:t>
            </w:r>
            <w:r w:rsidR="00A8021D" w:rsidRPr="00A8021D">
              <w:rPr>
                <w:b/>
                <w:iCs/>
                <w:color w:val="000000"/>
                <w:spacing w:val="36"/>
                <w:shd w:val="solid" w:color="000000" w:fill="000000"/>
                <w:fitText w:val="210" w:id="-1435765245"/>
                <w14:textFill>
                  <w14:solidFill>
                    <w14:srgbClr w14:val="000000">
                      <w14:alpha w14:val="100000"/>
                    </w14:srgbClr>
                  </w14:solidFill>
                </w14:textFill>
              </w:rPr>
              <w:t>||</w:t>
            </w:r>
            <w:r w:rsidR="00A8021D" w:rsidRPr="00A8021D">
              <w:rPr>
                <w:b/>
                <w:iCs/>
                <w:color w:val="000000"/>
                <w:spacing w:val="1"/>
                <w:shd w:val="solid" w:color="000000" w:fill="000000"/>
                <w:fitText w:val="210" w:id="-1435765245"/>
                <w14:textFill>
                  <w14:solidFill>
                    <w14:srgbClr w14:val="000000">
                      <w14:alpha w14:val="100000"/>
                    </w14:srgbClr>
                  </w14:solidFill>
                </w14:textFill>
              </w:rPr>
              <w:t>|</w:t>
            </w:r>
            <w:r w:rsidR="005F71E8" w:rsidRPr="005F71E8">
              <w:rPr>
                <w:bCs w:val="0"/>
                <w:iCs/>
                <w:vertAlign w:val="superscript"/>
              </w:rPr>
              <w:t>1</w:t>
            </w:r>
          </w:p>
        </w:tc>
        <w:tc>
          <w:tcPr>
            <w:tcW w:w="473" w:type="pct"/>
          </w:tcPr>
          <w:p w14:paraId="40DCA74C" w14:textId="77777777" w:rsidR="008B35B4" w:rsidRPr="00E56F82" w:rsidRDefault="008B35B4" w:rsidP="004B69BC">
            <w:pPr>
              <w:pStyle w:val="TableText0"/>
              <w:keepLines/>
              <w:jc w:val="center"/>
              <w:rPr>
                <w:b/>
                <w:iCs/>
              </w:rPr>
            </w:pPr>
            <w:r w:rsidRPr="00E56F82">
              <w:rPr>
                <w:b/>
                <w:iCs/>
              </w:rPr>
              <w:t>–</w:t>
            </w:r>
          </w:p>
        </w:tc>
      </w:tr>
      <w:tr w:rsidR="008B35B4" w:rsidRPr="008E5734" w14:paraId="408A3F12" w14:textId="77777777" w:rsidTr="00FB2888">
        <w:trPr>
          <w:cantSplit/>
        </w:trPr>
        <w:tc>
          <w:tcPr>
            <w:tcW w:w="380" w:type="pct"/>
            <w:tcBorders>
              <w:right w:val="nil"/>
            </w:tcBorders>
          </w:tcPr>
          <w:p w14:paraId="7A02CFC1" w14:textId="77777777" w:rsidR="008B35B4" w:rsidRPr="00E00AA6" w:rsidRDefault="008B35B4" w:rsidP="004B69BC">
            <w:pPr>
              <w:pStyle w:val="TableText0"/>
              <w:keepLines/>
              <w:rPr>
                <w:iCs/>
              </w:rPr>
            </w:pPr>
            <w:r w:rsidRPr="00E00AA6">
              <w:rPr>
                <w:iCs/>
              </w:rPr>
              <w:t>SA.1</w:t>
            </w:r>
          </w:p>
        </w:tc>
        <w:tc>
          <w:tcPr>
            <w:tcW w:w="1216" w:type="pct"/>
            <w:tcBorders>
              <w:left w:val="nil"/>
            </w:tcBorders>
            <w:vAlign w:val="center"/>
          </w:tcPr>
          <w:p w14:paraId="58E92981" w14:textId="77777777" w:rsidR="008B35B4" w:rsidRPr="00E00AA6" w:rsidRDefault="008B35B4" w:rsidP="004B69BC">
            <w:pPr>
              <w:pStyle w:val="TableText0"/>
              <w:keepLines/>
              <w:rPr>
                <w:iCs/>
              </w:rPr>
            </w:pPr>
            <w:r w:rsidRPr="00E00AA6">
              <w:rPr>
                <w:iCs/>
              </w:rPr>
              <w:t>15-year time horizon</w:t>
            </w:r>
          </w:p>
        </w:tc>
        <w:tc>
          <w:tcPr>
            <w:tcW w:w="1220" w:type="pct"/>
            <w:vMerge w:val="restart"/>
            <w:vAlign w:val="center"/>
          </w:tcPr>
          <w:p w14:paraId="03EA2697" w14:textId="77777777" w:rsidR="008B35B4" w:rsidRPr="00E00AA6" w:rsidRDefault="008B35B4" w:rsidP="004B69BC">
            <w:pPr>
              <w:pStyle w:val="TableText0"/>
              <w:keepLines/>
              <w:rPr>
                <w:iCs/>
              </w:rPr>
            </w:pPr>
            <w:r w:rsidRPr="00E00AA6">
              <w:rPr>
                <w:iCs/>
              </w:rPr>
              <w:t>25 years</w:t>
            </w:r>
          </w:p>
        </w:tc>
        <w:tc>
          <w:tcPr>
            <w:tcW w:w="572" w:type="pct"/>
          </w:tcPr>
          <w:p w14:paraId="48D71179" w14:textId="0CF9941A" w:rsidR="008B35B4" w:rsidRPr="00E00AA6" w:rsidRDefault="008B35B4" w:rsidP="004B69BC">
            <w:pPr>
              <w:pStyle w:val="TableText0"/>
              <w:keepLines/>
              <w:jc w:val="center"/>
              <w:rPr>
                <w:iCs/>
              </w:rPr>
            </w:pPr>
            <w:r w:rsidRPr="00E00AA6">
              <w:rPr>
                <w:iCs/>
              </w:rPr>
              <w:t>$</w:t>
            </w:r>
            <w:r w:rsidR="00A8021D" w:rsidRPr="00A8021D">
              <w:rPr>
                <w:iCs/>
                <w:color w:val="000000"/>
                <w:spacing w:val="94"/>
                <w:shd w:val="solid" w:color="000000" w:fill="000000"/>
                <w:fitText w:val="180" w:id="-1435765244"/>
                <w14:textFill>
                  <w14:solidFill>
                    <w14:srgbClr w14:val="000000">
                      <w14:alpha w14:val="100000"/>
                    </w14:srgbClr>
                  </w14:solidFill>
                </w14:textFill>
              </w:rPr>
              <w:t>|</w:t>
            </w:r>
            <w:r w:rsidR="00A8021D" w:rsidRPr="00A8021D">
              <w:rPr>
                <w:iCs/>
                <w:color w:val="000000"/>
                <w:spacing w:val="1"/>
                <w:shd w:val="solid" w:color="000000" w:fill="000000"/>
                <w:fitText w:val="180" w:id="-1435765244"/>
                <w14:textFill>
                  <w14:solidFill>
                    <w14:srgbClr w14:val="000000">
                      <w14:alpha w14:val="100000"/>
                    </w14:srgbClr>
                  </w14:solidFill>
                </w14:textFill>
              </w:rPr>
              <w:t>|</w:t>
            </w:r>
          </w:p>
        </w:tc>
        <w:tc>
          <w:tcPr>
            <w:tcW w:w="532" w:type="pct"/>
          </w:tcPr>
          <w:p w14:paraId="7DC625A5" w14:textId="77777777" w:rsidR="008B35B4" w:rsidRPr="00E00AA6" w:rsidRDefault="008B35B4" w:rsidP="004B69BC">
            <w:pPr>
              <w:pStyle w:val="TableText0"/>
              <w:keepLines/>
              <w:jc w:val="center"/>
              <w:rPr>
                <w:iCs/>
              </w:rPr>
            </w:pPr>
            <w:r w:rsidRPr="00E00AA6">
              <w:rPr>
                <w:iCs/>
              </w:rPr>
              <w:t>1.340</w:t>
            </w:r>
          </w:p>
        </w:tc>
        <w:tc>
          <w:tcPr>
            <w:tcW w:w="607" w:type="pct"/>
          </w:tcPr>
          <w:p w14:paraId="359F3137" w14:textId="16B3D18A" w:rsidR="008B35B4" w:rsidRPr="00E00AA6" w:rsidRDefault="008B35B4" w:rsidP="004B69BC">
            <w:pPr>
              <w:pStyle w:val="TableText0"/>
              <w:keepLines/>
              <w:jc w:val="center"/>
              <w:rPr>
                <w:iCs/>
              </w:rPr>
            </w:pPr>
            <w:r w:rsidRPr="00E00AA6">
              <w:rPr>
                <w:iCs/>
              </w:rPr>
              <w:t>$</w:t>
            </w:r>
            <w:r w:rsidR="00A8021D" w:rsidRPr="00A8021D">
              <w:rPr>
                <w:iCs/>
                <w:color w:val="000000"/>
                <w:spacing w:val="74"/>
                <w:shd w:val="solid" w:color="000000" w:fill="000000"/>
                <w:fitText w:val="160" w:id="-1435765243"/>
                <w14:textFill>
                  <w14:solidFill>
                    <w14:srgbClr w14:val="000000">
                      <w14:alpha w14:val="100000"/>
                    </w14:srgbClr>
                  </w14:solidFill>
                </w14:textFill>
              </w:rPr>
              <w:t>|</w:t>
            </w:r>
            <w:r w:rsidR="00A8021D" w:rsidRPr="00A8021D">
              <w:rPr>
                <w:iCs/>
                <w:color w:val="000000"/>
                <w:spacing w:val="1"/>
                <w:shd w:val="solid" w:color="000000" w:fill="000000"/>
                <w:fitText w:val="160" w:id="-1435765243"/>
                <w14:textFill>
                  <w14:solidFill>
                    <w14:srgbClr w14:val="000000">
                      <w14:alpha w14:val="100000"/>
                    </w14:srgbClr>
                  </w14:solidFill>
                </w14:textFill>
              </w:rPr>
              <w:t>|</w:t>
            </w:r>
            <w:r w:rsidR="005F71E8">
              <w:rPr>
                <w:bCs w:val="0"/>
                <w:iCs/>
                <w:vertAlign w:val="superscript"/>
              </w:rPr>
              <w:t>2</w:t>
            </w:r>
          </w:p>
        </w:tc>
        <w:tc>
          <w:tcPr>
            <w:tcW w:w="473" w:type="pct"/>
          </w:tcPr>
          <w:p w14:paraId="372FD1A4" w14:textId="77777777" w:rsidR="008B35B4" w:rsidRPr="00E00AA6" w:rsidRDefault="008B35B4" w:rsidP="004B69BC">
            <w:pPr>
              <w:pStyle w:val="TableText0"/>
              <w:keepLines/>
              <w:jc w:val="center"/>
              <w:rPr>
                <w:iCs/>
              </w:rPr>
            </w:pPr>
            <w:r w:rsidRPr="00E00AA6">
              <w:rPr>
                <w:iCs/>
              </w:rPr>
              <w:t>32%</w:t>
            </w:r>
          </w:p>
        </w:tc>
      </w:tr>
      <w:tr w:rsidR="008B35B4" w:rsidRPr="008E5734" w14:paraId="6FB81CE0" w14:textId="77777777" w:rsidTr="00FB2888">
        <w:trPr>
          <w:cantSplit/>
        </w:trPr>
        <w:tc>
          <w:tcPr>
            <w:tcW w:w="380" w:type="pct"/>
            <w:tcBorders>
              <w:right w:val="nil"/>
            </w:tcBorders>
          </w:tcPr>
          <w:p w14:paraId="12A25BC0" w14:textId="61D62CD8" w:rsidR="008B35B4" w:rsidRPr="00E00AA6" w:rsidRDefault="008B35B4" w:rsidP="004B69BC">
            <w:pPr>
              <w:pStyle w:val="TableText0"/>
              <w:keepLines/>
              <w:rPr>
                <w:iCs/>
                <w:vertAlign w:val="superscript"/>
              </w:rPr>
            </w:pPr>
            <w:r w:rsidRPr="00E00AA6">
              <w:rPr>
                <w:iCs/>
              </w:rPr>
              <w:t>SA.2</w:t>
            </w:r>
          </w:p>
        </w:tc>
        <w:tc>
          <w:tcPr>
            <w:tcW w:w="1216" w:type="pct"/>
            <w:tcBorders>
              <w:top w:val="single" w:sz="4" w:space="0" w:color="auto"/>
              <w:left w:val="nil"/>
              <w:bottom w:val="single" w:sz="4" w:space="0" w:color="auto"/>
            </w:tcBorders>
            <w:vAlign w:val="center"/>
          </w:tcPr>
          <w:p w14:paraId="79A68FCA" w14:textId="77777777" w:rsidR="008B35B4" w:rsidRPr="00E00AA6" w:rsidRDefault="008B35B4" w:rsidP="004B69BC">
            <w:pPr>
              <w:pStyle w:val="TableText0"/>
              <w:keepLines/>
              <w:rPr>
                <w:iCs/>
              </w:rPr>
            </w:pPr>
            <w:r w:rsidRPr="00E00AA6">
              <w:rPr>
                <w:iCs/>
              </w:rPr>
              <w:t>20-year time horizon</w:t>
            </w:r>
          </w:p>
        </w:tc>
        <w:tc>
          <w:tcPr>
            <w:tcW w:w="1220" w:type="pct"/>
            <w:vMerge/>
            <w:tcBorders>
              <w:bottom w:val="single" w:sz="4" w:space="0" w:color="auto"/>
            </w:tcBorders>
          </w:tcPr>
          <w:p w14:paraId="05E73DAF" w14:textId="77777777" w:rsidR="008B35B4" w:rsidRPr="00E00AA6" w:rsidRDefault="008B35B4" w:rsidP="004B69BC">
            <w:pPr>
              <w:pStyle w:val="TableText0"/>
              <w:keepLines/>
              <w:rPr>
                <w:iCs/>
              </w:rPr>
            </w:pPr>
          </w:p>
        </w:tc>
        <w:tc>
          <w:tcPr>
            <w:tcW w:w="572" w:type="pct"/>
            <w:tcBorders>
              <w:top w:val="single" w:sz="4" w:space="0" w:color="auto"/>
              <w:bottom w:val="single" w:sz="4" w:space="0" w:color="auto"/>
              <w:right w:val="single" w:sz="4" w:space="0" w:color="auto"/>
            </w:tcBorders>
          </w:tcPr>
          <w:p w14:paraId="13361B73" w14:textId="046D9E12" w:rsidR="008B35B4" w:rsidRPr="00E00AA6" w:rsidRDefault="008B35B4" w:rsidP="004B69BC">
            <w:pPr>
              <w:pStyle w:val="TableText0"/>
              <w:keepLines/>
              <w:jc w:val="center"/>
              <w:rPr>
                <w:iCs/>
              </w:rPr>
            </w:pPr>
            <w:r w:rsidRPr="00E00AA6">
              <w:rPr>
                <w:iCs/>
              </w:rPr>
              <w:t>$</w:t>
            </w:r>
            <w:r w:rsidR="00A8021D" w:rsidRPr="00A8021D">
              <w:rPr>
                <w:iCs/>
                <w:color w:val="000000"/>
                <w:spacing w:val="94"/>
                <w:shd w:val="solid" w:color="000000" w:fill="000000"/>
                <w:fitText w:val="180" w:id="-1435765242"/>
                <w14:textFill>
                  <w14:solidFill>
                    <w14:srgbClr w14:val="000000">
                      <w14:alpha w14:val="100000"/>
                    </w14:srgbClr>
                  </w14:solidFill>
                </w14:textFill>
              </w:rPr>
              <w:t>|</w:t>
            </w:r>
            <w:r w:rsidR="00A8021D" w:rsidRPr="00A8021D">
              <w:rPr>
                <w:iCs/>
                <w:color w:val="000000"/>
                <w:spacing w:val="1"/>
                <w:shd w:val="solid" w:color="000000" w:fill="000000"/>
                <w:fitText w:val="180" w:id="-1435765242"/>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1DC7B916" w14:textId="77777777" w:rsidR="008B35B4" w:rsidRPr="00E00AA6" w:rsidRDefault="008B35B4" w:rsidP="004B69BC">
            <w:pPr>
              <w:pStyle w:val="TableText0"/>
              <w:keepLines/>
              <w:jc w:val="center"/>
              <w:rPr>
                <w:iCs/>
              </w:rPr>
            </w:pPr>
            <w:r w:rsidRPr="00E00AA6">
              <w:rPr>
                <w:iCs/>
              </w:rPr>
              <w:t>1.629</w:t>
            </w:r>
          </w:p>
        </w:tc>
        <w:tc>
          <w:tcPr>
            <w:tcW w:w="607" w:type="pct"/>
            <w:tcBorders>
              <w:top w:val="single" w:sz="4" w:space="0" w:color="auto"/>
              <w:left w:val="single" w:sz="4" w:space="0" w:color="auto"/>
              <w:bottom w:val="single" w:sz="4" w:space="0" w:color="auto"/>
              <w:right w:val="single" w:sz="4" w:space="0" w:color="auto"/>
            </w:tcBorders>
          </w:tcPr>
          <w:p w14:paraId="12143E36" w14:textId="1E01EB8C" w:rsidR="008B35B4" w:rsidRPr="00E00AA6" w:rsidRDefault="008B35B4" w:rsidP="004B69BC">
            <w:pPr>
              <w:pStyle w:val="TableText0"/>
              <w:keepLines/>
              <w:jc w:val="center"/>
              <w:rPr>
                <w:iCs/>
              </w:rPr>
            </w:pPr>
            <w:r w:rsidRPr="00E00AA6">
              <w:rPr>
                <w:iCs/>
              </w:rPr>
              <w:t>$</w:t>
            </w:r>
            <w:r w:rsidR="00A8021D" w:rsidRPr="00A8021D">
              <w:rPr>
                <w:iCs/>
                <w:color w:val="000000"/>
                <w:spacing w:val="74"/>
                <w:shd w:val="solid" w:color="000000" w:fill="000000"/>
                <w:fitText w:val="160" w:id="-1435765241"/>
                <w14:textFill>
                  <w14:solidFill>
                    <w14:srgbClr w14:val="000000">
                      <w14:alpha w14:val="100000"/>
                    </w14:srgbClr>
                  </w14:solidFill>
                </w14:textFill>
              </w:rPr>
              <w:t>|</w:t>
            </w:r>
            <w:r w:rsidR="00A8021D" w:rsidRPr="00A8021D">
              <w:rPr>
                <w:iCs/>
                <w:color w:val="000000"/>
                <w:spacing w:val="1"/>
                <w:shd w:val="solid" w:color="000000" w:fill="000000"/>
                <w:fitText w:val="160" w:id="-1435765241"/>
                <w14:textFill>
                  <w14:solidFill>
                    <w14:srgbClr w14:val="000000">
                      <w14:alpha w14:val="100000"/>
                    </w14:srgbClr>
                  </w14:solidFill>
                </w14:textFill>
              </w:rPr>
              <w:t>|</w:t>
            </w:r>
            <w:r w:rsidR="005F71E8" w:rsidRPr="005F71E8">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2DA36074" w14:textId="77777777" w:rsidR="008B35B4" w:rsidRPr="00E00AA6" w:rsidRDefault="008B35B4" w:rsidP="004B69BC">
            <w:pPr>
              <w:pStyle w:val="TableText0"/>
              <w:keepLines/>
              <w:jc w:val="center"/>
              <w:rPr>
                <w:iCs/>
              </w:rPr>
            </w:pPr>
            <w:r w:rsidRPr="00E00AA6">
              <w:rPr>
                <w:iCs/>
              </w:rPr>
              <w:t>10%</w:t>
            </w:r>
          </w:p>
        </w:tc>
      </w:tr>
      <w:tr w:rsidR="008B35B4" w:rsidRPr="008E5734" w14:paraId="32E71C76" w14:textId="77777777" w:rsidTr="00FB2888">
        <w:trPr>
          <w:cantSplit/>
        </w:trPr>
        <w:tc>
          <w:tcPr>
            <w:tcW w:w="380" w:type="pct"/>
            <w:tcBorders>
              <w:right w:val="nil"/>
            </w:tcBorders>
          </w:tcPr>
          <w:p w14:paraId="40EE6427" w14:textId="70834337" w:rsidR="008B35B4" w:rsidRPr="00F941F6" w:rsidRDefault="008B35B4" w:rsidP="004B69BC">
            <w:pPr>
              <w:pStyle w:val="TableText0"/>
              <w:keepLines/>
              <w:rPr>
                <w:iCs/>
              </w:rPr>
            </w:pPr>
            <w:r w:rsidRPr="00F941F6">
              <w:rPr>
                <w:iCs/>
              </w:rPr>
              <w:t>SA.</w:t>
            </w:r>
            <w:r w:rsidR="009D5359" w:rsidRPr="00F941F6">
              <w:rPr>
                <w:iCs/>
              </w:rPr>
              <w:t>3</w:t>
            </w:r>
            <w:r w:rsidRPr="00F941F6">
              <w:rPr>
                <w:iCs/>
              </w:rPr>
              <w:t xml:space="preserve"> </w:t>
            </w:r>
          </w:p>
        </w:tc>
        <w:tc>
          <w:tcPr>
            <w:tcW w:w="1216" w:type="pct"/>
            <w:tcBorders>
              <w:left w:val="nil"/>
            </w:tcBorders>
            <w:vAlign w:val="center"/>
          </w:tcPr>
          <w:p w14:paraId="1484F587" w14:textId="77777777" w:rsidR="008B35B4" w:rsidRPr="008B35B4" w:rsidRDefault="008B35B4" w:rsidP="004B69BC">
            <w:pPr>
              <w:pStyle w:val="TableText0"/>
              <w:keepLines/>
              <w:rPr>
                <w:iCs/>
              </w:rPr>
            </w:pPr>
            <w:r w:rsidRPr="008B35B4">
              <w:rPr>
                <w:iCs/>
              </w:rPr>
              <w:t>70% use of pembrolizumab combination therapy in the 1L DR setting after BSC</w:t>
            </w:r>
          </w:p>
        </w:tc>
        <w:tc>
          <w:tcPr>
            <w:tcW w:w="1220" w:type="pct"/>
            <w:vMerge w:val="restart"/>
          </w:tcPr>
          <w:p w14:paraId="4BCBE8DA" w14:textId="77777777" w:rsidR="008B35B4" w:rsidRPr="008B35B4" w:rsidRDefault="008B35B4" w:rsidP="004B69BC">
            <w:pPr>
              <w:pStyle w:val="TableText0"/>
              <w:keepLines/>
              <w:rPr>
                <w:iCs/>
              </w:rPr>
            </w:pPr>
            <w:r w:rsidRPr="008B35B4">
              <w:rPr>
                <w:iCs/>
              </w:rPr>
              <w:t>80%</w:t>
            </w:r>
          </w:p>
        </w:tc>
        <w:tc>
          <w:tcPr>
            <w:tcW w:w="572" w:type="pct"/>
          </w:tcPr>
          <w:p w14:paraId="68B0BE7F" w14:textId="6BEF6322" w:rsidR="008B35B4" w:rsidRPr="008B35B4" w:rsidRDefault="008B35B4" w:rsidP="004B69BC">
            <w:pPr>
              <w:pStyle w:val="TableText0"/>
              <w:keepLines/>
              <w:jc w:val="center"/>
              <w:rPr>
                <w:iCs/>
              </w:rPr>
            </w:pPr>
            <w:r w:rsidRPr="008B35B4">
              <w:rPr>
                <w:iCs/>
              </w:rPr>
              <w:t>$</w:t>
            </w:r>
            <w:r w:rsidR="00A8021D" w:rsidRPr="00A8021D">
              <w:rPr>
                <w:iCs/>
                <w:color w:val="000000"/>
                <w:spacing w:val="94"/>
                <w:shd w:val="solid" w:color="000000" w:fill="000000"/>
                <w:fitText w:val="180" w:id="-1435765240"/>
                <w14:textFill>
                  <w14:solidFill>
                    <w14:srgbClr w14:val="000000">
                      <w14:alpha w14:val="100000"/>
                    </w14:srgbClr>
                  </w14:solidFill>
                </w14:textFill>
              </w:rPr>
              <w:t>|</w:t>
            </w:r>
            <w:r w:rsidR="00A8021D" w:rsidRPr="00A8021D">
              <w:rPr>
                <w:iCs/>
                <w:color w:val="000000"/>
                <w:spacing w:val="1"/>
                <w:shd w:val="solid" w:color="000000" w:fill="000000"/>
                <w:fitText w:val="180" w:id="-1435765240"/>
                <w14:textFill>
                  <w14:solidFill>
                    <w14:srgbClr w14:val="000000">
                      <w14:alpha w14:val="100000"/>
                    </w14:srgbClr>
                  </w14:solidFill>
                </w14:textFill>
              </w:rPr>
              <w:t>|</w:t>
            </w:r>
          </w:p>
        </w:tc>
        <w:tc>
          <w:tcPr>
            <w:tcW w:w="532" w:type="pct"/>
          </w:tcPr>
          <w:p w14:paraId="5F88FD07" w14:textId="77777777" w:rsidR="008B35B4" w:rsidRPr="008B35B4" w:rsidRDefault="008B35B4" w:rsidP="004B69BC">
            <w:pPr>
              <w:pStyle w:val="TableText0"/>
              <w:keepLines/>
              <w:jc w:val="center"/>
              <w:rPr>
                <w:iCs/>
              </w:rPr>
            </w:pPr>
            <w:r w:rsidRPr="008B35B4">
              <w:rPr>
                <w:iCs/>
              </w:rPr>
              <w:t>1.840</w:t>
            </w:r>
          </w:p>
        </w:tc>
        <w:tc>
          <w:tcPr>
            <w:tcW w:w="607" w:type="pct"/>
          </w:tcPr>
          <w:p w14:paraId="255FEF27" w14:textId="5477CFAA" w:rsidR="008B35B4" w:rsidRPr="008B35B4" w:rsidRDefault="008B35B4" w:rsidP="004B69BC">
            <w:pPr>
              <w:pStyle w:val="TableText0"/>
              <w:keepLines/>
              <w:jc w:val="center"/>
              <w:rPr>
                <w:iCs/>
              </w:rPr>
            </w:pPr>
            <w:r w:rsidRPr="008B35B4">
              <w:rPr>
                <w:iCs/>
              </w:rPr>
              <w:t>$</w:t>
            </w:r>
            <w:r w:rsidR="00A8021D" w:rsidRPr="00A8021D">
              <w:rPr>
                <w:iCs/>
                <w:color w:val="000000"/>
                <w:spacing w:val="74"/>
                <w:shd w:val="solid" w:color="000000" w:fill="000000"/>
                <w:fitText w:val="160" w:id="-1435765239"/>
                <w14:textFill>
                  <w14:solidFill>
                    <w14:srgbClr w14:val="000000">
                      <w14:alpha w14:val="100000"/>
                    </w14:srgbClr>
                  </w14:solidFill>
                </w14:textFill>
              </w:rPr>
              <w:t>|</w:t>
            </w:r>
            <w:r w:rsidR="00A8021D" w:rsidRPr="00A8021D">
              <w:rPr>
                <w:iCs/>
                <w:color w:val="000000"/>
                <w:spacing w:val="1"/>
                <w:shd w:val="solid" w:color="000000" w:fill="000000"/>
                <w:fitText w:val="160" w:id="-1435765239"/>
                <w14:textFill>
                  <w14:solidFill>
                    <w14:srgbClr w14:val="000000">
                      <w14:alpha w14:val="100000"/>
                    </w14:srgbClr>
                  </w14:solidFill>
                </w14:textFill>
              </w:rPr>
              <w:t>|</w:t>
            </w:r>
            <w:r w:rsidR="005F71E8" w:rsidRPr="005F71E8">
              <w:rPr>
                <w:bCs w:val="0"/>
                <w:iCs/>
                <w:vertAlign w:val="superscript"/>
              </w:rPr>
              <w:t>1</w:t>
            </w:r>
          </w:p>
        </w:tc>
        <w:tc>
          <w:tcPr>
            <w:tcW w:w="473" w:type="pct"/>
          </w:tcPr>
          <w:p w14:paraId="6C667D70" w14:textId="77777777" w:rsidR="008B35B4" w:rsidRPr="008B35B4" w:rsidRDefault="008B35B4" w:rsidP="004B69BC">
            <w:pPr>
              <w:pStyle w:val="TableText0"/>
              <w:keepLines/>
              <w:jc w:val="center"/>
              <w:rPr>
                <w:iCs/>
              </w:rPr>
            </w:pPr>
            <w:r w:rsidRPr="008B35B4">
              <w:rPr>
                <w:iCs/>
              </w:rPr>
              <w:t>9%</w:t>
            </w:r>
          </w:p>
        </w:tc>
      </w:tr>
      <w:tr w:rsidR="008B35B4" w:rsidRPr="008E5734" w14:paraId="79CA9832" w14:textId="77777777" w:rsidTr="00FB2888">
        <w:trPr>
          <w:cantSplit/>
          <w:trHeight w:val="44"/>
        </w:trPr>
        <w:tc>
          <w:tcPr>
            <w:tcW w:w="380" w:type="pct"/>
            <w:tcBorders>
              <w:top w:val="single" w:sz="4" w:space="0" w:color="auto"/>
              <w:left w:val="single" w:sz="4" w:space="0" w:color="auto"/>
              <w:bottom w:val="single" w:sz="4" w:space="0" w:color="auto"/>
              <w:right w:val="nil"/>
            </w:tcBorders>
          </w:tcPr>
          <w:p w14:paraId="673BAE8F" w14:textId="55244238" w:rsidR="008B35B4" w:rsidRPr="00F941F6" w:rsidRDefault="008B35B4" w:rsidP="004B69BC">
            <w:pPr>
              <w:pStyle w:val="TableText0"/>
              <w:keepLines/>
              <w:rPr>
                <w:iCs/>
                <w:vertAlign w:val="superscript"/>
              </w:rPr>
            </w:pPr>
            <w:r w:rsidRPr="00F941F6">
              <w:rPr>
                <w:iCs/>
              </w:rPr>
              <w:t>SA.</w:t>
            </w:r>
            <w:r w:rsidR="009D5359" w:rsidRPr="00F941F6">
              <w:rPr>
                <w:iCs/>
              </w:rPr>
              <w:t>4</w:t>
            </w:r>
          </w:p>
        </w:tc>
        <w:tc>
          <w:tcPr>
            <w:tcW w:w="1216" w:type="pct"/>
            <w:tcBorders>
              <w:top w:val="single" w:sz="4" w:space="0" w:color="auto"/>
              <w:left w:val="nil"/>
              <w:bottom w:val="single" w:sz="4" w:space="0" w:color="auto"/>
            </w:tcBorders>
            <w:vAlign w:val="center"/>
          </w:tcPr>
          <w:p w14:paraId="77A4A007" w14:textId="77777777" w:rsidR="008B35B4" w:rsidRPr="008B35B4" w:rsidRDefault="008B35B4" w:rsidP="004B69BC">
            <w:pPr>
              <w:pStyle w:val="TableText0"/>
              <w:keepLines/>
              <w:rPr>
                <w:iCs/>
              </w:rPr>
            </w:pPr>
            <w:r w:rsidRPr="008B35B4">
              <w:rPr>
                <w:iCs/>
              </w:rPr>
              <w:t>60% use of pembrolizumab combination therapy in the 1L DR setting after BSC</w:t>
            </w:r>
          </w:p>
        </w:tc>
        <w:tc>
          <w:tcPr>
            <w:tcW w:w="1220" w:type="pct"/>
            <w:vMerge/>
          </w:tcPr>
          <w:p w14:paraId="019C24F5" w14:textId="77777777" w:rsidR="008B35B4" w:rsidRPr="008B35B4" w:rsidRDefault="008B35B4" w:rsidP="004B69BC">
            <w:pPr>
              <w:pStyle w:val="TableText0"/>
              <w:keepLines/>
              <w:rPr>
                <w:iCs/>
              </w:rPr>
            </w:pPr>
          </w:p>
        </w:tc>
        <w:tc>
          <w:tcPr>
            <w:tcW w:w="572" w:type="pct"/>
            <w:tcBorders>
              <w:top w:val="single" w:sz="4" w:space="0" w:color="auto"/>
              <w:bottom w:val="single" w:sz="4" w:space="0" w:color="auto"/>
              <w:right w:val="single" w:sz="4" w:space="0" w:color="auto"/>
            </w:tcBorders>
          </w:tcPr>
          <w:p w14:paraId="5E427A95" w14:textId="07055ABF" w:rsidR="008B35B4" w:rsidRPr="008B35B4" w:rsidRDefault="008B35B4" w:rsidP="004B69BC">
            <w:pPr>
              <w:pStyle w:val="TableText0"/>
              <w:keepLines/>
              <w:jc w:val="center"/>
              <w:rPr>
                <w:iCs/>
              </w:rPr>
            </w:pPr>
            <w:r w:rsidRPr="008B35B4">
              <w:rPr>
                <w:iCs/>
              </w:rPr>
              <w:t>$</w:t>
            </w:r>
            <w:r w:rsidR="00A8021D" w:rsidRPr="00A8021D">
              <w:rPr>
                <w:iCs/>
                <w:color w:val="000000"/>
                <w:spacing w:val="94"/>
                <w:shd w:val="solid" w:color="000000" w:fill="000000"/>
                <w:fitText w:val="180" w:id="-1435765238"/>
                <w14:textFill>
                  <w14:solidFill>
                    <w14:srgbClr w14:val="000000">
                      <w14:alpha w14:val="100000"/>
                    </w14:srgbClr>
                  </w14:solidFill>
                </w14:textFill>
              </w:rPr>
              <w:t>|</w:t>
            </w:r>
            <w:r w:rsidR="00A8021D" w:rsidRPr="00A8021D">
              <w:rPr>
                <w:iCs/>
                <w:color w:val="000000"/>
                <w:spacing w:val="1"/>
                <w:shd w:val="solid" w:color="000000" w:fill="000000"/>
                <w:fitText w:val="180" w:id="-1435765238"/>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7658D15" w14:textId="77777777" w:rsidR="008B35B4" w:rsidRPr="008B35B4" w:rsidRDefault="008B35B4" w:rsidP="004B69BC">
            <w:pPr>
              <w:pStyle w:val="TableText0"/>
              <w:keepLines/>
              <w:jc w:val="center"/>
              <w:rPr>
                <w:iCs/>
              </w:rPr>
            </w:pPr>
            <w:r w:rsidRPr="008B35B4">
              <w:rPr>
                <w:iCs/>
              </w:rPr>
              <w:t>1.858</w:t>
            </w:r>
          </w:p>
        </w:tc>
        <w:tc>
          <w:tcPr>
            <w:tcW w:w="607" w:type="pct"/>
            <w:tcBorders>
              <w:top w:val="single" w:sz="4" w:space="0" w:color="auto"/>
              <w:left w:val="single" w:sz="4" w:space="0" w:color="auto"/>
              <w:bottom w:val="single" w:sz="4" w:space="0" w:color="auto"/>
              <w:right w:val="single" w:sz="4" w:space="0" w:color="auto"/>
            </w:tcBorders>
          </w:tcPr>
          <w:p w14:paraId="4DE23399" w14:textId="3EFD32CE" w:rsidR="008B35B4" w:rsidRPr="008B35B4" w:rsidRDefault="008B35B4" w:rsidP="004B69BC">
            <w:pPr>
              <w:pStyle w:val="TableText0"/>
              <w:keepLines/>
              <w:jc w:val="center"/>
              <w:rPr>
                <w:iCs/>
              </w:rPr>
            </w:pPr>
            <w:r w:rsidRPr="008B35B4">
              <w:rPr>
                <w:iCs/>
              </w:rPr>
              <w:t>$</w:t>
            </w:r>
            <w:r w:rsidR="00A8021D" w:rsidRPr="00A8021D">
              <w:rPr>
                <w:iCs/>
                <w:color w:val="000000"/>
                <w:spacing w:val="74"/>
                <w:shd w:val="solid" w:color="000000" w:fill="000000"/>
                <w:fitText w:val="160" w:id="-1435765237"/>
                <w14:textFill>
                  <w14:solidFill>
                    <w14:srgbClr w14:val="000000">
                      <w14:alpha w14:val="100000"/>
                    </w14:srgbClr>
                  </w14:solidFill>
                </w14:textFill>
              </w:rPr>
              <w:t>|</w:t>
            </w:r>
            <w:r w:rsidR="00A8021D" w:rsidRPr="00A8021D">
              <w:rPr>
                <w:iCs/>
                <w:color w:val="000000"/>
                <w:spacing w:val="1"/>
                <w:shd w:val="solid" w:color="000000" w:fill="000000"/>
                <w:fitText w:val="160" w:id="-1435765237"/>
                <w14:textFill>
                  <w14:solidFill>
                    <w14:srgbClr w14:val="000000">
                      <w14:alpha w14:val="100000"/>
                    </w14:srgbClr>
                  </w14:solidFill>
                </w14:textFill>
              </w:rPr>
              <w:t>|</w:t>
            </w:r>
            <w:r w:rsidR="005F71E8" w:rsidRPr="005F71E8">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79E24DAB" w14:textId="77777777" w:rsidR="008B35B4" w:rsidRPr="008B35B4" w:rsidRDefault="008B35B4" w:rsidP="004B69BC">
            <w:pPr>
              <w:pStyle w:val="TableText0"/>
              <w:keepLines/>
              <w:jc w:val="center"/>
              <w:rPr>
                <w:iCs/>
              </w:rPr>
            </w:pPr>
            <w:r w:rsidRPr="008B35B4">
              <w:rPr>
                <w:iCs/>
              </w:rPr>
              <w:t>17%</w:t>
            </w:r>
          </w:p>
        </w:tc>
      </w:tr>
      <w:tr w:rsidR="008B35B4" w:rsidRPr="008E5734" w14:paraId="28B7C5B8" w14:textId="77777777" w:rsidTr="00FB2888">
        <w:trPr>
          <w:cantSplit/>
          <w:trHeight w:val="44"/>
        </w:trPr>
        <w:tc>
          <w:tcPr>
            <w:tcW w:w="380" w:type="pct"/>
            <w:tcBorders>
              <w:top w:val="single" w:sz="4" w:space="0" w:color="auto"/>
              <w:left w:val="single" w:sz="4" w:space="0" w:color="auto"/>
              <w:bottom w:val="single" w:sz="4" w:space="0" w:color="auto"/>
              <w:right w:val="nil"/>
            </w:tcBorders>
          </w:tcPr>
          <w:p w14:paraId="6C3DB8C3" w14:textId="637DE173" w:rsidR="008B35B4" w:rsidRPr="00F941F6" w:rsidRDefault="008B35B4" w:rsidP="004B69BC">
            <w:pPr>
              <w:pStyle w:val="TableText0"/>
              <w:keepLines/>
              <w:ind w:right="-57"/>
              <w:rPr>
                <w:iCs/>
              </w:rPr>
            </w:pPr>
            <w:r w:rsidRPr="00F941F6">
              <w:rPr>
                <w:iCs/>
              </w:rPr>
              <w:t>SA.</w:t>
            </w:r>
            <w:r w:rsidR="009D5359" w:rsidRPr="00F941F6">
              <w:rPr>
                <w:iCs/>
              </w:rPr>
              <w:t>5</w:t>
            </w:r>
          </w:p>
        </w:tc>
        <w:tc>
          <w:tcPr>
            <w:tcW w:w="1216" w:type="pct"/>
            <w:tcBorders>
              <w:top w:val="single" w:sz="4" w:space="0" w:color="auto"/>
              <w:left w:val="nil"/>
              <w:bottom w:val="single" w:sz="4" w:space="0" w:color="auto"/>
            </w:tcBorders>
            <w:vAlign w:val="center"/>
          </w:tcPr>
          <w:p w14:paraId="16E601C2" w14:textId="0FBD62AB" w:rsidR="008B35B4" w:rsidRPr="008B35B4" w:rsidRDefault="008B35B4" w:rsidP="004B69BC">
            <w:pPr>
              <w:pStyle w:val="TableText0"/>
              <w:keepLines/>
              <w:rPr>
                <w:iCs/>
              </w:rPr>
            </w:pPr>
            <w:r w:rsidRPr="008B35B4">
              <w:rPr>
                <w:iCs/>
              </w:rPr>
              <w:t>0% use of pembrolizumab combination therapy in the 1L DR setting after BSC</w:t>
            </w:r>
          </w:p>
        </w:tc>
        <w:tc>
          <w:tcPr>
            <w:tcW w:w="1220" w:type="pct"/>
            <w:vMerge/>
            <w:tcBorders>
              <w:bottom w:val="single" w:sz="4" w:space="0" w:color="auto"/>
            </w:tcBorders>
          </w:tcPr>
          <w:p w14:paraId="10DE3F21" w14:textId="77777777" w:rsidR="008B35B4" w:rsidRPr="008B35B4" w:rsidRDefault="008B35B4" w:rsidP="004B69BC">
            <w:pPr>
              <w:pStyle w:val="TableText0"/>
              <w:keepLines/>
              <w:rPr>
                <w:iCs/>
              </w:rPr>
            </w:pPr>
          </w:p>
        </w:tc>
        <w:tc>
          <w:tcPr>
            <w:tcW w:w="572" w:type="pct"/>
            <w:tcBorders>
              <w:top w:val="single" w:sz="4" w:space="0" w:color="auto"/>
              <w:bottom w:val="single" w:sz="4" w:space="0" w:color="auto"/>
              <w:right w:val="single" w:sz="4" w:space="0" w:color="auto"/>
            </w:tcBorders>
          </w:tcPr>
          <w:p w14:paraId="39288BB0" w14:textId="42C37DED" w:rsidR="008B35B4" w:rsidRPr="008B35B4" w:rsidRDefault="008B35B4" w:rsidP="004B69BC">
            <w:pPr>
              <w:pStyle w:val="TableText0"/>
              <w:keepLines/>
              <w:jc w:val="center"/>
              <w:rPr>
                <w:iCs/>
              </w:rPr>
            </w:pPr>
            <w:r w:rsidRPr="008B35B4">
              <w:rPr>
                <w:iCs/>
              </w:rPr>
              <w:t>$</w:t>
            </w:r>
            <w:r w:rsidR="00A8021D" w:rsidRPr="00A8021D">
              <w:rPr>
                <w:iCs/>
                <w:color w:val="000000"/>
                <w:spacing w:val="94"/>
                <w:shd w:val="solid" w:color="000000" w:fill="000000"/>
                <w:fitText w:val="180" w:id="-1435765236"/>
                <w14:textFill>
                  <w14:solidFill>
                    <w14:srgbClr w14:val="000000">
                      <w14:alpha w14:val="100000"/>
                    </w14:srgbClr>
                  </w14:solidFill>
                </w14:textFill>
              </w:rPr>
              <w:t>|</w:t>
            </w:r>
            <w:r w:rsidR="00A8021D" w:rsidRPr="00A8021D">
              <w:rPr>
                <w:iCs/>
                <w:color w:val="000000"/>
                <w:spacing w:val="1"/>
                <w:shd w:val="solid" w:color="000000" w:fill="000000"/>
                <w:fitText w:val="180" w:id="-1435765236"/>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6383A957" w14:textId="07A5ACB2" w:rsidR="008B35B4" w:rsidRPr="008B35B4" w:rsidRDefault="008B35B4" w:rsidP="004B69BC">
            <w:pPr>
              <w:pStyle w:val="TableText0"/>
              <w:keepLines/>
              <w:jc w:val="center"/>
              <w:rPr>
                <w:iCs/>
              </w:rPr>
            </w:pPr>
            <w:r w:rsidRPr="008B35B4">
              <w:rPr>
                <w:iCs/>
              </w:rPr>
              <w:t>1.928</w:t>
            </w:r>
          </w:p>
        </w:tc>
        <w:tc>
          <w:tcPr>
            <w:tcW w:w="607" w:type="pct"/>
            <w:tcBorders>
              <w:top w:val="single" w:sz="4" w:space="0" w:color="auto"/>
              <w:left w:val="single" w:sz="4" w:space="0" w:color="auto"/>
              <w:bottom w:val="single" w:sz="4" w:space="0" w:color="auto"/>
              <w:right w:val="single" w:sz="4" w:space="0" w:color="auto"/>
            </w:tcBorders>
          </w:tcPr>
          <w:p w14:paraId="4D04569B" w14:textId="421F671F" w:rsidR="008B35B4" w:rsidRPr="008B35B4" w:rsidRDefault="008B35B4" w:rsidP="004B69BC">
            <w:pPr>
              <w:pStyle w:val="TableText0"/>
              <w:keepLines/>
              <w:jc w:val="center"/>
              <w:rPr>
                <w:iCs/>
              </w:rPr>
            </w:pPr>
            <w:r w:rsidRPr="008B35B4">
              <w:rPr>
                <w:iCs/>
              </w:rPr>
              <w:t>$</w:t>
            </w:r>
            <w:r w:rsidR="00A8021D" w:rsidRPr="00A8021D">
              <w:rPr>
                <w:iCs/>
                <w:color w:val="000000"/>
                <w:spacing w:val="74"/>
                <w:shd w:val="solid" w:color="000000" w:fill="000000"/>
                <w:fitText w:val="160" w:id="-1435764992"/>
                <w14:textFill>
                  <w14:solidFill>
                    <w14:srgbClr w14:val="000000">
                      <w14:alpha w14:val="100000"/>
                    </w14:srgbClr>
                  </w14:solidFill>
                </w14:textFill>
              </w:rPr>
              <w:t>|</w:t>
            </w:r>
            <w:r w:rsidR="00A8021D" w:rsidRPr="00A8021D">
              <w:rPr>
                <w:iCs/>
                <w:color w:val="000000"/>
                <w:spacing w:val="1"/>
                <w:shd w:val="solid" w:color="000000" w:fill="000000"/>
                <w:fitText w:val="160" w:id="-1435764992"/>
                <w14:textFill>
                  <w14:solidFill>
                    <w14:srgbClr w14:val="000000">
                      <w14:alpha w14:val="100000"/>
                    </w14:srgbClr>
                  </w14:solidFill>
                </w14:textFill>
              </w:rPr>
              <w:t>|</w:t>
            </w:r>
            <w:r w:rsidR="005F71E8">
              <w:rPr>
                <w:bCs w:val="0"/>
                <w:iCs/>
                <w:vertAlign w:val="superscript"/>
              </w:rPr>
              <w:t>2</w:t>
            </w:r>
          </w:p>
        </w:tc>
        <w:tc>
          <w:tcPr>
            <w:tcW w:w="473" w:type="pct"/>
            <w:tcBorders>
              <w:top w:val="single" w:sz="4" w:space="0" w:color="auto"/>
              <w:left w:val="single" w:sz="4" w:space="0" w:color="auto"/>
              <w:bottom w:val="single" w:sz="4" w:space="0" w:color="auto"/>
              <w:right w:val="single" w:sz="4" w:space="0" w:color="auto"/>
            </w:tcBorders>
          </w:tcPr>
          <w:p w14:paraId="3A7B56A5" w14:textId="13589478" w:rsidR="008B35B4" w:rsidRPr="008B35B4" w:rsidRDefault="008B35B4" w:rsidP="004B69BC">
            <w:pPr>
              <w:pStyle w:val="TableText0"/>
              <w:keepLines/>
              <w:jc w:val="center"/>
              <w:rPr>
                <w:iCs/>
              </w:rPr>
            </w:pPr>
            <w:r w:rsidRPr="008B35B4">
              <w:rPr>
                <w:iCs/>
              </w:rPr>
              <w:t>70%</w:t>
            </w:r>
          </w:p>
        </w:tc>
      </w:tr>
      <w:tr w:rsidR="008B35B4" w:rsidRPr="00EF1FED" w14:paraId="49046731" w14:textId="77777777" w:rsidTr="00FB2888">
        <w:trPr>
          <w:cantSplit/>
          <w:trHeight w:val="44"/>
        </w:trPr>
        <w:tc>
          <w:tcPr>
            <w:tcW w:w="380" w:type="pct"/>
            <w:tcBorders>
              <w:top w:val="single" w:sz="4" w:space="0" w:color="auto"/>
              <w:left w:val="single" w:sz="4" w:space="0" w:color="auto"/>
              <w:bottom w:val="single" w:sz="4" w:space="0" w:color="auto"/>
              <w:right w:val="nil"/>
            </w:tcBorders>
          </w:tcPr>
          <w:p w14:paraId="0150C0FF" w14:textId="02C5C190" w:rsidR="008B35B4" w:rsidRPr="00F941F6" w:rsidRDefault="008B35B4" w:rsidP="004B69BC">
            <w:pPr>
              <w:pStyle w:val="TableText0"/>
              <w:keepLines/>
              <w:ind w:right="-113"/>
              <w:rPr>
                <w:iCs/>
                <w:vertAlign w:val="superscript"/>
              </w:rPr>
            </w:pPr>
            <w:r w:rsidRPr="00F941F6">
              <w:rPr>
                <w:iCs/>
              </w:rPr>
              <w:t>SA.</w:t>
            </w:r>
            <w:r w:rsidR="009D5359" w:rsidRPr="00F941F6">
              <w:rPr>
                <w:iCs/>
              </w:rPr>
              <w:t>6</w:t>
            </w:r>
            <w:r w:rsidRPr="00F941F6">
              <w:rPr>
                <w:iCs/>
                <w:vertAlign w:val="superscript"/>
              </w:rPr>
              <w:t xml:space="preserve"> </w:t>
            </w:r>
          </w:p>
        </w:tc>
        <w:tc>
          <w:tcPr>
            <w:tcW w:w="1216" w:type="pct"/>
            <w:tcBorders>
              <w:top w:val="single" w:sz="4" w:space="0" w:color="auto"/>
              <w:left w:val="nil"/>
              <w:bottom w:val="single" w:sz="4" w:space="0" w:color="auto"/>
              <w:right w:val="single" w:sz="4" w:space="0" w:color="auto"/>
            </w:tcBorders>
          </w:tcPr>
          <w:p w14:paraId="12089E0D" w14:textId="77777777" w:rsidR="008B35B4" w:rsidRPr="00E00AA6" w:rsidRDefault="008B35B4" w:rsidP="004B69BC">
            <w:pPr>
              <w:pStyle w:val="TableText0"/>
              <w:keepLines/>
              <w:rPr>
                <w:iCs/>
              </w:rPr>
            </w:pPr>
            <w:r w:rsidRPr="00E00AA6">
              <w:rPr>
                <w:iCs/>
              </w:rPr>
              <w:t xml:space="preserve">No adjustment for time limited treatment effect </w:t>
            </w:r>
          </w:p>
        </w:tc>
        <w:tc>
          <w:tcPr>
            <w:tcW w:w="1220" w:type="pct"/>
            <w:tcBorders>
              <w:top w:val="single" w:sz="4" w:space="0" w:color="auto"/>
              <w:left w:val="single" w:sz="4" w:space="0" w:color="auto"/>
              <w:bottom w:val="single" w:sz="4" w:space="0" w:color="auto"/>
              <w:right w:val="single" w:sz="4" w:space="0" w:color="auto"/>
            </w:tcBorders>
          </w:tcPr>
          <w:p w14:paraId="6FA42107" w14:textId="77777777" w:rsidR="008B35B4" w:rsidRPr="00E00AA6" w:rsidRDefault="008B35B4" w:rsidP="004B69BC">
            <w:pPr>
              <w:pStyle w:val="TableText0"/>
              <w:keepLines/>
              <w:rPr>
                <w:iCs/>
              </w:rPr>
            </w:pPr>
            <w:r w:rsidRPr="00E00AA6">
              <w:rPr>
                <w:iCs/>
              </w:rPr>
              <w:t>Incorporating adjustment for time limited treatment effect</w:t>
            </w:r>
          </w:p>
        </w:tc>
        <w:tc>
          <w:tcPr>
            <w:tcW w:w="572" w:type="pct"/>
            <w:tcBorders>
              <w:top w:val="single" w:sz="4" w:space="0" w:color="auto"/>
              <w:left w:val="single" w:sz="4" w:space="0" w:color="auto"/>
              <w:bottom w:val="single" w:sz="4" w:space="0" w:color="auto"/>
              <w:right w:val="single" w:sz="4" w:space="0" w:color="auto"/>
            </w:tcBorders>
          </w:tcPr>
          <w:p w14:paraId="0693F9C0" w14:textId="68C2F69A" w:rsidR="008B35B4" w:rsidRPr="00E00AA6" w:rsidRDefault="008B35B4" w:rsidP="004B69BC">
            <w:pPr>
              <w:pStyle w:val="TableText0"/>
              <w:keepLines/>
              <w:jc w:val="center"/>
              <w:rPr>
                <w:iCs/>
              </w:rPr>
            </w:pPr>
            <w:r w:rsidRPr="00E00AA6">
              <w:rPr>
                <w:iCs/>
              </w:rPr>
              <w:t>$</w:t>
            </w:r>
            <w:r w:rsidR="00A8021D" w:rsidRPr="00A8021D">
              <w:rPr>
                <w:iCs/>
                <w:color w:val="000000"/>
                <w:spacing w:val="94"/>
                <w:shd w:val="solid" w:color="000000" w:fill="000000"/>
                <w:fitText w:val="180" w:id="-1435764991"/>
                <w14:textFill>
                  <w14:solidFill>
                    <w14:srgbClr w14:val="000000">
                      <w14:alpha w14:val="100000"/>
                    </w14:srgbClr>
                  </w14:solidFill>
                </w14:textFill>
              </w:rPr>
              <w:t>|</w:t>
            </w:r>
            <w:r w:rsidR="00A8021D" w:rsidRPr="00A8021D">
              <w:rPr>
                <w:iCs/>
                <w:color w:val="000000"/>
                <w:spacing w:val="1"/>
                <w:shd w:val="solid" w:color="000000" w:fill="000000"/>
                <w:fitText w:val="180" w:id="-1435764991"/>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75E101B4" w14:textId="77777777" w:rsidR="008B35B4" w:rsidRPr="00E00AA6" w:rsidRDefault="008B35B4" w:rsidP="004B69BC">
            <w:pPr>
              <w:pStyle w:val="TableText0"/>
              <w:keepLines/>
              <w:jc w:val="center"/>
              <w:rPr>
                <w:iCs/>
              </w:rPr>
            </w:pPr>
            <w:r w:rsidRPr="00E00AA6">
              <w:rPr>
                <w:iCs/>
              </w:rPr>
              <w:t>1.777</w:t>
            </w:r>
          </w:p>
        </w:tc>
        <w:tc>
          <w:tcPr>
            <w:tcW w:w="607" w:type="pct"/>
            <w:tcBorders>
              <w:top w:val="single" w:sz="4" w:space="0" w:color="auto"/>
              <w:left w:val="single" w:sz="4" w:space="0" w:color="auto"/>
              <w:bottom w:val="single" w:sz="4" w:space="0" w:color="auto"/>
              <w:right w:val="single" w:sz="4" w:space="0" w:color="auto"/>
            </w:tcBorders>
          </w:tcPr>
          <w:p w14:paraId="540B571E" w14:textId="59D576A1" w:rsidR="008B35B4" w:rsidRPr="00E00AA6" w:rsidRDefault="008B35B4" w:rsidP="004B69BC">
            <w:pPr>
              <w:pStyle w:val="TableText0"/>
              <w:keepLines/>
              <w:jc w:val="center"/>
              <w:rPr>
                <w:iCs/>
              </w:rPr>
            </w:pPr>
            <w:r w:rsidRPr="00E00AA6">
              <w:rPr>
                <w:iCs/>
              </w:rPr>
              <w:t>$</w:t>
            </w:r>
            <w:r w:rsidR="00A8021D" w:rsidRPr="00A8021D">
              <w:rPr>
                <w:iCs/>
                <w:color w:val="000000"/>
                <w:spacing w:val="74"/>
                <w:shd w:val="solid" w:color="000000" w:fill="000000"/>
                <w:fitText w:val="160" w:id="-1435764990"/>
                <w14:textFill>
                  <w14:solidFill>
                    <w14:srgbClr w14:val="000000">
                      <w14:alpha w14:val="100000"/>
                    </w14:srgbClr>
                  </w14:solidFill>
                </w14:textFill>
              </w:rPr>
              <w:t>|</w:t>
            </w:r>
            <w:r w:rsidR="00A8021D" w:rsidRPr="00A8021D">
              <w:rPr>
                <w:iCs/>
                <w:color w:val="000000"/>
                <w:spacing w:val="1"/>
                <w:shd w:val="solid" w:color="000000" w:fill="000000"/>
                <w:fitText w:val="160" w:id="-1435764990"/>
                <w14:textFill>
                  <w14:solidFill>
                    <w14:srgbClr w14:val="000000">
                      <w14:alpha w14:val="100000"/>
                    </w14:srgbClr>
                  </w14:solidFill>
                </w14:textFill>
              </w:rPr>
              <w:t>|</w:t>
            </w:r>
            <w:r w:rsidR="005F71E8" w:rsidRPr="005F71E8">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5219F622" w14:textId="77777777" w:rsidR="008B35B4" w:rsidRPr="00E00AA6" w:rsidRDefault="008B35B4" w:rsidP="004B69BC">
            <w:pPr>
              <w:pStyle w:val="TableText0"/>
              <w:keepLines/>
              <w:jc w:val="center"/>
              <w:rPr>
                <w:iCs/>
              </w:rPr>
            </w:pPr>
            <w:r w:rsidRPr="00E00AA6">
              <w:rPr>
                <w:iCs/>
              </w:rPr>
              <w:t>3%</w:t>
            </w:r>
          </w:p>
        </w:tc>
      </w:tr>
      <w:tr w:rsidR="008B35B4" w:rsidRPr="00EF1FED" w14:paraId="0B73BF95" w14:textId="77777777" w:rsidTr="00FB2888">
        <w:trPr>
          <w:cantSplit/>
          <w:trHeight w:val="1522"/>
        </w:trPr>
        <w:tc>
          <w:tcPr>
            <w:tcW w:w="380" w:type="pct"/>
            <w:tcBorders>
              <w:top w:val="single" w:sz="4" w:space="0" w:color="auto"/>
              <w:left w:val="single" w:sz="4" w:space="0" w:color="auto"/>
              <w:right w:val="nil"/>
            </w:tcBorders>
          </w:tcPr>
          <w:p w14:paraId="48F7B1C5" w14:textId="5964BA96" w:rsidR="008B35B4" w:rsidRPr="00F941F6" w:rsidRDefault="008B35B4" w:rsidP="004B69BC">
            <w:pPr>
              <w:pStyle w:val="TableText0"/>
              <w:keepLines/>
              <w:ind w:right="-57"/>
              <w:rPr>
                <w:iCs/>
                <w:vertAlign w:val="superscript"/>
              </w:rPr>
            </w:pPr>
            <w:r w:rsidRPr="00F941F6">
              <w:rPr>
                <w:iCs/>
              </w:rPr>
              <w:t>SA.</w:t>
            </w:r>
            <w:r w:rsidR="009D5359" w:rsidRPr="00F941F6">
              <w:rPr>
                <w:iCs/>
              </w:rPr>
              <w:t>7</w:t>
            </w:r>
          </w:p>
        </w:tc>
        <w:tc>
          <w:tcPr>
            <w:tcW w:w="1216" w:type="pct"/>
            <w:tcBorders>
              <w:top w:val="single" w:sz="4" w:space="0" w:color="auto"/>
              <w:left w:val="nil"/>
              <w:right w:val="single" w:sz="4" w:space="0" w:color="auto"/>
            </w:tcBorders>
          </w:tcPr>
          <w:p w14:paraId="616BACC7" w14:textId="77777777" w:rsidR="008B35B4" w:rsidRPr="00E00AA6" w:rsidRDefault="008B35B4" w:rsidP="004B69BC">
            <w:pPr>
              <w:pStyle w:val="TableText0"/>
              <w:keepLines/>
              <w:rPr>
                <w:iCs/>
              </w:rPr>
            </w:pPr>
            <w:r w:rsidRPr="00E00AA6">
              <w:rPr>
                <w:iCs/>
              </w:rPr>
              <w:t>No adjustment for sustained DFS</w:t>
            </w:r>
          </w:p>
        </w:tc>
        <w:tc>
          <w:tcPr>
            <w:tcW w:w="1220" w:type="pct"/>
            <w:tcBorders>
              <w:top w:val="single" w:sz="4" w:space="0" w:color="auto"/>
              <w:left w:val="single" w:sz="4" w:space="0" w:color="auto"/>
              <w:right w:val="single" w:sz="4" w:space="0" w:color="auto"/>
            </w:tcBorders>
          </w:tcPr>
          <w:p w14:paraId="7AD042CE" w14:textId="77777777" w:rsidR="008B35B4" w:rsidRPr="00E00AA6" w:rsidRDefault="008B35B4" w:rsidP="004B69BC">
            <w:pPr>
              <w:pStyle w:val="TableText0"/>
              <w:keepLines/>
              <w:rPr>
                <w:iCs/>
              </w:rPr>
            </w:pPr>
            <w:r w:rsidRPr="00E00AA6">
              <w:rPr>
                <w:iCs/>
              </w:rPr>
              <w:t>Incorporating adjustment for sustained DFS, proportion of patients with sustained DFS starts to increase from Year 2 and achieve maximum of 91.5% at Year 5</w:t>
            </w:r>
          </w:p>
        </w:tc>
        <w:tc>
          <w:tcPr>
            <w:tcW w:w="572" w:type="pct"/>
            <w:tcBorders>
              <w:top w:val="single" w:sz="4" w:space="0" w:color="auto"/>
              <w:left w:val="single" w:sz="4" w:space="0" w:color="auto"/>
              <w:right w:val="single" w:sz="4" w:space="0" w:color="auto"/>
            </w:tcBorders>
          </w:tcPr>
          <w:p w14:paraId="229FC3FC" w14:textId="6E083D5A" w:rsidR="008B35B4" w:rsidRPr="00E00AA6" w:rsidRDefault="008B35B4" w:rsidP="004B69BC">
            <w:pPr>
              <w:pStyle w:val="TableText0"/>
              <w:keepLines/>
              <w:jc w:val="center"/>
              <w:rPr>
                <w:iCs/>
              </w:rPr>
            </w:pPr>
            <w:r w:rsidRPr="00E00AA6">
              <w:rPr>
                <w:iCs/>
              </w:rPr>
              <w:t>$</w:t>
            </w:r>
            <w:r w:rsidR="00A8021D" w:rsidRPr="00A8021D">
              <w:rPr>
                <w:iCs/>
                <w:color w:val="000000"/>
                <w:spacing w:val="94"/>
                <w:shd w:val="solid" w:color="000000" w:fill="000000"/>
                <w:fitText w:val="180" w:id="-1435764989"/>
                <w14:textFill>
                  <w14:solidFill>
                    <w14:srgbClr w14:val="000000">
                      <w14:alpha w14:val="100000"/>
                    </w14:srgbClr>
                  </w14:solidFill>
                </w14:textFill>
              </w:rPr>
              <w:t>|</w:t>
            </w:r>
            <w:r w:rsidR="00A8021D" w:rsidRPr="00A8021D">
              <w:rPr>
                <w:iCs/>
                <w:color w:val="000000"/>
                <w:spacing w:val="1"/>
                <w:shd w:val="solid" w:color="000000" w:fill="000000"/>
                <w:fitText w:val="180" w:id="-1435764989"/>
                <w14:textFill>
                  <w14:solidFill>
                    <w14:srgbClr w14:val="000000">
                      <w14:alpha w14:val="100000"/>
                    </w14:srgbClr>
                  </w14:solidFill>
                </w14:textFill>
              </w:rPr>
              <w:t>|</w:t>
            </w:r>
          </w:p>
        </w:tc>
        <w:tc>
          <w:tcPr>
            <w:tcW w:w="532" w:type="pct"/>
            <w:tcBorders>
              <w:top w:val="single" w:sz="4" w:space="0" w:color="auto"/>
              <w:left w:val="single" w:sz="4" w:space="0" w:color="auto"/>
              <w:right w:val="single" w:sz="4" w:space="0" w:color="auto"/>
            </w:tcBorders>
          </w:tcPr>
          <w:p w14:paraId="662E6ACB" w14:textId="77777777" w:rsidR="008B35B4" w:rsidRPr="00E00AA6" w:rsidRDefault="008B35B4" w:rsidP="004B69BC">
            <w:pPr>
              <w:pStyle w:val="TableText0"/>
              <w:keepLines/>
              <w:jc w:val="center"/>
              <w:rPr>
                <w:iCs/>
              </w:rPr>
            </w:pPr>
            <w:r w:rsidRPr="00E00AA6">
              <w:rPr>
                <w:iCs/>
              </w:rPr>
              <w:t>1.163</w:t>
            </w:r>
          </w:p>
        </w:tc>
        <w:tc>
          <w:tcPr>
            <w:tcW w:w="607" w:type="pct"/>
            <w:tcBorders>
              <w:top w:val="single" w:sz="4" w:space="0" w:color="auto"/>
              <w:left w:val="single" w:sz="4" w:space="0" w:color="auto"/>
              <w:right w:val="single" w:sz="4" w:space="0" w:color="auto"/>
            </w:tcBorders>
          </w:tcPr>
          <w:p w14:paraId="1DC3DC31" w14:textId="23CA8D58" w:rsidR="008B35B4" w:rsidRPr="00E00AA6" w:rsidRDefault="008B35B4" w:rsidP="004B69BC">
            <w:pPr>
              <w:pStyle w:val="TableText0"/>
              <w:keepLines/>
              <w:jc w:val="center"/>
              <w:rPr>
                <w:iCs/>
              </w:rPr>
            </w:pPr>
            <w:r w:rsidRPr="00E00AA6">
              <w:rPr>
                <w:iCs/>
              </w:rPr>
              <w:t>$</w:t>
            </w:r>
            <w:r w:rsidR="00A8021D" w:rsidRPr="00A8021D">
              <w:rPr>
                <w:iCs/>
                <w:color w:val="000000"/>
                <w:spacing w:val="74"/>
                <w:shd w:val="solid" w:color="000000" w:fill="000000"/>
                <w:fitText w:val="160" w:id="-1435764988"/>
                <w14:textFill>
                  <w14:solidFill>
                    <w14:srgbClr w14:val="000000">
                      <w14:alpha w14:val="100000"/>
                    </w14:srgbClr>
                  </w14:solidFill>
                </w14:textFill>
              </w:rPr>
              <w:t>|</w:t>
            </w:r>
            <w:r w:rsidR="00A8021D" w:rsidRPr="00A8021D">
              <w:rPr>
                <w:iCs/>
                <w:color w:val="000000"/>
                <w:spacing w:val="1"/>
                <w:shd w:val="solid" w:color="000000" w:fill="000000"/>
                <w:fitText w:val="160" w:id="-1435764988"/>
                <w14:textFill>
                  <w14:solidFill>
                    <w14:srgbClr w14:val="000000">
                      <w14:alpha w14:val="100000"/>
                    </w14:srgbClr>
                  </w14:solidFill>
                </w14:textFill>
              </w:rPr>
              <w:t>|</w:t>
            </w:r>
            <w:r w:rsidR="005F71E8" w:rsidRPr="005F71E8">
              <w:rPr>
                <w:bCs w:val="0"/>
                <w:iCs/>
                <w:vertAlign w:val="superscript"/>
              </w:rPr>
              <w:t>1</w:t>
            </w:r>
          </w:p>
        </w:tc>
        <w:tc>
          <w:tcPr>
            <w:tcW w:w="473" w:type="pct"/>
            <w:tcBorders>
              <w:top w:val="single" w:sz="4" w:space="0" w:color="auto"/>
              <w:left w:val="single" w:sz="4" w:space="0" w:color="auto"/>
              <w:right w:val="single" w:sz="4" w:space="0" w:color="auto"/>
            </w:tcBorders>
          </w:tcPr>
          <w:p w14:paraId="7DE31399" w14:textId="77777777" w:rsidR="008B35B4" w:rsidRPr="00E00AA6" w:rsidRDefault="008B35B4" w:rsidP="004B69BC">
            <w:pPr>
              <w:pStyle w:val="TableText0"/>
              <w:keepLines/>
              <w:jc w:val="center"/>
              <w:rPr>
                <w:iCs/>
              </w:rPr>
            </w:pPr>
            <w:r w:rsidRPr="00E00AA6">
              <w:rPr>
                <w:iCs/>
              </w:rPr>
              <w:t>13%</w:t>
            </w:r>
          </w:p>
        </w:tc>
      </w:tr>
      <w:tr w:rsidR="008B35B4" w:rsidRPr="00EF1FED" w14:paraId="528F42C2" w14:textId="77777777" w:rsidTr="00E56F82">
        <w:trPr>
          <w:cantSplit/>
          <w:trHeight w:val="509"/>
        </w:trPr>
        <w:tc>
          <w:tcPr>
            <w:tcW w:w="380" w:type="pct"/>
            <w:tcBorders>
              <w:top w:val="single" w:sz="4" w:space="0" w:color="auto"/>
              <w:left w:val="single" w:sz="4" w:space="0" w:color="auto"/>
              <w:bottom w:val="single" w:sz="4" w:space="0" w:color="auto"/>
              <w:right w:val="nil"/>
            </w:tcBorders>
          </w:tcPr>
          <w:p w14:paraId="4D63FD6B" w14:textId="79A0B420" w:rsidR="008B35B4" w:rsidRPr="00F941F6" w:rsidRDefault="008B35B4" w:rsidP="004B69BC">
            <w:pPr>
              <w:pStyle w:val="TableText0"/>
              <w:keepLines/>
              <w:ind w:right="-57"/>
              <w:rPr>
                <w:iCs/>
                <w:vertAlign w:val="superscript"/>
              </w:rPr>
            </w:pPr>
            <w:r w:rsidRPr="00F941F6">
              <w:rPr>
                <w:iCs/>
              </w:rPr>
              <w:t>SA</w:t>
            </w:r>
            <w:r w:rsidR="009D5359" w:rsidRPr="00F941F6">
              <w:rPr>
                <w:iCs/>
              </w:rPr>
              <w:t>8</w:t>
            </w:r>
          </w:p>
        </w:tc>
        <w:tc>
          <w:tcPr>
            <w:tcW w:w="1216" w:type="pct"/>
            <w:tcBorders>
              <w:top w:val="single" w:sz="4" w:space="0" w:color="auto"/>
              <w:left w:val="nil"/>
              <w:bottom w:val="single" w:sz="4" w:space="0" w:color="auto"/>
              <w:right w:val="single" w:sz="4" w:space="0" w:color="auto"/>
            </w:tcBorders>
          </w:tcPr>
          <w:p w14:paraId="0FFDDDEC" w14:textId="3ED9B3F6" w:rsidR="008B35B4" w:rsidRPr="0037612D" w:rsidRDefault="008B35B4" w:rsidP="004B69BC">
            <w:pPr>
              <w:pStyle w:val="TableText0"/>
              <w:keepLines/>
              <w:rPr>
                <w:iCs/>
              </w:rPr>
            </w:pPr>
            <w:r w:rsidRPr="0037612D">
              <w:rPr>
                <w:iCs/>
              </w:rPr>
              <w:t>Truncation time point for trial-based DFS estimates: 37 months</w:t>
            </w:r>
          </w:p>
        </w:tc>
        <w:tc>
          <w:tcPr>
            <w:tcW w:w="1220" w:type="pct"/>
            <w:tcBorders>
              <w:top w:val="single" w:sz="4" w:space="0" w:color="auto"/>
              <w:left w:val="single" w:sz="4" w:space="0" w:color="auto"/>
              <w:bottom w:val="single" w:sz="4" w:space="0" w:color="auto"/>
              <w:right w:val="single" w:sz="4" w:space="0" w:color="auto"/>
            </w:tcBorders>
          </w:tcPr>
          <w:p w14:paraId="19376E5E" w14:textId="77777777" w:rsidR="008B35B4" w:rsidRPr="0037612D" w:rsidRDefault="008B35B4" w:rsidP="004B69BC">
            <w:pPr>
              <w:pStyle w:val="TableText0"/>
              <w:keepLines/>
              <w:rPr>
                <w:iCs/>
              </w:rPr>
            </w:pPr>
            <w:r w:rsidRPr="0037612D">
              <w:rPr>
                <w:iCs/>
              </w:rPr>
              <w:t>32.2 months</w:t>
            </w:r>
          </w:p>
        </w:tc>
        <w:tc>
          <w:tcPr>
            <w:tcW w:w="572" w:type="pct"/>
            <w:tcBorders>
              <w:top w:val="single" w:sz="4" w:space="0" w:color="auto"/>
              <w:left w:val="single" w:sz="4" w:space="0" w:color="auto"/>
              <w:bottom w:val="single" w:sz="4" w:space="0" w:color="auto"/>
              <w:right w:val="single" w:sz="4" w:space="0" w:color="auto"/>
            </w:tcBorders>
          </w:tcPr>
          <w:p w14:paraId="7E91D87F" w14:textId="7D5FE46D" w:rsidR="008B35B4" w:rsidRPr="00E56F82" w:rsidRDefault="008B35B4" w:rsidP="004B69BC">
            <w:pPr>
              <w:pStyle w:val="TableText0"/>
              <w:keepLines/>
              <w:jc w:val="center"/>
              <w:rPr>
                <w:iCs/>
              </w:rPr>
            </w:pPr>
            <w:r w:rsidRPr="00E56F82">
              <w:rPr>
                <w:iCs/>
              </w:rPr>
              <w:t>$</w:t>
            </w:r>
            <w:r w:rsidR="00A8021D" w:rsidRPr="00A8021D">
              <w:rPr>
                <w:iCs/>
                <w:color w:val="000000"/>
                <w:spacing w:val="94"/>
                <w:shd w:val="solid" w:color="000000" w:fill="000000"/>
                <w:fitText w:val="180" w:id="-1435764987"/>
                <w14:textFill>
                  <w14:solidFill>
                    <w14:srgbClr w14:val="000000">
                      <w14:alpha w14:val="100000"/>
                    </w14:srgbClr>
                  </w14:solidFill>
                </w14:textFill>
              </w:rPr>
              <w:t>|</w:t>
            </w:r>
            <w:r w:rsidR="00A8021D" w:rsidRPr="00A8021D">
              <w:rPr>
                <w:iCs/>
                <w:color w:val="000000"/>
                <w:spacing w:val="1"/>
                <w:shd w:val="solid" w:color="000000" w:fill="000000"/>
                <w:fitText w:val="180" w:id="-1435764987"/>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tcPr>
          <w:p w14:paraId="3C2B83DC" w14:textId="1C77447F" w:rsidR="008B35B4" w:rsidRPr="00E56F82" w:rsidRDefault="008B35B4" w:rsidP="004B69BC">
            <w:pPr>
              <w:pStyle w:val="TableText0"/>
              <w:keepLines/>
              <w:jc w:val="center"/>
              <w:rPr>
                <w:iCs/>
              </w:rPr>
            </w:pPr>
            <w:r w:rsidRPr="00E56F82">
              <w:rPr>
                <w:iCs/>
              </w:rPr>
              <w:t>1.518</w:t>
            </w:r>
          </w:p>
        </w:tc>
        <w:tc>
          <w:tcPr>
            <w:tcW w:w="607" w:type="pct"/>
            <w:tcBorders>
              <w:top w:val="single" w:sz="4" w:space="0" w:color="auto"/>
              <w:left w:val="single" w:sz="4" w:space="0" w:color="auto"/>
              <w:bottom w:val="single" w:sz="4" w:space="0" w:color="auto"/>
              <w:right w:val="single" w:sz="4" w:space="0" w:color="auto"/>
            </w:tcBorders>
          </w:tcPr>
          <w:p w14:paraId="6C6E7559" w14:textId="09821989" w:rsidR="008B35B4" w:rsidRPr="00E56F82" w:rsidRDefault="008B35B4" w:rsidP="004B69BC">
            <w:pPr>
              <w:pStyle w:val="TableText0"/>
              <w:keepLines/>
              <w:jc w:val="center"/>
              <w:rPr>
                <w:iCs/>
              </w:rPr>
            </w:pPr>
            <w:r w:rsidRPr="00E56F82">
              <w:rPr>
                <w:iCs/>
              </w:rPr>
              <w:t>$</w:t>
            </w:r>
            <w:r w:rsidR="00A8021D" w:rsidRPr="00A8021D">
              <w:rPr>
                <w:iCs/>
                <w:color w:val="000000"/>
                <w:spacing w:val="74"/>
                <w:shd w:val="solid" w:color="000000" w:fill="000000"/>
                <w:fitText w:val="160" w:id="-1435764986"/>
                <w14:textFill>
                  <w14:solidFill>
                    <w14:srgbClr w14:val="000000">
                      <w14:alpha w14:val="100000"/>
                    </w14:srgbClr>
                  </w14:solidFill>
                </w14:textFill>
              </w:rPr>
              <w:t>|</w:t>
            </w:r>
            <w:r w:rsidR="00A8021D" w:rsidRPr="00A8021D">
              <w:rPr>
                <w:iCs/>
                <w:color w:val="000000"/>
                <w:spacing w:val="1"/>
                <w:shd w:val="solid" w:color="000000" w:fill="000000"/>
                <w:fitText w:val="160" w:id="-1435764986"/>
                <w14:textFill>
                  <w14:solidFill>
                    <w14:srgbClr w14:val="000000">
                      <w14:alpha w14:val="100000"/>
                    </w14:srgbClr>
                  </w14:solidFill>
                </w14:textFill>
              </w:rPr>
              <w:t>|</w:t>
            </w:r>
            <w:r w:rsidR="005F71E8" w:rsidRPr="005F71E8">
              <w:rPr>
                <w:bCs w:val="0"/>
                <w:iCs/>
                <w:vertAlign w:val="superscript"/>
              </w:rPr>
              <w:t>1</w:t>
            </w:r>
          </w:p>
        </w:tc>
        <w:tc>
          <w:tcPr>
            <w:tcW w:w="473" w:type="pct"/>
            <w:tcBorders>
              <w:top w:val="single" w:sz="4" w:space="0" w:color="auto"/>
              <w:left w:val="single" w:sz="4" w:space="0" w:color="auto"/>
              <w:bottom w:val="single" w:sz="4" w:space="0" w:color="auto"/>
              <w:right w:val="single" w:sz="4" w:space="0" w:color="auto"/>
            </w:tcBorders>
          </w:tcPr>
          <w:p w14:paraId="6498BCC8" w14:textId="33C43BB1" w:rsidR="008B35B4" w:rsidRPr="009D5359" w:rsidRDefault="008B35B4" w:rsidP="004B69BC">
            <w:pPr>
              <w:pStyle w:val="TableText0"/>
              <w:keepLines/>
              <w:jc w:val="center"/>
              <w:rPr>
                <w:iCs/>
              </w:rPr>
            </w:pPr>
            <w:r w:rsidRPr="009D5359">
              <w:rPr>
                <w:iCs/>
              </w:rPr>
              <w:t>16%</w:t>
            </w:r>
          </w:p>
        </w:tc>
      </w:tr>
      <w:tr w:rsidR="00F941F6" w:rsidRPr="00EF1FED" w14:paraId="7BCB3BF8" w14:textId="77777777" w:rsidTr="00F941F6">
        <w:trPr>
          <w:cantSplit/>
          <w:trHeight w:val="175"/>
        </w:trPr>
        <w:tc>
          <w:tcPr>
            <w:tcW w:w="2816" w:type="pct"/>
            <w:gridSpan w:val="3"/>
            <w:tcBorders>
              <w:top w:val="single" w:sz="4" w:space="0" w:color="auto"/>
              <w:left w:val="single" w:sz="4" w:space="0" w:color="auto"/>
              <w:right w:val="single" w:sz="4" w:space="0" w:color="auto"/>
            </w:tcBorders>
          </w:tcPr>
          <w:p w14:paraId="47B9D1D6" w14:textId="0260286B" w:rsidR="00F941F6" w:rsidRPr="0037612D" w:rsidRDefault="00F941F6" w:rsidP="004B69BC">
            <w:pPr>
              <w:pStyle w:val="TableText0"/>
              <w:keepLines/>
              <w:rPr>
                <w:iCs/>
              </w:rPr>
            </w:pPr>
            <w:r>
              <w:rPr>
                <w:iCs/>
              </w:rPr>
              <w:t>SA.1+SA.6+SA.7+SA.8</w:t>
            </w:r>
          </w:p>
        </w:tc>
        <w:tc>
          <w:tcPr>
            <w:tcW w:w="572" w:type="pct"/>
            <w:tcBorders>
              <w:top w:val="single" w:sz="4" w:space="0" w:color="auto"/>
              <w:left w:val="single" w:sz="4" w:space="0" w:color="auto"/>
              <w:right w:val="single" w:sz="4" w:space="0" w:color="auto"/>
            </w:tcBorders>
          </w:tcPr>
          <w:p w14:paraId="3EB3D882" w14:textId="26FB6010" w:rsidR="00F941F6" w:rsidRPr="00F941F6" w:rsidRDefault="00F941F6" w:rsidP="004B69BC">
            <w:pPr>
              <w:pStyle w:val="TableText0"/>
              <w:keepLines/>
              <w:jc w:val="center"/>
              <w:rPr>
                <w:iCs/>
              </w:rPr>
            </w:pPr>
            <w:r w:rsidRPr="00F941F6">
              <w:rPr>
                <w:iCs/>
              </w:rPr>
              <w:t>$</w:t>
            </w:r>
            <w:r w:rsidR="00A8021D" w:rsidRPr="00A8021D">
              <w:rPr>
                <w:iCs/>
                <w:color w:val="000000"/>
                <w:spacing w:val="94"/>
                <w:shd w:val="solid" w:color="000000" w:fill="000000"/>
                <w:fitText w:val="180" w:id="-1435764985"/>
                <w14:textFill>
                  <w14:solidFill>
                    <w14:srgbClr w14:val="000000">
                      <w14:alpha w14:val="100000"/>
                    </w14:srgbClr>
                  </w14:solidFill>
                </w14:textFill>
              </w:rPr>
              <w:t>|</w:t>
            </w:r>
            <w:r w:rsidR="00A8021D" w:rsidRPr="00A8021D">
              <w:rPr>
                <w:iCs/>
                <w:color w:val="000000"/>
                <w:spacing w:val="1"/>
                <w:shd w:val="solid" w:color="000000" w:fill="000000"/>
                <w:fitText w:val="180" w:id="-1435764985"/>
                <w14:textFill>
                  <w14:solidFill>
                    <w14:srgbClr w14:val="000000">
                      <w14:alpha w14:val="100000"/>
                    </w14:srgbClr>
                  </w14:solidFill>
                </w14:textFill>
              </w:rPr>
              <w:t>|</w:t>
            </w:r>
          </w:p>
        </w:tc>
        <w:tc>
          <w:tcPr>
            <w:tcW w:w="532" w:type="pct"/>
            <w:tcBorders>
              <w:top w:val="single" w:sz="4" w:space="0" w:color="auto"/>
              <w:left w:val="single" w:sz="4" w:space="0" w:color="auto"/>
              <w:right w:val="single" w:sz="4" w:space="0" w:color="auto"/>
            </w:tcBorders>
          </w:tcPr>
          <w:p w14:paraId="1485BDEF" w14:textId="4A652099" w:rsidR="00F941F6" w:rsidRPr="00F941F6" w:rsidRDefault="00F941F6" w:rsidP="004B69BC">
            <w:pPr>
              <w:pStyle w:val="TableText0"/>
              <w:keepLines/>
              <w:jc w:val="center"/>
              <w:rPr>
                <w:iCs/>
              </w:rPr>
            </w:pPr>
            <w:r w:rsidRPr="00F941F6">
              <w:rPr>
                <w:iCs/>
              </w:rPr>
              <w:t>0.762</w:t>
            </w:r>
          </w:p>
        </w:tc>
        <w:tc>
          <w:tcPr>
            <w:tcW w:w="607" w:type="pct"/>
            <w:tcBorders>
              <w:top w:val="single" w:sz="4" w:space="0" w:color="auto"/>
              <w:left w:val="single" w:sz="4" w:space="0" w:color="auto"/>
              <w:right w:val="single" w:sz="4" w:space="0" w:color="auto"/>
            </w:tcBorders>
          </w:tcPr>
          <w:p w14:paraId="69D430F8" w14:textId="6DC63DC0" w:rsidR="00F941F6" w:rsidRPr="00F941F6" w:rsidRDefault="00F941F6" w:rsidP="004B69BC">
            <w:pPr>
              <w:pStyle w:val="TableText0"/>
              <w:keepLines/>
              <w:jc w:val="center"/>
              <w:rPr>
                <w:iCs/>
              </w:rPr>
            </w:pPr>
            <w:r w:rsidRPr="00F941F6">
              <w:rPr>
                <w:iCs/>
              </w:rPr>
              <w:t>$</w:t>
            </w:r>
            <w:r w:rsidR="00A8021D" w:rsidRPr="00A8021D">
              <w:rPr>
                <w:iCs/>
                <w:color w:val="000000"/>
                <w:spacing w:val="74"/>
                <w:shd w:val="solid" w:color="000000" w:fill="000000"/>
                <w:fitText w:val="160" w:id="-1435764984"/>
                <w14:textFill>
                  <w14:solidFill>
                    <w14:srgbClr w14:val="000000">
                      <w14:alpha w14:val="100000"/>
                    </w14:srgbClr>
                  </w14:solidFill>
                </w14:textFill>
              </w:rPr>
              <w:t>|</w:t>
            </w:r>
            <w:r w:rsidR="00A8021D" w:rsidRPr="00A8021D">
              <w:rPr>
                <w:iCs/>
                <w:color w:val="000000"/>
                <w:spacing w:val="1"/>
                <w:shd w:val="solid" w:color="000000" w:fill="000000"/>
                <w:fitText w:val="160" w:id="-1435764984"/>
                <w14:textFill>
                  <w14:solidFill>
                    <w14:srgbClr w14:val="000000">
                      <w14:alpha w14:val="100000"/>
                    </w14:srgbClr>
                  </w14:solidFill>
                </w14:textFill>
              </w:rPr>
              <w:t>|</w:t>
            </w:r>
            <w:r w:rsidR="005F71E8">
              <w:rPr>
                <w:bCs w:val="0"/>
                <w:iCs/>
                <w:vertAlign w:val="superscript"/>
              </w:rPr>
              <w:t>2</w:t>
            </w:r>
          </w:p>
        </w:tc>
        <w:tc>
          <w:tcPr>
            <w:tcW w:w="473" w:type="pct"/>
            <w:tcBorders>
              <w:top w:val="single" w:sz="4" w:space="0" w:color="auto"/>
              <w:left w:val="single" w:sz="4" w:space="0" w:color="auto"/>
              <w:right w:val="single" w:sz="4" w:space="0" w:color="auto"/>
            </w:tcBorders>
          </w:tcPr>
          <w:p w14:paraId="0C678E50" w14:textId="2B8DB48B" w:rsidR="00F941F6" w:rsidRPr="009D5359" w:rsidRDefault="00F941F6" w:rsidP="004B69BC">
            <w:pPr>
              <w:pStyle w:val="TableText0"/>
              <w:keepLines/>
              <w:jc w:val="center"/>
              <w:rPr>
                <w:iCs/>
              </w:rPr>
            </w:pPr>
            <w:r>
              <w:rPr>
                <w:iCs/>
              </w:rPr>
              <w:t>169%</w:t>
            </w:r>
          </w:p>
        </w:tc>
      </w:tr>
    </w:tbl>
    <w:p w14:paraId="08400123" w14:textId="77777777" w:rsidR="00B1779F" w:rsidRPr="0058641B" w:rsidRDefault="00B1779F" w:rsidP="004B69BC">
      <w:pPr>
        <w:pStyle w:val="TableFooter"/>
        <w:keepNext/>
        <w:keepLines/>
      </w:pPr>
      <w:bookmarkStart w:id="70" w:name="_Ref106380891"/>
      <w:r w:rsidRPr="0058641B">
        <w:t xml:space="preserve">Source: Table compiled during the evaluation, based on Tables 3.25, p101 of the submission; the “PDL1 high_Economic Evaluation” Excel workbook. </w:t>
      </w:r>
    </w:p>
    <w:p w14:paraId="1A784826" w14:textId="2C8465B5" w:rsidR="00B1779F" w:rsidRDefault="004B69BC" w:rsidP="004B69BC">
      <w:pPr>
        <w:pStyle w:val="TableFooter"/>
        <w:keepNext/>
        <w:keepLines/>
      </w:pPr>
      <w:r w:rsidRPr="004B69BC">
        <w:rPr>
          <w:iCs/>
        </w:rPr>
        <w:t>1L DR = first-line distant recurrence;</w:t>
      </w:r>
      <w:r>
        <w:rPr>
          <w:i/>
        </w:rPr>
        <w:t xml:space="preserve"> </w:t>
      </w:r>
      <w:r w:rsidRPr="004B69BC">
        <w:rPr>
          <w:iCs/>
        </w:rPr>
        <w:t>BSC = best supportive care</w:t>
      </w:r>
      <w:r w:rsidR="00B1779F" w:rsidRPr="0058641B">
        <w:t>; DFS = disease-free survival; PD-L1 = programmed cell death ligand 1; QALY= quality-adjusted life year.</w:t>
      </w:r>
    </w:p>
    <w:p w14:paraId="746B6EAB" w14:textId="77777777" w:rsidR="005F71E8" w:rsidRPr="00181DAC" w:rsidRDefault="005F71E8" w:rsidP="005F71E8">
      <w:pPr>
        <w:pStyle w:val="TableFigureFooter"/>
        <w:keepNext/>
        <w:spacing w:after="0"/>
        <w:contextualSpacing w:val="0"/>
        <w:rPr>
          <w:i/>
        </w:rPr>
      </w:pPr>
      <w:r w:rsidRPr="00181DAC">
        <w:rPr>
          <w:i/>
        </w:rPr>
        <w:t>The redacted values correspond to the following ranges:</w:t>
      </w:r>
    </w:p>
    <w:p w14:paraId="58817966" w14:textId="6F4744BE" w:rsidR="005F71E8" w:rsidRPr="00281DAB" w:rsidRDefault="005F71E8" w:rsidP="005F71E8">
      <w:pPr>
        <w:pStyle w:val="TableFigureFooter"/>
        <w:keepNext/>
        <w:spacing w:after="0"/>
        <w:contextualSpacing w:val="0"/>
      </w:pPr>
      <w:r w:rsidRPr="00181DAC">
        <w:rPr>
          <w:i/>
          <w:szCs w:val="18"/>
          <w:vertAlign w:val="superscript"/>
        </w:rPr>
        <w:t>1</w:t>
      </w:r>
      <w:r w:rsidRPr="00181DAC">
        <w:rPr>
          <w:i/>
          <w:szCs w:val="18"/>
        </w:rPr>
        <w:t xml:space="preserve"> </w:t>
      </w:r>
      <w:r w:rsidRPr="005F71E8">
        <w:rPr>
          <w:i/>
          <w:szCs w:val="18"/>
        </w:rPr>
        <w:t>$5,000 to &lt; $15,000</w:t>
      </w:r>
    </w:p>
    <w:p w14:paraId="6E3EA5CC" w14:textId="53E2A81D" w:rsidR="005F71E8" w:rsidRPr="005F71E8" w:rsidRDefault="005F71E8" w:rsidP="005F71E8">
      <w:pPr>
        <w:rPr>
          <w:rFonts w:ascii="Arial Narrow" w:hAnsi="Arial Narrow"/>
          <w:i/>
          <w:sz w:val="18"/>
          <w:szCs w:val="18"/>
        </w:rPr>
      </w:pPr>
      <w:r w:rsidRPr="00181DAC">
        <w:rPr>
          <w:rFonts w:ascii="Arial Narrow" w:hAnsi="Arial Narrow"/>
          <w:i/>
          <w:sz w:val="18"/>
          <w:szCs w:val="18"/>
          <w:vertAlign w:val="superscript"/>
        </w:rPr>
        <w:t>2</w:t>
      </w:r>
      <w:r w:rsidRPr="00181DAC">
        <w:rPr>
          <w:rFonts w:ascii="Arial Narrow" w:hAnsi="Arial Narrow"/>
          <w:i/>
          <w:sz w:val="18"/>
          <w:szCs w:val="18"/>
        </w:rPr>
        <w:t xml:space="preserve"> </w:t>
      </w:r>
      <w:r w:rsidRPr="005F71E8">
        <w:rPr>
          <w:rFonts w:ascii="Arial Narrow" w:hAnsi="Arial Narrow"/>
          <w:i/>
          <w:sz w:val="18"/>
          <w:szCs w:val="18"/>
        </w:rPr>
        <w:t>$15,000 to &lt; $25,000</w:t>
      </w:r>
    </w:p>
    <w:p w14:paraId="57767282" w14:textId="5EC64240" w:rsidR="008B35B4" w:rsidRPr="005F71E8" w:rsidRDefault="008B35B4" w:rsidP="005F71E8">
      <w:pPr>
        <w:pStyle w:val="3-BodyText"/>
        <w:numPr>
          <w:ilvl w:val="0"/>
          <w:numId w:val="0"/>
        </w:numPr>
        <w:rPr>
          <w:iCs/>
          <w:color w:val="000000" w:themeColor="text1"/>
        </w:rPr>
      </w:pPr>
    </w:p>
    <w:p w14:paraId="2598D106" w14:textId="71846172" w:rsidR="00635E4D" w:rsidRPr="00DD6641" w:rsidRDefault="00635E4D" w:rsidP="00635E4D">
      <w:pPr>
        <w:pStyle w:val="3-BodyText"/>
        <w:rPr>
          <w:i/>
          <w:color w:val="000000" w:themeColor="text1"/>
        </w:rPr>
      </w:pPr>
      <w:r w:rsidRPr="00DD6641">
        <w:rPr>
          <w:iCs/>
          <w:color w:val="000000" w:themeColor="text1"/>
        </w:rPr>
        <w:t xml:space="preserve">The ESC considered it would be informative for the PBAC to be provided with a summary of key clinical data and economic and financial assumptions for submissions associated with adjuvant treatments.  </w:t>
      </w:r>
      <w:bookmarkEnd w:id="70"/>
      <w:r w:rsidR="00DB62AF">
        <w:rPr>
          <w:iCs/>
          <w:color w:val="000000" w:themeColor="text1"/>
        </w:rPr>
        <w:t xml:space="preserve">The PBAC noted it had previously considered an ICER of less than </w:t>
      </w:r>
      <w:r w:rsidR="00894A92" w:rsidRPr="00894A92">
        <w:rPr>
          <w:iCs/>
          <w:color w:val="000000" w:themeColor="text1"/>
        </w:rPr>
        <w:t>$25,000 to &lt; $35,000</w:t>
      </w:r>
      <w:r w:rsidR="00DB62AF">
        <w:rPr>
          <w:iCs/>
          <w:color w:val="000000" w:themeColor="text1"/>
        </w:rPr>
        <w:t xml:space="preserve">/ QALY to be reasonable in an adjuvant treatment setting (paragraph 5.11, </w:t>
      </w:r>
      <w:r w:rsidR="008C72CD">
        <w:rPr>
          <w:iCs/>
          <w:color w:val="000000" w:themeColor="text1"/>
        </w:rPr>
        <w:t xml:space="preserve">nivolumab PSD, July 2019 PBAC meeting).  </w:t>
      </w:r>
    </w:p>
    <w:p w14:paraId="539CFB38" w14:textId="77777777" w:rsidR="00C37C68" w:rsidRPr="0058641B" w:rsidRDefault="00C37C68" w:rsidP="00C37C68">
      <w:pPr>
        <w:pStyle w:val="4-SubsectionHeading"/>
      </w:pPr>
      <w:bookmarkStart w:id="71" w:name="_Toc101281147"/>
      <w:r w:rsidRPr="0058641B">
        <w:t>Drug cost/patient/course</w:t>
      </w:r>
      <w:bookmarkEnd w:id="46"/>
      <w:bookmarkEnd w:id="71"/>
    </w:p>
    <w:p w14:paraId="485E7C2B" w14:textId="25E5DE5B" w:rsidR="00C37C68" w:rsidRPr="0058641B" w:rsidRDefault="00C37C68" w:rsidP="00C37C68">
      <w:pPr>
        <w:pStyle w:val="3-BodyText"/>
        <w:rPr>
          <w:i/>
        </w:rPr>
      </w:pPr>
      <w:r w:rsidRPr="0058641B">
        <w:t xml:space="preserve">The submission estimated that the drug acquisition cost would be </w:t>
      </w:r>
      <w:r w:rsidR="00894A92" w:rsidRPr="00894A92">
        <w:t>$35,000 to &lt; $45,000</w:t>
      </w:r>
      <w:r w:rsidRPr="0058641B">
        <w:t xml:space="preserve"> for a complete treatment course of 16 cycles of ATZ 1,200 mg Q3W in 93% of patients and 12 cycles of ATZ 1,680 mg Q4W in the remaining 7% patients, using a public/private setting split of 38.7% </w:t>
      </w:r>
      <w:r w:rsidRPr="0058641B">
        <w:rPr>
          <w:iCs/>
        </w:rPr>
        <w:t>versus</w:t>
      </w:r>
      <w:r w:rsidRPr="0058641B">
        <w:rPr>
          <w:i/>
        </w:rPr>
        <w:t xml:space="preserve"> </w:t>
      </w:r>
      <w:r w:rsidRPr="0058641B">
        <w:t xml:space="preserve">61.3%. If the trial-based </w:t>
      </w:r>
      <w:r w:rsidR="00987A33" w:rsidRPr="0058641B">
        <w:t>time to off treatment (</w:t>
      </w:r>
      <w:r w:rsidRPr="0058641B">
        <w:t>TTOT</w:t>
      </w:r>
      <w:r w:rsidR="00987A33" w:rsidRPr="0058641B">
        <w:t>)</w:t>
      </w:r>
      <w:r w:rsidRPr="0058641B">
        <w:t xml:space="preserve"> (for the Q3W regimen) and DFS (for the Q4W regimen) data are used, the drug cost would be </w:t>
      </w:r>
      <w:r w:rsidR="00894A92" w:rsidRPr="00894A92">
        <w:t>$35,000 to &lt; $45,000</w:t>
      </w:r>
      <w:r w:rsidRPr="0058641B">
        <w:t xml:space="preserve"> per patient per course. A </w:t>
      </w:r>
      <w:r w:rsidRPr="0058641B">
        <w:lastRenderedPageBreak/>
        <w:t xml:space="preserve">comparison of the drug cost estimated based on the IMpower0101 trial data, in the economic evaluation and in the financial analysis is presented in </w:t>
      </w:r>
      <w:r w:rsidR="008527A2" w:rsidRPr="0058641B">
        <w:fldChar w:fldCharType="begin"/>
      </w:r>
      <w:r w:rsidR="008527A2" w:rsidRPr="0058641B">
        <w:instrText xml:space="preserve"> REF _Ref101225808 \h </w:instrText>
      </w:r>
      <w:r w:rsidR="008527A2" w:rsidRPr="0058641B">
        <w:fldChar w:fldCharType="separate"/>
      </w:r>
      <w:r w:rsidR="0043151A" w:rsidRPr="0058641B">
        <w:t xml:space="preserve">Table </w:t>
      </w:r>
      <w:r w:rsidR="0043151A">
        <w:rPr>
          <w:noProof/>
        </w:rPr>
        <w:t>19</w:t>
      </w:r>
      <w:r w:rsidR="008527A2" w:rsidRPr="0058641B">
        <w:fldChar w:fldCharType="end"/>
      </w:r>
      <w:r w:rsidRPr="0058641B">
        <w:t xml:space="preserve">. </w:t>
      </w:r>
      <w:r w:rsidRPr="0058641B">
        <w:rPr>
          <w:i/>
        </w:rPr>
        <w:t xml:space="preserve"> </w:t>
      </w:r>
    </w:p>
    <w:p w14:paraId="6BCE5BE1" w14:textId="7D5B63B9" w:rsidR="00C37C68" w:rsidRPr="0058641B" w:rsidRDefault="00C37C68" w:rsidP="00C37C68">
      <w:pPr>
        <w:pStyle w:val="TableFigureHeading"/>
        <w:rPr>
          <w:rStyle w:val="CommentReference"/>
          <w:b/>
          <w:szCs w:val="24"/>
        </w:rPr>
      </w:pPr>
      <w:bookmarkStart w:id="72" w:name="_Ref101225808"/>
      <w:r w:rsidRPr="0058641B">
        <w:t xml:space="preserve">Table </w:t>
      </w:r>
      <w:fldSimple w:instr=" SEQ Table \* ARABIC ">
        <w:r w:rsidR="0043151A">
          <w:rPr>
            <w:noProof/>
          </w:rPr>
          <w:t>19</w:t>
        </w:r>
      </w:fldSimple>
      <w:bookmarkEnd w:id="72"/>
      <w:r w:rsidRPr="0058641B">
        <w:t>:</w:t>
      </w:r>
      <w:r w:rsidRPr="0058641B">
        <w:rPr>
          <w:rStyle w:val="CommentReference"/>
          <w:b/>
          <w:szCs w:val="24"/>
        </w:rPr>
        <w:t xml:space="preserve"> Drug cost per patient for atezolizumab as adjuvant therapy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8"/>
        <w:gridCol w:w="1944"/>
        <w:gridCol w:w="2498"/>
        <w:gridCol w:w="2637"/>
      </w:tblGrid>
      <w:tr w:rsidR="00C37C68" w:rsidRPr="0058641B" w14:paraId="4EAF50EE" w14:textId="77777777" w:rsidTr="00D312D9">
        <w:trPr>
          <w:cantSplit/>
          <w:tblHeader/>
        </w:trPr>
        <w:tc>
          <w:tcPr>
            <w:tcW w:w="1074" w:type="pct"/>
            <w:shd w:val="clear" w:color="auto" w:fill="auto"/>
            <w:vAlign w:val="center"/>
          </w:tcPr>
          <w:p w14:paraId="66A7B3E8" w14:textId="77777777" w:rsidR="00C37C68" w:rsidRPr="0058641B" w:rsidRDefault="00C37C68" w:rsidP="00D312D9">
            <w:pPr>
              <w:pStyle w:val="In-tableHeading"/>
              <w:rPr>
                <w:lang w:val="en-AU"/>
              </w:rPr>
            </w:pPr>
          </w:p>
        </w:tc>
        <w:tc>
          <w:tcPr>
            <w:tcW w:w="1078" w:type="pct"/>
            <w:shd w:val="clear" w:color="auto" w:fill="auto"/>
            <w:vAlign w:val="center"/>
          </w:tcPr>
          <w:p w14:paraId="4AADBE25" w14:textId="77777777" w:rsidR="00C37C68" w:rsidRPr="0058641B" w:rsidRDefault="00C37C68" w:rsidP="00D312D9">
            <w:pPr>
              <w:pStyle w:val="In-tableHeading"/>
              <w:ind w:left="-80" w:firstLine="80"/>
              <w:jc w:val="center"/>
              <w:rPr>
                <w:lang w:val="en-AU"/>
              </w:rPr>
            </w:pPr>
            <w:r w:rsidRPr="0058641B">
              <w:rPr>
                <w:lang w:val="en-AU"/>
              </w:rPr>
              <w:t>Trial dose and duration</w:t>
            </w:r>
          </w:p>
        </w:tc>
        <w:tc>
          <w:tcPr>
            <w:tcW w:w="1385" w:type="pct"/>
            <w:shd w:val="clear" w:color="auto" w:fill="auto"/>
            <w:vAlign w:val="center"/>
          </w:tcPr>
          <w:p w14:paraId="06647CBE" w14:textId="77777777" w:rsidR="00C37C68" w:rsidRPr="0058641B" w:rsidRDefault="00C37C68" w:rsidP="00D312D9">
            <w:pPr>
              <w:pStyle w:val="In-tableHeading"/>
              <w:jc w:val="center"/>
              <w:rPr>
                <w:lang w:val="en-AU"/>
              </w:rPr>
            </w:pPr>
            <w:r w:rsidRPr="0058641B">
              <w:rPr>
                <w:lang w:val="en-AU"/>
              </w:rPr>
              <w:t>Model</w:t>
            </w:r>
          </w:p>
        </w:tc>
        <w:tc>
          <w:tcPr>
            <w:tcW w:w="1462" w:type="pct"/>
            <w:shd w:val="clear" w:color="auto" w:fill="auto"/>
            <w:vAlign w:val="center"/>
          </w:tcPr>
          <w:p w14:paraId="58123CB2" w14:textId="77777777" w:rsidR="00C37C68" w:rsidRPr="0058641B" w:rsidRDefault="00C37C68" w:rsidP="00D312D9">
            <w:pPr>
              <w:pStyle w:val="In-tableHeading"/>
              <w:jc w:val="center"/>
              <w:rPr>
                <w:lang w:val="en-AU"/>
              </w:rPr>
            </w:pPr>
            <w:r w:rsidRPr="0058641B">
              <w:rPr>
                <w:lang w:val="en-AU"/>
              </w:rPr>
              <w:t>Financial estimates</w:t>
            </w:r>
          </w:p>
        </w:tc>
      </w:tr>
      <w:tr w:rsidR="00C37C68" w:rsidRPr="0058641B" w14:paraId="5A8C9565" w14:textId="77777777" w:rsidTr="00D312D9">
        <w:trPr>
          <w:cantSplit/>
        </w:trPr>
        <w:tc>
          <w:tcPr>
            <w:tcW w:w="1074" w:type="pct"/>
            <w:shd w:val="clear" w:color="auto" w:fill="auto"/>
            <w:vAlign w:val="center"/>
          </w:tcPr>
          <w:p w14:paraId="36C09340" w14:textId="77777777" w:rsidR="00C37C68" w:rsidRPr="0058641B" w:rsidRDefault="00C37C68" w:rsidP="00D312D9">
            <w:pPr>
              <w:pStyle w:val="TableText0"/>
            </w:pPr>
            <w:r w:rsidRPr="0058641B">
              <w:t>Dose</w:t>
            </w:r>
          </w:p>
        </w:tc>
        <w:tc>
          <w:tcPr>
            <w:tcW w:w="1078" w:type="pct"/>
            <w:shd w:val="clear" w:color="auto" w:fill="auto"/>
            <w:vAlign w:val="center"/>
          </w:tcPr>
          <w:p w14:paraId="14DDE175" w14:textId="77777777" w:rsidR="00C37C68" w:rsidRPr="0058641B" w:rsidRDefault="00C37C68" w:rsidP="00D312D9">
            <w:pPr>
              <w:pStyle w:val="TableText0"/>
              <w:jc w:val="center"/>
            </w:pPr>
            <w:r w:rsidRPr="0058641B">
              <w:t>1,200 mg Q3W</w:t>
            </w:r>
          </w:p>
        </w:tc>
        <w:tc>
          <w:tcPr>
            <w:tcW w:w="1385" w:type="pct"/>
            <w:shd w:val="clear" w:color="auto" w:fill="auto"/>
            <w:vAlign w:val="center"/>
          </w:tcPr>
          <w:p w14:paraId="1F1F0BDD" w14:textId="77777777" w:rsidR="00C37C68" w:rsidRPr="0058641B" w:rsidRDefault="00C37C68" w:rsidP="00D312D9">
            <w:pPr>
              <w:pStyle w:val="TableText0"/>
              <w:jc w:val="center"/>
            </w:pPr>
            <w:r w:rsidRPr="0058641B">
              <w:t xml:space="preserve">1,200 mg Q3W (93%) and </w:t>
            </w:r>
            <w:r w:rsidRPr="0058641B">
              <w:br/>
              <w:t>1,680 mg Q4W (7%)</w:t>
            </w:r>
          </w:p>
        </w:tc>
        <w:tc>
          <w:tcPr>
            <w:tcW w:w="1462" w:type="pct"/>
            <w:shd w:val="clear" w:color="auto" w:fill="auto"/>
            <w:vAlign w:val="center"/>
          </w:tcPr>
          <w:p w14:paraId="0516E645" w14:textId="77777777" w:rsidR="00C37C68" w:rsidRPr="0058641B" w:rsidRDefault="00C37C68" w:rsidP="00D312D9">
            <w:pPr>
              <w:pStyle w:val="TableText0"/>
              <w:jc w:val="center"/>
            </w:pPr>
            <w:r w:rsidRPr="0058641B">
              <w:t xml:space="preserve">1,200 mg Q3W (93%) and </w:t>
            </w:r>
            <w:r w:rsidRPr="0058641B">
              <w:br/>
              <w:t>1,680 mg Q4W (7%)</w:t>
            </w:r>
          </w:p>
        </w:tc>
      </w:tr>
      <w:tr w:rsidR="00C37C68" w:rsidRPr="00073D5D" w14:paraId="62793709" w14:textId="77777777" w:rsidTr="00D312D9">
        <w:trPr>
          <w:cantSplit/>
        </w:trPr>
        <w:tc>
          <w:tcPr>
            <w:tcW w:w="1074" w:type="pct"/>
            <w:shd w:val="clear" w:color="auto" w:fill="auto"/>
            <w:vAlign w:val="center"/>
          </w:tcPr>
          <w:p w14:paraId="5E4C2399" w14:textId="77777777" w:rsidR="00C37C68" w:rsidRPr="0058641B" w:rsidRDefault="00C37C68" w:rsidP="00D312D9">
            <w:pPr>
              <w:pStyle w:val="TableText0"/>
            </w:pPr>
            <w:r w:rsidRPr="0058641B">
              <w:t>Mean duration</w:t>
            </w:r>
          </w:p>
        </w:tc>
        <w:tc>
          <w:tcPr>
            <w:tcW w:w="1078" w:type="pct"/>
            <w:shd w:val="clear" w:color="auto" w:fill="auto"/>
            <w:vAlign w:val="center"/>
          </w:tcPr>
          <w:p w14:paraId="29FE919B" w14:textId="77777777" w:rsidR="00C37C68" w:rsidRPr="0058641B" w:rsidRDefault="00C37C68" w:rsidP="00D312D9">
            <w:pPr>
              <w:pStyle w:val="TableText0"/>
              <w:jc w:val="center"/>
            </w:pPr>
            <w:r w:rsidRPr="0058641B">
              <w:t>12.4 cycles</w:t>
            </w:r>
          </w:p>
        </w:tc>
        <w:tc>
          <w:tcPr>
            <w:tcW w:w="1385" w:type="pct"/>
            <w:shd w:val="clear" w:color="auto" w:fill="auto"/>
            <w:vAlign w:val="center"/>
          </w:tcPr>
          <w:p w14:paraId="2624A5CD" w14:textId="77777777" w:rsidR="00C37C68" w:rsidRPr="0058641B" w:rsidRDefault="00C37C68" w:rsidP="00D312D9">
            <w:pPr>
              <w:pStyle w:val="TableText0"/>
              <w:jc w:val="center"/>
            </w:pPr>
            <w:r w:rsidRPr="0058641B">
              <w:t xml:space="preserve">1,200 mg Q3W: 12.9 </w:t>
            </w:r>
            <w:proofErr w:type="spellStart"/>
            <w:r w:rsidRPr="0058641B">
              <w:t>cycles</w:t>
            </w:r>
            <w:r w:rsidRPr="0058641B">
              <w:rPr>
                <w:vertAlign w:val="superscript"/>
              </w:rPr>
              <w:t>a</w:t>
            </w:r>
            <w:proofErr w:type="spellEnd"/>
          </w:p>
          <w:p w14:paraId="66F96FAE" w14:textId="77777777" w:rsidR="00C37C68" w:rsidRPr="0058641B" w:rsidRDefault="00C37C68" w:rsidP="00D312D9">
            <w:pPr>
              <w:pStyle w:val="TableText0"/>
              <w:jc w:val="center"/>
              <w:rPr>
                <w:vertAlign w:val="superscript"/>
              </w:rPr>
            </w:pPr>
            <w:r w:rsidRPr="0058641B">
              <w:t xml:space="preserve">1,680 mg Q4W: 11.36 </w:t>
            </w:r>
            <w:proofErr w:type="spellStart"/>
            <w:r w:rsidRPr="0058641B">
              <w:t>cycles</w:t>
            </w:r>
            <w:r w:rsidRPr="0058641B">
              <w:rPr>
                <w:vertAlign w:val="superscript"/>
              </w:rPr>
              <w:t>b</w:t>
            </w:r>
            <w:proofErr w:type="spellEnd"/>
          </w:p>
        </w:tc>
        <w:tc>
          <w:tcPr>
            <w:tcW w:w="1462" w:type="pct"/>
            <w:shd w:val="clear" w:color="auto" w:fill="auto"/>
            <w:vAlign w:val="center"/>
          </w:tcPr>
          <w:p w14:paraId="0A3E479F" w14:textId="77777777" w:rsidR="00C37C68" w:rsidRPr="00073D5D" w:rsidRDefault="00C37C68" w:rsidP="00D312D9">
            <w:pPr>
              <w:pStyle w:val="TableText0"/>
              <w:jc w:val="center"/>
              <w:rPr>
                <w:lang w:val="fr-FR"/>
              </w:rPr>
            </w:pPr>
            <w:r w:rsidRPr="00073D5D">
              <w:rPr>
                <w:lang w:val="fr-FR"/>
              </w:rPr>
              <w:t>1,200 mg Q3</w:t>
            </w:r>
            <w:proofErr w:type="gramStart"/>
            <w:r w:rsidRPr="00073D5D">
              <w:rPr>
                <w:lang w:val="fr-FR"/>
              </w:rPr>
              <w:t>W:</w:t>
            </w:r>
            <w:proofErr w:type="gramEnd"/>
            <w:r w:rsidRPr="00073D5D">
              <w:rPr>
                <w:lang w:val="fr-FR"/>
              </w:rPr>
              <w:t xml:space="preserve"> 12.4 cycles</w:t>
            </w:r>
          </w:p>
          <w:p w14:paraId="124E5756" w14:textId="77777777" w:rsidR="00C37C68" w:rsidRPr="00073D5D" w:rsidRDefault="00C37C68" w:rsidP="00D312D9">
            <w:pPr>
              <w:pStyle w:val="TableText0"/>
              <w:jc w:val="center"/>
              <w:rPr>
                <w:vertAlign w:val="superscript"/>
                <w:lang w:val="fr-FR"/>
              </w:rPr>
            </w:pPr>
            <w:r w:rsidRPr="00073D5D">
              <w:rPr>
                <w:lang w:val="fr-FR"/>
              </w:rPr>
              <w:t>1,680 mg Q4</w:t>
            </w:r>
            <w:proofErr w:type="gramStart"/>
            <w:r w:rsidRPr="00073D5D">
              <w:rPr>
                <w:lang w:val="fr-FR"/>
              </w:rPr>
              <w:t>W:</w:t>
            </w:r>
            <w:proofErr w:type="gramEnd"/>
            <w:r w:rsidRPr="00073D5D">
              <w:rPr>
                <w:lang w:val="fr-FR"/>
              </w:rPr>
              <w:t xml:space="preserve"> 11.31 </w:t>
            </w:r>
            <w:proofErr w:type="spellStart"/>
            <w:r w:rsidRPr="00073D5D">
              <w:rPr>
                <w:lang w:val="fr-FR"/>
              </w:rPr>
              <w:t>cycles</w:t>
            </w:r>
            <w:r w:rsidRPr="00073D5D">
              <w:rPr>
                <w:vertAlign w:val="superscript"/>
                <w:lang w:val="fr-FR"/>
              </w:rPr>
              <w:t>c</w:t>
            </w:r>
            <w:proofErr w:type="spellEnd"/>
          </w:p>
        </w:tc>
      </w:tr>
      <w:tr w:rsidR="00C37C68" w:rsidRPr="0058641B" w14:paraId="1F7EAADC" w14:textId="77777777" w:rsidTr="00D312D9">
        <w:trPr>
          <w:cantSplit/>
        </w:trPr>
        <w:tc>
          <w:tcPr>
            <w:tcW w:w="1074" w:type="pct"/>
            <w:shd w:val="clear" w:color="auto" w:fill="auto"/>
            <w:vAlign w:val="center"/>
          </w:tcPr>
          <w:p w14:paraId="5F414855" w14:textId="77777777" w:rsidR="00C37C68" w:rsidRPr="0058641B" w:rsidRDefault="00C37C68" w:rsidP="00D312D9">
            <w:pPr>
              <w:pStyle w:val="TableText0"/>
            </w:pPr>
            <w:r w:rsidRPr="0058641B">
              <w:t>Cost/patient/cycle</w:t>
            </w:r>
          </w:p>
        </w:tc>
        <w:tc>
          <w:tcPr>
            <w:tcW w:w="1078" w:type="pct"/>
            <w:shd w:val="clear" w:color="auto" w:fill="auto"/>
            <w:vAlign w:val="center"/>
          </w:tcPr>
          <w:p w14:paraId="6680CC94" w14:textId="757B6236" w:rsidR="00C37C68" w:rsidRPr="0058641B" w:rsidRDefault="00C37C68" w:rsidP="00D312D9">
            <w:pPr>
              <w:pStyle w:val="TableText0"/>
              <w:jc w:val="center"/>
              <w:rPr>
                <w:vertAlign w:val="superscript"/>
              </w:rPr>
            </w:pPr>
            <w:r w:rsidRPr="0058641B">
              <w:t>$</w:t>
            </w:r>
            <w:r w:rsidR="00A8021D" w:rsidRPr="00A8021D">
              <w:rPr>
                <w:rFonts w:hint="eastAsia"/>
                <w:color w:val="000000"/>
                <w:w w:val="15"/>
                <w:shd w:val="solid" w:color="000000" w:fill="000000"/>
                <w:fitText w:val="30" w:id="-1435764983"/>
                <w14:textFill>
                  <w14:solidFill>
                    <w14:srgbClr w14:val="000000">
                      <w14:alpha w14:val="100000"/>
                    </w14:srgbClr>
                  </w14:solidFill>
                </w14:textFill>
              </w:rPr>
              <w:t xml:space="preserve">　</w:t>
            </w:r>
            <w:r w:rsidR="00A8021D" w:rsidRPr="00A8021D">
              <w:rPr>
                <w:color w:val="000000"/>
                <w:w w:val="15"/>
                <w:shd w:val="solid" w:color="000000" w:fill="000000"/>
                <w:fitText w:val="30" w:id="-1435764983"/>
                <w14:textFill>
                  <w14:solidFill>
                    <w14:srgbClr w14:val="000000">
                      <w14:alpha w14:val="100000"/>
                    </w14:srgbClr>
                  </w14:solidFill>
                </w14:textFill>
              </w:rPr>
              <w:t>|</w:t>
            </w:r>
            <w:r w:rsidR="00A8021D" w:rsidRPr="00A8021D">
              <w:rPr>
                <w:rFonts w:hint="eastAsia"/>
                <w:color w:val="000000"/>
                <w:spacing w:val="-35"/>
                <w:w w:val="15"/>
                <w:shd w:val="solid" w:color="000000" w:fill="000000"/>
                <w:fitText w:val="30" w:id="-1435764983"/>
                <w14:textFill>
                  <w14:solidFill>
                    <w14:srgbClr w14:val="000000">
                      <w14:alpha w14:val="100000"/>
                    </w14:srgbClr>
                  </w14:solidFill>
                </w14:textFill>
              </w:rPr>
              <w:t xml:space="preserve">　</w:t>
            </w:r>
            <w:r w:rsidRPr="0058641B">
              <w:t xml:space="preserve"> per cycle</w:t>
            </w:r>
            <w:r w:rsidRPr="0058641B">
              <w:rPr>
                <w:vertAlign w:val="superscript"/>
              </w:rPr>
              <w:t>d</w:t>
            </w:r>
          </w:p>
        </w:tc>
        <w:tc>
          <w:tcPr>
            <w:tcW w:w="2847" w:type="pct"/>
            <w:gridSpan w:val="2"/>
            <w:shd w:val="clear" w:color="auto" w:fill="auto"/>
            <w:vAlign w:val="center"/>
          </w:tcPr>
          <w:p w14:paraId="76353296" w14:textId="2A37299A" w:rsidR="00C37C68" w:rsidRPr="0058641B" w:rsidRDefault="00C37C68" w:rsidP="00D312D9">
            <w:pPr>
              <w:pStyle w:val="TableText0"/>
              <w:jc w:val="center"/>
              <w:rPr>
                <w:vertAlign w:val="superscript"/>
              </w:rPr>
            </w:pPr>
            <w:r w:rsidRPr="0058641B">
              <w:t xml:space="preserve">1,200 mg Q3W: </w:t>
            </w:r>
            <w:r w:rsidR="00AD0333">
              <w:t>$</w:t>
            </w:r>
            <w:r w:rsidR="00A8021D" w:rsidRPr="00A8021D">
              <w:rPr>
                <w:color w:val="000000"/>
                <w:shd w:val="solid" w:color="000000" w:fill="000000"/>
                <w14:textFill>
                  <w14:solidFill>
                    <w14:srgbClr w14:val="000000">
                      <w14:alpha w14:val="100000"/>
                    </w14:srgbClr>
                  </w14:solidFill>
                </w14:textFill>
              </w:rPr>
              <w:t>|</w:t>
            </w:r>
            <w:r w:rsidRPr="0058641B">
              <w:t xml:space="preserve"> per cycle</w:t>
            </w:r>
            <w:r w:rsidRPr="0058641B">
              <w:rPr>
                <w:vertAlign w:val="superscript"/>
              </w:rPr>
              <w:t>d</w:t>
            </w:r>
          </w:p>
          <w:p w14:paraId="71E2A91D" w14:textId="393B7858" w:rsidR="00C37C68" w:rsidRPr="0058641B" w:rsidRDefault="00C37C68" w:rsidP="00D312D9">
            <w:pPr>
              <w:pStyle w:val="TableText0"/>
              <w:jc w:val="center"/>
              <w:rPr>
                <w:vertAlign w:val="superscript"/>
              </w:rPr>
            </w:pPr>
            <w:r w:rsidRPr="0058641B">
              <w:t>1,680 mg Q4W: $</w:t>
            </w:r>
            <w:r w:rsidR="00A8021D" w:rsidRPr="00A8021D">
              <w:rPr>
                <w:color w:val="000000"/>
                <w:shd w:val="solid" w:color="000000" w:fill="000000"/>
                <w14:textFill>
                  <w14:solidFill>
                    <w14:srgbClr w14:val="000000">
                      <w14:alpha w14:val="100000"/>
                    </w14:srgbClr>
                  </w14:solidFill>
                </w14:textFill>
              </w:rPr>
              <w:t>|</w:t>
            </w:r>
            <w:r w:rsidRPr="0058641B">
              <w:t xml:space="preserve"> per cycle</w:t>
            </w:r>
            <w:r w:rsidRPr="0058641B">
              <w:rPr>
                <w:vertAlign w:val="superscript"/>
              </w:rPr>
              <w:t>d</w:t>
            </w:r>
          </w:p>
        </w:tc>
      </w:tr>
      <w:tr w:rsidR="00C37C68" w:rsidRPr="0058641B" w14:paraId="4E7563EC" w14:textId="77777777" w:rsidTr="00D312D9">
        <w:trPr>
          <w:cantSplit/>
        </w:trPr>
        <w:tc>
          <w:tcPr>
            <w:tcW w:w="1074" w:type="pct"/>
            <w:shd w:val="clear" w:color="auto" w:fill="auto"/>
            <w:vAlign w:val="center"/>
          </w:tcPr>
          <w:p w14:paraId="596D6DFF" w14:textId="77777777" w:rsidR="00C37C68" w:rsidRPr="0058641B" w:rsidRDefault="00C37C68" w:rsidP="00D312D9">
            <w:pPr>
              <w:pStyle w:val="TableText0"/>
            </w:pPr>
            <w:r w:rsidRPr="0058641B">
              <w:t>Cost/patient/course</w:t>
            </w:r>
          </w:p>
        </w:tc>
        <w:tc>
          <w:tcPr>
            <w:tcW w:w="1078" w:type="pct"/>
            <w:shd w:val="clear" w:color="auto" w:fill="auto"/>
            <w:vAlign w:val="center"/>
          </w:tcPr>
          <w:p w14:paraId="5621B2B1" w14:textId="3A2148D7" w:rsidR="00C37C68" w:rsidRPr="0058641B" w:rsidRDefault="00C37C68" w:rsidP="00D312D9">
            <w:pPr>
              <w:pStyle w:val="TableText0"/>
              <w:jc w:val="center"/>
            </w:pPr>
            <w:r w:rsidRPr="0058641B">
              <w:t>$</w:t>
            </w:r>
            <w:r w:rsidR="00A8021D" w:rsidRPr="00A8021D">
              <w:rPr>
                <w:color w:val="000000"/>
                <w:shd w:val="solid" w:color="000000" w:fill="000000"/>
                <w14:textFill>
                  <w14:solidFill>
                    <w14:srgbClr w14:val="000000">
                      <w14:alpha w14:val="100000"/>
                    </w14:srgbClr>
                  </w14:solidFill>
                </w14:textFill>
              </w:rPr>
              <w:t>|</w:t>
            </w:r>
            <w:r w:rsidRPr="0058641B">
              <w:t xml:space="preserve"> </w:t>
            </w:r>
          </w:p>
        </w:tc>
        <w:tc>
          <w:tcPr>
            <w:tcW w:w="1385" w:type="pct"/>
            <w:shd w:val="clear" w:color="auto" w:fill="auto"/>
            <w:vAlign w:val="center"/>
          </w:tcPr>
          <w:p w14:paraId="65D10F15" w14:textId="4F25A38E" w:rsidR="00C37C68" w:rsidRPr="0058641B" w:rsidRDefault="00C37C68" w:rsidP="00D312D9">
            <w:pPr>
              <w:pStyle w:val="TableText0"/>
              <w:jc w:val="center"/>
            </w:pPr>
            <w:r w:rsidRPr="0058641B">
              <w:t>$</w:t>
            </w:r>
            <w:r w:rsidR="00A8021D" w:rsidRPr="00A8021D">
              <w:rPr>
                <w:color w:val="000000"/>
                <w:shd w:val="solid" w:color="000000" w:fill="000000"/>
                <w14:textFill>
                  <w14:solidFill>
                    <w14:srgbClr w14:val="000000">
                      <w14:alpha w14:val="100000"/>
                    </w14:srgbClr>
                  </w14:solidFill>
                </w14:textFill>
              </w:rPr>
              <w:t>|</w:t>
            </w:r>
          </w:p>
        </w:tc>
        <w:tc>
          <w:tcPr>
            <w:tcW w:w="1462" w:type="pct"/>
            <w:shd w:val="clear" w:color="auto" w:fill="auto"/>
            <w:vAlign w:val="center"/>
          </w:tcPr>
          <w:p w14:paraId="203C9037" w14:textId="32EE0922" w:rsidR="00C37C68" w:rsidRPr="0058641B" w:rsidRDefault="00C37C68" w:rsidP="00D312D9">
            <w:pPr>
              <w:pStyle w:val="TableText0"/>
              <w:jc w:val="center"/>
            </w:pPr>
            <w:r w:rsidRPr="0058641B">
              <w:t>$</w:t>
            </w:r>
            <w:r w:rsidR="00A8021D" w:rsidRPr="00A8021D">
              <w:rPr>
                <w:color w:val="000000"/>
                <w:shd w:val="solid" w:color="000000" w:fill="000000"/>
                <w14:textFill>
                  <w14:solidFill>
                    <w14:srgbClr w14:val="000000">
                      <w14:alpha w14:val="100000"/>
                    </w14:srgbClr>
                  </w14:solidFill>
                </w14:textFill>
              </w:rPr>
              <w:t>|</w:t>
            </w:r>
          </w:p>
        </w:tc>
      </w:tr>
    </w:tbl>
    <w:p w14:paraId="08873BB1" w14:textId="77777777" w:rsidR="00C37C68" w:rsidRPr="0058641B" w:rsidRDefault="00C37C68" w:rsidP="00C37C68">
      <w:pPr>
        <w:pStyle w:val="TableFigureFooter"/>
      </w:pPr>
      <w:r w:rsidRPr="0058641B">
        <w:t xml:space="preserve">Source: </w:t>
      </w:r>
      <w:r w:rsidRPr="0058641B">
        <w:rPr>
          <w:i/>
        </w:rPr>
        <w:t xml:space="preserve">Table constructed during the evaluation, </w:t>
      </w:r>
      <w:r w:rsidRPr="0058641B">
        <w:t>based on Table 4.10, p117 of the submission; Table 15, p60 the IMpower010 clinical study report; and the “Economic Evaluation” Excel workbook</w:t>
      </w:r>
    </w:p>
    <w:p w14:paraId="47099871" w14:textId="77777777" w:rsidR="00C37C68" w:rsidRPr="0058641B" w:rsidRDefault="00C37C68" w:rsidP="00C37C68">
      <w:pPr>
        <w:pStyle w:val="TableFigureFooter"/>
      </w:pPr>
      <w:r w:rsidRPr="0058641B">
        <w:t>Q3W = every 3 weeks; Q4W = every 4 weeks</w:t>
      </w:r>
    </w:p>
    <w:p w14:paraId="562A0828" w14:textId="77777777" w:rsidR="00C37C68" w:rsidRPr="0058641B" w:rsidRDefault="00C37C68" w:rsidP="00C37C68">
      <w:pPr>
        <w:pStyle w:val="TableFigureFooter"/>
      </w:pPr>
      <w:r w:rsidRPr="0058641B">
        <w:rPr>
          <w:vertAlign w:val="superscript"/>
        </w:rPr>
        <w:t xml:space="preserve">a </w:t>
      </w:r>
      <w:r w:rsidRPr="0058641B">
        <w:t>Based on the time to off treatment curve for atezolizumab in IMpower010</w:t>
      </w:r>
    </w:p>
    <w:p w14:paraId="2587CFF5" w14:textId="77777777" w:rsidR="00C37C68" w:rsidRPr="0058641B" w:rsidRDefault="00C37C68" w:rsidP="00C37C68">
      <w:pPr>
        <w:pStyle w:val="TableFigureFooter"/>
      </w:pPr>
      <w:r w:rsidRPr="0058641B">
        <w:rPr>
          <w:vertAlign w:val="superscript"/>
        </w:rPr>
        <w:t xml:space="preserve">b </w:t>
      </w:r>
      <w:r w:rsidRPr="0058641B">
        <w:t>Based on the disease-free survival curve for atezolizumab in IMpower010.</w:t>
      </w:r>
    </w:p>
    <w:p w14:paraId="6641B348" w14:textId="77777777" w:rsidR="00C37C68" w:rsidRPr="0058641B" w:rsidRDefault="00C37C68" w:rsidP="00C37C68">
      <w:pPr>
        <w:pStyle w:val="TableFigureFooter"/>
      </w:pPr>
      <w:r w:rsidRPr="0058641B">
        <w:rPr>
          <w:vertAlign w:val="superscript"/>
        </w:rPr>
        <w:t xml:space="preserve">c </w:t>
      </w:r>
      <w:r w:rsidRPr="0058641B">
        <w:t xml:space="preserve">Estimated using the median treatment duration for atezolizumab in IMpower010 (10.4 months), with a conversion from Q3W to Q4W. </w:t>
      </w:r>
    </w:p>
    <w:p w14:paraId="506C5FA1" w14:textId="0A605F59" w:rsidR="00C37C68" w:rsidRPr="0058641B" w:rsidRDefault="00C37C68" w:rsidP="001764B6">
      <w:pPr>
        <w:pStyle w:val="TableFigureFooter"/>
      </w:pPr>
      <w:r w:rsidRPr="0058641B">
        <w:rPr>
          <w:vertAlign w:val="superscript"/>
        </w:rPr>
        <w:t xml:space="preserve">d </w:t>
      </w:r>
      <w:r w:rsidRPr="0058641B">
        <w:t xml:space="preserve">Assuming 38.7% of the atezolizumab scripts will be dispensed in a public hospital setting, and 61.3% in a private hospital setting. </w:t>
      </w:r>
    </w:p>
    <w:p w14:paraId="689D9202" w14:textId="77777777" w:rsidR="00C37C68" w:rsidRPr="0058641B" w:rsidRDefault="00C37C68" w:rsidP="00C37C68">
      <w:pPr>
        <w:pStyle w:val="4-SubsectionHeading"/>
      </w:pPr>
      <w:bookmarkStart w:id="73" w:name="_Toc22897647"/>
      <w:bookmarkStart w:id="74" w:name="_Toc101281148"/>
      <w:r w:rsidRPr="0058641B">
        <w:t>Estimated PBS usage &amp; financial implications</w:t>
      </w:r>
      <w:bookmarkEnd w:id="73"/>
      <w:bookmarkEnd w:id="74"/>
    </w:p>
    <w:p w14:paraId="0105A370" w14:textId="77777777" w:rsidR="00441ED9" w:rsidRDefault="00C37C68" w:rsidP="00441ED9">
      <w:pPr>
        <w:pStyle w:val="3-BodyText"/>
      </w:pPr>
      <w:r w:rsidRPr="0058641B">
        <w:t xml:space="preserve">This submission </w:t>
      </w:r>
      <w:r w:rsidR="00CF0853" w:rsidRPr="0058641B">
        <w:t>was not</w:t>
      </w:r>
      <w:r w:rsidRPr="0058641B">
        <w:t xml:space="preserve"> considered by DUSC</w:t>
      </w:r>
      <w:r w:rsidRPr="0058641B">
        <w:rPr>
          <w:color w:val="0070C0"/>
        </w:rPr>
        <w:t xml:space="preserve">. </w:t>
      </w:r>
      <w:r w:rsidRPr="0058641B">
        <w:t xml:space="preserve">The financial analysis took an epidemiological approach to estimate the financial impacts of the proposed listing of adjuvant ATZ. The key inputs in the financial analysis are summarised in </w:t>
      </w:r>
      <w:r w:rsidR="008527A2" w:rsidRPr="0058641B">
        <w:fldChar w:fldCharType="begin"/>
      </w:r>
      <w:r w:rsidR="008527A2" w:rsidRPr="0058641B">
        <w:instrText xml:space="preserve"> REF _Ref101225826 \h </w:instrText>
      </w:r>
      <w:r w:rsidR="008527A2" w:rsidRPr="0058641B">
        <w:fldChar w:fldCharType="separate"/>
      </w:r>
      <w:r w:rsidR="0043151A" w:rsidRPr="0058641B">
        <w:t xml:space="preserve">Table </w:t>
      </w:r>
      <w:r w:rsidR="0043151A">
        <w:rPr>
          <w:noProof/>
        </w:rPr>
        <w:t>20</w:t>
      </w:r>
      <w:r w:rsidR="008527A2" w:rsidRPr="0058641B">
        <w:fldChar w:fldCharType="end"/>
      </w:r>
      <w:r w:rsidRPr="0058641B">
        <w:t xml:space="preserve">. </w:t>
      </w:r>
      <w:bookmarkStart w:id="75" w:name="_Ref101225826"/>
    </w:p>
    <w:p w14:paraId="4A50EDDD" w14:textId="2D30D8B2" w:rsidR="00C37C68" w:rsidRPr="00A041F7" w:rsidRDefault="00C37C68" w:rsidP="00300B92">
      <w:pPr>
        <w:pStyle w:val="TableFigureHeading"/>
        <w:keepLines/>
        <w:widowControl w:val="0"/>
      </w:pPr>
      <w:r w:rsidRPr="0058641B">
        <w:lastRenderedPageBreak/>
        <w:t xml:space="preserve">Table </w:t>
      </w:r>
      <w:fldSimple w:instr=" SEQ Table \* ARABIC ">
        <w:r w:rsidR="00441ED9">
          <w:t>20</w:t>
        </w:r>
      </w:fldSimple>
      <w:bookmarkEnd w:id="75"/>
      <w:r w:rsidRPr="0058641B">
        <w:t>:</w:t>
      </w:r>
      <w:r w:rsidRPr="00441ED9">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85" w:type="dxa"/>
          <w:right w:w="85" w:type="dxa"/>
        </w:tblCellMar>
        <w:tblLook w:val="0000" w:firstRow="0" w:lastRow="0" w:firstColumn="0" w:lastColumn="0" w:noHBand="0" w:noVBand="0"/>
      </w:tblPr>
      <w:tblGrid>
        <w:gridCol w:w="2972"/>
        <w:gridCol w:w="2240"/>
        <w:gridCol w:w="3805"/>
      </w:tblGrid>
      <w:tr w:rsidR="00C37C68" w:rsidRPr="0058641B" w14:paraId="63C24D2B" w14:textId="77777777" w:rsidTr="00644DC1">
        <w:tc>
          <w:tcPr>
            <w:tcW w:w="1648" w:type="pct"/>
            <w:shd w:val="clear" w:color="auto" w:fill="FFFFFF" w:themeFill="background1"/>
          </w:tcPr>
          <w:p w14:paraId="1DC20FA1" w14:textId="642A5BC6" w:rsidR="00C37C68" w:rsidRPr="0058641B" w:rsidRDefault="00C37C68" w:rsidP="00300B92">
            <w:pPr>
              <w:pStyle w:val="TableText0"/>
              <w:keepLines/>
              <w:widowControl w:val="0"/>
              <w:rPr>
                <w:b/>
              </w:rPr>
            </w:pPr>
            <w:r w:rsidRPr="0058641B">
              <w:rPr>
                <w:b/>
              </w:rPr>
              <w:t>Parameter</w:t>
            </w:r>
          </w:p>
        </w:tc>
        <w:tc>
          <w:tcPr>
            <w:tcW w:w="1242" w:type="pct"/>
            <w:shd w:val="clear" w:color="auto" w:fill="FFFFFF" w:themeFill="background1"/>
          </w:tcPr>
          <w:p w14:paraId="38DE4CE2" w14:textId="77777777" w:rsidR="00C37C68" w:rsidRPr="0058641B" w:rsidRDefault="00C37C68" w:rsidP="00300B92">
            <w:pPr>
              <w:pStyle w:val="TableText0"/>
              <w:keepLines/>
              <w:widowControl w:val="0"/>
              <w:rPr>
                <w:b/>
              </w:rPr>
            </w:pPr>
            <w:r w:rsidRPr="0058641B">
              <w:rPr>
                <w:b/>
              </w:rPr>
              <w:t xml:space="preserve">Value applied </w:t>
            </w:r>
          </w:p>
        </w:tc>
        <w:tc>
          <w:tcPr>
            <w:tcW w:w="2110" w:type="pct"/>
            <w:shd w:val="clear" w:color="auto" w:fill="FFFFFF" w:themeFill="background1"/>
          </w:tcPr>
          <w:p w14:paraId="43385930" w14:textId="77777777" w:rsidR="00C37C68" w:rsidRPr="0058641B" w:rsidRDefault="00C37C68" w:rsidP="00300B92">
            <w:pPr>
              <w:pStyle w:val="TableText0"/>
              <w:keepLines/>
              <w:widowControl w:val="0"/>
              <w:rPr>
                <w:b/>
              </w:rPr>
            </w:pPr>
            <w:r w:rsidRPr="0058641B">
              <w:rPr>
                <w:b/>
              </w:rPr>
              <w:t>Source and comment</w:t>
            </w:r>
          </w:p>
        </w:tc>
      </w:tr>
      <w:tr w:rsidR="00C37C68" w:rsidRPr="0058641B" w14:paraId="50689598" w14:textId="77777777" w:rsidTr="00644DC1">
        <w:tc>
          <w:tcPr>
            <w:tcW w:w="1648" w:type="pct"/>
            <w:shd w:val="clear" w:color="auto" w:fill="FFFFFF" w:themeFill="background1"/>
          </w:tcPr>
          <w:p w14:paraId="30175672" w14:textId="77777777" w:rsidR="00C37C68" w:rsidRPr="0058641B" w:rsidRDefault="00C37C68" w:rsidP="00300B92">
            <w:pPr>
              <w:pStyle w:val="TableText0"/>
              <w:keepLines/>
              <w:widowControl w:val="0"/>
            </w:pPr>
            <w:r w:rsidRPr="0058641B">
              <w:t>Incident cases of lung cancer</w:t>
            </w:r>
          </w:p>
        </w:tc>
        <w:tc>
          <w:tcPr>
            <w:tcW w:w="1242" w:type="pct"/>
            <w:shd w:val="clear" w:color="auto" w:fill="FFFFFF" w:themeFill="background1"/>
          </w:tcPr>
          <w:p w14:paraId="0A5C1581" w14:textId="77777777" w:rsidR="00C37C68" w:rsidRPr="0058641B" w:rsidRDefault="00C37C68" w:rsidP="00300B92">
            <w:pPr>
              <w:pStyle w:val="TableText0"/>
              <w:keepLines/>
              <w:widowControl w:val="0"/>
            </w:pPr>
            <w:r w:rsidRPr="0058641B">
              <w:t>14,502 in Year 1 (2023) to 16,088 in Year 6</w:t>
            </w:r>
          </w:p>
        </w:tc>
        <w:tc>
          <w:tcPr>
            <w:tcW w:w="2110" w:type="pct"/>
            <w:shd w:val="clear" w:color="auto" w:fill="FFFFFF" w:themeFill="background1"/>
          </w:tcPr>
          <w:p w14:paraId="09B1B149" w14:textId="77777777" w:rsidR="00C37C68" w:rsidRPr="0058641B" w:rsidRDefault="00C37C68" w:rsidP="00300B92">
            <w:pPr>
              <w:pStyle w:val="TableText0"/>
              <w:keepLines/>
              <w:widowControl w:val="0"/>
            </w:pPr>
            <w:r w:rsidRPr="0058641B">
              <w:t xml:space="preserve">AIHW ACIM books 2021, linear extrapolation. </w:t>
            </w:r>
          </w:p>
          <w:p w14:paraId="00EAF293" w14:textId="6C29D8FE" w:rsidR="00C37C68" w:rsidRPr="0058641B" w:rsidRDefault="00C37C68" w:rsidP="00300B92">
            <w:pPr>
              <w:pStyle w:val="TableText0"/>
              <w:keepLines/>
              <w:widowControl w:val="0"/>
            </w:pPr>
          </w:p>
        </w:tc>
      </w:tr>
      <w:tr w:rsidR="00C37C68" w:rsidRPr="0058641B" w14:paraId="627E8A2A" w14:textId="77777777" w:rsidTr="00644DC1">
        <w:tc>
          <w:tcPr>
            <w:tcW w:w="1648" w:type="pct"/>
            <w:shd w:val="clear" w:color="auto" w:fill="FFFFFF" w:themeFill="background1"/>
          </w:tcPr>
          <w:p w14:paraId="573FB7CB" w14:textId="77777777" w:rsidR="00C37C68" w:rsidRPr="0058641B" w:rsidRDefault="00C37C68" w:rsidP="00300B92">
            <w:pPr>
              <w:pStyle w:val="TableText0"/>
              <w:keepLines/>
              <w:widowControl w:val="0"/>
            </w:pPr>
            <w:r w:rsidRPr="0058641B">
              <w:t>Proportion of incident lung cancer patients with NSCLC</w:t>
            </w:r>
          </w:p>
        </w:tc>
        <w:tc>
          <w:tcPr>
            <w:tcW w:w="1242" w:type="pct"/>
            <w:shd w:val="clear" w:color="auto" w:fill="FFFFFF" w:themeFill="background1"/>
          </w:tcPr>
          <w:p w14:paraId="427AC84E" w14:textId="77777777" w:rsidR="00C37C68" w:rsidRPr="0058641B" w:rsidRDefault="00C37C68" w:rsidP="00300B92">
            <w:pPr>
              <w:pStyle w:val="TableText0"/>
              <w:keepLines/>
              <w:widowControl w:val="0"/>
              <w:tabs>
                <w:tab w:val="center" w:pos="1103"/>
              </w:tabs>
            </w:pPr>
            <w:r w:rsidRPr="0058641B">
              <w:t>85.5%</w:t>
            </w:r>
          </w:p>
          <w:p w14:paraId="7B631ED7" w14:textId="77777777" w:rsidR="00C37C68" w:rsidRPr="0058641B" w:rsidRDefault="00C37C68" w:rsidP="00300B92">
            <w:pPr>
              <w:pStyle w:val="TableText0"/>
              <w:keepLines/>
              <w:widowControl w:val="0"/>
            </w:pPr>
          </w:p>
        </w:tc>
        <w:tc>
          <w:tcPr>
            <w:tcW w:w="2110" w:type="pct"/>
            <w:vMerge w:val="restart"/>
            <w:shd w:val="clear" w:color="auto" w:fill="FFFFFF" w:themeFill="background1"/>
          </w:tcPr>
          <w:p w14:paraId="24A31B63" w14:textId="77777777" w:rsidR="00C37C68" w:rsidRPr="0058641B" w:rsidRDefault="00C37C68" w:rsidP="00300B92">
            <w:pPr>
              <w:pStyle w:val="TableText0"/>
              <w:keepLines/>
              <w:widowControl w:val="0"/>
            </w:pPr>
            <w:r w:rsidRPr="0058641B">
              <w:t>Updated Victorian Cancer Registry data reported by Stirling et al 2019.</w:t>
            </w:r>
          </w:p>
          <w:p w14:paraId="205E736B" w14:textId="3A0AE7B4" w:rsidR="00C37C68" w:rsidRPr="0058641B" w:rsidRDefault="00C37C68" w:rsidP="00300B92">
            <w:pPr>
              <w:pStyle w:val="TableText0"/>
              <w:keepLines/>
              <w:widowControl w:val="0"/>
            </w:pPr>
            <w:r w:rsidRPr="0058641B">
              <w:t>Reasonable data source</w:t>
            </w:r>
          </w:p>
        </w:tc>
      </w:tr>
      <w:tr w:rsidR="00C37C68" w:rsidRPr="0058641B" w14:paraId="003CB62F" w14:textId="77777777" w:rsidTr="00644DC1">
        <w:tc>
          <w:tcPr>
            <w:tcW w:w="1648" w:type="pct"/>
            <w:shd w:val="clear" w:color="auto" w:fill="FFFFFF" w:themeFill="background1"/>
          </w:tcPr>
          <w:p w14:paraId="2B87533D" w14:textId="77777777" w:rsidR="00C37C68" w:rsidRPr="0058641B" w:rsidRDefault="00C37C68" w:rsidP="00300B92">
            <w:pPr>
              <w:pStyle w:val="TableText0"/>
              <w:keepLines/>
              <w:widowControl w:val="0"/>
            </w:pPr>
            <w:r w:rsidRPr="0058641B">
              <w:t>Proportion of NSCLC with Stage II-IIIA disease</w:t>
            </w:r>
          </w:p>
        </w:tc>
        <w:tc>
          <w:tcPr>
            <w:tcW w:w="1242" w:type="pct"/>
            <w:shd w:val="clear" w:color="auto" w:fill="FFFFFF" w:themeFill="background1"/>
          </w:tcPr>
          <w:p w14:paraId="019106CF" w14:textId="77777777" w:rsidR="00C37C68" w:rsidRPr="0058641B" w:rsidRDefault="00C37C68" w:rsidP="00300B92">
            <w:pPr>
              <w:pStyle w:val="TableText0"/>
              <w:keepLines/>
              <w:widowControl w:val="0"/>
            </w:pPr>
            <w:r w:rsidRPr="0058641B">
              <w:t>Stage IIA: 2.5%</w:t>
            </w:r>
          </w:p>
          <w:p w14:paraId="33BED6CB" w14:textId="77777777" w:rsidR="00C37C68" w:rsidRPr="0058641B" w:rsidRDefault="00C37C68" w:rsidP="00300B92">
            <w:pPr>
              <w:pStyle w:val="TableText0"/>
              <w:keepLines/>
              <w:widowControl w:val="0"/>
            </w:pPr>
            <w:r w:rsidRPr="0058641B">
              <w:t>Stage IIB: 6.0%</w:t>
            </w:r>
          </w:p>
          <w:p w14:paraId="3B42E7F0" w14:textId="77777777" w:rsidR="00C37C68" w:rsidRPr="0058641B" w:rsidRDefault="00C37C68" w:rsidP="00300B92">
            <w:pPr>
              <w:pStyle w:val="TableText0"/>
              <w:keepLines/>
              <w:widowControl w:val="0"/>
            </w:pPr>
            <w:r w:rsidRPr="0058641B">
              <w:t>Stage IIIA: 10.0%</w:t>
            </w:r>
          </w:p>
        </w:tc>
        <w:tc>
          <w:tcPr>
            <w:tcW w:w="2110" w:type="pct"/>
            <w:vMerge/>
            <w:shd w:val="clear" w:color="auto" w:fill="FFFFFF" w:themeFill="background1"/>
          </w:tcPr>
          <w:p w14:paraId="10C8BE64" w14:textId="77777777" w:rsidR="00C37C68" w:rsidRPr="0058641B" w:rsidRDefault="00C37C68" w:rsidP="00300B92">
            <w:pPr>
              <w:pStyle w:val="TableText0"/>
              <w:keepLines/>
              <w:widowControl w:val="0"/>
            </w:pPr>
          </w:p>
        </w:tc>
      </w:tr>
      <w:tr w:rsidR="00C37C68" w:rsidRPr="0058641B" w14:paraId="02221112" w14:textId="77777777" w:rsidTr="00644DC1">
        <w:tc>
          <w:tcPr>
            <w:tcW w:w="1648" w:type="pct"/>
            <w:shd w:val="clear" w:color="auto" w:fill="FFFFFF" w:themeFill="background1"/>
          </w:tcPr>
          <w:p w14:paraId="3425D0DD" w14:textId="77777777" w:rsidR="00C37C68" w:rsidRPr="0058641B" w:rsidRDefault="00C37C68" w:rsidP="003B288A">
            <w:pPr>
              <w:pStyle w:val="TableText0"/>
              <w:keepLines/>
              <w:widowControl w:val="0"/>
            </w:pPr>
            <w:r w:rsidRPr="0058641B">
              <w:t xml:space="preserve">Proportion of </w:t>
            </w:r>
            <w:proofErr w:type="gramStart"/>
            <w:r w:rsidRPr="0058641B">
              <w:t>early stage</w:t>
            </w:r>
            <w:proofErr w:type="gramEnd"/>
            <w:r w:rsidRPr="0058641B">
              <w:t xml:space="preserve"> NSCLC who receive surgical resection</w:t>
            </w:r>
          </w:p>
        </w:tc>
        <w:tc>
          <w:tcPr>
            <w:tcW w:w="1242" w:type="pct"/>
            <w:shd w:val="clear" w:color="auto" w:fill="FFFFFF" w:themeFill="background1"/>
          </w:tcPr>
          <w:p w14:paraId="29CA7313" w14:textId="77777777" w:rsidR="00C37C68" w:rsidRPr="0058641B" w:rsidRDefault="00C37C68" w:rsidP="003B288A">
            <w:pPr>
              <w:pStyle w:val="TableText0"/>
              <w:keepLines/>
              <w:widowControl w:val="0"/>
            </w:pPr>
            <w:r w:rsidRPr="0058641B">
              <w:t xml:space="preserve">55.8% </w:t>
            </w:r>
          </w:p>
          <w:p w14:paraId="56AD5806" w14:textId="77777777" w:rsidR="00C37C68" w:rsidRPr="0058641B" w:rsidRDefault="00C37C68" w:rsidP="003B288A">
            <w:pPr>
              <w:pStyle w:val="TableText0"/>
              <w:keepLines/>
              <w:widowControl w:val="0"/>
            </w:pPr>
          </w:p>
        </w:tc>
        <w:tc>
          <w:tcPr>
            <w:tcW w:w="2110" w:type="pct"/>
            <w:vMerge w:val="restart"/>
            <w:shd w:val="clear" w:color="auto" w:fill="FFFFFF" w:themeFill="background1"/>
          </w:tcPr>
          <w:p w14:paraId="5316B9E4" w14:textId="77777777" w:rsidR="00C37C68" w:rsidRPr="0058641B" w:rsidRDefault="00C37C68" w:rsidP="003B288A">
            <w:pPr>
              <w:pStyle w:val="TableText0"/>
              <w:keepLines/>
              <w:widowControl w:val="0"/>
            </w:pPr>
            <w:r w:rsidRPr="0058641B">
              <w:t>Adjuvant NSCLC market research report (IQVIA 2021).</w:t>
            </w:r>
          </w:p>
          <w:p w14:paraId="31F49598" w14:textId="2D86415D" w:rsidR="00C37C68" w:rsidRDefault="00131DC3" w:rsidP="003B288A">
            <w:pPr>
              <w:pStyle w:val="TableText0"/>
              <w:keepLines/>
              <w:widowControl w:val="0"/>
            </w:pPr>
            <w:r>
              <w:t xml:space="preserve">The PBAC considered it </w:t>
            </w:r>
            <w:r w:rsidR="00C37C68" w:rsidRPr="0058641B">
              <w:t>was unknown whether the 30 medical oncologists</w:t>
            </w:r>
            <w:r>
              <w:t xml:space="preserve"> </w:t>
            </w:r>
            <w:r w:rsidR="00C37C68" w:rsidRPr="0058641B">
              <w:t xml:space="preserve">who completed this research </w:t>
            </w:r>
            <w:r>
              <w:t xml:space="preserve">(of the 500 contacted) </w:t>
            </w:r>
            <w:r w:rsidR="00C37C68" w:rsidRPr="0058641B">
              <w:t xml:space="preserve">can represent the spectrum of Australian clinical practice. </w:t>
            </w:r>
            <w:r>
              <w:t xml:space="preserve"> The PBAC noted the % of patients with PD-L1 ≥ 50% in IMpower010 (an enriched population) was 23% </w:t>
            </w:r>
            <w:r w:rsidR="00374090">
              <w:t xml:space="preserve">and </w:t>
            </w:r>
            <w:r>
              <w:t xml:space="preserve">other sources report 10% to </w:t>
            </w:r>
            <w:r w:rsidR="00374090">
              <w:t xml:space="preserve">30%. </w:t>
            </w:r>
            <w:r>
              <w:t xml:space="preserve">  </w:t>
            </w:r>
            <w:r w:rsidR="00374090">
              <w:t xml:space="preserve">Overall, the PBAC considered this assumption was reasonable. </w:t>
            </w:r>
          </w:p>
          <w:p w14:paraId="37BCA1F1" w14:textId="77777777" w:rsidR="00131DC3" w:rsidRDefault="00131DC3" w:rsidP="003B288A">
            <w:pPr>
              <w:pStyle w:val="TableText0"/>
              <w:keepLines/>
              <w:widowControl w:val="0"/>
            </w:pPr>
          </w:p>
          <w:p w14:paraId="29E64642" w14:textId="0F1BC762" w:rsidR="00131DC3" w:rsidRPr="0058641B" w:rsidRDefault="00131DC3" w:rsidP="003B288A">
            <w:pPr>
              <w:pStyle w:val="TableText0"/>
              <w:keepLines/>
              <w:widowControl w:val="0"/>
            </w:pPr>
          </w:p>
        </w:tc>
      </w:tr>
      <w:tr w:rsidR="00C37C68" w:rsidRPr="0058641B" w14:paraId="4838A6F7" w14:textId="77777777" w:rsidTr="00644DC1">
        <w:tc>
          <w:tcPr>
            <w:tcW w:w="1648" w:type="pct"/>
            <w:shd w:val="clear" w:color="auto" w:fill="FFFFFF" w:themeFill="background1"/>
          </w:tcPr>
          <w:p w14:paraId="6FF590C4" w14:textId="77777777" w:rsidR="00C37C68" w:rsidRPr="0058641B" w:rsidRDefault="00C37C68" w:rsidP="003B288A">
            <w:pPr>
              <w:pStyle w:val="TableText0"/>
              <w:keepLines/>
            </w:pPr>
            <w:r w:rsidRPr="0058641B">
              <w:t>Proportion of Stage II-IIIA NSCLC who receive adjuvant chemotherapy</w:t>
            </w:r>
          </w:p>
        </w:tc>
        <w:tc>
          <w:tcPr>
            <w:tcW w:w="1242" w:type="pct"/>
            <w:shd w:val="clear" w:color="auto" w:fill="FFFFFF" w:themeFill="background1"/>
          </w:tcPr>
          <w:p w14:paraId="3ABF9602" w14:textId="77777777" w:rsidR="00C37C68" w:rsidRPr="0058641B" w:rsidRDefault="00C37C68" w:rsidP="003B288A">
            <w:pPr>
              <w:pStyle w:val="TableText0"/>
              <w:keepLines/>
            </w:pPr>
            <w:r w:rsidRPr="0058641B">
              <w:t>Stage IIA: 64.0%</w:t>
            </w:r>
          </w:p>
          <w:p w14:paraId="62EA9D5F" w14:textId="77777777" w:rsidR="00C37C68" w:rsidRPr="0058641B" w:rsidRDefault="00C37C68" w:rsidP="003B288A">
            <w:pPr>
              <w:pStyle w:val="TableText0"/>
              <w:keepLines/>
            </w:pPr>
            <w:r w:rsidRPr="0058641B">
              <w:t>Stage IIB: 63.4%</w:t>
            </w:r>
          </w:p>
          <w:p w14:paraId="5DA42CC3" w14:textId="77777777" w:rsidR="00C37C68" w:rsidRPr="0058641B" w:rsidRDefault="00C37C68" w:rsidP="003B288A">
            <w:pPr>
              <w:pStyle w:val="TableText0"/>
              <w:keepLines/>
            </w:pPr>
            <w:r w:rsidRPr="0058641B">
              <w:t>Stage IIIA: 72.8%</w:t>
            </w:r>
          </w:p>
        </w:tc>
        <w:tc>
          <w:tcPr>
            <w:tcW w:w="2110" w:type="pct"/>
            <w:vMerge/>
            <w:shd w:val="clear" w:color="auto" w:fill="FFFFFF" w:themeFill="background1"/>
          </w:tcPr>
          <w:p w14:paraId="7E561A37" w14:textId="77777777" w:rsidR="00C37C68" w:rsidRPr="0058641B" w:rsidRDefault="00C37C68" w:rsidP="003B288A">
            <w:pPr>
              <w:pStyle w:val="TableText0"/>
              <w:keepLines/>
            </w:pPr>
          </w:p>
        </w:tc>
      </w:tr>
      <w:tr w:rsidR="00C37C68" w:rsidRPr="0058641B" w14:paraId="3B9793AF" w14:textId="77777777" w:rsidTr="00644DC1">
        <w:tc>
          <w:tcPr>
            <w:tcW w:w="1648" w:type="pct"/>
            <w:shd w:val="clear" w:color="auto" w:fill="FFFFFF" w:themeFill="background1"/>
          </w:tcPr>
          <w:p w14:paraId="406A3CA7" w14:textId="77777777" w:rsidR="00C37C68" w:rsidRPr="0058641B" w:rsidRDefault="00C37C68" w:rsidP="003B288A">
            <w:pPr>
              <w:pStyle w:val="TableText0"/>
              <w:keepLines/>
            </w:pPr>
            <w:r w:rsidRPr="0058641B">
              <w:t>Proportion of patients with PD-L1 ≥1%</w:t>
            </w:r>
          </w:p>
        </w:tc>
        <w:tc>
          <w:tcPr>
            <w:tcW w:w="1242" w:type="pct"/>
            <w:shd w:val="clear" w:color="auto" w:fill="FFFFFF" w:themeFill="background1"/>
          </w:tcPr>
          <w:p w14:paraId="46A5B439" w14:textId="77777777" w:rsidR="00C37C68" w:rsidRPr="0058641B" w:rsidRDefault="00C37C68" w:rsidP="003B288A">
            <w:pPr>
              <w:pStyle w:val="TableText0"/>
              <w:keepLines/>
            </w:pPr>
            <w:r w:rsidRPr="0058641B">
              <w:t>60.7%</w:t>
            </w:r>
          </w:p>
        </w:tc>
        <w:tc>
          <w:tcPr>
            <w:tcW w:w="2110" w:type="pct"/>
            <w:vMerge/>
            <w:shd w:val="clear" w:color="auto" w:fill="FFFFFF" w:themeFill="background1"/>
          </w:tcPr>
          <w:p w14:paraId="5DFFDB94" w14:textId="77777777" w:rsidR="00C37C68" w:rsidRPr="0058641B" w:rsidRDefault="00C37C68" w:rsidP="003B288A">
            <w:pPr>
              <w:pStyle w:val="TableText0"/>
              <w:keepLines/>
            </w:pPr>
          </w:p>
        </w:tc>
      </w:tr>
      <w:tr w:rsidR="00C37C68" w:rsidRPr="0058641B" w14:paraId="6B0DD0D9" w14:textId="77777777" w:rsidTr="00644DC1">
        <w:tc>
          <w:tcPr>
            <w:tcW w:w="1648" w:type="pct"/>
            <w:shd w:val="clear" w:color="auto" w:fill="FFFFFF" w:themeFill="background1"/>
          </w:tcPr>
          <w:p w14:paraId="41096F06" w14:textId="77777777" w:rsidR="00C37C68" w:rsidRPr="0058641B" w:rsidRDefault="00C37C68" w:rsidP="003B288A">
            <w:pPr>
              <w:pStyle w:val="TableText0"/>
              <w:keepLines/>
            </w:pPr>
            <w:r w:rsidRPr="0058641B">
              <w:t>Proportion of patients with PD-L1 ≥50%</w:t>
            </w:r>
          </w:p>
        </w:tc>
        <w:tc>
          <w:tcPr>
            <w:tcW w:w="1242" w:type="pct"/>
            <w:shd w:val="clear" w:color="auto" w:fill="FFFFFF" w:themeFill="background1"/>
          </w:tcPr>
          <w:p w14:paraId="21F519D7" w14:textId="77777777" w:rsidR="00C37C68" w:rsidRPr="0058641B" w:rsidRDefault="00C37C68" w:rsidP="003B288A">
            <w:pPr>
              <w:pStyle w:val="TableText0"/>
              <w:keepLines/>
            </w:pPr>
            <w:r w:rsidRPr="0058641B">
              <w:t>26.6%</w:t>
            </w:r>
          </w:p>
        </w:tc>
        <w:tc>
          <w:tcPr>
            <w:tcW w:w="2110" w:type="pct"/>
            <w:vMerge/>
            <w:shd w:val="clear" w:color="auto" w:fill="FFFFFF" w:themeFill="background1"/>
          </w:tcPr>
          <w:p w14:paraId="52ED0CB8" w14:textId="77777777" w:rsidR="00C37C68" w:rsidRPr="0058641B" w:rsidRDefault="00C37C68" w:rsidP="003B288A">
            <w:pPr>
              <w:pStyle w:val="TableText0"/>
              <w:keepLines/>
            </w:pPr>
          </w:p>
        </w:tc>
      </w:tr>
      <w:tr w:rsidR="00C37C68" w:rsidRPr="0058641B" w14:paraId="45481005" w14:textId="77777777" w:rsidTr="00644DC1">
        <w:trPr>
          <w:trHeight w:val="279"/>
        </w:trPr>
        <w:tc>
          <w:tcPr>
            <w:tcW w:w="1648" w:type="pct"/>
            <w:shd w:val="clear" w:color="auto" w:fill="auto"/>
          </w:tcPr>
          <w:p w14:paraId="0C120527" w14:textId="77777777" w:rsidR="00C37C68" w:rsidRPr="004A48B6" w:rsidRDefault="00C37C68" w:rsidP="003B288A">
            <w:pPr>
              <w:pStyle w:val="TableText0"/>
              <w:keepLines/>
            </w:pPr>
            <w:r w:rsidRPr="004A48B6">
              <w:t>Proportion of patients with WHO PS 1 or less</w:t>
            </w:r>
          </w:p>
        </w:tc>
        <w:tc>
          <w:tcPr>
            <w:tcW w:w="1242" w:type="pct"/>
            <w:shd w:val="clear" w:color="auto" w:fill="auto"/>
          </w:tcPr>
          <w:p w14:paraId="2A5C676F" w14:textId="77777777" w:rsidR="00C37C68" w:rsidRPr="004A48B6" w:rsidRDefault="00C37C68" w:rsidP="003B288A">
            <w:pPr>
              <w:pStyle w:val="TableText0"/>
              <w:keepLines/>
            </w:pPr>
            <w:r w:rsidRPr="004A48B6">
              <w:t>63.29%</w:t>
            </w:r>
          </w:p>
        </w:tc>
        <w:tc>
          <w:tcPr>
            <w:tcW w:w="2110" w:type="pct"/>
            <w:shd w:val="clear" w:color="auto" w:fill="auto"/>
          </w:tcPr>
          <w:p w14:paraId="35F8E4FE" w14:textId="1F3ADB56" w:rsidR="00C37C68" w:rsidRPr="004A48B6" w:rsidRDefault="00C37C68" w:rsidP="003B288A">
            <w:pPr>
              <w:pStyle w:val="TableText0"/>
              <w:keepLines/>
            </w:pPr>
            <w:r w:rsidRPr="004A48B6">
              <w:t>Victorian Cancer Registry data reported by Mitchell et al 2013.</w:t>
            </w:r>
            <w:r w:rsidR="007805D8" w:rsidRPr="004A48B6">
              <w:t xml:space="preserve"> The PBAC noted the registry data recorded performance status at baseline rather than after conclusion of adjuvant treatment.   The PBAC considered it would be more appropriate to assume 80% of patients would have </w:t>
            </w:r>
            <w:r w:rsidR="004A48B6" w:rsidRPr="004A48B6">
              <w:t xml:space="preserve">a </w:t>
            </w:r>
            <w:r w:rsidR="007805D8" w:rsidRPr="004A48B6">
              <w:t xml:space="preserve">WHO PS of 1 or less in the adjuvant treatment setting.  </w:t>
            </w:r>
          </w:p>
          <w:p w14:paraId="2875ABAF" w14:textId="69A8FC77" w:rsidR="00C37C68" w:rsidRPr="004A48B6" w:rsidRDefault="00C37C68" w:rsidP="003B288A">
            <w:pPr>
              <w:pStyle w:val="TableText0"/>
              <w:keepLines/>
            </w:pPr>
          </w:p>
        </w:tc>
      </w:tr>
      <w:tr w:rsidR="00C37C68" w:rsidRPr="0058641B" w14:paraId="417A36BC" w14:textId="77777777" w:rsidTr="00644DC1">
        <w:tc>
          <w:tcPr>
            <w:tcW w:w="1648" w:type="pct"/>
            <w:shd w:val="clear" w:color="auto" w:fill="FFFFFF" w:themeFill="background1"/>
          </w:tcPr>
          <w:p w14:paraId="789B7989" w14:textId="77777777" w:rsidR="00C37C68" w:rsidRPr="004A48B6" w:rsidRDefault="00C37C68" w:rsidP="003B288A">
            <w:pPr>
              <w:pStyle w:val="TableText0"/>
              <w:keepLines/>
            </w:pPr>
            <w:r w:rsidRPr="004A48B6">
              <w:t>Uptake rate of adjuvant ATZ</w:t>
            </w:r>
          </w:p>
        </w:tc>
        <w:tc>
          <w:tcPr>
            <w:tcW w:w="1242" w:type="pct"/>
            <w:shd w:val="clear" w:color="auto" w:fill="FFFFFF" w:themeFill="background1"/>
          </w:tcPr>
          <w:p w14:paraId="7F928848" w14:textId="77777777" w:rsidR="00C37C68" w:rsidRPr="004A48B6" w:rsidRDefault="00C37C68" w:rsidP="003B288A">
            <w:pPr>
              <w:pStyle w:val="TableText0"/>
              <w:keepLines/>
            </w:pPr>
            <w:r w:rsidRPr="004A48B6">
              <w:t>80%</w:t>
            </w:r>
          </w:p>
        </w:tc>
        <w:tc>
          <w:tcPr>
            <w:tcW w:w="2110" w:type="pct"/>
            <w:shd w:val="clear" w:color="auto" w:fill="FFFFFF" w:themeFill="background1"/>
          </w:tcPr>
          <w:p w14:paraId="33833AC0" w14:textId="75D0DC52" w:rsidR="00C37C68" w:rsidRPr="004A48B6" w:rsidRDefault="00C37C68" w:rsidP="003B288A">
            <w:pPr>
              <w:pStyle w:val="TableText0"/>
              <w:keepLines/>
            </w:pPr>
            <w:r w:rsidRPr="004A48B6">
              <w:t>Sponsor internal assumption.</w:t>
            </w:r>
            <w:r w:rsidR="004A48B6" w:rsidRPr="004A48B6">
              <w:t xml:space="preserve"> The PBAC considered this was </w:t>
            </w:r>
            <w:r w:rsidR="004A48B6">
              <w:t xml:space="preserve">an underestimate </w:t>
            </w:r>
            <w:r w:rsidR="004A48B6" w:rsidRPr="004A48B6">
              <w:t xml:space="preserve">and an uptake of 90% would be more reasonable. </w:t>
            </w:r>
          </w:p>
          <w:p w14:paraId="4C71B6AF" w14:textId="239617A6" w:rsidR="00C37C68" w:rsidRPr="004A48B6" w:rsidRDefault="00C37C68" w:rsidP="003B288A">
            <w:pPr>
              <w:pStyle w:val="TableText0"/>
              <w:keepLines/>
            </w:pPr>
          </w:p>
        </w:tc>
      </w:tr>
      <w:tr w:rsidR="00C37C68" w:rsidRPr="0058641B" w14:paraId="0E01B075" w14:textId="77777777" w:rsidTr="00644DC1">
        <w:tc>
          <w:tcPr>
            <w:tcW w:w="1648" w:type="pct"/>
            <w:shd w:val="clear" w:color="auto" w:fill="FFFFFF" w:themeFill="background1"/>
          </w:tcPr>
          <w:p w14:paraId="08929800" w14:textId="77777777" w:rsidR="00C37C68" w:rsidRPr="0058641B" w:rsidRDefault="00C37C68" w:rsidP="003B288A">
            <w:pPr>
              <w:pStyle w:val="TableText0"/>
              <w:keepLines/>
            </w:pPr>
            <w:r w:rsidRPr="0058641B">
              <w:t>Treatment duration of ATZ</w:t>
            </w:r>
          </w:p>
        </w:tc>
        <w:tc>
          <w:tcPr>
            <w:tcW w:w="1242" w:type="pct"/>
            <w:shd w:val="clear" w:color="auto" w:fill="FFFFFF" w:themeFill="background1"/>
          </w:tcPr>
          <w:p w14:paraId="7ADDF956" w14:textId="77777777" w:rsidR="00C37C68" w:rsidRPr="0058641B" w:rsidRDefault="00C37C68" w:rsidP="003B288A">
            <w:pPr>
              <w:pStyle w:val="TableText0"/>
              <w:keepLines/>
            </w:pPr>
            <w:r w:rsidRPr="0058641B">
              <w:t>12.4 doses of ATZ Q3W</w:t>
            </w:r>
          </w:p>
          <w:p w14:paraId="30B34111" w14:textId="77777777" w:rsidR="00C37C68" w:rsidRPr="0058641B" w:rsidRDefault="00C37C68" w:rsidP="003B288A">
            <w:pPr>
              <w:pStyle w:val="TableText0"/>
              <w:keepLines/>
            </w:pPr>
            <w:r w:rsidRPr="0058641B">
              <w:t>11.3 doses of ATZ Q4W</w:t>
            </w:r>
          </w:p>
        </w:tc>
        <w:tc>
          <w:tcPr>
            <w:tcW w:w="2110" w:type="pct"/>
            <w:shd w:val="clear" w:color="auto" w:fill="FFFFFF" w:themeFill="background1"/>
          </w:tcPr>
          <w:p w14:paraId="67D40782" w14:textId="77777777" w:rsidR="00C37C68" w:rsidRPr="0058641B" w:rsidRDefault="00C37C68" w:rsidP="003B288A">
            <w:pPr>
              <w:pStyle w:val="TableText0"/>
              <w:keepLines/>
            </w:pPr>
            <w:r w:rsidRPr="0058641B">
              <w:t xml:space="preserve">IMpower010 CSR </w:t>
            </w:r>
          </w:p>
          <w:p w14:paraId="4C30FA5D" w14:textId="77777777" w:rsidR="00C37C68" w:rsidRPr="0058641B" w:rsidRDefault="00C37C68" w:rsidP="003B288A">
            <w:pPr>
              <w:pStyle w:val="TableText0"/>
              <w:keepLines/>
            </w:pPr>
            <w:r w:rsidRPr="0058641B">
              <w:t>The estimated number of doses of ATZ Q3W was slightly lower in the financial analysis than in the economic model (12.4 cycles vs. 12.9 cycles).</w:t>
            </w:r>
          </w:p>
        </w:tc>
      </w:tr>
      <w:tr w:rsidR="00C37C68" w:rsidRPr="0058641B" w14:paraId="7735B103" w14:textId="77777777" w:rsidTr="00644DC1">
        <w:tc>
          <w:tcPr>
            <w:tcW w:w="1648" w:type="pct"/>
            <w:shd w:val="clear" w:color="auto" w:fill="FFFFFF" w:themeFill="background1"/>
          </w:tcPr>
          <w:p w14:paraId="71DB36D7" w14:textId="77777777" w:rsidR="00C37C68" w:rsidRPr="0058641B" w:rsidRDefault="00C37C68" w:rsidP="003B288A">
            <w:pPr>
              <w:pStyle w:val="TableText0"/>
              <w:keepLines/>
            </w:pPr>
            <w:r w:rsidRPr="0058641B">
              <w:t>Proportion of ATZ Q3W vs. Q4W</w:t>
            </w:r>
          </w:p>
        </w:tc>
        <w:tc>
          <w:tcPr>
            <w:tcW w:w="1242" w:type="pct"/>
            <w:shd w:val="clear" w:color="auto" w:fill="FFFFFF" w:themeFill="background1"/>
          </w:tcPr>
          <w:p w14:paraId="01D3DB1B" w14:textId="77777777" w:rsidR="00C37C68" w:rsidRPr="0058641B" w:rsidRDefault="00C37C68" w:rsidP="003B288A">
            <w:pPr>
              <w:pStyle w:val="TableText0"/>
              <w:keepLines/>
            </w:pPr>
            <w:r w:rsidRPr="0058641B">
              <w:t>93.02% vs. 6.98%</w:t>
            </w:r>
          </w:p>
        </w:tc>
        <w:tc>
          <w:tcPr>
            <w:tcW w:w="2110" w:type="pct"/>
            <w:shd w:val="clear" w:color="auto" w:fill="FFFFFF" w:themeFill="background1"/>
          </w:tcPr>
          <w:p w14:paraId="37895E2C" w14:textId="77777777" w:rsidR="00C37C68" w:rsidRPr="0058641B" w:rsidRDefault="00C37C68" w:rsidP="003B288A">
            <w:pPr>
              <w:pStyle w:val="TableText0"/>
              <w:keepLines/>
            </w:pPr>
            <w:r w:rsidRPr="0058641B">
              <w:t xml:space="preserve">2021 PBS utilisation data for ATZ as second-line therapy for locally advanced or metastatic </w:t>
            </w:r>
            <w:proofErr w:type="spellStart"/>
            <w:r w:rsidRPr="0058641B">
              <w:t>NSCLC</w:t>
            </w:r>
            <w:r w:rsidRPr="0058641B">
              <w:rPr>
                <w:vertAlign w:val="superscript"/>
              </w:rPr>
              <w:t>a</w:t>
            </w:r>
            <w:proofErr w:type="spellEnd"/>
            <w:r w:rsidRPr="0058641B">
              <w:t xml:space="preserve">. </w:t>
            </w:r>
          </w:p>
          <w:p w14:paraId="2BEE7CC7" w14:textId="1C76881B" w:rsidR="00C37C68" w:rsidRPr="0058641B" w:rsidRDefault="00C37C68" w:rsidP="003B288A">
            <w:pPr>
              <w:pStyle w:val="TableText0"/>
              <w:keepLines/>
            </w:pPr>
          </w:p>
        </w:tc>
      </w:tr>
      <w:tr w:rsidR="00C37C68" w:rsidRPr="0058641B" w14:paraId="4C9DBB2B" w14:textId="77777777" w:rsidTr="00644DC1">
        <w:tc>
          <w:tcPr>
            <w:tcW w:w="1648" w:type="pct"/>
            <w:shd w:val="clear" w:color="auto" w:fill="FFFFFF" w:themeFill="background1"/>
          </w:tcPr>
          <w:p w14:paraId="61D4AE4F" w14:textId="77777777" w:rsidR="00C37C68" w:rsidRPr="0058641B" w:rsidRDefault="00C37C68" w:rsidP="00300B92">
            <w:pPr>
              <w:pStyle w:val="TableText0"/>
              <w:keepNext w:val="0"/>
            </w:pPr>
            <w:r w:rsidRPr="0058641B">
              <w:t>Treatment duration of PEMBR + CARBO + PEME</w:t>
            </w:r>
          </w:p>
        </w:tc>
        <w:tc>
          <w:tcPr>
            <w:tcW w:w="1242" w:type="pct"/>
            <w:shd w:val="clear" w:color="auto" w:fill="FFFFFF" w:themeFill="background1"/>
          </w:tcPr>
          <w:p w14:paraId="372FEE08" w14:textId="77777777" w:rsidR="00C37C68" w:rsidRPr="0058641B" w:rsidRDefault="00C37C68" w:rsidP="00300B92">
            <w:pPr>
              <w:pStyle w:val="TableText0"/>
              <w:keepNext w:val="0"/>
            </w:pPr>
            <w:r w:rsidRPr="0058641B">
              <w:t>PEMBR Q3W: 13.4 doses</w:t>
            </w:r>
          </w:p>
          <w:p w14:paraId="44CB80DF" w14:textId="77777777" w:rsidR="00C37C68" w:rsidRPr="0058641B" w:rsidRDefault="00C37C68" w:rsidP="00300B92">
            <w:pPr>
              <w:pStyle w:val="TableText0"/>
              <w:keepNext w:val="0"/>
            </w:pPr>
            <w:r w:rsidRPr="0058641B">
              <w:t>PEMBR Q6W: 6.7 doses</w:t>
            </w:r>
          </w:p>
          <w:p w14:paraId="4E1BCE4B" w14:textId="77777777" w:rsidR="00C37C68" w:rsidRPr="0058641B" w:rsidRDefault="00C37C68" w:rsidP="00300B92">
            <w:pPr>
              <w:pStyle w:val="TableText0"/>
              <w:keepNext w:val="0"/>
            </w:pPr>
            <w:r w:rsidRPr="0058641B">
              <w:t>CARBO Q3W: 3.6 doses</w:t>
            </w:r>
          </w:p>
          <w:p w14:paraId="1BC5E093" w14:textId="77777777" w:rsidR="00C37C68" w:rsidRPr="0058641B" w:rsidRDefault="00C37C68" w:rsidP="00300B92">
            <w:pPr>
              <w:pStyle w:val="TableText0"/>
              <w:keepNext w:val="0"/>
            </w:pPr>
            <w:r w:rsidRPr="0058641B">
              <w:t>PEMET Q3W: 11.2 doses</w:t>
            </w:r>
          </w:p>
        </w:tc>
        <w:tc>
          <w:tcPr>
            <w:tcW w:w="2110" w:type="pct"/>
            <w:shd w:val="clear" w:color="auto" w:fill="FFFFFF" w:themeFill="background1"/>
          </w:tcPr>
          <w:p w14:paraId="11452C44" w14:textId="77777777" w:rsidR="00C37C68" w:rsidRPr="0058641B" w:rsidRDefault="00C37C68" w:rsidP="00300B92">
            <w:pPr>
              <w:pStyle w:val="TableText0"/>
              <w:keepNext w:val="0"/>
            </w:pPr>
            <w:r w:rsidRPr="0058641B">
              <w:t>KN189, Nivolumab + ipilimumab PSD, November 2020 PBAC meeting.</w:t>
            </w:r>
          </w:p>
          <w:p w14:paraId="25BFDD69" w14:textId="77777777" w:rsidR="00C37C68" w:rsidRPr="0058641B" w:rsidRDefault="00C37C68" w:rsidP="00300B92">
            <w:pPr>
              <w:pStyle w:val="TableText0"/>
              <w:keepNext w:val="0"/>
            </w:pPr>
            <w:r w:rsidRPr="0058641B">
              <w:t xml:space="preserve">The truncated mean duration of treatment in all patients in KN189 (regardless PD-L1 expression level) may not reflect the extent of use of pembrolizumab combination therapy in the proposed PD-L1 positive patients. </w:t>
            </w:r>
          </w:p>
        </w:tc>
      </w:tr>
      <w:tr w:rsidR="00C37C68" w:rsidRPr="0058641B" w14:paraId="17A146C4" w14:textId="77777777" w:rsidTr="00644DC1">
        <w:tc>
          <w:tcPr>
            <w:tcW w:w="1648" w:type="pct"/>
            <w:shd w:val="clear" w:color="auto" w:fill="FFFFFF" w:themeFill="background1"/>
          </w:tcPr>
          <w:p w14:paraId="5A223909" w14:textId="77777777" w:rsidR="00C37C68" w:rsidRPr="0058641B" w:rsidRDefault="00C37C68" w:rsidP="00300B92">
            <w:pPr>
              <w:pStyle w:val="TableText0"/>
              <w:keepNext w:val="0"/>
            </w:pPr>
            <w:r w:rsidRPr="0058641B">
              <w:t>Proportion of PEMBR Q3W vs. Q6W</w:t>
            </w:r>
          </w:p>
        </w:tc>
        <w:tc>
          <w:tcPr>
            <w:tcW w:w="1242" w:type="pct"/>
            <w:shd w:val="clear" w:color="auto" w:fill="FFFFFF" w:themeFill="background1"/>
          </w:tcPr>
          <w:p w14:paraId="6DF2F4FE" w14:textId="77777777" w:rsidR="00C37C68" w:rsidRPr="0058641B" w:rsidRDefault="00C37C68" w:rsidP="00300B92">
            <w:pPr>
              <w:pStyle w:val="TableText0"/>
              <w:keepNext w:val="0"/>
              <w:rPr>
                <w:vertAlign w:val="superscript"/>
              </w:rPr>
            </w:pPr>
            <w:r w:rsidRPr="0058641B">
              <w:t>93.0% vs. 7.0%</w:t>
            </w:r>
          </w:p>
        </w:tc>
        <w:tc>
          <w:tcPr>
            <w:tcW w:w="2110" w:type="pct"/>
            <w:shd w:val="clear" w:color="auto" w:fill="FFFFFF" w:themeFill="background1"/>
          </w:tcPr>
          <w:p w14:paraId="4F1C9C34" w14:textId="68A12881" w:rsidR="00C37C68" w:rsidRPr="0058641B" w:rsidRDefault="00C37C68" w:rsidP="00300B92">
            <w:pPr>
              <w:pStyle w:val="TableText0"/>
              <w:keepNext w:val="0"/>
            </w:pPr>
            <w:r w:rsidRPr="0058641B">
              <w:t xml:space="preserve">2021 PBS utilisation data for PEMBO as first-line treatment for metastatic </w:t>
            </w:r>
            <w:proofErr w:type="spellStart"/>
            <w:r w:rsidRPr="0058641B">
              <w:t>NSCLC</w:t>
            </w:r>
            <w:r w:rsidRPr="0058641B">
              <w:rPr>
                <w:vertAlign w:val="superscript"/>
              </w:rPr>
              <w:t>b</w:t>
            </w:r>
            <w:proofErr w:type="spellEnd"/>
            <w:r w:rsidRPr="0058641B">
              <w:t xml:space="preserve"> </w:t>
            </w:r>
          </w:p>
        </w:tc>
      </w:tr>
      <w:tr w:rsidR="00C37C68" w:rsidRPr="0058641B" w14:paraId="71F643B7" w14:textId="77777777" w:rsidTr="00644DC1">
        <w:tc>
          <w:tcPr>
            <w:tcW w:w="1648" w:type="pct"/>
            <w:shd w:val="clear" w:color="auto" w:fill="FFFFFF" w:themeFill="background1"/>
          </w:tcPr>
          <w:p w14:paraId="212498CF" w14:textId="77777777" w:rsidR="00C37C68" w:rsidRPr="0058641B" w:rsidRDefault="00C37C68" w:rsidP="00300B92">
            <w:pPr>
              <w:pStyle w:val="TableText0"/>
              <w:keepNext w:val="0"/>
              <w:widowControl w:val="0"/>
            </w:pPr>
            <w:r w:rsidRPr="0058641B">
              <w:t>Administration of antineoplastic agent</w:t>
            </w:r>
          </w:p>
        </w:tc>
        <w:tc>
          <w:tcPr>
            <w:tcW w:w="1242" w:type="pct"/>
            <w:shd w:val="clear" w:color="auto" w:fill="FFFFFF" w:themeFill="background1"/>
          </w:tcPr>
          <w:p w14:paraId="1406FB3E" w14:textId="77777777" w:rsidR="00C37C68" w:rsidRPr="0058641B" w:rsidRDefault="00C37C68" w:rsidP="00300B92">
            <w:pPr>
              <w:pStyle w:val="TableText0"/>
              <w:keepNext w:val="0"/>
              <w:widowControl w:val="0"/>
            </w:pPr>
            <w:r w:rsidRPr="0058641B">
              <w:t>$112.40</w:t>
            </w:r>
          </w:p>
        </w:tc>
        <w:tc>
          <w:tcPr>
            <w:tcW w:w="2110" w:type="pct"/>
            <w:shd w:val="clear" w:color="auto" w:fill="FFFFFF" w:themeFill="background1"/>
          </w:tcPr>
          <w:p w14:paraId="5DD2904A" w14:textId="19AC75B5" w:rsidR="00C37C68" w:rsidRPr="0058641B" w:rsidRDefault="00C37C68" w:rsidP="00644DC1">
            <w:pPr>
              <w:pStyle w:val="TableText0"/>
              <w:keepNext w:val="0"/>
              <w:widowControl w:val="0"/>
            </w:pPr>
            <w:r w:rsidRPr="0058641B">
              <w:t>MBS item 13950</w:t>
            </w:r>
          </w:p>
        </w:tc>
      </w:tr>
    </w:tbl>
    <w:p w14:paraId="0F90C5B6" w14:textId="77777777" w:rsidR="00C37C68" w:rsidRPr="0058641B" w:rsidRDefault="00C37C68" w:rsidP="00300B92">
      <w:pPr>
        <w:pStyle w:val="TableFigureFooter"/>
        <w:widowControl w:val="0"/>
      </w:pPr>
      <w:r w:rsidRPr="0058641B">
        <w:t>Source: Table 4.3, pp110-111 of the submission</w:t>
      </w:r>
    </w:p>
    <w:p w14:paraId="3FFD7EE8" w14:textId="77777777" w:rsidR="00C37C68" w:rsidRPr="0058641B" w:rsidRDefault="00C37C68" w:rsidP="00300B92">
      <w:pPr>
        <w:pStyle w:val="TableFigureFooter"/>
        <w:widowControl w:val="0"/>
      </w:pPr>
      <w:r w:rsidRPr="0058641B">
        <w:t xml:space="preserve">ACIM = Australian Cancer Incidence and Mortality; AIHW = Australian Institute of Health and Welfare; ATZ = atezolizumab; CARBO = </w:t>
      </w:r>
      <w:r w:rsidRPr="0058641B">
        <w:lastRenderedPageBreak/>
        <w:t>carboplatin; CSR = clinical study report; MBS = Medicare Benefits Schedule; NSCLC = non-small cell lung cancer; PBS = Pharmaceutical Benefits Scheme; PD-L1 = programmed cell death ligand 1; PEMBR = pembrolizumab; PEMET = pemetrexed; PS = performance status; PSD = public summary document; Q3W = every 3 weeks; Q4W = every 4 weeks; Q6W = every 6 weeks; RPBS = Repatriation Pharmaceutical Benefits Scheme; WHO = World Health Organisation</w:t>
      </w:r>
    </w:p>
    <w:p w14:paraId="7AFA4F10" w14:textId="77777777" w:rsidR="00C37C68" w:rsidRPr="0058641B" w:rsidRDefault="00C37C68" w:rsidP="00300B92">
      <w:pPr>
        <w:pStyle w:val="TableFigureFooter"/>
        <w:widowControl w:val="0"/>
        <w:rPr>
          <w:lang w:eastAsia="zh-CN"/>
        </w:rPr>
      </w:pPr>
      <w:r w:rsidRPr="0058641B">
        <w:rPr>
          <w:vertAlign w:val="superscript"/>
          <w:lang w:eastAsia="zh-CN"/>
        </w:rPr>
        <w:t xml:space="preserve">a </w:t>
      </w:r>
      <w:r w:rsidRPr="0058641B">
        <w:rPr>
          <w:lang w:eastAsia="zh-CN"/>
        </w:rPr>
        <w:t>PBS items 11284X, 11309F, 11931Y, 11940K</w:t>
      </w:r>
    </w:p>
    <w:p w14:paraId="6FB80F46" w14:textId="77777777" w:rsidR="00C37C68" w:rsidRPr="0058641B" w:rsidRDefault="00C37C68" w:rsidP="003B288A">
      <w:pPr>
        <w:pStyle w:val="TableFigureFooter"/>
        <w:keepNext/>
        <w:keepLines/>
        <w:widowControl w:val="0"/>
      </w:pPr>
      <w:r w:rsidRPr="0058641B">
        <w:rPr>
          <w:vertAlign w:val="superscript"/>
          <w:lang w:eastAsia="zh-CN"/>
        </w:rPr>
        <w:t>b</w:t>
      </w:r>
      <w:r w:rsidRPr="0058641B">
        <w:rPr>
          <w:lang w:eastAsia="zh-CN"/>
        </w:rPr>
        <w:t xml:space="preserve"> </w:t>
      </w:r>
      <w:r w:rsidRPr="0058641B">
        <w:t>PBS items 11492W, 11494Y, 12119W, 12121Y</w:t>
      </w:r>
    </w:p>
    <w:p w14:paraId="36153F2D" w14:textId="53A914D4" w:rsidR="00C37C68" w:rsidRPr="0058641B" w:rsidRDefault="00C37C68" w:rsidP="00C37C68">
      <w:pPr>
        <w:pStyle w:val="3-BodyText"/>
      </w:pPr>
      <w:r w:rsidRPr="0058641B">
        <w:t xml:space="preserve">The predicted use of ATZ and financial implications associated with the proposed listing in the base case PBS population, </w:t>
      </w:r>
      <w:r w:rsidRPr="0058641B">
        <w:rPr>
          <w:iCs/>
        </w:rPr>
        <w:t>i.e.</w:t>
      </w:r>
      <w:r w:rsidRPr="0058641B">
        <w:t xml:space="preserve"> patients with Stage II-IIIA, PD-L1 ≥ 1% NSCLC, are summarised in </w:t>
      </w:r>
      <w:r w:rsidR="008527A2" w:rsidRPr="0058641B">
        <w:fldChar w:fldCharType="begin"/>
      </w:r>
      <w:r w:rsidR="008527A2" w:rsidRPr="0058641B">
        <w:instrText xml:space="preserve"> REF _Ref101225839 \h </w:instrText>
      </w:r>
      <w:r w:rsidR="008527A2" w:rsidRPr="0058641B">
        <w:fldChar w:fldCharType="separate"/>
      </w:r>
      <w:r w:rsidR="0043151A" w:rsidRPr="0058641B">
        <w:t xml:space="preserve">Table </w:t>
      </w:r>
      <w:r w:rsidR="0043151A">
        <w:rPr>
          <w:noProof/>
        </w:rPr>
        <w:t>21</w:t>
      </w:r>
      <w:r w:rsidR="008527A2" w:rsidRPr="0058641B">
        <w:fldChar w:fldCharType="end"/>
      </w:r>
      <w:r w:rsidRPr="0058641B">
        <w:t xml:space="preserve">. </w:t>
      </w:r>
    </w:p>
    <w:p w14:paraId="68256815" w14:textId="4AAF6428" w:rsidR="00C37C68" w:rsidRPr="0058641B" w:rsidRDefault="00C37C68" w:rsidP="00C37C68">
      <w:pPr>
        <w:pStyle w:val="TableFigureHeading"/>
      </w:pPr>
      <w:bookmarkStart w:id="76" w:name="_Ref101225839"/>
      <w:r w:rsidRPr="0058641B">
        <w:t xml:space="preserve">Table </w:t>
      </w:r>
      <w:fldSimple w:instr=" SEQ Table \* ARABIC ">
        <w:r w:rsidR="0043151A">
          <w:rPr>
            <w:noProof/>
          </w:rPr>
          <w:t>21</w:t>
        </w:r>
      </w:fldSimple>
      <w:bookmarkEnd w:id="76"/>
      <w:r w:rsidRPr="0058641B">
        <w:t>:</w:t>
      </w:r>
      <w:r w:rsidRPr="0058641B">
        <w:rPr>
          <w:rStyle w:val="CommentReference"/>
          <w:b/>
          <w:szCs w:val="24"/>
        </w:rPr>
        <w:t xml:space="preserve"> Estimated use and financial implications in patients with Stage II-III, PD-L1 ≥ 1%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C37C68" w:rsidRPr="0058641B" w14:paraId="38ED3935" w14:textId="77777777" w:rsidTr="00D312D9">
        <w:trPr>
          <w:tblHeader/>
        </w:trPr>
        <w:tc>
          <w:tcPr>
            <w:tcW w:w="1116" w:type="pct"/>
            <w:shd w:val="clear" w:color="auto" w:fill="auto"/>
            <w:vAlign w:val="center"/>
          </w:tcPr>
          <w:p w14:paraId="7E16CA16" w14:textId="77777777" w:rsidR="00C37C68" w:rsidRPr="0058641B" w:rsidRDefault="00C37C68" w:rsidP="00D312D9">
            <w:pPr>
              <w:pStyle w:val="In-tableHeading"/>
              <w:jc w:val="center"/>
              <w:rPr>
                <w:lang w:val="en-AU"/>
              </w:rPr>
            </w:pPr>
          </w:p>
        </w:tc>
        <w:tc>
          <w:tcPr>
            <w:tcW w:w="647" w:type="pct"/>
            <w:shd w:val="clear" w:color="auto" w:fill="auto"/>
            <w:vAlign w:val="center"/>
          </w:tcPr>
          <w:p w14:paraId="4B53B3BD" w14:textId="77777777" w:rsidR="00C37C68" w:rsidRPr="0058641B" w:rsidRDefault="00C37C68" w:rsidP="00D312D9">
            <w:pPr>
              <w:pStyle w:val="In-tableHeading"/>
              <w:jc w:val="center"/>
              <w:rPr>
                <w:lang w:val="en-AU"/>
              </w:rPr>
            </w:pPr>
            <w:r w:rsidRPr="0058641B">
              <w:rPr>
                <w:lang w:val="en-AU"/>
              </w:rPr>
              <w:t>Year 1</w:t>
            </w:r>
          </w:p>
        </w:tc>
        <w:tc>
          <w:tcPr>
            <w:tcW w:w="647" w:type="pct"/>
            <w:shd w:val="clear" w:color="auto" w:fill="auto"/>
            <w:vAlign w:val="center"/>
          </w:tcPr>
          <w:p w14:paraId="65233C57" w14:textId="77777777" w:rsidR="00C37C68" w:rsidRPr="0058641B" w:rsidRDefault="00C37C68" w:rsidP="00D312D9">
            <w:pPr>
              <w:pStyle w:val="In-tableHeading"/>
              <w:jc w:val="center"/>
              <w:rPr>
                <w:lang w:val="en-AU"/>
              </w:rPr>
            </w:pPr>
            <w:r w:rsidRPr="0058641B">
              <w:rPr>
                <w:lang w:val="en-AU"/>
              </w:rPr>
              <w:t>Year 2</w:t>
            </w:r>
          </w:p>
        </w:tc>
        <w:tc>
          <w:tcPr>
            <w:tcW w:w="647" w:type="pct"/>
            <w:shd w:val="clear" w:color="auto" w:fill="auto"/>
            <w:vAlign w:val="center"/>
          </w:tcPr>
          <w:p w14:paraId="13CEB7EA" w14:textId="77777777" w:rsidR="00C37C68" w:rsidRPr="0058641B" w:rsidRDefault="00C37C68" w:rsidP="00D312D9">
            <w:pPr>
              <w:pStyle w:val="In-tableHeading"/>
              <w:jc w:val="center"/>
              <w:rPr>
                <w:lang w:val="en-AU"/>
              </w:rPr>
            </w:pPr>
            <w:r w:rsidRPr="0058641B">
              <w:rPr>
                <w:lang w:val="en-AU"/>
              </w:rPr>
              <w:t>Year 3</w:t>
            </w:r>
          </w:p>
        </w:tc>
        <w:tc>
          <w:tcPr>
            <w:tcW w:w="647" w:type="pct"/>
            <w:shd w:val="clear" w:color="auto" w:fill="auto"/>
            <w:vAlign w:val="center"/>
          </w:tcPr>
          <w:p w14:paraId="7C724B78" w14:textId="77777777" w:rsidR="00C37C68" w:rsidRPr="0058641B" w:rsidRDefault="00C37C68" w:rsidP="00D312D9">
            <w:pPr>
              <w:pStyle w:val="In-tableHeading"/>
              <w:jc w:val="center"/>
              <w:rPr>
                <w:lang w:val="en-AU"/>
              </w:rPr>
            </w:pPr>
            <w:r w:rsidRPr="0058641B">
              <w:rPr>
                <w:lang w:val="en-AU"/>
              </w:rPr>
              <w:t>Year 4</w:t>
            </w:r>
          </w:p>
        </w:tc>
        <w:tc>
          <w:tcPr>
            <w:tcW w:w="647" w:type="pct"/>
            <w:shd w:val="clear" w:color="auto" w:fill="auto"/>
            <w:vAlign w:val="center"/>
          </w:tcPr>
          <w:p w14:paraId="47C63507" w14:textId="77777777" w:rsidR="00C37C68" w:rsidRPr="0058641B" w:rsidRDefault="00C37C68" w:rsidP="00D312D9">
            <w:pPr>
              <w:pStyle w:val="In-tableHeading"/>
              <w:jc w:val="center"/>
              <w:rPr>
                <w:lang w:val="en-AU"/>
              </w:rPr>
            </w:pPr>
            <w:r w:rsidRPr="0058641B">
              <w:rPr>
                <w:lang w:val="en-AU"/>
              </w:rPr>
              <w:t>Year 5</w:t>
            </w:r>
          </w:p>
        </w:tc>
        <w:tc>
          <w:tcPr>
            <w:tcW w:w="649" w:type="pct"/>
          </w:tcPr>
          <w:p w14:paraId="19ED1FE4" w14:textId="77777777" w:rsidR="00C37C68" w:rsidRPr="0058641B" w:rsidRDefault="00C37C68" w:rsidP="00D312D9">
            <w:pPr>
              <w:pStyle w:val="In-tableHeading"/>
              <w:jc w:val="center"/>
              <w:rPr>
                <w:lang w:val="en-AU"/>
              </w:rPr>
            </w:pPr>
            <w:r w:rsidRPr="0058641B">
              <w:rPr>
                <w:lang w:val="en-AU"/>
              </w:rPr>
              <w:t>Year 6</w:t>
            </w:r>
          </w:p>
        </w:tc>
      </w:tr>
      <w:tr w:rsidR="00C37C68" w:rsidRPr="0058641B" w14:paraId="628A3C3C" w14:textId="77777777" w:rsidTr="00D312D9">
        <w:tc>
          <w:tcPr>
            <w:tcW w:w="5000" w:type="pct"/>
            <w:gridSpan w:val="7"/>
            <w:shd w:val="clear" w:color="auto" w:fill="auto"/>
            <w:vAlign w:val="center"/>
          </w:tcPr>
          <w:p w14:paraId="7FB875C0" w14:textId="77777777" w:rsidR="00C37C68" w:rsidRPr="0058641B" w:rsidRDefault="00C37C68" w:rsidP="00D312D9">
            <w:pPr>
              <w:pStyle w:val="In-tableHeading"/>
              <w:rPr>
                <w:bCs/>
                <w:color w:val="000000"/>
                <w:lang w:val="en-AU"/>
              </w:rPr>
            </w:pPr>
            <w:r w:rsidRPr="0058641B">
              <w:rPr>
                <w:bCs/>
                <w:color w:val="000000"/>
                <w:lang w:val="en-AU"/>
              </w:rPr>
              <w:t>Estimated extent of use</w:t>
            </w:r>
          </w:p>
        </w:tc>
      </w:tr>
      <w:tr w:rsidR="00C37C68" w:rsidRPr="0058641B" w14:paraId="3E9B6C9A" w14:textId="77777777" w:rsidTr="00D312D9">
        <w:tc>
          <w:tcPr>
            <w:tcW w:w="1116" w:type="pct"/>
            <w:shd w:val="clear" w:color="auto" w:fill="auto"/>
            <w:vAlign w:val="center"/>
          </w:tcPr>
          <w:p w14:paraId="6C35C2CE" w14:textId="77777777" w:rsidR="00C37C68" w:rsidRPr="0058641B" w:rsidRDefault="00C37C68" w:rsidP="00D312D9">
            <w:pPr>
              <w:pStyle w:val="TableText0"/>
              <w:rPr>
                <w:rFonts w:ascii="Times" w:hAnsi="Times"/>
              </w:rPr>
            </w:pPr>
            <w:r w:rsidRPr="0058641B">
              <w:t>Number of patients treated</w:t>
            </w:r>
          </w:p>
        </w:tc>
        <w:tc>
          <w:tcPr>
            <w:tcW w:w="647" w:type="pct"/>
            <w:shd w:val="clear" w:color="auto" w:fill="auto"/>
          </w:tcPr>
          <w:p w14:paraId="657F4016" w14:textId="6D2E8BD0" w:rsidR="00C37C68" w:rsidRPr="0058641B" w:rsidRDefault="00A8021D" w:rsidP="00D312D9">
            <w:pPr>
              <w:pStyle w:val="TableText0"/>
              <w:jc w:val="center"/>
              <w:rPr>
                <w:color w:val="000000"/>
                <w:vertAlign w:val="superscript"/>
              </w:rPr>
            </w:pPr>
            <w:r w:rsidRPr="00A8021D">
              <w:rPr>
                <w:rFonts w:hint="eastAsia"/>
                <w:color w:val="000000"/>
                <w:w w:val="15"/>
                <w:shd w:val="solid" w:color="000000" w:fill="000000"/>
                <w:fitText w:val="70" w:id="-1435764982"/>
                <w14:textFill>
                  <w14:solidFill>
                    <w14:srgbClr w14:val="000000">
                      <w14:alpha w14:val="100000"/>
                    </w14:srgbClr>
                  </w14:solidFill>
                </w14:textFill>
              </w:rPr>
              <w:t xml:space="preserve">　</w:t>
            </w:r>
            <w:r w:rsidRPr="00A8021D">
              <w:rPr>
                <w:color w:val="000000"/>
                <w:w w:val="15"/>
                <w:shd w:val="solid" w:color="000000" w:fill="000000"/>
                <w:fitText w:val="70" w:id="-1435764982"/>
                <w14:textFill>
                  <w14:solidFill>
                    <w14:srgbClr w14:val="000000">
                      <w14:alpha w14:val="100000"/>
                    </w14:srgbClr>
                  </w14:solidFill>
                </w14:textFill>
              </w:rPr>
              <w:t>|</w:t>
            </w:r>
            <w:r w:rsidRPr="00A8021D">
              <w:rPr>
                <w:rFonts w:hint="eastAsia"/>
                <w:color w:val="000000"/>
                <w:spacing w:val="4"/>
                <w:w w:val="15"/>
                <w:shd w:val="solid" w:color="000000" w:fill="000000"/>
                <w:fitText w:val="70" w:id="-1435764982"/>
                <w14:textFill>
                  <w14:solidFill>
                    <w14:srgbClr w14:val="000000">
                      <w14:alpha w14:val="100000"/>
                    </w14:srgbClr>
                  </w14:solidFill>
                </w14:textFill>
              </w:rPr>
              <w:t xml:space="preserve">　</w:t>
            </w:r>
            <w:r w:rsidR="00E63CD7">
              <w:rPr>
                <w:vertAlign w:val="superscript"/>
              </w:rPr>
              <w:t>1,a</w:t>
            </w:r>
          </w:p>
        </w:tc>
        <w:tc>
          <w:tcPr>
            <w:tcW w:w="647" w:type="pct"/>
            <w:shd w:val="clear" w:color="auto" w:fill="auto"/>
          </w:tcPr>
          <w:p w14:paraId="5DCA7185" w14:textId="47C7300D"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81"/>
                <w14:textFill>
                  <w14:solidFill>
                    <w14:srgbClr w14:val="000000">
                      <w14:alpha w14:val="100000"/>
                    </w14:srgbClr>
                  </w14:solidFill>
                </w14:textFill>
              </w:rPr>
              <w:t xml:space="preserve">　</w:t>
            </w:r>
            <w:r w:rsidRPr="00AD58F5">
              <w:rPr>
                <w:color w:val="000000"/>
                <w:w w:val="15"/>
                <w:shd w:val="solid" w:color="000000" w:fill="000000"/>
                <w:fitText w:val="10" w:id="-1435764981"/>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1"/>
                <w14:textFill>
                  <w14:solidFill>
                    <w14:srgbClr w14:val="000000">
                      <w14:alpha w14:val="100000"/>
                    </w14:srgbClr>
                  </w14:solidFill>
                </w14:textFill>
              </w:rPr>
              <w:t xml:space="preserve">　</w:t>
            </w:r>
            <w:r w:rsidR="00E63CD7">
              <w:rPr>
                <w:vertAlign w:val="superscript"/>
              </w:rPr>
              <w:t>1</w:t>
            </w:r>
          </w:p>
        </w:tc>
        <w:tc>
          <w:tcPr>
            <w:tcW w:w="647" w:type="pct"/>
            <w:shd w:val="clear" w:color="auto" w:fill="auto"/>
          </w:tcPr>
          <w:p w14:paraId="3A71D9E0" w14:textId="5064FE89"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80"/>
                <w14:textFill>
                  <w14:solidFill>
                    <w14:srgbClr w14:val="000000">
                      <w14:alpha w14:val="100000"/>
                    </w14:srgbClr>
                  </w14:solidFill>
                </w14:textFill>
              </w:rPr>
              <w:t xml:space="preserve">　</w:t>
            </w:r>
            <w:r w:rsidRPr="00AD58F5">
              <w:rPr>
                <w:color w:val="000000"/>
                <w:w w:val="15"/>
                <w:shd w:val="solid" w:color="000000" w:fill="000000"/>
                <w:fitText w:val="10" w:id="-1435764980"/>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0"/>
                <w14:textFill>
                  <w14:solidFill>
                    <w14:srgbClr w14:val="000000">
                      <w14:alpha w14:val="100000"/>
                    </w14:srgbClr>
                  </w14:solidFill>
                </w14:textFill>
              </w:rPr>
              <w:t xml:space="preserve">　</w:t>
            </w:r>
            <w:r w:rsidR="00E63CD7">
              <w:rPr>
                <w:vertAlign w:val="superscript"/>
              </w:rPr>
              <w:t>1</w:t>
            </w:r>
          </w:p>
        </w:tc>
        <w:tc>
          <w:tcPr>
            <w:tcW w:w="647" w:type="pct"/>
            <w:shd w:val="clear" w:color="auto" w:fill="auto"/>
          </w:tcPr>
          <w:p w14:paraId="3CC0490E" w14:textId="0354C2ED"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79"/>
                <w14:textFill>
                  <w14:solidFill>
                    <w14:srgbClr w14:val="000000">
                      <w14:alpha w14:val="100000"/>
                    </w14:srgbClr>
                  </w14:solidFill>
                </w14:textFill>
              </w:rPr>
              <w:t xml:space="preserve">　</w:t>
            </w:r>
            <w:r w:rsidRPr="00AD58F5">
              <w:rPr>
                <w:color w:val="000000"/>
                <w:w w:val="15"/>
                <w:shd w:val="solid" w:color="000000" w:fill="000000"/>
                <w:fitText w:val="10" w:id="-1435764979"/>
                <w14:textFill>
                  <w14:solidFill>
                    <w14:srgbClr w14:val="000000">
                      <w14:alpha w14:val="100000"/>
                    </w14:srgbClr>
                  </w14:solidFill>
                </w14:textFill>
              </w:rPr>
              <w:t>|</w:t>
            </w:r>
            <w:r w:rsidRPr="00AD58F5">
              <w:rPr>
                <w:rFonts w:hint="eastAsia"/>
                <w:color w:val="000000"/>
                <w:spacing w:val="-56"/>
                <w:w w:val="15"/>
                <w:shd w:val="solid" w:color="000000" w:fill="000000"/>
                <w:fitText w:val="10" w:id="-1435764979"/>
                <w14:textFill>
                  <w14:solidFill>
                    <w14:srgbClr w14:val="000000">
                      <w14:alpha w14:val="100000"/>
                    </w14:srgbClr>
                  </w14:solidFill>
                </w14:textFill>
              </w:rPr>
              <w:t xml:space="preserve">　</w:t>
            </w:r>
            <w:r w:rsidR="00E63CD7">
              <w:rPr>
                <w:vertAlign w:val="superscript"/>
              </w:rPr>
              <w:t>1</w:t>
            </w:r>
          </w:p>
        </w:tc>
        <w:tc>
          <w:tcPr>
            <w:tcW w:w="647" w:type="pct"/>
            <w:shd w:val="clear" w:color="auto" w:fill="auto"/>
          </w:tcPr>
          <w:p w14:paraId="37BF8065" w14:textId="5C262683"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78"/>
                <w14:textFill>
                  <w14:solidFill>
                    <w14:srgbClr w14:val="000000">
                      <w14:alpha w14:val="100000"/>
                    </w14:srgbClr>
                  </w14:solidFill>
                </w14:textFill>
              </w:rPr>
              <w:t xml:space="preserve">　</w:t>
            </w:r>
            <w:r w:rsidRPr="00AD58F5">
              <w:rPr>
                <w:color w:val="000000"/>
                <w:w w:val="15"/>
                <w:shd w:val="solid" w:color="000000" w:fill="000000"/>
                <w:fitText w:val="10" w:id="-1435764978"/>
                <w14:textFill>
                  <w14:solidFill>
                    <w14:srgbClr w14:val="000000">
                      <w14:alpha w14:val="100000"/>
                    </w14:srgbClr>
                  </w14:solidFill>
                </w14:textFill>
              </w:rPr>
              <w:t>|</w:t>
            </w:r>
            <w:r w:rsidRPr="00AD58F5">
              <w:rPr>
                <w:rFonts w:hint="eastAsia"/>
                <w:color w:val="000000"/>
                <w:spacing w:val="-56"/>
                <w:w w:val="15"/>
                <w:shd w:val="solid" w:color="000000" w:fill="000000"/>
                <w:fitText w:val="10" w:id="-1435764978"/>
                <w14:textFill>
                  <w14:solidFill>
                    <w14:srgbClr w14:val="000000">
                      <w14:alpha w14:val="100000"/>
                    </w14:srgbClr>
                  </w14:solidFill>
                </w14:textFill>
              </w:rPr>
              <w:t xml:space="preserve">　</w:t>
            </w:r>
            <w:r w:rsidR="00E63CD7">
              <w:rPr>
                <w:vertAlign w:val="superscript"/>
              </w:rPr>
              <w:t>1</w:t>
            </w:r>
          </w:p>
        </w:tc>
        <w:tc>
          <w:tcPr>
            <w:tcW w:w="649" w:type="pct"/>
          </w:tcPr>
          <w:p w14:paraId="48AD6228" w14:textId="1B599B03"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20" w:id="-1435764977"/>
                <w14:textFill>
                  <w14:solidFill>
                    <w14:srgbClr w14:val="000000">
                      <w14:alpha w14:val="100000"/>
                    </w14:srgbClr>
                  </w14:solidFill>
                </w14:textFill>
              </w:rPr>
              <w:t xml:space="preserve">　</w:t>
            </w:r>
            <w:r w:rsidRPr="00AD58F5">
              <w:rPr>
                <w:color w:val="000000"/>
                <w:w w:val="15"/>
                <w:shd w:val="solid" w:color="000000" w:fill="000000"/>
                <w:fitText w:val="20" w:id="-1435764977"/>
                <w14:textFill>
                  <w14:solidFill>
                    <w14:srgbClr w14:val="000000">
                      <w14:alpha w14:val="100000"/>
                    </w14:srgbClr>
                  </w14:solidFill>
                </w14:textFill>
              </w:rPr>
              <w:t>|</w:t>
            </w:r>
            <w:r w:rsidRPr="00AD58F5">
              <w:rPr>
                <w:rFonts w:hint="eastAsia"/>
                <w:color w:val="000000"/>
                <w:spacing w:val="-46"/>
                <w:w w:val="15"/>
                <w:shd w:val="solid" w:color="000000" w:fill="000000"/>
                <w:fitText w:val="20" w:id="-1435764977"/>
                <w14:textFill>
                  <w14:solidFill>
                    <w14:srgbClr w14:val="000000">
                      <w14:alpha w14:val="100000"/>
                    </w14:srgbClr>
                  </w14:solidFill>
                </w14:textFill>
              </w:rPr>
              <w:t xml:space="preserve">　</w:t>
            </w:r>
            <w:r w:rsidR="00E63CD7">
              <w:rPr>
                <w:vertAlign w:val="superscript"/>
              </w:rPr>
              <w:t>1</w:t>
            </w:r>
          </w:p>
        </w:tc>
      </w:tr>
      <w:tr w:rsidR="00C37C68" w:rsidRPr="0058641B" w14:paraId="6663BBBC" w14:textId="77777777" w:rsidTr="00D312D9">
        <w:tc>
          <w:tcPr>
            <w:tcW w:w="1116" w:type="pct"/>
            <w:shd w:val="clear" w:color="auto" w:fill="auto"/>
            <w:vAlign w:val="center"/>
          </w:tcPr>
          <w:p w14:paraId="6BA22224" w14:textId="77777777" w:rsidR="00C37C68" w:rsidRPr="0058641B" w:rsidRDefault="00C37C68" w:rsidP="00D312D9">
            <w:pPr>
              <w:pStyle w:val="TableText0"/>
              <w:rPr>
                <w:rFonts w:ascii="Times" w:hAnsi="Times"/>
              </w:rPr>
            </w:pPr>
            <w:r w:rsidRPr="0058641B">
              <w:t xml:space="preserve">Number of scripts </w:t>
            </w:r>
            <w:proofErr w:type="spellStart"/>
            <w:r w:rsidRPr="0058641B">
              <w:t>dispensed</w:t>
            </w:r>
            <w:r w:rsidRPr="0058641B">
              <w:rPr>
                <w:vertAlign w:val="superscript"/>
              </w:rPr>
              <w:t>b</w:t>
            </w:r>
            <w:proofErr w:type="spellEnd"/>
          </w:p>
        </w:tc>
        <w:tc>
          <w:tcPr>
            <w:tcW w:w="647" w:type="pct"/>
            <w:shd w:val="clear" w:color="auto" w:fill="auto"/>
            <w:vAlign w:val="center"/>
          </w:tcPr>
          <w:p w14:paraId="4604A2E2" w14:textId="45F6B1ED" w:rsidR="00C37C68" w:rsidRPr="00E63CD7" w:rsidRDefault="00A8021D" w:rsidP="00D312D9">
            <w:pPr>
              <w:pStyle w:val="TableText0"/>
              <w:jc w:val="center"/>
              <w:rPr>
                <w:color w:val="000000"/>
                <w:highlight w:val="darkGray"/>
              </w:rPr>
            </w:pPr>
            <w:r w:rsidRPr="00AD58F5">
              <w:rPr>
                <w:rFonts w:hint="eastAsia"/>
                <w:color w:val="000000"/>
                <w:w w:val="15"/>
                <w:shd w:val="solid" w:color="000000" w:fill="000000"/>
                <w:fitText w:val="10" w:id="-1435764976"/>
                <w:lang w:eastAsia="zh-CN"/>
                <w14:textFill>
                  <w14:solidFill>
                    <w14:srgbClr w14:val="000000">
                      <w14:alpha w14:val="100000"/>
                    </w14:srgbClr>
                  </w14:solidFill>
                </w14:textFill>
              </w:rPr>
              <w:t xml:space="preserve">　</w:t>
            </w:r>
            <w:r w:rsidRPr="00AD58F5">
              <w:rPr>
                <w:color w:val="000000"/>
                <w:w w:val="15"/>
                <w:shd w:val="solid" w:color="000000" w:fill="000000"/>
                <w:fitText w:val="10" w:id="-1435764976"/>
                <w:lang w:eastAsia="zh-CN"/>
                <w14:textFill>
                  <w14:solidFill>
                    <w14:srgbClr w14:val="000000">
                      <w14:alpha w14:val="100000"/>
                    </w14:srgbClr>
                  </w14:solidFill>
                </w14:textFill>
              </w:rPr>
              <w:t>|</w:t>
            </w:r>
            <w:r w:rsidRPr="00AD58F5">
              <w:rPr>
                <w:rFonts w:hint="eastAsia"/>
                <w:color w:val="000000"/>
                <w:spacing w:val="-56"/>
                <w:w w:val="15"/>
                <w:shd w:val="solid" w:color="000000" w:fill="000000"/>
                <w:fitText w:val="10" w:id="-1435764976"/>
                <w:lang w:eastAsia="zh-CN"/>
                <w14:textFill>
                  <w14:solidFill>
                    <w14:srgbClr w14:val="000000">
                      <w14:alpha w14:val="100000"/>
                    </w14:srgbClr>
                  </w14:solidFill>
                </w14:textFill>
              </w:rPr>
              <w:t xml:space="preserve">　</w:t>
            </w:r>
            <w:r w:rsidR="00E63CD7">
              <w:rPr>
                <w:vertAlign w:val="superscript"/>
              </w:rPr>
              <w:t>2</w:t>
            </w:r>
          </w:p>
        </w:tc>
        <w:tc>
          <w:tcPr>
            <w:tcW w:w="647" w:type="pct"/>
            <w:shd w:val="clear" w:color="auto" w:fill="auto"/>
            <w:vAlign w:val="center"/>
          </w:tcPr>
          <w:p w14:paraId="3AE98FD8" w14:textId="63B29115"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92"/>
                <w:lang w:eastAsia="zh-CN"/>
                <w14:textFill>
                  <w14:solidFill>
                    <w14:srgbClr w14:val="000000">
                      <w14:alpha w14:val="100000"/>
                    </w14:srgbClr>
                  </w14:solidFill>
                </w14:textFill>
              </w:rPr>
              <w:t xml:space="preserve">　</w:t>
            </w:r>
            <w:r w:rsidRPr="00AD58F5">
              <w:rPr>
                <w:color w:val="000000"/>
                <w:w w:val="15"/>
                <w:shd w:val="solid" w:color="000000" w:fill="000000"/>
                <w:fitText w:val="10" w:id="-1435764992"/>
                <w:lang w:eastAsia="zh-CN"/>
                <w14:textFill>
                  <w14:solidFill>
                    <w14:srgbClr w14:val="000000">
                      <w14:alpha w14:val="100000"/>
                    </w14:srgbClr>
                  </w14:solidFill>
                </w14:textFill>
              </w:rPr>
              <w:t>|</w:t>
            </w:r>
            <w:r w:rsidRPr="00AD58F5">
              <w:rPr>
                <w:rFonts w:hint="eastAsia"/>
                <w:color w:val="000000"/>
                <w:spacing w:val="-56"/>
                <w:w w:val="15"/>
                <w:shd w:val="solid" w:color="000000" w:fill="000000"/>
                <w:fitText w:val="10" w:id="-1435764992"/>
                <w:lang w:eastAsia="zh-CN"/>
                <w14:textFill>
                  <w14:solidFill>
                    <w14:srgbClr w14:val="000000">
                      <w14:alpha w14:val="100000"/>
                    </w14:srgbClr>
                  </w14:solidFill>
                </w14:textFill>
              </w:rPr>
              <w:t xml:space="preserve">　</w:t>
            </w:r>
            <w:r w:rsidR="00E63CD7">
              <w:rPr>
                <w:vertAlign w:val="superscript"/>
              </w:rPr>
              <w:t>2</w:t>
            </w:r>
          </w:p>
        </w:tc>
        <w:tc>
          <w:tcPr>
            <w:tcW w:w="647" w:type="pct"/>
            <w:shd w:val="clear" w:color="auto" w:fill="auto"/>
            <w:vAlign w:val="center"/>
          </w:tcPr>
          <w:p w14:paraId="2D401FD8" w14:textId="523180FE"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91"/>
                <w:lang w:eastAsia="zh-CN"/>
                <w14:textFill>
                  <w14:solidFill>
                    <w14:srgbClr w14:val="000000">
                      <w14:alpha w14:val="100000"/>
                    </w14:srgbClr>
                  </w14:solidFill>
                </w14:textFill>
              </w:rPr>
              <w:t xml:space="preserve">　</w:t>
            </w:r>
            <w:r w:rsidRPr="00AD58F5">
              <w:rPr>
                <w:color w:val="000000"/>
                <w:w w:val="15"/>
                <w:shd w:val="solid" w:color="000000" w:fill="000000"/>
                <w:fitText w:val="10" w:id="-1435764991"/>
                <w:lang w:eastAsia="zh-CN"/>
                <w14:textFill>
                  <w14:solidFill>
                    <w14:srgbClr w14:val="000000">
                      <w14:alpha w14:val="100000"/>
                    </w14:srgbClr>
                  </w14:solidFill>
                </w14:textFill>
              </w:rPr>
              <w:t>|</w:t>
            </w:r>
            <w:r w:rsidRPr="00AD58F5">
              <w:rPr>
                <w:rFonts w:hint="eastAsia"/>
                <w:color w:val="000000"/>
                <w:spacing w:val="-56"/>
                <w:w w:val="15"/>
                <w:shd w:val="solid" w:color="000000" w:fill="000000"/>
                <w:fitText w:val="10" w:id="-1435764991"/>
                <w:lang w:eastAsia="zh-CN"/>
                <w14:textFill>
                  <w14:solidFill>
                    <w14:srgbClr w14:val="000000">
                      <w14:alpha w14:val="100000"/>
                    </w14:srgbClr>
                  </w14:solidFill>
                </w14:textFill>
              </w:rPr>
              <w:t xml:space="preserve">　</w:t>
            </w:r>
            <w:r w:rsidR="00E63CD7">
              <w:rPr>
                <w:vertAlign w:val="superscript"/>
              </w:rPr>
              <w:t>2</w:t>
            </w:r>
          </w:p>
        </w:tc>
        <w:tc>
          <w:tcPr>
            <w:tcW w:w="647" w:type="pct"/>
            <w:shd w:val="clear" w:color="auto" w:fill="auto"/>
            <w:vAlign w:val="center"/>
          </w:tcPr>
          <w:p w14:paraId="10127B29" w14:textId="0AC5E920"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90"/>
                <w:lang w:eastAsia="zh-CN"/>
                <w14:textFill>
                  <w14:solidFill>
                    <w14:srgbClr w14:val="000000">
                      <w14:alpha w14:val="100000"/>
                    </w14:srgbClr>
                  </w14:solidFill>
                </w14:textFill>
              </w:rPr>
              <w:t xml:space="preserve">　</w:t>
            </w:r>
            <w:r w:rsidRPr="00AD58F5">
              <w:rPr>
                <w:color w:val="000000"/>
                <w:w w:val="15"/>
                <w:shd w:val="solid" w:color="000000" w:fill="000000"/>
                <w:fitText w:val="10" w:id="-1435764990"/>
                <w:lang w:eastAsia="zh-CN"/>
                <w14:textFill>
                  <w14:solidFill>
                    <w14:srgbClr w14:val="000000">
                      <w14:alpha w14:val="100000"/>
                    </w14:srgbClr>
                  </w14:solidFill>
                </w14:textFill>
              </w:rPr>
              <w:t>|</w:t>
            </w:r>
            <w:r w:rsidRPr="00AD58F5">
              <w:rPr>
                <w:rFonts w:hint="eastAsia"/>
                <w:color w:val="000000"/>
                <w:spacing w:val="-56"/>
                <w:w w:val="15"/>
                <w:shd w:val="solid" w:color="000000" w:fill="000000"/>
                <w:fitText w:val="10" w:id="-1435764990"/>
                <w:lang w:eastAsia="zh-CN"/>
                <w14:textFill>
                  <w14:solidFill>
                    <w14:srgbClr w14:val="000000">
                      <w14:alpha w14:val="100000"/>
                    </w14:srgbClr>
                  </w14:solidFill>
                </w14:textFill>
              </w:rPr>
              <w:t xml:space="preserve">　</w:t>
            </w:r>
            <w:r w:rsidR="00E63CD7">
              <w:rPr>
                <w:vertAlign w:val="superscript"/>
              </w:rPr>
              <w:t>2</w:t>
            </w:r>
          </w:p>
        </w:tc>
        <w:tc>
          <w:tcPr>
            <w:tcW w:w="647" w:type="pct"/>
            <w:shd w:val="clear" w:color="auto" w:fill="auto"/>
            <w:vAlign w:val="center"/>
          </w:tcPr>
          <w:p w14:paraId="300B97A2" w14:textId="55AB55A8"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10" w:id="-1435764989"/>
                <w:lang w:eastAsia="zh-CN"/>
                <w14:textFill>
                  <w14:solidFill>
                    <w14:srgbClr w14:val="000000">
                      <w14:alpha w14:val="100000"/>
                    </w14:srgbClr>
                  </w14:solidFill>
                </w14:textFill>
              </w:rPr>
              <w:t xml:space="preserve">　</w:t>
            </w:r>
            <w:r w:rsidRPr="00AD58F5">
              <w:rPr>
                <w:color w:val="000000"/>
                <w:w w:val="15"/>
                <w:shd w:val="solid" w:color="000000" w:fill="000000"/>
                <w:fitText w:val="10" w:id="-1435764989"/>
                <w:lang w:eastAsia="zh-CN"/>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9"/>
                <w:lang w:eastAsia="zh-CN"/>
                <w14:textFill>
                  <w14:solidFill>
                    <w14:srgbClr w14:val="000000">
                      <w14:alpha w14:val="100000"/>
                    </w14:srgbClr>
                  </w14:solidFill>
                </w14:textFill>
              </w:rPr>
              <w:t xml:space="preserve">　</w:t>
            </w:r>
            <w:r w:rsidR="00E63CD7">
              <w:rPr>
                <w:vertAlign w:val="superscript"/>
              </w:rPr>
              <w:t>2</w:t>
            </w:r>
          </w:p>
        </w:tc>
        <w:tc>
          <w:tcPr>
            <w:tcW w:w="649" w:type="pct"/>
            <w:vAlign w:val="center"/>
          </w:tcPr>
          <w:p w14:paraId="47C4DD1F" w14:textId="75C7CF32" w:rsidR="00C37C68" w:rsidRPr="00E63CD7" w:rsidRDefault="00A8021D" w:rsidP="00E63CD7">
            <w:pPr>
              <w:pStyle w:val="TableText0"/>
              <w:jc w:val="center"/>
              <w:rPr>
                <w:color w:val="000000"/>
                <w:highlight w:val="darkGray"/>
              </w:rPr>
            </w:pPr>
            <w:r w:rsidRPr="00AD58F5">
              <w:rPr>
                <w:rFonts w:hint="eastAsia"/>
                <w:color w:val="000000"/>
                <w:w w:val="15"/>
                <w:shd w:val="solid" w:color="000000" w:fill="000000"/>
                <w:fitText w:val="20" w:id="-1435764988"/>
                <w:lang w:eastAsia="zh-CN"/>
                <w14:textFill>
                  <w14:solidFill>
                    <w14:srgbClr w14:val="000000">
                      <w14:alpha w14:val="100000"/>
                    </w14:srgbClr>
                  </w14:solidFill>
                </w14:textFill>
              </w:rPr>
              <w:t xml:space="preserve">　</w:t>
            </w:r>
            <w:r w:rsidRPr="00AD58F5">
              <w:rPr>
                <w:color w:val="000000"/>
                <w:w w:val="15"/>
                <w:shd w:val="solid" w:color="000000" w:fill="000000"/>
                <w:fitText w:val="20" w:id="-1435764988"/>
                <w:lang w:eastAsia="zh-CN"/>
                <w14:textFill>
                  <w14:solidFill>
                    <w14:srgbClr w14:val="000000">
                      <w14:alpha w14:val="100000"/>
                    </w14:srgbClr>
                  </w14:solidFill>
                </w14:textFill>
              </w:rPr>
              <w:t>|</w:t>
            </w:r>
            <w:r w:rsidRPr="00AD58F5">
              <w:rPr>
                <w:rFonts w:hint="eastAsia"/>
                <w:color w:val="000000"/>
                <w:spacing w:val="-46"/>
                <w:w w:val="15"/>
                <w:shd w:val="solid" w:color="000000" w:fill="000000"/>
                <w:fitText w:val="20" w:id="-1435764988"/>
                <w:lang w:eastAsia="zh-CN"/>
                <w14:textFill>
                  <w14:solidFill>
                    <w14:srgbClr w14:val="000000">
                      <w14:alpha w14:val="100000"/>
                    </w14:srgbClr>
                  </w14:solidFill>
                </w14:textFill>
              </w:rPr>
              <w:t xml:space="preserve">　</w:t>
            </w:r>
            <w:r w:rsidR="00E63CD7">
              <w:rPr>
                <w:vertAlign w:val="superscript"/>
              </w:rPr>
              <w:t>2</w:t>
            </w:r>
          </w:p>
        </w:tc>
      </w:tr>
      <w:tr w:rsidR="00C37C68" w:rsidRPr="0058641B" w14:paraId="1EEB9B55" w14:textId="77777777" w:rsidTr="00D312D9">
        <w:tc>
          <w:tcPr>
            <w:tcW w:w="5000" w:type="pct"/>
            <w:gridSpan w:val="7"/>
            <w:shd w:val="clear" w:color="auto" w:fill="auto"/>
            <w:vAlign w:val="center"/>
          </w:tcPr>
          <w:p w14:paraId="1B261475" w14:textId="77777777" w:rsidR="00C37C68" w:rsidRPr="0058641B" w:rsidRDefault="00C37C68" w:rsidP="00D312D9">
            <w:pPr>
              <w:pStyle w:val="In-tableHeading"/>
              <w:rPr>
                <w:lang w:val="en-AU"/>
              </w:rPr>
            </w:pPr>
            <w:r w:rsidRPr="0058641B">
              <w:rPr>
                <w:lang w:val="en-AU"/>
              </w:rPr>
              <w:t xml:space="preserve">Estimated financial implications of atezolizumab </w:t>
            </w:r>
          </w:p>
        </w:tc>
      </w:tr>
      <w:tr w:rsidR="00C37C68" w:rsidRPr="0058641B" w14:paraId="33D8AD7D" w14:textId="77777777" w:rsidTr="00D312D9">
        <w:tc>
          <w:tcPr>
            <w:tcW w:w="1116" w:type="pct"/>
            <w:shd w:val="clear" w:color="auto" w:fill="auto"/>
            <w:vAlign w:val="center"/>
          </w:tcPr>
          <w:p w14:paraId="4FB2C2A7" w14:textId="77777777" w:rsidR="00C37C68" w:rsidRPr="0058641B" w:rsidRDefault="00C37C68" w:rsidP="00D312D9">
            <w:pPr>
              <w:pStyle w:val="TableText0"/>
              <w:rPr>
                <w:sz w:val="19"/>
                <w:szCs w:val="19"/>
              </w:rPr>
            </w:pPr>
            <w:r w:rsidRPr="0058641B">
              <w:rPr>
                <w:sz w:val="19"/>
                <w:szCs w:val="19"/>
              </w:rPr>
              <w:t xml:space="preserve">Cost to PBS/RPBS less </w:t>
            </w:r>
            <w:proofErr w:type="spellStart"/>
            <w:r w:rsidRPr="0058641B">
              <w:rPr>
                <w:sz w:val="19"/>
                <w:szCs w:val="19"/>
              </w:rPr>
              <w:t>copayments</w:t>
            </w:r>
            <w:proofErr w:type="spellEnd"/>
          </w:p>
        </w:tc>
        <w:tc>
          <w:tcPr>
            <w:tcW w:w="647" w:type="pct"/>
            <w:shd w:val="clear" w:color="auto" w:fill="auto"/>
            <w:vAlign w:val="center"/>
          </w:tcPr>
          <w:p w14:paraId="17E2520B" w14:textId="6C8FF46B"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7"/>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7"/>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7"/>
                <w14:textFill>
                  <w14:solidFill>
                    <w14:srgbClr w14:val="000000">
                      <w14:alpha w14:val="100000"/>
                    </w14:srgbClr>
                  </w14:solidFill>
                </w14:textFill>
              </w:rPr>
              <w:t xml:space="preserve">　</w:t>
            </w:r>
            <w:r w:rsidR="00E63CD7">
              <w:rPr>
                <w:vertAlign w:val="superscript"/>
              </w:rPr>
              <w:t>3</w:t>
            </w:r>
          </w:p>
        </w:tc>
        <w:tc>
          <w:tcPr>
            <w:tcW w:w="647" w:type="pct"/>
            <w:shd w:val="clear" w:color="auto" w:fill="auto"/>
            <w:vAlign w:val="center"/>
          </w:tcPr>
          <w:p w14:paraId="60722D83" w14:textId="64ADE27E"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6"/>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6"/>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6"/>
                <w14:textFill>
                  <w14:solidFill>
                    <w14:srgbClr w14:val="000000">
                      <w14:alpha w14:val="100000"/>
                    </w14:srgbClr>
                  </w14:solidFill>
                </w14:textFill>
              </w:rPr>
              <w:t xml:space="preserve">　</w:t>
            </w:r>
            <w:r w:rsidR="00E63CD7">
              <w:rPr>
                <w:vertAlign w:val="superscript"/>
              </w:rPr>
              <w:t>4</w:t>
            </w:r>
          </w:p>
        </w:tc>
        <w:tc>
          <w:tcPr>
            <w:tcW w:w="647" w:type="pct"/>
            <w:shd w:val="clear" w:color="auto" w:fill="auto"/>
            <w:vAlign w:val="center"/>
          </w:tcPr>
          <w:p w14:paraId="1748D94D" w14:textId="10969D84"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5"/>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5"/>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5"/>
                <w14:textFill>
                  <w14:solidFill>
                    <w14:srgbClr w14:val="000000">
                      <w14:alpha w14:val="100000"/>
                    </w14:srgbClr>
                  </w14:solidFill>
                </w14:textFill>
              </w:rPr>
              <w:t xml:space="preserve">　</w:t>
            </w:r>
            <w:r w:rsidR="00E63CD7">
              <w:rPr>
                <w:vertAlign w:val="superscript"/>
              </w:rPr>
              <w:t>4</w:t>
            </w:r>
          </w:p>
        </w:tc>
        <w:tc>
          <w:tcPr>
            <w:tcW w:w="647" w:type="pct"/>
            <w:shd w:val="clear" w:color="auto" w:fill="auto"/>
            <w:vAlign w:val="center"/>
          </w:tcPr>
          <w:p w14:paraId="60C5293A" w14:textId="2A97FA81"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4"/>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4"/>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4"/>
                <w14:textFill>
                  <w14:solidFill>
                    <w14:srgbClr w14:val="000000">
                      <w14:alpha w14:val="100000"/>
                    </w14:srgbClr>
                  </w14:solidFill>
                </w14:textFill>
              </w:rPr>
              <w:t xml:space="preserve">　</w:t>
            </w:r>
            <w:r w:rsidR="00E63CD7">
              <w:rPr>
                <w:vertAlign w:val="superscript"/>
              </w:rPr>
              <w:t>3</w:t>
            </w:r>
          </w:p>
        </w:tc>
        <w:tc>
          <w:tcPr>
            <w:tcW w:w="647" w:type="pct"/>
            <w:shd w:val="clear" w:color="auto" w:fill="auto"/>
            <w:vAlign w:val="center"/>
          </w:tcPr>
          <w:p w14:paraId="06CB7023" w14:textId="3A618B3D"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3"/>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3"/>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3"/>
                <w14:textFill>
                  <w14:solidFill>
                    <w14:srgbClr w14:val="000000">
                      <w14:alpha w14:val="100000"/>
                    </w14:srgbClr>
                  </w14:solidFill>
                </w14:textFill>
              </w:rPr>
              <w:t xml:space="preserve">　</w:t>
            </w:r>
            <w:r w:rsidR="00E63CD7">
              <w:rPr>
                <w:vertAlign w:val="superscript"/>
              </w:rPr>
              <w:t>3</w:t>
            </w:r>
          </w:p>
        </w:tc>
        <w:tc>
          <w:tcPr>
            <w:tcW w:w="649" w:type="pct"/>
            <w:vAlign w:val="center"/>
          </w:tcPr>
          <w:p w14:paraId="4599AEEE" w14:textId="55D4E7A1"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982"/>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982"/>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982"/>
                <w14:textFill>
                  <w14:solidFill>
                    <w14:srgbClr w14:val="000000">
                      <w14:alpha w14:val="100000"/>
                    </w14:srgbClr>
                  </w14:solidFill>
                </w14:textFill>
              </w:rPr>
              <w:t xml:space="preserve">　</w:t>
            </w:r>
            <w:r w:rsidR="00E63CD7">
              <w:rPr>
                <w:vertAlign w:val="superscript"/>
              </w:rPr>
              <w:t>3</w:t>
            </w:r>
          </w:p>
        </w:tc>
      </w:tr>
      <w:tr w:rsidR="00C37C68" w:rsidRPr="0058641B" w14:paraId="63F3F107" w14:textId="77777777" w:rsidTr="00D312D9">
        <w:tc>
          <w:tcPr>
            <w:tcW w:w="5000" w:type="pct"/>
            <w:gridSpan w:val="7"/>
            <w:tcBorders>
              <w:bottom w:val="single" w:sz="4" w:space="0" w:color="auto"/>
            </w:tcBorders>
            <w:shd w:val="clear" w:color="auto" w:fill="auto"/>
            <w:vAlign w:val="center"/>
          </w:tcPr>
          <w:p w14:paraId="1A8463C3" w14:textId="0DF1EEC5" w:rsidR="00C37C68" w:rsidRPr="0058641B" w:rsidRDefault="00C37C68" w:rsidP="00D312D9">
            <w:pPr>
              <w:pStyle w:val="TableText0"/>
              <w:rPr>
                <w:b/>
              </w:rPr>
            </w:pPr>
            <w:r w:rsidRPr="0058641B">
              <w:rPr>
                <w:b/>
              </w:rPr>
              <w:t xml:space="preserve">Estimated financial implications for </w:t>
            </w:r>
            <w:proofErr w:type="spellStart"/>
            <w:r w:rsidRPr="0058641B">
              <w:rPr>
                <w:b/>
              </w:rPr>
              <w:t>pembrolizumab</w:t>
            </w:r>
            <w:r w:rsidRPr="0058641B">
              <w:rPr>
                <w:b/>
                <w:vertAlign w:val="superscript"/>
              </w:rPr>
              <w:t>c</w:t>
            </w:r>
            <w:proofErr w:type="spellEnd"/>
          </w:p>
        </w:tc>
      </w:tr>
      <w:tr w:rsidR="00C37C68" w:rsidRPr="0058641B" w14:paraId="6B8CF99F" w14:textId="77777777" w:rsidTr="00D312D9">
        <w:tc>
          <w:tcPr>
            <w:tcW w:w="1116" w:type="pct"/>
            <w:tcBorders>
              <w:top w:val="nil"/>
            </w:tcBorders>
            <w:shd w:val="clear" w:color="auto" w:fill="auto"/>
            <w:vAlign w:val="center"/>
          </w:tcPr>
          <w:p w14:paraId="3786963A" w14:textId="27C87003" w:rsidR="00C37C68" w:rsidRPr="0058641B" w:rsidRDefault="008350CA" w:rsidP="00D312D9">
            <w:pPr>
              <w:pStyle w:val="TableText0"/>
              <w:rPr>
                <w:sz w:val="19"/>
                <w:szCs w:val="19"/>
                <w:vertAlign w:val="superscript"/>
              </w:rPr>
            </w:pPr>
            <w:r w:rsidRPr="0058641B">
              <w:rPr>
                <w:sz w:val="19"/>
                <w:szCs w:val="19"/>
              </w:rPr>
              <w:t xml:space="preserve">Cost to PBS/RPBS less </w:t>
            </w:r>
            <w:proofErr w:type="spellStart"/>
            <w:r w:rsidRPr="0058641B">
              <w:rPr>
                <w:sz w:val="19"/>
                <w:szCs w:val="19"/>
              </w:rPr>
              <w:t>copayments</w:t>
            </w:r>
            <w:r w:rsidRPr="0058641B">
              <w:rPr>
                <w:sz w:val="19"/>
                <w:szCs w:val="19"/>
                <w:vertAlign w:val="superscript"/>
              </w:rPr>
              <w:t>d</w:t>
            </w:r>
            <w:proofErr w:type="spellEnd"/>
            <w:r w:rsidR="00C37C68" w:rsidRPr="0058641B">
              <w:rPr>
                <w:sz w:val="19"/>
                <w:szCs w:val="19"/>
              </w:rPr>
              <w:t xml:space="preserve">      </w:t>
            </w:r>
          </w:p>
        </w:tc>
        <w:tc>
          <w:tcPr>
            <w:tcW w:w="647" w:type="pct"/>
            <w:tcBorders>
              <w:top w:val="nil"/>
            </w:tcBorders>
            <w:shd w:val="clear" w:color="auto" w:fill="auto"/>
          </w:tcPr>
          <w:p w14:paraId="413E0A2F" w14:textId="56A658DA" w:rsidR="00C37C68" w:rsidRPr="0058641B" w:rsidRDefault="00C37C68" w:rsidP="008350CA">
            <w:pPr>
              <w:pStyle w:val="TableText0"/>
            </w:pPr>
            <w:r w:rsidRPr="0058641B">
              <w:t>-$</w:t>
            </w:r>
            <w:r w:rsidR="00A8021D" w:rsidRPr="00A8021D">
              <w:rPr>
                <w:color w:val="000000"/>
                <w:spacing w:val="49"/>
                <w:shd w:val="solid" w:color="000000" w:fill="000000"/>
                <w:fitText w:val="320" w:id="-1435764981"/>
                <w14:textFill>
                  <w14:solidFill>
                    <w14:srgbClr w14:val="000000">
                      <w14:alpha w14:val="100000"/>
                    </w14:srgbClr>
                  </w14:solidFill>
                </w14:textFill>
              </w:rPr>
              <w:t>|||</w:t>
            </w:r>
            <w:r w:rsidR="00A8021D" w:rsidRPr="00A8021D">
              <w:rPr>
                <w:color w:val="000000"/>
                <w:spacing w:val="3"/>
                <w:shd w:val="solid" w:color="000000" w:fill="000000"/>
                <w:fitText w:val="320" w:id="-1435764981"/>
                <w14:textFill>
                  <w14:solidFill>
                    <w14:srgbClr w14:val="000000">
                      <w14:alpha w14:val="100000"/>
                    </w14:srgbClr>
                  </w14:solidFill>
                </w14:textFill>
              </w:rPr>
              <w:t>|</w:t>
            </w:r>
            <w:r w:rsidR="00E63CD7">
              <w:rPr>
                <w:vertAlign w:val="superscript"/>
              </w:rPr>
              <w:t>4</w:t>
            </w:r>
          </w:p>
        </w:tc>
        <w:tc>
          <w:tcPr>
            <w:tcW w:w="647" w:type="pct"/>
            <w:tcBorders>
              <w:top w:val="nil"/>
            </w:tcBorders>
            <w:shd w:val="clear" w:color="auto" w:fill="auto"/>
          </w:tcPr>
          <w:p w14:paraId="0419821F" w14:textId="4161163B" w:rsidR="00C37C68" w:rsidRPr="0058641B" w:rsidRDefault="00C37C68" w:rsidP="00D312D9">
            <w:pPr>
              <w:pStyle w:val="TableText0"/>
              <w:jc w:val="center"/>
            </w:pPr>
            <w:r w:rsidRPr="0058641B">
              <w:t>-$</w:t>
            </w:r>
            <w:r w:rsidR="00A8021D" w:rsidRPr="00A8021D">
              <w:rPr>
                <w:rFonts w:hint="eastAsia"/>
                <w:color w:val="000000"/>
                <w:w w:val="22"/>
                <w:shd w:val="solid" w:color="000000" w:fill="000000"/>
                <w:fitText w:val="100" w:id="-1435764980"/>
                <w14:textFill>
                  <w14:solidFill>
                    <w14:srgbClr w14:val="000000">
                      <w14:alpha w14:val="100000"/>
                    </w14:srgbClr>
                  </w14:solidFill>
                </w14:textFill>
              </w:rPr>
              <w:t xml:space="preserve">　</w:t>
            </w:r>
            <w:r w:rsidR="00A8021D" w:rsidRPr="00A8021D">
              <w:rPr>
                <w:color w:val="000000"/>
                <w:w w:val="22"/>
                <w:shd w:val="solid" w:color="000000" w:fill="000000"/>
                <w:fitText w:val="100" w:id="-1435764980"/>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980"/>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61A198F4" w14:textId="3868B787" w:rsidR="00C37C68" w:rsidRPr="0058641B" w:rsidRDefault="00C37C68" w:rsidP="00D312D9">
            <w:pPr>
              <w:pStyle w:val="TableText0"/>
              <w:jc w:val="center"/>
            </w:pPr>
            <w:r w:rsidRPr="0058641B">
              <w:t>-$</w:t>
            </w:r>
            <w:r w:rsidR="00A8021D" w:rsidRPr="00A8021D">
              <w:rPr>
                <w:rFonts w:hint="eastAsia"/>
                <w:color w:val="000000"/>
                <w:w w:val="22"/>
                <w:shd w:val="solid" w:color="000000" w:fill="000000"/>
                <w:fitText w:val="100" w:id="-1435764979"/>
                <w14:textFill>
                  <w14:solidFill>
                    <w14:srgbClr w14:val="000000">
                      <w14:alpha w14:val="100000"/>
                    </w14:srgbClr>
                  </w14:solidFill>
                </w14:textFill>
              </w:rPr>
              <w:t xml:space="preserve">　</w:t>
            </w:r>
            <w:r w:rsidR="00A8021D" w:rsidRPr="00A8021D">
              <w:rPr>
                <w:color w:val="000000"/>
                <w:w w:val="22"/>
                <w:shd w:val="solid" w:color="000000" w:fill="000000"/>
                <w:fitText w:val="100" w:id="-1435764979"/>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979"/>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0F75C39A" w14:textId="57593710" w:rsidR="00C37C68" w:rsidRPr="0058641B" w:rsidRDefault="00C37C68" w:rsidP="00D312D9">
            <w:pPr>
              <w:pStyle w:val="TableText0"/>
              <w:jc w:val="center"/>
            </w:pPr>
            <w:r w:rsidRPr="0058641B">
              <w:t>-$</w:t>
            </w:r>
            <w:r w:rsidR="00A8021D" w:rsidRPr="00A8021D">
              <w:rPr>
                <w:rFonts w:hint="eastAsia"/>
                <w:color w:val="000000"/>
                <w:w w:val="22"/>
                <w:shd w:val="solid" w:color="000000" w:fill="000000"/>
                <w:fitText w:val="100" w:id="-1435764978"/>
                <w14:textFill>
                  <w14:solidFill>
                    <w14:srgbClr w14:val="000000">
                      <w14:alpha w14:val="100000"/>
                    </w14:srgbClr>
                  </w14:solidFill>
                </w14:textFill>
              </w:rPr>
              <w:t xml:space="preserve">　</w:t>
            </w:r>
            <w:r w:rsidR="00A8021D" w:rsidRPr="00A8021D">
              <w:rPr>
                <w:color w:val="000000"/>
                <w:w w:val="22"/>
                <w:shd w:val="solid" w:color="000000" w:fill="000000"/>
                <w:fitText w:val="100" w:id="-1435764978"/>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978"/>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33DDA132" w14:textId="024BD6BB" w:rsidR="00C37C68" w:rsidRPr="0058641B" w:rsidRDefault="00C37C68" w:rsidP="00D312D9">
            <w:pPr>
              <w:pStyle w:val="TableText0"/>
              <w:jc w:val="center"/>
            </w:pPr>
            <w:r w:rsidRPr="0058641B">
              <w:t>-$</w:t>
            </w:r>
            <w:r w:rsidR="00A8021D" w:rsidRPr="00A8021D">
              <w:rPr>
                <w:rFonts w:hint="eastAsia"/>
                <w:color w:val="000000"/>
                <w:w w:val="22"/>
                <w:shd w:val="solid" w:color="000000" w:fill="000000"/>
                <w:fitText w:val="100" w:id="-1435764977"/>
                <w14:textFill>
                  <w14:solidFill>
                    <w14:srgbClr w14:val="000000">
                      <w14:alpha w14:val="100000"/>
                    </w14:srgbClr>
                  </w14:solidFill>
                </w14:textFill>
              </w:rPr>
              <w:t xml:space="preserve">　</w:t>
            </w:r>
            <w:r w:rsidR="00A8021D" w:rsidRPr="00A8021D">
              <w:rPr>
                <w:color w:val="000000"/>
                <w:w w:val="22"/>
                <w:shd w:val="solid" w:color="000000" w:fill="000000"/>
                <w:fitText w:val="100" w:id="-1435764977"/>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977"/>
                <w14:textFill>
                  <w14:solidFill>
                    <w14:srgbClr w14:val="000000">
                      <w14:alpha w14:val="100000"/>
                    </w14:srgbClr>
                  </w14:solidFill>
                </w14:textFill>
              </w:rPr>
              <w:t xml:space="preserve">　</w:t>
            </w:r>
            <w:r w:rsidR="00E63CD7">
              <w:rPr>
                <w:vertAlign w:val="superscript"/>
              </w:rPr>
              <w:t>4</w:t>
            </w:r>
          </w:p>
        </w:tc>
        <w:tc>
          <w:tcPr>
            <w:tcW w:w="649" w:type="pct"/>
            <w:tcBorders>
              <w:top w:val="nil"/>
            </w:tcBorders>
          </w:tcPr>
          <w:p w14:paraId="587DC21F" w14:textId="14553C4C" w:rsidR="00C37C68" w:rsidRPr="0058641B" w:rsidRDefault="00C37C68" w:rsidP="00D312D9">
            <w:pPr>
              <w:pStyle w:val="TableText0"/>
              <w:jc w:val="center"/>
            </w:pPr>
            <w:r w:rsidRPr="0058641B">
              <w:t>-$</w:t>
            </w:r>
            <w:r w:rsidR="00A8021D" w:rsidRPr="00A8021D">
              <w:rPr>
                <w:rFonts w:hint="eastAsia"/>
                <w:color w:val="000000"/>
                <w:w w:val="20"/>
                <w:shd w:val="solid" w:color="000000" w:fill="000000"/>
                <w:fitText w:val="90" w:id="-1435764976"/>
                <w14:textFill>
                  <w14:solidFill>
                    <w14:srgbClr w14:val="000000">
                      <w14:alpha w14:val="100000"/>
                    </w14:srgbClr>
                  </w14:solidFill>
                </w14:textFill>
              </w:rPr>
              <w:t xml:space="preserve">　</w:t>
            </w:r>
            <w:r w:rsidR="00A8021D" w:rsidRPr="00A8021D">
              <w:rPr>
                <w:color w:val="000000"/>
                <w:w w:val="20"/>
                <w:shd w:val="solid" w:color="000000" w:fill="000000"/>
                <w:fitText w:val="90" w:id="-1435764976"/>
                <w14:textFill>
                  <w14:solidFill>
                    <w14:srgbClr w14:val="000000">
                      <w14:alpha w14:val="100000"/>
                    </w14:srgbClr>
                  </w14:solidFill>
                </w14:textFill>
              </w:rPr>
              <w:t>|</w:t>
            </w:r>
            <w:r w:rsidR="00A8021D" w:rsidRPr="00A8021D">
              <w:rPr>
                <w:rFonts w:hint="eastAsia"/>
                <w:color w:val="000000"/>
                <w:spacing w:val="3"/>
                <w:w w:val="20"/>
                <w:shd w:val="solid" w:color="000000" w:fill="000000"/>
                <w:fitText w:val="90" w:id="-1435764976"/>
                <w14:textFill>
                  <w14:solidFill>
                    <w14:srgbClr w14:val="000000">
                      <w14:alpha w14:val="100000"/>
                    </w14:srgbClr>
                  </w14:solidFill>
                </w14:textFill>
              </w:rPr>
              <w:t xml:space="preserve">　</w:t>
            </w:r>
            <w:r w:rsidR="00E63CD7">
              <w:rPr>
                <w:vertAlign w:val="superscript"/>
              </w:rPr>
              <w:t>4</w:t>
            </w:r>
          </w:p>
        </w:tc>
      </w:tr>
      <w:tr w:rsidR="00C37C68" w:rsidRPr="0058641B" w14:paraId="3BBF3999" w14:textId="77777777" w:rsidTr="00D312D9">
        <w:tc>
          <w:tcPr>
            <w:tcW w:w="5000" w:type="pct"/>
            <w:gridSpan w:val="7"/>
            <w:tcBorders>
              <w:bottom w:val="single" w:sz="4" w:space="0" w:color="auto"/>
            </w:tcBorders>
            <w:shd w:val="clear" w:color="auto" w:fill="auto"/>
            <w:vAlign w:val="center"/>
          </w:tcPr>
          <w:p w14:paraId="1A514B37" w14:textId="77777777" w:rsidR="00C37C68" w:rsidRPr="0058641B" w:rsidRDefault="00C37C68" w:rsidP="00D312D9">
            <w:pPr>
              <w:pStyle w:val="In-tableHeading"/>
              <w:rPr>
                <w:lang w:val="en-AU"/>
              </w:rPr>
            </w:pPr>
            <w:r w:rsidRPr="0058641B">
              <w:rPr>
                <w:lang w:val="en-AU"/>
              </w:rPr>
              <w:t>Net financial implications</w:t>
            </w:r>
          </w:p>
        </w:tc>
      </w:tr>
      <w:tr w:rsidR="00C37C68" w:rsidRPr="0058641B" w14:paraId="6F9A1D58" w14:textId="77777777" w:rsidTr="00D312D9">
        <w:tc>
          <w:tcPr>
            <w:tcW w:w="1116" w:type="pct"/>
            <w:tcBorders>
              <w:top w:val="nil"/>
              <w:bottom w:val="single" w:sz="4" w:space="0" w:color="auto"/>
            </w:tcBorders>
            <w:shd w:val="clear" w:color="auto" w:fill="auto"/>
            <w:vAlign w:val="center"/>
          </w:tcPr>
          <w:p w14:paraId="6FC4E7E1" w14:textId="128823BD" w:rsidR="00C37C68" w:rsidRPr="0058641B" w:rsidRDefault="008350CA" w:rsidP="00D312D9">
            <w:pPr>
              <w:pStyle w:val="TableText0"/>
              <w:rPr>
                <w:sz w:val="19"/>
                <w:szCs w:val="19"/>
              </w:rPr>
            </w:pPr>
            <w:r w:rsidRPr="0058641B">
              <w:rPr>
                <w:sz w:val="19"/>
                <w:szCs w:val="19"/>
              </w:rPr>
              <w:t>Net cost to PBS/</w:t>
            </w:r>
            <w:proofErr w:type="spellStart"/>
            <w:r w:rsidRPr="0058641B">
              <w:rPr>
                <w:sz w:val="19"/>
                <w:szCs w:val="19"/>
              </w:rPr>
              <w:t>RPBS</w:t>
            </w:r>
            <w:r w:rsidRPr="0058641B">
              <w:rPr>
                <w:sz w:val="19"/>
                <w:szCs w:val="19"/>
                <w:vertAlign w:val="superscript"/>
              </w:rPr>
              <w:t>d</w:t>
            </w:r>
            <w:proofErr w:type="spellEnd"/>
          </w:p>
        </w:tc>
        <w:tc>
          <w:tcPr>
            <w:tcW w:w="647" w:type="pct"/>
            <w:tcBorders>
              <w:top w:val="nil"/>
              <w:bottom w:val="single" w:sz="4" w:space="0" w:color="auto"/>
            </w:tcBorders>
            <w:shd w:val="clear" w:color="auto" w:fill="auto"/>
          </w:tcPr>
          <w:p w14:paraId="70008484" w14:textId="5798F357"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92"/>
                <w14:textFill>
                  <w14:solidFill>
                    <w14:srgbClr w14:val="000000">
                      <w14:alpha w14:val="100000"/>
                    </w14:srgbClr>
                  </w14:solidFill>
                </w14:textFill>
              </w:rPr>
              <w:t xml:space="preserve">　</w:t>
            </w:r>
            <w:r w:rsidR="00A8021D" w:rsidRPr="00A8021D">
              <w:rPr>
                <w:color w:val="000000"/>
                <w:w w:val="15"/>
                <w:shd w:val="solid" w:color="000000" w:fill="000000"/>
                <w:fitText w:val="70" w:id="-1435764992"/>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92"/>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5EE8BDCD" w14:textId="2B5CD032"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91"/>
                <w14:textFill>
                  <w14:solidFill>
                    <w14:srgbClr w14:val="000000">
                      <w14:alpha w14:val="100000"/>
                    </w14:srgbClr>
                  </w14:solidFill>
                </w14:textFill>
              </w:rPr>
              <w:t xml:space="preserve">　</w:t>
            </w:r>
            <w:r w:rsidR="00A8021D" w:rsidRPr="00A8021D">
              <w:rPr>
                <w:color w:val="000000"/>
                <w:w w:val="15"/>
                <w:shd w:val="solid" w:color="000000" w:fill="000000"/>
                <w:fitText w:val="70" w:id="-1435764991"/>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91"/>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21C6596F" w14:textId="40C927C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90"/>
                <w14:textFill>
                  <w14:solidFill>
                    <w14:srgbClr w14:val="000000">
                      <w14:alpha w14:val="100000"/>
                    </w14:srgbClr>
                  </w14:solidFill>
                </w14:textFill>
              </w:rPr>
              <w:t xml:space="preserve">　</w:t>
            </w:r>
            <w:r w:rsidR="00A8021D" w:rsidRPr="00A8021D">
              <w:rPr>
                <w:color w:val="000000"/>
                <w:w w:val="15"/>
                <w:shd w:val="solid" w:color="000000" w:fill="000000"/>
                <w:fitText w:val="70" w:id="-1435764990"/>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90"/>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5161C9BF" w14:textId="775F43EF"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9"/>
                <w14:textFill>
                  <w14:solidFill>
                    <w14:srgbClr w14:val="000000">
                      <w14:alpha w14:val="100000"/>
                    </w14:srgbClr>
                  </w14:solidFill>
                </w14:textFill>
              </w:rPr>
              <w:t xml:space="preserve">　</w:t>
            </w:r>
            <w:r w:rsidR="00A8021D" w:rsidRPr="00A8021D">
              <w:rPr>
                <w:color w:val="000000"/>
                <w:w w:val="15"/>
                <w:shd w:val="solid" w:color="000000" w:fill="000000"/>
                <w:fitText w:val="70" w:id="-1435764989"/>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9"/>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2F8576BC" w14:textId="28AA0D54"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8"/>
                <w14:textFill>
                  <w14:solidFill>
                    <w14:srgbClr w14:val="000000">
                      <w14:alpha w14:val="100000"/>
                    </w14:srgbClr>
                  </w14:solidFill>
                </w14:textFill>
              </w:rPr>
              <w:t xml:space="preserve">　</w:t>
            </w:r>
            <w:r w:rsidR="00A8021D" w:rsidRPr="00A8021D">
              <w:rPr>
                <w:color w:val="000000"/>
                <w:w w:val="15"/>
                <w:shd w:val="solid" w:color="000000" w:fill="000000"/>
                <w:fitText w:val="70" w:id="-1435764988"/>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8"/>
                <w14:textFill>
                  <w14:solidFill>
                    <w14:srgbClr w14:val="000000">
                      <w14:alpha w14:val="100000"/>
                    </w14:srgbClr>
                  </w14:solidFill>
                </w14:textFill>
              </w:rPr>
              <w:t xml:space="preserve">　</w:t>
            </w:r>
            <w:r w:rsidR="00E63CD7">
              <w:rPr>
                <w:vertAlign w:val="superscript"/>
              </w:rPr>
              <w:t>4</w:t>
            </w:r>
          </w:p>
        </w:tc>
        <w:tc>
          <w:tcPr>
            <w:tcW w:w="649" w:type="pct"/>
            <w:tcBorders>
              <w:top w:val="nil"/>
              <w:bottom w:val="single" w:sz="4" w:space="0" w:color="auto"/>
            </w:tcBorders>
          </w:tcPr>
          <w:p w14:paraId="2E28D5AD" w14:textId="254131F3"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7"/>
                <w14:textFill>
                  <w14:solidFill>
                    <w14:srgbClr w14:val="000000">
                      <w14:alpha w14:val="100000"/>
                    </w14:srgbClr>
                  </w14:solidFill>
                </w14:textFill>
              </w:rPr>
              <w:t xml:space="preserve">　</w:t>
            </w:r>
            <w:r w:rsidR="00A8021D" w:rsidRPr="00A8021D">
              <w:rPr>
                <w:color w:val="000000"/>
                <w:w w:val="15"/>
                <w:shd w:val="solid" w:color="000000" w:fill="000000"/>
                <w:fitText w:val="70" w:id="-1435764987"/>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7"/>
                <w14:textFill>
                  <w14:solidFill>
                    <w14:srgbClr w14:val="000000">
                      <w14:alpha w14:val="100000"/>
                    </w14:srgbClr>
                  </w14:solidFill>
                </w14:textFill>
              </w:rPr>
              <w:t xml:space="preserve">　</w:t>
            </w:r>
            <w:r w:rsidR="00E63CD7">
              <w:rPr>
                <w:vertAlign w:val="superscript"/>
              </w:rPr>
              <w:t>4</w:t>
            </w:r>
          </w:p>
        </w:tc>
      </w:tr>
      <w:tr w:rsidR="00C37C68" w:rsidRPr="0058641B" w14:paraId="23524D37" w14:textId="77777777" w:rsidTr="00D312D9">
        <w:tc>
          <w:tcPr>
            <w:tcW w:w="1116" w:type="pct"/>
            <w:tcBorders>
              <w:top w:val="nil"/>
              <w:bottom w:val="single" w:sz="4" w:space="0" w:color="auto"/>
            </w:tcBorders>
            <w:shd w:val="clear" w:color="auto" w:fill="auto"/>
            <w:vAlign w:val="center"/>
          </w:tcPr>
          <w:p w14:paraId="0807FC03" w14:textId="7FDBE05D" w:rsidR="00C37C68" w:rsidRPr="0058641B" w:rsidRDefault="008350CA" w:rsidP="00D312D9">
            <w:pPr>
              <w:pStyle w:val="TableText0"/>
              <w:rPr>
                <w:sz w:val="19"/>
                <w:szCs w:val="19"/>
              </w:rPr>
            </w:pPr>
            <w:r w:rsidRPr="0058641B">
              <w:rPr>
                <w:sz w:val="19"/>
                <w:szCs w:val="19"/>
              </w:rPr>
              <w:t xml:space="preserve">Net cost to </w:t>
            </w:r>
            <w:proofErr w:type="spellStart"/>
            <w:r w:rsidRPr="0058641B">
              <w:rPr>
                <w:sz w:val="19"/>
                <w:szCs w:val="19"/>
              </w:rPr>
              <w:t>MBS</w:t>
            </w:r>
            <w:r w:rsidRPr="0058641B">
              <w:rPr>
                <w:sz w:val="19"/>
                <w:szCs w:val="19"/>
                <w:vertAlign w:val="superscript"/>
              </w:rPr>
              <w:t>d</w:t>
            </w:r>
            <w:proofErr w:type="spellEnd"/>
          </w:p>
        </w:tc>
        <w:tc>
          <w:tcPr>
            <w:tcW w:w="647" w:type="pct"/>
            <w:tcBorders>
              <w:top w:val="nil"/>
              <w:bottom w:val="single" w:sz="4" w:space="0" w:color="auto"/>
            </w:tcBorders>
            <w:shd w:val="clear" w:color="auto" w:fill="auto"/>
          </w:tcPr>
          <w:p w14:paraId="355BA72D" w14:textId="20E0132B"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6"/>
                <w14:textFill>
                  <w14:solidFill>
                    <w14:srgbClr w14:val="000000">
                      <w14:alpha w14:val="100000"/>
                    </w14:srgbClr>
                  </w14:solidFill>
                </w14:textFill>
              </w:rPr>
              <w:t xml:space="preserve">　</w:t>
            </w:r>
            <w:r w:rsidR="00A8021D" w:rsidRPr="00A8021D">
              <w:rPr>
                <w:color w:val="000000"/>
                <w:w w:val="15"/>
                <w:shd w:val="solid" w:color="000000" w:fill="000000"/>
                <w:fitText w:val="70" w:id="-1435764986"/>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6"/>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18294A02" w14:textId="6524FD88"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5"/>
                <w14:textFill>
                  <w14:solidFill>
                    <w14:srgbClr w14:val="000000">
                      <w14:alpha w14:val="100000"/>
                    </w14:srgbClr>
                  </w14:solidFill>
                </w14:textFill>
              </w:rPr>
              <w:t xml:space="preserve">　</w:t>
            </w:r>
            <w:r w:rsidR="00A8021D" w:rsidRPr="00A8021D">
              <w:rPr>
                <w:color w:val="000000"/>
                <w:w w:val="15"/>
                <w:shd w:val="solid" w:color="000000" w:fill="000000"/>
                <w:fitText w:val="70" w:id="-1435764985"/>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5"/>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0308EE58" w14:textId="02FF416F"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4"/>
                <w14:textFill>
                  <w14:solidFill>
                    <w14:srgbClr w14:val="000000">
                      <w14:alpha w14:val="100000"/>
                    </w14:srgbClr>
                  </w14:solidFill>
                </w14:textFill>
              </w:rPr>
              <w:t xml:space="preserve">　</w:t>
            </w:r>
            <w:r w:rsidR="00A8021D" w:rsidRPr="00A8021D">
              <w:rPr>
                <w:color w:val="000000"/>
                <w:w w:val="15"/>
                <w:shd w:val="solid" w:color="000000" w:fill="000000"/>
                <w:fitText w:val="70" w:id="-1435764984"/>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4"/>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08AC619E" w14:textId="3737EB10"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3"/>
                <w14:textFill>
                  <w14:solidFill>
                    <w14:srgbClr w14:val="000000">
                      <w14:alpha w14:val="100000"/>
                    </w14:srgbClr>
                  </w14:solidFill>
                </w14:textFill>
              </w:rPr>
              <w:t xml:space="preserve">　</w:t>
            </w:r>
            <w:r w:rsidR="00A8021D" w:rsidRPr="00A8021D">
              <w:rPr>
                <w:color w:val="000000"/>
                <w:w w:val="15"/>
                <w:shd w:val="solid" w:color="000000" w:fill="000000"/>
                <w:fitText w:val="70" w:id="-1435764983"/>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3"/>
                <w14:textFill>
                  <w14:solidFill>
                    <w14:srgbClr w14:val="000000">
                      <w14:alpha w14:val="100000"/>
                    </w14:srgbClr>
                  </w14:solidFill>
                </w14:textFill>
              </w:rPr>
              <w:t xml:space="preserve">　</w:t>
            </w:r>
            <w:r w:rsidR="00E63CD7">
              <w:rPr>
                <w:vertAlign w:val="superscript"/>
              </w:rPr>
              <w:t>4</w:t>
            </w:r>
          </w:p>
        </w:tc>
        <w:tc>
          <w:tcPr>
            <w:tcW w:w="647" w:type="pct"/>
            <w:tcBorders>
              <w:top w:val="nil"/>
              <w:bottom w:val="single" w:sz="4" w:space="0" w:color="auto"/>
            </w:tcBorders>
            <w:shd w:val="clear" w:color="auto" w:fill="auto"/>
          </w:tcPr>
          <w:p w14:paraId="58298DFE" w14:textId="775FEEAF"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2"/>
                <w14:textFill>
                  <w14:solidFill>
                    <w14:srgbClr w14:val="000000">
                      <w14:alpha w14:val="100000"/>
                    </w14:srgbClr>
                  </w14:solidFill>
                </w14:textFill>
              </w:rPr>
              <w:t xml:space="preserve">　</w:t>
            </w:r>
            <w:r w:rsidR="00A8021D" w:rsidRPr="00A8021D">
              <w:rPr>
                <w:color w:val="000000"/>
                <w:w w:val="15"/>
                <w:shd w:val="solid" w:color="000000" w:fill="000000"/>
                <w:fitText w:val="70" w:id="-1435764982"/>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2"/>
                <w14:textFill>
                  <w14:solidFill>
                    <w14:srgbClr w14:val="000000">
                      <w14:alpha w14:val="100000"/>
                    </w14:srgbClr>
                  </w14:solidFill>
                </w14:textFill>
              </w:rPr>
              <w:t xml:space="preserve">　</w:t>
            </w:r>
            <w:r w:rsidR="00E63CD7">
              <w:rPr>
                <w:vertAlign w:val="superscript"/>
              </w:rPr>
              <w:t>4</w:t>
            </w:r>
          </w:p>
        </w:tc>
        <w:tc>
          <w:tcPr>
            <w:tcW w:w="649" w:type="pct"/>
            <w:tcBorders>
              <w:top w:val="nil"/>
              <w:bottom w:val="single" w:sz="4" w:space="0" w:color="auto"/>
            </w:tcBorders>
          </w:tcPr>
          <w:p w14:paraId="4D391E75" w14:textId="59BF6541"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1"/>
                <w14:textFill>
                  <w14:solidFill>
                    <w14:srgbClr w14:val="000000">
                      <w14:alpha w14:val="100000"/>
                    </w14:srgbClr>
                  </w14:solidFill>
                </w14:textFill>
              </w:rPr>
              <w:t xml:space="preserve">　</w:t>
            </w:r>
            <w:r w:rsidR="00A8021D" w:rsidRPr="00A8021D">
              <w:rPr>
                <w:color w:val="000000"/>
                <w:w w:val="15"/>
                <w:shd w:val="solid" w:color="000000" w:fill="000000"/>
                <w:fitText w:val="70" w:id="-1435764981"/>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1"/>
                <w14:textFill>
                  <w14:solidFill>
                    <w14:srgbClr w14:val="000000">
                      <w14:alpha w14:val="100000"/>
                    </w14:srgbClr>
                  </w14:solidFill>
                </w14:textFill>
              </w:rPr>
              <w:t xml:space="preserve">　</w:t>
            </w:r>
            <w:r w:rsidR="00E63CD7">
              <w:rPr>
                <w:vertAlign w:val="superscript"/>
              </w:rPr>
              <w:t>4</w:t>
            </w:r>
          </w:p>
        </w:tc>
      </w:tr>
      <w:tr w:rsidR="00C37C68" w:rsidRPr="0058641B" w14:paraId="082FEF01" w14:textId="77777777" w:rsidTr="00D312D9">
        <w:tc>
          <w:tcPr>
            <w:tcW w:w="1116" w:type="pct"/>
            <w:tcBorders>
              <w:top w:val="nil"/>
            </w:tcBorders>
            <w:shd w:val="clear" w:color="auto" w:fill="auto"/>
            <w:vAlign w:val="center"/>
          </w:tcPr>
          <w:p w14:paraId="4BB918D4" w14:textId="6C4E4A60" w:rsidR="00C37C68" w:rsidRPr="0058641B" w:rsidRDefault="008350CA" w:rsidP="00D312D9">
            <w:pPr>
              <w:pStyle w:val="TableText0"/>
              <w:rPr>
                <w:sz w:val="19"/>
                <w:szCs w:val="19"/>
              </w:rPr>
            </w:pPr>
            <w:r w:rsidRPr="0058641B">
              <w:rPr>
                <w:sz w:val="19"/>
                <w:szCs w:val="19"/>
              </w:rPr>
              <w:t>Net cost to PBS/RPBS/</w:t>
            </w:r>
            <w:proofErr w:type="spellStart"/>
            <w:r w:rsidRPr="0058641B">
              <w:rPr>
                <w:sz w:val="19"/>
                <w:szCs w:val="19"/>
              </w:rPr>
              <w:t>MBS</w:t>
            </w:r>
            <w:r w:rsidR="00C37C68" w:rsidRPr="0058641B">
              <w:rPr>
                <w:sz w:val="19"/>
                <w:szCs w:val="19"/>
                <w:vertAlign w:val="superscript"/>
              </w:rPr>
              <w:t>d</w:t>
            </w:r>
            <w:proofErr w:type="spellEnd"/>
          </w:p>
        </w:tc>
        <w:tc>
          <w:tcPr>
            <w:tcW w:w="647" w:type="pct"/>
            <w:tcBorders>
              <w:top w:val="nil"/>
            </w:tcBorders>
            <w:shd w:val="clear" w:color="auto" w:fill="auto"/>
          </w:tcPr>
          <w:p w14:paraId="16FA549C" w14:textId="559F6871"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80"/>
                <w14:textFill>
                  <w14:solidFill>
                    <w14:srgbClr w14:val="000000">
                      <w14:alpha w14:val="100000"/>
                    </w14:srgbClr>
                  </w14:solidFill>
                </w14:textFill>
              </w:rPr>
              <w:t xml:space="preserve">　</w:t>
            </w:r>
            <w:r w:rsidR="00A8021D" w:rsidRPr="00A8021D">
              <w:rPr>
                <w:color w:val="000000"/>
                <w:w w:val="15"/>
                <w:shd w:val="solid" w:color="000000" w:fill="000000"/>
                <w:fitText w:val="70" w:id="-1435764980"/>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80"/>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1C8CA51D" w14:textId="03180696"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79"/>
                <w14:textFill>
                  <w14:solidFill>
                    <w14:srgbClr w14:val="000000">
                      <w14:alpha w14:val="100000"/>
                    </w14:srgbClr>
                  </w14:solidFill>
                </w14:textFill>
              </w:rPr>
              <w:t xml:space="preserve">　</w:t>
            </w:r>
            <w:r w:rsidR="00A8021D" w:rsidRPr="00A8021D">
              <w:rPr>
                <w:color w:val="000000"/>
                <w:w w:val="15"/>
                <w:shd w:val="solid" w:color="000000" w:fill="000000"/>
                <w:fitText w:val="70" w:id="-1435764979"/>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79"/>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5AA7051A" w14:textId="1DCACDA3"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78"/>
                <w14:textFill>
                  <w14:solidFill>
                    <w14:srgbClr w14:val="000000">
                      <w14:alpha w14:val="100000"/>
                    </w14:srgbClr>
                  </w14:solidFill>
                </w14:textFill>
              </w:rPr>
              <w:t xml:space="preserve">　</w:t>
            </w:r>
            <w:r w:rsidR="00A8021D" w:rsidRPr="00A8021D">
              <w:rPr>
                <w:color w:val="000000"/>
                <w:w w:val="15"/>
                <w:shd w:val="solid" w:color="000000" w:fill="000000"/>
                <w:fitText w:val="70" w:id="-1435764978"/>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78"/>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547B9FCB" w14:textId="22CA6F5E"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77"/>
                <w14:textFill>
                  <w14:solidFill>
                    <w14:srgbClr w14:val="000000">
                      <w14:alpha w14:val="100000"/>
                    </w14:srgbClr>
                  </w14:solidFill>
                </w14:textFill>
              </w:rPr>
              <w:t xml:space="preserve">　</w:t>
            </w:r>
            <w:r w:rsidR="00A8021D" w:rsidRPr="00A8021D">
              <w:rPr>
                <w:color w:val="000000"/>
                <w:w w:val="15"/>
                <w:shd w:val="solid" w:color="000000" w:fill="000000"/>
                <w:fitText w:val="70" w:id="-1435764977"/>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77"/>
                <w14:textFill>
                  <w14:solidFill>
                    <w14:srgbClr w14:val="000000">
                      <w14:alpha w14:val="100000"/>
                    </w14:srgbClr>
                  </w14:solidFill>
                </w14:textFill>
              </w:rPr>
              <w:t xml:space="preserve">　</w:t>
            </w:r>
            <w:r w:rsidR="00E63CD7">
              <w:rPr>
                <w:vertAlign w:val="superscript"/>
              </w:rPr>
              <w:t>4</w:t>
            </w:r>
          </w:p>
        </w:tc>
        <w:tc>
          <w:tcPr>
            <w:tcW w:w="647" w:type="pct"/>
            <w:tcBorders>
              <w:top w:val="nil"/>
            </w:tcBorders>
            <w:shd w:val="clear" w:color="auto" w:fill="auto"/>
          </w:tcPr>
          <w:p w14:paraId="25AE176C" w14:textId="3FB1BDED"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76"/>
                <w14:textFill>
                  <w14:solidFill>
                    <w14:srgbClr w14:val="000000">
                      <w14:alpha w14:val="100000"/>
                    </w14:srgbClr>
                  </w14:solidFill>
                </w14:textFill>
              </w:rPr>
              <w:t xml:space="preserve">　</w:t>
            </w:r>
            <w:r w:rsidR="00A8021D" w:rsidRPr="00A8021D">
              <w:rPr>
                <w:color w:val="000000"/>
                <w:w w:val="15"/>
                <w:shd w:val="solid" w:color="000000" w:fill="000000"/>
                <w:fitText w:val="70" w:id="-1435764976"/>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76"/>
                <w14:textFill>
                  <w14:solidFill>
                    <w14:srgbClr w14:val="000000">
                      <w14:alpha w14:val="100000"/>
                    </w14:srgbClr>
                  </w14:solidFill>
                </w14:textFill>
              </w:rPr>
              <w:t xml:space="preserve">　</w:t>
            </w:r>
            <w:r w:rsidR="00E63CD7">
              <w:rPr>
                <w:vertAlign w:val="superscript"/>
              </w:rPr>
              <w:t>4</w:t>
            </w:r>
          </w:p>
        </w:tc>
        <w:tc>
          <w:tcPr>
            <w:tcW w:w="649" w:type="pct"/>
            <w:tcBorders>
              <w:top w:val="nil"/>
            </w:tcBorders>
          </w:tcPr>
          <w:p w14:paraId="22C55A8F" w14:textId="3262FAB1"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992"/>
                <w14:textFill>
                  <w14:solidFill>
                    <w14:srgbClr w14:val="000000">
                      <w14:alpha w14:val="100000"/>
                    </w14:srgbClr>
                  </w14:solidFill>
                </w14:textFill>
              </w:rPr>
              <w:t xml:space="preserve">　</w:t>
            </w:r>
            <w:r w:rsidR="00A8021D" w:rsidRPr="00A8021D">
              <w:rPr>
                <w:color w:val="000000"/>
                <w:w w:val="15"/>
                <w:shd w:val="solid" w:color="000000" w:fill="000000"/>
                <w:fitText w:val="70" w:id="-1435764992"/>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992"/>
                <w14:textFill>
                  <w14:solidFill>
                    <w14:srgbClr w14:val="000000">
                      <w14:alpha w14:val="100000"/>
                    </w14:srgbClr>
                  </w14:solidFill>
                </w14:textFill>
              </w:rPr>
              <w:t xml:space="preserve">　</w:t>
            </w:r>
            <w:r w:rsidR="00E63CD7">
              <w:rPr>
                <w:vertAlign w:val="superscript"/>
              </w:rPr>
              <w:t>4</w:t>
            </w:r>
          </w:p>
        </w:tc>
      </w:tr>
    </w:tbl>
    <w:p w14:paraId="31F09EAE" w14:textId="77777777" w:rsidR="00C37C68" w:rsidRPr="0058641B" w:rsidRDefault="00C37C68" w:rsidP="00C37C68">
      <w:pPr>
        <w:pStyle w:val="TableFigureFooter"/>
        <w:rPr>
          <w:rStyle w:val="CommentReference"/>
        </w:rPr>
      </w:pPr>
      <w:r w:rsidRPr="0058641B">
        <w:t xml:space="preserve">Source: Table 4.10, p117, Table 4.14, p120, Table 4.19, p124 and Table 4.25, p126 of the submission. </w:t>
      </w:r>
    </w:p>
    <w:p w14:paraId="77043E38" w14:textId="506C324A" w:rsidR="00C37C68" w:rsidRPr="0058641B" w:rsidRDefault="00C37C68" w:rsidP="00C37C68">
      <w:pPr>
        <w:pStyle w:val="TableFigureFooter"/>
      </w:pPr>
      <w:proofErr w:type="spellStart"/>
      <w:r w:rsidRPr="0058641B">
        <w:rPr>
          <w:vertAlign w:val="superscript"/>
        </w:rPr>
        <w:t>a</w:t>
      </w:r>
      <w:proofErr w:type="spellEnd"/>
      <w:r w:rsidRPr="0058641B">
        <w:t xml:space="preserve"> Including</w:t>
      </w:r>
      <w:r w:rsidR="00C20D01">
        <w:t xml:space="preserve"> &lt; 500</w:t>
      </w:r>
      <w:r w:rsidRPr="0058641B">
        <w:t xml:space="preserve"> grandfathered patients in Year 1.</w:t>
      </w:r>
    </w:p>
    <w:p w14:paraId="78D3CF58" w14:textId="77777777" w:rsidR="00C37C68" w:rsidRPr="0058641B" w:rsidRDefault="00C37C68" w:rsidP="00C37C68">
      <w:pPr>
        <w:pStyle w:val="TableFigureFooter"/>
      </w:pPr>
      <w:r w:rsidRPr="0058641B">
        <w:rPr>
          <w:vertAlign w:val="superscript"/>
        </w:rPr>
        <w:t xml:space="preserve">b </w:t>
      </w:r>
      <w:r w:rsidRPr="0058641B">
        <w:t xml:space="preserve">Assuming that 93.02% of the patients would receive atezolizumab 1,200 mg every 3 weeks (number of scripts per patient: 12.40 in incident patients and 5.18 in grandfathered patients). The remaining 6.98% would be treated with atezolizumab 1,680 mg every 4 weeks (number of scripts per patient: 11.31 in incident patients and 5.99 in grandfathered patients). </w:t>
      </w:r>
    </w:p>
    <w:p w14:paraId="70C65D79" w14:textId="149B8625" w:rsidR="00C37C68" w:rsidRPr="0058641B" w:rsidRDefault="00C37C68" w:rsidP="00C37C68">
      <w:pPr>
        <w:pStyle w:val="TableFigureFooter"/>
        <w:rPr>
          <w:vertAlign w:val="superscript"/>
        </w:rPr>
      </w:pPr>
      <w:r w:rsidRPr="0058641B">
        <w:rPr>
          <w:vertAlign w:val="superscript"/>
        </w:rPr>
        <w:t>c</w:t>
      </w:r>
      <w:r w:rsidRPr="0058641B">
        <w:rPr>
          <w:vertAlign w:val="subscript"/>
        </w:rPr>
        <w:t xml:space="preserve"> </w:t>
      </w:r>
      <w:r w:rsidRPr="0058641B">
        <w:t xml:space="preserve">The submission assuming a </w:t>
      </w:r>
      <w:r w:rsidR="00A8021D" w:rsidRPr="00A8021D">
        <w:rPr>
          <w:color w:val="000000"/>
          <w:spacing w:val="37"/>
          <w:shd w:val="solid" w:color="000000" w:fill="000000"/>
          <w:fitText w:val="270" w:id="-1435764991"/>
          <w14:textFill>
            <w14:solidFill>
              <w14:srgbClr w14:val="000000">
                <w14:alpha w14:val="100000"/>
              </w14:srgbClr>
            </w14:solidFill>
          </w14:textFill>
        </w:rPr>
        <w:t xml:space="preserve">|  </w:t>
      </w:r>
      <w:r w:rsidR="00A8021D" w:rsidRPr="00A8021D">
        <w:rPr>
          <w:color w:val="000000"/>
          <w:spacing w:val="1"/>
          <w:shd w:val="solid" w:color="000000" w:fill="000000"/>
          <w:fitText w:val="270" w:id="-1435764991"/>
          <w14:textFill>
            <w14:solidFill>
              <w14:srgbClr w14:val="000000">
                <w14:alpha w14:val="100000"/>
              </w14:srgbClr>
            </w14:solidFill>
          </w14:textFill>
        </w:rPr>
        <w:t>|</w:t>
      </w:r>
      <w:r w:rsidRPr="0058641B">
        <w:t xml:space="preserve">% </w:t>
      </w:r>
      <w:r w:rsidR="00586AE5" w:rsidRPr="0058641B">
        <w:t>rebate</w:t>
      </w:r>
      <w:r w:rsidRPr="0058641B">
        <w:t xml:space="preserve"> on the published ex-manufacturer price for pembrolizumab as a rebate in the form of a special pricing arrangement. </w:t>
      </w:r>
    </w:p>
    <w:p w14:paraId="04FCEA90" w14:textId="74A69CB3" w:rsidR="00C37C68" w:rsidRDefault="00C37C68" w:rsidP="00C37C68">
      <w:pPr>
        <w:pStyle w:val="TableFigureFooter"/>
      </w:pPr>
      <w:r w:rsidRPr="0058641B">
        <w:rPr>
          <w:vertAlign w:val="superscript"/>
        </w:rPr>
        <w:t xml:space="preserve">d </w:t>
      </w:r>
      <w:r w:rsidRPr="0058641B">
        <w:t xml:space="preserve">Revised by assuming: 1) the proportion of patients with distant recurrence being 16.43% in the first year, 13.28% in the second year, 11.24% in the third year, 6.67% in the fourth year, 3.56% in the fifth year, and 1.76% in the sixth year; and 2) 80% of patients with distant recurrence receiving pembrolizumab. Changes in chemotherapy costs were removed from the analysis. </w:t>
      </w:r>
    </w:p>
    <w:p w14:paraId="5D0FB549" w14:textId="77777777" w:rsidR="00E63CD7" w:rsidRPr="0026352C" w:rsidRDefault="00E63CD7" w:rsidP="00E63CD7">
      <w:pPr>
        <w:pStyle w:val="TableFigureFooter"/>
        <w:keepNext/>
        <w:spacing w:after="0"/>
        <w:contextualSpacing w:val="0"/>
        <w:rPr>
          <w:i/>
        </w:rPr>
      </w:pPr>
      <w:r w:rsidRPr="0026352C">
        <w:rPr>
          <w:i/>
        </w:rPr>
        <w:t>The redacted values correspond to the following ranges:</w:t>
      </w:r>
    </w:p>
    <w:p w14:paraId="3EAAA2F6" w14:textId="5A3CCDDC" w:rsidR="00E63CD7" w:rsidRPr="00281DAB" w:rsidRDefault="00E63CD7" w:rsidP="00E63CD7">
      <w:pPr>
        <w:pStyle w:val="TableFigureFooter"/>
        <w:keepNext/>
        <w:spacing w:after="0"/>
        <w:contextualSpacing w:val="0"/>
      </w:pPr>
      <w:r w:rsidRPr="0026352C">
        <w:rPr>
          <w:i/>
          <w:szCs w:val="18"/>
          <w:vertAlign w:val="superscript"/>
        </w:rPr>
        <w:t>1</w:t>
      </w:r>
      <w:r w:rsidRPr="0026352C">
        <w:rPr>
          <w:i/>
          <w:szCs w:val="18"/>
        </w:rPr>
        <w:t xml:space="preserve"> </w:t>
      </w:r>
      <w:r>
        <w:rPr>
          <w:i/>
          <w:szCs w:val="18"/>
        </w:rPr>
        <w:t>&lt;</w:t>
      </w:r>
      <w:r w:rsidR="00EA0E0E">
        <w:rPr>
          <w:i/>
          <w:szCs w:val="18"/>
        </w:rPr>
        <w:t xml:space="preserve"> </w:t>
      </w:r>
      <w:r w:rsidRPr="0026352C">
        <w:rPr>
          <w:i/>
          <w:szCs w:val="18"/>
        </w:rPr>
        <w:t>500</w:t>
      </w:r>
    </w:p>
    <w:p w14:paraId="333A915B" w14:textId="6C9BCD4B" w:rsidR="00E63CD7" w:rsidRPr="0026352C" w:rsidRDefault="00E63CD7" w:rsidP="00E63CD7">
      <w:pPr>
        <w:rPr>
          <w:rFonts w:ascii="Arial Narrow" w:hAnsi="Arial Narrow"/>
          <w:i/>
          <w:sz w:val="18"/>
          <w:szCs w:val="18"/>
        </w:rPr>
      </w:pPr>
      <w:r w:rsidRPr="0026352C">
        <w:rPr>
          <w:rFonts w:ascii="Arial Narrow" w:hAnsi="Arial Narrow"/>
          <w:i/>
          <w:sz w:val="18"/>
          <w:szCs w:val="18"/>
          <w:vertAlign w:val="superscript"/>
        </w:rPr>
        <w:t>2</w:t>
      </w:r>
      <w:r w:rsidRPr="0026352C">
        <w:rPr>
          <w:rFonts w:ascii="Arial Narrow" w:hAnsi="Arial Narrow"/>
          <w:i/>
          <w:sz w:val="18"/>
          <w:szCs w:val="18"/>
        </w:rPr>
        <w:t xml:space="preserve"> </w:t>
      </w:r>
      <w:r w:rsidRPr="00E63CD7">
        <w:rPr>
          <w:rFonts w:ascii="Arial Narrow" w:hAnsi="Arial Narrow"/>
          <w:i/>
          <w:sz w:val="18"/>
          <w:szCs w:val="18"/>
        </w:rPr>
        <w:t>500 to &lt; 5,000</w:t>
      </w:r>
    </w:p>
    <w:p w14:paraId="68E72FAA" w14:textId="2D921139" w:rsidR="00E63CD7" w:rsidRPr="0026352C" w:rsidRDefault="00E63CD7" w:rsidP="00E63CD7">
      <w:pPr>
        <w:rPr>
          <w:rFonts w:ascii="Arial Narrow" w:hAnsi="Arial Narrow"/>
          <w:i/>
          <w:sz w:val="18"/>
          <w:szCs w:val="18"/>
        </w:rPr>
      </w:pPr>
      <w:r w:rsidRPr="0026352C">
        <w:rPr>
          <w:rFonts w:ascii="Arial Narrow" w:hAnsi="Arial Narrow"/>
          <w:i/>
          <w:sz w:val="18"/>
          <w:szCs w:val="18"/>
          <w:vertAlign w:val="superscript"/>
        </w:rPr>
        <w:t xml:space="preserve">3 </w:t>
      </w:r>
      <w:r w:rsidRPr="00E63CD7">
        <w:rPr>
          <w:rFonts w:ascii="Arial Narrow" w:hAnsi="Arial Narrow"/>
          <w:i/>
          <w:sz w:val="18"/>
          <w:szCs w:val="18"/>
        </w:rPr>
        <w:t>$10 million to &lt; $20 million</w:t>
      </w:r>
    </w:p>
    <w:p w14:paraId="36D679E9" w14:textId="7B7E8691" w:rsidR="00E63CD7" w:rsidRPr="00E63CD7" w:rsidRDefault="00E63CD7" w:rsidP="00E63CD7">
      <w:pPr>
        <w:rPr>
          <w:rFonts w:ascii="Arial Narrow" w:hAnsi="Arial Narrow"/>
          <w:i/>
          <w:sz w:val="18"/>
          <w:szCs w:val="18"/>
        </w:rPr>
      </w:pPr>
      <w:r w:rsidRPr="0026352C">
        <w:rPr>
          <w:rFonts w:ascii="Arial Narrow" w:hAnsi="Arial Narrow"/>
          <w:i/>
          <w:sz w:val="18"/>
          <w:szCs w:val="18"/>
          <w:vertAlign w:val="superscript"/>
        </w:rPr>
        <w:t xml:space="preserve">4 </w:t>
      </w:r>
      <w:r w:rsidRPr="00E63CD7">
        <w:rPr>
          <w:rFonts w:ascii="Arial Narrow" w:hAnsi="Arial Narrow"/>
          <w:i/>
          <w:sz w:val="18"/>
          <w:szCs w:val="18"/>
        </w:rPr>
        <w:t>$0 to &lt; $10 million</w:t>
      </w:r>
    </w:p>
    <w:p w14:paraId="75BF56AC" w14:textId="77777777" w:rsidR="00C37C68" w:rsidRPr="0058641B" w:rsidRDefault="00C37C68" w:rsidP="00C37C68"/>
    <w:p w14:paraId="486D05CF" w14:textId="17779820" w:rsidR="00C37C68" w:rsidRPr="0058641B" w:rsidRDefault="00C37C68" w:rsidP="00C37C68">
      <w:pPr>
        <w:pStyle w:val="3-BodyText"/>
        <w:rPr>
          <w:iCs/>
        </w:rPr>
      </w:pPr>
      <w:r w:rsidRPr="0058641B">
        <w:t xml:space="preserve">The submission assumed that the listing of ATZ would result in </w:t>
      </w:r>
      <w:r w:rsidRPr="0058641B">
        <w:rPr>
          <w:u w:val="single"/>
        </w:rPr>
        <w:t>cost savings</w:t>
      </w:r>
      <w:r w:rsidRPr="0058641B">
        <w:t xml:space="preserve"> to both the PBS/RPBS (</w:t>
      </w:r>
      <w:r w:rsidR="00FF4CDF" w:rsidRPr="00FF4CDF">
        <w:t>$0 to &lt; $10 million</w:t>
      </w:r>
      <w:r w:rsidRPr="0058641B">
        <w:t xml:space="preserve"> in Year 1 and </w:t>
      </w:r>
      <w:r w:rsidR="00FF4CDF" w:rsidRPr="00FF4CDF">
        <w:t>$0 to &lt; $10 million</w:t>
      </w:r>
      <w:r w:rsidRPr="0058641B">
        <w:t xml:space="preserve"> in Years 2-6) and the MBS (</w:t>
      </w:r>
      <w:r w:rsidR="00FF4CDF" w:rsidRPr="00FF4CDF">
        <w:t>$0 to &lt; $10 million</w:t>
      </w:r>
      <w:r w:rsidR="001B5E25" w:rsidRPr="0058641B">
        <w:t xml:space="preserve"> thousand </w:t>
      </w:r>
      <w:r w:rsidRPr="0058641B">
        <w:t xml:space="preserve">in Year 1 and </w:t>
      </w:r>
      <w:r w:rsidR="00FF4CDF" w:rsidRPr="00FF4CDF">
        <w:t>$0 to &lt; $10 million</w:t>
      </w:r>
      <w:r w:rsidRPr="0058641B">
        <w:t xml:space="preserve"> in Years 2-6). </w:t>
      </w:r>
      <w:r w:rsidRPr="0058641B">
        <w:rPr>
          <w:iCs/>
        </w:rPr>
        <w:t xml:space="preserve">The cost savings to the PBS/RPBS and MBS were attributable to the reduced use of pembrolizumab + chemotherapy in the DR setting due to the listing of adjuvant ATZ. The submission assumed that, in current clinical practice without the availability of ATZ, all patients with </w:t>
      </w:r>
      <w:proofErr w:type="gramStart"/>
      <w:r w:rsidRPr="0058641B">
        <w:rPr>
          <w:iCs/>
        </w:rPr>
        <w:t>early stage</w:t>
      </w:r>
      <w:proofErr w:type="gramEnd"/>
      <w:r w:rsidRPr="0058641B">
        <w:rPr>
          <w:iCs/>
        </w:rPr>
        <w:t xml:space="preserve"> NSCLC would experience DR within the first year of diagnosis and would receive pembrolizumab combination therapy in the DR setting. This assumption was unreasonable and </w:t>
      </w:r>
      <w:r w:rsidR="0081540D">
        <w:rPr>
          <w:iCs/>
        </w:rPr>
        <w:t>was not consistent with</w:t>
      </w:r>
      <w:r w:rsidR="0081540D" w:rsidRPr="0058641B">
        <w:rPr>
          <w:iCs/>
        </w:rPr>
        <w:t xml:space="preserve"> </w:t>
      </w:r>
      <w:r w:rsidRPr="0058641B">
        <w:rPr>
          <w:iCs/>
        </w:rPr>
        <w:t xml:space="preserve">the economic evaluation provided in the submission. </w:t>
      </w:r>
    </w:p>
    <w:p w14:paraId="1984C3D2" w14:textId="2A0F9D78" w:rsidR="00C37C68" w:rsidRPr="0058641B" w:rsidRDefault="00C37C68" w:rsidP="00C37C68">
      <w:pPr>
        <w:pStyle w:val="3-BodyText"/>
        <w:rPr>
          <w:iCs/>
        </w:rPr>
      </w:pPr>
      <w:bookmarkStart w:id="77" w:name="_Ref109299196"/>
      <w:r w:rsidRPr="0058641B">
        <w:rPr>
          <w:iCs/>
        </w:rPr>
        <w:lastRenderedPageBreak/>
        <w:t>The accumulated proportion of patients transitioning into the 1L DR health state (either from DFS or from LRR) in the BSC arm of the base case economic model was 52.9% within the first 6 years, with 16.4% in the first year, 13.3% in the second year, 11.2% in the third year, 6.7% in the fourth year, 3.6% in the fifth year, and 1.8% in the sixth year. In the economic evaluation, 80% of these patients in the comparator BSC arm would receive pembrolizumab, in combination with chemotherapy, in the DR setting, with the remaining 20% ineligible for pembrolizumab due to poor performance status or other reasons. Based on the above revised assumptions</w:t>
      </w:r>
      <w:r w:rsidR="00BB629E" w:rsidRPr="0058641B">
        <w:rPr>
          <w:iCs/>
        </w:rPr>
        <w:t xml:space="preserve"> (</w:t>
      </w:r>
      <w:r w:rsidR="00BB629E" w:rsidRPr="0058641B">
        <w:rPr>
          <w:iCs/>
        </w:rPr>
        <w:fldChar w:fldCharType="begin"/>
      </w:r>
      <w:r w:rsidR="00BB629E" w:rsidRPr="0058641B">
        <w:rPr>
          <w:iCs/>
        </w:rPr>
        <w:instrText xml:space="preserve"> REF _Ref103189201 \h </w:instrText>
      </w:r>
      <w:r w:rsidR="004D4A7C" w:rsidRPr="0058641B">
        <w:rPr>
          <w:iCs/>
        </w:rPr>
        <w:instrText xml:space="preserve"> \* MERGEFORMAT </w:instrText>
      </w:r>
      <w:r w:rsidR="00BB629E" w:rsidRPr="0058641B">
        <w:rPr>
          <w:iCs/>
        </w:rPr>
      </w:r>
      <w:r w:rsidR="00BB629E" w:rsidRPr="0058641B">
        <w:rPr>
          <w:iCs/>
        </w:rPr>
        <w:fldChar w:fldCharType="separate"/>
      </w:r>
      <w:r w:rsidR="0043151A" w:rsidRPr="0058641B">
        <w:rPr>
          <w:iCs/>
        </w:rPr>
        <w:t xml:space="preserve">Table </w:t>
      </w:r>
      <w:r w:rsidR="0043151A">
        <w:rPr>
          <w:iCs/>
        </w:rPr>
        <w:t>22</w:t>
      </w:r>
      <w:r w:rsidR="00BB629E" w:rsidRPr="0058641B">
        <w:rPr>
          <w:iCs/>
        </w:rPr>
        <w:fldChar w:fldCharType="end"/>
      </w:r>
      <w:r w:rsidR="00BB629E" w:rsidRPr="0058641B">
        <w:rPr>
          <w:iCs/>
        </w:rPr>
        <w:t>)</w:t>
      </w:r>
      <w:r w:rsidRPr="0058641B">
        <w:rPr>
          <w:iCs/>
        </w:rPr>
        <w:t xml:space="preserve">, the listing of adjuvant ATZ would result in </w:t>
      </w:r>
      <w:r w:rsidRPr="0058641B">
        <w:rPr>
          <w:iCs/>
          <w:u w:val="single"/>
        </w:rPr>
        <w:t>net additional costs</w:t>
      </w:r>
      <w:r w:rsidRPr="0058641B">
        <w:rPr>
          <w:iCs/>
        </w:rPr>
        <w:t xml:space="preserve"> to the PBS/RPBS (</w:t>
      </w:r>
      <w:r w:rsidR="00FF4CDF" w:rsidRPr="00FF4CDF">
        <w:rPr>
          <w:iCs/>
        </w:rPr>
        <w:t>$0 to &lt; $10 million</w:t>
      </w:r>
      <w:r w:rsidRPr="0058641B">
        <w:rPr>
          <w:iCs/>
        </w:rPr>
        <w:t xml:space="preserve"> in Year 1 of listing and </w:t>
      </w:r>
      <w:r w:rsidR="00FF4CDF" w:rsidRPr="00FF4CDF">
        <w:rPr>
          <w:iCs/>
        </w:rPr>
        <w:t>$0 to &lt; $10 million</w:t>
      </w:r>
      <w:r w:rsidRPr="0058641B">
        <w:rPr>
          <w:iCs/>
        </w:rPr>
        <w:t xml:space="preserve"> in Years 2-6) and to the MBS (</w:t>
      </w:r>
      <w:r w:rsidR="00FF4CDF" w:rsidRPr="00FF4CDF">
        <w:rPr>
          <w:iCs/>
        </w:rPr>
        <w:t>$0 to &lt; $10 million</w:t>
      </w:r>
      <w:r w:rsidRPr="0058641B">
        <w:rPr>
          <w:iCs/>
        </w:rPr>
        <w:t xml:space="preserve"> in Year 1 and </w:t>
      </w:r>
      <w:r w:rsidR="00FF4CDF" w:rsidRPr="00FF4CDF">
        <w:rPr>
          <w:iCs/>
        </w:rPr>
        <w:t>$0 to &lt; $10 million</w:t>
      </w:r>
      <w:r w:rsidRPr="0058641B">
        <w:rPr>
          <w:iCs/>
        </w:rPr>
        <w:t xml:space="preserve"> in Years 2-6). Of note, costs of chemotherapy to the PBS/RPBS were not included in the revised analysis, as chemotherapy would be used either as stand-alone therapy or in combination with pembrolizumab in both treatment arms. Although the proportion of patients experiencing DR differed between the two treatment arms in each year, it would have minimal impacts to the net PBS/RPBS costs, given the low cost of chemotherapy in comparison with ATZ and pembrolizumab.</w:t>
      </w:r>
      <w:bookmarkEnd w:id="77"/>
      <w:r w:rsidRPr="0058641B">
        <w:rPr>
          <w:iCs/>
        </w:rPr>
        <w:t xml:space="preserve"> </w:t>
      </w:r>
    </w:p>
    <w:p w14:paraId="78F366DF" w14:textId="78A914A2" w:rsidR="00BB629E" w:rsidRPr="0058641B" w:rsidRDefault="00BB629E" w:rsidP="00BB629E">
      <w:pPr>
        <w:pStyle w:val="TableFigureHeading"/>
        <w:rPr>
          <w:iCs/>
          <w:vertAlign w:val="superscript"/>
        </w:rPr>
      </w:pPr>
      <w:bookmarkStart w:id="78" w:name="_Ref103189201"/>
      <w:r w:rsidRPr="0058641B">
        <w:rPr>
          <w:iCs/>
        </w:rPr>
        <w:t xml:space="preserve">Table </w:t>
      </w:r>
      <w:r w:rsidRPr="0058641B">
        <w:rPr>
          <w:iCs/>
        </w:rPr>
        <w:fldChar w:fldCharType="begin"/>
      </w:r>
      <w:r w:rsidRPr="0058641B">
        <w:rPr>
          <w:iCs/>
        </w:rPr>
        <w:instrText xml:space="preserve"> SEQ Table \* ARABIC </w:instrText>
      </w:r>
      <w:r w:rsidRPr="0058641B">
        <w:rPr>
          <w:iCs/>
        </w:rPr>
        <w:fldChar w:fldCharType="separate"/>
      </w:r>
      <w:r w:rsidR="0043151A">
        <w:rPr>
          <w:iCs/>
          <w:noProof/>
        </w:rPr>
        <w:t>22</w:t>
      </w:r>
      <w:r w:rsidRPr="0058641B">
        <w:rPr>
          <w:iCs/>
        </w:rPr>
        <w:fldChar w:fldCharType="end"/>
      </w:r>
      <w:bookmarkEnd w:id="78"/>
      <w:r w:rsidRPr="0058641B">
        <w:rPr>
          <w:iCs/>
        </w:rPr>
        <w:t xml:space="preserve">: Estimated number of patients with Stage II-IIIA, PD-L1 ≥ 1% NSCLC eligible for pembrolizumab in the distant recurrence </w:t>
      </w:r>
      <w:proofErr w:type="spellStart"/>
      <w:r w:rsidRPr="0058641B">
        <w:rPr>
          <w:iCs/>
        </w:rPr>
        <w:t>setting</w:t>
      </w:r>
      <w:r w:rsidRPr="0058641B">
        <w:rPr>
          <w:iCs/>
          <w:vertAlign w:val="superscript"/>
        </w:rPr>
        <w:t>a</w:t>
      </w:r>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415"/>
        <w:gridCol w:w="993"/>
        <w:gridCol w:w="1134"/>
        <w:gridCol w:w="992"/>
        <w:gridCol w:w="992"/>
        <w:gridCol w:w="1134"/>
        <w:gridCol w:w="992"/>
      </w:tblGrid>
      <w:tr w:rsidR="00BB629E" w:rsidRPr="0058641B" w14:paraId="425D8B6A" w14:textId="77777777" w:rsidTr="00705E1A">
        <w:tc>
          <w:tcPr>
            <w:tcW w:w="2830" w:type="dxa"/>
            <w:gridSpan w:val="2"/>
            <w:shd w:val="clear" w:color="auto" w:fill="auto"/>
            <w:noWrap/>
            <w:vAlign w:val="center"/>
          </w:tcPr>
          <w:p w14:paraId="2CBE6E3D" w14:textId="77777777" w:rsidR="00BB629E" w:rsidRPr="0058641B" w:rsidRDefault="00BB629E" w:rsidP="00705E1A">
            <w:pPr>
              <w:pStyle w:val="TableText0"/>
              <w:rPr>
                <w:iCs/>
                <w:szCs w:val="20"/>
                <w:lang w:eastAsia="zh-CN"/>
              </w:rPr>
            </w:pPr>
          </w:p>
        </w:tc>
        <w:tc>
          <w:tcPr>
            <w:tcW w:w="993" w:type="dxa"/>
            <w:shd w:val="clear" w:color="auto" w:fill="auto"/>
            <w:noWrap/>
            <w:vAlign w:val="center"/>
          </w:tcPr>
          <w:p w14:paraId="2097E7B7" w14:textId="77777777" w:rsidR="00BB629E" w:rsidRPr="0058641B" w:rsidRDefault="00BB629E" w:rsidP="00705E1A">
            <w:pPr>
              <w:pStyle w:val="TableText0"/>
              <w:jc w:val="center"/>
              <w:rPr>
                <w:b/>
                <w:iCs/>
                <w:szCs w:val="20"/>
                <w:lang w:eastAsia="zh-CN"/>
              </w:rPr>
            </w:pPr>
            <w:r w:rsidRPr="0058641B">
              <w:rPr>
                <w:b/>
                <w:iCs/>
                <w:szCs w:val="20"/>
                <w:lang w:eastAsia="zh-CN"/>
              </w:rPr>
              <w:t>Year 1</w:t>
            </w:r>
          </w:p>
        </w:tc>
        <w:tc>
          <w:tcPr>
            <w:tcW w:w="1134" w:type="dxa"/>
            <w:shd w:val="clear" w:color="auto" w:fill="auto"/>
            <w:noWrap/>
          </w:tcPr>
          <w:p w14:paraId="7EA10AE1" w14:textId="77777777" w:rsidR="00BB629E" w:rsidRPr="0058641B" w:rsidRDefault="00BB629E" w:rsidP="00705E1A">
            <w:pPr>
              <w:pStyle w:val="TableText0"/>
              <w:jc w:val="center"/>
              <w:rPr>
                <w:b/>
                <w:iCs/>
                <w:szCs w:val="20"/>
                <w:lang w:eastAsia="zh-CN"/>
              </w:rPr>
            </w:pPr>
            <w:r w:rsidRPr="0058641B">
              <w:rPr>
                <w:b/>
                <w:iCs/>
              </w:rPr>
              <w:t>Year 2</w:t>
            </w:r>
          </w:p>
        </w:tc>
        <w:tc>
          <w:tcPr>
            <w:tcW w:w="992" w:type="dxa"/>
            <w:shd w:val="clear" w:color="auto" w:fill="auto"/>
            <w:noWrap/>
          </w:tcPr>
          <w:p w14:paraId="032B4ACF" w14:textId="77777777" w:rsidR="00BB629E" w:rsidRPr="0058641B" w:rsidRDefault="00BB629E" w:rsidP="00705E1A">
            <w:pPr>
              <w:pStyle w:val="TableText0"/>
              <w:jc w:val="center"/>
              <w:rPr>
                <w:b/>
                <w:iCs/>
                <w:szCs w:val="20"/>
                <w:lang w:eastAsia="zh-CN"/>
              </w:rPr>
            </w:pPr>
            <w:r w:rsidRPr="0058641B">
              <w:rPr>
                <w:b/>
                <w:iCs/>
              </w:rPr>
              <w:t>Year 3</w:t>
            </w:r>
          </w:p>
        </w:tc>
        <w:tc>
          <w:tcPr>
            <w:tcW w:w="992" w:type="dxa"/>
            <w:shd w:val="clear" w:color="auto" w:fill="auto"/>
            <w:noWrap/>
          </w:tcPr>
          <w:p w14:paraId="2EE19E6C" w14:textId="77777777" w:rsidR="00BB629E" w:rsidRPr="0058641B" w:rsidRDefault="00BB629E" w:rsidP="00705E1A">
            <w:pPr>
              <w:pStyle w:val="TableText0"/>
              <w:jc w:val="center"/>
              <w:rPr>
                <w:b/>
                <w:iCs/>
                <w:szCs w:val="20"/>
                <w:lang w:eastAsia="zh-CN"/>
              </w:rPr>
            </w:pPr>
            <w:r w:rsidRPr="0058641B">
              <w:rPr>
                <w:b/>
                <w:iCs/>
              </w:rPr>
              <w:t>Year 4</w:t>
            </w:r>
          </w:p>
        </w:tc>
        <w:tc>
          <w:tcPr>
            <w:tcW w:w="1134" w:type="dxa"/>
            <w:shd w:val="clear" w:color="auto" w:fill="auto"/>
            <w:noWrap/>
          </w:tcPr>
          <w:p w14:paraId="20876A0F" w14:textId="77777777" w:rsidR="00BB629E" w:rsidRPr="0058641B" w:rsidRDefault="00BB629E" w:rsidP="00705E1A">
            <w:pPr>
              <w:pStyle w:val="TableText0"/>
              <w:jc w:val="center"/>
              <w:rPr>
                <w:b/>
                <w:iCs/>
                <w:szCs w:val="20"/>
                <w:lang w:eastAsia="zh-CN"/>
              </w:rPr>
            </w:pPr>
            <w:r w:rsidRPr="0058641B">
              <w:rPr>
                <w:b/>
                <w:iCs/>
              </w:rPr>
              <w:t>Year 5</w:t>
            </w:r>
          </w:p>
        </w:tc>
        <w:tc>
          <w:tcPr>
            <w:tcW w:w="992" w:type="dxa"/>
            <w:shd w:val="clear" w:color="auto" w:fill="auto"/>
            <w:noWrap/>
          </w:tcPr>
          <w:p w14:paraId="05FC7D3F" w14:textId="77777777" w:rsidR="00BB629E" w:rsidRPr="0058641B" w:rsidRDefault="00BB629E" w:rsidP="00705E1A">
            <w:pPr>
              <w:pStyle w:val="TableText0"/>
              <w:jc w:val="center"/>
              <w:rPr>
                <w:b/>
                <w:iCs/>
                <w:szCs w:val="20"/>
                <w:lang w:eastAsia="zh-CN"/>
              </w:rPr>
            </w:pPr>
            <w:r w:rsidRPr="0058641B">
              <w:rPr>
                <w:b/>
                <w:iCs/>
              </w:rPr>
              <w:t>Year 6</w:t>
            </w:r>
          </w:p>
        </w:tc>
      </w:tr>
      <w:tr w:rsidR="00BB629E" w:rsidRPr="0058641B" w14:paraId="4B27CEBA" w14:textId="77777777" w:rsidTr="00705E1A">
        <w:tc>
          <w:tcPr>
            <w:tcW w:w="1415" w:type="dxa"/>
            <w:vMerge w:val="restart"/>
            <w:shd w:val="clear" w:color="auto" w:fill="auto"/>
            <w:noWrap/>
            <w:vAlign w:val="center"/>
          </w:tcPr>
          <w:p w14:paraId="19BA3DD2" w14:textId="0F8F093C" w:rsidR="00BB629E" w:rsidRPr="0058641B" w:rsidRDefault="00BB629E" w:rsidP="00705E1A">
            <w:pPr>
              <w:pStyle w:val="TableText0"/>
              <w:rPr>
                <w:iCs/>
                <w:szCs w:val="20"/>
                <w:vertAlign w:val="superscript"/>
                <w:lang w:eastAsia="zh-CN"/>
              </w:rPr>
            </w:pPr>
            <w:r w:rsidRPr="0058641B">
              <w:rPr>
                <w:iCs/>
                <w:szCs w:val="20"/>
                <w:lang w:eastAsia="zh-CN"/>
              </w:rPr>
              <w:t xml:space="preserve">Number of patients in the adjuvant setting in each year of </w:t>
            </w:r>
            <w:proofErr w:type="spellStart"/>
            <w:r w:rsidRPr="0058641B">
              <w:rPr>
                <w:iCs/>
                <w:szCs w:val="20"/>
                <w:lang w:eastAsia="zh-CN"/>
              </w:rPr>
              <w:t>listing</w:t>
            </w:r>
            <w:r w:rsidR="00870138" w:rsidRPr="0058641B">
              <w:rPr>
                <w:iCs/>
                <w:szCs w:val="20"/>
                <w:vertAlign w:val="superscript"/>
                <w:lang w:eastAsia="zh-CN"/>
              </w:rPr>
              <w:t>b</w:t>
            </w:r>
            <w:proofErr w:type="spellEnd"/>
          </w:p>
        </w:tc>
        <w:tc>
          <w:tcPr>
            <w:tcW w:w="1415" w:type="dxa"/>
            <w:shd w:val="clear" w:color="auto" w:fill="auto"/>
            <w:vAlign w:val="center"/>
          </w:tcPr>
          <w:p w14:paraId="18E272BD" w14:textId="4BD738B9" w:rsidR="00BB629E" w:rsidRPr="00AE3765" w:rsidRDefault="00BB629E" w:rsidP="00705E1A">
            <w:pPr>
              <w:pStyle w:val="TableText0"/>
              <w:rPr>
                <w:iCs/>
                <w:szCs w:val="20"/>
                <w:highlight w:val="darkGray"/>
                <w:vertAlign w:val="superscript"/>
                <w:lang w:eastAsia="zh-CN"/>
              </w:rPr>
            </w:pPr>
            <w:r w:rsidRPr="00843E11">
              <w:rPr>
                <w:iCs/>
                <w:szCs w:val="20"/>
                <w:lang w:eastAsia="zh-CN"/>
              </w:rPr>
              <w:t>-</w:t>
            </w:r>
            <w:r w:rsidR="00A8021D" w:rsidRPr="00A8021D">
              <w:rPr>
                <w:iCs/>
                <w:color w:val="000000"/>
                <w:spacing w:val="53"/>
                <w:szCs w:val="20"/>
                <w:shd w:val="solid" w:color="000000" w:fill="000000"/>
                <w:fitText w:val="330" w:id="-1435764990"/>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90"/>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42588125" w14:textId="147CEE2D"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9"/>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9"/>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585F4307" w14:textId="79584FFC"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88"/>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88"/>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88"/>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599B5489" w14:textId="6953E1FC"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7"/>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7"/>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vAlign w:val="center"/>
            <w:hideMark/>
          </w:tcPr>
          <w:p w14:paraId="3706E250" w14:textId="29CD3E9C"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6"/>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6"/>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1E24E909" w14:textId="086085D3"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85"/>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85"/>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85"/>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090CCD2C" w14:textId="5C0131D4"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4"/>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4"/>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3D61BF6D" w14:textId="77777777" w:rsidTr="00705E1A">
        <w:tc>
          <w:tcPr>
            <w:tcW w:w="1415" w:type="dxa"/>
            <w:vMerge/>
            <w:shd w:val="clear" w:color="auto" w:fill="auto"/>
            <w:noWrap/>
            <w:vAlign w:val="center"/>
          </w:tcPr>
          <w:p w14:paraId="513282D2" w14:textId="77777777" w:rsidR="00BB629E" w:rsidRPr="0058641B" w:rsidRDefault="00BB629E" w:rsidP="00705E1A">
            <w:pPr>
              <w:pStyle w:val="TableText0"/>
              <w:rPr>
                <w:iCs/>
                <w:szCs w:val="20"/>
                <w:lang w:eastAsia="zh-CN"/>
              </w:rPr>
            </w:pPr>
          </w:p>
        </w:tc>
        <w:tc>
          <w:tcPr>
            <w:tcW w:w="1415" w:type="dxa"/>
            <w:shd w:val="clear" w:color="auto" w:fill="auto"/>
            <w:vAlign w:val="center"/>
          </w:tcPr>
          <w:p w14:paraId="19D1968C" w14:textId="0BC57F2D" w:rsidR="00BB629E" w:rsidRPr="00843E11" w:rsidRDefault="00BB629E" w:rsidP="00705E1A">
            <w:pPr>
              <w:pStyle w:val="TableText0"/>
              <w:rPr>
                <w:iCs/>
                <w:szCs w:val="20"/>
                <w:highlight w:val="darkGray"/>
                <w:lang w:eastAsia="zh-CN"/>
              </w:rPr>
            </w:pPr>
            <w:r w:rsidRPr="00843E11">
              <w:rPr>
                <w:iCs/>
                <w:szCs w:val="20"/>
                <w:lang w:eastAsia="zh-CN"/>
              </w:rPr>
              <w:t>-</w:t>
            </w:r>
            <w:r w:rsidR="00A8021D" w:rsidRPr="00A8021D">
              <w:rPr>
                <w:iCs/>
                <w:color w:val="000000"/>
                <w:spacing w:val="53"/>
                <w:szCs w:val="20"/>
                <w:shd w:val="solid" w:color="000000" w:fill="000000"/>
                <w:fitText w:val="330" w:id="-1435764983"/>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83"/>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18892DB0" w14:textId="77777777" w:rsidR="00BB629E" w:rsidRPr="00843E11" w:rsidRDefault="00BB629E" w:rsidP="00705E1A">
            <w:pPr>
              <w:pStyle w:val="TableText0"/>
              <w:jc w:val="center"/>
              <w:rPr>
                <w:iCs/>
                <w:szCs w:val="20"/>
                <w:highlight w:val="darkGray"/>
                <w:lang w:eastAsia="zh-CN"/>
              </w:rPr>
            </w:pPr>
          </w:p>
        </w:tc>
        <w:tc>
          <w:tcPr>
            <w:tcW w:w="1134" w:type="dxa"/>
            <w:shd w:val="clear" w:color="auto" w:fill="auto"/>
            <w:noWrap/>
            <w:vAlign w:val="center"/>
            <w:hideMark/>
          </w:tcPr>
          <w:p w14:paraId="61AA6E96" w14:textId="4A3A223A"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82"/>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82"/>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82"/>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62614C6D" w14:textId="68911387"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1"/>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1"/>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vAlign w:val="center"/>
            <w:hideMark/>
          </w:tcPr>
          <w:p w14:paraId="49BDECEE" w14:textId="0BB696AE"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0"/>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0"/>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16373F8E" w14:textId="15E87C29"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79"/>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79"/>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79"/>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608DDCF0" w14:textId="04B0A468"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78"/>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78"/>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24BB2FAE" w14:textId="77777777" w:rsidTr="00705E1A">
        <w:tc>
          <w:tcPr>
            <w:tcW w:w="1415" w:type="dxa"/>
            <w:vMerge/>
            <w:shd w:val="clear" w:color="auto" w:fill="auto"/>
            <w:noWrap/>
            <w:vAlign w:val="center"/>
          </w:tcPr>
          <w:p w14:paraId="69F98313" w14:textId="77777777" w:rsidR="00BB629E" w:rsidRPr="0058641B" w:rsidRDefault="00BB629E" w:rsidP="00705E1A">
            <w:pPr>
              <w:pStyle w:val="TableText0"/>
              <w:rPr>
                <w:iCs/>
                <w:szCs w:val="20"/>
                <w:lang w:eastAsia="zh-CN"/>
              </w:rPr>
            </w:pPr>
          </w:p>
        </w:tc>
        <w:tc>
          <w:tcPr>
            <w:tcW w:w="1415" w:type="dxa"/>
            <w:shd w:val="clear" w:color="auto" w:fill="auto"/>
            <w:vAlign w:val="center"/>
          </w:tcPr>
          <w:p w14:paraId="24265EE0" w14:textId="2D35BCD4" w:rsidR="00BB629E" w:rsidRPr="00843E11" w:rsidRDefault="00BB629E" w:rsidP="00705E1A">
            <w:pPr>
              <w:pStyle w:val="TableText0"/>
              <w:rPr>
                <w:iCs/>
                <w:szCs w:val="20"/>
                <w:highlight w:val="darkGray"/>
                <w:lang w:eastAsia="zh-CN"/>
              </w:rPr>
            </w:pPr>
            <w:r w:rsidRPr="00843E11">
              <w:rPr>
                <w:iCs/>
                <w:szCs w:val="20"/>
                <w:lang w:eastAsia="zh-CN"/>
              </w:rPr>
              <w:t>-</w:t>
            </w:r>
            <w:r w:rsidR="00A8021D" w:rsidRPr="00A8021D">
              <w:rPr>
                <w:iCs/>
                <w:color w:val="000000"/>
                <w:spacing w:val="53"/>
                <w:szCs w:val="20"/>
                <w:shd w:val="solid" w:color="000000" w:fill="000000"/>
                <w:fitText w:val="330" w:id="-1435764977"/>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77"/>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6F126B39" w14:textId="77777777" w:rsidR="00BB629E" w:rsidRPr="00843E11" w:rsidRDefault="00BB629E" w:rsidP="00705E1A">
            <w:pPr>
              <w:pStyle w:val="TableText0"/>
              <w:jc w:val="center"/>
              <w:rPr>
                <w:iCs/>
                <w:szCs w:val="20"/>
                <w:highlight w:val="darkGray"/>
                <w:lang w:eastAsia="zh-CN"/>
              </w:rPr>
            </w:pPr>
          </w:p>
        </w:tc>
        <w:tc>
          <w:tcPr>
            <w:tcW w:w="1134" w:type="dxa"/>
            <w:shd w:val="clear" w:color="auto" w:fill="auto"/>
            <w:noWrap/>
            <w:vAlign w:val="center"/>
            <w:hideMark/>
          </w:tcPr>
          <w:p w14:paraId="30A85E39"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46337591" w14:textId="5AE2D759"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76"/>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76"/>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vAlign w:val="center"/>
            <w:hideMark/>
          </w:tcPr>
          <w:p w14:paraId="3F3212BE" w14:textId="720D6803"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92"/>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92"/>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7F05DF68" w14:textId="2ADF24A3"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91"/>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91"/>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91"/>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1F589790" w14:textId="0FD93B9A"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90"/>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90"/>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6201A314" w14:textId="77777777" w:rsidTr="00705E1A">
        <w:tc>
          <w:tcPr>
            <w:tcW w:w="1415" w:type="dxa"/>
            <w:vMerge/>
            <w:shd w:val="clear" w:color="auto" w:fill="auto"/>
            <w:noWrap/>
            <w:vAlign w:val="center"/>
          </w:tcPr>
          <w:p w14:paraId="3C20DAD0" w14:textId="77777777" w:rsidR="00BB629E" w:rsidRPr="0058641B" w:rsidRDefault="00BB629E" w:rsidP="00705E1A">
            <w:pPr>
              <w:pStyle w:val="TableText0"/>
              <w:rPr>
                <w:iCs/>
                <w:szCs w:val="20"/>
                <w:lang w:eastAsia="zh-CN"/>
              </w:rPr>
            </w:pPr>
          </w:p>
        </w:tc>
        <w:tc>
          <w:tcPr>
            <w:tcW w:w="1415" w:type="dxa"/>
            <w:shd w:val="clear" w:color="auto" w:fill="auto"/>
            <w:vAlign w:val="center"/>
          </w:tcPr>
          <w:p w14:paraId="537724AB" w14:textId="53936C22" w:rsidR="00BB629E" w:rsidRPr="00843E11" w:rsidRDefault="00BB629E" w:rsidP="00705E1A">
            <w:pPr>
              <w:pStyle w:val="TableText0"/>
              <w:rPr>
                <w:iCs/>
                <w:szCs w:val="20"/>
                <w:highlight w:val="darkGray"/>
                <w:lang w:eastAsia="zh-CN"/>
              </w:rPr>
            </w:pPr>
            <w:r w:rsidRPr="00843E11">
              <w:rPr>
                <w:iCs/>
                <w:szCs w:val="20"/>
                <w:lang w:eastAsia="zh-CN"/>
              </w:rPr>
              <w:t>-</w:t>
            </w:r>
            <w:r w:rsidR="00A8021D" w:rsidRPr="00A8021D">
              <w:rPr>
                <w:iCs/>
                <w:color w:val="000000"/>
                <w:spacing w:val="53"/>
                <w:szCs w:val="20"/>
                <w:shd w:val="solid" w:color="000000" w:fill="000000"/>
                <w:fitText w:val="330" w:id="-1435764989"/>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89"/>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1CC69C6C" w14:textId="77777777" w:rsidR="00BB629E" w:rsidRPr="00843E11" w:rsidRDefault="00BB629E" w:rsidP="00705E1A">
            <w:pPr>
              <w:pStyle w:val="TableText0"/>
              <w:jc w:val="center"/>
              <w:rPr>
                <w:iCs/>
                <w:szCs w:val="20"/>
                <w:highlight w:val="darkGray"/>
                <w:lang w:eastAsia="zh-CN"/>
              </w:rPr>
            </w:pPr>
          </w:p>
        </w:tc>
        <w:tc>
          <w:tcPr>
            <w:tcW w:w="1134" w:type="dxa"/>
            <w:shd w:val="clear" w:color="auto" w:fill="auto"/>
            <w:noWrap/>
            <w:vAlign w:val="center"/>
            <w:hideMark/>
          </w:tcPr>
          <w:p w14:paraId="0A6BAF15"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602875EB"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0B40A88B" w14:textId="201BA4F7"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8"/>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8"/>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4A8E8CC0" w14:textId="7679D09F"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87"/>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87"/>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87"/>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59BA7AB0" w14:textId="0671F9C8"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6"/>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6"/>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22EC4BA1" w14:textId="77777777" w:rsidTr="00705E1A">
        <w:tc>
          <w:tcPr>
            <w:tcW w:w="1415" w:type="dxa"/>
            <w:vMerge/>
            <w:shd w:val="clear" w:color="auto" w:fill="auto"/>
            <w:noWrap/>
            <w:vAlign w:val="center"/>
          </w:tcPr>
          <w:p w14:paraId="73DA1ABE" w14:textId="77777777" w:rsidR="00BB629E" w:rsidRPr="0058641B" w:rsidRDefault="00BB629E" w:rsidP="00705E1A">
            <w:pPr>
              <w:pStyle w:val="TableText0"/>
              <w:rPr>
                <w:iCs/>
                <w:szCs w:val="20"/>
                <w:lang w:eastAsia="zh-CN"/>
              </w:rPr>
            </w:pPr>
          </w:p>
        </w:tc>
        <w:tc>
          <w:tcPr>
            <w:tcW w:w="1415" w:type="dxa"/>
            <w:shd w:val="clear" w:color="auto" w:fill="auto"/>
            <w:vAlign w:val="center"/>
          </w:tcPr>
          <w:p w14:paraId="1140DB1F" w14:textId="71F2CB88" w:rsidR="00BB629E" w:rsidRPr="00843E11" w:rsidRDefault="00BB629E" w:rsidP="00705E1A">
            <w:pPr>
              <w:pStyle w:val="TableText0"/>
              <w:rPr>
                <w:iCs/>
                <w:szCs w:val="20"/>
                <w:highlight w:val="darkGray"/>
                <w:lang w:eastAsia="zh-CN"/>
              </w:rPr>
            </w:pPr>
            <w:r w:rsidRPr="00843E11">
              <w:rPr>
                <w:iCs/>
                <w:szCs w:val="20"/>
                <w:lang w:eastAsia="zh-CN"/>
              </w:rPr>
              <w:t>-</w:t>
            </w:r>
            <w:r w:rsidR="00A8021D" w:rsidRPr="00A8021D">
              <w:rPr>
                <w:iCs/>
                <w:color w:val="000000"/>
                <w:spacing w:val="53"/>
                <w:szCs w:val="20"/>
                <w:shd w:val="solid" w:color="000000" w:fill="000000"/>
                <w:fitText w:val="330" w:id="-1435764985"/>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85"/>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0022DD8D" w14:textId="77777777" w:rsidR="00BB629E" w:rsidRPr="00843E11" w:rsidRDefault="00BB629E" w:rsidP="00705E1A">
            <w:pPr>
              <w:pStyle w:val="TableText0"/>
              <w:jc w:val="center"/>
              <w:rPr>
                <w:iCs/>
                <w:szCs w:val="20"/>
                <w:highlight w:val="darkGray"/>
                <w:lang w:eastAsia="zh-CN"/>
              </w:rPr>
            </w:pPr>
          </w:p>
        </w:tc>
        <w:tc>
          <w:tcPr>
            <w:tcW w:w="1134" w:type="dxa"/>
            <w:shd w:val="clear" w:color="auto" w:fill="auto"/>
            <w:noWrap/>
            <w:vAlign w:val="center"/>
            <w:hideMark/>
          </w:tcPr>
          <w:p w14:paraId="549A20EB"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37EDC824"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3823DD1A" w14:textId="77777777" w:rsidR="00BB629E" w:rsidRPr="00843E11" w:rsidRDefault="00BB629E" w:rsidP="00705E1A">
            <w:pPr>
              <w:pStyle w:val="TableText0"/>
              <w:jc w:val="center"/>
              <w:rPr>
                <w:rFonts w:cs="Times New Roman"/>
                <w:iCs/>
                <w:szCs w:val="20"/>
                <w:highlight w:val="darkGray"/>
                <w:lang w:eastAsia="zh-CN"/>
              </w:rPr>
            </w:pPr>
          </w:p>
        </w:tc>
        <w:tc>
          <w:tcPr>
            <w:tcW w:w="1134" w:type="dxa"/>
            <w:shd w:val="clear" w:color="auto" w:fill="auto"/>
            <w:noWrap/>
            <w:vAlign w:val="center"/>
            <w:hideMark/>
          </w:tcPr>
          <w:p w14:paraId="52E607FC" w14:textId="4258EAC3"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rFonts w:hint="eastAsia"/>
                <w:iCs/>
                <w:color w:val="000000"/>
                <w:w w:val="33"/>
                <w:szCs w:val="20"/>
                <w:shd w:val="solid" w:color="000000" w:fill="000000"/>
                <w:fitText w:val="150" w:id="-1435764984"/>
                <w:lang w:eastAsia="zh-CN"/>
                <w14:textFill>
                  <w14:solidFill>
                    <w14:srgbClr w14:val="000000">
                      <w14:alpha w14:val="100000"/>
                    </w14:srgbClr>
                  </w14:solidFill>
                </w14:textFill>
              </w:rPr>
              <w:t xml:space="preserve">　</w:t>
            </w:r>
            <w:r w:rsidR="00A8021D" w:rsidRPr="00A8021D">
              <w:rPr>
                <w:iCs/>
                <w:color w:val="000000"/>
                <w:w w:val="33"/>
                <w:szCs w:val="20"/>
                <w:shd w:val="solid" w:color="000000" w:fill="000000"/>
                <w:fitText w:val="150" w:id="-1435764984"/>
                <w:lang w:eastAsia="zh-CN"/>
                <w14:textFill>
                  <w14:solidFill>
                    <w14:srgbClr w14:val="000000">
                      <w14:alpha w14:val="100000"/>
                    </w14:srgbClr>
                  </w14:solidFill>
                </w14:textFill>
              </w:rPr>
              <w:t>|</w:t>
            </w:r>
            <w:r w:rsidR="00A8021D" w:rsidRPr="00A8021D">
              <w:rPr>
                <w:rFonts w:hint="eastAsia"/>
                <w:iCs/>
                <w:color w:val="000000"/>
                <w:spacing w:val="4"/>
                <w:w w:val="33"/>
                <w:szCs w:val="20"/>
                <w:shd w:val="solid" w:color="000000" w:fill="000000"/>
                <w:fitText w:val="150" w:id="-1435764984"/>
                <w:lang w:eastAsia="zh-CN"/>
                <w14:textFill>
                  <w14:solidFill>
                    <w14:srgbClr w14:val="000000">
                      <w14:alpha w14:val="100000"/>
                    </w14:srgbClr>
                  </w14:solidFill>
                </w14:textFill>
              </w:rPr>
              <w:t xml:space="preserve">　</w:t>
            </w:r>
            <w:r w:rsidR="00AE3765" w:rsidRPr="00AE3765">
              <w:rPr>
                <w:iCs/>
                <w:szCs w:val="20"/>
                <w:vertAlign w:val="superscript"/>
                <w:lang w:eastAsia="zh-CN"/>
              </w:rPr>
              <w:t>1</w:t>
            </w:r>
          </w:p>
        </w:tc>
        <w:tc>
          <w:tcPr>
            <w:tcW w:w="992" w:type="dxa"/>
            <w:shd w:val="clear" w:color="auto" w:fill="auto"/>
            <w:noWrap/>
            <w:vAlign w:val="center"/>
            <w:hideMark/>
          </w:tcPr>
          <w:p w14:paraId="5DCD2AB5" w14:textId="1419E22B"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3"/>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3"/>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12245B61" w14:textId="77777777" w:rsidTr="00705E1A">
        <w:tc>
          <w:tcPr>
            <w:tcW w:w="1415" w:type="dxa"/>
            <w:vMerge/>
            <w:shd w:val="clear" w:color="auto" w:fill="auto"/>
            <w:noWrap/>
            <w:vAlign w:val="center"/>
          </w:tcPr>
          <w:p w14:paraId="5E1E2C37" w14:textId="77777777" w:rsidR="00BB629E" w:rsidRPr="0058641B" w:rsidRDefault="00BB629E" w:rsidP="00705E1A">
            <w:pPr>
              <w:pStyle w:val="TableText0"/>
              <w:rPr>
                <w:iCs/>
                <w:szCs w:val="20"/>
                <w:lang w:eastAsia="zh-CN"/>
              </w:rPr>
            </w:pPr>
          </w:p>
        </w:tc>
        <w:tc>
          <w:tcPr>
            <w:tcW w:w="1415" w:type="dxa"/>
            <w:shd w:val="clear" w:color="auto" w:fill="auto"/>
            <w:vAlign w:val="center"/>
          </w:tcPr>
          <w:p w14:paraId="469313D2" w14:textId="2091DD90" w:rsidR="00BB629E" w:rsidRPr="00843E11" w:rsidRDefault="00BB629E" w:rsidP="00705E1A">
            <w:pPr>
              <w:pStyle w:val="TableText0"/>
              <w:rPr>
                <w:iCs/>
                <w:szCs w:val="20"/>
                <w:highlight w:val="darkGray"/>
                <w:lang w:eastAsia="zh-CN"/>
              </w:rPr>
            </w:pPr>
            <w:r w:rsidRPr="00843E11">
              <w:rPr>
                <w:iCs/>
                <w:szCs w:val="20"/>
                <w:lang w:eastAsia="zh-CN"/>
              </w:rPr>
              <w:t>-</w:t>
            </w:r>
            <w:r w:rsidR="00A8021D" w:rsidRPr="00A8021D">
              <w:rPr>
                <w:iCs/>
                <w:color w:val="000000"/>
                <w:spacing w:val="53"/>
                <w:szCs w:val="20"/>
                <w:shd w:val="solid" w:color="000000" w:fill="000000"/>
                <w:fitText w:val="330" w:id="-1435764982"/>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330" w:id="-1435764982"/>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3" w:type="dxa"/>
            <w:shd w:val="clear" w:color="auto" w:fill="auto"/>
            <w:noWrap/>
            <w:vAlign w:val="center"/>
            <w:hideMark/>
          </w:tcPr>
          <w:p w14:paraId="136C30F7" w14:textId="77777777" w:rsidR="00BB629E" w:rsidRPr="00843E11" w:rsidRDefault="00BB629E" w:rsidP="00705E1A">
            <w:pPr>
              <w:pStyle w:val="TableText0"/>
              <w:jc w:val="center"/>
              <w:rPr>
                <w:iCs/>
                <w:szCs w:val="20"/>
                <w:highlight w:val="darkGray"/>
                <w:lang w:eastAsia="zh-CN"/>
              </w:rPr>
            </w:pPr>
          </w:p>
        </w:tc>
        <w:tc>
          <w:tcPr>
            <w:tcW w:w="1134" w:type="dxa"/>
            <w:shd w:val="clear" w:color="auto" w:fill="auto"/>
            <w:noWrap/>
            <w:vAlign w:val="center"/>
            <w:hideMark/>
          </w:tcPr>
          <w:p w14:paraId="389F26C2"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4C9EAEB4"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7EA0FB24" w14:textId="77777777" w:rsidR="00BB629E" w:rsidRPr="00843E11" w:rsidRDefault="00BB629E" w:rsidP="00705E1A">
            <w:pPr>
              <w:pStyle w:val="TableText0"/>
              <w:jc w:val="center"/>
              <w:rPr>
                <w:rFonts w:cs="Times New Roman"/>
                <w:iCs/>
                <w:szCs w:val="20"/>
                <w:highlight w:val="darkGray"/>
                <w:lang w:eastAsia="zh-CN"/>
              </w:rPr>
            </w:pPr>
          </w:p>
        </w:tc>
        <w:tc>
          <w:tcPr>
            <w:tcW w:w="1134" w:type="dxa"/>
            <w:shd w:val="clear" w:color="auto" w:fill="auto"/>
            <w:noWrap/>
            <w:vAlign w:val="center"/>
            <w:hideMark/>
          </w:tcPr>
          <w:p w14:paraId="00CF866C" w14:textId="77777777" w:rsidR="00BB629E" w:rsidRPr="00843E11" w:rsidRDefault="00BB629E" w:rsidP="00705E1A">
            <w:pPr>
              <w:pStyle w:val="TableText0"/>
              <w:jc w:val="center"/>
              <w:rPr>
                <w:rFonts w:cs="Times New Roman"/>
                <w:iCs/>
                <w:szCs w:val="20"/>
                <w:highlight w:val="darkGray"/>
                <w:lang w:eastAsia="zh-CN"/>
              </w:rPr>
            </w:pPr>
          </w:p>
        </w:tc>
        <w:tc>
          <w:tcPr>
            <w:tcW w:w="992" w:type="dxa"/>
            <w:shd w:val="clear" w:color="auto" w:fill="auto"/>
            <w:noWrap/>
            <w:vAlign w:val="center"/>
            <w:hideMark/>
          </w:tcPr>
          <w:p w14:paraId="346497E7" w14:textId="5B37F49C" w:rsidR="00BB629E" w:rsidRPr="00843E11" w:rsidRDefault="00BB629E" w:rsidP="00705E1A">
            <w:pPr>
              <w:pStyle w:val="TableText0"/>
              <w:jc w:val="center"/>
              <w:rPr>
                <w:iCs/>
                <w:szCs w:val="20"/>
                <w:highlight w:val="darkGray"/>
                <w:lang w:eastAsia="zh-CN"/>
              </w:rPr>
            </w:pPr>
            <w:r w:rsidRPr="00843E11">
              <w:rPr>
                <w:iCs/>
                <w:szCs w:val="20"/>
                <w:lang w:eastAsia="zh-CN"/>
              </w:rPr>
              <w:t>-</w:t>
            </w:r>
            <w:r w:rsidR="00A8021D" w:rsidRPr="00A8021D">
              <w:rPr>
                <w:iCs/>
                <w:color w:val="000000"/>
                <w:spacing w:val="41"/>
                <w:szCs w:val="20"/>
                <w:shd w:val="solid" w:color="000000" w:fill="000000"/>
                <w:fitText w:val="210" w:id="-1435764981"/>
                <w:lang w:eastAsia="zh-CN"/>
                <w14:textFill>
                  <w14:solidFill>
                    <w14:srgbClr w14:val="000000">
                      <w14:alpha w14:val="100000"/>
                    </w14:srgbClr>
                  </w14:solidFill>
                </w14:textFill>
              </w:rPr>
              <w:t>||</w:t>
            </w:r>
            <w:r w:rsidR="00A8021D" w:rsidRPr="00A8021D">
              <w:rPr>
                <w:iCs/>
                <w:color w:val="000000"/>
                <w:spacing w:val="1"/>
                <w:szCs w:val="20"/>
                <w:shd w:val="solid" w:color="000000" w:fill="000000"/>
                <w:fitText w:val="210" w:id="-1435764981"/>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01077E24" w14:textId="77777777" w:rsidTr="00705E1A">
        <w:tc>
          <w:tcPr>
            <w:tcW w:w="2830" w:type="dxa"/>
            <w:gridSpan w:val="2"/>
            <w:shd w:val="clear" w:color="auto" w:fill="auto"/>
            <w:noWrap/>
            <w:vAlign w:val="center"/>
            <w:hideMark/>
          </w:tcPr>
          <w:p w14:paraId="17D24AC8" w14:textId="77777777" w:rsidR="00BB629E" w:rsidRPr="0058641B" w:rsidRDefault="00BB629E" w:rsidP="00705E1A">
            <w:pPr>
              <w:pStyle w:val="TableText0"/>
              <w:rPr>
                <w:b/>
                <w:iCs/>
                <w:szCs w:val="20"/>
                <w:lang w:eastAsia="zh-CN"/>
              </w:rPr>
            </w:pPr>
            <w:r w:rsidRPr="0058641B">
              <w:rPr>
                <w:b/>
                <w:iCs/>
                <w:szCs w:val="20"/>
                <w:lang w:eastAsia="zh-CN"/>
              </w:rPr>
              <w:t>Total with distant recurrence</w:t>
            </w:r>
          </w:p>
        </w:tc>
        <w:tc>
          <w:tcPr>
            <w:tcW w:w="993" w:type="dxa"/>
            <w:shd w:val="clear" w:color="auto" w:fill="auto"/>
            <w:noWrap/>
            <w:vAlign w:val="center"/>
            <w:hideMark/>
          </w:tcPr>
          <w:p w14:paraId="798B8EC4" w14:textId="39F2B38F"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80"/>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80"/>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vAlign w:val="center"/>
            <w:hideMark/>
          </w:tcPr>
          <w:p w14:paraId="79F0EEEC" w14:textId="23527840"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88"/>
                <w:szCs w:val="20"/>
                <w:shd w:val="solid" w:color="000000" w:fill="000000"/>
                <w:fitText w:val="180" w:id="-1435764979"/>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180" w:id="-1435764979"/>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vAlign w:val="center"/>
            <w:hideMark/>
          </w:tcPr>
          <w:p w14:paraId="2B0AC3C1" w14:textId="137097FF"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78"/>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78"/>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hideMark/>
          </w:tcPr>
          <w:p w14:paraId="57048BDE" w14:textId="583453E3"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77"/>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77"/>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hideMark/>
          </w:tcPr>
          <w:p w14:paraId="6476ABCC" w14:textId="698B9A79"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88"/>
                <w:szCs w:val="20"/>
                <w:shd w:val="solid" w:color="000000" w:fill="000000"/>
                <w:fitText w:val="180" w:id="-1435764976"/>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180" w:id="-1435764976"/>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hideMark/>
          </w:tcPr>
          <w:p w14:paraId="37A99D62" w14:textId="4521BC21"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92"/>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92"/>
                <w:lang w:eastAsia="zh-CN"/>
                <w14:textFill>
                  <w14:solidFill>
                    <w14:srgbClr w14:val="000000">
                      <w14:alpha w14:val="100000"/>
                    </w14:srgbClr>
                  </w14:solidFill>
                </w14:textFill>
              </w:rPr>
              <w:t>|</w:t>
            </w:r>
            <w:r w:rsidR="00AE3765" w:rsidRPr="00AE3765">
              <w:rPr>
                <w:iCs/>
                <w:szCs w:val="20"/>
                <w:vertAlign w:val="superscript"/>
                <w:lang w:eastAsia="zh-CN"/>
              </w:rPr>
              <w:t>1</w:t>
            </w:r>
          </w:p>
        </w:tc>
      </w:tr>
      <w:tr w:rsidR="00BB629E" w:rsidRPr="0058641B" w14:paraId="38915379" w14:textId="77777777" w:rsidTr="00705E1A">
        <w:tc>
          <w:tcPr>
            <w:tcW w:w="2830" w:type="dxa"/>
            <w:gridSpan w:val="2"/>
            <w:shd w:val="clear" w:color="auto" w:fill="auto"/>
            <w:noWrap/>
            <w:vAlign w:val="center"/>
          </w:tcPr>
          <w:p w14:paraId="177ECDC6" w14:textId="77777777" w:rsidR="00BB629E" w:rsidRPr="0058641B" w:rsidRDefault="00BB629E" w:rsidP="00705E1A">
            <w:pPr>
              <w:pStyle w:val="TableText0"/>
              <w:rPr>
                <w:b/>
                <w:iCs/>
                <w:szCs w:val="20"/>
                <w:lang w:eastAsia="zh-CN"/>
              </w:rPr>
            </w:pPr>
            <w:r w:rsidRPr="0058641B">
              <w:rPr>
                <w:b/>
                <w:iCs/>
                <w:szCs w:val="20"/>
                <w:lang w:eastAsia="zh-CN"/>
              </w:rPr>
              <w:t>Total treated with pembrolizumab (80%)</w:t>
            </w:r>
          </w:p>
        </w:tc>
        <w:tc>
          <w:tcPr>
            <w:tcW w:w="993" w:type="dxa"/>
            <w:shd w:val="clear" w:color="auto" w:fill="auto"/>
            <w:noWrap/>
          </w:tcPr>
          <w:p w14:paraId="76A8DC3A" w14:textId="6E601817" w:rsidR="00BB629E" w:rsidRPr="00843E11" w:rsidRDefault="00BB629E" w:rsidP="00705E1A">
            <w:pPr>
              <w:pStyle w:val="TableText0"/>
              <w:jc w:val="center"/>
              <w:rPr>
                <w:b/>
                <w:iCs/>
                <w:szCs w:val="20"/>
                <w:highlight w:val="darkGray"/>
                <w:lang w:eastAsia="zh-CN"/>
              </w:rPr>
            </w:pPr>
            <w:r w:rsidRPr="00843E11">
              <w:rPr>
                <w:b/>
                <w:iCs/>
              </w:rPr>
              <w:t>-</w:t>
            </w:r>
            <w:r w:rsidR="00A8021D" w:rsidRPr="00A8021D">
              <w:rPr>
                <w:b/>
                <w:iCs/>
                <w:color w:val="000000"/>
                <w:spacing w:val="168"/>
                <w:shd w:val="solid" w:color="000000" w:fill="000000"/>
                <w:fitText w:val="260" w:id="-1435764991"/>
                <w14:textFill>
                  <w14:solidFill>
                    <w14:srgbClr w14:val="000000">
                      <w14:alpha w14:val="100000"/>
                    </w14:srgbClr>
                  </w14:solidFill>
                </w14:textFill>
              </w:rPr>
              <w:t>|</w:t>
            </w:r>
            <w:r w:rsidR="00A8021D" w:rsidRPr="00A8021D">
              <w:rPr>
                <w:b/>
                <w:iCs/>
                <w:color w:val="000000"/>
                <w:spacing w:val="1"/>
                <w:shd w:val="solid" w:color="000000" w:fill="000000"/>
                <w:fitText w:val="260" w:id="-1435764991"/>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tcPr>
          <w:p w14:paraId="4715845C" w14:textId="2243E743" w:rsidR="00BB629E" w:rsidRPr="00843E11" w:rsidRDefault="00BB629E" w:rsidP="00705E1A">
            <w:pPr>
              <w:pStyle w:val="TableText0"/>
              <w:jc w:val="center"/>
              <w:rPr>
                <w:b/>
                <w:iCs/>
                <w:szCs w:val="20"/>
                <w:highlight w:val="darkGray"/>
                <w:lang w:eastAsia="zh-CN"/>
              </w:rPr>
            </w:pPr>
            <w:r w:rsidRPr="00843E11">
              <w:rPr>
                <w:b/>
                <w:iCs/>
              </w:rPr>
              <w:t>-</w:t>
            </w:r>
            <w:r w:rsidR="00A8021D" w:rsidRPr="00A8021D">
              <w:rPr>
                <w:b/>
                <w:iCs/>
                <w:color w:val="000000"/>
                <w:spacing w:val="88"/>
                <w:shd w:val="solid" w:color="000000" w:fill="000000"/>
                <w:fitText w:val="180" w:id="-1435764990"/>
                <w14:textFill>
                  <w14:solidFill>
                    <w14:srgbClr w14:val="000000">
                      <w14:alpha w14:val="100000"/>
                    </w14:srgbClr>
                  </w14:solidFill>
                </w14:textFill>
              </w:rPr>
              <w:t>|</w:t>
            </w:r>
            <w:r w:rsidR="00A8021D" w:rsidRPr="00A8021D">
              <w:rPr>
                <w:b/>
                <w:iCs/>
                <w:color w:val="000000"/>
                <w:spacing w:val="1"/>
                <w:shd w:val="solid" w:color="000000" w:fill="000000"/>
                <w:fitText w:val="180" w:id="-1435764990"/>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tcPr>
          <w:p w14:paraId="1F839338" w14:textId="39E24B77" w:rsidR="00BB629E" w:rsidRPr="00843E11" w:rsidRDefault="00BB629E" w:rsidP="00705E1A">
            <w:pPr>
              <w:pStyle w:val="TableText0"/>
              <w:jc w:val="center"/>
              <w:rPr>
                <w:b/>
                <w:iCs/>
                <w:szCs w:val="20"/>
                <w:highlight w:val="darkGray"/>
                <w:lang w:eastAsia="zh-CN"/>
              </w:rPr>
            </w:pPr>
            <w:r w:rsidRPr="00843E11">
              <w:rPr>
                <w:b/>
                <w:iCs/>
              </w:rPr>
              <w:t>-</w:t>
            </w:r>
            <w:r w:rsidR="00A8021D" w:rsidRPr="00A8021D">
              <w:rPr>
                <w:b/>
                <w:iCs/>
                <w:color w:val="000000"/>
                <w:spacing w:val="168"/>
                <w:shd w:val="solid" w:color="000000" w:fill="000000"/>
                <w:fitText w:val="260" w:id="-1435764989"/>
                <w14:textFill>
                  <w14:solidFill>
                    <w14:srgbClr w14:val="000000">
                      <w14:alpha w14:val="100000"/>
                    </w14:srgbClr>
                  </w14:solidFill>
                </w14:textFill>
              </w:rPr>
              <w:t>|</w:t>
            </w:r>
            <w:r w:rsidR="00A8021D" w:rsidRPr="00A8021D">
              <w:rPr>
                <w:b/>
                <w:iCs/>
                <w:color w:val="000000"/>
                <w:spacing w:val="1"/>
                <w:shd w:val="solid" w:color="000000" w:fill="000000"/>
                <w:fitText w:val="260" w:id="-1435764989"/>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tcPr>
          <w:p w14:paraId="15B37E00" w14:textId="29454610"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88"/>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88"/>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1134" w:type="dxa"/>
            <w:shd w:val="clear" w:color="auto" w:fill="auto"/>
            <w:noWrap/>
          </w:tcPr>
          <w:p w14:paraId="21F57163" w14:textId="44AFDDFC"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88"/>
                <w:szCs w:val="20"/>
                <w:shd w:val="solid" w:color="000000" w:fill="000000"/>
                <w:fitText w:val="180" w:id="-1435764987"/>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180" w:id="-1435764987"/>
                <w:lang w:eastAsia="zh-CN"/>
                <w14:textFill>
                  <w14:solidFill>
                    <w14:srgbClr w14:val="000000">
                      <w14:alpha w14:val="100000"/>
                    </w14:srgbClr>
                  </w14:solidFill>
                </w14:textFill>
              </w:rPr>
              <w:t>|</w:t>
            </w:r>
            <w:r w:rsidR="00AE3765" w:rsidRPr="00AE3765">
              <w:rPr>
                <w:iCs/>
                <w:szCs w:val="20"/>
                <w:vertAlign w:val="superscript"/>
                <w:lang w:eastAsia="zh-CN"/>
              </w:rPr>
              <w:t>1</w:t>
            </w:r>
          </w:p>
        </w:tc>
        <w:tc>
          <w:tcPr>
            <w:tcW w:w="992" w:type="dxa"/>
            <w:shd w:val="clear" w:color="auto" w:fill="auto"/>
            <w:noWrap/>
          </w:tcPr>
          <w:p w14:paraId="600B9CF5" w14:textId="4F8B5DE7" w:rsidR="00BB629E" w:rsidRPr="00843E11" w:rsidRDefault="00BB629E" w:rsidP="00705E1A">
            <w:pPr>
              <w:pStyle w:val="TableText0"/>
              <w:jc w:val="center"/>
              <w:rPr>
                <w:b/>
                <w:iCs/>
                <w:szCs w:val="20"/>
                <w:highlight w:val="darkGray"/>
                <w:lang w:eastAsia="zh-CN"/>
              </w:rPr>
            </w:pPr>
            <w:r w:rsidRPr="00843E11">
              <w:rPr>
                <w:b/>
                <w:iCs/>
                <w:szCs w:val="20"/>
                <w:lang w:eastAsia="zh-CN"/>
              </w:rPr>
              <w:t>-</w:t>
            </w:r>
            <w:r w:rsidR="00A8021D" w:rsidRPr="00A8021D">
              <w:rPr>
                <w:b/>
                <w:iCs/>
                <w:color w:val="000000"/>
                <w:spacing w:val="168"/>
                <w:szCs w:val="20"/>
                <w:shd w:val="solid" w:color="000000" w:fill="000000"/>
                <w:fitText w:val="260" w:id="-1435764986"/>
                <w:lang w:eastAsia="zh-CN"/>
                <w14:textFill>
                  <w14:solidFill>
                    <w14:srgbClr w14:val="000000">
                      <w14:alpha w14:val="100000"/>
                    </w14:srgbClr>
                  </w14:solidFill>
                </w14:textFill>
              </w:rPr>
              <w:t>|</w:t>
            </w:r>
            <w:r w:rsidR="00A8021D" w:rsidRPr="00A8021D">
              <w:rPr>
                <w:b/>
                <w:iCs/>
                <w:color w:val="000000"/>
                <w:spacing w:val="1"/>
                <w:szCs w:val="20"/>
                <w:shd w:val="solid" w:color="000000" w:fill="000000"/>
                <w:fitText w:val="260" w:id="-1435764986"/>
                <w:lang w:eastAsia="zh-CN"/>
                <w14:textFill>
                  <w14:solidFill>
                    <w14:srgbClr w14:val="000000">
                      <w14:alpha w14:val="100000"/>
                    </w14:srgbClr>
                  </w14:solidFill>
                </w14:textFill>
              </w:rPr>
              <w:t>|</w:t>
            </w:r>
            <w:r w:rsidR="00AE3765" w:rsidRPr="00AE3765">
              <w:rPr>
                <w:iCs/>
                <w:szCs w:val="20"/>
                <w:vertAlign w:val="superscript"/>
                <w:lang w:eastAsia="zh-CN"/>
              </w:rPr>
              <w:t>1</w:t>
            </w:r>
          </w:p>
        </w:tc>
      </w:tr>
    </w:tbl>
    <w:p w14:paraId="3A3C1516" w14:textId="77777777" w:rsidR="00BB629E" w:rsidRPr="0058641B" w:rsidRDefault="00BB629E" w:rsidP="00BB629E">
      <w:pPr>
        <w:pStyle w:val="TableFooter"/>
        <w:rPr>
          <w:iCs/>
        </w:rPr>
      </w:pPr>
      <w:r w:rsidRPr="0058641B">
        <w:rPr>
          <w:iCs/>
        </w:rPr>
        <w:t>Source: Table compiled during the evaluation</w:t>
      </w:r>
    </w:p>
    <w:p w14:paraId="2E01B573" w14:textId="77777777" w:rsidR="00BB629E" w:rsidRPr="0058641B" w:rsidRDefault="00BB629E" w:rsidP="00BB629E">
      <w:pPr>
        <w:pStyle w:val="TableFooter"/>
        <w:rPr>
          <w:iCs/>
        </w:rPr>
      </w:pPr>
      <w:r w:rsidRPr="0058641B">
        <w:rPr>
          <w:iCs/>
        </w:rPr>
        <w:t>NSCLC = non-small cell lung cancer; PD-L1 = programmed cell death ligand 1</w:t>
      </w:r>
    </w:p>
    <w:p w14:paraId="0A266C4D" w14:textId="646B98DB" w:rsidR="005C38D0" w:rsidRDefault="00BB629E" w:rsidP="001764B6">
      <w:pPr>
        <w:pStyle w:val="TableFooter"/>
        <w:rPr>
          <w:iCs/>
        </w:rPr>
      </w:pPr>
      <w:r w:rsidRPr="0058641B">
        <w:rPr>
          <w:iCs/>
          <w:vertAlign w:val="superscript"/>
        </w:rPr>
        <w:t xml:space="preserve">a </w:t>
      </w:r>
      <w:r w:rsidRPr="0058641B">
        <w:rPr>
          <w:iCs/>
        </w:rPr>
        <w:t>The proportion of patients with distant recurrence was assumed to be 16.43% in the first year, 13.28% in the second year, 11.24% in the third year, 6.67% in the fourth year, 3.56% in the fifth year, and 1.76% in the sixth year.</w:t>
      </w:r>
    </w:p>
    <w:p w14:paraId="764DFD9B" w14:textId="77777777" w:rsidR="00AE3765" w:rsidRPr="0026352C" w:rsidRDefault="00AE3765" w:rsidP="00AE3765">
      <w:pPr>
        <w:pStyle w:val="TableFigureFooter"/>
        <w:keepNext/>
        <w:spacing w:after="0"/>
        <w:contextualSpacing w:val="0"/>
        <w:rPr>
          <w:i/>
        </w:rPr>
      </w:pPr>
      <w:r w:rsidRPr="0026352C">
        <w:rPr>
          <w:i/>
        </w:rPr>
        <w:t>The redacted values correspond to the following ranges:</w:t>
      </w:r>
    </w:p>
    <w:p w14:paraId="0ED40199" w14:textId="102C9E4F" w:rsidR="00AE3765" w:rsidRPr="00AE3765" w:rsidRDefault="00AE3765" w:rsidP="00AE3765">
      <w:pPr>
        <w:pStyle w:val="TableFigureFooter"/>
        <w:keepNext/>
        <w:spacing w:after="0"/>
        <w:contextualSpacing w:val="0"/>
      </w:pPr>
      <w:r w:rsidRPr="0026352C">
        <w:rPr>
          <w:i/>
          <w:szCs w:val="18"/>
          <w:vertAlign w:val="superscript"/>
        </w:rPr>
        <w:t>1</w:t>
      </w:r>
      <w:r w:rsidRPr="0026352C">
        <w:rPr>
          <w:i/>
          <w:szCs w:val="18"/>
        </w:rPr>
        <w:t xml:space="preserve"> </w:t>
      </w:r>
      <w:r>
        <w:rPr>
          <w:i/>
          <w:szCs w:val="18"/>
        </w:rPr>
        <w:t xml:space="preserve">&lt; </w:t>
      </w:r>
      <w:r w:rsidRPr="0026352C">
        <w:rPr>
          <w:i/>
          <w:szCs w:val="18"/>
        </w:rPr>
        <w:t>500</w:t>
      </w:r>
    </w:p>
    <w:p w14:paraId="565185A0" w14:textId="77777777" w:rsidR="001764B6" w:rsidRPr="001764B6" w:rsidRDefault="001764B6" w:rsidP="001764B6">
      <w:pPr>
        <w:pStyle w:val="TableFooter"/>
        <w:rPr>
          <w:iCs/>
        </w:rPr>
      </w:pPr>
    </w:p>
    <w:p w14:paraId="27BA5C1E" w14:textId="4341C08F" w:rsidR="0096331D" w:rsidRPr="00DE7304" w:rsidRDefault="0096331D" w:rsidP="00C37C68">
      <w:pPr>
        <w:pStyle w:val="3-BodyText"/>
      </w:pPr>
      <w:r w:rsidRPr="00DE7304">
        <w:t xml:space="preserve">The PSCR agreed with the evaluator’s revised estimated number of patients who would receive pembrolizumab in the distant recurrence setting to inform downstream cost offset (as outlined in </w:t>
      </w:r>
      <w:r w:rsidR="008527A2" w:rsidRPr="00DE7304">
        <w:fldChar w:fldCharType="begin"/>
      </w:r>
      <w:r w:rsidR="008527A2" w:rsidRPr="00DE7304">
        <w:instrText xml:space="preserve"> REF _Ref103189201 \h  \* MERGEFORMAT </w:instrText>
      </w:r>
      <w:r w:rsidR="008527A2" w:rsidRPr="00DE7304">
        <w:fldChar w:fldCharType="separate"/>
      </w:r>
      <w:r w:rsidR="0043151A" w:rsidRPr="0043151A">
        <w:t>Table 22</w:t>
      </w:r>
      <w:r w:rsidR="008527A2" w:rsidRPr="00DE7304">
        <w:fldChar w:fldCharType="end"/>
      </w:r>
      <w:r w:rsidRPr="00DE7304">
        <w:t xml:space="preserve">). </w:t>
      </w:r>
    </w:p>
    <w:p w14:paraId="15591F2A" w14:textId="39771055" w:rsidR="00C37C68" w:rsidRPr="0058641B" w:rsidRDefault="00C37C68" w:rsidP="00C37C68">
      <w:pPr>
        <w:pStyle w:val="3-BodyText"/>
      </w:pPr>
      <w:r w:rsidRPr="0058641B">
        <w:t xml:space="preserve">The MBS costs associated with PD-L1 testing were not included in the submission’s financial analysis. The submission argued that IHC testing for PD-L1 would occur universally for all patients upstream of the clinical choice of patients with Stage II-IIIA, PD-L1 </w:t>
      </w:r>
      <w:r w:rsidRPr="0058641B">
        <w:rPr>
          <w:rFonts w:cs="Calibri"/>
        </w:rPr>
        <w:t>positive</w:t>
      </w:r>
      <w:r w:rsidRPr="0058641B">
        <w:t xml:space="preserve"> NSCLC to receive adjuvant ATZ treatment; and, thus, the utilisation of IHC testing would not be impacted by the PBS listing of ATZ. Costs associated with disease monitoring and management of treatment related AEs were not considered in the financial analysis. </w:t>
      </w:r>
    </w:p>
    <w:p w14:paraId="170D59DD" w14:textId="1E4737B5" w:rsidR="00C37C68" w:rsidRPr="0058641B" w:rsidRDefault="00C37C68" w:rsidP="00C37C68">
      <w:pPr>
        <w:pStyle w:val="3-BodyText"/>
      </w:pPr>
      <w:r w:rsidRPr="0058641B">
        <w:lastRenderedPageBreak/>
        <w:t xml:space="preserve">The financial implications of listing ATZ as adjuvant therapy for treatment of patients with Stage II-IIIA, PD-L1 </w:t>
      </w:r>
      <w:r w:rsidRPr="0058641B">
        <w:rPr>
          <w:rFonts w:cstheme="minorHAnsi"/>
        </w:rPr>
        <w:t>≥</w:t>
      </w:r>
      <w:r w:rsidRPr="0058641B">
        <w:t xml:space="preserve"> 50% NSCLC are summarised in </w:t>
      </w:r>
      <w:r w:rsidR="008527A2" w:rsidRPr="0058641B">
        <w:fldChar w:fldCharType="begin"/>
      </w:r>
      <w:r w:rsidR="008527A2" w:rsidRPr="0058641B">
        <w:instrText xml:space="preserve"> REF _Ref101225872 \h  \* MERGEFORMAT </w:instrText>
      </w:r>
      <w:r w:rsidR="008527A2" w:rsidRPr="0058641B">
        <w:fldChar w:fldCharType="separate"/>
      </w:r>
      <w:r w:rsidR="0043151A" w:rsidRPr="0058641B">
        <w:t xml:space="preserve">Table </w:t>
      </w:r>
      <w:r w:rsidR="0043151A">
        <w:t>23</w:t>
      </w:r>
      <w:r w:rsidR="008527A2" w:rsidRPr="0058641B">
        <w:fldChar w:fldCharType="end"/>
      </w:r>
      <w:r w:rsidRPr="0058641B">
        <w:t xml:space="preserve">. The results were revised by applying the proportion of patients with DR in each year from the BSC arm of the economic model for the Stage II-IIIA, PD-L1 ≥ 50% NSCLC subgroup and assuming that 80% of the DR patients would be treated with pembrolizumab combination therapy. </w:t>
      </w:r>
      <w:r w:rsidR="00B260AE">
        <w:t>The reduced number of patients using pembrolizumab combination therapy for this population would be</w:t>
      </w:r>
      <w:r w:rsidR="00C20D01">
        <w:t xml:space="preserve"> &lt; 500</w:t>
      </w:r>
      <w:r w:rsidR="00B260AE">
        <w:t xml:space="preserve">  less in Year 1 and</w:t>
      </w:r>
      <w:r w:rsidR="00C20D01">
        <w:t xml:space="preserve"> &lt; 500 </w:t>
      </w:r>
      <w:r w:rsidR="00B260AE">
        <w:t xml:space="preserve"> less in Year 6 (</w:t>
      </w:r>
      <w:r w:rsidR="00644DC1">
        <w:t>T</w:t>
      </w:r>
      <w:r w:rsidR="00B260AE">
        <w:t>able 2</w:t>
      </w:r>
      <w:r w:rsidR="00F9737B">
        <w:t>3</w:t>
      </w:r>
      <w:r w:rsidR="00B260AE">
        <w:t xml:space="preserve">). </w:t>
      </w:r>
    </w:p>
    <w:p w14:paraId="763D3153" w14:textId="47F58C7B" w:rsidR="00C37C68" w:rsidRPr="0058641B" w:rsidRDefault="00C37C68" w:rsidP="00C37C68">
      <w:pPr>
        <w:pStyle w:val="TableFigureHeading"/>
      </w:pPr>
      <w:bookmarkStart w:id="79" w:name="_Ref101225872"/>
      <w:r w:rsidRPr="0058641B">
        <w:t xml:space="preserve">Table </w:t>
      </w:r>
      <w:fldSimple w:instr=" SEQ Table \* ARABIC ">
        <w:r w:rsidR="0043151A">
          <w:rPr>
            <w:noProof/>
          </w:rPr>
          <w:t>23</w:t>
        </w:r>
      </w:fldSimple>
      <w:bookmarkEnd w:id="79"/>
      <w:r w:rsidRPr="0058641B">
        <w:t>: Estimated use and financial implications in patients with Stage II-III, PD-L1 ≥ 50%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C37C68" w:rsidRPr="0058641B" w14:paraId="6041DE94" w14:textId="77777777" w:rsidTr="00D312D9">
        <w:trPr>
          <w:tblHeader/>
        </w:trPr>
        <w:tc>
          <w:tcPr>
            <w:tcW w:w="1116" w:type="pct"/>
            <w:shd w:val="clear" w:color="auto" w:fill="auto"/>
            <w:vAlign w:val="center"/>
          </w:tcPr>
          <w:p w14:paraId="249A2647" w14:textId="77777777" w:rsidR="00C37C68" w:rsidRPr="0058641B" w:rsidRDefault="00C37C68" w:rsidP="00D312D9">
            <w:pPr>
              <w:pStyle w:val="In-tableHeading"/>
              <w:jc w:val="center"/>
              <w:rPr>
                <w:lang w:val="en-AU"/>
              </w:rPr>
            </w:pPr>
          </w:p>
        </w:tc>
        <w:tc>
          <w:tcPr>
            <w:tcW w:w="647" w:type="pct"/>
            <w:shd w:val="clear" w:color="auto" w:fill="auto"/>
            <w:vAlign w:val="center"/>
          </w:tcPr>
          <w:p w14:paraId="48BB45A3" w14:textId="77777777" w:rsidR="00C37C68" w:rsidRPr="0058641B" w:rsidRDefault="00C37C68" w:rsidP="00D312D9">
            <w:pPr>
              <w:pStyle w:val="In-tableHeading"/>
              <w:jc w:val="center"/>
              <w:rPr>
                <w:lang w:val="en-AU"/>
              </w:rPr>
            </w:pPr>
            <w:r w:rsidRPr="0058641B">
              <w:rPr>
                <w:lang w:val="en-AU"/>
              </w:rPr>
              <w:t>Year 1</w:t>
            </w:r>
          </w:p>
        </w:tc>
        <w:tc>
          <w:tcPr>
            <w:tcW w:w="647" w:type="pct"/>
            <w:shd w:val="clear" w:color="auto" w:fill="auto"/>
            <w:vAlign w:val="center"/>
          </w:tcPr>
          <w:p w14:paraId="536B61DE" w14:textId="77777777" w:rsidR="00C37C68" w:rsidRPr="0058641B" w:rsidRDefault="00C37C68" w:rsidP="00D312D9">
            <w:pPr>
              <w:pStyle w:val="In-tableHeading"/>
              <w:jc w:val="center"/>
              <w:rPr>
                <w:lang w:val="en-AU"/>
              </w:rPr>
            </w:pPr>
            <w:r w:rsidRPr="0058641B">
              <w:rPr>
                <w:lang w:val="en-AU"/>
              </w:rPr>
              <w:t>Year 2</w:t>
            </w:r>
          </w:p>
        </w:tc>
        <w:tc>
          <w:tcPr>
            <w:tcW w:w="647" w:type="pct"/>
            <w:shd w:val="clear" w:color="auto" w:fill="auto"/>
            <w:vAlign w:val="center"/>
          </w:tcPr>
          <w:p w14:paraId="599671D1" w14:textId="77777777" w:rsidR="00C37C68" w:rsidRPr="0058641B" w:rsidRDefault="00C37C68" w:rsidP="00D312D9">
            <w:pPr>
              <w:pStyle w:val="In-tableHeading"/>
              <w:jc w:val="center"/>
              <w:rPr>
                <w:lang w:val="en-AU"/>
              </w:rPr>
            </w:pPr>
            <w:r w:rsidRPr="0058641B">
              <w:rPr>
                <w:lang w:val="en-AU"/>
              </w:rPr>
              <w:t>Year 3</w:t>
            </w:r>
          </w:p>
        </w:tc>
        <w:tc>
          <w:tcPr>
            <w:tcW w:w="647" w:type="pct"/>
            <w:shd w:val="clear" w:color="auto" w:fill="auto"/>
            <w:vAlign w:val="center"/>
          </w:tcPr>
          <w:p w14:paraId="7B99358A" w14:textId="77777777" w:rsidR="00C37C68" w:rsidRPr="0058641B" w:rsidRDefault="00C37C68" w:rsidP="00D312D9">
            <w:pPr>
              <w:pStyle w:val="In-tableHeading"/>
              <w:jc w:val="center"/>
              <w:rPr>
                <w:lang w:val="en-AU"/>
              </w:rPr>
            </w:pPr>
            <w:r w:rsidRPr="0058641B">
              <w:rPr>
                <w:lang w:val="en-AU"/>
              </w:rPr>
              <w:t>Year 4</w:t>
            </w:r>
          </w:p>
        </w:tc>
        <w:tc>
          <w:tcPr>
            <w:tcW w:w="647" w:type="pct"/>
            <w:shd w:val="clear" w:color="auto" w:fill="auto"/>
            <w:vAlign w:val="center"/>
          </w:tcPr>
          <w:p w14:paraId="3FA7EE70" w14:textId="77777777" w:rsidR="00C37C68" w:rsidRPr="0058641B" w:rsidRDefault="00C37C68" w:rsidP="00D312D9">
            <w:pPr>
              <w:pStyle w:val="In-tableHeading"/>
              <w:jc w:val="center"/>
              <w:rPr>
                <w:lang w:val="en-AU"/>
              </w:rPr>
            </w:pPr>
            <w:r w:rsidRPr="0058641B">
              <w:rPr>
                <w:lang w:val="en-AU"/>
              </w:rPr>
              <w:t>Year 5</w:t>
            </w:r>
          </w:p>
        </w:tc>
        <w:tc>
          <w:tcPr>
            <w:tcW w:w="649" w:type="pct"/>
          </w:tcPr>
          <w:p w14:paraId="2873098B" w14:textId="77777777" w:rsidR="00C37C68" w:rsidRPr="0058641B" w:rsidRDefault="00C37C68" w:rsidP="00D312D9">
            <w:pPr>
              <w:pStyle w:val="In-tableHeading"/>
              <w:jc w:val="center"/>
              <w:rPr>
                <w:lang w:val="en-AU"/>
              </w:rPr>
            </w:pPr>
            <w:r w:rsidRPr="0058641B">
              <w:rPr>
                <w:lang w:val="en-AU"/>
              </w:rPr>
              <w:t>Year 6</w:t>
            </w:r>
          </w:p>
        </w:tc>
      </w:tr>
      <w:tr w:rsidR="00C37C68" w:rsidRPr="0058641B" w14:paraId="033C85B0" w14:textId="77777777" w:rsidTr="00D312D9">
        <w:tc>
          <w:tcPr>
            <w:tcW w:w="5000" w:type="pct"/>
            <w:gridSpan w:val="7"/>
            <w:shd w:val="clear" w:color="auto" w:fill="auto"/>
            <w:vAlign w:val="center"/>
          </w:tcPr>
          <w:p w14:paraId="5A04BFBC" w14:textId="77777777" w:rsidR="00C37C68" w:rsidRPr="0058641B" w:rsidRDefault="00C37C68" w:rsidP="00D312D9">
            <w:pPr>
              <w:pStyle w:val="In-tableHeading"/>
              <w:rPr>
                <w:bCs/>
                <w:color w:val="000000"/>
                <w:lang w:val="en-AU"/>
              </w:rPr>
            </w:pPr>
            <w:r w:rsidRPr="0058641B">
              <w:rPr>
                <w:bCs/>
                <w:color w:val="000000"/>
                <w:lang w:val="en-AU"/>
              </w:rPr>
              <w:t>Estimated extent of use</w:t>
            </w:r>
          </w:p>
        </w:tc>
      </w:tr>
      <w:tr w:rsidR="00C37C68" w:rsidRPr="0058641B" w14:paraId="2B5A7C78" w14:textId="77777777" w:rsidTr="00D312D9">
        <w:tc>
          <w:tcPr>
            <w:tcW w:w="1116" w:type="pct"/>
            <w:shd w:val="clear" w:color="auto" w:fill="auto"/>
            <w:vAlign w:val="center"/>
          </w:tcPr>
          <w:p w14:paraId="43E1641D" w14:textId="26EF9CF8" w:rsidR="00B260AE" w:rsidRPr="00B260AE" w:rsidRDefault="00C37C68" w:rsidP="00B260AE">
            <w:pPr>
              <w:pStyle w:val="TableText0"/>
              <w:rPr>
                <w:rFonts w:ascii="Times" w:hAnsi="Times"/>
                <w:vertAlign w:val="superscript"/>
              </w:rPr>
            </w:pPr>
            <w:r w:rsidRPr="0058641B">
              <w:t>Number of patients treated</w:t>
            </w:r>
          </w:p>
        </w:tc>
        <w:tc>
          <w:tcPr>
            <w:tcW w:w="647" w:type="pct"/>
            <w:shd w:val="clear" w:color="auto" w:fill="auto"/>
          </w:tcPr>
          <w:p w14:paraId="38CA88B3" w14:textId="5E3E31F7" w:rsidR="00B260AE" w:rsidRPr="0058641B" w:rsidRDefault="00A8021D" w:rsidP="002F537A">
            <w:pPr>
              <w:pStyle w:val="TableText0"/>
              <w:jc w:val="center"/>
              <w:rPr>
                <w:color w:val="000000"/>
                <w:vertAlign w:val="superscript"/>
              </w:rPr>
            </w:pPr>
            <w:r w:rsidRPr="00A8021D">
              <w:rPr>
                <w:rFonts w:hint="eastAsia"/>
                <w:color w:val="000000"/>
                <w:w w:val="15"/>
                <w:shd w:val="solid" w:color="000000" w:fill="000000"/>
                <w:fitText w:val="70" w:id="-1435764985"/>
                <w14:textFill>
                  <w14:solidFill>
                    <w14:srgbClr w14:val="000000">
                      <w14:alpha w14:val="100000"/>
                    </w14:srgbClr>
                  </w14:solidFill>
                </w14:textFill>
              </w:rPr>
              <w:t xml:space="preserve">　</w:t>
            </w:r>
            <w:r w:rsidRPr="00A8021D">
              <w:rPr>
                <w:color w:val="000000"/>
                <w:w w:val="15"/>
                <w:shd w:val="solid" w:color="000000" w:fill="000000"/>
                <w:fitText w:val="70" w:id="-1435764985"/>
                <w14:textFill>
                  <w14:solidFill>
                    <w14:srgbClr w14:val="000000">
                      <w14:alpha w14:val="100000"/>
                    </w14:srgbClr>
                  </w14:solidFill>
                </w14:textFill>
              </w:rPr>
              <w:t>|</w:t>
            </w:r>
            <w:r w:rsidRPr="00A8021D">
              <w:rPr>
                <w:rFonts w:hint="eastAsia"/>
                <w:color w:val="000000"/>
                <w:spacing w:val="4"/>
                <w:w w:val="15"/>
                <w:shd w:val="solid" w:color="000000" w:fill="000000"/>
                <w:fitText w:val="70" w:id="-1435764985"/>
                <w14:textFill>
                  <w14:solidFill>
                    <w14:srgbClr w14:val="000000">
                      <w14:alpha w14:val="100000"/>
                    </w14:srgbClr>
                  </w14:solidFill>
                </w14:textFill>
              </w:rPr>
              <w:t xml:space="preserve">　</w:t>
            </w:r>
            <w:r w:rsidR="00D44F37">
              <w:rPr>
                <w:vertAlign w:val="superscript"/>
              </w:rPr>
              <w:t>1,a</w:t>
            </w:r>
          </w:p>
        </w:tc>
        <w:tc>
          <w:tcPr>
            <w:tcW w:w="647" w:type="pct"/>
            <w:shd w:val="clear" w:color="auto" w:fill="auto"/>
          </w:tcPr>
          <w:p w14:paraId="4CEB158A" w14:textId="16BA6B5C" w:rsidR="00B260AE" w:rsidRPr="0058641B" w:rsidRDefault="00A8021D" w:rsidP="002F537A">
            <w:pPr>
              <w:pStyle w:val="TableText0"/>
              <w:jc w:val="center"/>
              <w:rPr>
                <w:color w:val="000000"/>
              </w:rPr>
            </w:pPr>
            <w:r w:rsidRPr="00AD58F5">
              <w:rPr>
                <w:rFonts w:hint="eastAsia"/>
                <w:color w:val="000000"/>
                <w:w w:val="15"/>
                <w:shd w:val="solid" w:color="000000" w:fill="000000"/>
                <w:fitText w:val="10" w:id="-1435764984"/>
                <w14:textFill>
                  <w14:solidFill>
                    <w14:srgbClr w14:val="000000">
                      <w14:alpha w14:val="100000"/>
                    </w14:srgbClr>
                  </w14:solidFill>
                </w14:textFill>
              </w:rPr>
              <w:t xml:space="preserve">　</w:t>
            </w:r>
            <w:r w:rsidRPr="00AD58F5">
              <w:rPr>
                <w:color w:val="000000"/>
                <w:w w:val="15"/>
                <w:shd w:val="solid" w:color="000000" w:fill="000000"/>
                <w:fitText w:val="10" w:id="-1435764984"/>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4"/>
                <w14:textFill>
                  <w14:solidFill>
                    <w14:srgbClr w14:val="000000">
                      <w14:alpha w14:val="100000"/>
                    </w14:srgbClr>
                  </w14:solidFill>
                </w14:textFill>
              </w:rPr>
              <w:t xml:space="preserve">　</w:t>
            </w:r>
            <w:r w:rsidR="00D44F37">
              <w:rPr>
                <w:vertAlign w:val="superscript"/>
              </w:rPr>
              <w:t>1</w:t>
            </w:r>
          </w:p>
        </w:tc>
        <w:tc>
          <w:tcPr>
            <w:tcW w:w="647" w:type="pct"/>
            <w:shd w:val="clear" w:color="auto" w:fill="auto"/>
          </w:tcPr>
          <w:p w14:paraId="71A63927" w14:textId="20F87947" w:rsidR="00B260AE" w:rsidRPr="0058641B" w:rsidRDefault="00A8021D" w:rsidP="002F537A">
            <w:pPr>
              <w:pStyle w:val="TableText0"/>
              <w:jc w:val="center"/>
              <w:rPr>
                <w:color w:val="000000"/>
              </w:rPr>
            </w:pPr>
            <w:r w:rsidRPr="00AD58F5">
              <w:rPr>
                <w:rFonts w:hint="eastAsia"/>
                <w:color w:val="000000"/>
                <w:w w:val="15"/>
                <w:shd w:val="solid" w:color="000000" w:fill="000000"/>
                <w:fitText w:val="10" w:id="-1435764983"/>
                <w14:textFill>
                  <w14:solidFill>
                    <w14:srgbClr w14:val="000000">
                      <w14:alpha w14:val="100000"/>
                    </w14:srgbClr>
                  </w14:solidFill>
                </w14:textFill>
              </w:rPr>
              <w:t xml:space="preserve">　</w:t>
            </w:r>
            <w:r w:rsidRPr="00AD58F5">
              <w:rPr>
                <w:color w:val="000000"/>
                <w:w w:val="15"/>
                <w:shd w:val="solid" w:color="000000" w:fill="000000"/>
                <w:fitText w:val="10" w:id="-1435764983"/>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3"/>
                <w14:textFill>
                  <w14:solidFill>
                    <w14:srgbClr w14:val="000000">
                      <w14:alpha w14:val="100000"/>
                    </w14:srgbClr>
                  </w14:solidFill>
                </w14:textFill>
              </w:rPr>
              <w:t xml:space="preserve">　</w:t>
            </w:r>
            <w:r w:rsidR="00D44F37">
              <w:rPr>
                <w:vertAlign w:val="superscript"/>
              </w:rPr>
              <w:t>1</w:t>
            </w:r>
          </w:p>
        </w:tc>
        <w:tc>
          <w:tcPr>
            <w:tcW w:w="647" w:type="pct"/>
            <w:shd w:val="clear" w:color="auto" w:fill="auto"/>
          </w:tcPr>
          <w:p w14:paraId="10EB8E33" w14:textId="785E8ED1" w:rsidR="00B260AE" w:rsidRPr="0058641B" w:rsidRDefault="00A8021D" w:rsidP="002F537A">
            <w:pPr>
              <w:pStyle w:val="TableText0"/>
              <w:jc w:val="center"/>
              <w:rPr>
                <w:color w:val="000000"/>
              </w:rPr>
            </w:pPr>
            <w:r w:rsidRPr="00AD58F5">
              <w:rPr>
                <w:rFonts w:hint="eastAsia"/>
                <w:color w:val="000000"/>
                <w:w w:val="15"/>
                <w:shd w:val="solid" w:color="000000" w:fill="000000"/>
                <w:fitText w:val="10" w:id="-1435764982"/>
                <w14:textFill>
                  <w14:solidFill>
                    <w14:srgbClr w14:val="000000">
                      <w14:alpha w14:val="100000"/>
                    </w14:srgbClr>
                  </w14:solidFill>
                </w14:textFill>
              </w:rPr>
              <w:t xml:space="preserve">　</w:t>
            </w:r>
            <w:r w:rsidRPr="00AD58F5">
              <w:rPr>
                <w:color w:val="000000"/>
                <w:w w:val="15"/>
                <w:shd w:val="solid" w:color="000000" w:fill="000000"/>
                <w:fitText w:val="10" w:id="-1435764982"/>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2"/>
                <w14:textFill>
                  <w14:solidFill>
                    <w14:srgbClr w14:val="000000">
                      <w14:alpha w14:val="100000"/>
                    </w14:srgbClr>
                  </w14:solidFill>
                </w14:textFill>
              </w:rPr>
              <w:t xml:space="preserve">　</w:t>
            </w:r>
            <w:r w:rsidR="00D44F37">
              <w:rPr>
                <w:vertAlign w:val="superscript"/>
              </w:rPr>
              <w:t>1</w:t>
            </w:r>
          </w:p>
        </w:tc>
        <w:tc>
          <w:tcPr>
            <w:tcW w:w="647" w:type="pct"/>
            <w:shd w:val="clear" w:color="auto" w:fill="auto"/>
          </w:tcPr>
          <w:p w14:paraId="37BAE5E9" w14:textId="74C9C9FF" w:rsidR="00B260AE" w:rsidRPr="0058641B" w:rsidRDefault="00A8021D" w:rsidP="002F537A">
            <w:pPr>
              <w:pStyle w:val="TableText0"/>
              <w:jc w:val="center"/>
              <w:rPr>
                <w:color w:val="000000"/>
              </w:rPr>
            </w:pPr>
            <w:r w:rsidRPr="00AD58F5">
              <w:rPr>
                <w:rFonts w:hint="eastAsia"/>
                <w:color w:val="000000"/>
                <w:w w:val="15"/>
                <w:shd w:val="solid" w:color="000000" w:fill="000000"/>
                <w:fitText w:val="10" w:id="-1435764981"/>
                <w14:textFill>
                  <w14:solidFill>
                    <w14:srgbClr w14:val="000000">
                      <w14:alpha w14:val="100000"/>
                    </w14:srgbClr>
                  </w14:solidFill>
                </w14:textFill>
              </w:rPr>
              <w:t xml:space="preserve">　</w:t>
            </w:r>
            <w:r w:rsidRPr="00AD58F5">
              <w:rPr>
                <w:color w:val="000000"/>
                <w:w w:val="15"/>
                <w:shd w:val="solid" w:color="000000" w:fill="000000"/>
                <w:fitText w:val="10" w:id="-1435764981"/>
                <w14:textFill>
                  <w14:solidFill>
                    <w14:srgbClr w14:val="000000">
                      <w14:alpha w14:val="100000"/>
                    </w14:srgbClr>
                  </w14:solidFill>
                </w14:textFill>
              </w:rPr>
              <w:t>|</w:t>
            </w:r>
            <w:r w:rsidRPr="00AD58F5">
              <w:rPr>
                <w:rFonts w:hint="eastAsia"/>
                <w:color w:val="000000"/>
                <w:spacing w:val="-56"/>
                <w:w w:val="15"/>
                <w:shd w:val="solid" w:color="000000" w:fill="000000"/>
                <w:fitText w:val="10" w:id="-1435764981"/>
                <w14:textFill>
                  <w14:solidFill>
                    <w14:srgbClr w14:val="000000">
                      <w14:alpha w14:val="100000"/>
                    </w14:srgbClr>
                  </w14:solidFill>
                </w14:textFill>
              </w:rPr>
              <w:t xml:space="preserve">　</w:t>
            </w:r>
            <w:r w:rsidR="00D44F37">
              <w:rPr>
                <w:vertAlign w:val="superscript"/>
              </w:rPr>
              <w:t>1</w:t>
            </w:r>
          </w:p>
        </w:tc>
        <w:tc>
          <w:tcPr>
            <w:tcW w:w="649" w:type="pct"/>
          </w:tcPr>
          <w:p w14:paraId="1812FC01" w14:textId="2453600E" w:rsidR="00B260AE" w:rsidRPr="0058641B" w:rsidRDefault="00A8021D" w:rsidP="002F537A">
            <w:pPr>
              <w:pStyle w:val="TableText0"/>
              <w:jc w:val="center"/>
              <w:rPr>
                <w:color w:val="000000"/>
              </w:rPr>
            </w:pPr>
            <w:r w:rsidRPr="00AD58F5">
              <w:rPr>
                <w:rFonts w:hint="eastAsia"/>
                <w:color w:val="000000"/>
                <w:w w:val="15"/>
                <w:shd w:val="solid" w:color="000000" w:fill="000000"/>
                <w:fitText w:val="20" w:id="-1435764980"/>
                <w14:textFill>
                  <w14:solidFill>
                    <w14:srgbClr w14:val="000000">
                      <w14:alpha w14:val="100000"/>
                    </w14:srgbClr>
                  </w14:solidFill>
                </w14:textFill>
              </w:rPr>
              <w:t xml:space="preserve">　</w:t>
            </w:r>
            <w:r w:rsidRPr="00AD58F5">
              <w:rPr>
                <w:color w:val="000000"/>
                <w:w w:val="15"/>
                <w:shd w:val="solid" w:color="000000" w:fill="000000"/>
                <w:fitText w:val="20" w:id="-1435764980"/>
                <w14:textFill>
                  <w14:solidFill>
                    <w14:srgbClr w14:val="000000">
                      <w14:alpha w14:val="100000"/>
                    </w14:srgbClr>
                  </w14:solidFill>
                </w14:textFill>
              </w:rPr>
              <w:t>|</w:t>
            </w:r>
            <w:r w:rsidRPr="00AD58F5">
              <w:rPr>
                <w:rFonts w:hint="eastAsia"/>
                <w:color w:val="000000"/>
                <w:spacing w:val="-46"/>
                <w:w w:val="15"/>
                <w:shd w:val="solid" w:color="000000" w:fill="000000"/>
                <w:fitText w:val="20" w:id="-1435764980"/>
                <w14:textFill>
                  <w14:solidFill>
                    <w14:srgbClr w14:val="000000">
                      <w14:alpha w14:val="100000"/>
                    </w14:srgbClr>
                  </w14:solidFill>
                </w14:textFill>
              </w:rPr>
              <w:t xml:space="preserve">　</w:t>
            </w:r>
            <w:r w:rsidR="00D44F37">
              <w:rPr>
                <w:vertAlign w:val="superscript"/>
              </w:rPr>
              <w:t>1</w:t>
            </w:r>
          </w:p>
        </w:tc>
      </w:tr>
      <w:tr w:rsidR="00C37C68" w:rsidRPr="0058641B" w14:paraId="26284F96" w14:textId="77777777" w:rsidTr="00D312D9">
        <w:tc>
          <w:tcPr>
            <w:tcW w:w="1116" w:type="pct"/>
            <w:shd w:val="clear" w:color="auto" w:fill="auto"/>
            <w:vAlign w:val="center"/>
          </w:tcPr>
          <w:p w14:paraId="4965D3B8" w14:textId="77777777" w:rsidR="00C37C68" w:rsidRPr="0058641B" w:rsidRDefault="00C37C68" w:rsidP="00D312D9">
            <w:pPr>
              <w:pStyle w:val="TableText0"/>
              <w:rPr>
                <w:rFonts w:ascii="Times" w:hAnsi="Times"/>
              </w:rPr>
            </w:pPr>
            <w:r w:rsidRPr="0058641B">
              <w:t xml:space="preserve">Number of scripts </w:t>
            </w:r>
            <w:proofErr w:type="spellStart"/>
            <w:r w:rsidRPr="0058641B">
              <w:t>dispensed</w:t>
            </w:r>
            <w:r w:rsidRPr="0058641B">
              <w:rPr>
                <w:vertAlign w:val="superscript"/>
              </w:rPr>
              <w:t>b</w:t>
            </w:r>
            <w:proofErr w:type="spellEnd"/>
          </w:p>
        </w:tc>
        <w:tc>
          <w:tcPr>
            <w:tcW w:w="647" w:type="pct"/>
            <w:shd w:val="clear" w:color="auto" w:fill="auto"/>
          </w:tcPr>
          <w:p w14:paraId="627828A9" w14:textId="56DC0C16" w:rsidR="00C37C68" w:rsidRPr="0058641B" w:rsidRDefault="00A8021D" w:rsidP="00D312D9">
            <w:pPr>
              <w:pStyle w:val="TableText0"/>
              <w:jc w:val="center"/>
              <w:rPr>
                <w:color w:val="000000"/>
              </w:rPr>
            </w:pPr>
            <w:r w:rsidRPr="00AD58F5">
              <w:rPr>
                <w:rFonts w:hint="eastAsia"/>
                <w:color w:val="000000"/>
                <w:w w:val="15"/>
                <w:shd w:val="solid" w:color="000000" w:fill="000000"/>
                <w:fitText w:val="10" w:id="-1435764979"/>
                <w14:textFill>
                  <w14:solidFill>
                    <w14:srgbClr w14:val="000000">
                      <w14:alpha w14:val="100000"/>
                    </w14:srgbClr>
                  </w14:solidFill>
                </w14:textFill>
              </w:rPr>
              <w:t xml:space="preserve">　</w:t>
            </w:r>
            <w:r w:rsidRPr="00AD58F5">
              <w:rPr>
                <w:color w:val="000000"/>
                <w:w w:val="15"/>
                <w:shd w:val="solid" w:color="000000" w:fill="000000"/>
                <w:fitText w:val="10" w:id="-1435764979"/>
                <w14:textFill>
                  <w14:solidFill>
                    <w14:srgbClr w14:val="000000">
                      <w14:alpha w14:val="100000"/>
                    </w14:srgbClr>
                  </w14:solidFill>
                </w14:textFill>
              </w:rPr>
              <w:t>|</w:t>
            </w:r>
            <w:r w:rsidRPr="00AD58F5">
              <w:rPr>
                <w:rFonts w:hint="eastAsia"/>
                <w:color w:val="000000"/>
                <w:spacing w:val="-56"/>
                <w:w w:val="15"/>
                <w:shd w:val="solid" w:color="000000" w:fill="000000"/>
                <w:fitText w:val="10" w:id="-1435764979"/>
                <w14:textFill>
                  <w14:solidFill>
                    <w14:srgbClr w14:val="000000">
                      <w14:alpha w14:val="100000"/>
                    </w14:srgbClr>
                  </w14:solidFill>
                </w14:textFill>
              </w:rPr>
              <w:t xml:space="preserve">　</w:t>
            </w:r>
            <w:r w:rsidR="00D44F37">
              <w:rPr>
                <w:vertAlign w:val="superscript"/>
              </w:rPr>
              <w:t>2</w:t>
            </w:r>
          </w:p>
        </w:tc>
        <w:tc>
          <w:tcPr>
            <w:tcW w:w="647" w:type="pct"/>
            <w:shd w:val="clear" w:color="auto" w:fill="auto"/>
          </w:tcPr>
          <w:p w14:paraId="36BCCE09" w14:textId="2B5350FC" w:rsidR="00C37C68" w:rsidRPr="00D44F37" w:rsidRDefault="00A8021D" w:rsidP="00D312D9">
            <w:pPr>
              <w:pStyle w:val="TableText0"/>
              <w:jc w:val="center"/>
              <w:rPr>
                <w:color w:val="000000"/>
                <w:highlight w:val="darkGray"/>
              </w:rPr>
            </w:pPr>
            <w:r w:rsidRPr="00AD58F5">
              <w:rPr>
                <w:rFonts w:hint="eastAsia"/>
                <w:color w:val="000000"/>
                <w:w w:val="15"/>
                <w:shd w:val="solid" w:color="000000" w:fill="000000"/>
                <w:fitText w:val="10" w:id="-1435764736"/>
                <w14:textFill>
                  <w14:solidFill>
                    <w14:srgbClr w14:val="000000">
                      <w14:alpha w14:val="100000"/>
                    </w14:srgbClr>
                  </w14:solidFill>
                </w14:textFill>
              </w:rPr>
              <w:t xml:space="preserve">　</w:t>
            </w:r>
            <w:r w:rsidRPr="00AD58F5">
              <w:rPr>
                <w:color w:val="000000"/>
                <w:w w:val="15"/>
                <w:shd w:val="solid" w:color="000000" w:fill="000000"/>
                <w:fitText w:val="10" w:id="-1435764736"/>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6"/>
                <w14:textFill>
                  <w14:solidFill>
                    <w14:srgbClr w14:val="000000">
                      <w14:alpha w14:val="100000"/>
                    </w14:srgbClr>
                  </w14:solidFill>
                </w14:textFill>
              </w:rPr>
              <w:t xml:space="preserve">　</w:t>
            </w:r>
            <w:r w:rsidR="00D44F37">
              <w:rPr>
                <w:vertAlign w:val="superscript"/>
              </w:rPr>
              <w:t>2</w:t>
            </w:r>
          </w:p>
        </w:tc>
        <w:tc>
          <w:tcPr>
            <w:tcW w:w="647" w:type="pct"/>
            <w:shd w:val="clear" w:color="auto" w:fill="auto"/>
          </w:tcPr>
          <w:p w14:paraId="043905AA" w14:textId="49DE22E7" w:rsidR="00C37C68" w:rsidRPr="00D44F37" w:rsidRDefault="00A8021D" w:rsidP="00D312D9">
            <w:pPr>
              <w:pStyle w:val="TableText0"/>
              <w:jc w:val="center"/>
              <w:rPr>
                <w:color w:val="000000"/>
                <w:highlight w:val="darkGray"/>
              </w:rPr>
            </w:pPr>
            <w:r w:rsidRPr="00AD58F5">
              <w:rPr>
                <w:rFonts w:hint="eastAsia"/>
                <w:color w:val="000000"/>
                <w:w w:val="15"/>
                <w:shd w:val="solid" w:color="000000" w:fill="000000"/>
                <w:fitText w:val="10" w:id="-1435764735"/>
                <w14:textFill>
                  <w14:solidFill>
                    <w14:srgbClr w14:val="000000">
                      <w14:alpha w14:val="100000"/>
                    </w14:srgbClr>
                  </w14:solidFill>
                </w14:textFill>
              </w:rPr>
              <w:t xml:space="preserve">　</w:t>
            </w:r>
            <w:r w:rsidRPr="00AD58F5">
              <w:rPr>
                <w:color w:val="000000"/>
                <w:w w:val="15"/>
                <w:shd w:val="solid" w:color="000000" w:fill="000000"/>
                <w:fitText w:val="10" w:id="-1435764735"/>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5"/>
                <w14:textFill>
                  <w14:solidFill>
                    <w14:srgbClr w14:val="000000">
                      <w14:alpha w14:val="100000"/>
                    </w14:srgbClr>
                  </w14:solidFill>
                </w14:textFill>
              </w:rPr>
              <w:t xml:space="preserve">　</w:t>
            </w:r>
            <w:r w:rsidR="00D44F37">
              <w:rPr>
                <w:vertAlign w:val="superscript"/>
              </w:rPr>
              <w:t>2</w:t>
            </w:r>
          </w:p>
        </w:tc>
        <w:tc>
          <w:tcPr>
            <w:tcW w:w="647" w:type="pct"/>
            <w:shd w:val="clear" w:color="auto" w:fill="auto"/>
          </w:tcPr>
          <w:p w14:paraId="1A9B0ECC" w14:textId="6141D2C7" w:rsidR="00C37C68" w:rsidRPr="00D44F37" w:rsidRDefault="00A8021D" w:rsidP="00D312D9">
            <w:pPr>
              <w:pStyle w:val="TableText0"/>
              <w:jc w:val="center"/>
              <w:rPr>
                <w:color w:val="000000"/>
                <w:highlight w:val="darkGray"/>
              </w:rPr>
            </w:pPr>
            <w:r w:rsidRPr="00AD58F5">
              <w:rPr>
                <w:rFonts w:hint="eastAsia"/>
                <w:color w:val="000000"/>
                <w:w w:val="15"/>
                <w:shd w:val="solid" w:color="000000" w:fill="000000"/>
                <w:fitText w:val="10" w:id="-1435764734"/>
                <w14:textFill>
                  <w14:solidFill>
                    <w14:srgbClr w14:val="000000">
                      <w14:alpha w14:val="100000"/>
                    </w14:srgbClr>
                  </w14:solidFill>
                </w14:textFill>
              </w:rPr>
              <w:t xml:space="preserve">　</w:t>
            </w:r>
            <w:r w:rsidRPr="00AD58F5">
              <w:rPr>
                <w:color w:val="000000"/>
                <w:w w:val="15"/>
                <w:shd w:val="solid" w:color="000000" w:fill="000000"/>
                <w:fitText w:val="10" w:id="-1435764734"/>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4"/>
                <w14:textFill>
                  <w14:solidFill>
                    <w14:srgbClr w14:val="000000">
                      <w14:alpha w14:val="100000"/>
                    </w14:srgbClr>
                  </w14:solidFill>
                </w14:textFill>
              </w:rPr>
              <w:t xml:space="preserve">　</w:t>
            </w:r>
            <w:r w:rsidR="00D44F37">
              <w:rPr>
                <w:vertAlign w:val="superscript"/>
              </w:rPr>
              <w:t>2</w:t>
            </w:r>
          </w:p>
        </w:tc>
        <w:tc>
          <w:tcPr>
            <w:tcW w:w="647" w:type="pct"/>
            <w:shd w:val="clear" w:color="auto" w:fill="auto"/>
          </w:tcPr>
          <w:p w14:paraId="499358E3" w14:textId="754C7D68" w:rsidR="00C37C68" w:rsidRPr="00D44F37" w:rsidRDefault="00A8021D" w:rsidP="00D312D9">
            <w:pPr>
              <w:pStyle w:val="TableText0"/>
              <w:jc w:val="center"/>
              <w:rPr>
                <w:color w:val="000000"/>
                <w:highlight w:val="darkGray"/>
              </w:rPr>
            </w:pPr>
            <w:r w:rsidRPr="00AD58F5">
              <w:rPr>
                <w:rFonts w:hint="eastAsia"/>
                <w:color w:val="000000"/>
                <w:w w:val="15"/>
                <w:shd w:val="solid" w:color="000000" w:fill="000000"/>
                <w:fitText w:val="10" w:id="-1435764733"/>
                <w14:textFill>
                  <w14:solidFill>
                    <w14:srgbClr w14:val="000000">
                      <w14:alpha w14:val="100000"/>
                    </w14:srgbClr>
                  </w14:solidFill>
                </w14:textFill>
              </w:rPr>
              <w:t xml:space="preserve">　</w:t>
            </w:r>
            <w:r w:rsidRPr="00AD58F5">
              <w:rPr>
                <w:color w:val="000000"/>
                <w:w w:val="15"/>
                <w:shd w:val="solid" w:color="000000" w:fill="000000"/>
                <w:fitText w:val="10" w:id="-1435764733"/>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3"/>
                <w14:textFill>
                  <w14:solidFill>
                    <w14:srgbClr w14:val="000000">
                      <w14:alpha w14:val="100000"/>
                    </w14:srgbClr>
                  </w14:solidFill>
                </w14:textFill>
              </w:rPr>
              <w:t xml:space="preserve">　</w:t>
            </w:r>
            <w:r w:rsidR="00D44F37">
              <w:rPr>
                <w:vertAlign w:val="superscript"/>
              </w:rPr>
              <w:t>2</w:t>
            </w:r>
          </w:p>
        </w:tc>
        <w:tc>
          <w:tcPr>
            <w:tcW w:w="649" w:type="pct"/>
          </w:tcPr>
          <w:p w14:paraId="34C5DFD2" w14:textId="7F604CF7" w:rsidR="00C37C68" w:rsidRPr="00D44F37" w:rsidRDefault="00A8021D" w:rsidP="00D312D9">
            <w:pPr>
              <w:pStyle w:val="TableText0"/>
              <w:jc w:val="center"/>
              <w:rPr>
                <w:color w:val="000000"/>
                <w:highlight w:val="darkGray"/>
              </w:rPr>
            </w:pPr>
            <w:r w:rsidRPr="00AD58F5">
              <w:rPr>
                <w:rFonts w:hint="eastAsia"/>
                <w:color w:val="000000"/>
                <w:w w:val="15"/>
                <w:shd w:val="solid" w:color="000000" w:fill="000000"/>
                <w:fitText w:val="20" w:id="-1435764732"/>
                <w14:textFill>
                  <w14:solidFill>
                    <w14:srgbClr w14:val="000000">
                      <w14:alpha w14:val="100000"/>
                    </w14:srgbClr>
                  </w14:solidFill>
                </w14:textFill>
              </w:rPr>
              <w:t xml:space="preserve">　</w:t>
            </w:r>
            <w:r w:rsidRPr="00AD58F5">
              <w:rPr>
                <w:color w:val="000000"/>
                <w:w w:val="15"/>
                <w:shd w:val="solid" w:color="000000" w:fill="000000"/>
                <w:fitText w:val="20" w:id="-1435764732"/>
                <w14:textFill>
                  <w14:solidFill>
                    <w14:srgbClr w14:val="000000">
                      <w14:alpha w14:val="100000"/>
                    </w14:srgbClr>
                  </w14:solidFill>
                </w14:textFill>
              </w:rPr>
              <w:t>|</w:t>
            </w:r>
            <w:r w:rsidRPr="00AD58F5">
              <w:rPr>
                <w:rFonts w:hint="eastAsia"/>
                <w:color w:val="000000"/>
                <w:spacing w:val="-46"/>
                <w:w w:val="15"/>
                <w:shd w:val="solid" w:color="000000" w:fill="000000"/>
                <w:fitText w:val="20" w:id="-1435764732"/>
                <w14:textFill>
                  <w14:solidFill>
                    <w14:srgbClr w14:val="000000">
                      <w14:alpha w14:val="100000"/>
                    </w14:srgbClr>
                  </w14:solidFill>
                </w14:textFill>
              </w:rPr>
              <w:t xml:space="preserve">　</w:t>
            </w:r>
            <w:r w:rsidR="00D44F37">
              <w:rPr>
                <w:vertAlign w:val="superscript"/>
              </w:rPr>
              <w:t>2</w:t>
            </w:r>
          </w:p>
        </w:tc>
      </w:tr>
      <w:tr w:rsidR="00C37C68" w:rsidRPr="0058641B" w14:paraId="5A9D24E0" w14:textId="77777777" w:rsidTr="00D312D9">
        <w:tc>
          <w:tcPr>
            <w:tcW w:w="5000" w:type="pct"/>
            <w:gridSpan w:val="7"/>
            <w:shd w:val="clear" w:color="auto" w:fill="auto"/>
            <w:vAlign w:val="center"/>
          </w:tcPr>
          <w:p w14:paraId="7381EE3A" w14:textId="77777777" w:rsidR="00C37C68" w:rsidRPr="0058641B" w:rsidRDefault="00C37C68" w:rsidP="00D312D9">
            <w:pPr>
              <w:pStyle w:val="In-tableHeading"/>
              <w:rPr>
                <w:lang w:val="en-AU"/>
              </w:rPr>
            </w:pPr>
            <w:r w:rsidRPr="0058641B">
              <w:rPr>
                <w:lang w:val="en-AU"/>
              </w:rPr>
              <w:t xml:space="preserve">Estimated financial implications of atezolizumab </w:t>
            </w:r>
          </w:p>
        </w:tc>
      </w:tr>
      <w:tr w:rsidR="00C37C68" w:rsidRPr="0058641B" w14:paraId="64CC7AD7" w14:textId="77777777" w:rsidTr="00D312D9">
        <w:tc>
          <w:tcPr>
            <w:tcW w:w="1116" w:type="pct"/>
            <w:shd w:val="clear" w:color="auto" w:fill="auto"/>
            <w:vAlign w:val="center"/>
          </w:tcPr>
          <w:p w14:paraId="599C7E50" w14:textId="77777777" w:rsidR="00C37C68" w:rsidRPr="0058641B" w:rsidRDefault="00C37C68" w:rsidP="00D312D9">
            <w:pPr>
              <w:pStyle w:val="TableText0"/>
              <w:rPr>
                <w:sz w:val="19"/>
                <w:szCs w:val="19"/>
              </w:rPr>
            </w:pPr>
            <w:r w:rsidRPr="0058641B">
              <w:rPr>
                <w:sz w:val="19"/>
                <w:szCs w:val="19"/>
              </w:rPr>
              <w:t xml:space="preserve">Cost to PBS/RPBS less </w:t>
            </w:r>
            <w:proofErr w:type="spellStart"/>
            <w:r w:rsidRPr="0058641B">
              <w:rPr>
                <w:sz w:val="19"/>
                <w:szCs w:val="19"/>
              </w:rPr>
              <w:t>copayments</w:t>
            </w:r>
            <w:proofErr w:type="spellEnd"/>
          </w:p>
        </w:tc>
        <w:tc>
          <w:tcPr>
            <w:tcW w:w="647" w:type="pct"/>
            <w:shd w:val="clear" w:color="auto" w:fill="auto"/>
          </w:tcPr>
          <w:p w14:paraId="63A6B434" w14:textId="6CE38A3D"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1"/>
                <w14:textFill>
                  <w14:solidFill>
                    <w14:srgbClr w14:val="000000">
                      <w14:alpha w14:val="100000"/>
                    </w14:srgbClr>
                  </w14:solidFill>
                </w14:textFill>
              </w:rPr>
              <w:t xml:space="preserve">　</w:t>
            </w:r>
            <w:r w:rsidR="00A8021D" w:rsidRPr="00A8021D">
              <w:rPr>
                <w:color w:val="000000"/>
                <w:w w:val="15"/>
                <w:shd w:val="solid" w:color="000000" w:fill="000000"/>
                <w:fitText w:val="70" w:id="-1435764731"/>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1"/>
                <w14:textFill>
                  <w14:solidFill>
                    <w14:srgbClr w14:val="000000">
                      <w14:alpha w14:val="100000"/>
                    </w14:srgbClr>
                  </w14:solidFill>
                </w14:textFill>
              </w:rPr>
              <w:t xml:space="preserve">　</w:t>
            </w:r>
            <w:r w:rsidR="00D44F37">
              <w:rPr>
                <w:vertAlign w:val="superscript"/>
              </w:rPr>
              <w:t>3</w:t>
            </w:r>
          </w:p>
        </w:tc>
        <w:tc>
          <w:tcPr>
            <w:tcW w:w="647" w:type="pct"/>
            <w:shd w:val="clear" w:color="auto" w:fill="auto"/>
          </w:tcPr>
          <w:p w14:paraId="0D5C135F" w14:textId="24E1D37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0"/>
                <w14:textFill>
                  <w14:solidFill>
                    <w14:srgbClr w14:val="000000">
                      <w14:alpha w14:val="100000"/>
                    </w14:srgbClr>
                  </w14:solidFill>
                </w14:textFill>
              </w:rPr>
              <w:t xml:space="preserve">　</w:t>
            </w:r>
            <w:r w:rsidR="00A8021D" w:rsidRPr="00A8021D">
              <w:rPr>
                <w:color w:val="000000"/>
                <w:w w:val="15"/>
                <w:shd w:val="solid" w:color="000000" w:fill="000000"/>
                <w:fitText w:val="70" w:id="-1435764730"/>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0"/>
                <w14:textFill>
                  <w14:solidFill>
                    <w14:srgbClr w14:val="000000">
                      <w14:alpha w14:val="100000"/>
                    </w14:srgbClr>
                  </w14:solidFill>
                </w14:textFill>
              </w:rPr>
              <w:t xml:space="preserve">　</w:t>
            </w:r>
            <w:r w:rsidR="00D44F37">
              <w:rPr>
                <w:vertAlign w:val="superscript"/>
              </w:rPr>
              <w:t>3</w:t>
            </w:r>
          </w:p>
        </w:tc>
        <w:tc>
          <w:tcPr>
            <w:tcW w:w="647" w:type="pct"/>
            <w:shd w:val="clear" w:color="auto" w:fill="auto"/>
          </w:tcPr>
          <w:p w14:paraId="205FED3E" w14:textId="37AFBC78"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9"/>
                <w14:textFill>
                  <w14:solidFill>
                    <w14:srgbClr w14:val="000000">
                      <w14:alpha w14:val="100000"/>
                    </w14:srgbClr>
                  </w14:solidFill>
                </w14:textFill>
              </w:rPr>
              <w:t xml:space="preserve">　</w:t>
            </w:r>
            <w:r w:rsidR="00A8021D" w:rsidRPr="00A8021D">
              <w:rPr>
                <w:color w:val="000000"/>
                <w:w w:val="15"/>
                <w:shd w:val="solid" w:color="000000" w:fill="000000"/>
                <w:fitText w:val="70" w:id="-1435764729"/>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9"/>
                <w14:textFill>
                  <w14:solidFill>
                    <w14:srgbClr w14:val="000000">
                      <w14:alpha w14:val="100000"/>
                    </w14:srgbClr>
                  </w14:solidFill>
                </w14:textFill>
              </w:rPr>
              <w:t xml:space="preserve">　</w:t>
            </w:r>
            <w:r w:rsidR="00D44F37">
              <w:rPr>
                <w:vertAlign w:val="superscript"/>
              </w:rPr>
              <w:t>3</w:t>
            </w:r>
          </w:p>
        </w:tc>
        <w:tc>
          <w:tcPr>
            <w:tcW w:w="647" w:type="pct"/>
            <w:shd w:val="clear" w:color="auto" w:fill="auto"/>
          </w:tcPr>
          <w:p w14:paraId="1B1D332D" w14:textId="047D9C2D"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8"/>
                <w14:textFill>
                  <w14:solidFill>
                    <w14:srgbClr w14:val="000000">
                      <w14:alpha w14:val="100000"/>
                    </w14:srgbClr>
                  </w14:solidFill>
                </w14:textFill>
              </w:rPr>
              <w:t xml:space="preserve">　</w:t>
            </w:r>
            <w:r w:rsidR="00A8021D" w:rsidRPr="00A8021D">
              <w:rPr>
                <w:color w:val="000000"/>
                <w:w w:val="15"/>
                <w:shd w:val="solid" w:color="000000" w:fill="000000"/>
                <w:fitText w:val="70" w:id="-1435764728"/>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8"/>
                <w14:textFill>
                  <w14:solidFill>
                    <w14:srgbClr w14:val="000000">
                      <w14:alpha w14:val="100000"/>
                    </w14:srgbClr>
                  </w14:solidFill>
                </w14:textFill>
              </w:rPr>
              <w:t xml:space="preserve">　</w:t>
            </w:r>
            <w:r w:rsidR="00D44F37">
              <w:rPr>
                <w:vertAlign w:val="superscript"/>
              </w:rPr>
              <w:t>3</w:t>
            </w:r>
          </w:p>
        </w:tc>
        <w:tc>
          <w:tcPr>
            <w:tcW w:w="647" w:type="pct"/>
            <w:shd w:val="clear" w:color="auto" w:fill="auto"/>
          </w:tcPr>
          <w:p w14:paraId="4A40FC0C" w14:textId="43EAFA3C"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7"/>
                <w14:textFill>
                  <w14:solidFill>
                    <w14:srgbClr w14:val="000000">
                      <w14:alpha w14:val="100000"/>
                    </w14:srgbClr>
                  </w14:solidFill>
                </w14:textFill>
              </w:rPr>
              <w:t xml:space="preserve">　</w:t>
            </w:r>
            <w:r w:rsidR="00A8021D" w:rsidRPr="00A8021D">
              <w:rPr>
                <w:color w:val="000000"/>
                <w:w w:val="15"/>
                <w:shd w:val="solid" w:color="000000" w:fill="000000"/>
                <w:fitText w:val="70" w:id="-1435764727"/>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7"/>
                <w14:textFill>
                  <w14:solidFill>
                    <w14:srgbClr w14:val="000000">
                      <w14:alpha w14:val="100000"/>
                    </w14:srgbClr>
                  </w14:solidFill>
                </w14:textFill>
              </w:rPr>
              <w:t xml:space="preserve">　</w:t>
            </w:r>
            <w:r w:rsidR="00D44F37">
              <w:rPr>
                <w:vertAlign w:val="superscript"/>
              </w:rPr>
              <w:t>3</w:t>
            </w:r>
          </w:p>
        </w:tc>
        <w:tc>
          <w:tcPr>
            <w:tcW w:w="649" w:type="pct"/>
          </w:tcPr>
          <w:p w14:paraId="3A1222C4" w14:textId="5D762335"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6"/>
                <w14:textFill>
                  <w14:solidFill>
                    <w14:srgbClr w14:val="000000">
                      <w14:alpha w14:val="100000"/>
                    </w14:srgbClr>
                  </w14:solidFill>
                </w14:textFill>
              </w:rPr>
              <w:t xml:space="preserve">　</w:t>
            </w:r>
            <w:r w:rsidR="00A8021D" w:rsidRPr="00A8021D">
              <w:rPr>
                <w:color w:val="000000"/>
                <w:w w:val="15"/>
                <w:shd w:val="solid" w:color="000000" w:fill="000000"/>
                <w:fitText w:val="70" w:id="-1435764726"/>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6"/>
                <w14:textFill>
                  <w14:solidFill>
                    <w14:srgbClr w14:val="000000">
                      <w14:alpha w14:val="100000"/>
                    </w14:srgbClr>
                  </w14:solidFill>
                </w14:textFill>
              </w:rPr>
              <w:t xml:space="preserve">　</w:t>
            </w:r>
            <w:r w:rsidR="00D44F37">
              <w:rPr>
                <w:vertAlign w:val="superscript"/>
              </w:rPr>
              <w:t>3</w:t>
            </w:r>
          </w:p>
        </w:tc>
      </w:tr>
      <w:tr w:rsidR="00C37C68" w:rsidRPr="0058641B" w14:paraId="4C6084D3" w14:textId="77777777" w:rsidTr="00D312D9">
        <w:tc>
          <w:tcPr>
            <w:tcW w:w="5000" w:type="pct"/>
            <w:gridSpan w:val="7"/>
            <w:tcBorders>
              <w:bottom w:val="single" w:sz="4" w:space="0" w:color="auto"/>
            </w:tcBorders>
            <w:shd w:val="clear" w:color="auto" w:fill="auto"/>
            <w:vAlign w:val="center"/>
          </w:tcPr>
          <w:p w14:paraId="13916871" w14:textId="1FB0F37B" w:rsidR="00C37C68" w:rsidRPr="0058641B" w:rsidRDefault="00C37C68" w:rsidP="00D312D9">
            <w:pPr>
              <w:pStyle w:val="TableText0"/>
              <w:rPr>
                <w:b/>
              </w:rPr>
            </w:pPr>
            <w:r w:rsidRPr="0058641B">
              <w:rPr>
                <w:b/>
              </w:rPr>
              <w:t xml:space="preserve">Estimated financial implications for </w:t>
            </w:r>
            <w:proofErr w:type="spellStart"/>
            <w:r w:rsidRPr="0058641B">
              <w:rPr>
                <w:b/>
              </w:rPr>
              <w:t>pembrolizumab</w:t>
            </w:r>
            <w:r w:rsidRPr="0058641B">
              <w:rPr>
                <w:b/>
                <w:vertAlign w:val="superscript"/>
              </w:rPr>
              <w:t>c</w:t>
            </w:r>
            <w:proofErr w:type="spellEnd"/>
          </w:p>
        </w:tc>
      </w:tr>
      <w:tr w:rsidR="00C37C68" w:rsidRPr="0058641B" w14:paraId="05CC4F63" w14:textId="77777777" w:rsidTr="00D312D9">
        <w:tc>
          <w:tcPr>
            <w:tcW w:w="1116" w:type="pct"/>
            <w:tcBorders>
              <w:top w:val="nil"/>
            </w:tcBorders>
            <w:shd w:val="clear" w:color="auto" w:fill="auto"/>
            <w:vAlign w:val="center"/>
          </w:tcPr>
          <w:p w14:paraId="1FADF892" w14:textId="694892FF" w:rsidR="00C37C68" w:rsidRDefault="003C4205" w:rsidP="00D312D9">
            <w:pPr>
              <w:pStyle w:val="TableText0"/>
              <w:rPr>
                <w:sz w:val="19"/>
                <w:szCs w:val="19"/>
                <w:vertAlign w:val="superscript"/>
              </w:rPr>
            </w:pPr>
            <w:r w:rsidRPr="0058641B">
              <w:rPr>
                <w:sz w:val="19"/>
                <w:szCs w:val="19"/>
              </w:rPr>
              <w:t xml:space="preserve">Cost to PBS/RPBS less </w:t>
            </w:r>
            <w:proofErr w:type="spellStart"/>
            <w:r w:rsidRPr="0058641B">
              <w:rPr>
                <w:sz w:val="19"/>
                <w:szCs w:val="19"/>
              </w:rPr>
              <w:t>copayments</w:t>
            </w:r>
            <w:r w:rsidR="00C37C68" w:rsidRPr="0058641B">
              <w:rPr>
                <w:sz w:val="19"/>
                <w:szCs w:val="19"/>
                <w:vertAlign w:val="superscript"/>
              </w:rPr>
              <w:t>d</w:t>
            </w:r>
            <w:proofErr w:type="spellEnd"/>
          </w:p>
          <w:p w14:paraId="6ADCDB76" w14:textId="647FB6EA" w:rsidR="0081540D" w:rsidRPr="0081540D" w:rsidRDefault="0081540D" w:rsidP="0081540D">
            <w:pPr>
              <w:pStyle w:val="TableText0"/>
              <w:ind w:left="254" w:hanging="254"/>
              <w:rPr>
                <w:sz w:val="18"/>
                <w:szCs w:val="18"/>
                <w:vertAlign w:val="superscript"/>
              </w:rPr>
            </w:pPr>
            <w:r>
              <w:rPr>
                <w:sz w:val="19"/>
                <w:szCs w:val="19"/>
                <w:vertAlign w:val="superscript"/>
              </w:rPr>
              <w:tab/>
            </w:r>
            <w:r w:rsidRPr="0081540D">
              <w:rPr>
                <w:sz w:val="19"/>
                <w:szCs w:val="19"/>
              </w:rPr>
              <w:t>Redu</w:t>
            </w:r>
            <w:r>
              <w:rPr>
                <w:sz w:val="19"/>
                <w:szCs w:val="19"/>
              </w:rPr>
              <w:t>c</w:t>
            </w:r>
            <w:r w:rsidR="00C5343E">
              <w:rPr>
                <w:sz w:val="19"/>
                <w:szCs w:val="19"/>
              </w:rPr>
              <w:t xml:space="preserve">tion in </w:t>
            </w:r>
            <w:r w:rsidRPr="0081540D">
              <w:rPr>
                <w:sz w:val="19"/>
                <w:szCs w:val="19"/>
              </w:rPr>
              <w:t>pembrolizumab patients</w:t>
            </w:r>
          </w:p>
        </w:tc>
        <w:tc>
          <w:tcPr>
            <w:tcW w:w="647" w:type="pct"/>
            <w:tcBorders>
              <w:top w:val="nil"/>
            </w:tcBorders>
            <w:shd w:val="clear" w:color="auto" w:fill="auto"/>
          </w:tcPr>
          <w:p w14:paraId="63E0799A" w14:textId="79EC3D12" w:rsidR="00C37C68" w:rsidRDefault="00C37C68" w:rsidP="00D312D9">
            <w:pPr>
              <w:pStyle w:val="TableText0"/>
              <w:jc w:val="center"/>
            </w:pPr>
            <w:r w:rsidRPr="0058641B">
              <w:t>-$</w:t>
            </w:r>
            <w:r w:rsidR="00A8021D" w:rsidRPr="00A8021D">
              <w:rPr>
                <w:rFonts w:hint="eastAsia"/>
                <w:color w:val="000000"/>
                <w:w w:val="22"/>
                <w:shd w:val="solid" w:color="000000" w:fill="000000"/>
                <w:fitText w:val="100" w:id="-1435764725"/>
                <w14:textFill>
                  <w14:solidFill>
                    <w14:srgbClr w14:val="000000">
                      <w14:alpha w14:val="100000"/>
                    </w14:srgbClr>
                  </w14:solidFill>
                </w14:textFill>
              </w:rPr>
              <w:t xml:space="preserve">　</w:t>
            </w:r>
            <w:r w:rsidR="00A8021D" w:rsidRPr="00A8021D">
              <w:rPr>
                <w:color w:val="000000"/>
                <w:w w:val="22"/>
                <w:shd w:val="solid" w:color="000000" w:fill="000000"/>
                <w:fitText w:val="100" w:id="-1435764725"/>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725"/>
                <w14:textFill>
                  <w14:solidFill>
                    <w14:srgbClr w14:val="000000">
                      <w14:alpha w14:val="100000"/>
                    </w14:srgbClr>
                  </w14:solidFill>
                </w14:textFill>
              </w:rPr>
              <w:t xml:space="preserve">　</w:t>
            </w:r>
            <w:r w:rsidR="00D44F37">
              <w:rPr>
                <w:vertAlign w:val="superscript"/>
              </w:rPr>
              <w:t>3</w:t>
            </w:r>
          </w:p>
          <w:p w14:paraId="383F0797" w14:textId="77777777" w:rsidR="0081540D" w:rsidRDefault="0081540D" w:rsidP="00D312D9">
            <w:pPr>
              <w:pStyle w:val="TableText0"/>
              <w:jc w:val="center"/>
            </w:pPr>
          </w:p>
          <w:p w14:paraId="35DC2A5D" w14:textId="0D9E7C0C" w:rsidR="0081540D" w:rsidRPr="0058641B" w:rsidRDefault="00A8021D" w:rsidP="00D312D9">
            <w:pPr>
              <w:pStyle w:val="TableText0"/>
              <w:jc w:val="center"/>
            </w:pPr>
            <w:r w:rsidRPr="00AD58F5">
              <w:rPr>
                <w:rFonts w:hint="eastAsia"/>
                <w:color w:val="000000"/>
                <w:w w:val="15"/>
                <w:shd w:val="solid" w:color="000000" w:fill="000000"/>
                <w:fitText w:val="10" w:id="-1435764724"/>
                <w14:textFill>
                  <w14:solidFill>
                    <w14:srgbClr w14:val="000000">
                      <w14:alpha w14:val="100000"/>
                    </w14:srgbClr>
                  </w14:solidFill>
                </w14:textFill>
              </w:rPr>
              <w:t xml:space="preserve">　</w:t>
            </w:r>
            <w:r w:rsidRPr="00AD58F5">
              <w:rPr>
                <w:color w:val="000000"/>
                <w:w w:val="15"/>
                <w:shd w:val="solid" w:color="000000" w:fill="000000"/>
                <w:fitText w:val="10" w:id="-1435764724"/>
                <w14:textFill>
                  <w14:solidFill>
                    <w14:srgbClr w14:val="000000">
                      <w14:alpha w14:val="100000"/>
                    </w14:srgbClr>
                  </w14:solidFill>
                </w14:textFill>
              </w:rPr>
              <w:t>|</w:t>
            </w:r>
            <w:r w:rsidRPr="00AD58F5">
              <w:rPr>
                <w:rFonts w:hint="eastAsia"/>
                <w:color w:val="000000"/>
                <w:spacing w:val="-56"/>
                <w:w w:val="15"/>
                <w:shd w:val="solid" w:color="000000" w:fill="000000"/>
                <w:fitText w:val="10" w:id="-1435764724"/>
                <w14:textFill>
                  <w14:solidFill>
                    <w14:srgbClr w14:val="000000">
                      <w14:alpha w14:val="100000"/>
                    </w14:srgbClr>
                  </w14:solidFill>
                </w14:textFill>
              </w:rPr>
              <w:t xml:space="preserve">　</w:t>
            </w:r>
            <w:r w:rsidR="00D44F37">
              <w:rPr>
                <w:vertAlign w:val="superscript"/>
              </w:rPr>
              <w:t>1</w:t>
            </w:r>
          </w:p>
        </w:tc>
        <w:tc>
          <w:tcPr>
            <w:tcW w:w="647" w:type="pct"/>
            <w:tcBorders>
              <w:top w:val="nil"/>
            </w:tcBorders>
            <w:shd w:val="clear" w:color="auto" w:fill="auto"/>
          </w:tcPr>
          <w:p w14:paraId="2CA49504" w14:textId="20F2D426" w:rsidR="00C37C68" w:rsidRDefault="00C37C68" w:rsidP="00D312D9">
            <w:pPr>
              <w:pStyle w:val="TableText0"/>
              <w:jc w:val="center"/>
            </w:pPr>
            <w:r w:rsidRPr="0058641B">
              <w:t>-$</w:t>
            </w:r>
            <w:r w:rsidR="00A8021D" w:rsidRPr="00A8021D">
              <w:rPr>
                <w:rFonts w:hint="eastAsia"/>
                <w:color w:val="000000"/>
                <w:w w:val="22"/>
                <w:shd w:val="solid" w:color="000000" w:fill="000000"/>
                <w:fitText w:val="100" w:id="-1435764723"/>
                <w14:textFill>
                  <w14:solidFill>
                    <w14:srgbClr w14:val="000000">
                      <w14:alpha w14:val="100000"/>
                    </w14:srgbClr>
                  </w14:solidFill>
                </w14:textFill>
              </w:rPr>
              <w:t xml:space="preserve">　</w:t>
            </w:r>
            <w:r w:rsidR="00A8021D" w:rsidRPr="00A8021D">
              <w:rPr>
                <w:color w:val="000000"/>
                <w:w w:val="22"/>
                <w:shd w:val="solid" w:color="000000" w:fill="000000"/>
                <w:fitText w:val="100" w:id="-1435764723"/>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723"/>
                <w14:textFill>
                  <w14:solidFill>
                    <w14:srgbClr w14:val="000000">
                      <w14:alpha w14:val="100000"/>
                    </w14:srgbClr>
                  </w14:solidFill>
                </w14:textFill>
              </w:rPr>
              <w:t xml:space="preserve">　</w:t>
            </w:r>
            <w:r w:rsidR="00D44F37">
              <w:rPr>
                <w:vertAlign w:val="superscript"/>
              </w:rPr>
              <w:t>3</w:t>
            </w:r>
          </w:p>
          <w:p w14:paraId="28AE4E44" w14:textId="77777777" w:rsidR="0081540D" w:rsidRDefault="0081540D" w:rsidP="00D312D9">
            <w:pPr>
              <w:pStyle w:val="TableText0"/>
              <w:jc w:val="center"/>
            </w:pPr>
          </w:p>
          <w:p w14:paraId="5A520C39" w14:textId="2CB12FB0" w:rsidR="0081540D" w:rsidRPr="0058641B" w:rsidRDefault="00A8021D" w:rsidP="00D312D9">
            <w:pPr>
              <w:pStyle w:val="TableText0"/>
              <w:jc w:val="center"/>
            </w:pPr>
            <w:r w:rsidRPr="00AD58F5">
              <w:rPr>
                <w:rFonts w:hint="eastAsia"/>
                <w:color w:val="000000"/>
                <w:w w:val="15"/>
                <w:shd w:val="solid" w:color="000000" w:fill="000000"/>
                <w:fitText w:val="10" w:id="-1435764722"/>
                <w14:textFill>
                  <w14:solidFill>
                    <w14:srgbClr w14:val="000000">
                      <w14:alpha w14:val="100000"/>
                    </w14:srgbClr>
                  </w14:solidFill>
                </w14:textFill>
              </w:rPr>
              <w:t xml:space="preserve">　</w:t>
            </w:r>
            <w:r w:rsidRPr="00AD58F5">
              <w:rPr>
                <w:color w:val="000000"/>
                <w:w w:val="15"/>
                <w:shd w:val="solid" w:color="000000" w:fill="000000"/>
                <w:fitText w:val="10" w:id="-1435764722"/>
                <w14:textFill>
                  <w14:solidFill>
                    <w14:srgbClr w14:val="000000">
                      <w14:alpha w14:val="100000"/>
                    </w14:srgbClr>
                  </w14:solidFill>
                </w14:textFill>
              </w:rPr>
              <w:t>|</w:t>
            </w:r>
            <w:r w:rsidRPr="00AD58F5">
              <w:rPr>
                <w:rFonts w:hint="eastAsia"/>
                <w:color w:val="000000"/>
                <w:spacing w:val="-56"/>
                <w:w w:val="15"/>
                <w:shd w:val="solid" w:color="000000" w:fill="000000"/>
                <w:fitText w:val="10" w:id="-1435764722"/>
                <w14:textFill>
                  <w14:solidFill>
                    <w14:srgbClr w14:val="000000">
                      <w14:alpha w14:val="100000"/>
                    </w14:srgbClr>
                  </w14:solidFill>
                </w14:textFill>
              </w:rPr>
              <w:t xml:space="preserve">　</w:t>
            </w:r>
            <w:r w:rsidR="00D44F37">
              <w:rPr>
                <w:vertAlign w:val="superscript"/>
              </w:rPr>
              <w:t>1</w:t>
            </w:r>
          </w:p>
        </w:tc>
        <w:tc>
          <w:tcPr>
            <w:tcW w:w="647" w:type="pct"/>
            <w:tcBorders>
              <w:top w:val="nil"/>
            </w:tcBorders>
            <w:shd w:val="clear" w:color="auto" w:fill="auto"/>
          </w:tcPr>
          <w:p w14:paraId="5DF8BB12" w14:textId="640B5F82" w:rsidR="00C37C68" w:rsidRDefault="00C37C68" w:rsidP="00D312D9">
            <w:pPr>
              <w:pStyle w:val="TableText0"/>
              <w:jc w:val="center"/>
            </w:pPr>
            <w:r w:rsidRPr="0058641B">
              <w:t>-$</w:t>
            </w:r>
            <w:r w:rsidR="00A8021D" w:rsidRPr="00A8021D">
              <w:rPr>
                <w:rFonts w:hint="eastAsia"/>
                <w:color w:val="000000"/>
                <w:w w:val="22"/>
                <w:shd w:val="solid" w:color="000000" w:fill="000000"/>
                <w:fitText w:val="100" w:id="-1435764721"/>
                <w14:textFill>
                  <w14:solidFill>
                    <w14:srgbClr w14:val="000000">
                      <w14:alpha w14:val="100000"/>
                    </w14:srgbClr>
                  </w14:solidFill>
                </w14:textFill>
              </w:rPr>
              <w:t xml:space="preserve">　</w:t>
            </w:r>
            <w:r w:rsidR="00A8021D" w:rsidRPr="00A8021D">
              <w:rPr>
                <w:color w:val="000000"/>
                <w:w w:val="22"/>
                <w:shd w:val="solid" w:color="000000" w:fill="000000"/>
                <w:fitText w:val="100" w:id="-1435764721"/>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721"/>
                <w14:textFill>
                  <w14:solidFill>
                    <w14:srgbClr w14:val="000000">
                      <w14:alpha w14:val="100000"/>
                    </w14:srgbClr>
                  </w14:solidFill>
                </w14:textFill>
              </w:rPr>
              <w:t xml:space="preserve">　</w:t>
            </w:r>
            <w:r w:rsidR="00D44F37">
              <w:rPr>
                <w:vertAlign w:val="superscript"/>
              </w:rPr>
              <w:t>3</w:t>
            </w:r>
          </w:p>
          <w:p w14:paraId="2D8CCDCB" w14:textId="77777777" w:rsidR="0081540D" w:rsidRDefault="0081540D" w:rsidP="00D312D9">
            <w:pPr>
              <w:pStyle w:val="TableText0"/>
              <w:jc w:val="center"/>
            </w:pPr>
          </w:p>
          <w:p w14:paraId="18ABC9C4" w14:textId="78772A7E" w:rsidR="0081540D" w:rsidRPr="0058641B" w:rsidRDefault="00A8021D" w:rsidP="00D312D9">
            <w:pPr>
              <w:pStyle w:val="TableText0"/>
              <w:jc w:val="center"/>
            </w:pPr>
            <w:r w:rsidRPr="00AD58F5">
              <w:rPr>
                <w:rFonts w:hint="eastAsia"/>
                <w:color w:val="000000"/>
                <w:w w:val="15"/>
                <w:shd w:val="solid" w:color="000000" w:fill="000000"/>
                <w:fitText w:val="10" w:id="-1435764720"/>
                <w14:textFill>
                  <w14:solidFill>
                    <w14:srgbClr w14:val="000000">
                      <w14:alpha w14:val="100000"/>
                    </w14:srgbClr>
                  </w14:solidFill>
                </w14:textFill>
              </w:rPr>
              <w:t xml:space="preserve">　</w:t>
            </w:r>
            <w:r w:rsidRPr="00AD58F5">
              <w:rPr>
                <w:color w:val="000000"/>
                <w:w w:val="15"/>
                <w:shd w:val="solid" w:color="000000" w:fill="000000"/>
                <w:fitText w:val="10" w:id="-1435764720"/>
                <w14:textFill>
                  <w14:solidFill>
                    <w14:srgbClr w14:val="000000">
                      <w14:alpha w14:val="100000"/>
                    </w14:srgbClr>
                  </w14:solidFill>
                </w14:textFill>
              </w:rPr>
              <w:t>|</w:t>
            </w:r>
            <w:r w:rsidRPr="00AD58F5">
              <w:rPr>
                <w:rFonts w:hint="eastAsia"/>
                <w:color w:val="000000"/>
                <w:spacing w:val="-56"/>
                <w:w w:val="15"/>
                <w:shd w:val="solid" w:color="000000" w:fill="000000"/>
                <w:fitText w:val="10" w:id="-1435764720"/>
                <w14:textFill>
                  <w14:solidFill>
                    <w14:srgbClr w14:val="000000">
                      <w14:alpha w14:val="100000"/>
                    </w14:srgbClr>
                  </w14:solidFill>
                </w14:textFill>
              </w:rPr>
              <w:t xml:space="preserve">　</w:t>
            </w:r>
            <w:r w:rsidR="00D44F37">
              <w:rPr>
                <w:vertAlign w:val="superscript"/>
              </w:rPr>
              <w:t>1</w:t>
            </w:r>
          </w:p>
        </w:tc>
        <w:tc>
          <w:tcPr>
            <w:tcW w:w="647" w:type="pct"/>
            <w:tcBorders>
              <w:top w:val="nil"/>
            </w:tcBorders>
            <w:shd w:val="clear" w:color="auto" w:fill="auto"/>
          </w:tcPr>
          <w:p w14:paraId="71C75C0F" w14:textId="7C1E3D9D" w:rsidR="00C37C68" w:rsidRDefault="00C37C68" w:rsidP="00D312D9">
            <w:pPr>
              <w:pStyle w:val="TableText0"/>
              <w:jc w:val="center"/>
            </w:pPr>
            <w:r w:rsidRPr="0058641B">
              <w:t>-$</w:t>
            </w:r>
            <w:r w:rsidR="00A8021D" w:rsidRPr="00A8021D">
              <w:rPr>
                <w:rFonts w:hint="eastAsia"/>
                <w:color w:val="000000"/>
                <w:w w:val="22"/>
                <w:shd w:val="solid" w:color="000000" w:fill="000000"/>
                <w:fitText w:val="100" w:id="-1435764736"/>
                <w14:textFill>
                  <w14:solidFill>
                    <w14:srgbClr w14:val="000000">
                      <w14:alpha w14:val="100000"/>
                    </w14:srgbClr>
                  </w14:solidFill>
                </w14:textFill>
              </w:rPr>
              <w:t xml:space="preserve">　</w:t>
            </w:r>
            <w:r w:rsidR="00A8021D" w:rsidRPr="00A8021D">
              <w:rPr>
                <w:color w:val="000000"/>
                <w:w w:val="22"/>
                <w:shd w:val="solid" w:color="000000" w:fill="000000"/>
                <w:fitText w:val="100" w:id="-1435764736"/>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736"/>
                <w14:textFill>
                  <w14:solidFill>
                    <w14:srgbClr w14:val="000000">
                      <w14:alpha w14:val="100000"/>
                    </w14:srgbClr>
                  </w14:solidFill>
                </w14:textFill>
              </w:rPr>
              <w:t xml:space="preserve">　</w:t>
            </w:r>
            <w:r w:rsidR="00D44F37">
              <w:rPr>
                <w:vertAlign w:val="superscript"/>
              </w:rPr>
              <w:t>3</w:t>
            </w:r>
          </w:p>
          <w:p w14:paraId="59CDCAD0" w14:textId="77777777" w:rsidR="0081540D" w:rsidRDefault="0081540D" w:rsidP="00D312D9">
            <w:pPr>
              <w:pStyle w:val="TableText0"/>
              <w:jc w:val="center"/>
            </w:pPr>
          </w:p>
          <w:p w14:paraId="11681CA1" w14:textId="5A876167" w:rsidR="0081540D" w:rsidRPr="0058641B" w:rsidRDefault="00A8021D" w:rsidP="00D44F37">
            <w:pPr>
              <w:pStyle w:val="TableText0"/>
              <w:jc w:val="center"/>
            </w:pPr>
            <w:r w:rsidRPr="00AD58F5">
              <w:rPr>
                <w:rFonts w:hint="eastAsia"/>
                <w:color w:val="000000"/>
                <w:w w:val="15"/>
                <w:shd w:val="solid" w:color="000000" w:fill="000000"/>
                <w:fitText w:val="10" w:id="-1435764735"/>
                <w14:textFill>
                  <w14:solidFill>
                    <w14:srgbClr w14:val="000000">
                      <w14:alpha w14:val="100000"/>
                    </w14:srgbClr>
                  </w14:solidFill>
                </w14:textFill>
              </w:rPr>
              <w:t xml:space="preserve">　</w:t>
            </w:r>
            <w:r w:rsidRPr="00AD58F5">
              <w:rPr>
                <w:color w:val="000000"/>
                <w:w w:val="15"/>
                <w:shd w:val="solid" w:color="000000" w:fill="000000"/>
                <w:fitText w:val="10" w:id="-1435764735"/>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5"/>
                <w14:textFill>
                  <w14:solidFill>
                    <w14:srgbClr w14:val="000000">
                      <w14:alpha w14:val="100000"/>
                    </w14:srgbClr>
                  </w14:solidFill>
                </w14:textFill>
              </w:rPr>
              <w:t xml:space="preserve">　</w:t>
            </w:r>
            <w:r w:rsidR="00D44F37">
              <w:rPr>
                <w:vertAlign w:val="superscript"/>
              </w:rPr>
              <w:t>1</w:t>
            </w:r>
          </w:p>
        </w:tc>
        <w:tc>
          <w:tcPr>
            <w:tcW w:w="647" w:type="pct"/>
            <w:tcBorders>
              <w:top w:val="nil"/>
            </w:tcBorders>
            <w:shd w:val="clear" w:color="auto" w:fill="auto"/>
          </w:tcPr>
          <w:p w14:paraId="4DCE1D4E" w14:textId="6CEF36D4" w:rsidR="00C37C68" w:rsidRDefault="00C37C68" w:rsidP="00D312D9">
            <w:pPr>
              <w:pStyle w:val="TableText0"/>
              <w:jc w:val="center"/>
            </w:pPr>
            <w:r w:rsidRPr="0058641B">
              <w:t>-$</w:t>
            </w:r>
            <w:r w:rsidR="00A8021D" w:rsidRPr="00A8021D">
              <w:rPr>
                <w:rFonts w:hint="eastAsia"/>
                <w:color w:val="000000"/>
                <w:w w:val="22"/>
                <w:shd w:val="solid" w:color="000000" w:fill="000000"/>
                <w:fitText w:val="100" w:id="-1435764734"/>
                <w14:textFill>
                  <w14:solidFill>
                    <w14:srgbClr w14:val="000000">
                      <w14:alpha w14:val="100000"/>
                    </w14:srgbClr>
                  </w14:solidFill>
                </w14:textFill>
              </w:rPr>
              <w:t xml:space="preserve">　</w:t>
            </w:r>
            <w:r w:rsidR="00A8021D" w:rsidRPr="00A8021D">
              <w:rPr>
                <w:color w:val="000000"/>
                <w:w w:val="22"/>
                <w:shd w:val="solid" w:color="000000" w:fill="000000"/>
                <w:fitText w:val="100" w:id="-1435764734"/>
                <w14:textFill>
                  <w14:solidFill>
                    <w14:srgbClr w14:val="000000">
                      <w14:alpha w14:val="100000"/>
                    </w14:srgbClr>
                  </w14:solidFill>
                </w14:textFill>
              </w:rPr>
              <w:t>|</w:t>
            </w:r>
            <w:r w:rsidR="00A8021D" w:rsidRPr="00A8021D">
              <w:rPr>
                <w:rFonts w:hint="eastAsia"/>
                <w:color w:val="000000"/>
                <w:spacing w:val="3"/>
                <w:w w:val="22"/>
                <w:shd w:val="solid" w:color="000000" w:fill="000000"/>
                <w:fitText w:val="100" w:id="-1435764734"/>
                <w14:textFill>
                  <w14:solidFill>
                    <w14:srgbClr w14:val="000000">
                      <w14:alpha w14:val="100000"/>
                    </w14:srgbClr>
                  </w14:solidFill>
                </w14:textFill>
              </w:rPr>
              <w:t xml:space="preserve">　</w:t>
            </w:r>
            <w:r w:rsidR="00D44F37">
              <w:rPr>
                <w:vertAlign w:val="superscript"/>
              </w:rPr>
              <w:t>3</w:t>
            </w:r>
          </w:p>
          <w:p w14:paraId="7EF93D06" w14:textId="77777777" w:rsidR="006E5F43" w:rsidRDefault="006E5F43" w:rsidP="00D312D9">
            <w:pPr>
              <w:pStyle w:val="TableText0"/>
              <w:jc w:val="center"/>
            </w:pPr>
          </w:p>
          <w:p w14:paraId="621EF758" w14:textId="70E6BC11" w:rsidR="006E5F43" w:rsidRPr="0058641B" w:rsidRDefault="00A8021D" w:rsidP="00D312D9">
            <w:pPr>
              <w:pStyle w:val="TableText0"/>
              <w:jc w:val="center"/>
            </w:pPr>
            <w:r w:rsidRPr="00AD58F5">
              <w:rPr>
                <w:rFonts w:hint="eastAsia"/>
                <w:color w:val="000000"/>
                <w:w w:val="15"/>
                <w:shd w:val="solid" w:color="000000" w:fill="000000"/>
                <w:fitText w:val="10" w:id="-1435764733"/>
                <w14:textFill>
                  <w14:solidFill>
                    <w14:srgbClr w14:val="000000">
                      <w14:alpha w14:val="100000"/>
                    </w14:srgbClr>
                  </w14:solidFill>
                </w14:textFill>
              </w:rPr>
              <w:t xml:space="preserve">　</w:t>
            </w:r>
            <w:r w:rsidRPr="00AD58F5">
              <w:rPr>
                <w:color w:val="000000"/>
                <w:w w:val="15"/>
                <w:shd w:val="solid" w:color="000000" w:fill="000000"/>
                <w:fitText w:val="10" w:id="-1435764733"/>
                <w14:textFill>
                  <w14:solidFill>
                    <w14:srgbClr w14:val="000000">
                      <w14:alpha w14:val="100000"/>
                    </w14:srgbClr>
                  </w14:solidFill>
                </w14:textFill>
              </w:rPr>
              <w:t>|</w:t>
            </w:r>
            <w:r w:rsidRPr="00AD58F5">
              <w:rPr>
                <w:rFonts w:hint="eastAsia"/>
                <w:color w:val="000000"/>
                <w:spacing w:val="-56"/>
                <w:w w:val="15"/>
                <w:shd w:val="solid" w:color="000000" w:fill="000000"/>
                <w:fitText w:val="10" w:id="-1435764733"/>
                <w14:textFill>
                  <w14:solidFill>
                    <w14:srgbClr w14:val="000000">
                      <w14:alpha w14:val="100000"/>
                    </w14:srgbClr>
                  </w14:solidFill>
                </w14:textFill>
              </w:rPr>
              <w:t xml:space="preserve">　</w:t>
            </w:r>
            <w:r w:rsidR="00D44F37">
              <w:rPr>
                <w:vertAlign w:val="superscript"/>
              </w:rPr>
              <w:t>1</w:t>
            </w:r>
          </w:p>
        </w:tc>
        <w:tc>
          <w:tcPr>
            <w:tcW w:w="649" w:type="pct"/>
            <w:tcBorders>
              <w:top w:val="nil"/>
            </w:tcBorders>
          </w:tcPr>
          <w:p w14:paraId="3BB103F4" w14:textId="08D1EE2D" w:rsidR="00C37C68" w:rsidRDefault="00C37C68" w:rsidP="00D312D9">
            <w:pPr>
              <w:pStyle w:val="TableText0"/>
              <w:jc w:val="center"/>
            </w:pPr>
            <w:r w:rsidRPr="0058641B">
              <w:t>-$</w:t>
            </w:r>
            <w:r w:rsidR="00A8021D" w:rsidRPr="00A8021D">
              <w:rPr>
                <w:rFonts w:hint="eastAsia"/>
                <w:color w:val="000000"/>
                <w:w w:val="20"/>
                <w:shd w:val="solid" w:color="000000" w:fill="000000"/>
                <w:fitText w:val="90" w:id="-1435764732"/>
                <w14:textFill>
                  <w14:solidFill>
                    <w14:srgbClr w14:val="000000">
                      <w14:alpha w14:val="100000"/>
                    </w14:srgbClr>
                  </w14:solidFill>
                </w14:textFill>
              </w:rPr>
              <w:t xml:space="preserve">　</w:t>
            </w:r>
            <w:r w:rsidR="00A8021D" w:rsidRPr="00A8021D">
              <w:rPr>
                <w:color w:val="000000"/>
                <w:w w:val="20"/>
                <w:shd w:val="solid" w:color="000000" w:fill="000000"/>
                <w:fitText w:val="90" w:id="-1435764732"/>
                <w14:textFill>
                  <w14:solidFill>
                    <w14:srgbClr w14:val="000000">
                      <w14:alpha w14:val="100000"/>
                    </w14:srgbClr>
                  </w14:solidFill>
                </w14:textFill>
              </w:rPr>
              <w:t>|</w:t>
            </w:r>
            <w:r w:rsidR="00A8021D" w:rsidRPr="00A8021D">
              <w:rPr>
                <w:rFonts w:hint="eastAsia"/>
                <w:color w:val="000000"/>
                <w:spacing w:val="3"/>
                <w:w w:val="20"/>
                <w:shd w:val="solid" w:color="000000" w:fill="000000"/>
                <w:fitText w:val="90" w:id="-1435764732"/>
                <w14:textFill>
                  <w14:solidFill>
                    <w14:srgbClr w14:val="000000">
                      <w14:alpha w14:val="100000"/>
                    </w14:srgbClr>
                  </w14:solidFill>
                </w14:textFill>
              </w:rPr>
              <w:t xml:space="preserve">　</w:t>
            </w:r>
            <w:r w:rsidR="00D44F37">
              <w:rPr>
                <w:vertAlign w:val="superscript"/>
              </w:rPr>
              <w:t>3</w:t>
            </w:r>
          </w:p>
          <w:p w14:paraId="1B8862CA" w14:textId="77777777" w:rsidR="006E5F43" w:rsidRDefault="006E5F43" w:rsidP="00D312D9">
            <w:pPr>
              <w:pStyle w:val="TableText0"/>
              <w:jc w:val="center"/>
            </w:pPr>
          </w:p>
          <w:p w14:paraId="5903E746" w14:textId="2A2EDFD3" w:rsidR="006E5F43" w:rsidRPr="0058641B" w:rsidRDefault="00A8021D" w:rsidP="00D312D9">
            <w:pPr>
              <w:pStyle w:val="TableText0"/>
              <w:jc w:val="center"/>
            </w:pPr>
            <w:r w:rsidRPr="00AD58F5">
              <w:rPr>
                <w:rFonts w:hint="eastAsia"/>
                <w:color w:val="000000"/>
                <w:w w:val="15"/>
                <w:shd w:val="solid" w:color="000000" w:fill="000000"/>
                <w:fitText w:val="20" w:id="-1435764731"/>
                <w14:textFill>
                  <w14:solidFill>
                    <w14:srgbClr w14:val="000000">
                      <w14:alpha w14:val="100000"/>
                    </w14:srgbClr>
                  </w14:solidFill>
                </w14:textFill>
              </w:rPr>
              <w:t xml:space="preserve">　</w:t>
            </w:r>
            <w:r w:rsidRPr="00AD58F5">
              <w:rPr>
                <w:color w:val="000000"/>
                <w:w w:val="15"/>
                <w:shd w:val="solid" w:color="000000" w:fill="000000"/>
                <w:fitText w:val="20" w:id="-1435764731"/>
                <w14:textFill>
                  <w14:solidFill>
                    <w14:srgbClr w14:val="000000">
                      <w14:alpha w14:val="100000"/>
                    </w14:srgbClr>
                  </w14:solidFill>
                </w14:textFill>
              </w:rPr>
              <w:t>|</w:t>
            </w:r>
            <w:r w:rsidRPr="00AD58F5">
              <w:rPr>
                <w:rFonts w:hint="eastAsia"/>
                <w:color w:val="000000"/>
                <w:spacing w:val="-46"/>
                <w:w w:val="15"/>
                <w:shd w:val="solid" w:color="000000" w:fill="000000"/>
                <w:fitText w:val="20" w:id="-1435764731"/>
                <w14:textFill>
                  <w14:solidFill>
                    <w14:srgbClr w14:val="000000">
                      <w14:alpha w14:val="100000"/>
                    </w14:srgbClr>
                  </w14:solidFill>
                </w14:textFill>
              </w:rPr>
              <w:t xml:space="preserve">　</w:t>
            </w:r>
            <w:r w:rsidR="00D44F37">
              <w:rPr>
                <w:vertAlign w:val="superscript"/>
              </w:rPr>
              <w:t>1</w:t>
            </w:r>
          </w:p>
        </w:tc>
      </w:tr>
      <w:tr w:rsidR="00C37C68" w:rsidRPr="0058641B" w14:paraId="5CBEE8EA" w14:textId="77777777" w:rsidTr="00D312D9">
        <w:trPr>
          <w:trHeight w:val="201"/>
        </w:trPr>
        <w:tc>
          <w:tcPr>
            <w:tcW w:w="5000" w:type="pct"/>
            <w:gridSpan w:val="7"/>
            <w:tcBorders>
              <w:bottom w:val="single" w:sz="4" w:space="0" w:color="auto"/>
            </w:tcBorders>
            <w:shd w:val="clear" w:color="auto" w:fill="auto"/>
            <w:vAlign w:val="center"/>
          </w:tcPr>
          <w:p w14:paraId="0A0E2C1C" w14:textId="77777777" w:rsidR="00C37C68" w:rsidRPr="0058641B" w:rsidRDefault="00C37C68" w:rsidP="00D312D9">
            <w:pPr>
              <w:pStyle w:val="In-tableHeading"/>
              <w:rPr>
                <w:lang w:val="en-AU"/>
              </w:rPr>
            </w:pPr>
            <w:r w:rsidRPr="0058641B">
              <w:rPr>
                <w:lang w:val="en-AU"/>
              </w:rPr>
              <w:t>Net financial implications</w:t>
            </w:r>
          </w:p>
        </w:tc>
      </w:tr>
      <w:tr w:rsidR="00C37C68" w:rsidRPr="0058641B" w14:paraId="104F6C36" w14:textId="77777777" w:rsidTr="00D312D9">
        <w:tc>
          <w:tcPr>
            <w:tcW w:w="1116" w:type="pct"/>
            <w:tcBorders>
              <w:top w:val="nil"/>
              <w:bottom w:val="single" w:sz="4" w:space="0" w:color="auto"/>
            </w:tcBorders>
            <w:shd w:val="clear" w:color="auto" w:fill="auto"/>
            <w:vAlign w:val="center"/>
          </w:tcPr>
          <w:p w14:paraId="109DCFC1" w14:textId="6EF7B1D1" w:rsidR="00C37C68" w:rsidRPr="0058641B" w:rsidRDefault="003C4205" w:rsidP="00D312D9">
            <w:pPr>
              <w:pStyle w:val="TableText0"/>
              <w:rPr>
                <w:sz w:val="19"/>
                <w:szCs w:val="19"/>
              </w:rPr>
            </w:pPr>
            <w:r w:rsidRPr="0058641B">
              <w:rPr>
                <w:sz w:val="19"/>
                <w:szCs w:val="19"/>
              </w:rPr>
              <w:t>Net cost to PBS/</w:t>
            </w:r>
            <w:proofErr w:type="spellStart"/>
            <w:r w:rsidRPr="0058641B">
              <w:rPr>
                <w:sz w:val="19"/>
                <w:szCs w:val="19"/>
              </w:rPr>
              <w:t>RPBS</w:t>
            </w:r>
            <w:r w:rsidR="00C37C68" w:rsidRPr="0058641B">
              <w:rPr>
                <w:sz w:val="19"/>
                <w:szCs w:val="19"/>
                <w:vertAlign w:val="superscript"/>
              </w:rPr>
              <w:t>d</w:t>
            </w:r>
            <w:proofErr w:type="spellEnd"/>
          </w:p>
        </w:tc>
        <w:tc>
          <w:tcPr>
            <w:tcW w:w="647" w:type="pct"/>
            <w:tcBorders>
              <w:top w:val="nil"/>
              <w:bottom w:val="single" w:sz="4" w:space="0" w:color="auto"/>
            </w:tcBorders>
            <w:shd w:val="clear" w:color="auto" w:fill="auto"/>
          </w:tcPr>
          <w:p w14:paraId="1137E3AD" w14:textId="05AFFB34"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30"/>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30"/>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30"/>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28261F0B" w14:textId="23B97294"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29"/>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29"/>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29"/>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5981AF81" w14:textId="32D1B245"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28"/>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28"/>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28"/>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5F36BEC7" w14:textId="38B65897"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27"/>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27"/>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27"/>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5241CD1B" w14:textId="090B75DA"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26"/>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26"/>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26"/>
                <w14:textFill>
                  <w14:solidFill>
                    <w14:srgbClr w14:val="000000">
                      <w14:alpha w14:val="100000"/>
                    </w14:srgbClr>
                  </w14:solidFill>
                </w14:textFill>
              </w:rPr>
              <w:t xml:space="preserve">　</w:t>
            </w:r>
            <w:r w:rsidR="00D44F37">
              <w:rPr>
                <w:vertAlign w:val="superscript"/>
              </w:rPr>
              <w:t>3</w:t>
            </w:r>
          </w:p>
        </w:tc>
        <w:tc>
          <w:tcPr>
            <w:tcW w:w="649" w:type="pct"/>
            <w:tcBorders>
              <w:top w:val="nil"/>
              <w:bottom w:val="single" w:sz="4" w:space="0" w:color="auto"/>
            </w:tcBorders>
          </w:tcPr>
          <w:p w14:paraId="41666577" w14:textId="0792CC5C" w:rsidR="00C37C68" w:rsidRPr="0058641B" w:rsidRDefault="00C37C68" w:rsidP="00D312D9">
            <w:pPr>
              <w:pStyle w:val="TableText0"/>
              <w:jc w:val="center"/>
            </w:pPr>
            <w:r w:rsidRPr="0058641B">
              <w:rPr>
                <w:szCs w:val="20"/>
              </w:rPr>
              <w:t>$</w:t>
            </w:r>
            <w:r w:rsidR="00A8021D" w:rsidRPr="00A8021D">
              <w:rPr>
                <w:rFonts w:hint="eastAsia"/>
                <w:color w:val="000000"/>
                <w:w w:val="15"/>
                <w:szCs w:val="20"/>
                <w:shd w:val="solid" w:color="000000" w:fill="000000"/>
                <w:fitText w:val="70" w:id="-1435764725"/>
                <w14:textFill>
                  <w14:solidFill>
                    <w14:srgbClr w14:val="000000">
                      <w14:alpha w14:val="100000"/>
                    </w14:srgbClr>
                  </w14:solidFill>
                </w14:textFill>
              </w:rPr>
              <w:t xml:space="preserve">　</w:t>
            </w:r>
            <w:r w:rsidR="00A8021D" w:rsidRPr="00A8021D">
              <w:rPr>
                <w:color w:val="000000"/>
                <w:w w:val="15"/>
                <w:szCs w:val="20"/>
                <w:shd w:val="solid" w:color="000000" w:fill="000000"/>
                <w:fitText w:val="70" w:id="-1435764725"/>
                <w14:textFill>
                  <w14:solidFill>
                    <w14:srgbClr w14:val="000000">
                      <w14:alpha w14:val="100000"/>
                    </w14:srgbClr>
                  </w14:solidFill>
                </w14:textFill>
              </w:rPr>
              <w:t>|</w:t>
            </w:r>
            <w:r w:rsidR="00A8021D" w:rsidRPr="00A8021D">
              <w:rPr>
                <w:rFonts w:hint="eastAsia"/>
                <w:color w:val="000000"/>
                <w:spacing w:val="4"/>
                <w:w w:val="15"/>
                <w:szCs w:val="20"/>
                <w:shd w:val="solid" w:color="000000" w:fill="000000"/>
                <w:fitText w:val="70" w:id="-1435764725"/>
                <w14:textFill>
                  <w14:solidFill>
                    <w14:srgbClr w14:val="000000">
                      <w14:alpha w14:val="100000"/>
                    </w14:srgbClr>
                  </w14:solidFill>
                </w14:textFill>
              </w:rPr>
              <w:t xml:space="preserve">　</w:t>
            </w:r>
            <w:r w:rsidR="00D44F37">
              <w:rPr>
                <w:vertAlign w:val="superscript"/>
              </w:rPr>
              <w:t>3</w:t>
            </w:r>
          </w:p>
        </w:tc>
      </w:tr>
      <w:tr w:rsidR="00C37C68" w:rsidRPr="0058641B" w14:paraId="25EB95BA" w14:textId="77777777" w:rsidTr="00D312D9">
        <w:tc>
          <w:tcPr>
            <w:tcW w:w="1116" w:type="pct"/>
            <w:tcBorders>
              <w:top w:val="nil"/>
              <w:bottom w:val="single" w:sz="4" w:space="0" w:color="auto"/>
            </w:tcBorders>
            <w:shd w:val="clear" w:color="auto" w:fill="auto"/>
            <w:vAlign w:val="center"/>
          </w:tcPr>
          <w:p w14:paraId="158EBC60" w14:textId="7526DCF6" w:rsidR="00C37C68" w:rsidRPr="0058641B" w:rsidRDefault="003C4205" w:rsidP="00D312D9">
            <w:pPr>
              <w:pStyle w:val="TableText0"/>
              <w:rPr>
                <w:sz w:val="19"/>
                <w:szCs w:val="19"/>
              </w:rPr>
            </w:pPr>
            <w:r w:rsidRPr="0058641B">
              <w:rPr>
                <w:sz w:val="19"/>
                <w:szCs w:val="19"/>
              </w:rPr>
              <w:t xml:space="preserve">Net cost to </w:t>
            </w:r>
            <w:proofErr w:type="spellStart"/>
            <w:r w:rsidRPr="0058641B">
              <w:rPr>
                <w:sz w:val="19"/>
                <w:szCs w:val="19"/>
              </w:rPr>
              <w:t>MBS</w:t>
            </w:r>
            <w:r w:rsidR="00C37C68" w:rsidRPr="0058641B">
              <w:rPr>
                <w:sz w:val="19"/>
                <w:szCs w:val="19"/>
                <w:vertAlign w:val="superscript"/>
              </w:rPr>
              <w:t>d</w:t>
            </w:r>
            <w:proofErr w:type="spellEnd"/>
          </w:p>
        </w:tc>
        <w:tc>
          <w:tcPr>
            <w:tcW w:w="647" w:type="pct"/>
            <w:tcBorders>
              <w:top w:val="nil"/>
              <w:bottom w:val="single" w:sz="4" w:space="0" w:color="auto"/>
            </w:tcBorders>
            <w:shd w:val="clear" w:color="auto" w:fill="auto"/>
          </w:tcPr>
          <w:p w14:paraId="1FDD6B6B" w14:textId="7C9B94B8"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4"/>
                <w14:textFill>
                  <w14:solidFill>
                    <w14:srgbClr w14:val="000000">
                      <w14:alpha w14:val="100000"/>
                    </w14:srgbClr>
                  </w14:solidFill>
                </w14:textFill>
              </w:rPr>
              <w:t xml:space="preserve">　</w:t>
            </w:r>
            <w:r w:rsidR="00A8021D" w:rsidRPr="00A8021D">
              <w:rPr>
                <w:color w:val="000000"/>
                <w:w w:val="15"/>
                <w:shd w:val="solid" w:color="000000" w:fill="000000"/>
                <w:fitText w:val="70" w:id="-1435764724"/>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4"/>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0C6EB8B9" w14:textId="0921658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3"/>
                <w14:textFill>
                  <w14:solidFill>
                    <w14:srgbClr w14:val="000000">
                      <w14:alpha w14:val="100000"/>
                    </w14:srgbClr>
                  </w14:solidFill>
                </w14:textFill>
              </w:rPr>
              <w:t xml:space="preserve">　</w:t>
            </w:r>
            <w:r w:rsidR="00A8021D" w:rsidRPr="00A8021D">
              <w:rPr>
                <w:color w:val="000000"/>
                <w:w w:val="15"/>
                <w:shd w:val="solid" w:color="000000" w:fill="000000"/>
                <w:fitText w:val="70" w:id="-1435764723"/>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3"/>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0EB14450" w14:textId="1B6CE347"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2"/>
                <w14:textFill>
                  <w14:solidFill>
                    <w14:srgbClr w14:val="000000">
                      <w14:alpha w14:val="100000"/>
                    </w14:srgbClr>
                  </w14:solidFill>
                </w14:textFill>
              </w:rPr>
              <w:t xml:space="preserve">　</w:t>
            </w:r>
            <w:r w:rsidR="00A8021D" w:rsidRPr="00A8021D">
              <w:rPr>
                <w:color w:val="000000"/>
                <w:w w:val="15"/>
                <w:shd w:val="solid" w:color="000000" w:fill="000000"/>
                <w:fitText w:val="70" w:id="-1435764722"/>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2"/>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41965FE5" w14:textId="50DDC2D6"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1"/>
                <w14:textFill>
                  <w14:solidFill>
                    <w14:srgbClr w14:val="000000">
                      <w14:alpha w14:val="100000"/>
                    </w14:srgbClr>
                  </w14:solidFill>
                </w14:textFill>
              </w:rPr>
              <w:t xml:space="preserve">　</w:t>
            </w:r>
            <w:r w:rsidR="00A8021D" w:rsidRPr="00A8021D">
              <w:rPr>
                <w:color w:val="000000"/>
                <w:w w:val="15"/>
                <w:shd w:val="solid" w:color="000000" w:fill="000000"/>
                <w:fitText w:val="70" w:id="-1435764721"/>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1"/>
                <w14:textFill>
                  <w14:solidFill>
                    <w14:srgbClr w14:val="000000">
                      <w14:alpha w14:val="100000"/>
                    </w14:srgbClr>
                  </w14:solidFill>
                </w14:textFill>
              </w:rPr>
              <w:t xml:space="preserve">　</w:t>
            </w:r>
            <w:r w:rsidR="00D44F37">
              <w:rPr>
                <w:vertAlign w:val="superscript"/>
              </w:rPr>
              <w:t>3</w:t>
            </w:r>
          </w:p>
        </w:tc>
        <w:tc>
          <w:tcPr>
            <w:tcW w:w="647" w:type="pct"/>
            <w:tcBorders>
              <w:top w:val="nil"/>
              <w:bottom w:val="single" w:sz="4" w:space="0" w:color="auto"/>
            </w:tcBorders>
            <w:shd w:val="clear" w:color="auto" w:fill="auto"/>
          </w:tcPr>
          <w:p w14:paraId="40E99BD3" w14:textId="2B0943DC"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20"/>
                <w14:textFill>
                  <w14:solidFill>
                    <w14:srgbClr w14:val="000000">
                      <w14:alpha w14:val="100000"/>
                    </w14:srgbClr>
                  </w14:solidFill>
                </w14:textFill>
              </w:rPr>
              <w:t xml:space="preserve">　</w:t>
            </w:r>
            <w:r w:rsidR="00A8021D" w:rsidRPr="00A8021D">
              <w:rPr>
                <w:color w:val="000000"/>
                <w:w w:val="15"/>
                <w:shd w:val="solid" w:color="000000" w:fill="000000"/>
                <w:fitText w:val="70" w:id="-1435764720"/>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20"/>
                <w14:textFill>
                  <w14:solidFill>
                    <w14:srgbClr w14:val="000000">
                      <w14:alpha w14:val="100000"/>
                    </w14:srgbClr>
                  </w14:solidFill>
                </w14:textFill>
              </w:rPr>
              <w:t xml:space="preserve">　</w:t>
            </w:r>
            <w:r w:rsidR="00D44F37">
              <w:rPr>
                <w:vertAlign w:val="superscript"/>
              </w:rPr>
              <w:t>3</w:t>
            </w:r>
          </w:p>
        </w:tc>
        <w:tc>
          <w:tcPr>
            <w:tcW w:w="649" w:type="pct"/>
            <w:tcBorders>
              <w:top w:val="nil"/>
              <w:bottom w:val="single" w:sz="4" w:space="0" w:color="auto"/>
            </w:tcBorders>
          </w:tcPr>
          <w:p w14:paraId="5D0BBA01" w14:textId="37DAC57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6"/>
                <w14:textFill>
                  <w14:solidFill>
                    <w14:srgbClr w14:val="000000">
                      <w14:alpha w14:val="100000"/>
                    </w14:srgbClr>
                  </w14:solidFill>
                </w14:textFill>
              </w:rPr>
              <w:t xml:space="preserve">　</w:t>
            </w:r>
            <w:r w:rsidR="00A8021D" w:rsidRPr="00A8021D">
              <w:rPr>
                <w:color w:val="000000"/>
                <w:w w:val="15"/>
                <w:shd w:val="solid" w:color="000000" w:fill="000000"/>
                <w:fitText w:val="70" w:id="-1435764736"/>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6"/>
                <w14:textFill>
                  <w14:solidFill>
                    <w14:srgbClr w14:val="000000">
                      <w14:alpha w14:val="100000"/>
                    </w14:srgbClr>
                  </w14:solidFill>
                </w14:textFill>
              </w:rPr>
              <w:t xml:space="preserve">　</w:t>
            </w:r>
            <w:r w:rsidR="00D44F37">
              <w:rPr>
                <w:vertAlign w:val="superscript"/>
              </w:rPr>
              <w:t>3</w:t>
            </w:r>
          </w:p>
        </w:tc>
      </w:tr>
      <w:tr w:rsidR="00C37C68" w:rsidRPr="0058641B" w14:paraId="69240321" w14:textId="77777777" w:rsidTr="00D312D9">
        <w:tc>
          <w:tcPr>
            <w:tcW w:w="1116" w:type="pct"/>
            <w:tcBorders>
              <w:top w:val="nil"/>
            </w:tcBorders>
            <w:shd w:val="clear" w:color="auto" w:fill="auto"/>
            <w:vAlign w:val="center"/>
          </w:tcPr>
          <w:p w14:paraId="298A226A" w14:textId="3CA3DB75" w:rsidR="00C37C68" w:rsidRPr="0058641B" w:rsidRDefault="003C4205" w:rsidP="00D312D9">
            <w:pPr>
              <w:pStyle w:val="TableText0"/>
              <w:rPr>
                <w:sz w:val="19"/>
                <w:szCs w:val="19"/>
              </w:rPr>
            </w:pPr>
            <w:r w:rsidRPr="0058641B">
              <w:rPr>
                <w:sz w:val="19"/>
                <w:szCs w:val="19"/>
              </w:rPr>
              <w:t>Net cost to PBS/RPBS/</w:t>
            </w:r>
            <w:proofErr w:type="spellStart"/>
            <w:r w:rsidRPr="0058641B">
              <w:rPr>
                <w:sz w:val="19"/>
                <w:szCs w:val="19"/>
              </w:rPr>
              <w:t>MBS</w:t>
            </w:r>
            <w:r w:rsidR="00C37C68" w:rsidRPr="0058641B">
              <w:rPr>
                <w:sz w:val="19"/>
                <w:szCs w:val="19"/>
                <w:vertAlign w:val="superscript"/>
              </w:rPr>
              <w:t>d</w:t>
            </w:r>
            <w:proofErr w:type="spellEnd"/>
          </w:p>
        </w:tc>
        <w:tc>
          <w:tcPr>
            <w:tcW w:w="647" w:type="pct"/>
            <w:tcBorders>
              <w:top w:val="nil"/>
            </w:tcBorders>
            <w:shd w:val="clear" w:color="auto" w:fill="auto"/>
          </w:tcPr>
          <w:p w14:paraId="3356F574" w14:textId="795B9EC4"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5"/>
                <w14:textFill>
                  <w14:solidFill>
                    <w14:srgbClr w14:val="000000">
                      <w14:alpha w14:val="100000"/>
                    </w14:srgbClr>
                  </w14:solidFill>
                </w14:textFill>
              </w:rPr>
              <w:t xml:space="preserve">　</w:t>
            </w:r>
            <w:r w:rsidR="00A8021D" w:rsidRPr="00A8021D">
              <w:rPr>
                <w:color w:val="000000"/>
                <w:w w:val="15"/>
                <w:shd w:val="solid" w:color="000000" w:fill="000000"/>
                <w:fitText w:val="70" w:id="-1435764735"/>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5"/>
                <w14:textFill>
                  <w14:solidFill>
                    <w14:srgbClr w14:val="000000">
                      <w14:alpha w14:val="100000"/>
                    </w14:srgbClr>
                  </w14:solidFill>
                </w14:textFill>
              </w:rPr>
              <w:t xml:space="preserve">　</w:t>
            </w:r>
            <w:r w:rsidR="00D44F37">
              <w:rPr>
                <w:vertAlign w:val="superscript"/>
              </w:rPr>
              <w:t>3</w:t>
            </w:r>
          </w:p>
        </w:tc>
        <w:tc>
          <w:tcPr>
            <w:tcW w:w="647" w:type="pct"/>
            <w:tcBorders>
              <w:top w:val="nil"/>
            </w:tcBorders>
            <w:shd w:val="clear" w:color="auto" w:fill="auto"/>
          </w:tcPr>
          <w:p w14:paraId="2A133EC8" w14:textId="23BE3352"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4"/>
                <w14:textFill>
                  <w14:solidFill>
                    <w14:srgbClr w14:val="000000">
                      <w14:alpha w14:val="100000"/>
                    </w14:srgbClr>
                  </w14:solidFill>
                </w14:textFill>
              </w:rPr>
              <w:t xml:space="preserve">　</w:t>
            </w:r>
            <w:r w:rsidR="00A8021D" w:rsidRPr="00A8021D">
              <w:rPr>
                <w:color w:val="000000"/>
                <w:w w:val="15"/>
                <w:shd w:val="solid" w:color="000000" w:fill="000000"/>
                <w:fitText w:val="70" w:id="-1435764734"/>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4"/>
                <w14:textFill>
                  <w14:solidFill>
                    <w14:srgbClr w14:val="000000">
                      <w14:alpha w14:val="100000"/>
                    </w14:srgbClr>
                  </w14:solidFill>
                </w14:textFill>
              </w:rPr>
              <w:t xml:space="preserve">　</w:t>
            </w:r>
            <w:r w:rsidR="00D44F37">
              <w:rPr>
                <w:vertAlign w:val="superscript"/>
              </w:rPr>
              <w:t>3</w:t>
            </w:r>
          </w:p>
        </w:tc>
        <w:tc>
          <w:tcPr>
            <w:tcW w:w="647" w:type="pct"/>
            <w:tcBorders>
              <w:top w:val="nil"/>
            </w:tcBorders>
            <w:shd w:val="clear" w:color="auto" w:fill="auto"/>
          </w:tcPr>
          <w:p w14:paraId="3F5C37C1" w14:textId="66682937"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3"/>
                <w14:textFill>
                  <w14:solidFill>
                    <w14:srgbClr w14:val="000000">
                      <w14:alpha w14:val="100000"/>
                    </w14:srgbClr>
                  </w14:solidFill>
                </w14:textFill>
              </w:rPr>
              <w:t xml:space="preserve">　</w:t>
            </w:r>
            <w:r w:rsidR="00A8021D" w:rsidRPr="00A8021D">
              <w:rPr>
                <w:color w:val="000000"/>
                <w:w w:val="15"/>
                <w:shd w:val="solid" w:color="000000" w:fill="000000"/>
                <w:fitText w:val="70" w:id="-1435764733"/>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3"/>
                <w14:textFill>
                  <w14:solidFill>
                    <w14:srgbClr w14:val="000000">
                      <w14:alpha w14:val="100000"/>
                    </w14:srgbClr>
                  </w14:solidFill>
                </w14:textFill>
              </w:rPr>
              <w:t xml:space="preserve">　</w:t>
            </w:r>
            <w:r w:rsidR="00D44F37">
              <w:rPr>
                <w:vertAlign w:val="superscript"/>
              </w:rPr>
              <w:t>3</w:t>
            </w:r>
          </w:p>
        </w:tc>
        <w:tc>
          <w:tcPr>
            <w:tcW w:w="647" w:type="pct"/>
            <w:tcBorders>
              <w:top w:val="nil"/>
            </w:tcBorders>
            <w:shd w:val="clear" w:color="auto" w:fill="auto"/>
          </w:tcPr>
          <w:p w14:paraId="4FD3AA53" w14:textId="36C18E2F"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2"/>
                <w14:textFill>
                  <w14:solidFill>
                    <w14:srgbClr w14:val="000000">
                      <w14:alpha w14:val="100000"/>
                    </w14:srgbClr>
                  </w14:solidFill>
                </w14:textFill>
              </w:rPr>
              <w:t xml:space="preserve">　</w:t>
            </w:r>
            <w:r w:rsidR="00A8021D" w:rsidRPr="00A8021D">
              <w:rPr>
                <w:color w:val="000000"/>
                <w:w w:val="15"/>
                <w:shd w:val="solid" w:color="000000" w:fill="000000"/>
                <w:fitText w:val="70" w:id="-1435764732"/>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2"/>
                <w14:textFill>
                  <w14:solidFill>
                    <w14:srgbClr w14:val="000000">
                      <w14:alpha w14:val="100000"/>
                    </w14:srgbClr>
                  </w14:solidFill>
                </w14:textFill>
              </w:rPr>
              <w:t xml:space="preserve">　</w:t>
            </w:r>
            <w:r w:rsidR="00D44F37">
              <w:rPr>
                <w:vertAlign w:val="superscript"/>
              </w:rPr>
              <w:t>3</w:t>
            </w:r>
          </w:p>
        </w:tc>
        <w:tc>
          <w:tcPr>
            <w:tcW w:w="647" w:type="pct"/>
            <w:tcBorders>
              <w:top w:val="nil"/>
            </w:tcBorders>
            <w:shd w:val="clear" w:color="auto" w:fill="auto"/>
          </w:tcPr>
          <w:p w14:paraId="063A095F" w14:textId="61A6044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1"/>
                <w14:textFill>
                  <w14:solidFill>
                    <w14:srgbClr w14:val="000000">
                      <w14:alpha w14:val="100000"/>
                    </w14:srgbClr>
                  </w14:solidFill>
                </w14:textFill>
              </w:rPr>
              <w:t xml:space="preserve">　</w:t>
            </w:r>
            <w:r w:rsidR="00A8021D" w:rsidRPr="00A8021D">
              <w:rPr>
                <w:color w:val="000000"/>
                <w:w w:val="15"/>
                <w:shd w:val="solid" w:color="000000" w:fill="000000"/>
                <w:fitText w:val="70" w:id="-1435764731"/>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1"/>
                <w14:textFill>
                  <w14:solidFill>
                    <w14:srgbClr w14:val="000000">
                      <w14:alpha w14:val="100000"/>
                    </w14:srgbClr>
                  </w14:solidFill>
                </w14:textFill>
              </w:rPr>
              <w:t xml:space="preserve">　</w:t>
            </w:r>
            <w:r w:rsidR="00D44F37">
              <w:rPr>
                <w:vertAlign w:val="superscript"/>
              </w:rPr>
              <w:t>3</w:t>
            </w:r>
          </w:p>
        </w:tc>
        <w:tc>
          <w:tcPr>
            <w:tcW w:w="649" w:type="pct"/>
            <w:tcBorders>
              <w:top w:val="nil"/>
            </w:tcBorders>
          </w:tcPr>
          <w:p w14:paraId="7B864578" w14:textId="35A78E5A" w:rsidR="00C37C68" w:rsidRPr="0058641B" w:rsidRDefault="00C37C68" w:rsidP="00D312D9">
            <w:pPr>
              <w:pStyle w:val="TableText0"/>
              <w:jc w:val="center"/>
            </w:pPr>
            <w:r w:rsidRPr="0058641B">
              <w:t>$</w:t>
            </w:r>
            <w:r w:rsidR="00A8021D" w:rsidRPr="00A8021D">
              <w:rPr>
                <w:rFonts w:hint="eastAsia"/>
                <w:color w:val="000000"/>
                <w:w w:val="15"/>
                <w:shd w:val="solid" w:color="000000" w:fill="000000"/>
                <w:fitText w:val="70" w:id="-1435764730"/>
                <w14:textFill>
                  <w14:solidFill>
                    <w14:srgbClr w14:val="000000">
                      <w14:alpha w14:val="100000"/>
                    </w14:srgbClr>
                  </w14:solidFill>
                </w14:textFill>
              </w:rPr>
              <w:t xml:space="preserve">　</w:t>
            </w:r>
            <w:r w:rsidR="00A8021D" w:rsidRPr="00A8021D">
              <w:rPr>
                <w:color w:val="000000"/>
                <w:w w:val="15"/>
                <w:shd w:val="solid" w:color="000000" w:fill="000000"/>
                <w:fitText w:val="70" w:id="-1435764730"/>
                <w14:textFill>
                  <w14:solidFill>
                    <w14:srgbClr w14:val="000000">
                      <w14:alpha w14:val="100000"/>
                    </w14:srgbClr>
                  </w14:solidFill>
                </w14:textFill>
              </w:rPr>
              <w:t>|</w:t>
            </w:r>
            <w:r w:rsidR="00A8021D" w:rsidRPr="00A8021D">
              <w:rPr>
                <w:rFonts w:hint="eastAsia"/>
                <w:color w:val="000000"/>
                <w:spacing w:val="4"/>
                <w:w w:val="15"/>
                <w:shd w:val="solid" w:color="000000" w:fill="000000"/>
                <w:fitText w:val="70" w:id="-1435764730"/>
                <w14:textFill>
                  <w14:solidFill>
                    <w14:srgbClr w14:val="000000">
                      <w14:alpha w14:val="100000"/>
                    </w14:srgbClr>
                  </w14:solidFill>
                </w14:textFill>
              </w:rPr>
              <w:t xml:space="preserve">　</w:t>
            </w:r>
            <w:r w:rsidR="00D44F37">
              <w:rPr>
                <w:vertAlign w:val="superscript"/>
              </w:rPr>
              <w:t>3</w:t>
            </w:r>
          </w:p>
        </w:tc>
      </w:tr>
    </w:tbl>
    <w:p w14:paraId="2598F09E" w14:textId="77777777" w:rsidR="00C37C68" w:rsidRPr="0058641B" w:rsidRDefault="00C37C68" w:rsidP="00C37C68">
      <w:pPr>
        <w:pStyle w:val="TableFigureFooter"/>
        <w:rPr>
          <w:rStyle w:val="CommentReference"/>
        </w:rPr>
      </w:pPr>
      <w:r w:rsidRPr="0058641B">
        <w:t>Source: Table 4.28, p130, Table 4.29, p130, Table 4.31, p131, Table 4.34, p133 and Table 4.40, 136 of the submission.</w:t>
      </w:r>
    </w:p>
    <w:p w14:paraId="775398E3" w14:textId="5796B781" w:rsidR="00C37C68" w:rsidRDefault="00C37C68" w:rsidP="00C37C68">
      <w:pPr>
        <w:pStyle w:val="TableFigureFooter"/>
      </w:pPr>
      <w:proofErr w:type="spellStart"/>
      <w:r w:rsidRPr="0058641B">
        <w:rPr>
          <w:vertAlign w:val="superscript"/>
        </w:rPr>
        <w:t>a</w:t>
      </w:r>
      <w:proofErr w:type="spellEnd"/>
      <w:r w:rsidRPr="0058641B">
        <w:t xml:space="preserve"> Including</w:t>
      </w:r>
      <w:r w:rsidR="00C20D01">
        <w:t xml:space="preserve"> &lt; 500</w:t>
      </w:r>
      <w:r w:rsidRPr="0058641B">
        <w:t xml:space="preserve"> grandfathered patients in Year 1</w:t>
      </w:r>
      <w:r w:rsidR="00374090">
        <w:t xml:space="preserve"> (and appropriately assumed a reduced treatment duration</w:t>
      </w:r>
      <w:r w:rsidRPr="0058641B">
        <w:t>.</w:t>
      </w:r>
    </w:p>
    <w:p w14:paraId="5D1D4535" w14:textId="77777777" w:rsidR="00C37C68" w:rsidRPr="0058641B" w:rsidRDefault="00C37C68" w:rsidP="00C37C68">
      <w:pPr>
        <w:pStyle w:val="TableFigureFooter"/>
      </w:pPr>
      <w:r w:rsidRPr="0058641B">
        <w:rPr>
          <w:vertAlign w:val="superscript"/>
        </w:rPr>
        <w:t xml:space="preserve">b </w:t>
      </w:r>
      <w:r w:rsidRPr="0058641B">
        <w:t xml:space="preserve">Assuming that 93.02% of the patients would receive atezolizumab 1,200 mg every 3 weeks (number of scripts per patient: 12.40 in incident patients and 5.18 in grandfathered patients). The remaining 6.98% would be treated with atezolizumab 1,680 mg every 4 weeks (number of scripts per patient: 11.31 in incident patients and 5.99 in grandfathered patients). </w:t>
      </w:r>
    </w:p>
    <w:p w14:paraId="46F4EF20" w14:textId="5230381A" w:rsidR="00C37C68" w:rsidRPr="0058641B" w:rsidRDefault="00C37C68" w:rsidP="00C37C68">
      <w:pPr>
        <w:pStyle w:val="TableFigureFooter"/>
        <w:rPr>
          <w:vertAlign w:val="superscript"/>
        </w:rPr>
      </w:pPr>
      <w:r w:rsidRPr="0058641B">
        <w:rPr>
          <w:vertAlign w:val="superscript"/>
        </w:rPr>
        <w:t>c</w:t>
      </w:r>
      <w:r w:rsidRPr="0058641B">
        <w:rPr>
          <w:vertAlign w:val="subscript"/>
        </w:rPr>
        <w:t xml:space="preserve"> </w:t>
      </w:r>
      <w:r w:rsidRPr="0058641B">
        <w:t xml:space="preserve">The submission assuming a </w:t>
      </w:r>
      <w:r w:rsidR="00A8021D" w:rsidRPr="00A8021D">
        <w:rPr>
          <w:color w:val="000000"/>
          <w:spacing w:val="37"/>
          <w:shd w:val="solid" w:color="000000" w:fill="000000"/>
          <w:fitText w:val="270" w:id="-1435764729"/>
          <w14:textFill>
            <w14:solidFill>
              <w14:srgbClr w14:val="000000">
                <w14:alpha w14:val="100000"/>
              </w14:srgbClr>
            </w14:solidFill>
          </w14:textFill>
        </w:rPr>
        <w:t xml:space="preserve">|  </w:t>
      </w:r>
      <w:r w:rsidR="00A8021D" w:rsidRPr="00A8021D">
        <w:rPr>
          <w:color w:val="000000"/>
          <w:spacing w:val="1"/>
          <w:shd w:val="solid" w:color="000000" w:fill="000000"/>
          <w:fitText w:val="270" w:id="-1435764729"/>
          <w14:textFill>
            <w14:solidFill>
              <w14:srgbClr w14:val="000000">
                <w14:alpha w14:val="100000"/>
              </w14:srgbClr>
            </w14:solidFill>
          </w14:textFill>
        </w:rPr>
        <w:t>|</w:t>
      </w:r>
      <w:r w:rsidRPr="0058641B">
        <w:t xml:space="preserve">% </w:t>
      </w:r>
      <w:r w:rsidR="00586AE5" w:rsidRPr="0058641B">
        <w:t>rebate</w:t>
      </w:r>
      <w:r w:rsidRPr="0058641B">
        <w:t xml:space="preserve"> on the published ex-manufacturer price for pembrolizumab as a rebate in the form of a special pricing arrangement</w:t>
      </w:r>
    </w:p>
    <w:p w14:paraId="3D86758B" w14:textId="5F035F83" w:rsidR="00C37C68" w:rsidRDefault="00C37C68" w:rsidP="00C37C68">
      <w:pPr>
        <w:pStyle w:val="TableFigureFooter"/>
      </w:pPr>
      <w:r w:rsidRPr="0058641B">
        <w:rPr>
          <w:vertAlign w:val="superscript"/>
        </w:rPr>
        <w:t xml:space="preserve">d </w:t>
      </w:r>
      <w:r w:rsidRPr="0058641B">
        <w:t xml:space="preserve">Revised by assuming: 1) the proportion of patients with distant recurrence being 17.40% in the first year, 13.04% in the second year, 9.14% in the third year, 6.22% in </w:t>
      </w:r>
      <w:r w:rsidRPr="006E5F43">
        <w:t xml:space="preserve">the fourth year, 3.27% in the fifth year, and 1.58% in the sixth year; and 2) 80% of patients with distant recurrence </w:t>
      </w:r>
      <w:r w:rsidRPr="00A90E08">
        <w:t>receiving pembrolizumab. Changes in chemotherapy costs were removed from the analysis.</w:t>
      </w:r>
    </w:p>
    <w:p w14:paraId="403DBD97" w14:textId="77777777" w:rsidR="00D44F37" w:rsidRPr="0026352C" w:rsidRDefault="00D44F37" w:rsidP="00D44F37">
      <w:pPr>
        <w:pStyle w:val="TableFigureFooter"/>
        <w:keepNext/>
        <w:spacing w:after="0"/>
        <w:contextualSpacing w:val="0"/>
        <w:rPr>
          <w:i/>
        </w:rPr>
      </w:pPr>
      <w:r w:rsidRPr="0026352C">
        <w:rPr>
          <w:i/>
        </w:rPr>
        <w:t>The redacted values correspond to the following ranges:</w:t>
      </w:r>
    </w:p>
    <w:p w14:paraId="1B9F2220" w14:textId="7442C503" w:rsidR="00D44F37" w:rsidRPr="00281DAB" w:rsidRDefault="00D44F37" w:rsidP="00D44F37">
      <w:pPr>
        <w:pStyle w:val="TableFigureFooter"/>
        <w:keepNext/>
        <w:spacing w:after="0"/>
        <w:contextualSpacing w:val="0"/>
      </w:pPr>
      <w:r w:rsidRPr="0026352C">
        <w:rPr>
          <w:i/>
          <w:szCs w:val="18"/>
          <w:vertAlign w:val="superscript"/>
        </w:rPr>
        <w:t>1</w:t>
      </w:r>
      <w:r w:rsidRPr="0026352C">
        <w:rPr>
          <w:i/>
          <w:szCs w:val="18"/>
        </w:rPr>
        <w:t xml:space="preserve"> &lt;</w:t>
      </w:r>
      <w:r w:rsidR="00C87C97">
        <w:rPr>
          <w:i/>
          <w:szCs w:val="18"/>
        </w:rPr>
        <w:t xml:space="preserve"> </w:t>
      </w:r>
      <w:r w:rsidRPr="0026352C">
        <w:rPr>
          <w:i/>
          <w:szCs w:val="18"/>
        </w:rPr>
        <w:t>500</w:t>
      </w:r>
    </w:p>
    <w:p w14:paraId="42ECD80D" w14:textId="7D40900D" w:rsidR="00D44F37" w:rsidRPr="0026352C" w:rsidRDefault="00D44F37" w:rsidP="00D44F37">
      <w:pPr>
        <w:rPr>
          <w:rFonts w:ascii="Arial Narrow" w:hAnsi="Arial Narrow"/>
          <w:i/>
          <w:sz w:val="18"/>
          <w:szCs w:val="18"/>
        </w:rPr>
      </w:pPr>
      <w:r w:rsidRPr="0026352C">
        <w:rPr>
          <w:rFonts w:ascii="Arial Narrow" w:hAnsi="Arial Narrow"/>
          <w:i/>
          <w:sz w:val="18"/>
          <w:szCs w:val="18"/>
          <w:vertAlign w:val="superscript"/>
        </w:rPr>
        <w:t>2</w:t>
      </w:r>
      <w:r w:rsidRPr="0026352C">
        <w:rPr>
          <w:rFonts w:ascii="Arial Narrow" w:hAnsi="Arial Narrow"/>
          <w:i/>
          <w:sz w:val="18"/>
          <w:szCs w:val="18"/>
        </w:rPr>
        <w:t xml:space="preserve"> </w:t>
      </w:r>
      <w:r w:rsidRPr="00D44F37">
        <w:rPr>
          <w:rFonts w:ascii="Arial Narrow" w:hAnsi="Arial Narrow"/>
          <w:i/>
          <w:sz w:val="18"/>
          <w:szCs w:val="18"/>
        </w:rPr>
        <w:t>500 to &lt; 5,000</w:t>
      </w:r>
    </w:p>
    <w:p w14:paraId="1F73FCC8" w14:textId="207DBDAC" w:rsidR="00D44F37" w:rsidRPr="00A90E08" w:rsidRDefault="00D44F37" w:rsidP="00D44F37">
      <w:pPr>
        <w:pStyle w:val="TableFigureFooter"/>
      </w:pPr>
      <w:r w:rsidRPr="0026352C">
        <w:rPr>
          <w:i/>
          <w:szCs w:val="18"/>
          <w:vertAlign w:val="superscript"/>
        </w:rPr>
        <w:t xml:space="preserve">3 </w:t>
      </w:r>
      <w:r w:rsidR="00695DAC" w:rsidRPr="00695DAC">
        <w:rPr>
          <w:i/>
          <w:szCs w:val="18"/>
        </w:rPr>
        <w:t>$0 to &lt; $10 million</w:t>
      </w:r>
    </w:p>
    <w:p w14:paraId="6573B975" w14:textId="689B3624" w:rsidR="00C37C68" w:rsidRPr="0058641B" w:rsidRDefault="00C37C68" w:rsidP="00C37C68">
      <w:pPr>
        <w:pStyle w:val="4-SubsectionHeading"/>
      </w:pPr>
      <w:bookmarkStart w:id="80" w:name="_Toc22897649"/>
      <w:bookmarkStart w:id="81" w:name="_Toc101281150"/>
      <w:r w:rsidRPr="0058641B">
        <w:t>Financial Management – Risk Sharing Arrangements</w:t>
      </w:r>
      <w:bookmarkEnd w:id="80"/>
      <w:bookmarkEnd w:id="81"/>
    </w:p>
    <w:p w14:paraId="239EADD3" w14:textId="20D068F2" w:rsidR="00C37C68" w:rsidRDefault="00C37C68" w:rsidP="00870138">
      <w:pPr>
        <w:pStyle w:val="3-BodyText"/>
      </w:pPr>
      <w:r w:rsidRPr="0058641B">
        <w:t xml:space="preserve">No risk-sharing arrangements were proposed by the submission. </w:t>
      </w:r>
      <w:r w:rsidR="002F537A">
        <w:t xml:space="preserve">The evaluation noted </w:t>
      </w:r>
      <w:r w:rsidRPr="0058641B">
        <w:t xml:space="preserve">that the proposed listing of ATZ as adjuvant therapy would affect the extent of use of other PD-1 inhibitors for treatment of advanced or metastatic NSCLC. </w:t>
      </w:r>
    </w:p>
    <w:bookmarkEnd w:id="47"/>
    <w:p w14:paraId="460CF8A8" w14:textId="6359EB4E" w:rsidR="0088334F" w:rsidRPr="0088334F" w:rsidRDefault="0088334F" w:rsidP="0088334F">
      <w:pPr>
        <w:pStyle w:val="3-BodyText"/>
        <w:numPr>
          <w:ilvl w:val="0"/>
          <w:numId w:val="0"/>
        </w:numPr>
        <w:ind w:left="720"/>
        <w:rPr>
          <w:i/>
          <w:iCs/>
        </w:rPr>
      </w:pPr>
      <w:r w:rsidRPr="0088334F">
        <w:rPr>
          <w:i/>
          <w:iCs/>
        </w:rPr>
        <w:t>For more detail on PBAC’s view, see section 7 PBAC outcome.</w:t>
      </w:r>
    </w:p>
    <w:p w14:paraId="7BE99B88" w14:textId="45CF7E48" w:rsidR="008F145F" w:rsidRDefault="008F145F" w:rsidP="008F145F">
      <w:pPr>
        <w:pStyle w:val="PBACHeading1"/>
        <w:keepNext/>
        <w:keepLines/>
        <w:numPr>
          <w:ilvl w:val="0"/>
          <w:numId w:val="1"/>
        </w:numPr>
        <w:spacing w:after="120"/>
      </w:pPr>
      <w:r w:rsidRPr="00D71742">
        <w:lastRenderedPageBreak/>
        <w:t>PBAC Outcome</w:t>
      </w:r>
    </w:p>
    <w:p w14:paraId="442C5889" w14:textId="60A38C3A" w:rsidR="003F6435" w:rsidRDefault="006A2E29" w:rsidP="003F6435">
      <w:pPr>
        <w:pStyle w:val="3-BodyText"/>
      </w:pPr>
      <w:r w:rsidRPr="006A2E29">
        <w:t xml:space="preserve">The PBAC recommended the listing of atezolizumab </w:t>
      </w:r>
      <w:r w:rsidR="00D21BC0">
        <w:t xml:space="preserve">(ATZ) </w:t>
      </w:r>
      <w:r w:rsidRPr="006A2E29">
        <w:t xml:space="preserve">for the adjuvant treatment of patients with Stage II to IIIA </w:t>
      </w:r>
      <w:r w:rsidR="00D21BC0">
        <w:t>non-small cell lung cancer (</w:t>
      </w:r>
      <w:r w:rsidR="008C4DE6">
        <w:t>NSCLC</w:t>
      </w:r>
      <w:r w:rsidR="00D21BC0">
        <w:t>)</w:t>
      </w:r>
      <w:r w:rsidRPr="006A2E29">
        <w:t xml:space="preserve"> whose tumours have programmed cell death </w:t>
      </w:r>
      <w:r w:rsidR="00391F36">
        <w:t>l</w:t>
      </w:r>
      <w:r w:rsidRPr="006A2E29">
        <w:t xml:space="preserve">igand-1 (PD-L1) expression on ≥ 50% of tumour cells and following a complete resection and no progression after platinum-based adjuvant chemotherapy. </w:t>
      </w:r>
      <w:r w:rsidR="003A104D" w:rsidRPr="003A104D">
        <w:t>The PBAC’s recommendation for listing was based on, among other matters, its assessment</w:t>
      </w:r>
      <w:r w:rsidR="003A104D">
        <w:t xml:space="preserve"> </w:t>
      </w:r>
      <w:r w:rsidR="003A104D" w:rsidRPr="003A104D">
        <w:t xml:space="preserve">that the cost-effectiveness of </w:t>
      </w:r>
      <w:r w:rsidR="003A104D">
        <w:t xml:space="preserve">ATZ </w:t>
      </w:r>
      <w:r w:rsidR="003A104D" w:rsidRPr="003A104D">
        <w:t xml:space="preserve">would be acceptable at the price proposed in the submission. </w:t>
      </w:r>
      <w:r w:rsidRPr="006A2E29">
        <w:t xml:space="preserve">The PBAC </w:t>
      </w:r>
      <w:r>
        <w:t xml:space="preserve">recommended that </w:t>
      </w:r>
      <w:r w:rsidRPr="006A2E29">
        <w:t xml:space="preserve">the additional expenditure associated with </w:t>
      </w:r>
      <w:r w:rsidR="00D21BC0">
        <w:t>ATZ</w:t>
      </w:r>
      <w:r w:rsidRPr="006A2E29">
        <w:t xml:space="preserve"> in this population</w:t>
      </w:r>
      <w:r w:rsidR="005739DB">
        <w:t xml:space="preserve"> (taking into account the reduced use of immunotherapy in the advanced/ metastatic setting) </w:t>
      </w:r>
      <w:r w:rsidRPr="006A2E29">
        <w:t xml:space="preserve">could be added to the current risk sharing arrangement in place for </w:t>
      </w:r>
      <w:r w:rsidR="00D21BC0">
        <w:t>immunotherapies for NSCLC</w:t>
      </w:r>
      <w:r w:rsidRPr="006A2E29">
        <w:t>.</w:t>
      </w:r>
    </w:p>
    <w:p w14:paraId="12E1D06B" w14:textId="62DFA60C" w:rsidR="003F6435" w:rsidRDefault="003F6435" w:rsidP="00B20E3D">
      <w:pPr>
        <w:pStyle w:val="3-BodyText"/>
      </w:pPr>
      <w:r>
        <w:t>The PBAC noted</w:t>
      </w:r>
      <w:r w:rsidR="008C4DE6">
        <w:t xml:space="preserve"> that the submission </w:t>
      </w:r>
      <w:r w:rsidR="00D21BC0">
        <w:t xml:space="preserve">requested listing </w:t>
      </w:r>
      <w:r w:rsidR="008C4DE6">
        <w:t xml:space="preserve">for </w:t>
      </w:r>
      <w:r w:rsidR="00D21BC0">
        <w:t>patients with PD-L1 positive NSCLC and included</w:t>
      </w:r>
      <w:r w:rsidR="009D5CAB">
        <w:t xml:space="preserve"> </w:t>
      </w:r>
      <w:r w:rsidR="009D5CAB" w:rsidRPr="009D5CAB">
        <w:t xml:space="preserve">relevant clinical, economic and financial </w:t>
      </w:r>
      <w:r w:rsidR="00D21BC0" w:rsidRPr="009D5CAB">
        <w:t>information</w:t>
      </w:r>
      <w:r w:rsidR="00D21BC0">
        <w:t xml:space="preserve"> for both the </w:t>
      </w:r>
      <w:r w:rsidR="00B20E3D" w:rsidRPr="00B20E3D">
        <w:t>PD-L1 ≥ 1%</w:t>
      </w:r>
      <w:r w:rsidR="00B20E3D">
        <w:t xml:space="preserve"> and </w:t>
      </w:r>
      <w:r w:rsidR="00B20E3D" w:rsidRPr="00B20E3D">
        <w:t xml:space="preserve">PD-L1 ≥ </w:t>
      </w:r>
      <w:r w:rsidR="00B20E3D">
        <w:t>50</w:t>
      </w:r>
      <w:r w:rsidR="00B20E3D" w:rsidRPr="00B20E3D">
        <w:t>%</w:t>
      </w:r>
      <w:r w:rsidR="00EE7CD8">
        <w:t xml:space="preserve"> </w:t>
      </w:r>
      <w:r w:rsidR="00D21BC0">
        <w:t xml:space="preserve">populations. The submission was made under </w:t>
      </w:r>
      <w:r w:rsidR="00992D22">
        <w:t xml:space="preserve">the </w:t>
      </w:r>
      <w:r w:rsidR="00D21BC0">
        <w:t xml:space="preserve">TGA/PBAC Parallel Process and </w:t>
      </w:r>
      <w:r w:rsidR="009D5CAB">
        <w:t xml:space="preserve">the submission stated the </w:t>
      </w:r>
      <w:r w:rsidR="00D21BC0">
        <w:t xml:space="preserve">final PBS listing would depend on the approved TGA indication. </w:t>
      </w:r>
      <w:r w:rsidR="00B20E3D">
        <w:t>The PBAC noted that</w:t>
      </w:r>
      <w:r w:rsidR="008E4195">
        <w:t xml:space="preserve"> the </w:t>
      </w:r>
      <w:r w:rsidR="008C4DE6" w:rsidRPr="008C4DE6">
        <w:t xml:space="preserve">TGA </w:t>
      </w:r>
      <w:r w:rsidR="00AA507A">
        <w:t xml:space="preserve">Delegate supported the approval of </w:t>
      </w:r>
      <w:r w:rsidR="008C4DE6" w:rsidRPr="008C4DE6">
        <w:t xml:space="preserve">atezolizumab as an adjuvant treatment </w:t>
      </w:r>
      <w:r w:rsidR="00B20E3D">
        <w:t xml:space="preserve">for </w:t>
      </w:r>
      <w:r w:rsidR="00616675">
        <w:t xml:space="preserve">only </w:t>
      </w:r>
      <w:r w:rsidR="00B20E3D">
        <w:t>the</w:t>
      </w:r>
      <w:r w:rsidR="00B20E3D" w:rsidRPr="00B20E3D">
        <w:t xml:space="preserve"> PD-L1 ≥ 50% </w:t>
      </w:r>
      <w:r w:rsidR="00B20E3D">
        <w:t>population</w:t>
      </w:r>
      <w:r w:rsidR="008C4DE6" w:rsidRPr="008C4DE6">
        <w:t>.</w:t>
      </w:r>
      <w:r w:rsidR="008C4DE6">
        <w:t xml:space="preserve"> </w:t>
      </w:r>
      <w:r w:rsidR="00C224B8">
        <w:t>T</w:t>
      </w:r>
      <w:r w:rsidR="008C4DE6">
        <w:t xml:space="preserve">he PBAC </w:t>
      </w:r>
      <w:r w:rsidR="00992D22">
        <w:t>therefore</w:t>
      </w:r>
      <w:r w:rsidR="008C4DE6">
        <w:t xml:space="preserve"> focus</w:t>
      </w:r>
      <w:r w:rsidR="00992D22">
        <w:t>ed</w:t>
      </w:r>
      <w:r w:rsidR="008C4DE6">
        <w:t xml:space="preserve"> its consideration </w:t>
      </w:r>
      <w:r w:rsidR="00992D22">
        <w:t xml:space="preserve">on </w:t>
      </w:r>
      <w:r w:rsidR="008C4DE6">
        <w:t xml:space="preserve">the PD-L1 </w:t>
      </w:r>
      <w:r w:rsidR="008C4DE6" w:rsidRPr="008C4DE6">
        <w:t>≥ 50%</w:t>
      </w:r>
      <w:r w:rsidR="008C4DE6">
        <w:t xml:space="preserve"> population. </w:t>
      </w:r>
    </w:p>
    <w:p w14:paraId="6D05916E" w14:textId="44A3BF6E" w:rsidR="00FD5D72" w:rsidRPr="00FD5D72" w:rsidRDefault="008E4195" w:rsidP="003F6435">
      <w:pPr>
        <w:pStyle w:val="3-BodyText"/>
      </w:pPr>
      <w:r w:rsidRPr="008E4195">
        <w:rPr>
          <w:bCs/>
          <w:lang w:val="en-GB"/>
        </w:rPr>
        <w:t>The PBAC considered there was a</w:t>
      </w:r>
      <w:r w:rsidR="00374090">
        <w:rPr>
          <w:bCs/>
          <w:lang w:val="en-GB"/>
        </w:rPr>
        <w:t xml:space="preserve"> high </w:t>
      </w:r>
      <w:r w:rsidRPr="008E4195">
        <w:rPr>
          <w:bCs/>
          <w:lang w:val="en-GB"/>
        </w:rPr>
        <w:t>clinical need</w:t>
      </w:r>
      <w:r w:rsidR="00FB5AC1">
        <w:rPr>
          <w:bCs/>
          <w:lang w:val="en-GB"/>
        </w:rPr>
        <w:t xml:space="preserve"> </w:t>
      </w:r>
      <w:r w:rsidR="0025557E">
        <w:rPr>
          <w:bCs/>
          <w:lang w:val="en-GB"/>
        </w:rPr>
        <w:t xml:space="preserve">for ATZ </w:t>
      </w:r>
      <w:r w:rsidR="00FB5AC1">
        <w:rPr>
          <w:bCs/>
          <w:lang w:val="en-GB"/>
        </w:rPr>
        <w:t xml:space="preserve">as </w:t>
      </w:r>
      <w:r w:rsidR="00436160">
        <w:rPr>
          <w:bCs/>
          <w:lang w:val="en-GB"/>
        </w:rPr>
        <w:t xml:space="preserve">the recurrence rate following resection of early lung cancer is high and </w:t>
      </w:r>
      <w:r w:rsidR="00FB5AC1">
        <w:rPr>
          <w:bCs/>
          <w:lang w:val="en-GB"/>
        </w:rPr>
        <w:t>there are currently no immunotherapy treatments available for</w:t>
      </w:r>
      <w:r w:rsidR="00436160">
        <w:rPr>
          <w:bCs/>
          <w:lang w:val="en-GB"/>
        </w:rPr>
        <w:t xml:space="preserve"> this population</w:t>
      </w:r>
      <w:r w:rsidRPr="008E4195">
        <w:rPr>
          <w:bCs/>
          <w:lang w:val="en-GB"/>
        </w:rPr>
        <w:t xml:space="preserve">. </w:t>
      </w:r>
    </w:p>
    <w:p w14:paraId="0A176CA7" w14:textId="39AB3720" w:rsidR="002A7C6F" w:rsidRPr="002A7C6F" w:rsidRDefault="00FD5D72" w:rsidP="002E4408">
      <w:pPr>
        <w:pStyle w:val="3-BodyText"/>
      </w:pPr>
      <w:r w:rsidRPr="008E4195">
        <w:rPr>
          <w:bCs/>
          <w:lang w:val="en-GB"/>
        </w:rPr>
        <w:t xml:space="preserve">The PBAC </w:t>
      </w:r>
      <w:r w:rsidR="00494E04">
        <w:rPr>
          <w:bCs/>
          <w:lang w:val="en-GB"/>
        </w:rPr>
        <w:t xml:space="preserve">noted the submission nominated best supportive care as the comparator and </w:t>
      </w:r>
      <w:r w:rsidRPr="008E4195">
        <w:rPr>
          <w:bCs/>
          <w:lang w:val="en-GB"/>
        </w:rPr>
        <w:t xml:space="preserve">considered </w:t>
      </w:r>
      <w:r w:rsidR="00494E04">
        <w:rPr>
          <w:bCs/>
          <w:lang w:val="en-GB"/>
        </w:rPr>
        <w:t xml:space="preserve">this </w:t>
      </w:r>
      <w:r w:rsidRPr="00FD5D72">
        <w:t>was appropriate.</w:t>
      </w:r>
      <w:r w:rsidR="00117A24">
        <w:t xml:space="preserve"> </w:t>
      </w:r>
      <w:r w:rsidR="00DB62AF">
        <w:t xml:space="preserve"> </w:t>
      </w:r>
      <w:r w:rsidR="00DB62AF" w:rsidRPr="002E4408">
        <w:rPr>
          <w:bCs/>
          <w:lang w:val="en-GB"/>
        </w:rPr>
        <w:t xml:space="preserve">The PBAC considered </w:t>
      </w:r>
      <w:r w:rsidR="00DB62AF">
        <w:rPr>
          <w:bCs/>
          <w:lang w:val="en-GB"/>
        </w:rPr>
        <w:t xml:space="preserve">the clinical claim </w:t>
      </w:r>
      <w:r w:rsidR="00DB62AF" w:rsidRPr="002E4408">
        <w:rPr>
          <w:bCs/>
          <w:lang w:val="en-GB"/>
        </w:rPr>
        <w:t>that</w:t>
      </w:r>
      <w:r w:rsidR="00DB62AF">
        <w:rPr>
          <w:bCs/>
          <w:lang w:val="en-GB"/>
        </w:rPr>
        <w:t xml:space="preserve"> ATZ</w:t>
      </w:r>
      <w:r w:rsidR="00DB62AF" w:rsidRPr="002E4408">
        <w:rPr>
          <w:bCs/>
          <w:lang w:val="en-GB"/>
        </w:rPr>
        <w:t xml:space="preserve"> was superior in effectiveness</w:t>
      </w:r>
      <w:r w:rsidR="00DB62AF">
        <w:rPr>
          <w:bCs/>
          <w:lang w:val="en-GB"/>
        </w:rPr>
        <w:t xml:space="preserve"> </w:t>
      </w:r>
      <w:r w:rsidR="00DB62AF" w:rsidRPr="002E4408">
        <w:rPr>
          <w:bCs/>
          <w:lang w:val="en-GB"/>
        </w:rPr>
        <w:t>with inferior safety</w:t>
      </w:r>
      <w:r w:rsidR="00DB62AF">
        <w:rPr>
          <w:bCs/>
          <w:lang w:val="en-GB"/>
        </w:rPr>
        <w:t xml:space="preserve"> compared to BSC was reasonable</w:t>
      </w:r>
      <w:r w:rsidR="00DB62AF" w:rsidRPr="002E4408">
        <w:rPr>
          <w:bCs/>
          <w:lang w:val="en-GB"/>
        </w:rPr>
        <w:t>.</w:t>
      </w:r>
      <w:r w:rsidR="00374090">
        <w:rPr>
          <w:bCs/>
          <w:lang w:val="en-GB"/>
        </w:rPr>
        <w:t xml:space="preserve"> </w:t>
      </w:r>
      <w:r w:rsidR="00117A24">
        <w:rPr>
          <w:bCs/>
          <w:lang w:val="en-GB"/>
        </w:rPr>
        <w:t>The PBAC noted the submission was based on one randomised control trial (I</w:t>
      </w:r>
      <w:r w:rsidR="00C5343E">
        <w:rPr>
          <w:bCs/>
          <w:lang w:val="en-GB"/>
        </w:rPr>
        <w:t>M</w:t>
      </w:r>
      <w:r w:rsidR="00117A24">
        <w:rPr>
          <w:bCs/>
          <w:lang w:val="en-GB"/>
        </w:rPr>
        <w:t xml:space="preserve">power010) comparing ATZ to BSC </w:t>
      </w:r>
      <w:r w:rsidR="00117A24" w:rsidRPr="00117A24">
        <w:rPr>
          <w:bCs/>
          <w:lang w:val="en-GB"/>
        </w:rPr>
        <w:t xml:space="preserve">following adjuvant </w:t>
      </w:r>
      <w:r w:rsidR="00117A24">
        <w:rPr>
          <w:bCs/>
          <w:lang w:val="en-GB"/>
        </w:rPr>
        <w:t>platinum</w:t>
      </w:r>
      <w:r w:rsidR="00117A24" w:rsidRPr="00117A24">
        <w:rPr>
          <w:bCs/>
          <w:lang w:val="en-GB"/>
        </w:rPr>
        <w:t>-based chemotherapy in patients with completely resected Stage IB-IIIA NSC</w:t>
      </w:r>
      <w:r w:rsidR="00117A24">
        <w:rPr>
          <w:bCs/>
          <w:lang w:val="en-GB"/>
        </w:rPr>
        <w:t xml:space="preserve">LC. </w:t>
      </w:r>
      <w:r w:rsidR="002E4408">
        <w:rPr>
          <w:bCs/>
          <w:lang w:val="en-GB"/>
        </w:rPr>
        <w:t xml:space="preserve">The PBAC noted the population of patients with </w:t>
      </w:r>
      <w:r w:rsidR="002E4408" w:rsidRPr="003F35E9">
        <w:t>Stage II-IIIA PD-L1 ≥ 50% comprised 23% of the overall Impower</w:t>
      </w:r>
      <w:r w:rsidR="002E4408">
        <w:t>0</w:t>
      </w:r>
      <w:r w:rsidR="002E4408" w:rsidRPr="003F35E9">
        <w:t xml:space="preserve">10 population. </w:t>
      </w:r>
      <w:r w:rsidR="008E4195" w:rsidRPr="008E4195">
        <w:rPr>
          <w:bCs/>
          <w:lang w:val="en-GB"/>
        </w:rPr>
        <w:t xml:space="preserve">The PBAC </w:t>
      </w:r>
      <w:r w:rsidR="00FF2780">
        <w:rPr>
          <w:bCs/>
          <w:lang w:val="en-GB"/>
        </w:rPr>
        <w:t>considered</w:t>
      </w:r>
      <w:r w:rsidR="008E4195" w:rsidRPr="008E4195">
        <w:rPr>
          <w:bCs/>
          <w:lang w:val="en-GB"/>
        </w:rPr>
        <w:t xml:space="preserve"> th</w:t>
      </w:r>
      <w:r w:rsidR="002E4408">
        <w:rPr>
          <w:bCs/>
          <w:lang w:val="en-GB"/>
        </w:rPr>
        <w:t xml:space="preserve">e </w:t>
      </w:r>
      <w:r w:rsidR="008E4195" w:rsidRPr="008E4195">
        <w:rPr>
          <w:bCs/>
          <w:lang w:val="en-GB"/>
        </w:rPr>
        <w:t>clinical data presented in the submission supported a</w:t>
      </w:r>
      <w:r w:rsidR="002E4408">
        <w:rPr>
          <w:bCs/>
          <w:lang w:val="en-GB"/>
        </w:rPr>
        <w:t xml:space="preserve">n </w:t>
      </w:r>
      <w:r w:rsidR="008E4195" w:rsidRPr="008E4195">
        <w:rPr>
          <w:bCs/>
          <w:lang w:val="en-GB"/>
        </w:rPr>
        <w:t xml:space="preserve">improvement in </w:t>
      </w:r>
      <w:r w:rsidR="002E4408">
        <w:rPr>
          <w:bCs/>
          <w:lang w:val="en-GB"/>
        </w:rPr>
        <w:t xml:space="preserve">disease free survival with a hazard ratio of 0.47 (95% CI: 0.29, 0.75) and 74% of patients disease free at 3 years in the ATZ treatment arm compared to 49% in the BSC arm (January 2021 data </w:t>
      </w:r>
      <w:r w:rsidR="00EA56B9">
        <w:rPr>
          <w:bCs/>
          <w:lang w:val="en-GB"/>
        </w:rPr>
        <w:t>cut off</w:t>
      </w:r>
      <w:r w:rsidR="00C21E95">
        <w:rPr>
          <w:bCs/>
          <w:lang w:val="en-GB"/>
        </w:rPr>
        <w:t xml:space="preserve">, </w:t>
      </w:r>
      <w:r w:rsidR="002766D9">
        <w:rPr>
          <w:bCs/>
          <w:lang w:val="en-GB"/>
        </w:rPr>
        <w:t xml:space="preserve">median </w:t>
      </w:r>
      <w:r w:rsidR="002766D9" w:rsidRPr="002766D9">
        <w:rPr>
          <w:bCs/>
          <w:lang w:val="en-GB"/>
        </w:rPr>
        <w:t>32</w:t>
      </w:r>
      <w:r w:rsidR="00C21E95">
        <w:rPr>
          <w:bCs/>
          <w:lang w:val="en-GB"/>
        </w:rPr>
        <w:t xml:space="preserve"> months follow up</w:t>
      </w:r>
      <w:r w:rsidR="002E4408">
        <w:rPr>
          <w:bCs/>
          <w:lang w:val="en-GB"/>
        </w:rPr>
        <w:t xml:space="preserve">).  The PBAC noted that, while the event rate was low (10% in the ATZ arm, 23% in the BSC arm), </w:t>
      </w:r>
      <w:r w:rsidR="002E4408">
        <w:t>there was a</w:t>
      </w:r>
      <w:r w:rsidR="002A7C6F">
        <w:t>n</w:t>
      </w:r>
      <w:r w:rsidR="002E4408">
        <w:t xml:space="preserve"> improvement in </w:t>
      </w:r>
      <w:r w:rsidR="008E4195" w:rsidRPr="002E4408">
        <w:rPr>
          <w:bCs/>
          <w:lang w:val="en-GB"/>
        </w:rPr>
        <w:t>overall survival</w:t>
      </w:r>
      <w:r w:rsidR="00381D02" w:rsidRPr="002E4408">
        <w:rPr>
          <w:bCs/>
          <w:lang w:val="en-GB"/>
        </w:rPr>
        <w:t xml:space="preserve"> </w:t>
      </w:r>
      <w:r w:rsidR="002E4408" w:rsidRPr="002E4408">
        <w:rPr>
          <w:bCs/>
          <w:lang w:val="en-GB"/>
        </w:rPr>
        <w:t xml:space="preserve">with a hazard ratio of 0.40 (95% CI: 0.20, 0.81) and 91% of patients alive </w:t>
      </w:r>
      <w:r w:rsidR="002A7C6F">
        <w:rPr>
          <w:bCs/>
          <w:lang w:val="en-GB"/>
        </w:rPr>
        <w:t xml:space="preserve">at 3 years in the ATZ treatment arm </w:t>
      </w:r>
      <w:r w:rsidR="002E4408" w:rsidRPr="002E4408">
        <w:rPr>
          <w:bCs/>
          <w:lang w:val="en-GB"/>
        </w:rPr>
        <w:t xml:space="preserve">compared to 77% in the BSC arm (January 2021 data </w:t>
      </w:r>
      <w:r w:rsidR="00EA56B9" w:rsidRPr="002E4408">
        <w:rPr>
          <w:bCs/>
          <w:lang w:val="en-GB"/>
        </w:rPr>
        <w:t>cut off</w:t>
      </w:r>
      <w:r w:rsidR="002E4408" w:rsidRPr="002E4408">
        <w:rPr>
          <w:bCs/>
          <w:lang w:val="en-GB"/>
        </w:rPr>
        <w:t xml:space="preserve">). </w:t>
      </w:r>
      <w:r w:rsidR="002A7C6F">
        <w:rPr>
          <w:bCs/>
          <w:lang w:val="en-GB"/>
        </w:rPr>
        <w:t xml:space="preserve">The PBAC noted the clinical data with longer follow up provided in the pre-PBAC response (April 2022 data </w:t>
      </w:r>
      <w:r w:rsidR="00EA56B9">
        <w:rPr>
          <w:bCs/>
          <w:lang w:val="en-GB"/>
        </w:rPr>
        <w:t>cut off</w:t>
      </w:r>
      <w:r w:rsidR="00C21E95">
        <w:rPr>
          <w:bCs/>
          <w:lang w:val="en-GB"/>
        </w:rPr>
        <w:t xml:space="preserve">, </w:t>
      </w:r>
      <w:r w:rsidR="002766D9">
        <w:rPr>
          <w:bCs/>
          <w:lang w:val="en-GB"/>
        </w:rPr>
        <w:t xml:space="preserve">median </w:t>
      </w:r>
      <w:r w:rsidR="002766D9" w:rsidRPr="002766D9">
        <w:rPr>
          <w:bCs/>
          <w:lang w:val="en-GB"/>
        </w:rPr>
        <w:t>45</w:t>
      </w:r>
      <w:r w:rsidR="00C21E95">
        <w:rPr>
          <w:bCs/>
          <w:lang w:val="en-GB"/>
        </w:rPr>
        <w:t xml:space="preserve"> months follow up</w:t>
      </w:r>
      <w:r w:rsidR="002A7C6F">
        <w:rPr>
          <w:bCs/>
          <w:lang w:val="en-GB"/>
        </w:rPr>
        <w:t xml:space="preserve">) supported the continued OS benefit of ATZ.   </w:t>
      </w:r>
      <w:r w:rsidR="002E4408" w:rsidRPr="002E4408">
        <w:rPr>
          <w:bCs/>
          <w:lang w:val="en-GB"/>
        </w:rPr>
        <w:t xml:space="preserve"> </w:t>
      </w:r>
    </w:p>
    <w:p w14:paraId="2A091A73" w14:textId="0C64A799" w:rsidR="00F61EB5" w:rsidRDefault="00FF2780" w:rsidP="002E4408">
      <w:pPr>
        <w:pStyle w:val="3-BodyText"/>
      </w:pPr>
      <w:r w:rsidRPr="002E4408">
        <w:rPr>
          <w:bCs/>
          <w:lang w:val="en-GB"/>
        </w:rPr>
        <w:lastRenderedPageBreak/>
        <w:t xml:space="preserve">The PBAC noted </w:t>
      </w:r>
      <w:r w:rsidR="00C224B8" w:rsidRPr="002E4408">
        <w:rPr>
          <w:bCs/>
          <w:lang w:val="en-GB"/>
        </w:rPr>
        <w:t>patients experienced more adverse events with</w:t>
      </w:r>
      <w:r w:rsidR="00F61EB5">
        <w:rPr>
          <w:bCs/>
          <w:lang w:val="en-GB"/>
        </w:rPr>
        <w:t xml:space="preserve"> ATZ </w:t>
      </w:r>
      <w:r w:rsidRPr="002E4408">
        <w:rPr>
          <w:bCs/>
          <w:lang w:val="en-GB"/>
        </w:rPr>
        <w:t>compared with BSC (92.7% vs 70.7%</w:t>
      </w:r>
      <w:r w:rsidR="00C224B8" w:rsidRPr="002E4408">
        <w:rPr>
          <w:bCs/>
          <w:lang w:val="en-GB"/>
        </w:rPr>
        <w:t>), and the</w:t>
      </w:r>
      <w:r w:rsidRPr="002E4408">
        <w:rPr>
          <w:bCs/>
          <w:lang w:val="en-GB"/>
        </w:rPr>
        <w:t xml:space="preserve"> frequency of </w:t>
      </w:r>
      <w:r w:rsidR="00C224B8" w:rsidRPr="002E4408">
        <w:rPr>
          <w:bCs/>
          <w:lang w:val="en-GB"/>
        </w:rPr>
        <w:t>events</w:t>
      </w:r>
      <w:r w:rsidRPr="002E4408">
        <w:rPr>
          <w:bCs/>
          <w:lang w:val="en-GB"/>
        </w:rPr>
        <w:t xml:space="preserve"> was approximately two-fold</w:t>
      </w:r>
      <w:r w:rsidR="00F61EB5">
        <w:rPr>
          <w:bCs/>
          <w:lang w:val="en-GB"/>
        </w:rPr>
        <w:t xml:space="preserve"> in the ATZ treatment </w:t>
      </w:r>
      <w:r w:rsidR="00201A66">
        <w:rPr>
          <w:bCs/>
          <w:lang w:val="en-GB"/>
        </w:rPr>
        <w:t xml:space="preserve">arm </w:t>
      </w:r>
      <w:r w:rsidR="00201A66" w:rsidRPr="002E4408">
        <w:rPr>
          <w:bCs/>
          <w:lang w:val="en-GB"/>
        </w:rPr>
        <w:t>compared</w:t>
      </w:r>
      <w:r w:rsidRPr="002E4408">
        <w:rPr>
          <w:bCs/>
          <w:lang w:val="en-GB"/>
        </w:rPr>
        <w:t xml:space="preserve"> with BSC for Grade ≥3 </w:t>
      </w:r>
      <w:r w:rsidR="00C224B8" w:rsidRPr="002E4408">
        <w:rPr>
          <w:bCs/>
          <w:lang w:val="en-GB"/>
        </w:rPr>
        <w:t xml:space="preserve">adverse events </w:t>
      </w:r>
      <w:r w:rsidRPr="002E4408">
        <w:rPr>
          <w:bCs/>
          <w:lang w:val="en-GB"/>
        </w:rPr>
        <w:t>(23.4% vs. 12.1%) and serious adverse events (17.6% vs. 8.5%).</w:t>
      </w:r>
      <w:r w:rsidR="00C224B8">
        <w:t xml:space="preserve"> </w:t>
      </w:r>
      <w:r w:rsidR="00F61EB5">
        <w:t xml:space="preserve">The PBAC considered the </w:t>
      </w:r>
      <w:r w:rsidR="00BB353A">
        <w:t>adverse event</w:t>
      </w:r>
      <w:r w:rsidR="00F61EB5">
        <w:t xml:space="preserve"> profile was consistent with the known safety profile of ATZ and events were manageable. </w:t>
      </w:r>
    </w:p>
    <w:p w14:paraId="182AB64F" w14:textId="2251DCF2" w:rsidR="00FC7E01" w:rsidRPr="0025557E" w:rsidRDefault="00C552C0" w:rsidP="00237A05">
      <w:pPr>
        <w:pStyle w:val="3-BodyText"/>
      </w:pPr>
      <w:r>
        <w:t xml:space="preserve">The PBAC noted the corrected base case ICER presented in the submission for the population of patients with PD-L1 </w:t>
      </w:r>
      <w:r>
        <w:rPr>
          <w:rFonts w:cstheme="minorHAnsi"/>
        </w:rPr>
        <w:t>≥</w:t>
      </w:r>
      <w:r>
        <w:t xml:space="preserve"> 50% was </w:t>
      </w:r>
      <w:r w:rsidR="00FF4CDF" w:rsidRPr="00FF4CDF">
        <w:t xml:space="preserve">$5,000 to &lt; $15,000 </w:t>
      </w:r>
      <w:r>
        <w:t xml:space="preserve">/ QALY. </w:t>
      </w:r>
      <w:r w:rsidR="00436160">
        <w:t>The PBAC considered th</w:t>
      </w:r>
      <w:r w:rsidR="002F1010">
        <w:t xml:space="preserve">e base case model was unreliable (as discussed in paragraph </w:t>
      </w:r>
      <w:r w:rsidR="002F1010">
        <w:fldChar w:fldCharType="begin"/>
      </w:r>
      <w:r w:rsidR="002F1010">
        <w:instrText xml:space="preserve"> REF _Ref109656805 \r \h </w:instrText>
      </w:r>
      <w:r w:rsidR="002F1010">
        <w:fldChar w:fldCharType="separate"/>
      </w:r>
      <w:r w:rsidR="0043151A">
        <w:t>7.7</w:t>
      </w:r>
      <w:r w:rsidR="002F1010">
        <w:fldChar w:fldCharType="end"/>
      </w:r>
      <w:r w:rsidR="002F1010">
        <w:t xml:space="preserve">) and the ICER was </w:t>
      </w:r>
      <w:r w:rsidR="002F1010" w:rsidRPr="0025557E">
        <w:t xml:space="preserve">underestimated. However, noting the sensitivity analyses, including the multivariate analysis, the PBAC was moderately certain </w:t>
      </w:r>
      <w:r w:rsidR="002F1010" w:rsidRPr="0025557E">
        <w:rPr>
          <w:bCs/>
          <w:lang w:val="en-GB"/>
        </w:rPr>
        <w:t xml:space="preserve">the ICER would be below </w:t>
      </w:r>
      <w:r w:rsidR="00FF4CDF">
        <w:rPr>
          <w:bCs/>
          <w:lang w:val="en-GB"/>
        </w:rPr>
        <w:br/>
      </w:r>
      <w:r w:rsidR="00FF4CDF" w:rsidRPr="00FF4CDF">
        <w:rPr>
          <w:bCs/>
          <w:lang w:val="en-GB"/>
        </w:rPr>
        <w:t>$25,000 to &lt; $35,000</w:t>
      </w:r>
      <w:r w:rsidR="002F1010" w:rsidRPr="0025557E">
        <w:rPr>
          <w:bCs/>
          <w:lang w:val="en-GB"/>
        </w:rPr>
        <w:t>/ QALY, the threshold previously considered reasonable for adjuvant treatments.</w:t>
      </w:r>
      <w:r w:rsidR="002F1010" w:rsidRPr="0025557E" w:rsidDel="00436160">
        <w:t xml:space="preserve"> </w:t>
      </w:r>
      <w:r w:rsidR="00AB19C3" w:rsidRPr="0025557E">
        <w:t xml:space="preserve">Further, </w:t>
      </w:r>
      <w:r w:rsidR="00AB19C3" w:rsidRPr="0025557E">
        <w:rPr>
          <w:bCs/>
          <w:lang w:val="en-GB"/>
        </w:rPr>
        <w:t xml:space="preserve">the PBAC noted the high clinical need and small population of patients with Stage II to IIIA NSCLC with PD-L1 </w:t>
      </w:r>
      <w:r w:rsidR="00AB19C3" w:rsidRPr="0025557E">
        <w:rPr>
          <w:rFonts w:cstheme="minorHAnsi"/>
        </w:rPr>
        <w:t>≥</w:t>
      </w:r>
      <w:r w:rsidR="00AB19C3" w:rsidRPr="0025557E">
        <w:t xml:space="preserve"> 50%</w:t>
      </w:r>
      <w:r w:rsidR="00FB2888" w:rsidRPr="0025557E">
        <w:t>.</w:t>
      </w:r>
      <w:r w:rsidR="00AB19C3" w:rsidRPr="0025557E">
        <w:t xml:space="preserve"> </w:t>
      </w:r>
    </w:p>
    <w:p w14:paraId="6DA3A617" w14:textId="1F62D639" w:rsidR="00AB19C3" w:rsidRPr="0025557E" w:rsidRDefault="00FB2888" w:rsidP="0025557E">
      <w:pPr>
        <w:widowControl w:val="0"/>
        <w:numPr>
          <w:ilvl w:val="1"/>
          <w:numId w:val="1"/>
        </w:numPr>
        <w:spacing w:after="240"/>
        <w:rPr>
          <w:rFonts w:asciiTheme="minorHAnsi" w:hAnsiTheme="minorHAnsi"/>
          <w:bCs/>
          <w:snapToGrid w:val="0"/>
          <w:lang w:val="en-GB"/>
        </w:rPr>
      </w:pPr>
      <w:bookmarkStart w:id="82" w:name="_Ref109656805"/>
      <w:r w:rsidRPr="0025557E">
        <w:rPr>
          <w:rFonts w:asciiTheme="minorHAnsi" w:hAnsiTheme="minorHAnsi"/>
          <w:bCs/>
          <w:snapToGrid w:val="0"/>
          <w:lang w:val="en-GB"/>
        </w:rPr>
        <w:t xml:space="preserve">The PBAC considered a 25 year time horizon was not adequately justified in the submission and a 15 year time horizon would have been more appropriate in this population. </w:t>
      </w:r>
      <w:r w:rsidR="00FC7E01" w:rsidRPr="0025557E">
        <w:rPr>
          <w:rFonts w:asciiTheme="minorHAnsi" w:hAnsiTheme="minorHAnsi"/>
          <w:bCs/>
          <w:snapToGrid w:val="0"/>
          <w:lang w:val="en-GB"/>
        </w:rPr>
        <w:t xml:space="preserve">The PBAC noted the </w:t>
      </w:r>
      <w:r w:rsidR="005E2479" w:rsidRPr="0025557E">
        <w:rPr>
          <w:rFonts w:asciiTheme="minorHAnsi" w:hAnsiTheme="minorHAnsi"/>
          <w:bCs/>
          <w:snapToGrid w:val="0"/>
          <w:lang w:val="en-GB"/>
        </w:rPr>
        <w:t xml:space="preserve">economic model </w:t>
      </w:r>
      <w:r w:rsidR="00555C2B" w:rsidRPr="0025557E">
        <w:rPr>
          <w:rFonts w:asciiTheme="minorHAnsi" w:hAnsiTheme="minorHAnsi"/>
          <w:bCs/>
          <w:snapToGrid w:val="0"/>
          <w:lang w:val="en-GB"/>
        </w:rPr>
        <w:t xml:space="preserve">was sensitive to the proportion of BSC patients that receive immunotherapy (assumed to be pembrolizumab in the submission) in the advanced/ metastatic setting (as discussed in paragraph </w:t>
      </w:r>
      <w:r w:rsidR="00555C2B" w:rsidRPr="0025557E">
        <w:rPr>
          <w:rFonts w:asciiTheme="minorHAnsi" w:hAnsiTheme="minorHAnsi"/>
          <w:bCs/>
          <w:snapToGrid w:val="0"/>
          <w:lang w:val="en-GB"/>
        </w:rPr>
        <w:fldChar w:fldCharType="begin"/>
      </w:r>
      <w:r w:rsidR="00555C2B" w:rsidRPr="0025557E">
        <w:rPr>
          <w:rFonts w:asciiTheme="minorHAnsi" w:hAnsiTheme="minorHAnsi"/>
          <w:bCs/>
          <w:snapToGrid w:val="0"/>
          <w:lang w:val="en-GB"/>
        </w:rPr>
        <w:instrText xml:space="preserve"> REF _Ref109295767 \r \h </w:instrText>
      </w:r>
      <w:r w:rsidR="0025557E" w:rsidRPr="0025557E">
        <w:rPr>
          <w:rFonts w:asciiTheme="minorHAnsi" w:hAnsiTheme="minorHAnsi"/>
          <w:bCs/>
          <w:snapToGrid w:val="0"/>
          <w:lang w:val="en-GB"/>
        </w:rPr>
        <w:instrText xml:space="preserve"> \* MERGEFORMAT </w:instrText>
      </w:r>
      <w:r w:rsidR="00555C2B" w:rsidRPr="0025557E">
        <w:rPr>
          <w:rFonts w:asciiTheme="minorHAnsi" w:hAnsiTheme="minorHAnsi"/>
          <w:bCs/>
          <w:snapToGrid w:val="0"/>
          <w:lang w:val="en-GB"/>
        </w:rPr>
      </w:r>
      <w:r w:rsidR="00555C2B" w:rsidRPr="0025557E">
        <w:rPr>
          <w:rFonts w:asciiTheme="minorHAnsi" w:hAnsiTheme="minorHAnsi"/>
          <w:bCs/>
          <w:snapToGrid w:val="0"/>
          <w:lang w:val="en-GB"/>
        </w:rPr>
        <w:fldChar w:fldCharType="separate"/>
      </w:r>
      <w:r w:rsidR="0043151A">
        <w:rPr>
          <w:rFonts w:asciiTheme="minorHAnsi" w:hAnsiTheme="minorHAnsi"/>
          <w:bCs/>
          <w:snapToGrid w:val="0"/>
          <w:lang w:val="en-GB"/>
        </w:rPr>
        <w:t>6.58</w:t>
      </w:r>
      <w:r w:rsidR="00555C2B" w:rsidRPr="0025557E">
        <w:rPr>
          <w:rFonts w:asciiTheme="minorHAnsi" w:hAnsiTheme="minorHAnsi"/>
          <w:bCs/>
          <w:snapToGrid w:val="0"/>
          <w:lang w:val="en-GB"/>
        </w:rPr>
        <w:fldChar w:fldCharType="end"/>
      </w:r>
      <w:r w:rsidR="00555C2B" w:rsidRPr="0025557E">
        <w:rPr>
          <w:rFonts w:asciiTheme="minorHAnsi" w:hAnsiTheme="minorHAnsi"/>
          <w:bCs/>
          <w:snapToGrid w:val="0"/>
          <w:lang w:val="en-GB"/>
        </w:rPr>
        <w:t xml:space="preserve">). Additionally, the </w:t>
      </w:r>
      <w:r w:rsidR="0042355D" w:rsidRPr="0025557E">
        <w:rPr>
          <w:rFonts w:asciiTheme="minorHAnsi" w:hAnsiTheme="minorHAnsi"/>
          <w:bCs/>
          <w:snapToGrid w:val="0"/>
          <w:lang w:val="en-GB"/>
        </w:rPr>
        <w:t xml:space="preserve">assumptions regarding the costs and benefits </w:t>
      </w:r>
      <w:r w:rsidR="00582121" w:rsidRPr="0025557E">
        <w:rPr>
          <w:rFonts w:asciiTheme="minorHAnsi" w:hAnsiTheme="minorHAnsi"/>
          <w:bCs/>
          <w:snapToGrid w:val="0"/>
          <w:lang w:val="en-GB"/>
        </w:rPr>
        <w:t xml:space="preserve">of </w:t>
      </w:r>
      <w:r w:rsidR="00724DBC" w:rsidRPr="0025557E">
        <w:rPr>
          <w:rFonts w:asciiTheme="minorHAnsi" w:hAnsiTheme="minorHAnsi"/>
          <w:bCs/>
          <w:snapToGrid w:val="0"/>
          <w:lang w:val="en-GB"/>
        </w:rPr>
        <w:t>immunotherapy</w:t>
      </w:r>
      <w:r w:rsidR="0042355D" w:rsidRPr="0025557E">
        <w:rPr>
          <w:rFonts w:asciiTheme="minorHAnsi" w:hAnsiTheme="minorHAnsi"/>
          <w:bCs/>
          <w:snapToGrid w:val="0"/>
          <w:lang w:val="en-GB"/>
        </w:rPr>
        <w:t xml:space="preserve"> in the advanced/ metastatic setting may have resulted in the ICER being underestimated</w:t>
      </w:r>
      <w:r w:rsidR="00724DBC" w:rsidRPr="0025557E">
        <w:rPr>
          <w:rFonts w:asciiTheme="minorHAnsi" w:hAnsiTheme="minorHAnsi"/>
          <w:bCs/>
          <w:snapToGrid w:val="0"/>
          <w:lang w:val="en-GB"/>
        </w:rPr>
        <w:t xml:space="preserve"> </w:t>
      </w:r>
      <w:r w:rsidR="00582121" w:rsidRPr="0025557E">
        <w:rPr>
          <w:rFonts w:asciiTheme="minorHAnsi" w:hAnsiTheme="minorHAnsi"/>
          <w:bCs/>
          <w:snapToGrid w:val="0"/>
          <w:lang w:val="en-GB"/>
        </w:rPr>
        <w:t xml:space="preserve">(paragraph </w:t>
      </w:r>
      <w:r w:rsidR="00582121" w:rsidRPr="0025557E">
        <w:rPr>
          <w:rFonts w:asciiTheme="minorHAnsi" w:hAnsiTheme="minorHAnsi"/>
          <w:bCs/>
          <w:snapToGrid w:val="0"/>
          <w:lang w:val="en-GB"/>
        </w:rPr>
        <w:fldChar w:fldCharType="begin"/>
      </w:r>
      <w:r w:rsidR="00582121" w:rsidRPr="0025557E">
        <w:rPr>
          <w:rFonts w:asciiTheme="minorHAnsi" w:hAnsiTheme="minorHAnsi"/>
          <w:bCs/>
          <w:snapToGrid w:val="0"/>
          <w:lang w:val="en-GB"/>
        </w:rPr>
        <w:instrText xml:space="preserve"> REF _Ref109296593 \r \h </w:instrText>
      </w:r>
      <w:r w:rsidR="0025557E">
        <w:rPr>
          <w:rFonts w:asciiTheme="minorHAnsi" w:hAnsiTheme="minorHAnsi"/>
          <w:bCs/>
          <w:snapToGrid w:val="0"/>
          <w:lang w:val="en-GB"/>
        </w:rPr>
        <w:instrText xml:space="preserve"> \* MERGEFORMAT </w:instrText>
      </w:r>
      <w:r w:rsidR="00582121" w:rsidRPr="0025557E">
        <w:rPr>
          <w:rFonts w:asciiTheme="minorHAnsi" w:hAnsiTheme="minorHAnsi"/>
          <w:bCs/>
          <w:snapToGrid w:val="0"/>
          <w:lang w:val="en-GB"/>
        </w:rPr>
      </w:r>
      <w:r w:rsidR="00582121" w:rsidRPr="0025557E">
        <w:rPr>
          <w:rFonts w:asciiTheme="minorHAnsi" w:hAnsiTheme="minorHAnsi"/>
          <w:bCs/>
          <w:snapToGrid w:val="0"/>
          <w:lang w:val="en-GB"/>
        </w:rPr>
        <w:fldChar w:fldCharType="separate"/>
      </w:r>
      <w:r w:rsidR="0043151A">
        <w:rPr>
          <w:rFonts w:asciiTheme="minorHAnsi" w:hAnsiTheme="minorHAnsi"/>
          <w:bCs/>
          <w:snapToGrid w:val="0"/>
          <w:lang w:val="en-GB"/>
        </w:rPr>
        <w:t>6.46</w:t>
      </w:r>
      <w:r w:rsidR="00582121" w:rsidRPr="0025557E">
        <w:rPr>
          <w:rFonts w:asciiTheme="minorHAnsi" w:hAnsiTheme="minorHAnsi"/>
          <w:bCs/>
          <w:snapToGrid w:val="0"/>
          <w:lang w:val="en-GB"/>
        </w:rPr>
        <w:fldChar w:fldCharType="end"/>
      </w:r>
      <w:r w:rsidR="00582121" w:rsidRPr="0025557E">
        <w:rPr>
          <w:rFonts w:asciiTheme="minorHAnsi" w:hAnsiTheme="minorHAnsi"/>
          <w:bCs/>
          <w:snapToGrid w:val="0"/>
          <w:lang w:val="en-GB"/>
        </w:rPr>
        <w:t>)</w:t>
      </w:r>
      <w:bookmarkEnd w:id="82"/>
      <w:r w:rsidRPr="0025557E">
        <w:rPr>
          <w:rFonts w:asciiTheme="minorHAnsi" w:hAnsiTheme="minorHAnsi"/>
          <w:bCs/>
          <w:snapToGrid w:val="0"/>
          <w:lang w:val="en-GB"/>
        </w:rPr>
        <w:t>.</w:t>
      </w:r>
      <w:r w:rsidR="0025557E">
        <w:rPr>
          <w:rFonts w:asciiTheme="minorHAnsi" w:hAnsiTheme="minorHAnsi"/>
          <w:bCs/>
          <w:snapToGrid w:val="0"/>
          <w:lang w:val="en-GB"/>
        </w:rPr>
        <w:t xml:space="preserve"> The PBAC considered the assumptions regarding the proportion of patients achieving sustained DFS (i.e., ‘cured’) were not well justified in the submission</w:t>
      </w:r>
      <w:r w:rsidR="00F941F6" w:rsidRPr="0025557E">
        <w:rPr>
          <w:rFonts w:asciiTheme="minorHAnsi" w:hAnsiTheme="minorHAnsi"/>
          <w:bCs/>
          <w:snapToGrid w:val="0"/>
          <w:lang w:val="en-GB"/>
        </w:rPr>
        <w:t>.</w:t>
      </w:r>
    </w:p>
    <w:p w14:paraId="540DEDD3" w14:textId="4FC9D3D0" w:rsidR="00132D47" w:rsidRDefault="004A48B6" w:rsidP="00F77F67">
      <w:pPr>
        <w:widowControl w:val="0"/>
        <w:numPr>
          <w:ilvl w:val="1"/>
          <w:numId w:val="1"/>
        </w:numPr>
        <w:spacing w:after="240"/>
        <w:rPr>
          <w:rFonts w:asciiTheme="minorHAnsi" w:hAnsiTheme="minorHAnsi"/>
          <w:bCs/>
          <w:snapToGrid w:val="0"/>
          <w:lang w:val="en-GB"/>
        </w:rPr>
      </w:pPr>
      <w:r w:rsidRPr="0025557E">
        <w:rPr>
          <w:rFonts w:asciiTheme="minorHAnsi" w:hAnsiTheme="minorHAnsi"/>
          <w:bCs/>
          <w:snapToGrid w:val="0"/>
          <w:lang w:val="en-GB"/>
        </w:rPr>
        <w:t>The PBAC</w:t>
      </w:r>
      <w:r>
        <w:rPr>
          <w:rFonts w:asciiTheme="minorHAnsi" w:hAnsiTheme="minorHAnsi"/>
          <w:bCs/>
          <w:snapToGrid w:val="0"/>
          <w:lang w:val="en-GB"/>
        </w:rPr>
        <w:t xml:space="preserve"> considered it would be appropriate to increase the proportion of patients with a WHO PS of 1 or less from 63.39% to 80% and to increase the uptake rate of ATZ from 80% to 90%. The PBAC considered that, overall, with these adjustments, the estimated number of treated patients was reasonable and the methodology for calculating the estimated cost of listing ATZ on the PBS was appropriate.   </w:t>
      </w:r>
      <w:r w:rsidR="007D4AC2" w:rsidRPr="0025557E">
        <w:rPr>
          <w:rFonts w:asciiTheme="minorHAnsi" w:hAnsiTheme="minorHAnsi"/>
          <w:bCs/>
          <w:snapToGrid w:val="0"/>
          <w:lang w:val="en-GB"/>
        </w:rPr>
        <w:t>The PBAC noted the financial estimates</w:t>
      </w:r>
      <w:r w:rsidR="007D4AC2">
        <w:rPr>
          <w:rFonts w:asciiTheme="minorHAnsi" w:hAnsiTheme="minorHAnsi"/>
          <w:bCs/>
          <w:snapToGrid w:val="0"/>
          <w:lang w:val="en-GB"/>
        </w:rPr>
        <w:t xml:space="preserve"> included</w:t>
      </w:r>
      <w:r w:rsidR="00105023">
        <w:rPr>
          <w:rFonts w:asciiTheme="minorHAnsi" w:hAnsiTheme="minorHAnsi"/>
          <w:bCs/>
          <w:snapToGrid w:val="0"/>
          <w:lang w:val="en-GB"/>
        </w:rPr>
        <w:t xml:space="preserve"> &lt; 500</w:t>
      </w:r>
      <w:r w:rsidR="007D4AC2">
        <w:rPr>
          <w:rFonts w:asciiTheme="minorHAnsi" w:hAnsiTheme="minorHAnsi"/>
          <w:bCs/>
          <w:snapToGrid w:val="0"/>
          <w:lang w:val="en-GB"/>
        </w:rPr>
        <w:t xml:space="preserve"> patients that would transition to PBS treatment in Year 1 at a reduced treatment cost</w:t>
      </w:r>
      <w:r>
        <w:rPr>
          <w:rFonts w:asciiTheme="minorHAnsi" w:hAnsiTheme="minorHAnsi"/>
          <w:bCs/>
          <w:snapToGrid w:val="0"/>
          <w:lang w:val="en-GB"/>
        </w:rPr>
        <w:t xml:space="preserve"> and considered this was reasonable</w:t>
      </w:r>
      <w:r w:rsidR="007D4AC2">
        <w:rPr>
          <w:rFonts w:asciiTheme="minorHAnsi" w:hAnsiTheme="minorHAnsi"/>
          <w:bCs/>
          <w:snapToGrid w:val="0"/>
          <w:lang w:val="en-GB"/>
        </w:rPr>
        <w:t xml:space="preserve">. </w:t>
      </w:r>
    </w:p>
    <w:p w14:paraId="73841384" w14:textId="162DB0F2" w:rsidR="00B851A9" w:rsidRPr="00F77F67" w:rsidRDefault="009F61F4" w:rsidP="00F77F67">
      <w:pPr>
        <w:widowControl w:val="0"/>
        <w:numPr>
          <w:ilvl w:val="1"/>
          <w:numId w:val="1"/>
        </w:numPr>
        <w:spacing w:after="240"/>
        <w:rPr>
          <w:rFonts w:asciiTheme="minorHAnsi" w:hAnsiTheme="minorHAnsi"/>
          <w:bCs/>
          <w:snapToGrid w:val="0"/>
          <w:lang w:val="en-GB"/>
        </w:rPr>
      </w:pPr>
      <w:r>
        <w:rPr>
          <w:rFonts w:asciiTheme="minorHAnsi" w:hAnsiTheme="minorHAnsi"/>
          <w:bCs/>
          <w:snapToGrid w:val="0"/>
          <w:lang w:val="en-GB"/>
        </w:rPr>
        <w:t xml:space="preserve">The PBAC noted that the financials </w:t>
      </w:r>
      <w:r w:rsidR="00CF5E91">
        <w:rPr>
          <w:rFonts w:asciiTheme="minorHAnsi" w:hAnsiTheme="minorHAnsi"/>
          <w:bCs/>
          <w:snapToGrid w:val="0"/>
          <w:lang w:val="en-GB"/>
        </w:rPr>
        <w:t xml:space="preserve">provided in the submission </w:t>
      </w:r>
      <w:r>
        <w:rPr>
          <w:rFonts w:asciiTheme="minorHAnsi" w:hAnsiTheme="minorHAnsi"/>
          <w:bCs/>
          <w:snapToGrid w:val="0"/>
          <w:lang w:val="en-GB"/>
        </w:rPr>
        <w:t>assumed that</w:t>
      </w:r>
      <w:r w:rsidR="004B0416">
        <w:rPr>
          <w:rFonts w:asciiTheme="minorHAnsi" w:hAnsiTheme="minorHAnsi"/>
          <w:bCs/>
          <w:snapToGrid w:val="0"/>
          <w:lang w:val="en-GB"/>
        </w:rPr>
        <w:t>, in the absence of ATZ</w:t>
      </w:r>
      <w:r w:rsidR="00FC7E01">
        <w:rPr>
          <w:rFonts w:asciiTheme="minorHAnsi" w:hAnsiTheme="minorHAnsi"/>
          <w:bCs/>
          <w:snapToGrid w:val="0"/>
          <w:lang w:val="en-GB"/>
        </w:rPr>
        <w:t xml:space="preserve"> </w:t>
      </w:r>
      <w:r w:rsidR="00582121">
        <w:rPr>
          <w:rFonts w:asciiTheme="minorHAnsi" w:hAnsiTheme="minorHAnsi"/>
          <w:bCs/>
          <w:snapToGrid w:val="0"/>
          <w:lang w:val="en-GB"/>
        </w:rPr>
        <w:t xml:space="preserve">being available </w:t>
      </w:r>
      <w:r w:rsidR="00FC7E01">
        <w:rPr>
          <w:rFonts w:asciiTheme="minorHAnsi" w:hAnsiTheme="minorHAnsi"/>
          <w:bCs/>
          <w:snapToGrid w:val="0"/>
          <w:lang w:val="en-GB"/>
        </w:rPr>
        <w:t>in the adjuvant treatment setting</w:t>
      </w:r>
      <w:r w:rsidR="004B0416">
        <w:rPr>
          <w:rFonts w:asciiTheme="minorHAnsi" w:hAnsiTheme="minorHAnsi"/>
          <w:bCs/>
          <w:snapToGrid w:val="0"/>
          <w:lang w:val="en-GB"/>
        </w:rPr>
        <w:t>,</w:t>
      </w:r>
      <w:r>
        <w:rPr>
          <w:rFonts w:asciiTheme="minorHAnsi" w:hAnsiTheme="minorHAnsi"/>
          <w:bCs/>
          <w:snapToGrid w:val="0"/>
          <w:lang w:val="en-GB"/>
        </w:rPr>
        <w:t xml:space="preserve"> all patients </w:t>
      </w:r>
      <w:r w:rsidR="00582121">
        <w:rPr>
          <w:rFonts w:asciiTheme="minorHAnsi" w:hAnsiTheme="minorHAnsi"/>
          <w:bCs/>
          <w:snapToGrid w:val="0"/>
          <w:lang w:val="en-GB"/>
        </w:rPr>
        <w:t xml:space="preserve">expected to be treated with ATZ </w:t>
      </w:r>
      <w:r w:rsidR="004B0416">
        <w:rPr>
          <w:rFonts w:asciiTheme="minorHAnsi" w:hAnsiTheme="minorHAnsi"/>
          <w:bCs/>
          <w:snapToGrid w:val="0"/>
          <w:lang w:val="en-GB"/>
        </w:rPr>
        <w:t xml:space="preserve">would have </w:t>
      </w:r>
      <w:r>
        <w:rPr>
          <w:rFonts w:asciiTheme="minorHAnsi" w:hAnsiTheme="minorHAnsi"/>
          <w:bCs/>
          <w:snapToGrid w:val="0"/>
          <w:lang w:val="en-GB"/>
        </w:rPr>
        <w:t>experience</w:t>
      </w:r>
      <w:r w:rsidR="004B0416">
        <w:rPr>
          <w:rFonts w:asciiTheme="minorHAnsi" w:hAnsiTheme="minorHAnsi"/>
          <w:bCs/>
          <w:snapToGrid w:val="0"/>
          <w:lang w:val="en-GB"/>
        </w:rPr>
        <w:t>d disease</w:t>
      </w:r>
      <w:r>
        <w:rPr>
          <w:rFonts w:asciiTheme="minorHAnsi" w:hAnsiTheme="minorHAnsi"/>
          <w:bCs/>
          <w:snapToGrid w:val="0"/>
          <w:lang w:val="en-GB"/>
        </w:rPr>
        <w:t xml:space="preserve"> recurrence within 12 months and </w:t>
      </w:r>
      <w:r w:rsidR="004B0416">
        <w:rPr>
          <w:rFonts w:asciiTheme="minorHAnsi" w:hAnsiTheme="minorHAnsi"/>
          <w:bCs/>
          <w:snapToGrid w:val="0"/>
          <w:lang w:val="en-GB"/>
        </w:rPr>
        <w:t>would h</w:t>
      </w:r>
      <w:r w:rsidR="00FC7E01">
        <w:rPr>
          <w:rFonts w:asciiTheme="minorHAnsi" w:hAnsiTheme="minorHAnsi"/>
          <w:bCs/>
          <w:snapToGrid w:val="0"/>
          <w:lang w:val="en-GB"/>
        </w:rPr>
        <w:t>a</w:t>
      </w:r>
      <w:r w:rsidR="004B0416">
        <w:rPr>
          <w:rFonts w:asciiTheme="minorHAnsi" w:hAnsiTheme="minorHAnsi"/>
          <w:bCs/>
          <w:snapToGrid w:val="0"/>
          <w:lang w:val="en-GB"/>
        </w:rPr>
        <w:t>ve been treated with immunotherapy in the advanced/ metastatic setting.</w:t>
      </w:r>
      <w:r w:rsidR="00D9219F">
        <w:rPr>
          <w:rFonts w:asciiTheme="minorHAnsi" w:hAnsiTheme="minorHAnsi"/>
          <w:bCs/>
          <w:snapToGrid w:val="0"/>
          <w:lang w:val="en-GB"/>
        </w:rPr>
        <w:t xml:space="preserve"> </w:t>
      </w:r>
      <w:r w:rsidR="004B0416">
        <w:rPr>
          <w:rFonts w:asciiTheme="minorHAnsi" w:hAnsiTheme="minorHAnsi"/>
          <w:bCs/>
          <w:snapToGrid w:val="0"/>
          <w:lang w:val="en-GB"/>
        </w:rPr>
        <w:t>The PBAC considered</w:t>
      </w:r>
      <w:r w:rsidR="00FC7E01">
        <w:rPr>
          <w:rFonts w:asciiTheme="minorHAnsi" w:hAnsiTheme="minorHAnsi"/>
          <w:bCs/>
          <w:snapToGrid w:val="0"/>
          <w:lang w:val="en-GB"/>
        </w:rPr>
        <w:t xml:space="preserve"> this</w:t>
      </w:r>
      <w:r w:rsidR="00132D47">
        <w:rPr>
          <w:rFonts w:asciiTheme="minorHAnsi" w:hAnsiTheme="minorHAnsi"/>
          <w:bCs/>
          <w:snapToGrid w:val="0"/>
          <w:lang w:val="en-GB"/>
        </w:rPr>
        <w:t xml:space="preserve"> was likely to have</w:t>
      </w:r>
      <w:r w:rsidR="00FC7E01">
        <w:rPr>
          <w:rFonts w:asciiTheme="minorHAnsi" w:hAnsiTheme="minorHAnsi"/>
          <w:bCs/>
          <w:snapToGrid w:val="0"/>
          <w:lang w:val="en-GB"/>
        </w:rPr>
        <w:t xml:space="preserve"> overestimated the cost offsets </w:t>
      </w:r>
      <w:r w:rsidR="00D9219F">
        <w:rPr>
          <w:rFonts w:asciiTheme="minorHAnsi" w:hAnsiTheme="minorHAnsi"/>
          <w:bCs/>
          <w:snapToGrid w:val="0"/>
          <w:lang w:val="en-GB"/>
        </w:rPr>
        <w:t xml:space="preserve">(and therefore resulted in cost savings to the PBS) </w:t>
      </w:r>
      <w:r w:rsidR="00FC7E01">
        <w:rPr>
          <w:rFonts w:asciiTheme="minorHAnsi" w:hAnsiTheme="minorHAnsi"/>
          <w:bCs/>
          <w:snapToGrid w:val="0"/>
          <w:lang w:val="en-GB"/>
        </w:rPr>
        <w:t xml:space="preserve">and </w:t>
      </w:r>
      <w:r w:rsidR="004B0416">
        <w:rPr>
          <w:rFonts w:asciiTheme="minorHAnsi" w:hAnsiTheme="minorHAnsi"/>
          <w:bCs/>
          <w:snapToGrid w:val="0"/>
          <w:lang w:val="en-GB"/>
        </w:rPr>
        <w:t xml:space="preserve">it was reasonable to </w:t>
      </w:r>
      <w:r w:rsidR="00FC7E01">
        <w:rPr>
          <w:rFonts w:asciiTheme="minorHAnsi" w:hAnsiTheme="minorHAnsi"/>
          <w:bCs/>
          <w:snapToGrid w:val="0"/>
          <w:lang w:val="en-GB"/>
        </w:rPr>
        <w:t xml:space="preserve">instead </w:t>
      </w:r>
      <w:r w:rsidR="004B0416">
        <w:rPr>
          <w:rFonts w:asciiTheme="minorHAnsi" w:hAnsiTheme="minorHAnsi"/>
          <w:bCs/>
          <w:snapToGrid w:val="0"/>
          <w:lang w:val="en-GB"/>
        </w:rPr>
        <w:t>apply the cumulative proportion of patients transitioning into the first line distant recurrence health state in the BSC arm</w:t>
      </w:r>
      <w:r w:rsidR="00FC7E01">
        <w:rPr>
          <w:rFonts w:asciiTheme="minorHAnsi" w:hAnsiTheme="minorHAnsi"/>
          <w:bCs/>
          <w:snapToGrid w:val="0"/>
          <w:lang w:val="en-GB"/>
        </w:rPr>
        <w:t xml:space="preserve"> from the economic model</w:t>
      </w:r>
      <w:r w:rsidR="004B0416">
        <w:rPr>
          <w:rFonts w:asciiTheme="minorHAnsi" w:hAnsiTheme="minorHAnsi"/>
          <w:bCs/>
          <w:snapToGrid w:val="0"/>
          <w:lang w:val="en-GB"/>
        </w:rPr>
        <w:t xml:space="preserve"> </w:t>
      </w:r>
      <w:r w:rsidR="00FC7E01">
        <w:rPr>
          <w:rFonts w:asciiTheme="minorHAnsi" w:hAnsiTheme="minorHAnsi"/>
          <w:bCs/>
          <w:snapToGrid w:val="0"/>
          <w:lang w:val="en-GB"/>
        </w:rPr>
        <w:t xml:space="preserve">as discussed in </w:t>
      </w:r>
      <w:r w:rsidR="00132D47">
        <w:rPr>
          <w:rFonts w:asciiTheme="minorHAnsi" w:hAnsiTheme="minorHAnsi"/>
          <w:bCs/>
          <w:snapToGrid w:val="0"/>
          <w:lang w:val="en-GB"/>
        </w:rPr>
        <w:t xml:space="preserve">paragraph </w:t>
      </w:r>
      <w:r w:rsidR="00132D47">
        <w:rPr>
          <w:rFonts w:asciiTheme="minorHAnsi" w:hAnsiTheme="minorHAnsi"/>
          <w:bCs/>
          <w:snapToGrid w:val="0"/>
          <w:lang w:val="en-GB"/>
        </w:rPr>
        <w:fldChar w:fldCharType="begin"/>
      </w:r>
      <w:r w:rsidR="00132D47">
        <w:rPr>
          <w:rFonts w:asciiTheme="minorHAnsi" w:hAnsiTheme="minorHAnsi"/>
          <w:bCs/>
          <w:snapToGrid w:val="0"/>
          <w:lang w:val="en-GB"/>
        </w:rPr>
        <w:instrText xml:space="preserve"> REF _Ref109299196 \r \h </w:instrText>
      </w:r>
      <w:r w:rsidR="00132D47">
        <w:rPr>
          <w:rFonts w:asciiTheme="minorHAnsi" w:hAnsiTheme="minorHAnsi"/>
          <w:bCs/>
          <w:snapToGrid w:val="0"/>
          <w:lang w:val="en-GB"/>
        </w:rPr>
      </w:r>
      <w:r w:rsidR="00132D47">
        <w:rPr>
          <w:rFonts w:asciiTheme="minorHAnsi" w:hAnsiTheme="minorHAnsi"/>
          <w:bCs/>
          <w:snapToGrid w:val="0"/>
          <w:lang w:val="en-GB"/>
        </w:rPr>
        <w:fldChar w:fldCharType="separate"/>
      </w:r>
      <w:r w:rsidR="0043151A">
        <w:rPr>
          <w:rFonts w:asciiTheme="minorHAnsi" w:hAnsiTheme="minorHAnsi"/>
          <w:bCs/>
          <w:snapToGrid w:val="0"/>
          <w:lang w:val="en-GB"/>
        </w:rPr>
        <w:t>6.71</w:t>
      </w:r>
      <w:r w:rsidR="00132D47">
        <w:rPr>
          <w:rFonts w:asciiTheme="minorHAnsi" w:hAnsiTheme="minorHAnsi"/>
          <w:bCs/>
          <w:snapToGrid w:val="0"/>
          <w:lang w:val="en-GB"/>
        </w:rPr>
        <w:fldChar w:fldCharType="end"/>
      </w:r>
      <w:r w:rsidR="001378F9">
        <w:rPr>
          <w:rFonts w:asciiTheme="minorHAnsi" w:hAnsiTheme="minorHAnsi"/>
          <w:bCs/>
          <w:snapToGrid w:val="0"/>
          <w:lang w:val="en-GB"/>
        </w:rPr>
        <w:t xml:space="preserve">. The PBAC noted that in the population of patients with PD-L1 </w:t>
      </w:r>
      <w:r w:rsidR="001378F9">
        <w:rPr>
          <w:rFonts w:asciiTheme="minorHAnsi" w:hAnsiTheme="minorHAnsi" w:cstheme="minorHAnsi"/>
          <w:bCs/>
          <w:snapToGrid w:val="0"/>
          <w:lang w:val="en-GB"/>
        </w:rPr>
        <w:t>≥</w:t>
      </w:r>
      <w:r w:rsidR="001378F9">
        <w:rPr>
          <w:rFonts w:asciiTheme="minorHAnsi" w:hAnsiTheme="minorHAnsi"/>
          <w:bCs/>
          <w:snapToGrid w:val="0"/>
          <w:lang w:val="en-GB"/>
        </w:rPr>
        <w:t xml:space="preserve"> 50%, 17.40% would experience distant recurrence in the first year, 13.04% in the second </w:t>
      </w:r>
      <w:r w:rsidR="001378F9">
        <w:rPr>
          <w:rFonts w:asciiTheme="minorHAnsi" w:hAnsiTheme="minorHAnsi"/>
          <w:bCs/>
          <w:snapToGrid w:val="0"/>
          <w:lang w:val="en-GB"/>
        </w:rPr>
        <w:lastRenderedPageBreak/>
        <w:t>year, 9.14% in the third year 6.22% in the fourth year, 3.27% in the fifth year and 1.58% in the sixth year of listing</w:t>
      </w:r>
      <w:r w:rsidR="00132D47">
        <w:rPr>
          <w:rFonts w:asciiTheme="minorHAnsi" w:hAnsiTheme="minorHAnsi"/>
          <w:bCs/>
          <w:snapToGrid w:val="0"/>
          <w:lang w:val="en-GB"/>
        </w:rPr>
        <w:t xml:space="preserve">. </w:t>
      </w:r>
      <w:r w:rsidR="00FB2888">
        <w:rPr>
          <w:rFonts w:asciiTheme="minorHAnsi" w:hAnsiTheme="minorHAnsi"/>
          <w:bCs/>
          <w:snapToGrid w:val="0"/>
          <w:lang w:val="en-GB"/>
        </w:rPr>
        <w:t xml:space="preserve">The PBAC considered it would be more reasonable to assume 90% of recurrent patients would </w:t>
      </w:r>
      <w:r w:rsidR="001378F9">
        <w:rPr>
          <w:rFonts w:asciiTheme="minorHAnsi" w:hAnsiTheme="minorHAnsi"/>
          <w:bCs/>
          <w:snapToGrid w:val="0"/>
          <w:lang w:val="en-GB"/>
        </w:rPr>
        <w:t xml:space="preserve">be treated with immunotherapy.  </w:t>
      </w:r>
      <w:r w:rsidR="00B851A9" w:rsidRPr="00A12F18">
        <w:t>The PBAC considered the additional expenditure associated with</w:t>
      </w:r>
      <w:r w:rsidR="002626C7">
        <w:t xml:space="preserve"> ATZ</w:t>
      </w:r>
      <w:r w:rsidR="00B851A9" w:rsidRPr="00A12F18">
        <w:t xml:space="preserve"> in this population</w:t>
      </w:r>
      <w:r w:rsidR="007D4AC2">
        <w:t>, taking into account the revised offsets for reduced use of subsequent immunotherapy</w:t>
      </w:r>
      <w:r w:rsidR="00683A59">
        <w:t xml:space="preserve"> (</w:t>
      </w:r>
      <w:r w:rsidR="002626C7">
        <w:t xml:space="preserve">and </w:t>
      </w:r>
      <w:r w:rsidR="00683A59">
        <w:t>using effective prices)</w:t>
      </w:r>
      <w:r w:rsidR="007D4AC2">
        <w:t xml:space="preserve">, </w:t>
      </w:r>
      <w:r w:rsidR="00B851A9" w:rsidRPr="00A12F18">
        <w:t xml:space="preserve">could be added to the current risk sharing arrangement in place for non-small </w:t>
      </w:r>
      <w:r w:rsidR="00473039">
        <w:t xml:space="preserve">cell </w:t>
      </w:r>
      <w:r w:rsidR="00B851A9" w:rsidRPr="00A12F18">
        <w:t>lung cancer.</w:t>
      </w:r>
    </w:p>
    <w:p w14:paraId="2B03F7D6" w14:textId="6C12155F" w:rsidR="00FD5D72" w:rsidRDefault="00B851A9" w:rsidP="00FD5D72">
      <w:pPr>
        <w:widowControl w:val="0"/>
        <w:numPr>
          <w:ilvl w:val="1"/>
          <w:numId w:val="1"/>
        </w:numPr>
        <w:contextualSpacing/>
        <w:rPr>
          <w:rFonts w:asciiTheme="minorHAnsi" w:hAnsiTheme="minorHAnsi"/>
          <w:bCs/>
          <w:snapToGrid w:val="0"/>
          <w:lang w:val="en-GB"/>
        </w:rPr>
      </w:pPr>
      <w:r>
        <w:rPr>
          <w:rFonts w:asciiTheme="minorHAnsi" w:hAnsiTheme="minorHAnsi"/>
          <w:bCs/>
          <w:snapToGrid w:val="0"/>
          <w:lang w:val="en-GB"/>
        </w:rPr>
        <w:t>The PBAC</w:t>
      </w:r>
      <w:r w:rsidR="00D54A40">
        <w:rPr>
          <w:rFonts w:asciiTheme="minorHAnsi" w:hAnsiTheme="minorHAnsi"/>
          <w:bCs/>
          <w:snapToGrid w:val="0"/>
          <w:lang w:val="en-GB"/>
        </w:rPr>
        <w:t xml:space="preserve"> noted</w:t>
      </w:r>
      <w:r w:rsidR="00622670">
        <w:rPr>
          <w:rFonts w:asciiTheme="minorHAnsi" w:hAnsiTheme="minorHAnsi"/>
          <w:bCs/>
          <w:snapToGrid w:val="0"/>
          <w:lang w:val="en-GB"/>
        </w:rPr>
        <w:t xml:space="preserve"> the</w:t>
      </w:r>
      <w:r>
        <w:rPr>
          <w:rFonts w:asciiTheme="minorHAnsi" w:hAnsiTheme="minorHAnsi"/>
          <w:bCs/>
          <w:snapToGrid w:val="0"/>
          <w:lang w:val="en-GB"/>
        </w:rPr>
        <w:t xml:space="preserve"> following</w:t>
      </w:r>
      <w:r w:rsidR="0005000C">
        <w:rPr>
          <w:rFonts w:asciiTheme="minorHAnsi" w:hAnsiTheme="minorHAnsi"/>
          <w:bCs/>
          <w:snapToGrid w:val="0"/>
          <w:lang w:val="en-GB"/>
        </w:rPr>
        <w:t xml:space="preserve"> changes to the restriction criteria </w:t>
      </w:r>
      <w:r w:rsidR="00670684">
        <w:rPr>
          <w:rFonts w:asciiTheme="minorHAnsi" w:hAnsiTheme="minorHAnsi"/>
          <w:bCs/>
          <w:snapToGrid w:val="0"/>
          <w:lang w:val="en-GB"/>
        </w:rPr>
        <w:t xml:space="preserve">provided in the submission </w:t>
      </w:r>
      <w:r w:rsidR="0005000C">
        <w:rPr>
          <w:rFonts w:asciiTheme="minorHAnsi" w:hAnsiTheme="minorHAnsi"/>
          <w:bCs/>
          <w:snapToGrid w:val="0"/>
          <w:lang w:val="en-GB"/>
        </w:rPr>
        <w:t>would be required</w:t>
      </w:r>
      <w:r>
        <w:rPr>
          <w:rFonts w:asciiTheme="minorHAnsi" w:hAnsiTheme="minorHAnsi"/>
          <w:bCs/>
          <w:snapToGrid w:val="0"/>
          <w:lang w:val="en-GB"/>
        </w:rPr>
        <w:t>:</w:t>
      </w:r>
    </w:p>
    <w:p w14:paraId="28508392" w14:textId="6581C134" w:rsidR="00FF2826" w:rsidRPr="00FF2826" w:rsidRDefault="001760C8" w:rsidP="003C20A9">
      <w:pPr>
        <w:pStyle w:val="ListParagraph"/>
        <w:widowControl w:val="0"/>
        <w:numPr>
          <w:ilvl w:val="0"/>
          <w:numId w:val="42"/>
        </w:numPr>
        <w:contextualSpacing/>
        <w:rPr>
          <w:bCs/>
          <w:lang w:val="en-GB"/>
        </w:rPr>
      </w:pPr>
      <w:r>
        <w:rPr>
          <w:bCs/>
          <w:lang w:val="en-GB"/>
        </w:rPr>
        <w:t xml:space="preserve">Add </w:t>
      </w:r>
      <w:r w:rsidR="00D23251" w:rsidRPr="00FF2826">
        <w:rPr>
          <w:bCs/>
          <w:lang w:val="en-GB"/>
        </w:rPr>
        <w:t>the treatment criteria ‘The treatment must be prescribed with up to a certain number of repeat prescriptions dependent on the frequency of dosing as follows: (i) up to 5 repeats for dosing occurring once every 4 weeks, (ii) up to 7 repeats for dosing occurring once every 3 weeks</w:t>
      </w:r>
      <w:r w:rsidR="0043151A">
        <w:rPr>
          <w:bCs/>
          <w:lang w:val="en-GB"/>
        </w:rPr>
        <w:t>’.</w:t>
      </w:r>
      <w:r w:rsidR="00FF2826">
        <w:rPr>
          <w:lang w:val="en-GB"/>
        </w:rPr>
        <w:t xml:space="preserve"> </w:t>
      </w:r>
    </w:p>
    <w:p w14:paraId="061F99E4" w14:textId="6C165527" w:rsidR="00FF2826" w:rsidRDefault="003C20A9" w:rsidP="00FF2826">
      <w:pPr>
        <w:pStyle w:val="ListParagraph"/>
        <w:widowControl w:val="0"/>
        <w:numPr>
          <w:ilvl w:val="0"/>
          <w:numId w:val="42"/>
        </w:numPr>
        <w:contextualSpacing/>
        <w:rPr>
          <w:bCs/>
          <w:lang w:val="en-GB"/>
        </w:rPr>
      </w:pPr>
      <w:r w:rsidRPr="003C20A9">
        <w:rPr>
          <w:bCs/>
          <w:lang w:val="en-GB"/>
        </w:rPr>
        <w:t xml:space="preserve">Amend the clinical criteria </w:t>
      </w:r>
      <w:r>
        <w:rPr>
          <w:bCs/>
          <w:lang w:val="en-GB"/>
        </w:rPr>
        <w:t>‘</w:t>
      </w:r>
      <w:r w:rsidRPr="003C20A9">
        <w:rPr>
          <w:bCs/>
          <w:lang w:val="en-GB"/>
        </w:rPr>
        <w:t>The condition must have, prior to initiating treatment with this drug, confirmation of programmed cell death ligand 1 (PD-L1) expression on at least 1% of tumour cells’ to ‘The condition must have, prior to initiating treatment with this drug, confirmation of programmed cell</w:t>
      </w:r>
      <w:r w:rsidR="00FF2826">
        <w:rPr>
          <w:bCs/>
          <w:lang w:val="en-GB"/>
        </w:rPr>
        <w:t xml:space="preserve"> </w:t>
      </w:r>
      <w:r w:rsidRPr="003C20A9">
        <w:rPr>
          <w:bCs/>
          <w:lang w:val="en-GB"/>
        </w:rPr>
        <w:t>death ligand 1 (PD-L1) expression on at least 50% of tumour cells’</w:t>
      </w:r>
      <w:r w:rsidR="001760C8">
        <w:rPr>
          <w:bCs/>
          <w:lang w:val="en-GB"/>
        </w:rPr>
        <w:t>.</w:t>
      </w:r>
    </w:p>
    <w:p w14:paraId="3655F7BC" w14:textId="1BD3975B" w:rsidR="00FF2826" w:rsidRPr="00FF2826" w:rsidRDefault="00FF2826" w:rsidP="00FF2826">
      <w:pPr>
        <w:pStyle w:val="ListParagraph"/>
        <w:widowControl w:val="0"/>
        <w:numPr>
          <w:ilvl w:val="0"/>
          <w:numId w:val="42"/>
        </w:numPr>
        <w:contextualSpacing/>
        <w:rPr>
          <w:bCs/>
          <w:lang w:val="en-GB"/>
        </w:rPr>
      </w:pPr>
      <w:r>
        <w:rPr>
          <w:bCs/>
          <w:lang w:val="en-GB"/>
        </w:rPr>
        <w:t>Delete the treatment criteria ‘The treatment must be as monotherapy’ and add the clinical criteria ‘</w:t>
      </w:r>
      <w:r w:rsidRPr="00FF2826">
        <w:rPr>
          <w:bCs/>
          <w:lang w:val="en-GB"/>
        </w:rPr>
        <w:t>The treatment must be the sole PBS-subsidised systemic anti-cancer therapy for this condition</w:t>
      </w:r>
      <w:r>
        <w:rPr>
          <w:bCs/>
          <w:lang w:val="en-GB"/>
        </w:rPr>
        <w:t xml:space="preserve">’. </w:t>
      </w:r>
    </w:p>
    <w:p w14:paraId="3B4B0FB5" w14:textId="7C60A0A5" w:rsidR="003C20A9" w:rsidRPr="003C20A9" w:rsidRDefault="001760C8" w:rsidP="003C20A9">
      <w:pPr>
        <w:pStyle w:val="ListParagraph"/>
        <w:widowControl w:val="0"/>
        <w:numPr>
          <w:ilvl w:val="0"/>
          <w:numId w:val="42"/>
        </w:numPr>
        <w:contextualSpacing/>
        <w:rPr>
          <w:bCs/>
          <w:lang w:val="en-GB"/>
        </w:rPr>
      </w:pPr>
      <w:r>
        <w:rPr>
          <w:bCs/>
          <w:lang w:val="en-GB"/>
        </w:rPr>
        <w:t xml:space="preserve">Add </w:t>
      </w:r>
      <w:r w:rsidR="003C20A9">
        <w:rPr>
          <w:bCs/>
          <w:lang w:val="en-GB"/>
        </w:rPr>
        <w:t>the treatment criteria ‘</w:t>
      </w:r>
      <w:r w:rsidR="003C20A9" w:rsidRPr="003C20A9">
        <w:rPr>
          <w:bCs/>
          <w:lang w:val="en-GB"/>
        </w:rPr>
        <w:t xml:space="preserve">Patient must be undergoing treatment that does not </w:t>
      </w:r>
      <w:r w:rsidR="00F32E7F">
        <w:rPr>
          <w:bCs/>
          <w:lang w:val="en-GB"/>
        </w:rPr>
        <w:t xml:space="preserve">occur </w:t>
      </w:r>
      <w:r w:rsidR="003C20A9" w:rsidRPr="003C20A9">
        <w:rPr>
          <w:bCs/>
          <w:lang w:val="en-GB"/>
        </w:rPr>
        <w:t xml:space="preserve">beyond the following, whichever comes first: (i) </w:t>
      </w:r>
      <w:r w:rsidR="00F32E7F">
        <w:rPr>
          <w:bCs/>
          <w:lang w:val="en-GB"/>
        </w:rPr>
        <w:t xml:space="preserve">the first instance of </w:t>
      </w:r>
      <w:r w:rsidR="003C20A9" w:rsidRPr="003C20A9">
        <w:rPr>
          <w:bCs/>
          <w:lang w:val="en-GB"/>
        </w:rPr>
        <w:t xml:space="preserve">disease progression/recurrence, (ii) 12 months in total for this condition </w:t>
      </w:r>
      <w:r w:rsidR="00FF2826">
        <w:rPr>
          <w:bCs/>
          <w:lang w:val="en-GB"/>
        </w:rPr>
        <w:t>from the first administered dose</w:t>
      </w:r>
      <w:r w:rsidR="003C20A9" w:rsidRPr="003C20A9">
        <w:rPr>
          <w:bCs/>
          <w:lang w:val="en-GB"/>
        </w:rPr>
        <w:t>; mark any remaining repeat prescriptions with the words ‘cancelled’ where (i)/(ii) has occurred’</w:t>
      </w:r>
      <w:r>
        <w:rPr>
          <w:bCs/>
          <w:lang w:val="en-GB"/>
        </w:rPr>
        <w:t>.</w:t>
      </w:r>
    </w:p>
    <w:p w14:paraId="297F3ADC" w14:textId="77777777" w:rsidR="006A2E29" w:rsidRDefault="00844802" w:rsidP="0076145F">
      <w:pPr>
        <w:pStyle w:val="3-BodyText"/>
      </w:pPr>
      <w:r>
        <w:t xml:space="preserve">The PBAC advised that atezolizumab is not suitable for prescribing by nurse practitioners. </w:t>
      </w:r>
    </w:p>
    <w:p w14:paraId="1B08025B" w14:textId="49C34FCE" w:rsidR="0025403A" w:rsidRDefault="00844802" w:rsidP="0076145F">
      <w:pPr>
        <w:pStyle w:val="3-BodyText"/>
      </w:pPr>
      <w:r>
        <w:t xml:space="preserve">The PBAC recommended that the Early Supply Rule should not apply as this is a Section 100 listing. </w:t>
      </w:r>
    </w:p>
    <w:p w14:paraId="7E98A7F6" w14:textId="738A39C9" w:rsidR="0025403A" w:rsidRPr="0025403A" w:rsidRDefault="0025403A" w:rsidP="0025403A">
      <w:pPr>
        <w:widowControl w:val="0"/>
        <w:numPr>
          <w:ilvl w:val="1"/>
          <w:numId w:val="1"/>
        </w:numPr>
        <w:contextualSpacing/>
        <w:rPr>
          <w:rFonts w:asciiTheme="minorHAnsi" w:hAnsiTheme="minorHAnsi" w:cstheme="minorHAnsi"/>
        </w:rPr>
      </w:pPr>
      <w:r>
        <w:t xml:space="preserve">The PBAC found that the criteria prescribed by the </w:t>
      </w:r>
      <w:r w:rsidR="003533C1">
        <w:rPr>
          <w:rFonts w:asciiTheme="minorHAnsi" w:hAnsiTheme="minorHAnsi" w:cstheme="minorHAnsi"/>
          <w:i/>
          <w:lang w:val="en-GB" w:eastAsia="en-US"/>
        </w:rPr>
        <w:t>National Health (Pharmaceuticals and Vaccines – Cost Recovery) Regulations 2022</w:t>
      </w:r>
      <w:r w:rsidR="003533C1">
        <w:rPr>
          <w:rFonts w:asciiTheme="minorHAnsi" w:hAnsiTheme="minorHAnsi" w:cstheme="minorHAnsi"/>
          <w:lang w:val="en-GB" w:eastAsia="en-US"/>
        </w:rPr>
        <w:t xml:space="preserve"> </w:t>
      </w:r>
      <w:r>
        <w:t xml:space="preserve">for Pricing Pathway A were met. Specifically, the PBAC found that in the circumstances of its recommendation for atezolizumab: </w:t>
      </w:r>
    </w:p>
    <w:p w14:paraId="417090A9" w14:textId="1BB25206" w:rsidR="0025403A" w:rsidRPr="0025403A" w:rsidRDefault="0025403A" w:rsidP="0025403A">
      <w:pPr>
        <w:pStyle w:val="ListParagraph"/>
        <w:widowControl w:val="0"/>
        <w:numPr>
          <w:ilvl w:val="0"/>
          <w:numId w:val="22"/>
        </w:numPr>
        <w:contextualSpacing/>
        <w:rPr>
          <w:rFonts w:cstheme="minorHAnsi"/>
        </w:rPr>
      </w:pPr>
      <w:r>
        <w:t xml:space="preserve">The treatment is </w:t>
      </w:r>
      <w:r w:rsidRPr="0025403A">
        <w:t xml:space="preserve">expected to provide a substantial and clinically relevant </w:t>
      </w:r>
      <w:r w:rsidRPr="00A67276">
        <w:t>improvement in efficacy</w:t>
      </w:r>
      <w:r w:rsidR="003533C1">
        <w:t xml:space="preserve">, over </w:t>
      </w:r>
      <w:r w:rsidR="00A67276" w:rsidRPr="00381D02">
        <w:t>best supportive care</w:t>
      </w:r>
      <w:r w:rsidR="00A67276">
        <w:t>;</w:t>
      </w:r>
    </w:p>
    <w:p w14:paraId="166A8CD2" w14:textId="588C356A" w:rsidR="0025403A" w:rsidRPr="0025403A" w:rsidRDefault="0025403A" w:rsidP="0025403A">
      <w:pPr>
        <w:pStyle w:val="ListParagraph"/>
        <w:widowControl w:val="0"/>
        <w:numPr>
          <w:ilvl w:val="0"/>
          <w:numId w:val="22"/>
        </w:numPr>
        <w:contextualSpacing/>
        <w:rPr>
          <w:rFonts w:cstheme="minorHAnsi"/>
        </w:rPr>
      </w:pPr>
      <w:r>
        <w:t xml:space="preserve">The treatment is expected to address a </w:t>
      </w:r>
      <w:r w:rsidR="00B879B8">
        <w:t xml:space="preserve">high </w:t>
      </w:r>
      <w:r>
        <w:t xml:space="preserve">and urgent unmet clinical </w:t>
      </w:r>
      <w:r w:rsidR="00670684">
        <w:t xml:space="preserve">need given the high rate of recurrence and limited </w:t>
      </w:r>
      <w:r w:rsidR="00B879B8">
        <w:t xml:space="preserve">treatment options </w:t>
      </w:r>
      <w:r w:rsidR="00AF21B3">
        <w:t xml:space="preserve">for </w:t>
      </w:r>
      <w:r w:rsidR="00B879B8">
        <w:t xml:space="preserve">early stage </w:t>
      </w:r>
      <w:r w:rsidR="00A67276" w:rsidRPr="00A67276">
        <w:t>resected lung cancer</w:t>
      </w:r>
      <w:r w:rsidR="00A67276">
        <w:t>;</w:t>
      </w:r>
    </w:p>
    <w:p w14:paraId="5E180060" w14:textId="26877C91" w:rsidR="003533C1" w:rsidRPr="003533C1" w:rsidRDefault="0025403A" w:rsidP="003533C1">
      <w:pPr>
        <w:pStyle w:val="ListParagraph"/>
        <w:widowControl w:val="0"/>
        <w:numPr>
          <w:ilvl w:val="0"/>
          <w:numId w:val="22"/>
        </w:numPr>
        <w:contextualSpacing/>
      </w:pPr>
      <w:r>
        <w:t>It would be in the public interest for the subsequent pricing application to be progresses under Pricing Pathway A on the basis of the preceding findings.</w:t>
      </w:r>
    </w:p>
    <w:p w14:paraId="4FB98537" w14:textId="2078642C" w:rsidR="00844802" w:rsidRDefault="00844802" w:rsidP="0076145F">
      <w:pPr>
        <w:pStyle w:val="3-BodyText"/>
      </w:pPr>
      <w:r>
        <w:lastRenderedPageBreak/>
        <w:t>The PBAC noted that this submission is not eligible for an Independent Review as it received a positive recommendation.</w:t>
      </w:r>
    </w:p>
    <w:p w14:paraId="01C352AE" w14:textId="77777777" w:rsidR="003F6435" w:rsidRDefault="003F6435" w:rsidP="003F6435">
      <w:pPr>
        <w:rPr>
          <w:rFonts w:asciiTheme="minorHAnsi" w:hAnsiTheme="minorHAnsi"/>
          <w:b/>
          <w:bCs/>
          <w:snapToGrid w:val="0"/>
          <w:lang w:val="en-GB"/>
        </w:rPr>
      </w:pPr>
    </w:p>
    <w:p w14:paraId="7B6286A9" w14:textId="2AD67E98" w:rsidR="003F6435" w:rsidRPr="00D8553E" w:rsidRDefault="003F6435" w:rsidP="003F6435">
      <w:pPr>
        <w:rPr>
          <w:rFonts w:asciiTheme="minorHAnsi" w:hAnsiTheme="minorHAnsi"/>
          <w:b/>
          <w:bCs/>
          <w:snapToGrid w:val="0"/>
          <w:lang w:val="en-GB"/>
        </w:rPr>
      </w:pPr>
      <w:r w:rsidRPr="00D8553E">
        <w:rPr>
          <w:rFonts w:asciiTheme="minorHAnsi" w:hAnsiTheme="minorHAnsi"/>
          <w:b/>
          <w:bCs/>
          <w:snapToGrid w:val="0"/>
          <w:lang w:val="en-GB"/>
        </w:rPr>
        <w:t>Outcome:</w:t>
      </w:r>
    </w:p>
    <w:p w14:paraId="0DD50E1D" w14:textId="75BFEA62" w:rsidR="003F6435" w:rsidRPr="00D8553E" w:rsidRDefault="003F6435" w:rsidP="003F6435">
      <w:pPr>
        <w:rPr>
          <w:rFonts w:asciiTheme="minorHAnsi" w:hAnsiTheme="minorHAnsi"/>
          <w:bCs/>
          <w:snapToGrid w:val="0"/>
          <w:lang w:val="en-GB"/>
        </w:rPr>
      </w:pPr>
      <w:r w:rsidRPr="00D8553E">
        <w:rPr>
          <w:rFonts w:asciiTheme="minorHAnsi" w:hAnsiTheme="minorHAnsi"/>
          <w:bCs/>
          <w:snapToGrid w:val="0"/>
          <w:lang w:val="en-GB"/>
        </w:rPr>
        <w:t xml:space="preserve">Recommended </w:t>
      </w:r>
    </w:p>
    <w:p w14:paraId="418B26CE" w14:textId="77777777" w:rsidR="003F6435" w:rsidRPr="00D8553E" w:rsidRDefault="003F6435" w:rsidP="003F6435">
      <w:pPr>
        <w:rPr>
          <w:rFonts w:asciiTheme="minorHAnsi" w:hAnsiTheme="minorHAnsi"/>
          <w:bCs/>
          <w:snapToGrid w:val="0"/>
          <w:lang w:val="en-GB"/>
        </w:rPr>
      </w:pPr>
    </w:p>
    <w:p w14:paraId="51B50025" w14:textId="14E697AE" w:rsidR="008F145F" w:rsidRDefault="008F145F" w:rsidP="008F145F">
      <w:pPr>
        <w:pStyle w:val="PBACHeading1"/>
        <w:keepNext/>
        <w:keepLines/>
        <w:numPr>
          <w:ilvl w:val="0"/>
          <w:numId w:val="1"/>
        </w:numPr>
        <w:spacing w:after="120"/>
      </w:pPr>
      <w:r w:rsidRPr="00D71742">
        <w:t>Recommended listing</w:t>
      </w:r>
    </w:p>
    <w:p w14:paraId="11A8B96B" w14:textId="233693B1" w:rsidR="0076145F" w:rsidRPr="00D71742" w:rsidRDefault="00D76BA4" w:rsidP="00D76BA4">
      <w:pPr>
        <w:pStyle w:val="3-BodyText"/>
      </w:pPr>
      <w:r>
        <w:t>A</w:t>
      </w:r>
      <w:r w:rsidR="00A7516C" w:rsidRPr="00A7516C">
        <w:t>dd</w:t>
      </w:r>
      <w:r w:rsidR="00670684">
        <w:t xml:space="preserve"> </w:t>
      </w:r>
      <w:r w:rsidR="00DF051A">
        <w:t>new indication</w:t>
      </w:r>
      <w:r>
        <w:t>:</w:t>
      </w:r>
    </w:p>
    <w:p w14:paraId="782CBD8F" w14:textId="66146EE0" w:rsidR="003B1F3D" w:rsidRPr="0058641B" w:rsidRDefault="003B1F3D" w:rsidP="00D76BA4">
      <w:pPr>
        <w:jc w:val="left"/>
        <w:rPr>
          <w:rFonts w:asciiTheme="minorHAnsi" w:hAnsiTheme="minorHAnsi" w:cstheme="minorHAnsi"/>
        </w:rPr>
      </w:pPr>
    </w:p>
    <w:tbl>
      <w:tblPr>
        <w:tblStyle w:val="RTIAMCPTable1"/>
        <w:tblW w:w="5000" w:type="pct"/>
        <w:tblInd w:w="0" w:type="dxa"/>
        <w:tblLook w:val="04A0" w:firstRow="1" w:lastRow="0" w:firstColumn="1" w:lastColumn="0" w:noHBand="0" w:noVBand="1"/>
      </w:tblPr>
      <w:tblGrid>
        <w:gridCol w:w="1106"/>
        <w:gridCol w:w="1102"/>
        <w:gridCol w:w="2207"/>
        <w:gridCol w:w="2207"/>
        <w:gridCol w:w="2395"/>
      </w:tblGrid>
      <w:tr w:rsidR="003D6B8F" w:rsidRPr="003D6B8F" w14:paraId="6634BB69" w14:textId="77777777" w:rsidTr="0010780D">
        <w:tc>
          <w:tcPr>
            <w:tcW w:w="1224" w:type="pct"/>
            <w:gridSpan w:val="2"/>
            <w:tcBorders>
              <w:top w:val="single" w:sz="4" w:space="0" w:color="auto"/>
              <w:left w:val="single" w:sz="4" w:space="0" w:color="auto"/>
              <w:bottom w:val="single" w:sz="4" w:space="0" w:color="auto"/>
              <w:right w:val="single" w:sz="4" w:space="0" w:color="auto"/>
            </w:tcBorders>
            <w:hideMark/>
          </w:tcPr>
          <w:p w14:paraId="2196E7BD" w14:textId="77777777" w:rsidR="003D6B8F" w:rsidRPr="003D6B8F" w:rsidRDefault="003D6B8F" w:rsidP="003D6B8F">
            <w:pPr>
              <w:keepNext/>
              <w:ind w:left="-57"/>
              <w:rPr>
                <w:rFonts w:ascii="Arial Narrow" w:hAnsi="Arial Narrow"/>
                <w:b/>
                <w:sz w:val="20"/>
                <w:szCs w:val="20"/>
              </w:rPr>
            </w:pPr>
            <w:r w:rsidRPr="003D6B8F">
              <w:rPr>
                <w:rFonts w:ascii="Arial Narrow" w:hAnsi="Arial Narrow"/>
                <w:b/>
                <w:sz w:val="20"/>
                <w:szCs w:val="20"/>
              </w:rPr>
              <w:t>MEDICINAL PRODUCT</w:t>
            </w:r>
          </w:p>
          <w:p w14:paraId="3544F5A2" w14:textId="77777777" w:rsidR="003D6B8F" w:rsidRPr="003D6B8F" w:rsidRDefault="003D6B8F" w:rsidP="003D6B8F">
            <w:pPr>
              <w:ind w:left="-57"/>
              <w:textAlignment w:val="baseline"/>
              <w:rPr>
                <w:rFonts w:ascii="Arial Narrow" w:hAnsi="Arial Narrow"/>
                <w:b/>
                <w:sz w:val="20"/>
                <w:szCs w:val="20"/>
              </w:rPr>
            </w:pPr>
            <w:r w:rsidRPr="003D6B8F">
              <w:rPr>
                <w:rFonts w:ascii="Arial Narrow" w:hAnsi="Arial Narrow"/>
                <w:b/>
                <w:sz w:val="20"/>
                <w:szCs w:val="20"/>
              </w:rPr>
              <w:t>Form</w:t>
            </w:r>
          </w:p>
        </w:tc>
        <w:tc>
          <w:tcPr>
            <w:tcW w:w="1224" w:type="pct"/>
            <w:tcBorders>
              <w:top w:val="single" w:sz="4" w:space="0" w:color="auto"/>
              <w:left w:val="single" w:sz="4" w:space="0" w:color="auto"/>
              <w:bottom w:val="single" w:sz="4" w:space="0" w:color="auto"/>
              <w:right w:val="single" w:sz="4" w:space="0" w:color="auto"/>
            </w:tcBorders>
            <w:hideMark/>
          </w:tcPr>
          <w:p w14:paraId="319015A1" w14:textId="77777777" w:rsidR="003D6B8F" w:rsidRPr="003D6B8F" w:rsidRDefault="003D6B8F" w:rsidP="003D6B8F">
            <w:pPr>
              <w:ind w:left="-57"/>
              <w:jc w:val="center"/>
              <w:textAlignment w:val="baseline"/>
              <w:rPr>
                <w:rFonts w:ascii="Arial Narrow" w:hAnsi="Arial Narrow"/>
                <w:b/>
                <w:sz w:val="20"/>
                <w:szCs w:val="20"/>
              </w:rPr>
            </w:pPr>
            <w:r w:rsidRPr="003D6B8F">
              <w:rPr>
                <w:rFonts w:ascii="Arial Narrow" w:hAnsi="Arial Narrow"/>
                <w:b/>
                <w:sz w:val="20"/>
                <w:szCs w:val="20"/>
              </w:rPr>
              <w:t>PBS item code</w:t>
            </w:r>
          </w:p>
        </w:tc>
        <w:tc>
          <w:tcPr>
            <w:tcW w:w="1224" w:type="pct"/>
            <w:tcBorders>
              <w:top w:val="single" w:sz="4" w:space="0" w:color="auto"/>
              <w:left w:val="single" w:sz="4" w:space="0" w:color="auto"/>
              <w:bottom w:val="single" w:sz="4" w:space="0" w:color="auto"/>
              <w:right w:val="single" w:sz="4" w:space="0" w:color="auto"/>
            </w:tcBorders>
            <w:hideMark/>
          </w:tcPr>
          <w:p w14:paraId="7F9A89CA" w14:textId="77777777" w:rsidR="003D6B8F" w:rsidRPr="003D6B8F" w:rsidRDefault="003D6B8F" w:rsidP="003D6B8F">
            <w:pPr>
              <w:keepNext/>
              <w:ind w:left="-108"/>
              <w:jc w:val="center"/>
              <w:rPr>
                <w:rFonts w:ascii="Arial Narrow" w:hAnsi="Arial Narrow"/>
                <w:b/>
                <w:sz w:val="20"/>
                <w:szCs w:val="20"/>
              </w:rPr>
            </w:pPr>
            <w:r w:rsidRPr="003D6B8F">
              <w:rPr>
                <w:rFonts w:ascii="Arial Narrow" w:hAnsi="Arial Narrow"/>
                <w:b/>
                <w:sz w:val="20"/>
                <w:szCs w:val="20"/>
              </w:rPr>
              <w:t>Max. Amount</w:t>
            </w:r>
          </w:p>
        </w:tc>
        <w:tc>
          <w:tcPr>
            <w:tcW w:w="1329" w:type="pct"/>
            <w:tcBorders>
              <w:top w:val="single" w:sz="4" w:space="0" w:color="auto"/>
              <w:left w:val="single" w:sz="4" w:space="0" w:color="auto"/>
              <w:bottom w:val="single" w:sz="4" w:space="0" w:color="auto"/>
              <w:right w:val="single" w:sz="4" w:space="0" w:color="auto"/>
            </w:tcBorders>
            <w:hideMark/>
          </w:tcPr>
          <w:p w14:paraId="66A51573" w14:textId="77777777" w:rsidR="003D6B8F" w:rsidRPr="003D6B8F" w:rsidRDefault="003D6B8F" w:rsidP="003D6B8F">
            <w:pPr>
              <w:ind w:left="-57"/>
              <w:jc w:val="center"/>
              <w:textAlignment w:val="baseline"/>
              <w:rPr>
                <w:rFonts w:ascii="Arial Narrow" w:hAnsi="Arial Narrow"/>
                <w:b/>
                <w:sz w:val="20"/>
                <w:szCs w:val="20"/>
              </w:rPr>
            </w:pPr>
            <w:r w:rsidRPr="003D6B8F">
              <w:rPr>
                <w:rFonts w:ascii="Arial Narrow" w:hAnsi="Arial Narrow"/>
                <w:b/>
                <w:sz w:val="20"/>
                <w:szCs w:val="20"/>
              </w:rPr>
              <w:t>№.of Rpts</w:t>
            </w:r>
          </w:p>
        </w:tc>
      </w:tr>
      <w:tr w:rsidR="003D6B8F" w:rsidRPr="003D6B8F" w14:paraId="61892572" w14:textId="77777777" w:rsidTr="0010780D">
        <w:tc>
          <w:tcPr>
            <w:tcW w:w="1224" w:type="pct"/>
            <w:gridSpan w:val="2"/>
            <w:tcBorders>
              <w:top w:val="single" w:sz="4" w:space="0" w:color="auto"/>
              <w:left w:val="single" w:sz="4" w:space="0" w:color="auto"/>
              <w:bottom w:val="single" w:sz="4" w:space="0" w:color="auto"/>
              <w:right w:val="single" w:sz="4" w:space="0" w:color="auto"/>
            </w:tcBorders>
            <w:hideMark/>
          </w:tcPr>
          <w:p w14:paraId="100694CC" w14:textId="77777777" w:rsidR="003D6B8F" w:rsidRPr="003D6B8F" w:rsidRDefault="003D6B8F" w:rsidP="003D6B8F">
            <w:pPr>
              <w:keepNext/>
              <w:ind w:left="-57"/>
              <w:rPr>
                <w:rFonts w:ascii="Arial Narrow" w:hAnsi="Arial Narrow"/>
                <w:color w:val="FF0000"/>
                <w:sz w:val="20"/>
                <w:szCs w:val="20"/>
              </w:rPr>
            </w:pPr>
            <w:r w:rsidRPr="003D6B8F">
              <w:rPr>
                <w:rFonts w:ascii="Arial Narrow" w:hAnsi="Arial Narrow"/>
                <w:sz w:val="20"/>
                <w:szCs w:val="20"/>
              </w:rPr>
              <w:t xml:space="preserve">ATEZOLIZUMAB </w:t>
            </w:r>
          </w:p>
          <w:p w14:paraId="67870DEE" w14:textId="77777777" w:rsidR="003D6B8F" w:rsidRPr="003D6B8F" w:rsidRDefault="003D6B8F" w:rsidP="003D6B8F">
            <w:pPr>
              <w:ind w:left="-57"/>
              <w:textAlignment w:val="baseline"/>
              <w:rPr>
                <w:rFonts w:ascii="Arial Narrow" w:hAnsi="Arial Narrow"/>
                <w:b/>
                <w:sz w:val="20"/>
                <w:szCs w:val="20"/>
              </w:rPr>
            </w:pPr>
            <w:r w:rsidRPr="003D6B8F">
              <w:rPr>
                <w:rFonts w:ascii="Arial Narrow" w:hAnsi="Arial Narrow" w:cs="Arial Narrow"/>
                <w:sz w:val="20"/>
                <w:szCs w:val="20"/>
              </w:rPr>
              <w:t>Injection</w:t>
            </w:r>
          </w:p>
        </w:tc>
        <w:tc>
          <w:tcPr>
            <w:tcW w:w="1224" w:type="pct"/>
            <w:tcBorders>
              <w:top w:val="single" w:sz="4" w:space="0" w:color="auto"/>
              <w:left w:val="single" w:sz="4" w:space="0" w:color="auto"/>
              <w:bottom w:val="single" w:sz="4" w:space="0" w:color="auto"/>
              <w:right w:val="single" w:sz="4" w:space="0" w:color="auto"/>
            </w:tcBorders>
            <w:hideMark/>
          </w:tcPr>
          <w:p w14:paraId="432E49AA" w14:textId="77777777" w:rsidR="003D6B8F" w:rsidRPr="003D6B8F" w:rsidRDefault="003D6B8F" w:rsidP="003D6B8F">
            <w:pPr>
              <w:jc w:val="center"/>
              <w:textAlignment w:val="baseline"/>
              <w:rPr>
                <w:rFonts w:ascii="Arial Narrow" w:hAnsi="Arial Narrow"/>
                <w:sz w:val="20"/>
                <w:szCs w:val="20"/>
              </w:rPr>
            </w:pPr>
            <w:r w:rsidRPr="003D6B8F">
              <w:rPr>
                <w:rFonts w:ascii="Arial Narrow" w:hAnsi="Arial Narrow"/>
                <w:sz w:val="20"/>
                <w:szCs w:val="20"/>
              </w:rPr>
              <w:t>NEW (Public)</w:t>
            </w:r>
          </w:p>
          <w:p w14:paraId="61CCCF4E" w14:textId="77777777" w:rsidR="003D6B8F" w:rsidRPr="003D6B8F" w:rsidRDefault="003D6B8F" w:rsidP="003D6B8F">
            <w:pPr>
              <w:jc w:val="center"/>
              <w:textAlignment w:val="baseline"/>
              <w:rPr>
                <w:rFonts w:ascii="Arial Narrow" w:hAnsi="Arial Narrow"/>
                <w:bCs/>
                <w:sz w:val="20"/>
                <w:szCs w:val="20"/>
              </w:rPr>
            </w:pPr>
            <w:r w:rsidRPr="003D6B8F">
              <w:rPr>
                <w:rFonts w:ascii="Arial Narrow" w:hAnsi="Arial Narrow"/>
                <w:bCs/>
                <w:sz w:val="20"/>
                <w:szCs w:val="20"/>
              </w:rPr>
              <w:t>NEW (Private)</w:t>
            </w:r>
          </w:p>
        </w:tc>
        <w:tc>
          <w:tcPr>
            <w:tcW w:w="1224" w:type="pct"/>
            <w:tcBorders>
              <w:top w:val="single" w:sz="4" w:space="0" w:color="auto"/>
              <w:left w:val="single" w:sz="4" w:space="0" w:color="auto"/>
              <w:bottom w:val="single" w:sz="4" w:space="0" w:color="auto"/>
              <w:right w:val="single" w:sz="4" w:space="0" w:color="auto"/>
            </w:tcBorders>
            <w:hideMark/>
          </w:tcPr>
          <w:p w14:paraId="0939C74B" w14:textId="77777777" w:rsidR="003D6B8F" w:rsidRPr="003D6B8F" w:rsidRDefault="003D6B8F" w:rsidP="003D6B8F">
            <w:pPr>
              <w:jc w:val="center"/>
              <w:textAlignment w:val="baseline"/>
              <w:rPr>
                <w:rFonts w:ascii="Arial Narrow" w:hAnsi="Arial Narrow"/>
                <w:b/>
                <w:sz w:val="20"/>
                <w:szCs w:val="20"/>
              </w:rPr>
            </w:pPr>
            <w:r w:rsidRPr="003D6B8F">
              <w:rPr>
                <w:rFonts w:ascii="Arial Narrow" w:hAnsi="Arial Narrow"/>
                <w:sz w:val="20"/>
                <w:szCs w:val="20"/>
              </w:rPr>
              <w:t>1,680 mg</w:t>
            </w:r>
          </w:p>
        </w:tc>
        <w:tc>
          <w:tcPr>
            <w:tcW w:w="1329" w:type="pct"/>
            <w:tcBorders>
              <w:top w:val="single" w:sz="4" w:space="0" w:color="auto"/>
              <w:left w:val="single" w:sz="4" w:space="0" w:color="auto"/>
              <w:bottom w:val="single" w:sz="4" w:space="0" w:color="auto"/>
              <w:right w:val="single" w:sz="4" w:space="0" w:color="auto"/>
            </w:tcBorders>
            <w:hideMark/>
          </w:tcPr>
          <w:p w14:paraId="089F4790" w14:textId="7FEACE44" w:rsidR="003D6B8F" w:rsidRPr="003D6B8F" w:rsidRDefault="00473039" w:rsidP="003D6B8F">
            <w:pPr>
              <w:jc w:val="center"/>
              <w:textAlignment w:val="baseline"/>
              <w:rPr>
                <w:rFonts w:ascii="Arial Narrow" w:hAnsi="Arial Narrow"/>
                <w:bCs/>
                <w:sz w:val="20"/>
                <w:szCs w:val="20"/>
              </w:rPr>
            </w:pPr>
            <w:r>
              <w:rPr>
                <w:rFonts w:ascii="Arial Narrow" w:hAnsi="Arial Narrow"/>
                <w:bCs/>
                <w:sz w:val="20"/>
                <w:szCs w:val="20"/>
              </w:rPr>
              <w:t>7</w:t>
            </w:r>
          </w:p>
        </w:tc>
      </w:tr>
      <w:tr w:rsidR="003D6B8F" w:rsidRPr="003D6B8F" w14:paraId="56866E40" w14:textId="77777777" w:rsidTr="0010780D">
        <w:tc>
          <w:tcPr>
            <w:tcW w:w="5000" w:type="pct"/>
            <w:gridSpan w:val="5"/>
            <w:tcBorders>
              <w:top w:val="single" w:sz="4" w:space="0" w:color="auto"/>
              <w:left w:val="single" w:sz="4" w:space="0" w:color="auto"/>
              <w:bottom w:val="single" w:sz="4" w:space="0" w:color="auto"/>
              <w:right w:val="single" w:sz="4" w:space="0" w:color="auto"/>
            </w:tcBorders>
            <w:hideMark/>
          </w:tcPr>
          <w:p w14:paraId="656E60DA"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b/>
                <w:sz w:val="20"/>
                <w:szCs w:val="20"/>
              </w:rPr>
              <w:t xml:space="preserve">Available brands </w:t>
            </w:r>
          </w:p>
        </w:tc>
      </w:tr>
      <w:tr w:rsidR="003D6B8F" w:rsidRPr="003D6B8F" w14:paraId="4DD1C5B7" w14:textId="77777777" w:rsidTr="0010780D">
        <w:tc>
          <w:tcPr>
            <w:tcW w:w="5000" w:type="pct"/>
            <w:gridSpan w:val="5"/>
            <w:tcBorders>
              <w:top w:val="single" w:sz="4" w:space="0" w:color="auto"/>
              <w:left w:val="single" w:sz="4" w:space="0" w:color="auto"/>
              <w:bottom w:val="single" w:sz="4" w:space="0" w:color="auto"/>
              <w:right w:val="single" w:sz="4" w:space="0" w:color="auto"/>
            </w:tcBorders>
            <w:hideMark/>
          </w:tcPr>
          <w:p w14:paraId="7E406C08" w14:textId="77777777" w:rsidR="003D6B8F" w:rsidRPr="003D6B8F" w:rsidRDefault="003D6B8F" w:rsidP="003D6B8F">
            <w:pPr>
              <w:ind w:left="-57"/>
              <w:rPr>
                <w:rFonts w:ascii="Arial Narrow" w:hAnsi="Arial Narrow"/>
                <w:sz w:val="20"/>
                <w:szCs w:val="20"/>
              </w:rPr>
            </w:pPr>
            <w:r w:rsidRPr="003D6B8F">
              <w:rPr>
                <w:rFonts w:ascii="Arial Narrow" w:hAnsi="Arial Narrow"/>
                <w:sz w:val="20"/>
                <w:szCs w:val="20"/>
              </w:rPr>
              <w:t>Tecentriq</w:t>
            </w:r>
          </w:p>
          <w:p w14:paraId="087D667F"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sz w:val="20"/>
                <w:szCs w:val="20"/>
              </w:rPr>
              <w:t>(atezolizumab 1.2 g/20 mL injection, 20 mL vial)</w:t>
            </w:r>
          </w:p>
        </w:tc>
      </w:tr>
      <w:tr w:rsidR="003D6B8F" w:rsidRPr="003D6B8F" w14:paraId="1DAF8920" w14:textId="77777777" w:rsidTr="0010780D">
        <w:tc>
          <w:tcPr>
            <w:tcW w:w="5000" w:type="pct"/>
            <w:gridSpan w:val="5"/>
            <w:tcBorders>
              <w:top w:val="single" w:sz="4" w:space="0" w:color="auto"/>
              <w:left w:val="single" w:sz="4" w:space="0" w:color="auto"/>
              <w:bottom w:val="single" w:sz="4" w:space="0" w:color="auto"/>
              <w:right w:val="single" w:sz="4" w:space="0" w:color="auto"/>
            </w:tcBorders>
            <w:hideMark/>
          </w:tcPr>
          <w:p w14:paraId="039AE470" w14:textId="77777777" w:rsidR="003D6B8F" w:rsidRPr="003D6B8F" w:rsidRDefault="003D6B8F" w:rsidP="003D6B8F">
            <w:pPr>
              <w:ind w:left="-57"/>
              <w:rPr>
                <w:rFonts w:ascii="Arial Narrow" w:hAnsi="Arial Narrow"/>
                <w:sz w:val="20"/>
                <w:szCs w:val="20"/>
              </w:rPr>
            </w:pPr>
            <w:r w:rsidRPr="003D6B8F">
              <w:rPr>
                <w:rFonts w:ascii="Arial Narrow" w:hAnsi="Arial Narrow"/>
                <w:sz w:val="20"/>
                <w:szCs w:val="20"/>
              </w:rPr>
              <w:t>Tecentriq</w:t>
            </w:r>
          </w:p>
          <w:p w14:paraId="683A3FD4" w14:textId="77777777" w:rsidR="003D6B8F" w:rsidRPr="003D6B8F" w:rsidRDefault="003D6B8F" w:rsidP="003D6B8F">
            <w:pPr>
              <w:ind w:left="-57"/>
              <w:rPr>
                <w:rFonts w:ascii="Arial Narrow" w:hAnsi="Arial Narrow"/>
                <w:sz w:val="20"/>
                <w:szCs w:val="20"/>
              </w:rPr>
            </w:pPr>
            <w:r w:rsidRPr="003D6B8F">
              <w:rPr>
                <w:rFonts w:ascii="Arial Narrow" w:hAnsi="Arial Narrow"/>
                <w:sz w:val="20"/>
                <w:szCs w:val="20"/>
              </w:rPr>
              <w:t>(atezolizumab 840 mg/20 mL injection, 20 mL vial)</w:t>
            </w:r>
          </w:p>
        </w:tc>
      </w:tr>
      <w:tr w:rsidR="003D6B8F" w:rsidRPr="003D6B8F" w14:paraId="29935038" w14:textId="77777777" w:rsidTr="0010780D">
        <w:tc>
          <w:tcPr>
            <w:tcW w:w="5000" w:type="pct"/>
            <w:gridSpan w:val="5"/>
            <w:tcBorders>
              <w:top w:val="single" w:sz="4" w:space="0" w:color="auto"/>
              <w:left w:val="single" w:sz="4" w:space="0" w:color="auto"/>
              <w:bottom w:val="single" w:sz="4" w:space="0" w:color="auto"/>
              <w:right w:val="single" w:sz="4" w:space="0" w:color="auto"/>
            </w:tcBorders>
          </w:tcPr>
          <w:p w14:paraId="722C53AF"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p>
        </w:tc>
      </w:tr>
      <w:tr w:rsidR="003D6B8F" w:rsidRPr="003D6B8F" w14:paraId="2DB3CA07" w14:textId="77777777" w:rsidTr="0010780D">
        <w:tc>
          <w:tcPr>
            <w:tcW w:w="5000" w:type="pct"/>
            <w:gridSpan w:val="5"/>
            <w:tcBorders>
              <w:top w:val="single" w:sz="4" w:space="0" w:color="auto"/>
              <w:left w:val="single" w:sz="4" w:space="0" w:color="auto"/>
              <w:bottom w:val="single" w:sz="4" w:space="0" w:color="auto"/>
              <w:right w:val="single" w:sz="4" w:space="0" w:color="auto"/>
            </w:tcBorders>
            <w:hideMark/>
          </w:tcPr>
          <w:p w14:paraId="137940B3"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cs="Open Sans"/>
                <w:b/>
                <w:bCs/>
                <w:color w:val="333333"/>
                <w:sz w:val="20"/>
                <w:szCs w:val="20"/>
                <w:bdr w:val="none" w:sz="0" w:space="0" w:color="auto" w:frame="1"/>
              </w:rPr>
              <w:t>Restriction Summary New 1 / ToC: New 2</w:t>
            </w:r>
          </w:p>
        </w:tc>
      </w:tr>
      <w:tr w:rsidR="003D6B8F" w:rsidRPr="003D6B8F" w14:paraId="251ECF5C" w14:textId="77777777" w:rsidTr="0010780D">
        <w:tc>
          <w:tcPr>
            <w:tcW w:w="613" w:type="pct"/>
            <w:vMerge w:val="restart"/>
            <w:tcBorders>
              <w:top w:val="single" w:sz="4" w:space="0" w:color="auto"/>
              <w:left w:val="single" w:sz="4" w:space="0" w:color="auto"/>
              <w:bottom w:val="single" w:sz="4" w:space="0" w:color="auto"/>
              <w:right w:val="single" w:sz="4" w:space="0" w:color="auto"/>
            </w:tcBorders>
            <w:hideMark/>
          </w:tcPr>
          <w:p w14:paraId="4FB51605" w14:textId="3E1F9FB8"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711A9DA6"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b/>
                <w:sz w:val="20"/>
                <w:szCs w:val="20"/>
              </w:rPr>
              <w:t xml:space="preserve">Category / Program: </w:t>
            </w:r>
            <w:r w:rsidRPr="003D6B8F">
              <w:rPr>
                <w:rFonts w:ascii="Arial Narrow" w:hAnsi="Arial Narrow"/>
                <w:sz w:val="20"/>
                <w:szCs w:val="20"/>
              </w:rPr>
              <w:t xml:space="preserve">Section 100 – Efficient Funding of Chemotherapy Public/Private hospitals </w:t>
            </w:r>
          </w:p>
        </w:tc>
      </w:tr>
      <w:tr w:rsidR="003D6B8F" w:rsidRPr="003D6B8F" w14:paraId="21DED828" w14:textId="77777777" w:rsidTr="0010780D">
        <w:tc>
          <w:tcPr>
            <w:tcW w:w="0" w:type="auto"/>
            <w:vMerge/>
            <w:tcBorders>
              <w:top w:val="single" w:sz="4" w:space="0" w:color="auto"/>
              <w:left w:val="single" w:sz="4" w:space="0" w:color="auto"/>
              <w:bottom w:val="single" w:sz="4" w:space="0" w:color="auto"/>
              <w:right w:val="single" w:sz="4" w:space="0" w:color="auto"/>
            </w:tcBorders>
            <w:vAlign w:val="center"/>
            <w:hideMark/>
          </w:tcPr>
          <w:p w14:paraId="2A05BF2F" w14:textId="77777777" w:rsidR="003D6B8F" w:rsidRPr="003D6B8F" w:rsidRDefault="003D6B8F" w:rsidP="003D6B8F">
            <w:pPr>
              <w:jc w:val="left"/>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398441D8"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b/>
                <w:sz w:val="20"/>
                <w:szCs w:val="20"/>
              </w:rPr>
              <w:t xml:space="preserve">Prescriber type:   </w:t>
            </w:r>
            <w:r w:rsidRPr="003D6B8F">
              <w:rPr>
                <w:rFonts w:ascii="Arial Narrow" w:hAnsi="Arial Narrow"/>
                <w:sz w:val="20"/>
                <w:szCs w:val="20"/>
              </w:rPr>
              <w:fldChar w:fldCharType="begin">
                <w:ffData>
                  <w:name w:val=""/>
                  <w:enabled/>
                  <w:calcOnExit w:val="0"/>
                  <w:checkBox>
                    <w:sizeAuto/>
                    <w:default w:val="1"/>
                  </w:checkBox>
                </w:ffData>
              </w:fldChar>
            </w:r>
            <w:r w:rsidRPr="003D6B8F">
              <w:rPr>
                <w:rFonts w:ascii="Arial Narrow" w:hAnsi="Arial Narrow"/>
                <w:sz w:val="20"/>
                <w:szCs w:val="20"/>
              </w:rPr>
              <w:instrText xml:space="preserve"> FORMCHECKBOX </w:instrText>
            </w:r>
            <w:r w:rsidR="00AD58F5">
              <w:rPr>
                <w:rFonts w:ascii="Arial Narrow" w:hAnsi="Arial Narrow"/>
                <w:sz w:val="20"/>
                <w:szCs w:val="20"/>
              </w:rPr>
            </w:r>
            <w:r w:rsidR="00AD58F5">
              <w:rPr>
                <w:rFonts w:ascii="Arial Narrow" w:hAnsi="Arial Narrow"/>
                <w:sz w:val="20"/>
                <w:szCs w:val="20"/>
              </w:rPr>
              <w:fldChar w:fldCharType="separate"/>
            </w:r>
            <w:r w:rsidRPr="003D6B8F">
              <w:rPr>
                <w:rFonts w:ascii="Arial Narrow" w:hAnsi="Arial Narrow"/>
                <w:sz w:val="20"/>
                <w:szCs w:val="20"/>
              </w:rPr>
              <w:fldChar w:fldCharType="end"/>
            </w:r>
            <w:r w:rsidRPr="003D6B8F">
              <w:rPr>
                <w:rFonts w:ascii="Arial Narrow" w:hAnsi="Arial Narrow"/>
                <w:sz w:val="20"/>
                <w:szCs w:val="20"/>
              </w:rPr>
              <w:t xml:space="preserve"> Medical Practitioners    </w:t>
            </w:r>
          </w:p>
        </w:tc>
      </w:tr>
      <w:tr w:rsidR="003D6B8F" w:rsidRPr="003D6B8F" w14:paraId="179E05ED" w14:textId="77777777" w:rsidTr="0010780D">
        <w:tc>
          <w:tcPr>
            <w:tcW w:w="0" w:type="auto"/>
            <w:vMerge/>
            <w:tcBorders>
              <w:top w:val="single" w:sz="4" w:space="0" w:color="auto"/>
              <w:left w:val="single" w:sz="4" w:space="0" w:color="auto"/>
              <w:bottom w:val="single" w:sz="4" w:space="0" w:color="auto"/>
              <w:right w:val="single" w:sz="4" w:space="0" w:color="auto"/>
            </w:tcBorders>
            <w:vAlign w:val="center"/>
            <w:hideMark/>
          </w:tcPr>
          <w:p w14:paraId="7D174474" w14:textId="77777777" w:rsidR="003D6B8F" w:rsidRPr="003D6B8F" w:rsidRDefault="003D6B8F" w:rsidP="003D6B8F">
            <w:pPr>
              <w:jc w:val="left"/>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00AA12C0"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b/>
                <w:sz w:val="20"/>
                <w:szCs w:val="20"/>
              </w:rPr>
              <w:t xml:space="preserve">Restriction type: </w:t>
            </w:r>
            <w:r w:rsidRPr="003D6B8F">
              <w:rPr>
                <w:rFonts w:ascii="Arial Narrow" w:eastAsia="Calibri" w:hAnsi="Arial Narrow"/>
                <w:sz w:val="20"/>
                <w:szCs w:val="20"/>
              </w:rPr>
              <w:fldChar w:fldCharType="begin">
                <w:ffData>
                  <w:name w:val=""/>
                  <w:enabled/>
                  <w:calcOnExit w:val="0"/>
                  <w:checkBox>
                    <w:sizeAuto/>
                    <w:default w:val="1"/>
                  </w:checkBox>
                </w:ffData>
              </w:fldChar>
            </w:r>
            <w:r w:rsidRPr="003D6B8F">
              <w:rPr>
                <w:rFonts w:ascii="Arial Narrow" w:eastAsia="Calibri" w:hAnsi="Arial Narrow"/>
                <w:sz w:val="20"/>
                <w:szCs w:val="20"/>
              </w:rPr>
              <w:instrText xml:space="preserve"> FORMCHECKBOX </w:instrText>
            </w:r>
            <w:r w:rsidR="00AD58F5">
              <w:rPr>
                <w:rFonts w:ascii="Arial Narrow" w:eastAsia="Calibri" w:hAnsi="Arial Narrow"/>
                <w:sz w:val="20"/>
                <w:szCs w:val="20"/>
              </w:rPr>
            </w:r>
            <w:r w:rsidR="00AD58F5">
              <w:rPr>
                <w:rFonts w:ascii="Arial Narrow" w:eastAsia="Calibri" w:hAnsi="Arial Narrow"/>
                <w:sz w:val="20"/>
                <w:szCs w:val="20"/>
              </w:rPr>
              <w:fldChar w:fldCharType="separate"/>
            </w:r>
            <w:r w:rsidRPr="003D6B8F">
              <w:rPr>
                <w:rFonts w:ascii="Arial Narrow" w:eastAsia="Calibri" w:hAnsi="Arial Narrow"/>
                <w:sz w:val="20"/>
                <w:szCs w:val="20"/>
              </w:rPr>
              <w:fldChar w:fldCharType="end"/>
            </w:r>
            <w:r w:rsidRPr="003D6B8F">
              <w:rPr>
                <w:rFonts w:ascii="Arial Narrow" w:eastAsia="Calibri" w:hAnsi="Arial Narrow"/>
                <w:sz w:val="20"/>
                <w:szCs w:val="20"/>
              </w:rPr>
              <w:t xml:space="preserve"> Authority Required (STREAMLINED) [New 2] </w:t>
            </w:r>
          </w:p>
        </w:tc>
      </w:tr>
      <w:tr w:rsidR="003D6B8F" w:rsidRPr="003D6B8F" w14:paraId="180B1F2F" w14:textId="77777777" w:rsidTr="0010780D">
        <w:tc>
          <w:tcPr>
            <w:tcW w:w="613" w:type="pct"/>
            <w:tcBorders>
              <w:top w:val="single" w:sz="4" w:space="0" w:color="auto"/>
              <w:left w:val="single" w:sz="4" w:space="0" w:color="auto"/>
              <w:bottom w:val="single" w:sz="4" w:space="0" w:color="auto"/>
              <w:right w:val="single" w:sz="4" w:space="0" w:color="auto"/>
            </w:tcBorders>
          </w:tcPr>
          <w:p w14:paraId="24561517"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tcPr>
          <w:p w14:paraId="1573D6FB"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p>
        </w:tc>
      </w:tr>
      <w:tr w:rsidR="003D6B8F" w:rsidRPr="003D6B8F" w14:paraId="0A5EA1A7" w14:textId="77777777" w:rsidTr="00CB4F0A">
        <w:tc>
          <w:tcPr>
            <w:tcW w:w="613" w:type="pct"/>
            <w:tcBorders>
              <w:top w:val="single" w:sz="4" w:space="0" w:color="auto"/>
              <w:left w:val="single" w:sz="4" w:space="0" w:color="auto"/>
              <w:bottom w:val="single" w:sz="4" w:space="0" w:color="auto"/>
              <w:right w:val="single" w:sz="4" w:space="0" w:color="auto"/>
            </w:tcBorders>
          </w:tcPr>
          <w:p w14:paraId="7DB80E8C" w14:textId="3995F141"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19130976" w14:textId="77777777" w:rsidR="003D6B8F" w:rsidRPr="003D6B8F" w:rsidRDefault="003D6B8F" w:rsidP="003D6B8F">
            <w:pPr>
              <w:ind w:left="-57"/>
              <w:textAlignment w:val="baseline"/>
              <w:rPr>
                <w:rFonts w:ascii="Arial Narrow" w:hAnsi="Arial Narrow" w:cs="Open Sans"/>
                <w:color w:val="333333"/>
                <w:sz w:val="20"/>
                <w:szCs w:val="20"/>
              </w:rPr>
            </w:pPr>
            <w:r w:rsidRPr="003D6B8F">
              <w:rPr>
                <w:rFonts w:ascii="Arial Narrow" w:hAnsi="Arial Narrow" w:cs="Open Sans"/>
                <w:b/>
                <w:bCs/>
                <w:color w:val="333333"/>
                <w:sz w:val="20"/>
                <w:szCs w:val="20"/>
                <w:bdr w:val="none" w:sz="0" w:space="0" w:color="auto" w:frame="1"/>
              </w:rPr>
              <w:t xml:space="preserve">Administrative Advice: </w:t>
            </w:r>
            <w:r w:rsidRPr="003D6B8F">
              <w:rPr>
                <w:rFonts w:ascii="Arial Narrow" w:hAnsi="Arial Narrow" w:cs="Open Sans"/>
                <w:color w:val="333333"/>
                <w:sz w:val="20"/>
                <w:szCs w:val="20"/>
              </w:rPr>
              <w:t>No increase in the maximum number of repeats may be authorised.</w:t>
            </w:r>
          </w:p>
        </w:tc>
      </w:tr>
      <w:tr w:rsidR="003D6B8F" w:rsidRPr="003D6B8F" w14:paraId="0FA370FD" w14:textId="77777777" w:rsidTr="00CB4F0A">
        <w:trPr>
          <w:trHeight w:val="54"/>
        </w:trPr>
        <w:tc>
          <w:tcPr>
            <w:tcW w:w="613" w:type="pct"/>
            <w:tcBorders>
              <w:top w:val="single" w:sz="4" w:space="0" w:color="auto"/>
              <w:left w:val="single" w:sz="4" w:space="0" w:color="auto"/>
              <w:bottom w:val="single" w:sz="4" w:space="0" w:color="auto"/>
              <w:right w:val="single" w:sz="4" w:space="0" w:color="auto"/>
            </w:tcBorders>
          </w:tcPr>
          <w:p w14:paraId="6B6C3678" w14:textId="48550D13"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31727947" w14:textId="77777777" w:rsidR="003D6B8F" w:rsidRPr="003D6B8F" w:rsidRDefault="003D6B8F" w:rsidP="003D6B8F">
            <w:pPr>
              <w:ind w:left="-57"/>
              <w:textAlignment w:val="baseline"/>
              <w:rPr>
                <w:rFonts w:ascii="Arial Narrow" w:hAnsi="Arial Narrow" w:cs="Open Sans"/>
                <w:color w:val="333333"/>
                <w:sz w:val="20"/>
                <w:szCs w:val="20"/>
              </w:rPr>
            </w:pPr>
            <w:r w:rsidRPr="003D6B8F">
              <w:rPr>
                <w:rFonts w:ascii="Arial Narrow" w:hAnsi="Arial Narrow" w:cs="Open Sans"/>
                <w:b/>
                <w:bCs/>
                <w:color w:val="333333"/>
                <w:sz w:val="20"/>
                <w:szCs w:val="20"/>
                <w:bdr w:val="none" w:sz="0" w:space="0" w:color="auto" w:frame="1"/>
              </w:rPr>
              <w:t xml:space="preserve">Administrative Advice: </w:t>
            </w:r>
            <w:r w:rsidRPr="003D6B8F">
              <w:rPr>
                <w:rFonts w:ascii="Arial Narrow" w:hAnsi="Arial Narrow" w:cs="Open Sans"/>
                <w:color w:val="333333"/>
                <w:sz w:val="20"/>
                <w:szCs w:val="20"/>
              </w:rPr>
              <w:t>Special Pricing Arrangements apply.</w:t>
            </w:r>
          </w:p>
        </w:tc>
      </w:tr>
    </w:tbl>
    <w:p w14:paraId="0C32455F" w14:textId="77777777" w:rsidR="003D6B8F" w:rsidRPr="003D6B8F" w:rsidRDefault="003D6B8F" w:rsidP="003D6B8F">
      <w:pPr>
        <w:ind w:left="-57"/>
        <w:rPr>
          <w:vanish/>
        </w:rPr>
      </w:pPr>
    </w:p>
    <w:tbl>
      <w:tblPr>
        <w:tblStyle w:val="RTIAMCPTable1"/>
        <w:tblW w:w="5000" w:type="pct"/>
        <w:tblInd w:w="0" w:type="dxa"/>
        <w:tblLook w:val="04A0" w:firstRow="1" w:lastRow="0" w:firstColumn="1" w:lastColumn="0" w:noHBand="0" w:noVBand="1"/>
      </w:tblPr>
      <w:tblGrid>
        <w:gridCol w:w="1105"/>
        <w:gridCol w:w="7912"/>
      </w:tblGrid>
      <w:tr w:rsidR="003D6B8F" w:rsidRPr="003D6B8F" w14:paraId="68FE1688" w14:textId="77777777" w:rsidTr="0010780D">
        <w:tc>
          <w:tcPr>
            <w:tcW w:w="613" w:type="pct"/>
            <w:vMerge w:val="restart"/>
            <w:tcBorders>
              <w:top w:val="single" w:sz="4" w:space="0" w:color="auto"/>
              <w:left w:val="single" w:sz="4" w:space="0" w:color="auto"/>
              <w:bottom w:val="single" w:sz="4" w:space="0" w:color="auto"/>
              <w:right w:val="single" w:sz="4" w:space="0" w:color="auto"/>
            </w:tcBorders>
          </w:tcPr>
          <w:p w14:paraId="33340CC8"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EDB2A99" w14:textId="77777777" w:rsidR="003D6B8F" w:rsidRPr="003D6B8F" w:rsidRDefault="003D6B8F" w:rsidP="003D6B8F">
            <w:pPr>
              <w:ind w:left="-57"/>
              <w:textAlignment w:val="baseline"/>
              <w:rPr>
                <w:rFonts w:ascii="Arial Narrow" w:hAnsi="Arial Narrow" w:cs="Open Sans"/>
                <w:color w:val="BFBFBF"/>
                <w:sz w:val="20"/>
                <w:szCs w:val="20"/>
                <w:bdr w:val="none" w:sz="0" w:space="0" w:color="auto" w:frame="1"/>
              </w:rPr>
            </w:pPr>
            <w:r w:rsidRPr="003D6B8F">
              <w:rPr>
                <w:rFonts w:ascii="Arial Narrow" w:hAnsi="Arial Narrow" w:cs="Open Sans"/>
                <w:b/>
                <w:bCs/>
                <w:color w:val="BFBFBF"/>
                <w:sz w:val="20"/>
                <w:szCs w:val="20"/>
                <w:bdr w:val="none" w:sz="0" w:space="0" w:color="auto" w:frame="1"/>
              </w:rPr>
              <w:t>Episodicity:</w:t>
            </w:r>
            <w:r w:rsidRPr="003D6B8F">
              <w:rPr>
                <w:rFonts w:ascii="Arial Narrow" w:hAnsi="Arial Narrow" w:cs="Open Sans"/>
                <w:color w:val="BFBFBF"/>
                <w:sz w:val="20"/>
                <w:szCs w:val="20"/>
                <w:bdr w:val="none" w:sz="0" w:space="0" w:color="auto" w:frame="1"/>
              </w:rPr>
              <w:t xml:space="preserve"> [blank]</w:t>
            </w:r>
          </w:p>
        </w:tc>
      </w:tr>
      <w:tr w:rsidR="003D6B8F" w:rsidRPr="003D6B8F" w14:paraId="4C3B7220" w14:textId="77777777" w:rsidTr="00CB4F0A">
        <w:tc>
          <w:tcPr>
            <w:tcW w:w="0" w:type="auto"/>
            <w:vMerge/>
            <w:tcBorders>
              <w:top w:val="single" w:sz="4" w:space="0" w:color="auto"/>
              <w:left w:val="single" w:sz="4" w:space="0" w:color="auto"/>
              <w:bottom w:val="single" w:sz="4" w:space="0" w:color="auto"/>
              <w:right w:val="single" w:sz="4" w:space="0" w:color="auto"/>
            </w:tcBorders>
            <w:vAlign w:val="center"/>
          </w:tcPr>
          <w:p w14:paraId="76B34F6C" w14:textId="77777777" w:rsidR="003D6B8F" w:rsidRPr="003D6B8F" w:rsidRDefault="003D6B8F" w:rsidP="003D6B8F">
            <w:pPr>
              <w:jc w:val="left"/>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7FAD147" w14:textId="77777777" w:rsidR="003D6B8F" w:rsidRPr="003D6B8F" w:rsidRDefault="003D6B8F" w:rsidP="003D6B8F">
            <w:pPr>
              <w:ind w:left="-57"/>
              <w:textAlignment w:val="baseline"/>
              <w:rPr>
                <w:rFonts w:ascii="Arial Narrow" w:hAnsi="Arial Narrow" w:cs="Open Sans"/>
                <w:color w:val="BFBFBF"/>
                <w:sz w:val="20"/>
                <w:szCs w:val="20"/>
                <w:bdr w:val="none" w:sz="0" w:space="0" w:color="auto" w:frame="1"/>
              </w:rPr>
            </w:pPr>
            <w:r w:rsidRPr="003D6B8F">
              <w:rPr>
                <w:rFonts w:ascii="Arial Narrow" w:hAnsi="Arial Narrow" w:cs="Open Sans"/>
                <w:b/>
                <w:bCs/>
                <w:color w:val="BFBFBF"/>
                <w:sz w:val="20"/>
                <w:szCs w:val="20"/>
                <w:bdr w:val="none" w:sz="0" w:space="0" w:color="auto" w:frame="1"/>
              </w:rPr>
              <w:t>Severity:</w:t>
            </w:r>
            <w:r w:rsidRPr="003D6B8F">
              <w:rPr>
                <w:rFonts w:ascii="Arial Narrow" w:hAnsi="Arial Narrow" w:cs="Open Sans"/>
                <w:color w:val="BFBFBF"/>
                <w:sz w:val="20"/>
                <w:szCs w:val="20"/>
                <w:bdr w:val="none" w:sz="0" w:space="0" w:color="auto" w:frame="1"/>
              </w:rPr>
              <w:t xml:space="preserve"> Resected early stage (Stage II to IIIA)</w:t>
            </w:r>
          </w:p>
        </w:tc>
      </w:tr>
      <w:tr w:rsidR="003D6B8F" w:rsidRPr="003D6B8F" w14:paraId="03FA350B" w14:textId="77777777" w:rsidTr="00CB4F0A">
        <w:tc>
          <w:tcPr>
            <w:tcW w:w="0" w:type="auto"/>
            <w:vMerge/>
            <w:tcBorders>
              <w:top w:val="single" w:sz="4" w:space="0" w:color="auto"/>
              <w:left w:val="single" w:sz="4" w:space="0" w:color="auto"/>
              <w:bottom w:val="single" w:sz="4" w:space="0" w:color="auto"/>
              <w:right w:val="single" w:sz="4" w:space="0" w:color="auto"/>
            </w:tcBorders>
            <w:vAlign w:val="center"/>
          </w:tcPr>
          <w:p w14:paraId="1F960D98" w14:textId="77777777" w:rsidR="003D6B8F" w:rsidRPr="003D6B8F" w:rsidRDefault="003D6B8F" w:rsidP="003D6B8F">
            <w:pPr>
              <w:jc w:val="left"/>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A943D22" w14:textId="77777777" w:rsidR="003D6B8F" w:rsidRPr="003D6B8F" w:rsidRDefault="003D6B8F" w:rsidP="003D6B8F">
            <w:pPr>
              <w:ind w:left="-57"/>
              <w:textAlignment w:val="baseline"/>
              <w:rPr>
                <w:rFonts w:ascii="Arial Narrow" w:hAnsi="Arial Narrow" w:cs="Open Sans"/>
                <w:color w:val="BFBFBF"/>
                <w:sz w:val="20"/>
                <w:szCs w:val="20"/>
                <w:bdr w:val="none" w:sz="0" w:space="0" w:color="auto" w:frame="1"/>
              </w:rPr>
            </w:pPr>
            <w:r w:rsidRPr="003D6B8F">
              <w:rPr>
                <w:rFonts w:ascii="Arial Narrow" w:hAnsi="Arial Narrow" w:cs="Open Sans"/>
                <w:b/>
                <w:bCs/>
                <w:color w:val="BFBFBF"/>
                <w:sz w:val="20"/>
                <w:szCs w:val="20"/>
                <w:bdr w:val="none" w:sz="0" w:space="0" w:color="auto" w:frame="1"/>
              </w:rPr>
              <w:t xml:space="preserve">Condition: </w:t>
            </w:r>
            <w:r w:rsidRPr="003D6B8F">
              <w:rPr>
                <w:rFonts w:ascii="Arial Narrow" w:hAnsi="Arial Narrow" w:cs="Open Sans"/>
                <w:color w:val="BFBFBF"/>
                <w:sz w:val="20"/>
                <w:szCs w:val="20"/>
                <w:bdr w:val="none" w:sz="0" w:space="0" w:color="auto" w:frame="1"/>
              </w:rPr>
              <w:t>non-small cell lung cancer</w:t>
            </w:r>
          </w:p>
        </w:tc>
      </w:tr>
      <w:tr w:rsidR="003D6B8F" w:rsidRPr="003D6B8F" w14:paraId="76892182" w14:textId="77777777" w:rsidTr="00CB4F0A">
        <w:tc>
          <w:tcPr>
            <w:tcW w:w="613" w:type="pct"/>
            <w:tcBorders>
              <w:top w:val="single" w:sz="4" w:space="0" w:color="auto"/>
              <w:left w:val="single" w:sz="4" w:space="0" w:color="auto"/>
              <w:bottom w:val="single" w:sz="4" w:space="0" w:color="auto"/>
              <w:right w:val="single" w:sz="4" w:space="0" w:color="auto"/>
            </w:tcBorders>
          </w:tcPr>
          <w:p w14:paraId="30D1ABDB" w14:textId="01E3702B"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76BAC79F" w14:textId="77777777" w:rsidR="003D6B8F" w:rsidRPr="003D6B8F" w:rsidRDefault="003D6B8F" w:rsidP="003D6B8F">
            <w:pPr>
              <w:ind w:left="-57"/>
              <w:textAlignment w:val="baseline"/>
              <w:rPr>
                <w:rFonts w:ascii="Arial Narrow" w:hAnsi="Arial Narrow" w:cs="Open Sans"/>
                <w:color w:val="333333"/>
                <w:sz w:val="20"/>
                <w:szCs w:val="20"/>
              </w:rPr>
            </w:pPr>
            <w:r w:rsidRPr="003D6B8F">
              <w:rPr>
                <w:rFonts w:ascii="Arial Narrow" w:hAnsi="Arial Narrow" w:cs="Open Sans"/>
                <w:b/>
                <w:bCs/>
                <w:color w:val="333333"/>
                <w:sz w:val="20"/>
                <w:szCs w:val="20"/>
                <w:bdr w:val="none" w:sz="0" w:space="0" w:color="auto" w:frame="1"/>
              </w:rPr>
              <w:t xml:space="preserve">Indication: </w:t>
            </w:r>
            <w:r w:rsidRPr="003D6B8F">
              <w:rPr>
                <w:rFonts w:ascii="Arial Narrow" w:hAnsi="Arial Narrow" w:cs="Open Sans"/>
                <w:color w:val="333333"/>
                <w:sz w:val="20"/>
                <w:szCs w:val="20"/>
                <w:bdr w:val="none" w:sz="0" w:space="0" w:color="auto" w:frame="1"/>
              </w:rPr>
              <w:t>Resected early stage (Stage II to IIIA) non-small cell lung cancer</w:t>
            </w:r>
          </w:p>
        </w:tc>
      </w:tr>
      <w:tr w:rsidR="003D6B8F" w:rsidRPr="003D6B8F" w14:paraId="3F0CBF15" w14:textId="77777777" w:rsidTr="0010780D">
        <w:tc>
          <w:tcPr>
            <w:tcW w:w="613" w:type="pct"/>
            <w:tcBorders>
              <w:top w:val="single" w:sz="4" w:space="0" w:color="auto"/>
              <w:left w:val="single" w:sz="4" w:space="0" w:color="auto"/>
              <w:bottom w:val="single" w:sz="4" w:space="0" w:color="auto"/>
              <w:right w:val="single" w:sz="4" w:space="0" w:color="auto"/>
            </w:tcBorders>
          </w:tcPr>
          <w:p w14:paraId="05D77716"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36002809"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p>
        </w:tc>
      </w:tr>
      <w:tr w:rsidR="003D6B8F" w:rsidRPr="003D6B8F" w14:paraId="3A7B5DE5" w14:textId="77777777" w:rsidTr="00CB4F0A">
        <w:tc>
          <w:tcPr>
            <w:tcW w:w="613" w:type="pct"/>
            <w:tcBorders>
              <w:top w:val="single" w:sz="4" w:space="0" w:color="auto"/>
              <w:left w:val="single" w:sz="4" w:space="0" w:color="auto"/>
              <w:bottom w:val="single" w:sz="4" w:space="0" w:color="auto"/>
              <w:right w:val="single" w:sz="4" w:space="0" w:color="auto"/>
            </w:tcBorders>
          </w:tcPr>
          <w:p w14:paraId="670B4BFD" w14:textId="77777777" w:rsidR="003D6B8F" w:rsidRPr="003D6B8F" w:rsidRDefault="003D6B8F" w:rsidP="003D6B8F">
            <w:pPr>
              <w:rPr>
                <w:rFonts w:ascii="Arial Narrow" w:hAnsi="Arial Narrow" w:cs="Open Sans"/>
                <w:b/>
                <w:bCs/>
                <w:color w:val="FFFFFF"/>
                <w:sz w:val="20"/>
                <w:szCs w:val="20"/>
                <w:bdr w:val="none" w:sz="0" w:space="0" w:color="auto" w:frame="1"/>
                <w14:textFill>
                  <w14:solidFill>
                    <w14:srgbClr w14:val="FFFFFF">
                      <w14:lumMod w14:val="65000"/>
                    </w14:srgbClr>
                  </w14:solidFill>
                </w14:textFill>
              </w:rPr>
            </w:pPr>
          </w:p>
        </w:tc>
        <w:tc>
          <w:tcPr>
            <w:tcW w:w="4387" w:type="pct"/>
            <w:tcBorders>
              <w:top w:val="single" w:sz="4" w:space="0" w:color="auto"/>
              <w:left w:val="single" w:sz="4" w:space="0" w:color="auto"/>
              <w:bottom w:val="single" w:sz="4" w:space="0" w:color="auto"/>
              <w:right w:val="single" w:sz="4" w:space="0" w:color="auto"/>
            </w:tcBorders>
            <w:hideMark/>
          </w:tcPr>
          <w:p w14:paraId="376F0E10" w14:textId="77777777" w:rsidR="003D6B8F" w:rsidRPr="003D6B8F" w:rsidRDefault="003D6B8F" w:rsidP="003D6B8F">
            <w:pPr>
              <w:ind w:left="-57"/>
              <w:textAlignment w:val="baseline"/>
              <w:rPr>
                <w:rFonts w:ascii="Arial Narrow" w:hAnsi="Arial Narrow" w:cs="Open Sans"/>
                <w:color w:val="FFFFFF"/>
                <w:sz w:val="20"/>
                <w:szCs w:val="20"/>
                <w14:textFill>
                  <w14:solidFill>
                    <w14:srgbClr w14:val="FFFFFF">
                      <w14:lumMod w14:val="65000"/>
                    </w14:srgbClr>
                  </w14:solidFill>
                </w14:textFill>
              </w:rPr>
            </w:pPr>
            <w:r w:rsidRPr="003D6B8F">
              <w:rPr>
                <w:rFonts w:ascii="Arial Narrow" w:hAnsi="Arial Narrow" w:cs="Open Sans"/>
                <w:b/>
                <w:bCs/>
                <w:color w:val="BFBFBF" w:themeColor="background1" w:themeShade="BF"/>
                <w:sz w:val="20"/>
                <w:szCs w:val="20"/>
                <w:bdr w:val="none" w:sz="0" w:space="0" w:color="auto" w:frame="1"/>
              </w:rPr>
              <w:t xml:space="preserve">Treatment Phase: </w:t>
            </w:r>
            <w:r w:rsidRPr="003D6B8F">
              <w:rPr>
                <w:rFonts w:ascii="Arial Narrow" w:hAnsi="Arial Narrow" w:cs="Open Sans"/>
                <w:color w:val="BFBFBF" w:themeColor="background1" w:themeShade="BF"/>
                <w:sz w:val="20"/>
                <w:szCs w:val="20"/>
              </w:rPr>
              <w:t xml:space="preserve">[blank] </w:t>
            </w:r>
          </w:p>
        </w:tc>
      </w:tr>
      <w:tr w:rsidR="003D6B8F" w:rsidRPr="003D6B8F" w14:paraId="2CEFD62B" w14:textId="77777777" w:rsidTr="0010780D">
        <w:tc>
          <w:tcPr>
            <w:tcW w:w="613" w:type="pct"/>
            <w:tcBorders>
              <w:top w:val="single" w:sz="4" w:space="0" w:color="auto"/>
              <w:left w:val="single" w:sz="4" w:space="0" w:color="auto"/>
              <w:bottom w:val="single" w:sz="4" w:space="0" w:color="auto"/>
              <w:right w:val="single" w:sz="4" w:space="0" w:color="auto"/>
            </w:tcBorders>
          </w:tcPr>
          <w:p w14:paraId="29CDEB1E" w14:textId="77777777"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5BC197F7"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p>
        </w:tc>
      </w:tr>
      <w:tr w:rsidR="003D6B8F" w:rsidRPr="003D6B8F" w14:paraId="0E23A68C" w14:textId="77777777" w:rsidTr="0010780D">
        <w:tc>
          <w:tcPr>
            <w:tcW w:w="613" w:type="pct"/>
            <w:tcBorders>
              <w:top w:val="single" w:sz="4" w:space="0" w:color="auto"/>
              <w:left w:val="single" w:sz="4" w:space="0" w:color="auto"/>
              <w:bottom w:val="single" w:sz="4" w:space="0" w:color="auto"/>
              <w:right w:val="single" w:sz="4" w:space="0" w:color="auto"/>
            </w:tcBorders>
          </w:tcPr>
          <w:p w14:paraId="07F7F7A2" w14:textId="77777777"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4EE3A451"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cs="Open Sans"/>
                <w:b/>
                <w:bCs/>
                <w:color w:val="333333"/>
                <w:sz w:val="20"/>
                <w:szCs w:val="20"/>
                <w:bdr w:val="none" w:sz="0" w:space="0" w:color="auto" w:frame="1"/>
              </w:rPr>
              <w:t>Patient population:</w:t>
            </w:r>
          </w:p>
        </w:tc>
      </w:tr>
      <w:tr w:rsidR="003D6B8F" w:rsidRPr="003D6B8F" w14:paraId="7A112B83" w14:textId="77777777" w:rsidTr="0010780D">
        <w:tc>
          <w:tcPr>
            <w:tcW w:w="613" w:type="pct"/>
            <w:tcBorders>
              <w:top w:val="single" w:sz="4" w:space="0" w:color="auto"/>
              <w:left w:val="single" w:sz="4" w:space="0" w:color="auto"/>
              <w:bottom w:val="single" w:sz="4" w:space="0" w:color="auto"/>
              <w:right w:val="single" w:sz="4" w:space="0" w:color="auto"/>
            </w:tcBorders>
          </w:tcPr>
          <w:p w14:paraId="08B90AA6" w14:textId="0D52C212"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3DDA4837" w14:textId="77777777" w:rsidR="003D6B8F" w:rsidRPr="003D6B8F" w:rsidRDefault="003D6B8F" w:rsidP="003D6B8F">
            <w:pPr>
              <w:ind w:left="-57"/>
              <w:textAlignment w:val="baseline"/>
              <w:rPr>
                <w:rFonts w:ascii="Arial Narrow" w:hAnsi="Arial Narrow" w:cs="Open Sans"/>
                <w:color w:val="333333"/>
                <w:sz w:val="20"/>
                <w:szCs w:val="20"/>
                <w:bdr w:val="none" w:sz="0" w:space="0" w:color="auto" w:frame="1"/>
              </w:rPr>
            </w:pPr>
            <w:r w:rsidRPr="003D6B8F">
              <w:rPr>
                <w:rFonts w:ascii="Arial Narrow" w:hAnsi="Arial Narrow" w:cs="Open Sans"/>
                <w:color w:val="333333"/>
                <w:sz w:val="20"/>
                <w:szCs w:val="20"/>
                <w:bdr w:val="none" w:sz="0" w:space="0" w:color="auto" w:frame="1"/>
              </w:rPr>
              <w:t xml:space="preserve">Patient must be both: (i) initiating treatment, (ii) </w:t>
            </w:r>
            <w:bookmarkStart w:id="83" w:name="_Hlk109381624"/>
            <w:r w:rsidRPr="003D6B8F">
              <w:rPr>
                <w:rFonts w:ascii="Arial Narrow" w:hAnsi="Arial Narrow" w:cs="Open Sans"/>
                <w:color w:val="333333"/>
                <w:sz w:val="20"/>
                <w:szCs w:val="20"/>
                <w:bdr w:val="none" w:sz="0" w:space="0" w:color="auto" w:frame="1"/>
              </w:rPr>
              <w:t>untreated with programmed cell death-1/ligand 1 (PD-1/PD-L1) inhibitor therapy</w:t>
            </w:r>
            <w:bookmarkEnd w:id="83"/>
            <w:r w:rsidRPr="003D6B8F">
              <w:rPr>
                <w:rFonts w:ascii="Arial Narrow" w:hAnsi="Arial Narrow" w:cs="Open Sans"/>
                <w:color w:val="333333"/>
                <w:sz w:val="20"/>
                <w:szCs w:val="20"/>
                <w:bdr w:val="none" w:sz="0" w:space="0" w:color="auto" w:frame="1"/>
              </w:rPr>
              <w:t>; or</w:t>
            </w:r>
          </w:p>
        </w:tc>
      </w:tr>
      <w:tr w:rsidR="003D6B8F" w:rsidRPr="003D6B8F" w14:paraId="26AF83B3" w14:textId="77777777" w:rsidTr="0010780D">
        <w:tc>
          <w:tcPr>
            <w:tcW w:w="613" w:type="pct"/>
            <w:tcBorders>
              <w:top w:val="single" w:sz="4" w:space="0" w:color="auto"/>
              <w:left w:val="single" w:sz="4" w:space="0" w:color="auto"/>
              <w:bottom w:val="single" w:sz="4" w:space="0" w:color="auto"/>
              <w:right w:val="single" w:sz="4" w:space="0" w:color="auto"/>
            </w:tcBorders>
          </w:tcPr>
          <w:p w14:paraId="7FBF3001" w14:textId="3AEBD29B"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64A19A76"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r w:rsidRPr="003D6B8F">
              <w:rPr>
                <w:rFonts w:ascii="Arial Narrow" w:hAnsi="Arial Narrow" w:cs="Open Sans"/>
                <w:color w:val="333333"/>
                <w:sz w:val="20"/>
                <w:szCs w:val="20"/>
                <w:bdr w:val="none" w:sz="0" w:space="0" w:color="auto" w:frame="1"/>
              </w:rPr>
              <w:t>Patient must be continuing existing PBS-subsidised treatment with this drug; or</w:t>
            </w:r>
          </w:p>
        </w:tc>
      </w:tr>
      <w:tr w:rsidR="003D6B8F" w:rsidRPr="003D6B8F" w14:paraId="5A6CA177" w14:textId="77777777" w:rsidTr="0010780D">
        <w:tc>
          <w:tcPr>
            <w:tcW w:w="613" w:type="pct"/>
            <w:tcBorders>
              <w:top w:val="single" w:sz="4" w:space="0" w:color="auto"/>
              <w:left w:val="single" w:sz="4" w:space="0" w:color="auto"/>
              <w:bottom w:val="single" w:sz="4" w:space="0" w:color="auto"/>
              <w:right w:val="single" w:sz="4" w:space="0" w:color="auto"/>
            </w:tcBorders>
          </w:tcPr>
          <w:p w14:paraId="365C33E8" w14:textId="03FB5946"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0A4028DF" w14:textId="77777777" w:rsidR="003D6B8F" w:rsidRPr="003D6B8F" w:rsidRDefault="003D6B8F" w:rsidP="003D6B8F">
            <w:pPr>
              <w:ind w:left="-57"/>
              <w:textAlignment w:val="baseline"/>
              <w:rPr>
                <w:rFonts w:ascii="Arial Narrow" w:hAnsi="Arial Narrow" w:cs="Open Sans"/>
                <w:color w:val="333333"/>
                <w:sz w:val="20"/>
                <w:szCs w:val="20"/>
                <w:bdr w:val="none" w:sz="0" w:space="0" w:color="auto" w:frame="1"/>
              </w:rPr>
            </w:pPr>
            <w:r w:rsidRPr="003D6B8F">
              <w:rPr>
                <w:rFonts w:ascii="Arial Narrow" w:hAnsi="Arial Narrow" w:cs="Open Sans"/>
                <w:color w:val="333333"/>
                <w:sz w:val="20"/>
                <w:szCs w:val="20"/>
                <w:bdr w:val="none" w:sz="0" w:space="0" w:color="auto" w:frame="1"/>
              </w:rPr>
              <w:t>Patient must be both: (i) transitioning from existing non-PBS to PBS subsidised supply of this drug, (ii) untreated with programmed cell death-1/ligand 1 (PD-1/PD-L1) inhibitor therapy at the time this drug was initiated</w:t>
            </w:r>
          </w:p>
        </w:tc>
      </w:tr>
      <w:tr w:rsidR="003D6B8F" w:rsidRPr="003D6B8F" w14:paraId="346C2675" w14:textId="77777777" w:rsidTr="0010780D">
        <w:tc>
          <w:tcPr>
            <w:tcW w:w="613" w:type="pct"/>
            <w:tcBorders>
              <w:top w:val="single" w:sz="4" w:space="0" w:color="auto"/>
              <w:left w:val="single" w:sz="4" w:space="0" w:color="auto"/>
              <w:bottom w:val="single" w:sz="4" w:space="0" w:color="auto"/>
              <w:right w:val="single" w:sz="4" w:space="0" w:color="auto"/>
            </w:tcBorders>
          </w:tcPr>
          <w:p w14:paraId="147B43C0" w14:textId="77777777" w:rsidR="003D6B8F" w:rsidRPr="003D6B8F" w:rsidRDefault="003D6B8F" w:rsidP="003D6B8F">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57E2D758" w14:textId="77777777" w:rsidR="003D6B8F" w:rsidRPr="003D6B8F" w:rsidRDefault="003D6B8F" w:rsidP="003D6B8F">
            <w:pPr>
              <w:ind w:left="-57"/>
              <w:textAlignment w:val="baseline"/>
              <w:rPr>
                <w:rFonts w:ascii="Arial Narrow" w:hAnsi="Arial Narrow" w:cs="Open Sans"/>
                <w:b/>
                <w:bCs/>
                <w:color w:val="333333"/>
                <w:sz w:val="20"/>
                <w:szCs w:val="20"/>
                <w:bdr w:val="none" w:sz="0" w:space="0" w:color="auto" w:frame="1"/>
              </w:rPr>
            </w:pPr>
          </w:p>
        </w:tc>
      </w:tr>
      <w:tr w:rsidR="003D6B8F" w:rsidRPr="003D6B8F" w14:paraId="2C37901B" w14:textId="77777777" w:rsidTr="00CB4F0A">
        <w:tc>
          <w:tcPr>
            <w:tcW w:w="613" w:type="pct"/>
            <w:tcBorders>
              <w:top w:val="single" w:sz="4" w:space="0" w:color="auto"/>
              <w:left w:val="single" w:sz="4" w:space="0" w:color="auto"/>
              <w:bottom w:val="single" w:sz="4" w:space="0" w:color="auto"/>
              <w:right w:val="single" w:sz="4" w:space="0" w:color="auto"/>
            </w:tcBorders>
          </w:tcPr>
          <w:p w14:paraId="340C2807"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1685FFF" w14:textId="77777777" w:rsidR="003D6B8F" w:rsidRPr="003D6B8F" w:rsidRDefault="003D6B8F" w:rsidP="003D6B8F">
            <w:pPr>
              <w:ind w:left="-57"/>
              <w:textAlignment w:val="baseline"/>
              <w:rPr>
                <w:rFonts w:ascii="Arial Narrow" w:hAnsi="Arial Narrow" w:cs="Open Sans"/>
                <w:color w:val="333333"/>
                <w:sz w:val="20"/>
                <w:szCs w:val="20"/>
              </w:rPr>
            </w:pPr>
            <w:r w:rsidRPr="003D6B8F">
              <w:rPr>
                <w:rFonts w:ascii="Arial Narrow" w:hAnsi="Arial Narrow" w:cs="Open Sans"/>
                <w:b/>
                <w:bCs/>
                <w:color w:val="333333"/>
                <w:sz w:val="20"/>
                <w:szCs w:val="20"/>
                <w:bdr w:val="none" w:sz="0" w:space="0" w:color="auto" w:frame="1"/>
              </w:rPr>
              <w:t>Clinical criteria:</w:t>
            </w:r>
          </w:p>
        </w:tc>
      </w:tr>
      <w:tr w:rsidR="003D6B8F" w:rsidRPr="003D6B8F" w14:paraId="4F9E53DC" w14:textId="77777777" w:rsidTr="00CB4F0A">
        <w:tc>
          <w:tcPr>
            <w:tcW w:w="613" w:type="pct"/>
            <w:tcBorders>
              <w:top w:val="single" w:sz="4" w:space="0" w:color="auto"/>
              <w:left w:val="single" w:sz="4" w:space="0" w:color="auto"/>
              <w:bottom w:val="single" w:sz="4" w:space="0" w:color="auto"/>
              <w:right w:val="single" w:sz="4" w:space="0" w:color="auto"/>
            </w:tcBorders>
          </w:tcPr>
          <w:p w14:paraId="6AA026CF" w14:textId="5C9C75DF"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1CFDCC96"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Patient must have/have had a WHO performance status score of no greater than 1</w:t>
            </w:r>
            <w:r w:rsidRPr="003D6B8F">
              <w:rPr>
                <w:rFonts w:ascii="Arial Narrow" w:hAnsi="Arial Narrow"/>
                <w:sz w:val="20"/>
                <w:szCs w:val="20"/>
              </w:rPr>
              <w:t xml:space="preserve"> </w:t>
            </w:r>
            <w:r w:rsidRPr="003D6B8F">
              <w:rPr>
                <w:rFonts w:ascii="Arial Narrow" w:hAnsi="Arial Narrow" w:cs="Open Sans"/>
                <w:color w:val="333333"/>
                <w:sz w:val="20"/>
                <w:szCs w:val="20"/>
              </w:rPr>
              <w:t>at treatment initiation with this drug</w:t>
            </w:r>
          </w:p>
        </w:tc>
      </w:tr>
      <w:tr w:rsidR="003D6B8F" w:rsidRPr="003D6B8F" w14:paraId="58CFC835" w14:textId="77777777" w:rsidTr="0010780D">
        <w:tc>
          <w:tcPr>
            <w:tcW w:w="613" w:type="pct"/>
            <w:tcBorders>
              <w:top w:val="single" w:sz="4" w:space="0" w:color="auto"/>
              <w:left w:val="single" w:sz="4" w:space="0" w:color="auto"/>
              <w:bottom w:val="single" w:sz="4" w:space="0" w:color="auto"/>
              <w:right w:val="single" w:sz="4" w:space="0" w:color="auto"/>
            </w:tcBorders>
          </w:tcPr>
          <w:p w14:paraId="0803EFB3"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1A0F522A"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AND</w:t>
            </w:r>
          </w:p>
        </w:tc>
      </w:tr>
      <w:tr w:rsidR="003D6B8F" w:rsidRPr="003D6B8F" w14:paraId="12ECD5DB" w14:textId="77777777" w:rsidTr="0010780D">
        <w:tc>
          <w:tcPr>
            <w:tcW w:w="613" w:type="pct"/>
            <w:tcBorders>
              <w:top w:val="single" w:sz="4" w:space="0" w:color="auto"/>
              <w:left w:val="single" w:sz="4" w:space="0" w:color="auto"/>
              <w:bottom w:val="single" w:sz="4" w:space="0" w:color="auto"/>
              <w:right w:val="single" w:sz="4" w:space="0" w:color="auto"/>
            </w:tcBorders>
          </w:tcPr>
          <w:p w14:paraId="364086E0"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4830F3F"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Clinical criteria:</w:t>
            </w:r>
          </w:p>
        </w:tc>
      </w:tr>
      <w:tr w:rsidR="003D6B8F" w:rsidRPr="003D6B8F" w14:paraId="67512186" w14:textId="77777777" w:rsidTr="00CB4F0A">
        <w:tc>
          <w:tcPr>
            <w:tcW w:w="613" w:type="pct"/>
            <w:tcBorders>
              <w:top w:val="single" w:sz="4" w:space="0" w:color="auto"/>
              <w:left w:val="single" w:sz="4" w:space="0" w:color="auto"/>
              <w:bottom w:val="single" w:sz="4" w:space="0" w:color="auto"/>
              <w:right w:val="single" w:sz="4" w:space="0" w:color="auto"/>
            </w:tcBorders>
          </w:tcPr>
          <w:p w14:paraId="22D4F09A" w14:textId="7962C2A0"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E1F06B4"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The treatment must be for the purpose of adjuvant therapy following all of: (i) surgical resection, (ii) platinum-based chemotherapy</w:t>
            </w:r>
          </w:p>
        </w:tc>
      </w:tr>
      <w:tr w:rsidR="003D6B8F" w:rsidRPr="003D6B8F" w14:paraId="78D46124" w14:textId="77777777" w:rsidTr="0010780D">
        <w:tc>
          <w:tcPr>
            <w:tcW w:w="613" w:type="pct"/>
            <w:tcBorders>
              <w:top w:val="single" w:sz="4" w:space="0" w:color="auto"/>
              <w:left w:val="single" w:sz="4" w:space="0" w:color="auto"/>
              <w:bottom w:val="single" w:sz="4" w:space="0" w:color="auto"/>
              <w:right w:val="single" w:sz="4" w:space="0" w:color="auto"/>
            </w:tcBorders>
          </w:tcPr>
          <w:p w14:paraId="2E7FEE5E"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7CE85A12"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AND</w:t>
            </w:r>
          </w:p>
        </w:tc>
      </w:tr>
      <w:tr w:rsidR="003D6B8F" w:rsidRPr="003D6B8F" w14:paraId="619BE357" w14:textId="77777777" w:rsidTr="0010780D">
        <w:tc>
          <w:tcPr>
            <w:tcW w:w="613" w:type="pct"/>
            <w:tcBorders>
              <w:top w:val="single" w:sz="4" w:space="0" w:color="auto"/>
              <w:left w:val="single" w:sz="4" w:space="0" w:color="auto"/>
              <w:bottom w:val="single" w:sz="4" w:space="0" w:color="auto"/>
              <w:right w:val="single" w:sz="4" w:space="0" w:color="auto"/>
            </w:tcBorders>
          </w:tcPr>
          <w:p w14:paraId="069FA4FB"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3588F140"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Clinical criteria:</w:t>
            </w:r>
          </w:p>
        </w:tc>
      </w:tr>
      <w:tr w:rsidR="003D6B8F" w:rsidRPr="003D6B8F" w14:paraId="4BFDA9BE" w14:textId="77777777" w:rsidTr="0010780D">
        <w:tc>
          <w:tcPr>
            <w:tcW w:w="613" w:type="pct"/>
            <w:tcBorders>
              <w:top w:val="single" w:sz="4" w:space="0" w:color="auto"/>
              <w:left w:val="single" w:sz="4" w:space="0" w:color="auto"/>
              <w:bottom w:val="single" w:sz="4" w:space="0" w:color="auto"/>
              <w:right w:val="single" w:sz="4" w:space="0" w:color="auto"/>
            </w:tcBorders>
          </w:tcPr>
          <w:p w14:paraId="61DD5CF7" w14:textId="5CD1736D"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044451AA"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 xml:space="preserve">The condition must have/have had, at treatment commencement, an absence of each of the following gene abnormalities confirmed via tumour material sampling: (i) an activating epidermal growth factor receptor (EGFR) gene mutation, (ii) an anaplastic lymphoma kinase (ALK) gene rearrangement  </w:t>
            </w:r>
          </w:p>
        </w:tc>
      </w:tr>
      <w:tr w:rsidR="003D6B8F" w:rsidRPr="003D6B8F" w14:paraId="0CC8F8C0" w14:textId="77777777" w:rsidTr="0010780D">
        <w:tc>
          <w:tcPr>
            <w:tcW w:w="613" w:type="pct"/>
            <w:tcBorders>
              <w:top w:val="single" w:sz="4" w:space="0" w:color="auto"/>
              <w:left w:val="single" w:sz="4" w:space="0" w:color="auto"/>
              <w:bottom w:val="single" w:sz="4" w:space="0" w:color="auto"/>
              <w:right w:val="single" w:sz="4" w:space="0" w:color="auto"/>
            </w:tcBorders>
          </w:tcPr>
          <w:p w14:paraId="5D65C6B2"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2484915A"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AND</w:t>
            </w:r>
          </w:p>
        </w:tc>
      </w:tr>
      <w:tr w:rsidR="003D6B8F" w:rsidRPr="003D6B8F" w14:paraId="1BDB3815" w14:textId="77777777" w:rsidTr="0010780D">
        <w:tc>
          <w:tcPr>
            <w:tcW w:w="613" w:type="pct"/>
            <w:tcBorders>
              <w:top w:val="single" w:sz="4" w:space="0" w:color="auto"/>
              <w:left w:val="single" w:sz="4" w:space="0" w:color="auto"/>
              <w:bottom w:val="single" w:sz="4" w:space="0" w:color="auto"/>
              <w:right w:val="single" w:sz="4" w:space="0" w:color="auto"/>
            </w:tcBorders>
          </w:tcPr>
          <w:p w14:paraId="14FB8311"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0FDFE830"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Clinical criteria:</w:t>
            </w:r>
          </w:p>
        </w:tc>
      </w:tr>
      <w:tr w:rsidR="003D6B8F" w:rsidRPr="003D6B8F" w14:paraId="04D49A63" w14:textId="77777777" w:rsidTr="00CB4F0A">
        <w:tc>
          <w:tcPr>
            <w:tcW w:w="613" w:type="pct"/>
            <w:tcBorders>
              <w:top w:val="single" w:sz="4" w:space="0" w:color="auto"/>
              <w:left w:val="single" w:sz="4" w:space="0" w:color="auto"/>
              <w:bottom w:val="single" w:sz="4" w:space="0" w:color="auto"/>
              <w:right w:val="single" w:sz="4" w:space="0" w:color="auto"/>
            </w:tcBorders>
          </w:tcPr>
          <w:p w14:paraId="44032B69" w14:textId="6A460DD0"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48A5344F"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The condition must have/have had, at treatment commencement, confirmation of programmed cell death ligand 1 (PD-L1) expression on at least 50% of tumour cells</w:t>
            </w:r>
          </w:p>
        </w:tc>
      </w:tr>
      <w:tr w:rsidR="003D6B8F" w:rsidRPr="003D6B8F" w14:paraId="695E622F" w14:textId="77777777" w:rsidTr="0010780D">
        <w:tc>
          <w:tcPr>
            <w:tcW w:w="613" w:type="pct"/>
            <w:tcBorders>
              <w:top w:val="single" w:sz="4" w:space="0" w:color="auto"/>
              <w:left w:val="single" w:sz="4" w:space="0" w:color="auto"/>
              <w:bottom w:val="single" w:sz="4" w:space="0" w:color="auto"/>
              <w:right w:val="single" w:sz="4" w:space="0" w:color="auto"/>
            </w:tcBorders>
          </w:tcPr>
          <w:p w14:paraId="6B3379B7" w14:textId="77777777" w:rsidR="003D6B8F" w:rsidRPr="003D6B8F" w:rsidRDefault="003D6B8F" w:rsidP="003D6B8F">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30D152B3"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AND</w:t>
            </w:r>
          </w:p>
        </w:tc>
      </w:tr>
      <w:tr w:rsidR="003D6B8F" w:rsidRPr="003D6B8F" w14:paraId="049685FA" w14:textId="77777777" w:rsidTr="00CB4F0A">
        <w:tc>
          <w:tcPr>
            <w:tcW w:w="613" w:type="pct"/>
            <w:tcBorders>
              <w:top w:val="single" w:sz="4" w:space="0" w:color="auto"/>
              <w:left w:val="single" w:sz="4" w:space="0" w:color="auto"/>
              <w:bottom w:val="single" w:sz="4" w:space="0" w:color="auto"/>
              <w:right w:val="single" w:sz="4" w:space="0" w:color="auto"/>
            </w:tcBorders>
          </w:tcPr>
          <w:p w14:paraId="64E99803" w14:textId="1C8CD003"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70799D5A"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Clinical criteria:</w:t>
            </w:r>
          </w:p>
        </w:tc>
      </w:tr>
      <w:tr w:rsidR="003D6B8F" w:rsidRPr="003D6B8F" w14:paraId="2D97D94C" w14:textId="77777777" w:rsidTr="00CB4F0A">
        <w:tc>
          <w:tcPr>
            <w:tcW w:w="613" w:type="pct"/>
            <w:tcBorders>
              <w:top w:val="single" w:sz="4" w:space="0" w:color="auto"/>
              <w:left w:val="single" w:sz="4" w:space="0" w:color="auto"/>
              <w:bottom w:val="single" w:sz="4" w:space="0" w:color="auto"/>
              <w:right w:val="single" w:sz="4" w:space="0" w:color="auto"/>
            </w:tcBorders>
          </w:tcPr>
          <w:p w14:paraId="1D9E7A1A" w14:textId="6114C8B2"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3BEE659"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The treatment must be the sole PBS-subsidised systemic anti-cancer therapy for this condition</w:t>
            </w:r>
          </w:p>
        </w:tc>
      </w:tr>
      <w:tr w:rsidR="003D6B8F" w:rsidRPr="003D6B8F" w14:paraId="3EE3BBDD" w14:textId="77777777" w:rsidTr="0010780D">
        <w:tc>
          <w:tcPr>
            <w:tcW w:w="613" w:type="pct"/>
            <w:tcBorders>
              <w:top w:val="single" w:sz="4" w:space="0" w:color="auto"/>
              <w:left w:val="single" w:sz="4" w:space="0" w:color="auto"/>
              <w:bottom w:val="single" w:sz="4" w:space="0" w:color="auto"/>
              <w:right w:val="single" w:sz="4" w:space="0" w:color="auto"/>
            </w:tcBorders>
          </w:tcPr>
          <w:p w14:paraId="357800D7" w14:textId="77777777"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57C515D7"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b/>
                <w:bCs/>
                <w:color w:val="333333"/>
                <w:sz w:val="20"/>
                <w:szCs w:val="20"/>
              </w:rPr>
              <w:t>AND</w:t>
            </w:r>
          </w:p>
        </w:tc>
      </w:tr>
      <w:tr w:rsidR="003D6B8F" w:rsidRPr="003D6B8F" w14:paraId="525C1275" w14:textId="77777777" w:rsidTr="0010780D">
        <w:tc>
          <w:tcPr>
            <w:tcW w:w="613" w:type="pct"/>
            <w:tcBorders>
              <w:top w:val="single" w:sz="4" w:space="0" w:color="auto"/>
              <w:left w:val="single" w:sz="4" w:space="0" w:color="auto"/>
              <w:bottom w:val="single" w:sz="4" w:space="0" w:color="auto"/>
              <w:right w:val="single" w:sz="4" w:space="0" w:color="auto"/>
            </w:tcBorders>
          </w:tcPr>
          <w:p w14:paraId="41AAD032" w14:textId="77777777" w:rsidR="003D6B8F" w:rsidRPr="003D6B8F" w:rsidRDefault="003D6B8F" w:rsidP="003D6B8F">
            <w:pPr>
              <w:jc w:val="left"/>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5101EFDF"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b/>
                <w:bCs/>
                <w:color w:val="333333"/>
                <w:sz w:val="20"/>
                <w:szCs w:val="20"/>
              </w:rPr>
              <w:t>Clinical criteria:</w:t>
            </w:r>
          </w:p>
        </w:tc>
      </w:tr>
      <w:tr w:rsidR="003D6B8F" w:rsidRPr="003D6B8F" w14:paraId="57D37442" w14:textId="77777777" w:rsidTr="0010780D">
        <w:tc>
          <w:tcPr>
            <w:tcW w:w="613" w:type="pct"/>
            <w:tcBorders>
              <w:top w:val="single" w:sz="4" w:space="0" w:color="auto"/>
              <w:left w:val="single" w:sz="4" w:space="0" w:color="auto"/>
              <w:bottom w:val="single" w:sz="4" w:space="0" w:color="auto"/>
              <w:right w:val="single" w:sz="4" w:space="0" w:color="auto"/>
            </w:tcBorders>
          </w:tcPr>
          <w:p w14:paraId="313CE12E" w14:textId="75644B0C"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079770EA" w14:textId="5D987656"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The treatment must be prescribed with up to a certain number of repeat prescriptions dependent on the  frequency of dosing as follows: (i) up to 5 repeats for dosing occurring once every 4 weeks, (ii) up to 7 repeats for dosing occurring once every 3 weeks</w:t>
            </w:r>
          </w:p>
        </w:tc>
      </w:tr>
      <w:tr w:rsidR="003D6B8F" w:rsidRPr="003D6B8F" w14:paraId="089E716B" w14:textId="77777777" w:rsidTr="0010780D">
        <w:tc>
          <w:tcPr>
            <w:tcW w:w="613" w:type="pct"/>
            <w:tcBorders>
              <w:top w:val="single" w:sz="4" w:space="0" w:color="auto"/>
              <w:left w:val="single" w:sz="4" w:space="0" w:color="auto"/>
              <w:bottom w:val="single" w:sz="4" w:space="0" w:color="auto"/>
              <w:right w:val="single" w:sz="4" w:space="0" w:color="auto"/>
            </w:tcBorders>
          </w:tcPr>
          <w:p w14:paraId="661FEB1B" w14:textId="77777777"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718B508F" w14:textId="77777777" w:rsidR="003D6B8F" w:rsidRPr="003D6B8F" w:rsidRDefault="003D6B8F" w:rsidP="003D6B8F">
            <w:pPr>
              <w:ind w:left="-57"/>
              <w:rPr>
                <w:rFonts w:ascii="Arial Narrow" w:hAnsi="Arial Narrow" w:cs="Open Sans"/>
                <w:color w:val="333333"/>
                <w:sz w:val="20"/>
                <w:szCs w:val="20"/>
              </w:rPr>
            </w:pPr>
          </w:p>
        </w:tc>
      </w:tr>
      <w:tr w:rsidR="003D6B8F" w:rsidRPr="003D6B8F" w14:paraId="5F9251C8" w14:textId="77777777" w:rsidTr="0010780D">
        <w:tc>
          <w:tcPr>
            <w:tcW w:w="613" w:type="pct"/>
            <w:tcBorders>
              <w:top w:val="single" w:sz="4" w:space="0" w:color="auto"/>
              <w:left w:val="single" w:sz="4" w:space="0" w:color="auto"/>
              <w:bottom w:val="single" w:sz="4" w:space="0" w:color="auto"/>
              <w:right w:val="single" w:sz="4" w:space="0" w:color="auto"/>
            </w:tcBorders>
          </w:tcPr>
          <w:p w14:paraId="4171C5E6" w14:textId="77777777"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44C1F2F4" w14:textId="77777777" w:rsidR="003D6B8F" w:rsidRPr="003D6B8F" w:rsidRDefault="003D6B8F" w:rsidP="003D6B8F">
            <w:pPr>
              <w:ind w:left="-57"/>
              <w:rPr>
                <w:rFonts w:ascii="Arial Narrow" w:hAnsi="Arial Narrow" w:cs="Open Sans"/>
                <w:b/>
                <w:bCs/>
                <w:color w:val="333333"/>
                <w:sz w:val="20"/>
                <w:szCs w:val="20"/>
              </w:rPr>
            </w:pPr>
            <w:r w:rsidRPr="003D6B8F">
              <w:rPr>
                <w:rFonts w:ascii="Arial Narrow" w:hAnsi="Arial Narrow" w:cs="Open Sans"/>
                <w:b/>
                <w:bCs/>
                <w:color w:val="333333"/>
                <w:sz w:val="20"/>
                <w:szCs w:val="20"/>
              </w:rPr>
              <w:t>Treatment criteria:</w:t>
            </w:r>
          </w:p>
        </w:tc>
      </w:tr>
      <w:tr w:rsidR="003D6B8F" w:rsidRPr="003D6B8F" w14:paraId="74AEB2B3" w14:textId="77777777" w:rsidTr="00CB4F0A">
        <w:tc>
          <w:tcPr>
            <w:tcW w:w="613" w:type="pct"/>
            <w:tcBorders>
              <w:top w:val="single" w:sz="4" w:space="0" w:color="auto"/>
              <w:left w:val="single" w:sz="4" w:space="0" w:color="auto"/>
              <w:bottom w:val="single" w:sz="4" w:space="0" w:color="auto"/>
              <w:right w:val="single" w:sz="4" w:space="0" w:color="auto"/>
            </w:tcBorders>
          </w:tcPr>
          <w:p w14:paraId="0B584904" w14:textId="23A00B44" w:rsidR="003D6B8F" w:rsidRPr="003D6B8F" w:rsidRDefault="003D6B8F" w:rsidP="003D6B8F">
            <w:pPr>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4F5CC62" w14:textId="77777777" w:rsidR="003D6B8F" w:rsidRPr="003D6B8F" w:rsidRDefault="003D6B8F" w:rsidP="003D6B8F">
            <w:pPr>
              <w:ind w:left="-57"/>
              <w:rPr>
                <w:rFonts w:ascii="Arial Narrow" w:hAnsi="Arial Narrow" w:cs="Open Sans"/>
                <w:color w:val="333333"/>
                <w:sz w:val="20"/>
                <w:szCs w:val="20"/>
              </w:rPr>
            </w:pPr>
            <w:r w:rsidRPr="003D6B8F">
              <w:rPr>
                <w:rFonts w:ascii="Arial Narrow" w:hAnsi="Arial Narrow" w:cs="Open Sans"/>
                <w:color w:val="333333"/>
                <w:sz w:val="20"/>
                <w:szCs w:val="20"/>
              </w:rPr>
              <w:t>Patient must be undergoing treatment that does not occur beyond the following, whichever comes first: (i) the first instance of disease progression/recurrence, (ii) 12 months in total for this condition from the first administered dose; mark any remaining repeat prescriptions with the words ‘cancelled’ where (i)/(ii) has occurred</w:t>
            </w:r>
          </w:p>
        </w:tc>
      </w:tr>
    </w:tbl>
    <w:p w14:paraId="44E98A6F" w14:textId="6D0A7AD4" w:rsidR="00F32E7F" w:rsidRDefault="00F32E7F" w:rsidP="003B1F3D">
      <w:pPr>
        <w:spacing w:after="120"/>
        <w:rPr>
          <w:rFonts w:asciiTheme="minorHAnsi" w:hAnsiTheme="minorHAnsi" w:cstheme="minorHAnsi"/>
        </w:rPr>
      </w:pPr>
    </w:p>
    <w:p w14:paraId="3B881CF6" w14:textId="04C83141" w:rsidR="00333403" w:rsidRDefault="00D23251" w:rsidP="00D23251">
      <w:pPr>
        <w:rPr>
          <w:b/>
          <w:i/>
        </w:rPr>
      </w:pPr>
      <w:r w:rsidRPr="007044DF">
        <w:rPr>
          <w:b/>
          <w:i/>
        </w:rPr>
        <w:t xml:space="preserve">This restriction may be subject to further review. Should there be any changes made to the restriction the sponsor will be informed. </w:t>
      </w:r>
    </w:p>
    <w:p w14:paraId="5EE3A8EF" w14:textId="77777777" w:rsidR="00333403" w:rsidRPr="00DC6997" w:rsidRDefault="00333403" w:rsidP="00333403">
      <w:pPr>
        <w:pStyle w:val="2-SectionHeading"/>
        <w:ind w:left="709"/>
        <w:outlineLvl w:val="1"/>
      </w:pPr>
      <w:r w:rsidRPr="00DC6997">
        <w:t>Context for Decision</w:t>
      </w:r>
    </w:p>
    <w:p w14:paraId="5ED4D175" w14:textId="77777777" w:rsidR="00333403" w:rsidRPr="00DC6997" w:rsidRDefault="00333403" w:rsidP="00333403">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746047" w14:textId="77777777" w:rsidR="00333403" w:rsidRPr="00DC6997" w:rsidRDefault="00333403" w:rsidP="00333403">
      <w:pPr>
        <w:pStyle w:val="2-SectionHeading"/>
        <w:outlineLvl w:val="1"/>
      </w:pPr>
      <w:r w:rsidRPr="00DC6997">
        <w:t>Sponsor’s Comment</w:t>
      </w:r>
    </w:p>
    <w:p w14:paraId="7C6DB333" w14:textId="48635080" w:rsidR="00333403" w:rsidRPr="002C5E56" w:rsidRDefault="00876FB3" w:rsidP="002C5E56">
      <w:pPr>
        <w:ind w:left="709"/>
        <w:rPr>
          <w:sz w:val="22"/>
          <w:szCs w:val="22"/>
        </w:rPr>
      </w:pPr>
      <w:r w:rsidRPr="002C5E56">
        <w:rPr>
          <w:sz w:val="22"/>
          <w:szCs w:val="22"/>
        </w:rPr>
        <w:t xml:space="preserve">Roche welcomes the PBAC’s decision to recommend PBS listing of atezolizumab as adjuvant treatment in patients with stage II-IIIA PD-L1 </w:t>
      </w:r>
      <w:r w:rsidRPr="002C5E56">
        <w:rPr>
          <w:rFonts w:cs="Calibri"/>
          <w:sz w:val="22"/>
          <w:szCs w:val="22"/>
        </w:rPr>
        <w:t>≥</w:t>
      </w:r>
      <w:r w:rsidRPr="002C5E56">
        <w:rPr>
          <w:sz w:val="22"/>
          <w:szCs w:val="22"/>
        </w:rPr>
        <w:t>50% NSCLC following complete resection and platinum-based chemotherapy. Roche are working with the Department of Health towards a PBS listing at the earliest opportunity.</w:t>
      </w:r>
    </w:p>
    <w:p w14:paraId="5E1D6DA5" w14:textId="4B190B45" w:rsidR="00D23251" w:rsidRDefault="00D23251" w:rsidP="003B1F3D">
      <w:pPr>
        <w:spacing w:after="120"/>
        <w:rPr>
          <w:rFonts w:asciiTheme="minorHAnsi" w:hAnsiTheme="minorHAnsi" w:cstheme="minorHAnsi"/>
        </w:rPr>
      </w:pPr>
    </w:p>
    <w:p w14:paraId="2DF70EA7" w14:textId="3512F702" w:rsidR="001D76A9" w:rsidRPr="0058641B" w:rsidRDefault="001D76A9" w:rsidP="00CE712C">
      <w:pPr>
        <w:rPr>
          <w:rFonts w:cs="Calibri"/>
          <w:sz w:val="22"/>
          <w:szCs w:val="22"/>
        </w:rPr>
      </w:pPr>
    </w:p>
    <w:sectPr w:rsidR="001D76A9" w:rsidRPr="0058641B" w:rsidSect="00251006">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139B" w14:textId="77777777" w:rsidR="00F65557" w:rsidRDefault="00F65557" w:rsidP="00124A51">
      <w:r>
        <w:separator/>
      </w:r>
    </w:p>
    <w:p w14:paraId="231A04BE" w14:textId="77777777" w:rsidR="00F65557" w:rsidRDefault="00F65557"/>
  </w:endnote>
  <w:endnote w:type="continuationSeparator" w:id="0">
    <w:p w14:paraId="56379D96" w14:textId="77777777" w:rsidR="00F65557" w:rsidRDefault="00F65557" w:rsidP="00124A51">
      <w:r>
        <w:continuationSeparator/>
      </w:r>
    </w:p>
    <w:p w14:paraId="2EA55730" w14:textId="77777777" w:rsidR="00F65557" w:rsidRDefault="00F65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D082" w14:textId="77777777" w:rsidR="00A8021D" w:rsidRDefault="00A80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E34A" w14:textId="77777777" w:rsidR="00F65557" w:rsidRDefault="00F65557">
    <w:pPr>
      <w:pStyle w:val="Footer"/>
      <w:jc w:val="center"/>
    </w:pPr>
  </w:p>
  <w:sdt>
    <w:sdtPr>
      <w:id w:val="-509831603"/>
      <w:docPartObj>
        <w:docPartGallery w:val="Page Numbers (Bottom of Page)"/>
        <w:docPartUnique/>
      </w:docPartObj>
    </w:sdtPr>
    <w:sdtEndPr>
      <w:rPr>
        <w:noProof/>
      </w:rPr>
    </w:sdtEndPr>
    <w:sdtContent>
      <w:p w14:paraId="3F4C63ED" w14:textId="59B36E18" w:rsidR="00F65557" w:rsidRPr="009A7F10" w:rsidRDefault="00F65557" w:rsidP="006B1EF8">
        <w:pPr>
          <w:pStyle w:val="Footer"/>
          <w:jc w:val="center"/>
        </w:pPr>
        <w:r>
          <w:fldChar w:fldCharType="begin"/>
        </w:r>
        <w:r>
          <w:instrText xml:space="preserve"> PAGE   \* MERGEFORMAT </w:instrText>
        </w:r>
        <w:r>
          <w:fldChar w:fldCharType="separate"/>
        </w:r>
        <w:r w:rsidR="008E48B5">
          <w:rPr>
            <w:noProof/>
          </w:rPr>
          <w:t>46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85EDF" w14:textId="77777777" w:rsidR="00A8021D" w:rsidRDefault="00A80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3E1" w14:textId="77777777" w:rsidR="00F65557" w:rsidRDefault="00F65557" w:rsidP="00124A51">
      <w:r>
        <w:separator/>
      </w:r>
    </w:p>
  </w:footnote>
  <w:footnote w:type="continuationSeparator" w:id="0">
    <w:p w14:paraId="38F65444" w14:textId="77777777" w:rsidR="00F65557" w:rsidRDefault="00F65557" w:rsidP="00124A51">
      <w:r>
        <w:continuationSeparator/>
      </w:r>
    </w:p>
    <w:p w14:paraId="5D0B7417" w14:textId="77777777" w:rsidR="00F65557" w:rsidRDefault="00F65557"/>
  </w:footnote>
  <w:footnote w:id="1">
    <w:p w14:paraId="1BC5ACDC" w14:textId="77777777" w:rsidR="00F65557" w:rsidRDefault="00F65557" w:rsidP="00341211">
      <w:pPr>
        <w:pStyle w:val="FootnoteText"/>
      </w:pPr>
      <w:r>
        <w:rPr>
          <w:rStyle w:val="FootnoteReference"/>
        </w:rPr>
        <w:footnoteRef/>
      </w:r>
      <w:r>
        <w:t xml:space="preserve"> ATZ in combination with bevacizumab, paclitaxel and carboplatin, is indicated for the first-line treatment of adult patients with metastatic NSCLC. In patients with EGFR mutant or ALK-positive NSCLC, ATZ in combination with bevacizumab, paclitaxel and carboplatin, is indicated only after failure of appropriate targeted therapies.</w:t>
      </w:r>
    </w:p>
    <w:p w14:paraId="09854765" w14:textId="77777777" w:rsidR="00F65557" w:rsidRDefault="00F65557" w:rsidP="00341211">
      <w:pPr>
        <w:pStyle w:val="FootnoteText"/>
      </w:pPr>
      <w:r>
        <w:t>ATZ in combination with nanoparticle albumin-bound paclitaxel (nab-paclitaxel) and carboplatin, is indicated for first-line treatment of patients with metastatic who do not have tumour EGFR or ALK genomic aberrations.</w:t>
      </w:r>
    </w:p>
    <w:p w14:paraId="5910AE81" w14:textId="77777777" w:rsidR="00F65557" w:rsidRDefault="00F65557" w:rsidP="00341211">
      <w:pPr>
        <w:pStyle w:val="FootnoteText"/>
      </w:pPr>
      <w:r>
        <w:t>ATZ as monotherapy is indicated for the treatment of adult patients with locally advanced or metastatic NSCLC after prior chemotherapy. Patients with EGFR mutant or ALK-positive NSCLC should also have received targeted therapies before receiving ATZ.</w:t>
      </w:r>
    </w:p>
  </w:footnote>
  <w:footnote w:id="2">
    <w:p w14:paraId="6D13FB15" w14:textId="3FEF4E53" w:rsidR="00F65557" w:rsidRDefault="00F65557">
      <w:pPr>
        <w:pStyle w:val="FootnoteText"/>
      </w:pPr>
      <w:r w:rsidRPr="00F13EEA">
        <w:rPr>
          <w:rStyle w:val="FootnoteReference"/>
        </w:rPr>
        <w:footnoteRef/>
      </w:r>
      <w:r w:rsidRPr="00F13EEA">
        <w:t xml:space="preserve"> </w:t>
      </w:r>
      <w:r w:rsidRPr="00F13EEA">
        <w:rPr>
          <w:rFonts w:asciiTheme="minorHAnsi" w:hAnsiTheme="minorHAnsi"/>
          <w:bCs/>
          <w:snapToGrid w:val="0"/>
        </w:rPr>
        <w:t>Cherny NI, Dafni U, Bogaerts J, et al: ESMO-Magnitude of Clinical Benefit Scale version 1.1. Annals of Oncology 28:2340-2366, 2017</w:t>
      </w:r>
    </w:p>
  </w:footnote>
  <w:footnote w:id="3">
    <w:p w14:paraId="4D5EF3BF" w14:textId="77777777" w:rsidR="00F65557" w:rsidRDefault="00F65557" w:rsidP="00E87B38">
      <w:pPr>
        <w:pStyle w:val="FootnoteText"/>
      </w:pPr>
      <w:r>
        <w:rPr>
          <w:rStyle w:val="FootnoteReference"/>
        </w:rPr>
        <w:footnoteRef/>
      </w:r>
      <w:r>
        <w:t xml:space="preserve"> </w:t>
      </w:r>
      <w:r w:rsidRPr="00942616">
        <w:t>Felip E</w:t>
      </w:r>
      <w:r>
        <w:t xml:space="preserve"> et al.</w:t>
      </w:r>
      <w:r w:rsidRPr="00942616">
        <w:t xml:space="preserve"> Adjuvant atezolizumab after adjuvant chemotherapy in resected stage IB–IIIA non-small-cell lung cancer (IMpower010): A randomised, multicentre, open-label, phase 3 trial. </w:t>
      </w:r>
      <w:r w:rsidRPr="002D5682">
        <w:rPr>
          <w:i/>
        </w:rPr>
        <w:t>The Lancet</w:t>
      </w:r>
      <w:r>
        <w:rPr>
          <w:i/>
        </w:rPr>
        <w:t>,</w:t>
      </w:r>
      <w:r w:rsidRPr="00942616">
        <w:t xml:space="preserve"> 2021;398(10308):1344-57.</w:t>
      </w:r>
    </w:p>
  </w:footnote>
  <w:footnote w:id="4">
    <w:p w14:paraId="4EB9CC5D" w14:textId="77777777" w:rsidR="00F65557" w:rsidRDefault="00F65557" w:rsidP="00E87B38">
      <w:pPr>
        <w:pStyle w:val="FootnoteText"/>
      </w:pPr>
      <w:r>
        <w:rPr>
          <w:rStyle w:val="FootnoteReference"/>
        </w:rPr>
        <w:footnoteRef/>
      </w:r>
      <w:r>
        <w:t xml:space="preserve"> </w:t>
      </w:r>
      <w:r w:rsidRPr="002D5682">
        <w:t xml:space="preserve">Remon J, Besse B. Adjuvant immunotherapy for NSCLC—does treating earlier mean treating better? </w:t>
      </w:r>
      <w:r w:rsidRPr="002D5682">
        <w:rPr>
          <w:i/>
        </w:rPr>
        <w:t>Nature Reviews Clinical Oncology</w:t>
      </w:r>
      <w:r>
        <w:t xml:space="preserve">, </w:t>
      </w:r>
      <w:r w:rsidRPr="002D5682">
        <w:t>2022;19(1):7-8.</w:t>
      </w:r>
    </w:p>
  </w:footnote>
  <w:footnote w:id="5">
    <w:p w14:paraId="5CC61957" w14:textId="77777777" w:rsidR="00F65557" w:rsidRPr="0091348E" w:rsidRDefault="00F65557" w:rsidP="00C37C68">
      <w:pPr>
        <w:autoSpaceDE w:val="0"/>
        <w:autoSpaceDN w:val="0"/>
        <w:adjustRightInd w:val="0"/>
        <w:jc w:val="left"/>
        <w:rPr>
          <w:rFonts w:asciiTheme="minorHAnsi" w:hAnsiTheme="minorHAnsi" w:cstheme="minorHAnsi"/>
          <w:sz w:val="20"/>
          <w:szCs w:val="20"/>
        </w:rPr>
      </w:pPr>
      <w:r w:rsidRPr="0091348E">
        <w:rPr>
          <w:rStyle w:val="FootnoteReference"/>
          <w:rFonts w:asciiTheme="minorHAnsi" w:eastAsiaTheme="minorEastAsia" w:hAnsiTheme="minorHAnsi" w:cstheme="minorHAnsi"/>
          <w:sz w:val="20"/>
          <w:szCs w:val="20"/>
        </w:rPr>
        <w:footnoteRef/>
      </w:r>
      <w:r w:rsidRPr="0091348E">
        <w:rPr>
          <w:rFonts w:asciiTheme="minorHAnsi" w:hAnsiTheme="minorHAnsi" w:cstheme="minorHAnsi"/>
          <w:sz w:val="20"/>
          <w:szCs w:val="20"/>
        </w:rPr>
        <w:t xml:space="preserve"> Maeda R, Yoshida J, </w:t>
      </w:r>
      <w:r w:rsidRPr="00B23BBD">
        <w:rPr>
          <w:rFonts w:asciiTheme="minorHAnsi" w:hAnsiTheme="minorHAnsi" w:cstheme="minorHAnsi"/>
          <w:i/>
          <w:sz w:val="20"/>
          <w:szCs w:val="20"/>
        </w:rPr>
        <w:t>et al</w:t>
      </w:r>
      <w:r w:rsidRPr="0091348E">
        <w:rPr>
          <w:rFonts w:asciiTheme="minorHAnsi" w:hAnsiTheme="minorHAnsi" w:cstheme="minorHAnsi"/>
          <w:sz w:val="20"/>
          <w:szCs w:val="20"/>
        </w:rPr>
        <w:t xml:space="preserve">. Late recurrence of non-small cell lung cancer more than 5 years after complete resection: incidence and clinical implications in patient follow-up. </w:t>
      </w:r>
      <w:r w:rsidRPr="0091348E">
        <w:rPr>
          <w:rFonts w:asciiTheme="minorHAnsi" w:hAnsiTheme="minorHAnsi" w:cstheme="minorHAnsi"/>
          <w:i/>
          <w:iCs/>
          <w:sz w:val="20"/>
          <w:szCs w:val="20"/>
        </w:rPr>
        <w:t>Chest</w:t>
      </w:r>
      <w:r w:rsidRPr="0091348E">
        <w:rPr>
          <w:rFonts w:asciiTheme="minorHAnsi" w:hAnsiTheme="minorHAnsi" w:cstheme="minorHAnsi"/>
          <w:sz w:val="20"/>
          <w:szCs w:val="20"/>
        </w:rPr>
        <w:t>. 2010;138(1):145-50.</w:t>
      </w:r>
    </w:p>
    <w:p w14:paraId="36C713B8" w14:textId="77777777" w:rsidR="00F65557" w:rsidRPr="0091348E" w:rsidRDefault="00F65557" w:rsidP="00C37C68">
      <w:pPr>
        <w:autoSpaceDE w:val="0"/>
        <w:autoSpaceDN w:val="0"/>
        <w:adjustRightInd w:val="0"/>
        <w:jc w:val="left"/>
        <w:rPr>
          <w:rFonts w:asciiTheme="minorHAnsi" w:hAnsiTheme="minorHAnsi" w:cstheme="minorHAnsi"/>
          <w:sz w:val="20"/>
          <w:szCs w:val="20"/>
        </w:rPr>
      </w:pPr>
      <w:r w:rsidRPr="0091348E">
        <w:rPr>
          <w:rFonts w:asciiTheme="minorHAnsi" w:hAnsiTheme="minorHAnsi" w:cstheme="minorHAnsi"/>
          <w:sz w:val="20"/>
          <w:szCs w:val="20"/>
        </w:rPr>
        <w:t xml:space="preserve">Sonoda D, Matsuura Y, </w:t>
      </w:r>
      <w:r>
        <w:rPr>
          <w:rFonts w:asciiTheme="minorHAnsi" w:hAnsiTheme="minorHAnsi" w:cstheme="minorHAnsi"/>
          <w:i/>
          <w:sz w:val="20"/>
          <w:szCs w:val="20"/>
        </w:rPr>
        <w:t>et al</w:t>
      </w:r>
      <w:r w:rsidRPr="0091348E">
        <w:rPr>
          <w:rFonts w:asciiTheme="minorHAnsi" w:hAnsiTheme="minorHAnsi" w:cstheme="minorHAnsi"/>
          <w:sz w:val="20"/>
          <w:szCs w:val="20"/>
        </w:rPr>
        <w:t xml:space="preserve">. Ultra-late recurrence of non-small cell lung cancer over 10 years after curative resection. </w:t>
      </w:r>
      <w:r w:rsidRPr="0091348E">
        <w:rPr>
          <w:rFonts w:asciiTheme="minorHAnsi" w:hAnsiTheme="minorHAnsi" w:cstheme="minorHAnsi"/>
          <w:i/>
          <w:iCs/>
          <w:sz w:val="20"/>
          <w:szCs w:val="20"/>
        </w:rPr>
        <w:t>Cancer Management and Research</w:t>
      </w:r>
      <w:r w:rsidRPr="0091348E">
        <w:rPr>
          <w:rFonts w:asciiTheme="minorHAnsi" w:hAnsiTheme="minorHAnsi" w:cstheme="minorHAnsi"/>
          <w:sz w:val="20"/>
          <w:szCs w:val="20"/>
        </w:rPr>
        <w:t>. 2019;11:6765-74.</w:t>
      </w:r>
    </w:p>
    <w:p w14:paraId="0E4C5004" w14:textId="77777777" w:rsidR="00F65557" w:rsidRDefault="00F65557" w:rsidP="00C37C68">
      <w:pPr>
        <w:pStyle w:val="FootnoteText"/>
      </w:pPr>
    </w:p>
  </w:footnote>
  <w:footnote w:id="6">
    <w:p w14:paraId="20A65896" w14:textId="77777777" w:rsidR="00F65557" w:rsidRDefault="00F65557" w:rsidP="00C37C68">
      <w:pPr>
        <w:pStyle w:val="FootnoteText"/>
      </w:pPr>
      <w:r>
        <w:rPr>
          <w:rStyle w:val="FootnoteReference"/>
          <w:rFonts w:eastAsiaTheme="minorEastAsia"/>
        </w:rPr>
        <w:footnoteRef/>
      </w:r>
      <w:r>
        <w:t>N</w:t>
      </w:r>
      <w:r w:rsidRPr="00E95E52">
        <w:t xml:space="preserve">akamichi S, Horinouchi H, </w:t>
      </w:r>
      <w:r w:rsidRPr="00E95E52">
        <w:rPr>
          <w:i/>
        </w:rPr>
        <w:t>et al</w:t>
      </w:r>
      <w:r>
        <w:t>. Comparison of radiotherapy and chemoradiotherapy for locoregional recurrence of non-small-cell lung cancer developing after s</w:t>
      </w:r>
      <w:r w:rsidRPr="00E95E52">
        <w:t xml:space="preserve">urgery. </w:t>
      </w:r>
      <w:r>
        <w:rPr>
          <w:i/>
        </w:rPr>
        <w:t>Clinical Lung C</w:t>
      </w:r>
      <w:r w:rsidRPr="00E95E52">
        <w:rPr>
          <w:i/>
        </w:rPr>
        <w:t>ancer</w:t>
      </w:r>
      <w:r w:rsidRPr="00E95E52">
        <w:t>. 2017;18(6):e441-e8.</w:t>
      </w:r>
    </w:p>
    <w:p w14:paraId="28A12FA3" w14:textId="77777777" w:rsidR="00F65557" w:rsidRDefault="00F65557" w:rsidP="00C37C68">
      <w:pPr>
        <w:pStyle w:val="FootnoteText"/>
      </w:pPr>
    </w:p>
  </w:footnote>
  <w:footnote w:id="7">
    <w:p w14:paraId="4AAD3C15" w14:textId="77777777" w:rsidR="00F65557" w:rsidRDefault="00F65557" w:rsidP="00C37C68">
      <w:pPr>
        <w:pStyle w:val="FootnoteText"/>
      </w:pPr>
      <w:r>
        <w:rPr>
          <w:rStyle w:val="FootnoteReference"/>
        </w:rPr>
        <w:footnoteRef/>
      </w:r>
      <w:r>
        <w:t xml:space="preserve"> </w:t>
      </w:r>
      <w:hyperlink r:id="rId1" w:history="1">
        <w:r w:rsidRPr="00D0177E">
          <w:rPr>
            <w:rStyle w:val="Hyperlink"/>
          </w:rPr>
          <w:t>https://www.aihw.gov.au/reports/cancer/cancer-data-in-australia/contents/cancer-incidence-and-survival-by-stage-data-visualisation</w:t>
        </w:r>
      </w:hyperlink>
    </w:p>
  </w:footnote>
  <w:footnote w:id="8">
    <w:p w14:paraId="72E6D07C" w14:textId="77777777" w:rsidR="00F65557" w:rsidRDefault="00F65557" w:rsidP="00C37C68">
      <w:pPr>
        <w:pStyle w:val="FootnoteText"/>
      </w:pPr>
      <w:r>
        <w:rPr>
          <w:rStyle w:val="FootnoteReference"/>
          <w:rFonts w:eastAsiaTheme="minorEastAsia"/>
        </w:rPr>
        <w:footnoteRef/>
      </w:r>
      <w:r>
        <w:t xml:space="preserve"> </w:t>
      </w:r>
      <w:r w:rsidRPr="00C626E1">
        <w:t xml:space="preserve">Grutters JP, Joore MA, </w:t>
      </w:r>
      <w:r w:rsidRPr="00C626E1">
        <w:rPr>
          <w:i/>
        </w:rPr>
        <w:t>et al</w:t>
      </w:r>
      <w:r w:rsidRPr="00C626E1">
        <w:t xml:space="preserve">. Health-related quality of life in patients surviving non-small cell lung cancer. </w:t>
      </w:r>
      <w:r w:rsidRPr="00C626E1">
        <w:rPr>
          <w:i/>
        </w:rPr>
        <w:t>Thorax</w:t>
      </w:r>
      <w:r w:rsidRPr="00C626E1">
        <w:t>. 2010;65(10):903-7.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3758" w14:textId="77777777" w:rsidR="00A8021D" w:rsidRDefault="00A80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8E95" w14:textId="77777777" w:rsidR="00F65557" w:rsidRPr="00E3136B" w:rsidRDefault="00F65557" w:rsidP="00333403">
    <w:pPr>
      <w:pStyle w:val="Header"/>
      <w:ind w:left="360"/>
      <w:rPr>
        <w:rFonts w:asciiTheme="minorHAnsi" w:hAnsiTheme="minorHAnsi"/>
        <w:i/>
        <w:color w:val="808080"/>
      </w:rPr>
    </w:pPr>
    <w:bookmarkStart w:id="84" w:name="_Hlk76375146"/>
    <w:r w:rsidRPr="00E3136B">
      <w:rPr>
        <w:rFonts w:asciiTheme="minorHAnsi" w:hAnsiTheme="minorHAnsi"/>
        <w:i/>
        <w:color w:val="808080"/>
      </w:rPr>
      <w:t>Public Summary Document – July 2022 PBAC Meeting</w:t>
    </w:r>
  </w:p>
  <w:bookmarkEnd w:id="84"/>
  <w:p w14:paraId="165A74F2" w14:textId="77777777" w:rsidR="00F65557" w:rsidRDefault="00F655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E0A4" w14:textId="77777777" w:rsidR="00A8021D" w:rsidRDefault="00A802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950AD9E"/>
    <w:lvl w:ilvl="0">
      <w:numFmt w:val="bullet"/>
      <w:lvlText w:val="–"/>
      <w:lvlJc w:val="left"/>
      <w:pPr>
        <w:ind w:left="360" w:hanging="360"/>
      </w:pPr>
      <w:rPr>
        <w:rFonts w:ascii="Arial" w:eastAsia="MS UI Gothic" w:hAnsi="Aria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3739AD"/>
    <w:multiLevelType w:val="hybridMultilevel"/>
    <w:tmpl w:val="BAD03710"/>
    <w:lvl w:ilvl="0" w:tplc="E9A60572">
      <w:start w:val="1"/>
      <w:numFmt w:val="bullet"/>
      <w:lvlText w:val="•"/>
      <w:lvlJc w:val="left"/>
      <w:pPr>
        <w:tabs>
          <w:tab w:val="num" w:pos="720"/>
        </w:tabs>
        <w:ind w:left="720" w:hanging="360"/>
      </w:pPr>
      <w:rPr>
        <w:rFonts w:ascii="Arial" w:hAnsi="Arial" w:hint="default"/>
      </w:rPr>
    </w:lvl>
    <w:lvl w:ilvl="1" w:tplc="288E15CC" w:tentative="1">
      <w:start w:val="1"/>
      <w:numFmt w:val="bullet"/>
      <w:lvlText w:val="•"/>
      <w:lvlJc w:val="left"/>
      <w:pPr>
        <w:tabs>
          <w:tab w:val="num" w:pos="1440"/>
        </w:tabs>
        <w:ind w:left="1440" w:hanging="360"/>
      </w:pPr>
      <w:rPr>
        <w:rFonts w:ascii="Arial" w:hAnsi="Arial" w:hint="default"/>
      </w:rPr>
    </w:lvl>
    <w:lvl w:ilvl="2" w:tplc="8EEC9B24" w:tentative="1">
      <w:start w:val="1"/>
      <w:numFmt w:val="bullet"/>
      <w:lvlText w:val="•"/>
      <w:lvlJc w:val="left"/>
      <w:pPr>
        <w:tabs>
          <w:tab w:val="num" w:pos="2160"/>
        </w:tabs>
        <w:ind w:left="2160" w:hanging="360"/>
      </w:pPr>
      <w:rPr>
        <w:rFonts w:ascii="Arial" w:hAnsi="Arial" w:hint="default"/>
      </w:rPr>
    </w:lvl>
    <w:lvl w:ilvl="3" w:tplc="3B76AE0C" w:tentative="1">
      <w:start w:val="1"/>
      <w:numFmt w:val="bullet"/>
      <w:lvlText w:val="•"/>
      <w:lvlJc w:val="left"/>
      <w:pPr>
        <w:tabs>
          <w:tab w:val="num" w:pos="2880"/>
        </w:tabs>
        <w:ind w:left="2880" w:hanging="360"/>
      </w:pPr>
      <w:rPr>
        <w:rFonts w:ascii="Arial" w:hAnsi="Arial" w:hint="default"/>
      </w:rPr>
    </w:lvl>
    <w:lvl w:ilvl="4" w:tplc="A82A05F2" w:tentative="1">
      <w:start w:val="1"/>
      <w:numFmt w:val="bullet"/>
      <w:lvlText w:val="•"/>
      <w:lvlJc w:val="left"/>
      <w:pPr>
        <w:tabs>
          <w:tab w:val="num" w:pos="3600"/>
        </w:tabs>
        <w:ind w:left="3600" w:hanging="360"/>
      </w:pPr>
      <w:rPr>
        <w:rFonts w:ascii="Arial" w:hAnsi="Arial" w:hint="default"/>
      </w:rPr>
    </w:lvl>
    <w:lvl w:ilvl="5" w:tplc="6A06C22E" w:tentative="1">
      <w:start w:val="1"/>
      <w:numFmt w:val="bullet"/>
      <w:lvlText w:val="•"/>
      <w:lvlJc w:val="left"/>
      <w:pPr>
        <w:tabs>
          <w:tab w:val="num" w:pos="4320"/>
        </w:tabs>
        <w:ind w:left="4320" w:hanging="360"/>
      </w:pPr>
      <w:rPr>
        <w:rFonts w:ascii="Arial" w:hAnsi="Arial" w:hint="default"/>
      </w:rPr>
    </w:lvl>
    <w:lvl w:ilvl="6" w:tplc="DE0E839C" w:tentative="1">
      <w:start w:val="1"/>
      <w:numFmt w:val="bullet"/>
      <w:lvlText w:val="•"/>
      <w:lvlJc w:val="left"/>
      <w:pPr>
        <w:tabs>
          <w:tab w:val="num" w:pos="5040"/>
        </w:tabs>
        <w:ind w:left="5040" w:hanging="360"/>
      </w:pPr>
      <w:rPr>
        <w:rFonts w:ascii="Arial" w:hAnsi="Arial" w:hint="default"/>
      </w:rPr>
    </w:lvl>
    <w:lvl w:ilvl="7" w:tplc="8A0C85BC" w:tentative="1">
      <w:start w:val="1"/>
      <w:numFmt w:val="bullet"/>
      <w:lvlText w:val="•"/>
      <w:lvlJc w:val="left"/>
      <w:pPr>
        <w:tabs>
          <w:tab w:val="num" w:pos="5760"/>
        </w:tabs>
        <w:ind w:left="5760" w:hanging="360"/>
      </w:pPr>
      <w:rPr>
        <w:rFonts w:ascii="Arial" w:hAnsi="Arial" w:hint="default"/>
      </w:rPr>
    </w:lvl>
    <w:lvl w:ilvl="8" w:tplc="0EFE74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822A58"/>
    <w:multiLevelType w:val="hybridMultilevel"/>
    <w:tmpl w:val="8984F33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5A00682"/>
    <w:multiLevelType w:val="hybridMultilevel"/>
    <w:tmpl w:val="8D72C7CC"/>
    <w:lvl w:ilvl="0" w:tplc="5B3A1582">
      <w:start w:val="1"/>
      <w:numFmt w:val="bullet"/>
      <w:lvlText w:val="•"/>
      <w:lvlJc w:val="left"/>
      <w:pPr>
        <w:tabs>
          <w:tab w:val="num" w:pos="720"/>
        </w:tabs>
        <w:ind w:left="720" w:hanging="360"/>
      </w:pPr>
      <w:rPr>
        <w:rFonts w:ascii="Arial" w:hAnsi="Arial" w:hint="default"/>
      </w:rPr>
    </w:lvl>
    <w:lvl w:ilvl="1" w:tplc="9050F652" w:tentative="1">
      <w:start w:val="1"/>
      <w:numFmt w:val="bullet"/>
      <w:lvlText w:val="•"/>
      <w:lvlJc w:val="left"/>
      <w:pPr>
        <w:tabs>
          <w:tab w:val="num" w:pos="1440"/>
        </w:tabs>
        <w:ind w:left="1440" w:hanging="360"/>
      </w:pPr>
      <w:rPr>
        <w:rFonts w:ascii="Arial" w:hAnsi="Arial" w:hint="default"/>
      </w:rPr>
    </w:lvl>
    <w:lvl w:ilvl="2" w:tplc="6BD8D358" w:tentative="1">
      <w:start w:val="1"/>
      <w:numFmt w:val="bullet"/>
      <w:lvlText w:val="•"/>
      <w:lvlJc w:val="left"/>
      <w:pPr>
        <w:tabs>
          <w:tab w:val="num" w:pos="2160"/>
        </w:tabs>
        <w:ind w:left="2160" w:hanging="360"/>
      </w:pPr>
      <w:rPr>
        <w:rFonts w:ascii="Arial" w:hAnsi="Arial" w:hint="default"/>
      </w:rPr>
    </w:lvl>
    <w:lvl w:ilvl="3" w:tplc="933E3D64" w:tentative="1">
      <w:start w:val="1"/>
      <w:numFmt w:val="bullet"/>
      <w:lvlText w:val="•"/>
      <w:lvlJc w:val="left"/>
      <w:pPr>
        <w:tabs>
          <w:tab w:val="num" w:pos="2880"/>
        </w:tabs>
        <w:ind w:left="2880" w:hanging="360"/>
      </w:pPr>
      <w:rPr>
        <w:rFonts w:ascii="Arial" w:hAnsi="Arial" w:hint="default"/>
      </w:rPr>
    </w:lvl>
    <w:lvl w:ilvl="4" w:tplc="86C48938" w:tentative="1">
      <w:start w:val="1"/>
      <w:numFmt w:val="bullet"/>
      <w:lvlText w:val="•"/>
      <w:lvlJc w:val="left"/>
      <w:pPr>
        <w:tabs>
          <w:tab w:val="num" w:pos="3600"/>
        </w:tabs>
        <w:ind w:left="3600" w:hanging="360"/>
      </w:pPr>
      <w:rPr>
        <w:rFonts w:ascii="Arial" w:hAnsi="Arial" w:hint="default"/>
      </w:rPr>
    </w:lvl>
    <w:lvl w:ilvl="5" w:tplc="9E467AC2" w:tentative="1">
      <w:start w:val="1"/>
      <w:numFmt w:val="bullet"/>
      <w:lvlText w:val="•"/>
      <w:lvlJc w:val="left"/>
      <w:pPr>
        <w:tabs>
          <w:tab w:val="num" w:pos="4320"/>
        </w:tabs>
        <w:ind w:left="4320" w:hanging="360"/>
      </w:pPr>
      <w:rPr>
        <w:rFonts w:ascii="Arial" w:hAnsi="Arial" w:hint="default"/>
      </w:rPr>
    </w:lvl>
    <w:lvl w:ilvl="6" w:tplc="C8528D50" w:tentative="1">
      <w:start w:val="1"/>
      <w:numFmt w:val="bullet"/>
      <w:lvlText w:val="•"/>
      <w:lvlJc w:val="left"/>
      <w:pPr>
        <w:tabs>
          <w:tab w:val="num" w:pos="5040"/>
        </w:tabs>
        <w:ind w:left="5040" w:hanging="360"/>
      </w:pPr>
      <w:rPr>
        <w:rFonts w:ascii="Arial" w:hAnsi="Arial" w:hint="default"/>
      </w:rPr>
    </w:lvl>
    <w:lvl w:ilvl="7" w:tplc="B928DD70" w:tentative="1">
      <w:start w:val="1"/>
      <w:numFmt w:val="bullet"/>
      <w:lvlText w:val="•"/>
      <w:lvlJc w:val="left"/>
      <w:pPr>
        <w:tabs>
          <w:tab w:val="num" w:pos="5760"/>
        </w:tabs>
        <w:ind w:left="5760" w:hanging="360"/>
      </w:pPr>
      <w:rPr>
        <w:rFonts w:ascii="Arial" w:hAnsi="Arial" w:hint="default"/>
      </w:rPr>
    </w:lvl>
    <w:lvl w:ilvl="8" w:tplc="B6F092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8E25A0"/>
    <w:multiLevelType w:val="hybridMultilevel"/>
    <w:tmpl w:val="35C2B280"/>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6" w15:restartNumberingAfterBreak="0">
    <w:nsid w:val="093A2C36"/>
    <w:multiLevelType w:val="multilevel"/>
    <w:tmpl w:val="BD9A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6349F3"/>
    <w:multiLevelType w:val="hybridMultilevel"/>
    <w:tmpl w:val="8098D74E"/>
    <w:lvl w:ilvl="0" w:tplc="439649A0">
      <w:start w:val="1"/>
      <w:numFmt w:val="bullet"/>
      <w:lvlText w:val="•"/>
      <w:lvlJc w:val="left"/>
      <w:pPr>
        <w:tabs>
          <w:tab w:val="num" w:pos="720"/>
        </w:tabs>
        <w:ind w:left="720" w:hanging="360"/>
      </w:pPr>
      <w:rPr>
        <w:rFonts w:ascii="Arial" w:hAnsi="Arial" w:hint="default"/>
      </w:rPr>
    </w:lvl>
    <w:lvl w:ilvl="1" w:tplc="DB9696DA">
      <w:numFmt w:val="bullet"/>
      <w:lvlText w:val="•"/>
      <w:lvlJc w:val="left"/>
      <w:pPr>
        <w:tabs>
          <w:tab w:val="num" w:pos="1440"/>
        </w:tabs>
        <w:ind w:left="1440" w:hanging="360"/>
      </w:pPr>
      <w:rPr>
        <w:rFonts w:ascii="Arial" w:hAnsi="Arial" w:hint="default"/>
      </w:rPr>
    </w:lvl>
    <w:lvl w:ilvl="2" w:tplc="B6962F16" w:tentative="1">
      <w:start w:val="1"/>
      <w:numFmt w:val="bullet"/>
      <w:lvlText w:val="•"/>
      <w:lvlJc w:val="left"/>
      <w:pPr>
        <w:tabs>
          <w:tab w:val="num" w:pos="2160"/>
        </w:tabs>
        <w:ind w:left="2160" w:hanging="360"/>
      </w:pPr>
      <w:rPr>
        <w:rFonts w:ascii="Arial" w:hAnsi="Arial" w:hint="default"/>
      </w:rPr>
    </w:lvl>
    <w:lvl w:ilvl="3" w:tplc="C6B0D8BA" w:tentative="1">
      <w:start w:val="1"/>
      <w:numFmt w:val="bullet"/>
      <w:lvlText w:val="•"/>
      <w:lvlJc w:val="left"/>
      <w:pPr>
        <w:tabs>
          <w:tab w:val="num" w:pos="2880"/>
        </w:tabs>
        <w:ind w:left="2880" w:hanging="360"/>
      </w:pPr>
      <w:rPr>
        <w:rFonts w:ascii="Arial" w:hAnsi="Arial" w:hint="default"/>
      </w:rPr>
    </w:lvl>
    <w:lvl w:ilvl="4" w:tplc="079C318A" w:tentative="1">
      <w:start w:val="1"/>
      <w:numFmt w:val="bullet"/>
      <w:lvlText w:val="•"/>
      <w:lvlJc w:val="left"/>
      <w:pPr>
        <w:tabs>
          <w:tab w:val="num" w:pos="3600"/>
        </w:tabs>
        <w:ind w:left="3600" w:hanging="360"/>
      </w:pPr>
      <w:rPr>
        <w:rFonts w:ascii="Arial" w:hAnsi="Arial" w:hint="default"/>
      </w:rPr>
    </w:lvl>
    <w:lvl w:ilvl="5" w:tplc="0B447B34" w:tentative="1">
      <w:start w:val="1"/>
      <w:numFmt w:val="bullet"/>
      <w:lvlText w:val="•"/>
      <w:lvlJc w:val="left"/>
      <w:pPr>
        <w:tabs>
          <w:tab w:val="num" w:pos="4320"/>
        </w:tabs>
        <w:ind w:left="4320" w:hanging="360"/>
      </w:pPr>
      <w:rPr>
        <w:rFonts w:ascii="Arial" w:hAnsi="Arial" w:hint="default"/>
      </w:rPr>
    </w:lvl>
    <w:lvl w:ilvl="6" w:tplc="072C8AFC" w:tentative="1">
      <w:start w:val="1"/>
      <w:numFmt w:val="bullet"/>
      <w:lvlText w:val="•"/>
      <w:lvlJc w:val="left"/>
      <w:pPr>
        <w:tabs>
          <w:tab w:val="num" w:pos="5040"/>
        </w:tabs>
        <w:ind w:left="5040" w:hanging="360"/>
      </w:pPr>
      <w:rPr>
        <w:rFonts w:ascii="Arial" w:hAnsi="Arial" w:hint="default"/>
      </w:rPr>
    </w:lvl>
    <w:lvl w:ilvl="7" w:tplc="7A488FC6" w:tentative="1">
      <w:start w:val="1"/>
      <w:numFmt w:val="bullet"/>
      <w:lvlText w:val="•"/>
      <w:lvlJc w:val="left"/>
      <w:pPr>
        <w:tabs>
          <w:tab w:val="num" w:pos="5760"/>
        </w:tabs>
        <w:ind w:left="5760" w:hanging="360"/>
      </w:pPr>
      <w:rPr>
        <w:rFonts w:ascii="Arial" w:hAnsi="Arial" w:hint="default"/>
      </w:rPr>
    </w:lvl>
    <w:lvl w:ilvl="8" w:tplc="2B2A2EC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FB4E28"/>
    <w:multiLevelType w:val="hybridMultilevel"/>
    <w:tmpl w:val="2618AF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39208A8"/>
    <w:multiLevelType w:val="hybridMultilevel"/>
    <w:tmpl w:val="0B3A1A7A"/>
    <w:lvl w:ilvl="0" w:tplc="3FB44322">
      <w:start w:val="1"/>
      <w:numFmt w:val="decimal"/>
      <w:pStyle w:val="TableNumbered"/>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4CA49FD"/>
    <w:multiLevelType w:val="hybridMultilevel"/>
    <w:tmpl w:val="5E0C4D0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83B3FC6"/>
    <w:multiLevelType w:val="hybridMultilevel"/>
    <w:tmpl w:val="AAA86A42"/>
    <w:lvl w:ilvl="0" w:tplc="EC8C657C">
      <w:start w:val="1"/>
      <w:numFmt w:val="bullet"/>
      <w:pStyle w:val="BulletList"/>
      <w:lvlText w:val=""/>
      <w:lvlJc w:val="left"/>
      <w:pPr>
        <w:tabs>
          <w:tab w:val="num" w:pos="360"/>
        </w:tabs>
        <w:ind w:left="360" w:hanging="360"/>
      </w:pPr>
      <w:rPr>
        <w:rFonts w:ascii="Symbol" w:hAnsi="Symbol" w:hint="default"/>
      </w:rPr>
    </w:lvl>
    <w:lvl w:ilvl="1" w:tplc="5950AD9E">
      <w:numFmt w:val="bullet"/>
      <w:lvlText w:val="–"/>
      <w:lvlJc w:val="left"/>
      <w:pPr>
        <w:ind w:left="1440" w:hanging="360"/>
      </w:pPr>
      <w:rPr>
        <w:rFonts w:ascii="Arial" w:eastAsia="MS UI Gothic" w:hAnsi="Aria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393544"/>
    <w:multiLevelType w:val="hybridMultilevel"/>
    <w:tmpl w:val="7CC4073E"/>
    <w:lvl w:ilvl="0" w:tplc="0F663498">
      <w:start w:val="1"/>
      <w:numFmt w:val="bullet"/>
      <w:lvlText w:val="•"/>
      <w:lvlJc w:val="left"/>
      <w:pPr>
        <w:tabs>
          <w:tab w:val="num" w:pos="720"/>
        </w:tabs>
        <w:ind w:left="720" w:hanging="360"/>
      </w:pPr>
      <w:rPr>
        <w:rFonts w:ascii="Arial" w:hAnsi="Arial" w:hint="default"/>
      </w:rPr>
    </w:lvl>
    <w:lvl w:ilvl="1" w:tplc="17FC72DE" w:tentative="1">
      <w:start w:val="1"/>
      <w:numFmt w:val="bullet"/>
      <w:lvlText w:val="•"/>
      <w:lvlJc w:val="left"/>
      <w:pPr>
        <w:tabs>
          <w:tab w:val="num" w:pos="1440"/>
        </w:tabs>
        <w:ind w:left="1440" w:hanging="360"/>
      </w:pPr>
      <w:rPr>
        <w:rFonts w:ascii="Arial" w:hAnsi="Arial" w:hint="default"/>
      </w:rPr>
    </w:lvl>
    <w:lvl w:ilvl="2" w:tplc="3C7E3958" w:tentative="1">
      <w:start w:val="1"/>
      <w:numFmt w:val="bullet"/>
      <w:lvlText w:val="•"/>
      <w:lvlJc w:val="left"/>
      <w:pPr>
        <w:tabs>
          <w:tab w:val="num" w:pos="2160"/>
        </w:tabs>
        <w:ind w:left="2160" w:hanging="360"/>
      </w:pPr>
      <w:rPr>
        <w:rFonts w:ascii="Arial" w:hAnsi="Arial" w:hint="default"/>
      </w:rPr>
    </w:lvl>
    <w:lvl w:ilvl="3" w:tplc="576C5F92" w:tentative="1">
      <w:start w:val="1"/>
      <w:numFmt w:val="bullet"/>
      <w:lvlText w:val="•"/>
      <w:lvlJc w:val="left"/>
      <w:pPr>
        <w:tabs>
          <w:tab w:val="num" w:pos="2880"/>
        </w:tabs>
        <w:ind w:left="2880" w:hanging="360"/>
      </w:pPr>
      <w:rPr>
        <w:rFonts w:ascii="Arial" w:hAnsi="Arial" w:hint="default"/>
      </w:rPr>
    </w:lvl>
    <w:lvl w:ilvl="4" w:tplc="CC82516C" w:tentative="1">
      <w:start w:val="1"/>
      <w:numFmt w:val="bullet"/>
      <w:lvlText w:val="•"/>
      <w:lvlJc w:val="left"/>
      <w:pPr>
        <w:tabs>
          <w:tab w:val="num" w:pos="3600"/>
        </w:tabs>
        <w:ind w:left="3600" w:hanging="360"/>
      </w:pPr>
      <w:rPr>
        <w:rFonts w:ascii="Arial" w:hAnsi="Arial" w:hint="default"/>
      </w:rPr>
    </w:lvl>
    <w:lvl w:ilvl="5" w:tplc="F0FA5D04" w:tentative="1">
      <w:start w:val="1"/>
      <w:numFmt w:val="bullet"/>
      <w:lvlText w:val="•"/>
      <w:lvlJc w:val="left"/>
      <w:pPr>
        <w:tabs>
          <w:tab w:val="num" w:pos="4320"/>
        </w:tabs>
        <w:ind w:left="4320" w:hanging="360"/>
      </w:pPr>
      <w:rPr>
        <w:rFonts w:ascii="Arial" w:hAnsi="Arial" w:hint="default"/>
      </w:rPr>
    </w:lvl>
    <w:lvl w:ilvl="6" w:tplc="B5866558" w:tentative="1">
      <w:start w:val="1"/>
      <w:numFmt w:val="bullet"/>
      <w:lvlText w:val="•"/>
      <w:lvlJc w:val="left"/>
      <w:pPr>
        <w:tabs>
          <w:tab w:val="num" w:pos="5040"/>
        </w:tabs>
        <w:ind w:left="5040" w:hanging="360"/>
      </w:pPr>
      <w:rPr>
        <w:rFonts w:ascii="Arial" w:hAnsi="Arial" w:hint="default"/>
      </w:rPr>
    </w:lvl>
    <w:lvl w:ilvl="7" w:tplc="6C06A640" w:tentative="1">
      <w:start w:val="1"/>
      <w:numFmt w:val="bullet"/>
      <w:lvlText w:val="•"/>
      <w:lvlJc w:val="left"/>
      <w:pPr>
        <w:tabs>
          <w:tab w:val="num" w:pos="5760"/>
        </w:tabs>
        <w:ind w:left="5760" w:hanging="360"/>
      </w:pPr>
      <w:rPr>
        <w:rFonts w:ascii="Arial" w:hAnsi="Arial" w:hint="default"/>
      </w:rPr>
    </w:lvl>
    <w:lvl w:ilvl="8" w:tplc="98D6DE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CF35EE"/>
    <w:multiLevelType w:val="hybridMultilevel"/>
    <w:tmpl w:val="E6807C4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51787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81764C"/>
    <w:multiLevelType w:val="hybridMultilevel"/>
    <w:tmpl w:val="2C5E695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748C4"/>
    <w:multiLevelType w:val="hybridMultilevel"/>
    <w:tmpl w:val="9DAC3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C73132"/>
    <w:multiLevelType w:val="hybridMultilevel"/>
    <w:tmpl w:val="116A4AEA"/>
    <w:lvl w:ilvl="0" w:tplc="7BF27974">
      <w:start w:val="1"/>
      <w:numFmt w:val="bullet"/>
      <w:lvlText w:val="•"/>
      <w:lvlJc w:val="left"/>
      <w:pPr>
        <w:tabs>
          <w:tab w:val="num" w:pos="720"/>
        </w:tabs>
        <w:ind w:left="720" w:hanging="360"/>
      </w:pPr>
      <w:rPr>
        <w:rFonts w:ascii="Arial" w:hAnsi="Arial" w:hint="default"/>
      </w:rPr>
    </w:lvl>
    <w:lvl w:ilvl="1" w:tplc="D61EC95A">
      <w:numFmt w:val="bullet"/>
      <w:lvlText w:val="•"/>
      <w:lvlJc w:val="left"/>
      <w:pPr>
        <w:tabs>
          <w:tab w:val="num" w:pos="1440"/>
        </w:tabs>
        <w:ind w:left="1440" w:hanging="360"/>
      </w:pPr>
      <w:rPr>
        <w:rFonts w:ascii="Arial" w:hAnsi="Arial" w:hint="default"/>
      </w:rPr>
    </w:lvl>
    <w:lvl w:ilvl="2" w:tplc="14B267C0" w:tentative="1">
      <w:start w:val="1"/>
      <w:numFmt w:val="bullet"/>
      <w:lvlText w:val="•"/>
      <w:lvlJc w:val="left"/>
      <w:pPr>
        <w:tabs>
          <w:tab w:val="num" w:pos="2160"/>
        </w:tabs>
        <w:ind w:left="2160" w:hanging="360"/>
      </w:pPr>
      <w:rPr>
        <w:rFonts w:ascii="Arial" w:hAnsi="Arial" w:hint="default"/>
      </w:rPr>
    </w:lvl>
    <w:lvl w:ilvl="3" w:tplc="942A766A" w:tentative="1">
      <w:start w:val="1"/>
      <w:numFmt w:val="bullet"/>
      <w:lvlText w:val="•"/>
      <w:lvlJc w:val="left"/>
      <w:pPr>
        <w:tabs>
          <w:tab w:val="num" w:pos="2880"/>
        </w:tabs>
        <w:ind w:left="2880" w:hanging="360"/>
      </w:pPr>
      <w:rPr>
        <w:rFonts w:ascii="Arial" w:hAnsi="Arial" w:hint="default"/>
      </w:rPr>
    </w:lvl>
    <w:lvl w:ilvl="4" w:tplc="2F1C9D32" w:tentative="1">
      <w:start w:val="1"/>
      <w:numFmt w:val="bullet"/>
      <w:lvlText w:val="•"/>
      <w:lvlJc w:val="left"/>
      <w:pPr>
        <w:tabs>
          <w:tab w:val="num" w:pos="3600"/>
        </w:tabs>
        <w:ind w:left="3600" w:hanging="360"/>
      </w:pPr>
      <w:rPr>
        <w:rFonts w:ascii="Arial" w:hAnsi="Arial" w:hint="default"/>
      </w:rPr>
    </w:lvl>
    <w:lvl w:ilvl="5" w:tplc="197291CE" w:tentative="1">
      <w:start w:val="1"/>
      <w:numFmt w:val="bullet"/>
      <w:lvlText w:val="•"/>
      <w:lvlJc w:val="left"/>
      <w:pPr>
        <w:tabs>
          <w:tab w:val="num" w:pos="4320"/>
        </w:tabs>
        <w:ind w:left="4320" w:hanging="360"/>
      </w:pPr>
      <w:rPr>
        <w:rFonts w:ascii="Arial" w:hAnsi="Arial" w:hint="default"/>
      </w:rPr>
    </w:lvl>
    <w:lvl w:ilvl="6" w:tplc="0D863C04" w:tentative="1">
      <w:start w:val="1"/>
      <w:numFmt w:val="bullet"/>
      <w:lvlText w:val="•"/>
      <w:lvlJc w:val="left"/>
      <w:pPr>
        <w:tabs>
          <w:tab w:val="num" w:pos="5040"/>
        </w:tabs>
        <w:ind w:left="5040" w:hanging="360"/>
      </w:pPr>
      <w:rPr>
        <w:rFonts w:ascii="Arial" w:hAnsi="Arial" w:hint="default"/>
      </w:rPr>
    </w:lvl>
    <w:lvl w:ilvl="7" w:tplc="C90C8DB8" w:tentative="1">
      <w:start w:val="1"/>
      <w:numFmt w:val="bullet"/>
      <w:lvlText w:val="•"/>
      <w:lvlJc w:val="left"/>
      <w:pPr>
        <w:tabs>
          <w:tab w:val="num" w:pos="5760"/>
        </w:tabs>
        <w:ind w:left="5760" w:hanging="360"/>
      </w:pPr>
      <w:rPr>
        <w:rFonts w:ascii="Arial" w:hAnsi="Arial" w:hint="default"/>
      </w:rPr>
    </w:lvl>
    <w:lvl w:ilvl="8" w:tplc="5802CD1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A26BB0"/>
    <w:multiLevelType w:val="hybridMultilevel"/>
    <w:tmpl w:val="9AC2ACA8"/>
    <w:lvl w:ilvl="0" w:tplc="D0CCCCC8">
      <w:start w:val="1"/>
      <w:numFmt w:val="lowerLetter"/>
      <w:lvlText w:val="%1)"/>
      <w:lvlJc w:val="left"/>
      <w:pPr>
        <w:ind w:left="1080" w:hanging="360"/>
      </w:pPr>
      <w:rPr>
        <w:rFonts w:ascii="Calibri" w:hAnsi="Calibri"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03B6AFE"/>
    <w:multiLevelType w:val="multilevel"/>
    <w:tmpl w:val="C916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90257C"/>
    <w:multiLevelType w:val="hybridMultilevel"/>
    <w:tmpl w:val="8572D10E"/>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31494C"/>
    <w:multiLevelType w:val="hybridMultilevel"/>
    <w:tmpl w:val="E02A6B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DA56BF9"/>
    <w:multiLevelType w:val="hybridMultilevel"/>
    <w:tmpl w:val="DCAA0DF0"/>
    <w:lvl w:ilvl="0" w:tplc="EB968374">
      <w:start w:val="1"/>
      <w:numFmt w:val="bullet"/>
      <w:lvlText w:val="•"/>
      <w:lvlJc w:val="left"/>
      <w:pPr>
        <w:tabs>
          <w:tab w:val="num" w:pos="720"/>
        </w:tabs>
        <w:ind w:left="720" w:hanging="360"/>
      </w:pPr>
      <w:rPr>
        <w:rFonts w:ascii="Arial" w:hAnsi="Arial" w:hint="default"/>
      </w:rPr>
    </w:lvl>
    <w:lvl w:ilvl="1" w:tplc="9190C55C" w:tentative="1">
      <w:start w:val="1"/>
      <w:numFmt w:val="bullet"/>
      <w:lvlText w:val="•"/>
      <w:lvlJc w:val="left"/>
      <w:pPr>
        <w:tabs>
          <w:tab w:val="num" w:pos="1440"/>
        </w:tabs>
        <w:ind w:left="1440" w:hanging="360"/>
      </w:pPr>
      <w:rPr>
        <w:rFonts w:ascii="Arial" w:hAnsi="Arial" w:hint="default"/>
      </w:rPr>
    </w:lvl>
    <w:lvl w:ilvl="2" w:tplc="ED36F846" w:tentative="1">
      <w:start w:val="1"/>
      <w:numFmt w:val="bullet"/>
      <w:lvlText w:val="•"/>
      <w:lvlJc w:val="left"/>
      <w:pPr>
        <w:tabs>
          <w:tab w:val="num" w:pos="2160"/>
        </w:tabs>
        <w:ind w:left="2160" w:hanging="360"/>
      </w:pPr>
      <w:rPr>
        <w:rFonts w:ascii="Arial" w:hAnsi="Arial" w:hint="default"/>
      </w:rPr>
    </w:lvl>
    <w:lvl w:ilvl="3" w:tplc="5BC28F2A" w:tentative="1">
      <w:start w:val="1"/>
      <w:numFmt w:val="bullet"/>
      <w:lvlText w:val="•"/>
      <w:lvlJc w:val="left"/>
      <w:pPr>
        <w:tabs>
          <w:tab w:val="num" w:pos="2880"/>
        </w:tabs>
        <w:ind w:left="2880" w:hanging="360"/>
      </w:pPr>
      <w:rPr>
        <w:rFonts w:ascii="Arial" w:hAnsi="Arial" w:hint="default"/>
      </w:rPr>
    </w:lvl>
    <w:lvl w:ilvl="4" w:tplc="D542C5FA" w:tentative="1">
      <w:start w:val="1"/>
      <w:numFmt w:val="bullet"/>
      <w:lvlText w:val="•"/>
      <w:lvlJc w:val="left"/>
      <w:pPr>
        <w:tabs>
          <w:tab w:val="num" w:pos="3600"/>
        </w:tabs>
        <w:ind w:left="3600" w:hanging="360"/>
      </w:pPr>
      <w:rPr>
        <w:rFonts w:ascii="Arial" w:hAnsi="Arial" w:hint="default"/>
      </w:rPr>
    </w:lvl>
    <w:lvl w:ilvl="5" w:tplc="8D2A2A9A" w:tentative="1">
      <w:start w:val="1"/>
      <w:numFmt w:val="bullet"/>
      <w:lvlText w:val="•"/>
      <w:lvlJc w:val="left"/>
      <w:pPr>
        <w:tabs>
          <w:tab w:val="num" w:pos="4320"/>
        </w:tabs>
        <w:ind w:left="4320" w:hanging="360"/>
      </w:pPr>
      <w:rPr>
        <w:rFonts w:ascii="Arial" w:hAnsi="Arial" w:hint="default"/>
      </w:rPr>
    </w:lvl>
    <w:lvl w:ilvl="6" w:tplc="C128C806" w:tentative="1">
      <w:start w:val="1"/>
      <w:numFmt w:val="bullet"/>
      <w:lvlText w:val="•"/>
      <w:lvlJc w:val="left"/>
      <w:pPr>
        <w:tabs>
          <w:tab w:val="num" w:pos="5040"/>
        </w:tabs>
        <w:ind w:left="5040" w:hanging="360"/>
      </w:pPr>
      <w:rPr>
        <w:rFonts w:ascii="Arial" w:hAnsi="Arial" w:hint="default"/>
      </w:rPr>
    </w:lvl>
    <w:lvl w:ilvl="7" w:tplc="4B2C611E" w:tentative="1">
      <w:start w:val="1"/>
      <w:numFmt w:val="bullet"/>
      <w:lvlText w:val="•"/>
      <w:lvlJc w:val="left"/>
      <w:pPr>
        <w:tabs>
          <w:tab w:val="num" w:pos="5760"/>
        </w:tabs>
        <w:ind w:left="5760" w:hanging="360"/>
      </w:pPr>
      <w:rPr>
        <w:rFonts w:ascii="Arial" w:hAnsi="Arial" w:hint="default"/>
      </w:rPr>
    </w:lvl>
    <w:lvl w:ilvl="8" w:tplc="1D24645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FF23C19"/>
    <w:multiLevelType w:val="hybridMultilevel"/>
    <w:tmpl w:val="7EEEE110"/>
    <w:lvl w:ilvl="0" w:tplc="B64AAED4">
      <w:start w:val="1"/>
      <w:numFmt w:val="bullet"/>
      <w:lvlText w:val="•"/>
      <w:lvlJc w:val="left"/>
      <w:pPr>
        <w:tabs>
          <w:tab w:val="num" w:pos="720"/>
        </w:tabs>
        <w:ind w:left="720" w:hanging="360"/>
      </w:pPr>
      <w:rPr>
        <w:rFonts w:ascii="Arial" w:hAnsi="Arial" w:hint="default"/>
      </w:rPr>
    </w:lvl>
    <w:lvl w:ilvl="1" w:tplc="69F43B98">
      <w:numFmt w:val="bullet"/>
      <w:lvlText w:val="•"/>
      <w:lvlJc w:val="left"/>
      <w:pPr>
        <w:tabs>
          <w:tab w:val="num" w:pos="1440"/>
        </w:tabs>
        <w:ind w:left="1440" w:hanging="360"/>
      </w:pPr>
      <w:rPr>
        <w:rFonts w:ascii="Arial" w:hAnsi="Arial" w:hint="default"/>
      </w:rPr>
    </w:lvl>
    <w:lvl w:ilvl="2" w:tplc="BED46958" w:tentative="1">
      <w:start w:val="1"/>
      <w:numFmt w:val="bullet"/>
      <w:lvlText w:val="•"/>
      <w:lvlJc w:val="left"/>
      <w:pPr>
        <w:tabs>
          <w:tab w:val="num" w:pos="2160"/>
        </w:tabs>
        <w:ind w:left="2160" w:hanging="360"/>
      </w:pPr>
      <w:rPr>
        <w:rFonts w:ascii="Arial" w:hAnsi="Arial" w:hint="default"/>
      </w:rPr>
    </w:lvl>
    <w:lvl w:ilvl="3" w:tplc="BD702C38" w:tentative="1">
      <w:start w:val="1"/>
      <w:numFmt w:val="bullet"/>
      <w:lvlText w:val="•"/>
      <w:lvlJc w:val="left"/>
      <w:pPr>
        <w:tabs>
          <w:tab w:val="num" w:pos="2880"/>
        </w:tabs>
        <w:ind w:left="2880" w:hanging="360"/>
      </w:pPr>
      <w:rPr>
        <w:rFonts w:ascii="Arial" w:hAnsi="Arial" w:hint="default"/>
      </w:rPr>
    </w:lvl>
    <w:lvl w:ilvl="4" w:tplc="BE1A649A" w:tentative="1">
      <w:start w:val="1"/>
      <w:numFmt w:val="bullet"/>
      <w:lvlText w:val="•"/>
      <w:lvlJc w:val="left"/>
      <w:pPr>
        <w:tabs>
          <w:tab w:val="num" w:pos="3600"/>
        </w:tabs>
        <w:ind w:left="3600" w:hanging="360"/>
      </w:pPr>
      <w:rPr>
        <w:rFonts w:ascii="Arial" w:hAnsi="Arial" w:hint="default"/>
      </w:rPr>
    </w:lvl>
    <w:lvl w:ilvl="5" w:tplc="F0ACB59E" w:tentative="1">
      <w:start w:val="1"/>
      <w:numFmt w:val="bullet"/>
      <w:lvlText w:val="•"/>
      <w:lvlJc w:val="left"/>
      <w:pPr>
        <w:tabs>
          <w:tab w:val="num" w:pos="4320"/>
        </w:tabs>
        <w:ind w:left="4320" w:hanging="360"/>
      </w:pPr>
      <w:rPr>
        <w:rFonts w:ascii="Arial" w:hAnsi="Arial" w:hint="default"/>
      </w:rPr>
    </w:lvl>
    <w:lvl w:ilvl="6" w:tplc="069A9A72" w:tentative="1">
      <w:start w:val="1"/>
      <w:numFmt w:val="bullet"/>
      <w:lvlText w:val="•"/>
      <w:lvlJc w:val="left"/>
      <w:pPr>
        <w:tabs>
          <w:tab w:val="num" w:pos="5040"/>
        </w:tabs>
        <w:ind w:left="5040" w:hanging="360"/>
      </w:pPr>
      <w:rPr>
        <w:rFonts w:ascii="Arial" w:hAnsi="Arial" w:hint="default"/>
      </w:rPr>
    </w:lvl>
    <w:lvl w:ilvl="7" w:tplc="8B70EB4C" w:tentative="1">
      <w:start w:val="1"/>
      <w:numFmt w:val="bullet"/>
      <w:lvlText w:val="•"/>
      <w:lvlJc w:val="left"/>
      <w:pPr>
        <w:tabs>
          <w:tab w:val="num" w:pos="5760"/>
        </w:tabs>
        <w:ind w:left="5760" w:hanging="360"/>
      </w:pPr>
      <w:rPr>
        <w:rFonts w:ascii="Arial" w:hAnsi="Arial" w:hint="default"/>
      </w:rPr>
    </w:lvl>
    <w:lvl w:ilvl="8" w:tplc="650838A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6C058D"/>
    <w:multiLevelType w:val="hybridMultilevel"/>
    <w:tmpl w:val="6450B3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7B91B7E"/>
    <w:multiLevelType w:val="hybridMultilevel"/>
    <w:tmpl w:val="E878D97C"/>
    <w:lvl w:ilvl="0" w:tplc="2932BDCE">
      <w:start w:val="1"/>
      <w:numFmt w:val="bullet"/>
      <w:lvlText w:val="-"/>
      <w:lvlJc w:val="left"/>
      <w:pPr>
        <w:tabs>
          <w:tab w:val="num" w:pos="720"/>
        </w:tabs>
        <w:ind w:left="720" w:hanging="360"/>
      </w:pPr>
      <w:rPr>
        <w:rFonts w:ascii="Times New Roman" w:hAnsi="Times New Roman" w:hint="default"/>
      </w:rPr>
    </w:lvl>
    <w:lvl w:ilvl="1" w:tplc="018CBCE4" w:tentative="1">
      <w:start w:val="1"/>
      <w:numFmt w:val="bullet"/>
      <w:lvlText w:val="-"/>
      <w:lvlJc w:val="left"/>
      <w:pPr>
        <w:tabs>
          <w:tab w:val="num" w:pos="1440"/>
        </w:tabs>
        <w:ind w:left="1440" w:hanging="360"/>
      </w:pPr>
      <w:rPr>
        <w:rFonts w:ascii="Times New Roman" w:hAnsi="Times New Roman" w:hint="default"/>
      </w:rPr>
    </w:lvl>
    <w:lvl w:ilvl="2" w:tplc="19C29F9C" w:tentative="1">
      <w:start w:val="1"/>
      <w:numFmt w:val="bullet"/>
      <w:lvlText w:val="-"/>
      <w:lvlJc w:val="left"/>
      <w:pPr>
        <w:tabs>
          <w:tab w:val="num" w:pos="2160"/>
        </w:tabs>
        <w:ind w:left="2160" w:hanging="360"/>
      </w:pPr>
      <w:rPr>
        <w:rFonts w:ascii="Times New Roman" w:hAnsi="Times New Roman" w:hint="default"/>
      </w:rPr>
    </w:lvl>
    <w:lvl w:ilvl="3" w:tplc="C7A819CE" w:tentative="1">
      <w:start w:val="1"/>
      <w:numFmt w:val="bullet"/>
      <w:lvlText w:val="-"/>
      <w:lvlJc w:val="left"/>
      <w:pPr>
        <w:tabs>
          <w:tab w:val="num" w:pos="2880"/>
        </w:tabs>
        <w:ind w:left="2880" w:hanging="360"/>
      </w:pPr>
      <w:rPr>
        <w:rFonts w:ascii="Times New Roman" w:hAnsi="Times New Roman" w:hint="default"/>
      </w:rPr>
    </w:lvl>
    <w:lvl w:ilvl="4" w:tplc="5566B3FA" w:tentative="1">
      <w:start w:val="1"/>
      <w:numFmt w:val="bullet"/>
      <w:lvlText w:val="-"/>
      <w:lvlJc w:val="left"/>
      <w:pPr>
        <w:tabs>
          <w:tab w:val="num" w:pos="3600"/>
        </w:tabs>
        <w:ind w:left="3600" w:hanging="360"/>
      </w:pPr>
      <w:rPr>
        <w:rFonts w:ascii="Times New Roman" w:hAnsi="Times New Roman" w:hint="default"/>
      </w:rPr>
    </w:lvl>
    <w:lvl w:ilvl="5" w:tplc="14FE9214" w:tentative="1">
      <w:start w:val="1"/>
      <w:numFmt w:val="bullet"/>
      <w:lvlText w:val="-"/>
      <w:lvlJc w:val="left"/>
      <w:pPr>
        <w:tabs>
          <w:tab w:val="num" w:pos="4320"/>
        </w:tabs>
        <w:ind w:left="4320" w:hanging="360"/>
      </w:pPr>
      <w:rPr>
        <w:rFonts w:ascii="Times New Roman" w:hAnsi="Times New Roman" w:hint="default"/>
      </w:rPr>
    </w:lvl>
    <w:lvl w:ilvl="6" w:tplc="88128BC8" w:tentative="1">
      <w:start w:val="1"/>
      <w:numFmt w:val="bullet"/>
      <w:lvlText w:val="-"/>
      <w:lvlJc w:val="left"/>
      <w:pPr>
        <w:tabs>
          <w:tab w:val="num" w:pos="5040"/>
        </w:tabs>
        <w:ind w:left="5040" w:hanging="360"/>
      </w:pPr>
      <w:rPr>
        <w:rFonts w:ascii="Times New Roman" w:hAnsi="Times New Roman" w:hint="default"/>
      </w:rPr>
    </w:lvl>
    <w:lvl w:ilvl="7" w:tplc="F454EC90" w:tentative="1">
      <w:start w:val="1"/>
      <w:numFmt w:val="bullet"/>
      <w:lvlText w:val="-"/>
      <w:lvlJc w:val="left"/>
      <w:pPr>
        <w:tabs>
          <w:tab w:val="num" w:pos="5760"/>
        </w:tabs>
        <w:ind w:left="5760" w:hanging="360"/>
      </w:pPr>
      <w:rPr>
        <w:rFonts w:ascii="Times New Roman" w:hAnsi="Times New Roman" w:hint="default"/>
      </w:rPr>
    </w:lvl>
    <w:lvl w:ilvl="8" w:tplc="F27E6C9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8B25E71"/>
    <w:multiLevelType w:val="hybridMultilevel"/>
    <w:tmpl w:val="AAF04F5E"/>
    <w:lvl w:ilvl="0" w:tplc="5BB6D75A">
      <w:start w:val="1"/>
      <w:numFmt w:val="bullet"/>
      <w:lvlText w:val="•"/>
      <w:lvlJc w:val="left"/>
      <w:pPr>
        <w:tabs>
          <w:tab w:val="num" w:pos="720"/>
        </w:tabs>
        <w:ind w:left="720" w:hanging="360"/>
      </w:pPr>
      <w:rPr>
        <w:rFonts w:ascii="Arial" w:hAnsi="Arial" w:hint="default"/>
      </w:rPr>
    </w:lvl>
    <w:lvl w:ilvl="1" w:tplc="23C46780">
      <w:numFmt w:val="bullet"/>
      <w:lvlText w:val="•"/>
      <w:lvlJc w:val="left"/>
      <w:pPr>
        <w:tabs>
          <w:tab w:val="num" w:pos="1440"/>
        </w:tabs>
        <w:ind w:left="1440" w:hanging="360"/>
      </w:pPr>
      <w:rPr>
        <w:rFonts w:ascii="Arial" w:hAnsi="Arial" w:hint="default"/>
      </w:rPr>
    </w:lvl>
    <w:lvl w:ilvl="2" w:tplc="315A90FE" w:tentative="1">
      <w:start w:val="1"/>
      <w:numFmt w:val="bullet"/>
      <w:lvlText w:val="•"/>
      <w:lvlJc w:val="left"/>
      <w:pPr>
        <w:tabs>
          <w:tab w:val="num" w:pos="2160"/>
        </w:tabs>
        <w:ind w:left="2160" w:hanging="360"/>
      </w:pPr>
      <w:rPr>
        <w:rFonts w:ascii="Arial" w:hAnsi="Arial" w:hint="default"/>
      </w:rPr>
    </w:lvl>
    <w:lvl w:ilvl="3" w:tplc="F23ED486" w:tentative="1">
      <w:start w:val="1"/>
      <w:numFmt w:val="bullet"/>
      <w:lvlText w:val="•"/>
      <w:lvlJc w:val="left"/>
      <w:pPr>
        <w:tabs>
          <w:tab w:val="num" w:pos="2880"/>
        </w:tabs>
        <w:ind w:left="2880" w:hanging="360"/>
      </w:pPr>
      <w:rPr>
        <w:rFonts w:ascii="Arial" w:hAnsi="Arial" w:hint="default"/>
      </w:rPr>
    </w:lvl>
    <w:lvl w:ilvl="4" w:tplc="CB90F7D8" w:tentative="1">
      <w:start w:val="1"/>
      <w:numFmt w:val="bullet"/>
      <w:lvlText w:val="•"/>
      <w:lvlJc w:val="left"/>
      <w:pPr>
        <w:tabs>
          <w:tab w:val="num" w:pos="3600"/>
        </w:tabs>
        <w:ind w:left="3600" w:hanging="360"/>
      </w:pPr>
      <w:rPr>
        <w:rFonts w:ascii="Arial" w:hAnsi="Arial" w:hint="default"/>
      </w:rPr>
    </w:lvl>
    <w:lvl w:ilvl="5" w:tplc="C50C1224" w:tentative="1">
      <w:start w:val="1"/>
      <w:numFmt w:val="bullet"/>
      <w:lvlText w:val="•"/>
      <w:lvlJc w:val="left"/>
      <w:pPr>
        <w:tabs>
          <w:tab w:val="num" w:pos="4320"/>
        </w:tabs>
        <w:ind w:left="4320" w:hanging="360"/>
      </w:pPr>
      <w:rPr>
        <w:rFonts w:ascii="Arial" w:hAnsi="Arial" w:hint="default"/>
      </w:rPr>
    </w:lvl>
    <w:lvl w:ilvl="6" w:tplc="5C8E17F4" w:tentative="1">
      <w:start w:val="1"/>
      <w:numFmt w:val="bullet"/>
      <w:lvlText w:val="•"/>
      <w:lvlJc w:val="left"/>
      <w:pPr>
        <w:tabs>
          <w:tab w:val="num" w:pos="5040"/>
        </w:tabs>
        <w:ind w:left="5040" w:hanging="360"/>
      </w:pPr>
      <w:rPr>
        <w:rFonts w:ascii="Arial" w:hAnsi="Arial" w:hint="default"/>
      </w:rPr>
    </w:lvl>
    <w:lvl w:ilvl="7" w:tplc="4F2CE0B6" w:tentative="1">
      <w:start w:val="1"/>
      <w:numFmt w:val="bullet"/>
      <w:lvlText w:val="•"/>
      <w:lvlJc w:val="left"/>
      <w:pPr>
        <w:tabs>
          <w:tab w:val="num" w:pos="5760"/>
        </w:tabs>
        <w:ind w:left="5760" w:hanging="360"/>
      </w:pPr>
      <w:rPr>
        <w:rFonts w:ascii="Arial" w:hAnsi="Arial" w:hint="default"/>
      </w:rPr>
    </w:lvl>
    <w:lvl w:ilvl="8" w:tplc="497454B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124E43"/>
    <w:multiLevelType w:val="hybridMultilevel"/>
    <w:tmpl w:val="433CD8C8"/>
    <w:lvl w:ilvl="0" w:tplc="2500E670">
      <w:start w:val="1"/>
      <w:numFmt w:val="bullet"/>
      <w:lvlText w:val="•"/>
      <w:lvlJc w:val="left"/>
      <w:pPr>
        <w:tabs>
          <w:tab w:val="num" w:pos="720"/>
        </w:tabs>
        <w:ind w:left="720" w:hanging="360"/>
      </w:pPr>
      <w:rPr>
        <w:rFonts w:ascii="Arial" w:hAnsi="Arial" w:hint="default"/>
      </w:rPr>
    </w:lvl>
    <w:lvl w:ilvl="1" w:tplc="D6120BEE">
      <w:numFmt w:val="bullet"/>
      <w:lvlText w:val="•"/>
      <w:lvlJc w:val="left"/>
      <w:pPr>
        <w:tabs>
          <w:tab w:val="num" w:pos="1440"/>
        </w:tabs>
        <w:ind w:left="1440" w:hanging="360"/>
      </w:pPr>
      <w:rPr>
        <w:rFonts w:ascii="Arial" w:hAnsi="Arial" w:hint="default"/>
      </w:rPr>
    </w:lvl>
    <w:lvl w:ilvl="2" w:tplc="E90E5D4E" w:tentative="1">
      <w:start w:val="1"/>
      <w:numFmt w:val="bullet"/>
      <w:lvlText w:val="•"/>
      <w:lvlJc w:val="left"/>
      <w:pPr>
        <w:tabs>
          <w:tab w:val="num" w:pos="2160"/>
        </w:tabs>
        <w:ind w:left="2160" w:hanging="360"/>
      </w:pPr>
      <w:rPr>
        <w:rFonts w:ascii="Arial" w:hAnsi="Arial" w:hint="default"/>
      </w:rPr>
    </w:lvl>
    <w:lvl w:ilvl="3" w:tplc="08B8FAD0" w:tentative="1">
      <w:start w:val="1"/>
      <w:numFmt w:val="bullet"/>
      <w:lvlText w:val="•"/>
      <w:lvlJc w:val="left"/>
      <w:pPr>
        <w:tabs>
          <w:tab w:val="num" w:pos="2880"/>
        </w:tabs>
        <w:ind w:left="2880" w:hanging="360"/>
      </w:pPr>
      <w:rPr>
        <w:rFonts w:ascii="Arial" w:hAnsi="Arial" w:hint="default"/>
      </w:rPr>
    </w:lvl>
    <w:lvl w:ilvl="4" w:tplc="BBF42016" w:tentative="1">
      <w:start w:val="1"/>
      <w:numFmt w:val="bullet"/>
      <w:lvlText w:val="•"/>
      <w:lvlJc w:val="left"/>
      <w:pPr>
        <w:tabs>
          <w:tab w:val="num" w:pos="3600"/>
        </w:tabs>
        <w:ind w:left="3600" w:hanging="360"/>
      </w:pPr>
      <w:rPr>
        <w:rFonts w:ascii="Arial" w:hAnsi="Arial" w:hint="default"/>
      </w:rPr>
    </w:lvl>
    <w:lvl w:ilvl="5" w:tplc="471E959C" w:tentative="1">
      <w:start w:val="1"/>
      <w:numFmt w:val="bullet"/>
      <w:lvlText w:val="•"/>
      <w:lvlJc w:val="left"/>
      <w:pPr>
        <w:tabs>
          <w:tab w:val="num" w:pos="4320"/>
        </w:tabs>
        <w:ind w:left="4320" w:hanging="360"/>
      </w:pPr>
      <w:rPr>
        <w:rFonts w:ascii="Arial" w:hAnsi="Arial" w:hint="default"/>
      </w:rPr>
    </w:lvl>
    <w:lvl w:ilvl="6" w:tplc="0540B2D2" w:tentative="1">
      <w:start w:val="1"/>
      <w:numFmt w:val="bullet"/>
      <w:lvlText w:val="•"/>
      <w:lvlJc w:val="left"/>
      <w:pPr>
        <w:tabs>
          <w:tab w:val="num" w:pos="5040"/>
        </w:tabs>
        <w:ind w:left="5040" w:hanging="360"/>
      </w:pPr>
      <w:rPr>
        <w:rFonts w:ascii="Arial" w:hAnsi="Arial" w:hint="default"/>
      </w:rPr>
    </w:lvl>
    <w:lvl w:ilvl="7" w:tplc="D1BC9E10" w:tentative="1">
      <w:start w:val="1"/>
      <w:numFmt w:val="bullet"/>
      <w:lvlText w:val="•"/>
      <w:lvlJc w:val="left"/>
      <w:pPr>
        <w:tabs>
          <w:tab w:val="num" w:pos="5760"/>
        </w:tabs>
        <w:ind w:left="5760" w:hanging="360"/>
      </w:pPr>
      <w:rPr>
        <w:rFonts w:ascii="Arial" w:hAnsi="Arial" w:hint="default"/>
      </w:rPr>
    </w:lvl>
    <w:lvl w:ilvl="8" w:tplc="33B06F3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D9120C"/>
    <w:multiLevelType w:val="hybridMultilevel"/>
    <w:tmpl w:val="1B9EF9C6"/>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5BC6751A"/>
    <w:multiLevelType w:val="hybridMultilevel"/>
    <w:tmpl w:val="69D483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3271BFA"/>
    <w:multiLevelType w:val="hybridMultilevel"/>
    <w:tmpl w:val="D2B2A012"/>
    <w:lvl w:ilvl="0" w:tplc="6750FF74">
      <w:start w:val="1"/>
      <w:numFmt w:val="bullet"/>
      <w:lvlText w:val="•"/>
      <w:lvlJc w:val="left"/>
      <w:pPr>
        <w:tabs>
          <w:tab w:val="num" w:pos="720"/>
        </w:tabs>
        <w:ind w:left="720" w:hanging="360"/>
      </w:pPr>
      <w:rPr>
        <w:rFonts w:ascii="Arial" w:hAnsi="Arial" w:hint="default"/>
      </w:rPr>
    </w:lvl>
    <w:lvl w:ilvl="1" w:tplc="96607656">
      <w:numFmt w:val="bullet"/>
      <w:lvlText w:val="•"/>
      <w:lvlJc w:val="left"/>
      <w:pPr>
        <w:tabs>
          <w:tab w:val="num" w:pos="1440"/>
        </w:tabs>
        <w:ind w:left="1440" w:hanging="360"/>
      </w:pPr>
      <w:rPr>
        <w:rFonts w:ascii="Arial" w:hAnsi="Arial" w:hint="default"/>
      </w:rPr>
    </w:lvl>
    <w:lvl w:ilvl="2" w:tplc="39281A3C" w:tentative="1">
      <w:start w:val="1"/>
      <w:numFmt w:val="bullet"/>
      <w:lvlText w:val="•"/>
      <w:lvlJc w:val="left"/>
      <w:pPr>
        <w:tabs>
          <w:tab w:val="num" w:pos="2160"/>
        </w:tabs>
        <w:ind w:left="2160" w:hanging="360"/>
      </w:pPr>
      <w:rPr>
        <w:rFonts w:ascii="Arial" w:hAnsi="Arial" w:hint="default"/>
      </w:rPr>
    </w:lvl>
    <w:lvl w:ilvl="3" w:tplc="C18233F6" w:tentative="1">
      <w:start w:val="1"/>
      <w:numFmt w:val="bullet"/>
      <w:lvlText w:val="•"/>
      <w:lvlJc w:val="left"/>
      <w:pPr>
        <w:tabs>
          <w:tab w:val="num" w:pos="2880"/>
        </w:tabs>
        <w:ind w:left="2880" w:hanging="360"/>
      </w:pPr>
      <w:rPr>
        <w:rFonts w:ascii="Arial" w:hAnsi="Arial" w:hint="default"/>
      </w:rPr>
    </w:lvl>
    <w:lvl w:ilvl="4" w:tplc="E9CAAED0" w:tentative="1">
      <w:start w:val="1"/>
      <w:numFmt w:val="bullet"/>
      <w:lvlText w:val="•"/>
      <w:lvlJc w:val="left"/>
      <w:pPr>
        <w:tabs>
          <w:tab w:val="num" w:pos="3600"/>
        </w:tabs>
        <w:ind w:left="3600" w:hanging="360"/>
      </w:pPr>
      <w:rPr>
        <w:rFonts w:ascii="Arial" w:hAnsi="Arial" w:hint="default"/>
      </w:rPr>
    </w:lvl>
    <w:lvl w:ilvl="5" w:tplc="0B2CD360" w:tentative="1">
      <w:start w:val="1"/>
      <w:numFmt w:val="bullet"/>
      <w:lvlText w:val="•"/>
      <w:lvlJc w:val="left"/>
      <w:pPr>
        <w:tabs>
          <w:tab w:val="num" w:pos="4320"/>
        </w:tabs>
        <w:ind w:left="4320" w:hanging="360"/>
      </w:pPr>
      <w:rPr>
        <w:rFonts w:ascii="Arial" w:hAnsi="Arial" w:hint="default"/>
      </w:rPr>
    </w:lvl>
    <w:lvl w:ilvl="6" w:tplc="A9E2D3A8" w:tentative="1">
      <w:start w:val="1"/>
      <w:numFmt w:val="bullet"/>
      <w:lvlText w:val="•"/>
      <w:lvlJc w:val="left"/>
      <w:pPr>
        <w:tabs>
          <w:tab w:val="num" w:pos="5040"/>
        </w:tabs>
        <w:ind w:left="5040" w:hanging="360"/>
      </w:pPr>
      <w:rPr>
        <w:rFonts w:ascii="Arial" w:hAnsi="Arial" w:hint="default"/>
      </w:rPr>
    </w:lvl>
    <w:lvl w:ilvl="7" w:tplc="7C1808E2" w:tentative="1">
      <w:start w:val="1"/>
      <w:numFmt w:val="bullet"/>
      <w:lvlText w:val="•"/>
      <w:lvlJc w:val="left"/>
      <w:pPr>
        <w:tabs>
          <w:tab w:val="num" w:pos="5760"/>
        </w:tabs>
        <w:ind w:left="5760" w:hanging="360"/>
      </w:pPr>
      <w:rPr>
        <w:rFonts w:ascii="Arial" w:hAnsi="Arial" w:hint="default"/>
      </w:rPr>
    </w:lvl>
    <w:lvl w:ilvl="8" w:tplc="346ECFF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6E195B"/>
    <w:multiLevelType w:val="hybridMultilevel"/>
    <w:tmpl w:val="14EABFF2"/>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40" w15:restartNumberingAfterBreak="0">
    <w:nsid w:val="66144C10"/>
    <w:multiLevelType w:val="hybridMultilevel"/>
    <w:tmpl w:val="B0DC7B30"/>
    <w:lvl w:ilvl="0" w:tplc="5950AD9E">
      <w:numFmt w:val="bullet"/>
      <w:lvlText w:val="–"/>
      <w:lvlJc w:val="left"/>
      <w:pPr>
        <w:ind w:left="1440" w:hanging="360"/>
      </w:pPr>
      <w:rPr>
        <w:rFonts w:ascii="Arial" w:eastAsia="MS UI Gothic" w:hAnsi="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3"/>
  </w:num>
  <w:num w:numId="2">
    <w:abstractNumId w:val="25"/>
  </w:num>
  <w:num w:numId="3">
    <w:abstractNumId w:val="26"/>
  </w:num>
  <w:num w:numId="4">
    <w:abstractNumId w:val="0"/>
  </w:num>
  <w:num w:numId="5">
    <w:abstractNumId w:val="10"/>
  </w:num>
  <w:num w:numId="6">
    <w:abstractNumId w:val="12"/>
  </w:num>
  <w:num w:numId="7">
    <w:abstractNumId w:val="15"/>
  </w:num>
  <w:num w:numId="8">
    <w:abstractNumId w:val="3"/>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0"/>
  </w:num>
  <w:num w:numId="12">
    <w:abstractNumId w:val="36"/>
  </w:num>
  <w:num w:numId="13">
    <w:abstractNumId w:val="30"/>
  </w:num>
  <w:num w:numId="14">
    <w:abstractNumId w:val="4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1"/>
  </w:num>
  <w:num w:numId="17">
    <w:abstractNumId w:val="7"/>
  </w:num>
  <w:num w:numId="18">
    <w:abstractNumId w:val="1"/>
  </w:num>
  <w:num w:numId="19">
    <w:abstractNumId w:val="14"/>
  </w:num>
  <w:num w:numId="20">
    <w:abstractNumId w:val="42"/>
  </w:num>
  <w:num w:numId="21">
    <w:abstractNumId w:val="44"/>
  </w:num>
  <w:num w:numId="22">
    <w:abstractNumId w:val="35"/>
  </w:num>
  <w:num w:numId="23">
    <w:abstractNumId w:val="22"/>
  </w:num>
  <w:num w:numId="24">
    <w:abstractNumId w:val="19"/>
  </w:num>
  <w:num w:numId="25">
    <w:abstractNumId w:val="37"/>
  </w:num>
  <w:num w:numId="26">
    <w:abstractNumId w:val="17"/>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
  </w:num>
  <w:num w:numId="31">
    <w:abstractNumId w:val="38"/>
  </w:num>
  <w:num w:numId="32">
    <w:abstractNumId w:val="18"/>
  </w:num>
  <w:num w:numId="33">
    <w:abstractNumId w:val="34"/>
  </w:num>
  <w:num w:numId="34">
    <w:abstractNumId w:val="4"/>
  </w:num>
  <w:num w:numId="35">
    <w:abstractNumId w:val="13"/>
  </w:num>
  <w:num w:numId="36">
    <w:abstractNumId w:val="32"/>
  </w:num>
  <w:num w:numId="37">
    <w:abstractNumId w:val="11"/>
  </w:num>
  <w:num w:numId="38">
    <w:abstractNumId w:val="28"/>
  </w:num>
  <w:num w:numId="39">
    <w:abstractNumId w:val="29"/>
  </w:num>
  <w:num w:numId="40">
    <w:abstractNumId w:val="33"/>
  </w:num>
  <w:num w:numId="41">
    <w:abstractNumId w:val="21"/>
  </w:num>
  <w:num w:numId="42">
    <w:abstractNumId w:val="27"/>
  </w:num>
  <w:num w:numId="43">
    <w:abstractNumId w:val="9"/>
  </w:num>
  <w:num w:numId="44">
    <w:abstractNumId w:val="5"/>
  </w:num>
  <w:num w:numId="45">
    <w:abstractNumId w:val="24"/>
  </w:num>
  <w:num w:numId="46">
    <w:abstractNumId w:val="26"/>
  </w:num>
  <w:num w:numId="47">
    <w:abstractNumId w:val="23"/>
  </w:num>
  <w:num w:numId="48">
    <w:abstractNumId w:val="6"/>
  </w:num>
  <w:num w:numId="49">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0"/>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GB"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0rdfe050dzrle0f2m5ewfwea0zr955x0ww&quot;&gt;Atezolizumab Commentary&lt;record-ids&gt;&lt;item&gt;1&lt;/item&gt;&lt;item&gt;2&lt;/item&gt;&lt;item&gt;3&lt;/item&gt;&lt;item&gt;5&lt;/item&gt;&lt;item&gt;6&lt;/item&gt;&lt;item&gt;7&lt;/item&gt;&lt;item&gt;8&lt;/item&gt;&lt;item&gt;9&lt;/item&gt;&lt;item&gt;10&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record-ids&gt;&lt;/item&gt;&lt;/Libraries&gt;"/>
  </w:docVars>
  <w:rsids>
    <w:rsidRoot w:val="00E65E79"/>
    <w:rsid w:val="00000790"/>
    <w:rsid w:val="0000110B"/>
    <w:rsid w:val="00001418"/>
    <w:rsid w:val="00001439"/>
    <w:rsid w:val="00003499"/>
    <w:rsid w:val="000039B7"/>
    <w:rsid w:val="0000639A"/>
    <w:rsid w:val="000100E8"/>
    <w:rsid w:val="00010961"/>
    <w:rsid w:val="00010B69"/>
    <w:rsid w:val="000119BF"/>
    <w:rsid w:val="000123F8"/>
    <w:rsid w:val="000131F1"/>
    <w:rsid w:val="00013247"/>
    <w:rsid w:val="00013CBA"/>
    <w:rsid w:val="00014179"/>
    <w:rsid w:val="000145C2"/>
    <w:rsid w:val="00015109"/>
    <w:rsid w:val="00015886"/>
    <w:rsid w:val="000162EF"/>
    <w:rsid w:val="00017CF1"/>
    <w:rsid w:val="000207C9"/>
    <w:rsid w:val="0002225F"/>
    <w:rsid w:val="0002251B"/>
    <w:rsid w:val="00023763"/>
    <w:rsid w:val="000274B8"/>
    <w:rsid w:val="00030F93"/>
    <w:rsid w:val="000323FB"/>
    <w:rsid w:val="00032F98"/>
    <w:rsid w:val="00033761"/>
    <w:rsid w:val="00033863"/>
    <w:rsid w:val="000342C0"/>
    <w:rsid w:val="00035DC0"/>
    <w:rsid w:val="000362A9"/>
    <w:rsid w:val="00036829"/>
    <w:rsid w:val="00036AC1"/>
    <w:rsid w:val="00040895"/>
    <w:rsid w:val="000435EE"/>
    <w:rsid w:val="00043C37"/>
    <w:rsid w:val="000444F6"/>
    <w:rsid w:val="00045017"/>
    <w:rsid w:val="00045A2B"/>
    <w:rsid w:val="0004698F"/>
    <w:rsid w:val="00047370"/>
    <w:rsid w:val="0005000C"/>
    <w:rsid w:val="0005053A"/>
    <w:rsid w:val="000508CA"/>
    <w:rsid w:val="00050F92"/>
    <w:rsid w:val="000511F5"/>
    <w:rsid w:val="00051D9D"/>
    <w:rsid w:val="000534D0"/>
    <w:rsid w:val="000539D0"/>
    <w:rsid w:val="000541B7"/>
    <w:rsid w:val="000545D4"/>
    <w:rsid w:val="00054621"/>
    <w:rsid w:val="000546D7"/>
    <w:rsid w:val="000557D8"/>
    <w:rsid w:val="00056ECF"/>
    <w:rsid w:val="000579A5"/>
    <w:rsid w:val="000602CA"/>
    <w:rsid w:val="000604DF"/>
    <w:rsid w:val="00061228"/>
    <w:rsid w:val="000627F4"/>
    <w:rsid w:val="000645B9"/>
    <w:rsid w:val="00064BF5"/>
    <w:rsid w:val="000653B5"/>
    <w:rsid w:val="000657EA"/>
    <w:rsid w:val="00066360"/>
    <w:rsid w:val="000663E1"/>
    <w:rsid w:val="00066AF8"/>
    <w:rsid w:val="00067AD3"/>
    <w:rsid w:val="00070E75"/>
    <w:rsid w:val="00071248"/>
    <w:rsid w:val="000720B9"/>
    <w:rsid w:val="00072BE7"/>
    <w:rsid w:val="00072EA8"/>
    <w:rsid w:val="000737F7"/>
    <w:rsid w:val="00073D5D"/>
    <w:rsid w:val="00074264"/>
    <w:rsid w:val="0007672F"/>
    <w:rsid w:val="00076B54"/>
    <w:rsid w:val="00076FF5"/>
    <w:rsid w:val="000771D1"/>
    <w:rsid w:val="000774F0"/>
    <w:rsid w:val="00080909"/>
    <w:rsid w:val="00080C84"/>
    <w:rsid w:val="00081131"/>
    <w:rsid w:val="000812CA"/>
    <w:rsid w:val="00081E63"/>
    <w:rsid w:val="000823BD"/>
    <w:rsid w:val="0008258D"/>
    <w:rsid w:val="00083AE1"/>
    <w:rsid w:val="00083E99"/>
    <w:rsid w:val="00084FA8"/>
    <w:rsid w:val="000856C5"/>
    <w:rsid w:val="00085C31"/>
    <w:rsid w:val="000902D9"/>
    <w:rsid w:val="00090C7E"/>
    <w:rsid w:val="00092600"/>
    <w:rsid w:val="0009262B"/>
    <w:rsid w:val="00093310"/>
    <w:rsid w:val="00093F1A"/>
    <w:rsid w:val="0009445C"/>
    <w:rsid w:val="00095200"/>
    <w:rsid w:val="00095A9E"/>
    <w:rsid w:val="00095FE5"/>
    <w:rsid w:val="00096265"/>
    <w:rsid w:val="00096284"/>
    <w:rsid w:val="000A050E"/>
    <w:rsid w:val="000A12F8"/>
    <w:rsid w:val="000A1BC0"/>
    <w:rsid w:val="000A54B9"/>
    <w:rsid w:val="000A6039"/>
    <w:rsid w:val="000A6087"/>
    <w:rsid w:val="000A7453"/>
    <w:rsid w:val="000A751B"/>
    <w:rsid w:val="000A7D08"/>
    <w:rsid w:val="000B0121"/>
    <w:rsid w:val="000B0670"/>
    <w:rsid w:val="000B0E43"/>
    <w:rsid w:val="000B0E75"/>
    <w:rsid w:val="000B2DCB"/>
    <w:rsid w:val="000B533E"/>
    <w:rsid w:val="000B537D"/>
    <w:rsid w:val="000B5CE0"/>
    <w:rsid w:val="000B6CAC"/>
    <w:rsid w:val="000B6E5E"/>
    <w:rsid w:val="000B7612"/>
    <w:rsid w:val="000B78AE"/>
    <w:rsid w:val="000C0B0F"/>
    <w:rsid w:val="000C14EC"/>
    <w:rsid w:val="000C361B"/>
    <w:rsid w:val="000C3DF9"/>
    <w:rsid w:val="000C3E70"/>
    <w:rsid w:val="000C4EF2"/>
    <w:rsid w:val="000C5875"/>
    <w:rsid w:val="000C6713"/>
    <w:rsid w:val="000C6BDF"/>
    <w:rsid w:val="000D1BFC"/>
    <w:rsid w:val="000D1D5D"/>
    <w:rsid w:val="000D281A"/>
    <w:rsid w:val="000D2848"/>
    <w:rsid w:val="000D326A"/>
    <w:rsid w:val="000D51FB"/>
    <w:rsid w:val="000D5FC6"/>
    <w:rsid w:val="000D7138"/>
    <w:rsid w:val="000E0640"/>
    <w:rsid w:val="000E135D"/>
    <w:rsid w:val="000E2500"/>
    <w:rsid w:val="000E2BF3"/>
    <w:rsid w:val="000E30A9"/>
    <w:rsid w:val="000E47C6"/>
    <w:rsid w:val="000E5A7A"/>
    <w:rsid w:val="000F00BA"/>
    <w:rsid w:val="000F316A"/>
    <w:rsid w:val="000F3C74"/>
    <w:rsid w:val="000F4BB8"/>
    <w:rsid w:val="000F4FA9"/>
    <w:rsid w:val="000F53FB"/>
    <w:rsid w:val="000F7127"/>
    <w:rsid w:val="000F7B54"/>
    <w:rsid w:val="00100F8A"/>
    <w:rsid w:val="00102C85"/>
    <w:rsid w:val="0010452E"/>
    <w:rsid w:val="00104FA9"/>
    <w:rsid w:val="00105023"/>
    <w:rsid w:val="00105AE2"/>
    <w:rsid w:val="001060C6"/>
    <w:rsid w:val="00106B80"/>
    <w:rsid w:val="001076AA"/>
    <w:rsid w:val="0010780D"/>
    <w:rsid w:val="0011032E"/>
    <w:rsid w:val="00111AEE"/>
    <w:rsid w:val="0011348B"/>
    <w:rsid w:val="0011465F"/>
    <w:rsid w:val="0011495B"/>
    <w:rsid w:val="001150CA"/>
    <w:rsid w:val="00115982"/>
    <w:rsid w:val="00116C53"/>
    <w:rsid w:val="00117A24"/>
    <w:rsid w:val="00120C7A"/>
    <w:rsid w:val="00121799"/>
    <w:rsid w:val="001222FC"/>
    <w:rsid w:val="00123902"/>
    <w:rsid w:val="00124A51"/>
    <w:rsid w:val="0012572E"/>
    <w:rsid w:val="00125D51"/>
    <w:rsid w:val="001264AD"/>
    <w:rsid w:val="00126621"/>
    <w:rsid w:val="00126B1D"/>
    <w:rsid w:val="001276F8"/>
    <w:rsid w:val="001301E9"/>
    <w:rsid w:val="00130A03"/>
    <w:rsid w:val="00130F50"/>
    <w:rsid w:val="00131D82"/>
    <w:rsid w:val="00131DC3"/>
    <w:rsid w:val="00132B22"/>
    <w:rsid w:val="00132D47"/>
    <w:rsid w:val="00133D36"/>
    <w:rsid w:val="0013448C"/>
    <w:rsid w:val="00134AEF"/>
    <w:rsid w:val="00136AE4"/>
    <w:rsid w:val="00137645"/>
    <w:rsid w:val="001378F9"/>
    <w:rsid w:val="00137A41"/>
    <w:rsid w:val="0014015A"/>
    <w:rsid w:val="0014039E"/>
    <w:rsid w:val="0014077C"/>
    <w:rsid w:val="00140C79"/>
    <w:rsid w:val="00140E99"/>
    <w:rsid w:val="001425D3"/>
    <w:rsid w:val="00143F67"/>
    <w:rsid w:val="00145540"/>
    <w:rsid w:val="001456B0"/>
    <w:rsid w:val="001458AB"/>
    <w:rsid w:val="00146F8F"/>
    <w:rsid w:val="00152070"/>
    <w:rsid w:val="0015289E"/>
    <w:rsid w:val="001540EC"/>
    <w:rsid w:val="00156F8F"/>
    <w:rsid w:val="00157130"/>
    <w:rsid w:val="001576B1"/>
    <w:rsid w:val="00157B72"/>
    <w:rsid w:val="0016047B"/>
    <w:rsid w:val="00160A4C"/>
    <w:rsid w:val="00160ADD"/>
    <w:rsid w:val="00162913"/>
    <w:rsid w:val="0016316F"/>
    <w:rsid w:val="00163EFF"/>
    <w:rsid w:val="00163F66"/>
    <w:rsid w:val="001657F2"/>
    <w:rsid w:val="001661FB"/>
    <w:rsid w:val="001671A0"/>
    <w:rsid w:val="0016767F"/>
    <w:rsid w:val="001678F7"/>
    <w:rsid w:val="00172183"/>
    <w:rsid w:val="00173565"/>
    <w:rsid w:val="00173B07"/>
    <w:rsid w:val="00173F21"/>
    <w:rsid w:val="0017403A"/>
    <w:rsid w:val="00174EA9"/>
    <w:rsid w:val="00174EF7"/>
    <w:rsid w:val="00175073"/>
    <w:rsid w:val="001751A9"/>
    <w:rsid w:val="001751FA"/>
    <w:rsid w:val="001760C8"/>
    <w:rsid w:val="001764B6"/>
    <w:rsid w:val="00176B65"/>
    <w:rsid w:val="00177A6C"/>
    <w:rsid w:val="00177CA4"/>
    <w:rsid w:val="00181D9C"/>
    <w:rsid w:val="001820D7"/>
    <w:rsid w:val="0018397B"/>
    <w:rsid w:val="00183A66"/>
    <w:rsid w:val="00184B0E"/>
    <w:rsid w:val="00185A10"/>
    <w:rsid w:val="00186E92"/>
    <w:rsid w:val="0018752F"/>
    <w:rsid w:val="00190415"/>
    <w:rsid w:val="0019120E"/>
    <w:rsid w:val="00193838"/>
    <w:rsid w:val="00193AB7"/>
    <w:rsid w:val="00194AD8"/>
    <w:rsid w:val="00195222"/>
    <w:rsid w:val="00195278"/>
    <w:rsid w:val="00195D47"/>
    <w:rsid w:val="001960F9"/>
    <w:rsid w:val="001975D8"/>
    <w:rsid w:val="001A178E"/>
    <w:rsid w:val="001A1D07"/>
    <w:rsid w:val="001A2F47"/>
    <w:rsid w:val="001A3583"/>
    <w:rsid w:val="001A376E"/>
    <w:rsid w:val="001A43FA"/>
    <w:rsid w:val="001A47C5"/>
    <w:rsid w:val="001A59FB"/>
    <w:rsid w:val="001A5E9E"/>
    <w:rsid w:val="001A6048"/>
    <w:rsid w:val="001A6354"/>
    <w:rsid w:val="001A6366"/>
    <w:rsid w:val="001A775F"/>
    <w:rsid w:val="001A7AE8"/>
    <w:rsid w:val="001B03C2"/>
    <w:rsid w:val="001B204E"/>
    <w:rsid w:val="001B2372"/>
    <w:rsid w:val="001B30EF"/>
    <w:rsid w:val="001B3443"/>
    <w:rsid w:val="001B350B"/>
    <w:rsid w:val="001B4D20"/>
    <w:rsid w:val="001B5E25"/>
    <w:rsid w:val="001C2899"/>
    <w:rsid w:val="001C2A9B"/>
    <w:rsid w:val="001C3D63"/>
    <w:rsid w:val="001C4299"/>
    <w:rsid w:val="001C4874"/>
    <w:rsid w:val="001C5F94"/>
    <w:rsid w:val="001C6781"/>
    <w:rsid w:val="001C6E66"/>
    <w:rsid w:val="001D1100"/>
    <w:rsid w:val="001D1391"/>
    <w:rsid w:val="001D25D7"/>
    <w:rsid w:val="001D5047"/>
    <w:rsid w:val="001D50B2"/>
    <w:rsid w:val="001D5E50"/>
    <w:rsid w:val="001D7645"/>
    <w:rsid w:val="001D76A9"/>
    <w:rsid w:val="001E04DF"/>
    <w:rsid w:val="001E1090"/>
    <w:rsid w:val="001E1E86"/>
    <w:rsid w:val="001E238E"/>
    <w:rsid w:val="001E2483"/>
    <w:rsid w:val="001E2B1E"/>
    <w:rsid w:val="001E2CFF"/>
    <w:rsid w:val="001E2F24"/>
    <w:rsid w:val="001E30D4"/>
    <w:rsid w:val="001E34DF"/>
    <w:rsid w:val="001E4726"/>
    <w:rsid w:val="001E5053"/>
    <w:rsid w:val="001E5181"/>
    <w:rsid w:val="001E52EB"/>
    <w:rsid w:val="001E61D2"/>
    <w:rsid w:val="001E740C"/>
    <w:rsid w:val="001F1235"/>
    <w:rsid w:val="001F1CB3"/>
    <w:rsid w:val="001F2354"/>
    <w:rsid w:val="001F38B5"/>
    <w:rsid w:val="001F4081"/>
    <w:rsid w:val="001F5136"/>
    <w:rsid w:val="001F51EC"/>
    <w:rsid w:val="001F6D6C"/>
    <w:rsid w:val="001F719A"/>
    <w:rsid w:val="001F7361"/>
    <w:rsid w:val="001F7AC9"/>
    <w:rsid w:val="002011B0"/>
    <w:rsid w:val="00201A66"/>
    <w:rsid w:val="002023C4"/>
    <w:rsid w:val="00202E23"/>
    <w:rsid w:val="00203181"/>
    <w:rsid w:val="00203783"/>
    <w:rsid w:val="0020385F"/>
    <w:rsid w:val="002038BC"/>
    <w:rsid w:val="002046F6"/>
    <w:rsid w:val="00204ACC"/>
    <w:rsid w:val="00204B95"/>
    <w:rsid w:val="00206363"/>
    <w:rsid w:val="0020662C"/>
    <w:rsid w:val="002068A0"/>
    <w:rsid w:val="00207021"/>
    <w:rsid w:val="0020732F"/>
    <w:rsid w:val="00207D00"/>
    <w:rsid w:val="002105C1"/>
    <w:rsid w:val="00210894"/>
    <w:rsid w:val="00211D08"/>
    <w:rsid w:val="002126D5"/>
    <w:rsid w:val="00213EF5"/>
    <w:rsid w:val="002146D3"/>
    <w:rsid w:val="00214F73"/>
    <w:rsid w:val="00216BF5"/>
    <w:rsid w:val="002207B1"/>
    <w:rsid w:val="00220DAF"/>
    <w:rsid w:val="00220E03"/>
    <w:rsid w:val="002228F5"/>
    <w:rsid w:val="00223B49"/>
    <w:rsid w:val="00223D5A"/>
    <w:rsid w:val="0022477F"/>
    <w:rsid w:val="00224DD4"/>
    <w:rsid w:val="002278A0"/>
    <w:rsid w:val="002306A7"/>
    <w:rsid w:val="002309BF"/>
    <w:rsid w:val="002309CC"/>
    <w:rsid w:val="0023209F"/>
    <w:rsid w:val="00233C01"/>
    <w:rsid w:val="0023413C"/>
    <w:rsid w:val="002346F0"/>
    <w:rsid w:val="0023629D"/>
    <w:rsid w:val="00236427"/>
    <w:rsid w:val="00237255"/>
    <w:rsid w:val="00237A05"/>
    <w:rsid w:val="002424AF"/>
    <w:rsid w:val="00242A83"/>
    <w:rsid w:val="002439DC"/>
    <w:rsid w:val="002441D2"/>
    <w:rsid w:val="00244DC8"/>
    <w:rsid w:val="002458BA"/>
    <w:rsid w:val="00245CE9"/>
    <w:rsid w:val="0024636C"/>
    <w:rsid w:val="00247925"/>
    <w:rsid w:val="00251006"/>
    <w:rsid w:val="002521CD"/>
    <w:rsid w:val="002524D5"/>
    <w:rsid w:val="00252CBE"/>
    <w:rsid w:val="00253B1D"/>
    <w:rsid w:val="00253B41"/>
    <w:rsid w:val="0025403A"/>
    <w:rsid w:val="00254909"/>
    <w:rsid w:val="00254DCF"/>
    <w:rsid w:val="0025534B"/>
    <w:rsid w:val="0025557E"/>
    <w:rsid w:val="00255BB7"/>
    <w:rsid w:val="00256E10"/>
    <w:rsid w:val="0025747F"/>
    <w:rsid w:val="00257541"/>
    <w:rsid w:val="00257A39"/>
    <w:rsid w:val="00257AC4"/>
    <w:rsid w:val="00257F5B"/>
    <w:rsid w:val="002600C4"/>
    <w:rsid w:val="00260989"/>
    <w:rsid w:val="00260FC9"/>
    <w:rsid w:val="00261EEF"/>
    <w:rsid w:val="002626C7"/>
    <w:rsid w:val="00262A1A"/>
    <w:rsid w:val="00262A87"/>
    <w:rsid w:val="00263DB2"/>
    <w:rsid w:val="00264B9C"/>
    <w:rsid w:val="00264D26"/>
    <w:rsid w:val="00264DE5"/>
    <w:rsid w:val="00265871"/>
    <w:rsid w:val="00267642"/>
    <w:rsid w:val="00267AEA"/>
    <w:rsid w:val="002700E6"/>
    <w:rsid w:val="002705DC"/>
    <w:rsid w:val="0027294B"/>
    <w:rsid w:val="002729BC"/>
    <w:rsid w:val="00273E3B"/>
    <w:rsid w:val="00273EB4"/>
    <w:rsid w:val="00273FB3"/>
    <w:rsid w:val="00274682"/>
    <w:rsid w:val="00275C5A"/>
    <w:rsid w:val="002760F0"/>
    <w:rsid w:val="002766D9"/>
    <w:rsid w:val="002767E8"/>
    <w:rsid w:val="00281014"/>
    <w:rsid w:val="00281441"/>
    <w:rsid w:val="00281483"/>
    <w:rsid w:val="00281957"/>
    <w:rsid w:val="00282FFD"/>
    <w:rsid w:val="00285784"/>
    <w:rsid w:val="0028665D"/>
    <w:rsid w:val="00287E78"/>
    <w:rsid w:val="00291033"/>
    <w:rsid w:val="00291E1D"/>
    <w:rsid w:val="00293578"/>
    <w:rsid w:val="002941E7"/>
    <w:rsid w:val="00297F9E"/>
    <w:rsid w:val="002A14AB"/>
    <w:rsid w:val="002A252F"/>
    <w:rsid w:val="002A2ADE"/>
    <w:rsid w:val="002A2C8A"/>
    <w:rsid w:val="002A2F50"/>
    <w:rsid w:val="002A72C8"/>
    <w:rsid w:val="002A7C6F"/>
    <w:rsid w:val="002B0527"/>
    <w:rsid w:val="002B05A1"/>
    <w:rsid w:val="002B09A4"/>
    <w:rsid w:val="002B1C1F"/>
    <w:rsid w:val="002B343F"/>
    <w:rsid w:val="002B432F"/>
    <w:rsid w:val="002B49E6"/>
    <w:rsid w:val="002B4C39"/>
    <w:rsid w:val="002B4E73"/>
    <w:rsid w:val="002B62B3"/>
    <w:rsid w:val="002B6754"/>
    <w:rsid w:val="002B6CCE"/>
    <w:rsid w:val="002C20EB"/>
    <w:rsid w:val="002C2510"/>
    <w:rsid w:val="002C2775"/>
    <w:rsid w:val="002C27C1"/>
    <w:rsid w:val="002C2B3C"/>
    <w:rsid w:val="002C5099"/>
    <w:rsid w:val="002C5889"/>
    <w:rsid w:val="002C58D1"/>
    <w:rsid w:val="002C5E56"/>
    <w:rsid w:val="002C67D9"/>
    <w:rsid w:val="002C7137"/>
    <w:rsid w:val="002C71CE"/>
    <w:rsid w:val="002D048F"/>
    <w:rsid w:val="002D06E8"/>
    <w:rsid w:val="002D08F8"/>
    <w:rsid w:val="002D0D8D"/>
    <w:rsid w:val="002D2E65"/>
    <w:rsid w:val="002D3592"/>
    <w:rsid w:val="002D3ECA"/>
    <w:rsid w:val="002D5682"/>
    <w:rsid w:val="002D577C"/>
    <w:rsid w:val="002D578B"/>
    <w:rsid w:val="002D6CA1"/>
    <w:rsid w:val="002D6D61"/>
    <w:rsid w:val="002E0897"/>
    <w:rsid w:val="002E1071"/>
    <w:rsid w:val="002E15B9"/>
    <w:rsid w:val="002E1ACB"/>
    <w:rsid w:val="002E2158"/>
    <w:rsid w:val="002E2E1B"/>
    <w:rsid w:val="002E4408"/>
    <w:rsid w:val="002E4F02"/>
    <w:rsid w:val="002E5789"/>
    <w:rsid w:val="002E74B0"/>
    <w:rsid w:val="002E7722"/>
    <w:rsid w:val="002F07BA"/>
    <w:rsid w:val="002F0DA9"/>
    <w:rsid w:val="002F1010"/>
    <w:rsid w:val="002F1014"/>
    <w:rsid w:val="002F537A"/>
    <w:rsid w:val="002F5B99"/>
    <w:rsid w:val="002F643C"/>
    <w:rsid w:val="002F6C0D"/>
    <w:rsid w:val="002F71C0"/>
    <w:rsid w:val="002F74F1"/>
    <w:rsid w:val="00300B92"/>
    <w:rsid w:val="00301017"/>
    <w:rsid w:val="00301474"/>
    <w:rsid w:val="0030155F"/>
    <w:rsid w:val="003025DE"/>
    <w:rsid w:val="00303594"/>
    <w:rsid w:val="0030587B"/>
    <w:rsid w:val="00306D98"/>
    <w:rsid w:val="0030786C"/>
    <w:rsid w:val="0031031A"/>
    <w:rsid w:val="003103A7"/>
    <w:rsid w:val="00310981"/>
    <w:rsid w:val="003110A9"/>
    <w:rsid w:val="003124D9"/>
    <w:rsid w:val="00312594"/>
    <w:rsid w:val="0031475D"/>
    <w:rsid w:val="00315498"/>
    <w:rsid w:val="00315FAF"/>
    <w:rsid w:val="00316474"/>
    <w:rsid w:val="00316FF9"/>
    <w:rsid w:val="00320280"/>
    <w:rsid w:val="00320FB1"/>
    <w:rsid w:val="003212AE"/>
    <w:rsid w:val="00322107"/>
    <w:rsid w:val="00322355"/>
    <w:rsid w:val="00322846"/>
    <w:rsid w:val="00326DA7"/>
    <w:rsid w:val="003270E4"/>
    <w:rsid w:val="003272C0"/>
    <w:rsid w:val="0032776D"/>
    <w:rsid w:val="00330DAA"/>
    <w:rsid w:val="00330F5C"/>
    <w:rsid w:val="00332246"/>
    <w:rsid w:val="0033311E"/>
    <w:rsid w:val="00333403"/>
    <w:rsid w:val="003366C9"/>
    <w:rsid w:val="00337178"/>
    <w:rsid w:val="003371B0"/>
    <w:rsid w:val="00337324"/>
    <w:rsid w:val="00340DF1"/>
    <w:rsid w:val="003410B9"/>
    <w:rsid w:val="00341211"/>
    <w:rsid w:val="00342A35"/>
    <w:rsid w:val="00343BA6"/>
    <w:rsid w:val="00345488"/>
    <w:rsid w:val="00346CDF"/>
    <w:rsid w:val="003470B7"/>
    <w:rsid w:val="003517F9"/>
    <w:rsid w:val="00351BA9"/>
    <w:rsid w:val="00352316"/>
    <w:rsid w:val="003533C1"/>
    <w:rsid w:val="00353EDE"/>
    <w:rsid w:val="00353F57"/>
    <w:rsid w:val="00354F64"/>
    <w:rsid w:val="0035564F"/>
    <w:rsid w:val="0035620E"/>
    <w:rsid w:val="0035625B"/>
    <w:rsid w:val="003566DF"/>
    <w:rsid w:val="00357D12"/>
    <w:rsid w:val="00360345"/>
    <w:rsid w:val="0036111A"/>
    <w:rsid w:val="0036173F"/>
    <w:rsid w:val="00361A05"/>
    <w:rsid w:val="003624B8"/>
    <w:rsid w:val="003624C4"/>
    <w:rsid w:val="00362B90"/>
    <w:rsid w:val="00363B00"/>
    <w:rsid w:val="003647B0"/>
    <w:rsid w:val="003654AC"/>
    <w:rsid w:val="003710CF"/>
    <w:rsid w:val="0037358A"/>
    <w:rsid w:val="003736F6"/>
    <w:rsid w:val="00373F34"/>
    <w:rsid w:val="00374090"/>
    <w:rsid w:val="003750A6"/>
    <w:rsid w:val="003750F6"/>
    <w:rsid w:val="003760FC"/>
    <w:rsid w:val="0037612D"/>
    <w:rsid w:val="0037696B"/>
    <w:rsid w:val="00381D02"/>
    <w:rsid w:val="0038365C"/>
    <w:rsid w:val="0038369B"/>
    <w:rsid w:val="00383B78"/>
    <w:rsid w:val="00384158"/>
    <w:rsid w:val="003842E0"/>
    <w:rsid w:val="00385A9D"/>
    <w:rsid w:val="003866AE"/>
    <w:rsid w:val="003902B1"/>
    <w:rsid w:val="0039179C"/>
    <w:rsid w:val="00391C05"/>
    <w:rsid w:val="00391F36"/>
    <w:rsid w:val="00393616"/>
    <w:rsid w:val="00396896"/>
    <w:rsid w:val="00396FD0"/>
    <w:rsid w:val="003A104D"/>
    <w:rsid w:val="003A11CD"/>
    <w:rsid w:val="003A151A"/>
    <w:rsid w:val="003A1A7A"/>
    <w:rsid w:val="003A2392"/>
    <w:rsid w:val="003A2831"/>
    <w:rsid w:val="003A3CB6"/>
    <w:rsid w:val="003A3ED1"/>
    <w:rsid w:val="003A44DB"/>
    <w:rsid w:val="003A7895"/>
    <w:rsid w:val="003B1F3D"/>
    <w:rsid w:val="003B288A"/>
    <w:rsid w:val="003B332D"/>
    <w:rsid w:val="003B3971"/>
    <w:rsid w:val="003B3F43"/>
    <w:rsid w:val="003B4AC4"/>
    <w:rsid w:val="003B55D1"/>
    <w:rsid w:val="003B59B4"/>
    <w:rsid w:val="003B5A24"/>
    <w:rsid w:val="003B5B61"/>
    <w:rsid w:val="003B64F1"/>
    <w:rsid w:val="003C0617"/>
    <w:rsid w:val="003C1654"/>
    <w:rsid w:val="003C20A9"/>
    <w:rsid w:val="003C2D67"/>
    <w:rsid w:val="003C4205"/>
    <w:rsid w:val="003C5542"/>
    <w:rsid w:val="003C7D19"/>
    <w:rsid w:val="003C7D2F"/>
    <w:rsid w:val="003D0DCC"/>
    <w:rsid w:val="003D1828"/>
    <w:rsid w:val="003D1DE4"/>
    <w:rsid w:val="003D1E9A"/>
    <w:rsid w:val="003D2422"/>
    <w:rsid w:val="003D39A1"/>
    <w:rsid w:val="003D3FBF"/>
    <w:rsid w:val="003D4A30"/>
    <w:rsid w:val="003D571A"/>
    <w:rsid w:val="003D6B8F"/>
    <w:rsid w:val="003D6BF6"/>
    <w:rsid w:val="003D7449"/>
    <w:rsid w:val="003D7452"/>
    <w:rsid w:val="003D79BB"/>
    <w:rsid w:val="003D7C98"/>
    <w:rsid w:val="003D7D9D"/>
    <w:rsid w:val="003E0543"/>
    <w:rsid w:val="003E12A4"/>
    <w:rsid w:val="003E3737"/>
    <w:rsid w:val="003E6DBB"/>
    <w:rsid w:val="003E749E"/>
    <w:rsid w:val="003F35E9"/>
    <w:rsid w:val="003F4156"/>
    <w:rsid w:val="003F5ADF"/>
    <w:rsid w:val="003F6435"/>
    <w:rsid w:val="004005D3"/>
    <w:rsid w:val="00400B29"/>
    <w:rsid w:val="0040202B"/>
    <w:rsid w:val="004023E5"/>
    <w:rsid w:val="004045A5"/>
    <w:rsid w:val="0040504B"/>
    <w:rsid w:val="00405321"/>
    <w:rsid w:val="004059F4"/>
    <w:rsid w:val="004079E6"/>
    <w:rsid w:val="00407FE5"/>
    <w:rsid w:val="004101B0"/>
    <w:rsid w:val="00410326"/>
    <w:rsid w:val="00410708"/>
    <w:rsid w:val="00410A5D"/>
    <w:rsid w:val="00410EC7"/>
    <w:rsid w:val="00411B39"/>
    <w:rsid w:val="00411E90"/>
    <w:rsid w:val="004127A7"/>
    <w:rsid w:val="00413A1E"/>
    <w:rsid w:val="00414476"/>
    <w:rsid w:val="00414C2E"/>
    <w:rsid w:val="004151CF"/>
    <w:rsid w:val="00416364"/>
    <w:rsid w:val="00417FB3"/>
    <w:rsid w:val="004203C7"/>
    <w:rsid w:val="0042047F"/>
    <w:rsid w:val="00420AA6"/>
    <w:rsid w:val="00420B9F"/>
    <w:rsid w:val="0042192C"/>
    <w:rsid w:val="00422260"/>
    <w:rsid w:val="0042355D"/>
    <w:rsid w:val="0042413F"/>
    <w:rsid w:val="0042580E"/>
    <w:rsid w:val="00425F0E"/>
    <w:rsid w:val="00427A49"/>
    <w:rsid w:val="0043151A"/>
    <w:rsid w:val="00431630"/>
    <w:rsid w:val="00431771"/>
    <w:rsid w:val="004319F8"/>
    <w:rsid w:val="00431E55"/>
    <w:rsid w:val="004321F6"/>
    <w:rsid w:val="00433044"/>
    <w:rsid w:val="00434088"/>
    <w:rsid w:val="00434B36"/>
    <w:rsid w:val="00436160"/>
    <w:rsid w:val="004375B9"/>
    <w:rsid w:val="00440064"/>
    <w:rsid w:val="0044115E"/>
    <w:rsid w:val="00441D42"/>
    <w:rsid w:val="00441ED9"/>
    <w:rsid w:val="0044216B"/>
    <w:rsid w:val="004428D0"/>
    <w:rsid w:val="00444185"/>
    <w:rsid w:val="004443A7"/>
    <w:rsid w:val="0044442C"/>
    <w:rsid w:val="00445284"/>
    <w:rsid w:val="00445941"/>
    <w:rsid w:val="004464EB"/>
    <w:rsid w:val="004472B4"/>
    <w:rsid w:val="00447D26"/>
    <w:rsid w:val="00447DFC"/>
    <w:rsid w:val="00453573"/>
    <w:rsid w:val="00455D45"/>
    <w:rsid w:val="00456F0D"/>
    <w:rsid w:val="00464595"/>
    <w:rsid w:val="004658B5"/>
    <w:rsid w:val="00465A5B"/>
    <w:rsid w:val="00471D55"/>
    <w:rsid w:val="00471EA5"/>
    <w:rsid w:val="00472A79"/>
    <w:rsid w:val="00473039"/>
    <w:rsid w:val="004738A2"/>
    <w:rsid w:val="00473F19"/>
    <w:rsid w:val="00475448"/>
    <w:rsid w:val="00475E22"/>
    <w:rsid w:val="0048088E"/>
    <w:rsid w:val="00480F2B"/>
    <w:rsid w:val="004812C1"/>
    <w:rsid w:val="00481FB5"/>
    <w:rsid w:val="00482720"/>
    <w:rsid w:val="004835E7"/>
    <w:rsid w:val="00483922"/>
    <w:rsid w:val="00484170"/>
    <w:rsid w:val="004867E2"/>
    <w:rsid w:val="00486C0B"/>
    <w:rsid w:val="0048783D"/>
    <w:rsid w:val="00490B17"/>
    <w:rsid w:val="00491B3A"/>
    <w:rsid w:val="00492CFD"/>
    <w:rsid w:val="00493250"/>
    <w:rsid w:val="00494207"/>
    <w:rsid w:val="00494DD5"/>
    <w:rsid w:val="00494E04"/>
    <w:rsid w:val="004951D4"/>
    <w:rsid w:val="00495DEC"/>
    <w:rsid w:val="004962D2"/>
    <w:rsid w:val="004A0154"/>
    <w:rsid w:val="004A0DA1"/>
    <w:rsid w:val="004A13D6"/>
    <w:rsid w:val="004A1A99"/>
    <w:rsid w:val="004A2229"/>
    <w:rsid w:val="004A343C"/>
    <w:rsid w:val="004A3E74"/>
    <w:rsid w:val="004A48B6"/>
    <w:rsid w:val="004A4D68"/>
    <w:rsid w:val="004A52E9"/>
    <w:rsid w:val="004A6040"/>
    <w:rsid w:val="004A6597"/>
    <w:rsid w:val="004A7848"/>
    <w:rsid w:val="004B0416"/>
    <w:rsid w:val="004B0DEA"/>
    <w:rsid w:val="004B1CB4"/>
    <w:rsid w:val="004B2F18"/>
    <w:rsid w:val="004B3DDB"/>
    <w:rsid w:val="004B44FD"/>
    <w:rsid w:val="004B5CFC"/>
    <w:rsid w:val="004B6113"/>
    <w:rsid w:val="004B66D0"/>
    <w:rsid w:val="004B69BC"/>
    <w:rsid w:val="004B6F79"/>
    <w:rsid w:val="004B774D"/>
    <w:rsid w:val="004C255B"/>
    <w:rsid w:val="004C26B9"/>
    <w:rsid w:val="004C2DE9"/>
    <w:rsid w:val="004C3D3F"/>
    <w:rsid w:val="004C47E7"/>
    <w:rsid w:val="004C4AED"/>
    <w:rsid w:val="004C61C2"/>
    <w:rsid w:val="004C7B1E"/>
    <w:rsid w:val="004D026B"/>
    <w:rsid w:val="004D28BC"/>
    <w:rsid w:val="004D2C2D"/>
    <w:rsid w:val="004D43B9"/>
    <w:rsid w:val="004D4A7C"/>
    <w:rsid w:val="004D69B5"/>
    <w:rsid w:val="004D6EB3"/>
    <w:rsid w:val="004D7227"/>
    <w:rsid w:val="004E0E7F"/>
    <w:rsid w:val="004E0EB8"/>
    <w:rsid w:val="004E160C"/>
    <w:rsid w:val="004E18E9"/>
    <w:rsid w:val="004E2984"/>
    <w:rsid w:val="004E2ADC"/>
    <w:rsid w:val="004E2EF3"/>
    <w:rsid w:val="004E3594"/>
    <w:rsid w:val="004E43B2"/>
    <w:rsid w:val="004F1D02"/>
    <w:rsid w:val="004F2679"/>
    <w:rsid w:val="004F2F21"/>
    <w:rsid w:val="004F2FF6"/>
    <w:rsid w:val="004F3DE5"/>
    <w:rsid w:val="004F6913"/>
    <w:rsid w:val="004F7865"/>
    <w:rsid w:val="004F7D04"/>
    <w:rsid w:val="0050174E"/>
    <w:rsid w:val="00501854"/>
    <w:rsid w:val="0050219B"/>
    <w:rsid w:val="00503F17"/>
    <w:rsid w:val="00504FD6"/>
    <w:rsid w:val="00505704"/>
    <w:rsid w:val="00506928"/>
    <w:rsid w:val="00507349"/>
    <w:rsid w:val="005077EF"/>
    <w:rsid w:val="00507D68"/>
    <w:rsid w:val="00511AD5"/>
    <w:rsid w:val="00511DC7"/>
    <w:rsid w:val="005142C5"/>
    <w:rsid w:val="005144DE"/>
    <w:rsid w:val="0051501B"/>
    <w:rsid w:val="005152B5"/>
    <w:rsid w:val="00515788"/>
    <w:rsid w:val="00515D74"/>
    <w:rsid w:val="00515FFC"/>
    <w:rsid w:val="00516C92"/>
    <w:rsid w:val="005174CA"/>
    <w:rsid w:val="0052123C"/>
    <w:rsid w:val="00521319"/>
    <w:rsid w:val="00521517"/>
    <w:rsid w:val="00522BC8"/>
    <w:rsid w:val="00522E2A"/>
    <w:rsid w:val="00523C28"/>
    <w:rsid w:val="00525AB6"/>
    <w:rsid w:val="00530C18"/>
    <w:rsid w:val="0053176B"/>
    <w:rsid w:val="005330B5"/>
    <w:rsid w:val="005345CC"/>
    <w:rsid w:val="00536113"/>
    <w:rsid w:val="0053672E"/>
    <w:rsid w:val="00536825"/>
    <w:rsid w:val="00536F42"/>
    <w:rsid w:val="00537182"/>
    <w:rsid w:val="00541EDD"/>
    <w:rsid w:val="00542743"/>
    <w:rsid w:val="00542C2D"/>
    <w:rsid w:val="00544949"/>
    <w:rsid w:val="005478BD"/>
    <w:rsid w:val="005479E3"/>
    <w:rsid w:val="00551985"/>
    <w:rsid w:val="00552BD3"/>
    <w:rsid w:val="0055329B"/>
    <w:rsid w:val="005532A0"/>
    <w:rsid w:val="00555109"/>
    <w:rsid w:val="00555C2B"/>
    <w:rsid w:val="00556B35"/>
    <w:rsid w:val="0055709F"/>
    <w:rsid w:val="0055741A"/>
    <w:rsid w:val="00560C1B"/>
    <w:rsid w:val="005611B7"/>
    <w:rsid w:val="005614B1"/>
    <w:rsid w:val="005618D4"/>
    <w:rsid w:val="00562663"/>
    <w:rsid w:val="005630BF"/>
    <w:rsid w:val="005630D9"/>
    <w:rsid w:val="00564C03"/>
    <w:rsid w:val="0056578E"/>
    <w:rsid w:val="0056588C"/>
    <w:rsid w:val="00565DF0"/>
    <w:rsid w:val="0056696F"/>
    <w:rsid w:val="00567B09"/>
    <w:rsid w:val="00567EA8"/>
    <w:rsid w:val="00572269"/>
    <w:rsid w:val="0057244A"/>
    <w:rsid w:val="00572F26"/>
    <w:rsid w:val="005731C1"/>
    <w:rsid w:val="0057333C"/>
    <w:rsid w:val="005739DB"/>
    <w:rsid w:val="00574BA7"/>
    <w:rsid w:val="005750C5"/>
    <w:rsid w:val="00575137"/>
    <w:rsid w:val="005752DE"/>
    <w:rsid w:val="00575CF0"/>
    <w:rsid w:val="00575D8D"/>
    <w:rsid w:val="00576972"/>
    <w:rsid w:val="00582121"/>
    <w:rsid w:val="00583699"/>
    <w:rsid w:val="00585510"/>
    <w:rsid w:val="00585CDD"/>
    <w:rsid w:val="0058641B"/>
    <w:rsid w:val="00586AE5"/>
    <w:rsid w:val="00587058"/>
    <w:rsid w:val="00591957"/>
    <w:rsid w:val="005937E6"/>
    <w:rsid w:val="0059480A"/>
    <w:rsid w:val="00597BF9"/>
    <w:rsid w:val="005A0326"/>
    <w:rsid w:val="005A0CE8"/>
    <w:rsid w:val="005A309A"/>
    <w:rsid w:val="005A373D"/>
    <w:rsid w:val="005A4F25"/>
    <w:rsid w:val="005A5C60"/>
    <w:rsid w:val="005A72C9"/>
    <w:rsid w:val="005A7875"/>
    <w:rsid w:val="005A7A7C"/>
    <w:rsid w:val="005B0B58"/>
    <w:rsid w:val="005B482B"/>
    <w:rsid w:val="005B4E53"/>
    <w:rsid w:val="005B52E7"/>
    <w:rsid w:val="005B5857"/>
    <w:rsid w:val="005B64AD"/>
    <w:rsid w:val="005B6A4C"/>
    <w:rsid w:val="005B6E2E"/>
    <w:rsid w:val="005B72B0"/>
    <w:rsid w:val="005C0B0B"/>
    <w:rsid w:val="005C1B83"/>
    <w:rsid w:val="005C1F93"/>
    <w:rsid w:val="005C25FF"/>
    <w:rsid w:val="005C2D55"/>
    <w:rsid w:val="005C3429"/>
    <w:rsid w:val="005C346B"/>
    <w:rsid w:val="005C38D0"/>
    <w:rsid w:val="005C3F0D"/>
    <w:rsid w:val="005C58A1"/>
    <w:rsid w:val="005D044D"/>
    <w:rsid w:val="005D0ABD"/>
    <w:rsid w:val="005D18AD"/>
    <w:rsid w:val="005D26B4"/>
    <w:rsid w:val="005D58C5"/>
    <w:rsid w:val="005E170D"/>
    <w:rsid w:val="005E1988"/>
    <w:rsid w:val="005E2479"/>
    <w:rsid w:val="005E6CBC"/>
    <w:rsid w:val="005E72FF"/>
    <w:rsid w:val="005E73C0"/>
    <w:rsid w:val="005F08FF"/>
    <w:rsid w:val="005F17E2"/>
    <w:rsid w:val="005F2706"/>
    <w:rsid w:val="005F2AB0"/>
    <w:rsid w:val="005F41D3"/>
    <w:rsid w:val="005F4220"/>
    <w:rsid w:val="005F6A8F"/>
    <w:rsid w:val="005F6BB7"/>
    <w:rsid w:val="005F71E8"/>
    <w:rsid w:val="005F7588"/>
    <w:rsid w:val="00600311"/>
    <w:rsid w:val="0060218A"/>
    <w:rsid w:val="00602AC3"/>
    <w:rsid w:val="0060346E"/>
    <w:rsid w:val="00603A1A"/>
    <w:rsid w:val="00603B65"/>
    <w:rsid w:val="00603DB9"/>
    <w:rsid w:val="00606FBA"/>
    <w:rsid w:val="00607669"/>
    <w:rsid w:val="006076F4"/>
    <w:rsid w:val="00607AFD"/>
    <w:rsid w:val="00610803"/>
    <w:rsid w:val="00612F97"/>
    <w:rsid w:val="0061345D"/>
    <w:rsid w:val="00614CB8"/>
    <w:rsid w:val="00615390"/>
    <w:rsid w:val="0061549B"/>
    <w:rsid w:val="0061584D"/>
    <w:rsid w:val="00615B2E"/>
    <w:rsid w:val="00616675"/>
    <w:rsid w:val="00616802"/>
    <w:rsid w:val="00616E55"/>
    <w:rsid w:val="00617E12"/>
    <w:rsid w:val="00620C25"/>
    <w:rsid w:val="00621019"/>
    <w:rsid w:val="00621477"/>
    <w:rsid w:val="0062169F"/>
    <w:rsid w:val="00621943"/>
    <w:rsid w:val="00621ADA"/>
    <w:rsid w:val="00621CAF"/>
    <w:rsid w:val="00622249"/>
    <w:rsid w:val="00622670"/>
    <w:rsid w:val="006229E9"/>
    <w:rsid w:val="00623CCB"/>
    <w:rsid w:val="00623F7B"/>
    <w:rsid w:val="00625383"/>
    <w:rsid w:val="00626EEB"/>
    <w:rsid w:val="00630DF0"/>
    <w:rsid w:val="00631174"/>
    <w:rsid w:val="0063158F"/>
    <w:rsid w:val="00631D6B"/>
    <w:rsid w:val="00632183"/>
    <w:rsid w:val="006330A1"/>
    <w:rsid w:val="006345DC"/>
    <w:rsid w:val="0063479F"/>
    <w:rsid w:val="00634B74"/>
    <w:rsid w:val="00635162"/>
    <w:rsid w:val="006353F0"/>
    <w:rsid w:val="006357B5"/>
    <w:rsid w:val="00635E4D"/>
    <w:rsid w:val="00636270"/>
    <w:rsid w:val="006364A1"/>
    <w:rsid w:val="0063678E"/>
    <w:rsid w:val="00637BFD"/>
    <w:rsid w:val="00641131"/>
    <w:rsid w:val="00641C4E"/>
    <w:rsid w:val="00641FB3"/>
    <w:rsid w:val="00642ABF"/>
    <w:rsid w:val="00643577"/>
    <w:rsid w:val="0064434C"/>
    <w:rsid w:val="00644DC1"/>
    <w:rsid w:val="006471CC"/>
    <w:rsid w:val="00647A29"/>
    <w:rsid w:val="0065079F"/>
    <w:rsid w:val="00652A28"/>
    <w:rsid w:val="00652CA5"/>
    <w:rsid w:val="0065379F"/>
    <w:rsid w:val="00654990"/>
    <w:rsid w:val="00654F6B"/>
    <w:rsid w:val="00655A9B"/>
    <w:rsid w:val="00655EE4"/>
    <w:rsid w:val="00656188"/>
    <w:rsid w:val="00656792"/>
    <w:rsid w:val="0065715A"/>
    <w:rsid w:val="006610F1"/>
    <w:rsid w:val="00661C6B"/>
    <w:rsid w:val="00661F9A"/>
    <w:rsid w:val="0066242C"/>
    <w:rsid w:val="00666A23"/>
    <w:rsid w:val="0066783B"/>
    <w:rsid w:val="00670684"/>
    <w:rsid w:val="00670FAA"/>
    <w:rsid w:val="00671004"/>
    <w:rsid w:val="00671556"/>
    <w:rsid w:val="00672646"/>
    <w:rsid w:val="00674E42"/>
    <w:rsid w:val="0067507D"/>
    <w:rsid w:val="00675C11"/>
    <w:rsid w:val="006764DD"/>
    <w:rsid w:val="00676596"/>
    <w:rsid w:val="00677DEE"/>
    <w:rsid w:val="006813F8"/>
    <w:rsid w:val="00682112"/>
    <w:rsid w:val="00682BA6"/>
    <w:rsid w:val="00683A59"/>
    <w:rsid w:val="006852D0"/>
    <w:rsid w:val="00685620"/>
    <w:rsid w:val="00685AC5"/>
    <w:rsid w:val="006862A7"/>
    <w:rsid w:val="006862DD"/>
    <w:rsid w:val="00686609"/>
    <w:rsid w:val="00686957"/>
    <w:rsid w:val="00686B98"/>
    <w:rsid w:val="006872BA"/>
    <w:rsid w:val="00690553"/>
    <w:rsid w:val="00690795"/>
    <w:rsid w:val="006912B3"/>
    <w:rsid w:val="00691648"/>
    <w:rsid w:val="006917D7"/>
    <w:rsid w:val="00692033"/>
    <w:rsid w:val="00693963"/>
    <w:rsid w:val="00693CF4"/>
    <w:rsid w:val="0069434C"/>
    <w:rsid w:val="00694F44"/>
    <w:rsid w:val="00695DAC"/>
    <w:rsid w:val="00696F51"/>
    <w:rsid w:val="006979A5"/>
    <w:rsid w:val="006A24BA"/>
    <w:rsid w:val="006A2A51"/>
    <w:rsid w:val="006A2E29"/>
    <w:rsid w:val="006A50C7"/>
    <w:rsid w:val="006A6B99"/>
    <w:rsid w:val="006A7E5F"/>
    <w:rsid w:val="006B1EA7"/>
    <w:rsid w:val="006B1EF8"/>
    <w:rsid w:val="006B212E"/>
    <w:rsid w:val="006B261B"/>
    <w:rsid w:val="006B2C90"/>
    <w:rsid w:val="006B35E6"/>
    <w:rsid w:val="006B4158"/>
    <w:rsid w:val="006B465A"/>
    <w:rsid w:val="006B6020"/>
    <w:rsid w:val="006B6DD0"/>
    <w:rsid w:val="006B7466"/>
    <w:rsid w:val="006C0399"/>
    <w:rsid w:val="006C06EE"/>
    <w:rsid w:val="006C0FDB"/>
    <w:rsid w:val="006C26BA"/>
    <w:rsid w:val="006C2A8E"/>
    <w:rsid w:val="006C3255"/>
    <w:rsid w:val="006C3F26"/>
    <w:rsid w:val="006C4829"/>
    <w:rsid w:val="006D0D17"/>
    <w:rsid w:val="006D115E"/>
    <w:rsid w:val="006D1A05"/>
    <w:rsid w:val="006D34CB"/>
    <w:rsid w:val="006D3C7D"/>
    <w:rsid w:val="006D3F53"/>
    <w:rsid w:val="006D4659"/>
    <w:rsid w:val="006D5320"/>
    <w:rsid w:val="006D5411"/>
    <w:rsid w:val="006D590B"/>
    <w:rsid w:val="006D5D5F"/>
    <w:rsid w:val="006D68FB"/>
    <w:rsid w:val="006D75D5"/>
    <w:rsid w:val="006E21D4"/>
    <w:rsid w:val="006E2868"/>
    <w:rsid w:val="006E42DD"/>
    <w:rsid w:val="006E44FA"/>
    <w:rsid w:val="006E5F43"/>
    <w:rsid w:val="006F1F28"/>
    <w:rsid w:val="006F306C"/>
    <w:rsid w:val="006F57D0"/>
    <w:rsid w:val="006F5BE4"/>
    <w:rsid w:val="006F5C54"/>
    <w:rsid w:val="006F63A5"/>
    <w:rsid w:val="006F75DE"/>
    <w:rsid w:val="00700666"/>
    <w:rsid w:val="0070142B"/>
    <w:rsid w:val="0070276E"/>
    <w:rsid w:val="00702F8F"/>
    <w:rsid w:val="007049EF"/>
    <w:rsid w:val="00704CEB"/>
    <w:rsid w:val="00705384"/>
    <w:rsid w:val="00705E1A"/>
    <w:rsid w:val="007079FC"/>
    <w:rsid w:val="00710B07"/>
    <w:rsid w:val="00711A36"/>
    <w:rsid w:val="00713704"/>
    <w:rsid w:val="00714C26"/>
    <w:rsid w:val="0071529C"/>
    <w:rsid w:val="007153ED"/>
    <w:rsid w:val="007156A3"/>
    <w:rsid w:val="00716093"/>
    <w:rsid w:val="00716C61"/>
    <w:rsid w:val="00716F47"/>
    <w:rsid w:val="007170DA"/>
    <w:rsid w:val="007172AD"/>
    <w:rsid w:val="00720801"/>
    <w:rsid w:val="007219D7"/>
    <w:rsid w:val="007224B2"/>
    <w:rsid w:val="00722B1B"/>
    <w:rsid w:val="0072416F"/>
    <w:rsid w:val="00724974"/>
    <w:rsid w:val="00724DBC"/>
    <w:rsid w:val="00727C94"/>
    <w:rsid w:val="007310DE"/>
    <w:rsid w:val="00731B0A"/>
    <w:rsid w:val="00731EAE"/>
    <w:rsid w:val="00732149"/>
    <w:rsid w:val="00732CA0"/>
    <w:rsid w:val="00732DF3"/>
    <w:rsid w:val="00733073"/>
    <w:rsid w:val="007333BD"/>
    <w:rsid w:val="00734148"/>
    <w:rsid w:val="00734735"/>
    <w:rsid w:val="00735033"/>
    <w:rsid w:val="00735328"/>
    <w:rsid w:val="00735539"/>
    <w:rsid w:val="0073685B"/>
    <w:rsid w:val="0073703B"/>
    <w:rsid w:val="007407E9"/>
    <w:rsid w:val="007413F8"/>
    <w:rsid w:val="007421F7"/>
    <w:rsid w:val="007425C8"/>
    <w:rsid w:val="007449BF"/>
    <w:rsid w:val="00745BC8"/>
    <w:rsid w:val="00746003"/>
    <w:rsid w:val="00746BC0"/>
    <w:rsid w:val="007475A3"/>
    <w:rsid w:val="007510B4"/>
    <w:rsid w:val="00752142"/>
    <w:rsid w:val="007523F9"/>
    <w:rsid w:val="00753333"/>
    <w:rsid w:val="0075357E"/>
    <w:rsid w:val="007573E8"/>
    <w:rsid w:val="00757AE8"/>
    <w:rsid w:val="00760C4E"/>
    <w:rsid w:val="00760E7E"/>
    <w:rsid w:val="00760F9E"/>
    <w:rsid w:val="0076145F"/>
    <w:rsid w:val="007627BE"/>
    <w:rsid w:val="00762F6B"/>
    <w:rsid w:val="007648B4"/>
    <w:rsid w:val="00764F03"/>
    <w:rsid w:val="00765B1A"/>
    <w:rsid w:val="00766865"/>
    <w:rsid w:val="00772873"/>
    <w:rsid w:val="00775A1F"/>
    <w:rsid w:val="00777335"/>
    <w:rsid w:val="007801B1"/>
    <w:rsid w:val="007805D8"/>
    <w:rsid w:val="00780B60"/>
    <w:rsid w:val="00782E9E"/>
    <w:rsid w:val="00783327"/>
    <w:rsid w:val="007843F2"/>
    <w:rsid w:val="00785A9F"/>
    <w:rsid w:val="007914C4"/>
    <w:rsid w:val="007921C7"/>
    <w:rsid w:val="007925DF"/>
    <w:rsid w:val="00792B3F"/>
    <w:rsid w:val="0079518C"/>
    <w:rsid w:val="00797CFA"/>
    <w:rsid w:val="007A025F"/>
    <w:rsid w:val="007A08AA"/>
    <w:rsid w:val="007A0A12"/>
    <w:rsid w:val="007A11F1"/>
    <w:rsid w:val="007A132D"/>
    <w:rsid w:val="007A1345"/>
    <w:rsid w:val="007A2DDB"/>
    <w:rsid w:val="007A315B"/>
    <w:rsid w:val="007A6732"/>
    <w:rsid w:val="007A70BA"/>
    <w:rsid w:val="007B0D68"/>
    <w:rsid w:val="007B251D"/>
    <w:rsid w:val="007B48B8"/>
    <w:rsid w:val="007B4F58"/>
    <w:rsid w:val="007B528D"/>
    <w:rsid w:val="007B63CA"/>
    <w:rsid w:val="007B74A6"/>
    <w:rsid w:val="007B77D1"/>
    <w:rsid w:val="007C07C7"/>
    <w:rsid w:val="007C1CD9"/>
    <w:rsid w:val="007C32EF"/>
    <w:rsid w:val="007C361D"/>
    <w:rsid w:val="007C3BF8"/>
    <w:rsid w:val="007C4B84"/>
    <w:rsid w:val="007C70FF"/>
    <w:rsid w:val="007C7C25"/>
    <w:rsid w:val="007D004F"/>
    <w:rsid w:val="007D0B38"/>
    <w:rsid w:val="007D198F"/>
    <w:rsid w:val="007D2390"/>
    <w:rsid w:val="007D41BE"/>
    <w:rsid w:val="007D47A0"/>
    <w:rsid w:val="007D4AC2"/>
    <w:rsid w:val="007D5440"/>
    <w:rsid w:val="007D671D"/>
    <w:rsid w:val="007D69EB"/>
    <w:rsid w:val="007E128F"/>
    <w:rsid w:val="007E2D2E"/>
    <w:rsid w:val="007E3559"/>
    <w:rsid w:val="007E4D23"/>
    <w:rsid w:val="007E6EAF"/>
    <w:rsid w:val="007E6FE0"/>
    <w:rsid w:val="007F1017"/>
    <w:rsid w:val="007F154E"/>
    <w:rsid w:val="007F2952"/>
    <w:rsid w:val="007F47D8"/>
    <w:rsid w:val="007F4A3F"/>
    <w:rsid w:val="007F4A61"/>
    <w:rsid w:val="007F5255"/>
    <w:rsid w:val="007F56CC"/>
    <w:rsid w:val="007F61C2"/>
    <w:rsid w:val="00801D55"/>
    <w:rsid w:val="00802450"/>
    <w:rsid w:val="00802D39"/>
    <w:rsid w:val="00802EDB"/>
    <w:rsid w:val="008049EB"/>
    <w:rsid w:val="00805142"/>
    <w:rsid w:val="00805FCE"/>
    <w:rsid w:val="00807A8B"/>
    <w:rsid w:val="00807CDD"/>
    <w:rsid w:val="008109D3"/>
    <w:rsid w:val="00811383"/>
    <w:rsid w:val="00812149"/>
    <w:rsid w:val="00812CAC"/>
    <w:rsid w:val="00812F86"/>
    <w:rsid w:val="00814756"/>
    <w:rsid w:val="00814CF0"/>
    <w:rsid w:val="0081540D"/>
    <w:rsid w:val="00816361"/>
    <w:rsid w:val="008166EF"/>
    <w:rsid w:val="00816FEF"/>
    <w:rsid w:val="008170CF"/>
    <w:rsid w:val="00820A8C"/>
    <w:rsid w:val="008215FB"/>
    <w:rsid w:val="00822C94"/>
    <w:rsid w:val="00823174"/>
    <w:rsid w:val="00825751"/>
    <w:rsid w:val="008264EB"/>
    <w:rsid w:val="00826858"/>
    <w:rsid w:val="00827F32"/>
    <w:rsid w:val="00833B05"/>
    <w:rsid w:val="008340C4"/>
    <w:rsid w:val="00834D04"/>
    <w:rsid w:val="008350CA"/>
    <w:rsid w:val="008354B6"/>
    <w:rsid w:val="008362B4"/>
    <w:rsid w:val="008365D3"/>
    <w:rsid w:val="00840897"/>
    <w:rsid w:val="00840CA2"/>
    <w:rsid w:val="0084111B"/>
    <w:rsid w:val="00841186"/>
    <w:rsid w:val="00842747"/>
    <w:rsid w:val="0084374F"/>
    <w:rsid w:val="00843E11"/>
    <w:rsid w:val="00844802"/>
    <w:rsid w:val="00844A22"/>
    <w:rsid w:val="008470C2"/>
    <w:rsid w:val="00847703"/>
    <w:rsid w:val="00847DF5"/>
    <w:rsid w:val="008525EB"/>
    <w:rsid w:val="008527A2"/>
    <w:rsid w:val="0085309D"/>
    <w:rsid w:val="0085405D"/>
    <w:rsid w:val="00855FED"/>
    <w:rsid w:val="008564E9"/>
    <w:rsid w:val="00856897"/>
    <w:rsid w:val="00856E9A"/>
    <w:rsid w:val="00857CC1"/>
    <w:rsid w:val="00857F05"/>
    <w:rsid w:val="00860536"/>
    <w:rsid w:val="0086075D"/>
    <w:rsid w:val="0086118A"/>
    <w:rsid w:val="00862502"/>
    <w:rsid w:val="00862CC1"/>
    <w:rsid w:val="008660D4"/>
    <w:rsid w:val="00866FBD"/>
    <w:rsid w:val="00870116"/>
    <w:rsid w:val="00870138"/>
    <w:rsid w:val="00871FA9"/>
    <w:rsid w:val="008728E9"/>
    <w:rsid w:val="00873E19"/>
    <w:rsid w:val="00875926"/>
    <w:rsid w:val="00876FB3"/>
    <w:rsid w:val="0087781A"/>
    <w:rsid w:val="00882874"/>
    <w:rsid w:val="00882E3C"/>
    <w:rsid w:val="0088334F"/>
    <w:rsid w:val="00883787"/>
    <w:rsid w:val="008842CA"/>
    <w:rsid w:val="008855E4"/>
    <w:rsid w:val="00885830"/>
    <w:rsid w:val="00886CD2"/>
    <w:rsid w:val="0088741F"/>
    <w:rsid w:val="00891259"/>
    <w:rsid w:val="0089142A"/>
    <w:rsid w:val="00891E6F"/>
    <w:rsid w:val="0089275D"/>
    <w:rsid w:val="00892A36"/>
    <w:rsid w:val="00893239"/>
    <w:rsid w:val="00894489"/>
    <w:rsid w:val="00894A92"/>
    <w:rsid w:val="008963A5"/>
    <w:rsid w:val="00896D5D"/>
    <w:rsid w:val="00897E6A"/>
    <w:rsid w:val="008A0A6D"/>
    <w:rsid w:val="008A1266"/>
    <w:rsid w:val="008A15B6"/>
    <w:rsid w:val="008A1D5B"/>
    <w:rsid w:val="008A27BF"/>
    <w:rsid w:val="008A3363"/>
    <w:rsid w:val="008A3371"/>
    <w:rsid w:val="008A3803"/>
    <w:rsid w:val="008A3C3E"/>
    <w:rsid w:val="008A43A3"/>
    <w:rsid w:val="008A49BE"/>
    <w:rsid w:val="008A65CA"/>
    <w:rsid w:val="008A79DE"/>
    <w:rsid w:val="008B08C8"/>
    <w:rsid w:val="008B0C45"/>
    <w:rsid w:val="008B1757"/>
    <w:rsid w:val="008B2D88"/>
    <w:rsid w:val="008B35B4"/>
    <w:rsid w:val="008B370B"/>
    <w:rsid w:val="008B3C18"/>
    <w:rsid w:val="008B3C94"/>
    <w:rsid w:val="008B5559"/>
    <w:rsid w:val="008B7992"/>
    <w:rsid w:val="008B7D7E"/>
    <w:rsid w:val="008C0F98"/>
    <w:rsid w:val="008C3BD1"/>
    <w:rsid w:val="008C4DE6"/>
    <w:rsid w:val="008C5610"/>
    <w:rsid w:val="008C5739"/>
    <w:rsid w:val="008C690B"/>
    <w:rsid w:val="008C72CD"/>
    <w:rsid w:val="008C7ECB"/>
    <w:rsid w:val="008D1970"/>
    <w:rsid w:val="008D1D70"/>
    <w:rsid w:val="008D1F2C"/>
    <w:rsid w:val="008D3A72"/>
    <w:rsid w:val="008D3B86"/>
    <w:rsid w:val="008D3FA5"/>
    <w:rsid w:val="008D4755"/>
    <w:rsid w:val="008D4C3D"/>
    <w:rsid w:val="008D5D78"/>
    <w:rsid w:val="008D5EBE"/>
    <w:rsid w:val="008D6515"/>
    <w:rsid w:val="008D652D"/>
    <w:rsid w:val="008D743C"/>
    <w:rsid w:val="008E0D3C"/>
    <w:rsid w:val="008E1B9E"/>
    <w:rsid w:val="008E2499"/>
    <w:rsid w:val="008E2ED8"/>
    <w:rsid w:val="008E33B5"/>
    <w:rsid w:val="008E3B84"/>
    <w:rsid w:val="008E4195"/>
    <w:rsid w:val="008E48B5"/>
    <w:rsid w:val="008E55AB"/>
    <w:rsid w:val="008E738A"/>
    <w:rsid w:val="008F074B"/>
    <w:rsid w:val="008F0FA4"/>
    <w:rsid w:val="008F120A"/>
    <w:rsid w:val="008F145F"/>
    <w:rsid w:val="008F27E0"/>
    <w:rsid w:val="008F46AB"/>
    <w:rsid w:val="008F48EB"/>
    <w:rsid w:val="008F4F0B"/>
    <w:rsid w:val="008F716B"/>
    <w:rsid w:val="008F75F6"/>
    <w:rsid w:val="008F7E61"/>
    <w:rsid w:val="009010ED"/>
    <w:rsid w:val="00901697"/>
    <w:rsid w:val="009040F5"/>
    <w:rsid w:val="009046C4"/>
    <w:rsid w:val="009048DA"/>
    <w:rsid w:val="009062A5"/>
    <w:rsid w:val="00910873"/>
    <w:rsid w:val="00910FA7"/>
    <w:rsid w:val="00911272"/>
    <w:rsid w:val="009135D6"/>
    <w:rsid w:val="00914AC2"/>
    <w:rsid w:val="00914C77"/>
    <w:rsid w:val="009156BB"/>
    <w:rsid w:val="00915D66"/>
    <w:rsid w:val="009206FF"/>
    <w:rsid w:val="00921ACB"/>
    <w:rsid w:val="009229A2"/>
    <w:rsid w:val="0092369B"/>
    <w:rsid w:val="00924BD9"/>
    <w:rsid w:val="009255E6"/>
    <w:rsid w:val="00926770"/>
    <w:rsid w:val="009314E7"/>
    <w:rsid w:val="00934988"/>
    <w:rsid w:val="00936D01"/>
    <w:rsid w:val="00937089"/>
    <w:rsid w:val="009408D1"/>
    <w:rsid w:val="00940A34"/>
    <w:rsid w:val="00941E60"/>
    <w:rsid w:val="009422CD"/>
    <w:rsid w:val="00942616"/>
    <w:rsid w:val="00943744"/>
    <w:rsid w:val="00943DB9"/>
    <w:rsid w:val="00944A79"/>
    <w:rsid w:val="00944F8A"/>
    <w:rsid w:val="00945008"/>
    <w:rsid w:val="009458BC"/>
    <w:rsid w:val="0094775D"/>
    <w:rsid w:val="009508E4"/>
    <w:rsid w:val="009510A2"/>
    <w:rsid w:val="009510C6"/>
    <w:rsid w:val="00951465"/>
    <w:rsid w:val="00953257"/>
    <w:rsid w:val="00953D3F"/>
    <w:rsid w:val="0095474C"/>
    <w:rsid w:val="00957489"/>
    <w:rsid w:val="00962CB9"/>
    <w:rsid w:val="0096331D"/>
    <w:rsid w:val="00964312"/>
    <w:rsid w:val="00965B8A"/>
    <w:rsid w:val="00967FAA"/>
    <w:rsid w:val="0097071F"/>
    <w:rsid w:val="009717AC"/>
    <w:rsid w:val="009725C7"/>
    <w:rsid w:val="0097293A"/>
    <w:rsid w:val="009737A5"/>
    <w:rsid w:val="00974193"/>
    <w:rsid w:val="009751C1"/>
    <w:rsid w:val="00976BAF"/>
    <w:rsid w:val="0098032D"/>
    <w:rsid w:val="00980569"/>
    <w:rsid w:val="009811F1"/>
    <w:rsid w:val="0098122E"/>
    <w:rsid w:val="00983E57"/>
    <w:rsid w:val="00985DE2"/>
    <w:rsid w:val="0098675D"/>
    <w:rsid w:val="00987A33"/>
    <w:rsid w:val="00990BED"/>
    <w:rsid w:val="009926E0"/>
    <w:rsid w:val="00992893"/>
    <w:rsid w:val="0099293F"/>
    <w:rsid w:val="00992D22"/>
    <w:rsid w:val="00992F8D"/>
    <w:rsid w:val="009944F5"/>
    <w:rsid w:val="0099451E"/>
    <w:rsid w:val="00996B1A"/>
    <w:rsid w:val="009A2DCC"/>
    <w:rsid w:val="009A3EA0"/>
    <w:rsid w:val="009A5ABC"/>
    <w:rsid w:val="009A7F10"/>
    <w:rsid w:val="009B1A06"/>
    <w:rsid w:val="009B1F84"/>
    <w:rsid w:val="009B27B6"/>
    <w:rsid w:val="009B383D"/>
    <w:rsid w:val="009B3B71"/>
    <w:rsid w:val="009B3E26"/>
    <w:rsid w:val="009B4500"/>
    <w:rsid w:val="009B4515"/>
    <w:rsid w:val="009B5BF0"/>
    <w:rsid w:val="009B6F47"/>
    <w:rsid w:val="009B71EE"/>
    <w:rsid w:val="009C0069"/>
    <w:rsid w:val="009C00F0"/>
    <w:rsid w:val="009C3706"/>
    <w:rsid w:val="009C385D"/>
    <w:rsid w:val="009C3A3A"/>
    <w:rsid w:val="009C676C"/>
    <w:rsid w:val="009C6CEA"/>
    <w:rsid w:val="009C7B85"/>
    <w:rsid w:val="009D0254"/>
    <w:rsid w:val="009D0598"/>
    <w:rsid w:val="009D1A64"/>
    <w:rsid w:val="009D3E51"/>
    <w:rsid w:val="009D5359"/>
    <w:rsid w:val="009D598F"/>
    <w:rsid w:val="009D5B91"/>
    <w:rsid w:val="009D5CAB"/>
    <w:rsid w:val="009D6C64"/>
    <w:rsid w:val="009D7695"/>
    <w:rsid w:val="009D792E"/>
    <w:rsid w:val="009E06A7"/>
    <w:rsid w:val="009E0DFE"/>
    <w:rsid w:val="009E1F3B"/>
    <w:rsid w:val="009E31F6"/>
    <w:rsid w:val="009E4C07"/>
    <w:rsid w:val="009E663D"/>
    <w:rsid w:val="009F02D6"/>
    <w:rsid w:val="009F61F4"/>
    <w:rsid w:val="009F6E6A"/>
    <w:rsid w:val="00A0080D"/>
    <w:rsid w:val="00A01184"/>
    <w:rsid w:val="00A02063"/>
    <w:rsid w:val="00A037C2"/>
    <w:rsid w:val="00A03D43"/>
    <w:rsid w:val="00A041A7"/>
    <w:rsid w:val="00A041F7"/>
    <w:rsid w:val="00A04380"/>
    <w:rsid w:val="00A05472"/>
    <w:rsid w:val="00A05C32"/>
    <w:rsid w:val="00A0653F"/>
    <w:rsid w:val="00A06D53"/>
    <w:rsid w:val="00A07871"/>
    <w:rsid w:val="00A07A41"/>
    <w:rsid w:val="00A11CD0"/>
    <w:rsid w:val="00A12F18"/>
    <w:rsid w:val="00A13948"/>
    <w:rsid w:val="00A14443"/>
    <w:rsid w:val="00A1543E"/>
    <w:rsid w:val="00A1555B"/>
    <w:rsid w:val="00A155C5"/>
    <w:rsid w:val="00A16AD8"/>
    <w:rsid w:val="00A17DD2"/>
    <w:rsid w:val="00A17F60"/>
    <w:rsid w:val="00A21C95"/>
    <w:rsid w:val="00A21CF3"/>
    <w:rsid w:val="00A23305"/>
    <w:rsid w:val="00A24813"/>
    <w:rsid w:val="00A25413"/>
    <w:rsid w:val="00A25632"/>
    <w:rsid w:val="00A27255"/>
    <w:rsid w:val="00A27AEC"/>
    <w:rsid w:val="00A27D74"/>
    <w:rsid w:val="00A31C24"/>
    <w:rsid w:val="00A320DB"/>
    <w:rsid w:val="00A3247A"/>
    <w:rsid w:val="00A32B8B"/>
    <w:rsid w:val="00A330FE"/>
    <w:rsid w:val="00A3471A"/>
    <w:rsid w:val="00A35D16"/>
    <w:rsid w:val="00A373E2"/>
    <w:rsid w:val="00A37A29"/>
    <w:rsid w:val="00A37BCD"/>
    <w:rsid w:val="00A41689"/>
    <w:rsid w:val="00A42592"/>
    <w:rsid w:val="00A43C59"/>
    <w:rsid w:val="00A454FA"/>
    <w:rsid w:val="00A46741"/>
    <w:rsid w:val="00A46B57"/>
    <w:rsid w:val="00A47D91"/>
    <w:rsid w:val="00A50070"/>
    <w:rsid w:val="00A50ECD"/>
    <w:rsid w:val="00A518F3"/>
    <w:rsid w:val="00A523E4"/>
    <w:rsid w:val="00A52729"/>
    <w:rsid w:val="00A53675"/>
    <w:rsid w:val="00A5494B"/>
    <w:rsid w:val="00A54A73"/>
    <w:rsid w:val="00A55358"/>
    <w:rsid w:val="00A564D7"/>
    <w:rsid w:val="00A5658C"/>
    <w:rsid w:val="00A56B6A"/>
    <w:rsid w:val="00A578DC"/>
    <w:rsid w:val="00A60406"/>
    <w:rsid w:val="00A60E7F"/>
    <w:rsid w:val="00A6218D"/>
    <w:rsid w:val="00A640E2"/>
    <w:rsid w:val="00A64D65"/>
    <w:rsid w:val="00A65143"/>
    <w:rsid w:val="00A6725B"/>
    <w:rsid w:val="00A67276"/>
    <w:rsid w:val="00A67D4A"/>
    <w:rsid w:val="00A70605"/>
    <w:rsid w:val="00A70716"/>
    <w:rsid w:val="00A7229A"/>
    <w:rsid w:val="00A73134"/>
    <w:rsid w:val="00A7516C"/>
    <w:rsid w:val="00A76001"/>
    <w:rsid w:val="00A77382"/>
    <w:rsid w:val="00A777B2"/>
    <w:rsid w:val="00A8021D"/>
    <w:rsid w:val="00A80E1A"/>
    <w:rsid w:val="00A825D4"/>
    <w:rsid w:val="00A828F6"/>
    <w:rsid w:val="00A82B73"/>
    <w:rsid w:val="00A82C98"/>
    <w:rsid w:val="00A83C5D"/>
    <w:rsid w:val="00A85F03"/>
    <w:rsid w:val="00A86994"/>
    <w:rsid w:val="00A86E8B"/>
    <w:rsid w:val="00A87164"/>
    <w:rsid w:val="00A87176"/>
    <w:rsid w:val="00A90DB8"/>
    <w:rsid w:val="00A90E08"/>
    <w:rsid w:val="00A93072"/>
    <w:rsid w:val="00A938BD"/>
    <w:rsid w:val="00A93953"/>
    <w:rsid w:val="00A93EEC"/>
    <w:rsid w:val="00A959D8"/>
    <w:rsid w:val="00A95EB4"/>
    <w:rsid w:val="00A979A1"/>
    <w:rsid w:val="00A97BB3"/>
    <w:rsid w:val="00A97F7D"/>
    <w:rsid w:val="00AA0D73"/>
    <w:rsid w:val="00AA113D"/>
    <w:rsid w:val="00AA1155"/>
    <w:rsid w:val="00AA2618"/>
    <w:rsid w:val="00AA3BF1"/>
    <w:rsid w:val="00AA507A"/>
    <w:rsid w:val="00AA6BD5"/>
    <w:rsid w:val="00AA6BD8"/>
    <w:rsid w:val="00AA6C7D"/>
    <w:rsid w:val="00AA7FD6"/>
    <w:rsid w:val="00AB042A"/>
    <w:rsid w:val="00AB1628"/>
    <w:rsid w:val="00AB19C3"/>
    <w:rsid w:val="00AB19EF"/>
    <w:rsid w:val="00AB2D34"/>
    <w:rsid w:val="00AB3430"/>
    <w:rsid w:val="00AB37B9"/>
    <w:rsid w:val="00AB4AD1"/>
    <w:rsid w:val="00AB5499"/>
    <w:rsid w:val="00AB5E07"/>
    <w:rsid w:val="00AB7CFA"/>
    <w:rsid w:val="00AB7E52"/>
    <w:rsid w:val="00AC12A4"/>
    <w:rsid w:val="00AC3E78"/>
    <w:rsid w:val="00AC5B48"/>
    <w:rsid w:val="00AD0332"/>
    <w:rsid w:val="00AD0333"/>
    <w:rsid w:val="00AD1053"/>
    <w:rsid w:val="00AD1450"/>
    <w:rsid w:val="00AD32A5"/>
    <w:rsid w:val="00AD37F6"/>
    <w:rsid w:val="00AD487A"/>
    <w:rsid w:val="00AD4A8E"/>
    <w:rsid w:val="00AD58F5"/>
    <w:rsid w:val="00AD6502"/>
    <w:rsid w:val="00AD7271"/>
    <w:rsid w:val="00AE0695"/>
    <w:rsid w:val="00AE277D"/>
    <w:rsid w:val="00AE3765"/>
    <w:rsid w:val="00AE3E7E"/>
    <w:rsid w:val="00AE7816"/>
    <w:rsid w:val="00AF1315"/>
    <w:rsid w:val="00AF1519"/>
    <w:rsid w:val="00AF17C6"/>
    <w:rsid w:val="00AF19BF"/>
    <w:rsid w:val="00AF1E0A"/>
    <w:rsid w:val="00AF21B3"/>
    <w:rsid w:val="00AF268A"/>
    <w:rsid w:val="00AF2DC3"/>
    <w:rsid w:val="00AF3CD5"/>
    <w:rsid w:val="00AF4366"/>
    <w:rsid w:val="00AF6E21"/>
    <w:rsid w:val="00B0001A"/>
    <w:rsid w:val="00B02C55"/>
    <w:rsid w:val="00B0339D"/>
    <w:rsid w:val="00B033E5"/>
    <w:rsid w:val="00B03A63"/>
    <w:rsid w:val="00B04F72"/>
    <w:rsid w:val="00B0562B"/>
    <w:rsid w:val="00B12F4A"/>
    <w:rsid w:val="00B139CE"/>
    <w:rsid w:val="00B14344"/>
    <w:rsid w:val="00B15EAF"/>
    <w:rsid w:val="00B1779F"/>
    <w:rsid w:val="00B201A4"/>
    <w:rsid w:val="00B201D1"/>
    <w:rsid w:val="00B20E3D"/>
    <w:rsid w:val="00B213A6"/>
    <w:rsid w:val="00B222A3"/>
    <w:rsid w:val="00B235B0"/>
    <w:rsid w:val="00B239EA"/>
    <w:rsid w:val="00B23DB6"/>
    <w:rsid w:val="00B24DF6"/>
    <w:rsid w:val="00B260AE"/>
    <w:rsid w:val="00B3131A"/>
    <w:rsid w:val="00B34FE2"/>
    <w:rsid w:val="00B35166"/>
    <w:rsid w:val="00B357D8"/>
    <w:rsid w:val="00B360F4"/>
    <w:rsid w:val="00B36A00"/>
    <w:rsid w:val="00B37BFC"/>
    <w:rsid w:val="00B40358"/>
    <w:rsid w:val="00B41614"/>
    <w:rsid w:val="00B42851"/>
    <w:rsid w:val="00B42F80"/>
    <w:rsid w:val="00B430F7"/>
    <w:rsid w:val="00B435CB"/>
    <w:rsid w:val="00B44E72"/>
    <w:rsid w:val="00B4634C"/>
    <w:rsid w:val="00B466DB"/>
    <w:rsid w:val="00B505C8"/>
    <w:rsid w:val="00B50DB8"/>
    <w:rsid w:val="00B52638"/>
    <w:rsid w:val="00B53654"/>
    <w:rsid w:val="00B53905"/>
    <w:rsid w:val="00B53E7E"/>
    <w:rsid w:val="00B5469C"/>
    <w:rsid w:val="00B54752"/>
    <w:rsid w:val="00B54B5B"/>
    <w:rsid w:val="00B5562E"/>
    <w:rsid w:val="00B55D65"/>
    <w:rsid w:val="00B57000"/>
    <w:rsid w:val="00B60939"/>
    <w:rsid w:val="00B60AFD"/>
    <w:rsid w:val="00B616DF"/>
    <w:rsid w:val="00B616F1"/>
    <w:rsid w:val="00B6212B"/>
    <w:rsid w:val="00B62715"/>
    <w:rsid w:val="00B635A6"/>
    <w:rsid w:val="00B63F97"/>
    <w:rsid w:val="00B65354"/>
    <w:rsid w:val="00B65611"/>
    <w:rsid w:val="00B67BC2"/>
    <w:rsid w:val="00B70E8E"/>
    <w:rsid w:val="00B70F90"/>
    <w:rsid w:val="00B76C92"/>
    <w:rsid w:val="00B772E5"/>
    <w:rsid w:val="00B779BE"/>
    <w:rsid w:val="00B818A4"/>
    <w:rsid w:val="00B84117"/>
    <w:rsid w:val="00B8443D"/>
    <w:rsid w:val="00B8499D"/>
    <w:rsid w:val="00B851A9"/>
    <w:rsid w:val="00B858F0"/>
    <w:rsid w:val="00B85AA2"/>
    <w:rsid w:val="00B862D8"/>
    <w:rsid w:val="00B8649C"/>
    <w:rsid w:val="00B8695D"/>
    <w:rsid w:val="00B86E7C"/>
    <w:rsid w:val="00B879B8"/>
    <w:rsid w:val="00B87F0A"/>
    <w:rsid w:val="00B87FF7"/>
    <w:rsid w:val="00B91186"/>
    <w:rsid w:val="00B92D0B"/>
    <w:rsid w:val="00B942E3"/>
    <w:rsid w:val="00B94945"/>
    <w:rsid w:val="00B94DD6"/>
    <w:rsid w:val="00BA0AC8"/>
    <w:rsid w:val="00BA322D"/>
    <w:rsid w:val="00BA4DAA"/>
    <w:rsid w:val="00BA63FA"/>
    <w:rsid w:val="00BA68B8"/>
    <w:rsid w:val="00BA68E1"/>
    <w:rsid w:val="00BB00B3"/>
    <w:rsid w:val="00BB0BDD"/>
    <w:rsid w:val="00BB0FFB"/>
    <w:rsid w:val="00BB176C"/>
    <w:rsid w:val="00BB2A73"/>
    <w:rsid w:val="00BB353A"/>
    <w:rsid w:val="00BB3A45"/>
    <w:rsid w:val="00BB4ACC"/>
    <w:rsid w:val="00BB629E"/>
    <w:rsid w:val="00BB6459"/>
    <w:rsid w:val="00BB703E"/>
    <w:rsid w:val="00BB732D"/>
    <w:rsid w:val="00BB7405"/>
    <w:rsid w:val="00BC182E"/>
    <w:rsid w:val="00BC2DAC"/>
    <w:rsid w:val="00BC3631"/>
    <w:rsid w:val="00BC4B38"/>
    <w:rsid w:val="00BC4BC3"/>
    <w:rsid w:val="00BC4CF8"/>
    <w:rsid w:val="00BC591F"/>
    <w:rsid w:val="00BC7D6D"/>
    <w:rsid w:val="00BD1CD9"/>
    <w:rsid w:val="00BD1D3F"/>
    <w:rsid w:val="00BD2108"/>
    <w:rsid w:val="00BD5CCC"/>
    <w:rsid w:val="00BD68A3"/>
    <w:rsid w:val="00BD6938"/>
    <w:rsid w:val="00BD6CF3"/>
    <w:rsid w:val="00BE0ECA"/>
    <w:rsid w:val="00BE1602"/>
    <w:rsid w:val="00BE1F8C"/>
    <w:rsid w:val="00BE2180"/>
    <w:rsid w:val="00BE21F2"/>
    <w:rsid w:val="00BE4275"/>
    <w:rsid w:val="00BE65C3"/>
    <w:rsid w:val="00BF06AE"/>
    <w:rsid w:val="00BF06FE"/>
    <w:rsid w:val="00BF0F95"/>
    <w:rsid w:val="00BF18EF"/>
    <w:rsid w:val="00BF2433"/>
    <w:rsid w:val="00BF28AB"/>
    <w:rsid w:val="00BF4D83"/>
    <w:rsid w:val="00BF61C9"/>
    <w:rsid w:val="00BF6C94"/>
    <w:rsid w:val="00C00424"/>
    <w:rsid w:val="00C02599"/>
    <w:rsid w:val="00C02A5B"/>
    <w:rsid w:val="00C02EBB"/>
    <w:rsid w:val="00C036EE"/>
    <w:rsid w:val="00C03854"/>
    <w:rsid w:val="00C050FE"/>
    <w:rsid w:val="00C07FC0"/>
    <w:rsid w:val="00C1179F"/>
    <w:rsid w:val="00C125B5"/>
    <w:rsid w:val="00C12C14"/>
    <w:rsid w:val="00C14C94"/>
    <w:rsid w:val="00C14DAE"/>
    <w:rsid w:val="00C15D66"/>
    <w:rsid w:val="00C15F04"/>
    <w:rsid w:val="00C179B3"/>
    <w:rsid w:val="00C17E3F"/>
    <w:rsid w:val="00C17EF9"/>
    <w:rsid w:val="00C200AA"/>
    <w:rsid w:val="00C20D01"/>
    <w:rsid w:val="00C20F36"/>
    <w:rsid w:val="00C21E95"/>
    <w:rsid w:val="00C224B8"/>
    <w:rsid w:val="00C237ED"/>
    <w:rsid w:val="00C24632"/>
    <w:rsid w:val="00C2505F"/>
    <w:rsid w:val="00C25418"/>
    <w:rsid w:val="00C25D9C"/>
    <w:rsid w:val="00C26346"/>
    <w:rsid w:val="00C2778B"/>
    <w:rsid w:val="00C31649"/>
    <w:rsid w:val="00C3434C"/>
    <w:rsid w:val="00C34D2F"/>
    <w:rsid w:val="00C36990"/>
    <w:rsid w:val="00C37C68"/>
    <w:rsid w:val="00C40385"/>
    <w:rsid w:val="00C40CF8"/>
    <w:rsid w:val="00C41768"/>
    <w:rsid w:val="00C41F77"/>
    <w:rsid w:val="00C442B3"/>
    <w:rsid w:val="00C46474"/>
    <w:rsid w:val="00C46A95"/>
    <w:rsid w:val="00C475AA"/>
    <w:rsid w:val="00C50B81"/>
    <w:rsid w:val="00C5192E"/>
    <w:rsid w:val="00C52096"/>
    <w:rsid w:val="00C5343E"/>
    <w:rsid w:val="00C53796"/>
    <w:rsid w:val="00C53C98"/>
    <w:rsid w:val="00C54766"/>
    <w:rsid w:val="00C552C0"/>
    <w:rsid w:val="00C56FCF"/>
    <w:rsid w:val="00C57B6C"/>
    <w:rsid w:val="00C60511"/>
    <w:rsid w:val="00C6154B"/>
    <w:rsid w:val="00C628A6"/>
    <w:rsid w:val="00C63A42"/>
    <w:rsid w:val="00C64344"/>
    <w:rsid w:val="00C6461E"/>
    <w:rsid w:val="00C65108"/>
    <w:rsid w:val="00C65576"/>
    <w:rsid w:val="00C65F31"/>
    <w:rsid w:val="00C66165"/>
    <w:rsid w:val="00C67EA5"/>
    <w:rsid w:val="00C7060A"/>
    <w:rsid w:val="00C70668"/>
    <w:rsid w:val="00C7151A"/>
    <w:rsid w:val="00C717E3"/>
    <w:rsid w:val="00C71F60"/>
    <w:rsid w:val="00C72241"/>
    <w:rsid w:val="00C750C8"/>
    <w:rsid w:val="00C7560F"/>
    <w:rsid w:val="00C75AA6"/>
    <w:rsid w:val="00C76593"/>
    <w:rsid w:val="00C77117"/>
    <w:rsid w:val="00C77CC8"/>
    <w:rsid w:val="00C80A0E"/>
    <w:rsid w:val="00C8213F"/>
    <w:rsid w:val="00C83810"/>
    <w:rsid w:val="00C85154"/>
    <w:rsid w:val="00C85B96"/>
    <w:rsid w:val="00C86B8B"/>
    <w:rsid w:val="00C8797A"/>
    <w:rsid w:val="00C87C97"/>
    <w:rsid w:val="00C900B8"/>
    <w:rsid w:val="00C90C71"/>
    <w:rsid w:val="00C91FD1"/>
    <w:rsid w:val="00C931CF"/>
    <w:rsid w:val="00C938CF"/>
    <w:rsid w:val="00C94053"/>
    <w:rsid w:val="00C94E5A"/>
    <w:rsid w:val="00C9624D"/>
    <w:rsid w:val="00C969DA"/>
    <w:rsid w:val="00CA0854"/>
    <w:rsid w:val="00CA2C77"/>
    <w:rsid w:val="00CA3B81"/>
    <w:rsid w:val="00CA444F"/>
    <w:rsid w:val="00CA5245"/>
    <w:rsid w:val="00CA71F4"/>
    <w:rsid w:val="00CA73C8"/>
    <w:rsid w:val="00CA7B09"/>
    <w:rsid w:val="00CB12A5"/>
    <w:rsid w:val="00CB1CAC"/>
    <w:rsid w:val="00CB1CCD"/>
    <w:rsid w:val="00CB2353"/>
    <w:rsid w:val="00CB2C25"/>
    <w:rsid w:val="00CB2F2A"/>
    <w:rsid w:val="00CB2F3F"/>
    <w:rsid w:val="00CB34A0"/>
    <w:rsid w:val="00CB4C53"/>
    <w:rsid w:val="00CB4F0A"/>
    <w:rsid w:val="00CB5B1A"/>
    <w:rsid w:val="00CB6B22"/>
    <w:rsid w:val="00CB6DAE"/>
    <w:rsid w:val="00CB72D6"/>
    <w:rsid w:val="00CB7F5F"/>
    <w:rsid w:val="00CC0B24"/>
    <w:rsid w:val="00CC1B39"/>
    <w:rsid w:val="00CC2453"/>
    <w:rsid w:val="00CC35EA"/>
    <w:rsid w:val="00CC3848"/>
    <w:rsid w:val="00CC3C0E"/>
    <w:rsid w:val="00CD05B5"/>
    <w:rsid w:val="00CD28AA"/>
    <w:rsid w:val="00CD3F77"/>
    <w:rsid w:val="00CD45D5"/>
    <w:rsid w:val="00CD6ADC"/>
    <w:rsid w:val="00CD7193"/>
    <w:rsid w:val="00CE2E54"/>
    <w:rsid w:val="00CE332D"/>
    <w:rsid w:val="00CE38C8"/>
    <w:rsid w:val="00CE3B32"/>
    <w:rsid w:val="00CE4059"/>
    <w:rsid w:val="00CE6274"/>
    <w:rsid w:val="00CE712C"/>
    <w:rsid w:val="00CE77B6"/>
    <w:rsid w:val="00CF0853"/>
    <w:rsid w:val="00CF0D65"/>
    <w:rsid w:val="00CF1EC2"/>
    <w:rsid w:val="00CF2B8D"/>
    <w:rsid w:val="00CF456B"/>
    <w:rsid w:val="00CF45A9"/>
    <w:rsid w:val="00CF4820"/>
    <w:rsid w:val="00CF55E3"/>
    <w:rsid w:val="00CF5A22"/>
    <w:rsid w:val="00CF5E91"/>
    <w:rsid w:val="00D0262E"/>
    <w:rsid w:val="00D028F1"/>
    <w:rsid w:val="00D034DA"/>
    <w:rsid w:val="00D05E3D"/>
    <w:rsid w:val="00D05F9F"/>
    <w:rsid w:val="00D06139"/>
    <w:rsid w:val="00D106D3"/>
    <w:rsid w:val="00D110BD"/>
    <w:rsid w:val="00D12EE9"/>
    <w:rsid w:val="00D13675"/>
    <w:rsid w:val="00D141E1"/>
    <w:rsid w:val="00D143ED"/>
    <w:rsid w:val="00D146CD"/>
    <w:rsid w:val="00D15314"/>
    <w:rsid w:val="00D1596D"/>
    <w:rsid w:val="00D160F1"/>
    <w:rsid w:val="00D16B67"/>
    <w:rsid w:val="00D17316"/>
    <w:rsid w:val="00D17D6C"/>
    <w:rsid w:val="00D20EA8"/>
    <w:rsid w:val="00D2155B"/>
    <w:rsid w:val="00D21BC0"/>
    <w:rsid w:val="00D21E7F"/>
    <w:rsid w:val="00D23251"/>
    <w:rsid w:val="00D23D11"/>
    <w:rsid w:val="00D244B6"/>
    <w:rsid w:val="00D24A7C"/>
    <w:rsid w:val="00D266A3"/>
    <w:rsid w:val="00D2696C"/>
    <w:rsid w:val="00D26A63"/>
    <w:rsid w:val="00D2754D"/>
    <w:rsid w:val="00D27B27"/>
    <w:rsid w:val="00D312D9"/>
    <w:rsid w:val="00D33BE9"/>
    <w:rsid w:val="00D33F93"/>
    <w:rsid w:val="00D357FF"/>
    <w:rsid w:val="00D37941"/>
    <w:rsid w:val="00D424C7"/>
    <w:rsid w:val="00D43B2A"/>
    <w:rsid w:val="00D43D83"/>
    <w:rsid w:val="00D44F37"/>
    <w:rsid w:val="00D4553E"/>
    <w:rsid w:val="00D45AC1"/>
    <w:rsid w:val="00D45B35"/>
    <w:rsid w:val="00D47575"/>
    <w:rsid w:val="00D477C4"/>
    <w:rsid w:val="00D5243B"/>
    <w:rsid w:val="00D527E4"/>
    <w:rsid w:val="00D533EC"/>
    <w:rsid w:val="00D54A40"/>
    <w:rsid w:val="00D54A5A"/>
    <w:rsid w:val="00D56A95"/>
    <w:rsid w:val="00D5748A"/>
    <w:rsid w:val="00D62273"/>
    <w:rsid w:val="00D622E9"/>
    <w:rsid w:val="00D6355A"/>
    <w:rsid w:val="00D67DF8"/>
    <w:rsid w:val="00D70F16"/>
    <w:rsid w:val="00D7152A"/>
    <w:rsid w:val="00D71A77"/>
    <w:rsid w:val="00D72CC6"/>
    <w:rsid w:val="00D72F57"/>
    <w:rsid w:val="00D7331C"/>
    <w:rsid w:val="00D76A44"/>
    <w:rsid w:val="00D76B85"/>
    <w:rsid w:val="00D76BA4"/>
    <w:rsid w:val="00D76C3A"/>
    <w:rsid w:val="00D77CF6"/>
    <w:rsid w:val="00D77DA0"/>
    <w:rsid w:val="00D81424"/>
    <w:rsid w:val="00D814CF"/>
    <w:rsid w:val="00D815EF"/>
    <w:rsid w:val="00D81D21"/>
    <w:rsid w:val="00D81F26"/>
    <w:rsid w:val="00D821F0"/>
    <w:rsid w:val="00D827FB"/>
    <w:rsid w:val="00D86231"/>
    <w:rsid w:val="00D86277"/>
    <w:rsid w:val="00D865C3"/>
    <w:rsid w:val="00D87237"/>
    <w:rsid w:val="00D9177C"/>
    <w:rsid w:val="00D91923"/>
    <w:rsid w:val="00D9219F"/>
    <w:rsid w:val="00D93753"/>
    <w:rsid w:val="00D95611"/>
    <w:rsid w:val="00DA1610"/>
    <w:rsid w:val="00DA1F22"/>
    <w:rsid w:val="00DA2DCB"/>
    <w:rsid w:val="00DA3167"/>
    <w:rsid w:val="00DA4DC3"/>
    <w:rsid w:val="00DA77A5"/>
    <w:rsid w:val="00DA7CC7"/>
    <w:rsid w:val="00DB0761"/>
    <w:rsid w:val="00DB3DBF"/>
    <w:rsid w:val="00DB484F"/>
    <w:rsid w:val="00DB62AF"/>
    <w:rsid w:val="00DB6BC9"/>
    <w:rsid w:val="00DB70C4"/>
    <w:rsid w:val="00DC04F6"/>
    <w:rsid w:val="00DC0690"/>
    <w:rsid w:val="00DC121D"/>
    <w:rsid w:val="00DC1AC9"/>
    <w:rsid w:val="00DC1D65"/>
    <w:rsid w:val="00DC3045"/>
    <w:rsid w:val="00DC3186"/>
    <w:rsid w:val="00DC3C57"/>
    <w:rsid w:val="00DC4033"/>
    <w:rsid w:val="00DC5501"/>
    <w:rsid w:val="00DC7154"/>
    <w:rsid w:val="00DC7E8A"/>
    <w:rsid w:val="00DD0F78"/>
    <w:rsid w:val="00DD273C"/>
    <w:rsid w:val="00DD3F28"/>
    <w:rsid w:val="00DD4537"/>
    <w:rsid w:val="00DD4E15"/>
    <w:rsid w:val="00DD6641"/>
    <w:rsid w:val="00DD6F1D"/>
    <w:rsid w:val="00DE2304"/>
    <w:rsid w:val="00DE25A7"/>
    <w:rsid w:val="00DE3138"/>
    <w:rsid w:val="00DE37F8"/>
    <w:rsid w:val="00DE4FCB"/>
    <w:rsid w:val="00DE5D07"/>
    <w:rsid w:val="00DE67DB"/>
    <w:rsid w:val="00DE72A7"/>
    <w:rsid w:val="00DE7304"/>
    <w:rsid w:val="00DE7832"/>
    <w:rsid w:val="00DE7B31"/>
    <w:rsid w:val="00DF051A"/>
    <w:rsid w:val="00DF18FC"/>
    <w:rsid w:val="00DF5609"/>
    <w:rsid w:val="00DF5839"/>
    <w:rsid w:val="00DF5D2B"/>
    <w:rsid w:val="00E00E8E"/>
    <w:rsid w:val="00E017CB"/>
    <w:rsid w:val="00E01F55"/>
    <w:rsid w:val="00E04314"/>
    <w:rsid w:val="00E05630"/>
    <w:rsid w:val="00E05BFC"/>
    <w:rsid w:val="00E065E4"/>
    <w:rsid w:val="00E069AE"/>
    <w:rsid w:val="00E06A2C"/>
    <w:rsid w:val="00E06DBB"/>
    <w:rsid w:val="00E10149"/>
    <w:rsid w:val="00E105BF"/>
    <w:rsid w:val="00E10D18"/>
    <w:rsid w:val="00E11340"/>
    <w:rsid w:val="00E11F73"/>
    <w:rsid w:val="00E122A1"/>
    <w:rsid w:val="00E15AE6"/>
    <w:rsid w:val="00E16372"/>
    <w:rsid w:val="00E1672F"/>
    <w:rsid w:val="00E20E4D"/>
    <w:rsid w:val="00E20ED6"/>
    <w:rsid w:val="00E21358"/>
    <w:rsid w:val="00E2249B"/>
    <w:rsid w:val="00E22A0D"/>
    <w:rsid w:val="00E23E8B"/>
    <w:rsid w:val="00E24436"/>
    <w:rsid w:val="00E244F6"/>
    <w:rsid w:val="00E24CF8"/>
    <w:rsid w:val="00E2771E"/>
    <w:rsid w:val="00E27F87"/>
    <w:rsid w:val="00E30106"/>
    <w:rsid w:val="00E311EF"/>
    <w:rsid w:val="00E32180"/>
    <w:rsid w:val="00E3289D"/>
    <w:rsid w:val="00E33634"/>
    <w:rsid w:val="00E34948"/>
    <w:rsid w:val="00E34B55"/>
    <w:rsid w:val="00E34BBF"/>
    <w:rsid w:val="00E35A8A"/>
    <w:rsid w:val="00E3661F"/>
    <w:rsid w:val="00E368BE"/>
    <w:rsid w:val="00E37569"/>
    <w:rsid w:val="00E37EB7"/>
    <w:rsid w:val="00E401B2"/>
    <w:rsid w:val="00E40E57"/>
    <w:rsid w:val="00E41E30"/>
    <w:rsid w:val="00E4256A"/>
    <w:rsid w:val="00E42C34"/>
    <w:rsid w:val="00E42F73"/>
    <w:rsid w:val="00E43D70"/>
    <w:rsid w:val="00E45E8C"/>
    <w:rsid w:val="00E466D9"/>
    <w:rsid w:val="00E466F3"/>
    <w:rsid w:val="00E47B2C"/>
    <w:rsid w:val="00E51560"/>
    <w:rsid w:val="00E53FC8"/>
    <w:rsid w:val="00E54347"/>
    <w:rsid w:val="00E5482E"/>
    <w:rsid w:val="00E5524B"/>
    <w:rsid w:val="00E55424"/>
    <w:rsid w:val="00E55915"/>
    <w:rsid w:val="00E55BB5"/>
    <w:rsid w:val="00E56F82"/>
    <w:rsid w:val="00E61CB3"/>
    <w:rsid w:val="00E63CD7"/>
    <w:rsid w:val="00E64944"/>
    <w:rsid w:val="00E65DE1"/>
    <w:rsid w:val="00E65E79"/>
    <w:rsid w:val="00E6687F"/>
    <w:rsid w:val="00E66BA2"/>
    <w:rsid w:val="00E67416"/>
    <w:rsid w:val="00E67467"/>
    <w:rsid w:val="00E71338"/>
    <w:rsid w:val="00E718B6"/>
    <w:rsid w:val="00E723BA"/>
    <w:rsid w:val="00E73581"/>
    <w:rsid w:val="00E7454C"/>
    <w:rsid w:val="00E75045"/>
    <w:rsid w:val="00E77CEE"/>
    <w:rsid w:val="00E80628"/>
    <w:rsid w:val="00E8130D"/>
    <w:rsid w:val="00E833F7"/>
    <w:rsid w:val="00E83BDF"/>
    <w:rsid w:val="00E845B4"/>
    <w:rsid w:val="00E859D1"/>
    <w:rsid w:val="00E87A1D"/>
    <w:rsid w:val="00E87B38"/>
    <w:rsid w:val="00E87C44"/>
    <w:rsid w:val="00E9094A"/>
    <w:rsid w:val="00E91D35"/>
    <w:rsid w:val="00E926A5"/>
    <w:rsid w:val="00E92D33"/>
    <w:rsid w:val="00E947C8"/>
    <w:rsid w:val="00E95B76"/>
    <w:rsid w:val="00EA0E0E"/>
    <w:rsid w:val="00EA1177"/>
    <w:rsid w:val="00EA17C3"/>
    <w:rsid w:val="00EA1BF3"/>
    <w:rsid w:val="00EA2CAA"/>
    <w:rsid w:val="00EA3864"/>
    <w:rsid w:val="00EA4039"/>
    <w:rsid w:val="00EA5274"/>
    <w:rsid w:val="00EA56B9"/>
    <w:rsid w:val="00EA7439"/>
    <w:rsid w:val="00EA7F1C"/>
    <w:rsid w:val="00EB1123"/>
    <w:rsid w:val="00EB15B6"/>
    <w:rsid w:val="00EB1EC5"/>
    <w:rsid w:val="00EB2261"/>
    <w:rsid w:val="00EB237B"/>
    <w:rsid w:val="00EB2C5E"/>
    <w:rsid w:val="00EB3D06"/>
    <w:rsid w:val="00EB3FA5"/>
    <w:rsid w:val="00EB4177"/>
    <w:rsid w:val="00EB4916"/>
    <w:rsid w:val="00EB6159"/>
    <w:rsid w:val="00EB78D3"/>
    <w:rsid w:val="00EB794C"/>
    <w:rsid w:val="00EC00C9"/>
    <w:rsid w:val="00EC0DD9"/>
    <w:rsid w:val="00EC2649"/>
    <w:rsid w:val="00EC31ED"/>
    <w:rsid w:val="00EC5836"/>
    <w:rsid w:val="00EC66A7"/>
    <w:rsid w:val="00EC688C"/>
    <w:rsid w:val="00EC6995"/>
    <w:rsid w:val="00EC739B"/>
    <w:rsid w:val="00ED4DBB"/>
    <w:rsid w:val="00ED57EA"/>
    <w:rsid w:val="00ED5BD4"/>
    <w:rsid w:val="00EE0282"/>
    <w:rsid w:val="00EE07D3"/>
    <w:rsid w:val="00EE0EFD"/>
    <w:rsid w:val="00EE1996"/>
    <w:rsid w:val="00EE1C01"/>
    <w:rsid w:val="00EE22AF"/>
    <w:rsid w:val="00EE3AFC"/>
    <w:rsid w:val="00EE7540"/>
    <w:rsid w:val="00EE7CD8"/>
    <w:rsid w:val="00EF0171"/>
    <w:rsid w:val="00EF103B"/>
    <w:rsid w:val="00EF1A9B"/>
    <w:rsid w:val="00EF1B25"/>
    <w:rsid w:val="00EF1DA0"/>
    <w:rsid w:val="00EF2D76"/>
    <w:rsid w:val="00EF4747"/>
    <w:rsid w:val="00EF4BF8"/>
    <w:rsid w:val="00F0184F"/>
    <w:rsid w:val="00F018EF"/>
    <w:rsid w:val="00F02253"/>
    <w:rsid w:val="00F03C10"/>
    <w:rsid w:val="00F03C2E"/>
    <w:rsid w:val="00F04A66"/>
    <w:rsid w:val="00F04B4B"/>
    <w:rsid w:val="00F04CC7"/>
    <w:rsid w:val="00F0516C"/>
    <w:rsid w:val="00F067A2"/>
    <w:rsid w:val="00F06DD8"/>
    <w:rsid w:val="00F07B9E"/>
    <w:rsid w:val="00F10A9E"/>
    <w:rsid w:val="00F1116F"/>
    <w:rsid w:val="00F11B4E"/>
    <w:rsid w:val="00F12561"/>
    <w:rsid w:val="00F1263A"/>
    <w:rsid w:val="00F13472"/>
    <w:rsid w:val="00F13742"/>
    <w:rsid w:val="00F13EEA"/>
    <w:rsid w:val="00F15B77"/>
    <w:rsid w:val="00F16DAB"/>
    <w:rsid w:val="00F1752F"/>
    <w:rsid w:val="00F17FD1"/>
    <w:rsid w:val="00F212B0"/>
    <w:rsid w:val="00F21AF5"/>
    <w:rsid w:val="00F24837"/>
    <w:rsid w:val="00F2575F"/>
    <w:rsid w:val="00F273EA"/>
    <w:rsid w:val="00F27565"/>
    <w:rsid w:val="00F310D4"/>
    <w:rsid w:val="00F31D5A"/>
    <w:rsid w:val="00F329F2"/>
    <w:rsid w:val="00F32DA4"/>
    <w:rsid w:val="00F32E7F"/>
    <w:rsid w:val="00F33975"/>
    <w:rsid w:val="00F33D2B"/>
    <w:rsid w:val="00F33DE9"/>
    <w:rsid w:val="00F34D50"/>
    <w:rsid w:val="00F35D58"/>
    <w:rsid w:val="00F35E6D"/>
    <w:rsid w:val="00F3619A"/>
    <w:rsid w:val="00F36349"/>
    <w:rsid w:val="00F37735"/>
    <w:rsid w:val="00F37FD2"/>
    <w:rsid w:val="00F40A00"/>
    <w:rsid w:val="00F40AAA"/>
    <w:rsid w:val="00F40BA7"/>
    <w:rsid w:val="00F40DBD"/>
    <w:rsid w:val="00F40F9D"/>
    <w:rsid w:val="00F41ACD"/>
    <w:rsid w:val="00F46CB6"/>
    <w:rsid w:val="00F47268"/>
    <w:rsid w:val="00F4756D"/>
    <w:rsid w:val="00F47DE8"/>
    <w:rsid w:val="00F5056E"/>
    <w:rsid w:val="00F52DF6"/>
    <w:rsid w:val="00F5326D"/>
    <w:rsid w:val="00F53A29"/>
    <w:rsid w:val="00F542C1"/>
    <w:rsid w:val="00F55E73"/>
    <w:rsid w:val="00F55EDA"/>
    <w:rsid w:val="00F5623C"/>
    <w:rsid w:val="00F56C80"/>
    <w:rsid w:val="00F57598"/>
    <w:rsid w:val="00F60092"/>
    <w:rsid w:val="00F61C18"/>
    <w:rsid w:val="00F61EB5"/>
    <w:rsid w:val="00F63E11"/>
    <w:rsid w:val="00F63E85"/>
    <w:rsid w:val="00F6424D"/>
    <w:rsid w:val="00F65557"/>
    <w:rsid w:val="00F65F4B"/>
    <w:rsid w:val="00F66505"/>
    <w:rsid w:val="00F67785"/>
    <w:rsid w:val="00F67A69"/>
    <w:rsid w:val="00F67B16"/>
    <w:rsid w:val="00F70BFF"/>
    <w:rsid w:val="00F70C9D"/>
    <w:rsid w:val="00F71ABE"/>
    <w:rsid w:val="00F74CD9"/>
    <w:rsid w:val="00F76217"/>
    <w:rsid w:val="00F77242"/>
    <w:rsid w:val="00F77F67"/>
    <w:rsid w:val="00F80A7B"/>
    <w:rsid w:val="00F80E5D"/>
    <w:rsid w:val="00F81E78"/>
    <w:rsid w:val="00F833D6"/>
    <w:rsid w:val="00F843EB"/>
    <w:rsid w:val="00F84E59"/>
    <w:rsid w:val="00F851CE"/>
    <w:rsid w:val="00F86A21"/>
    <w:rsid w:val="00F87D4C"/>
    <w:rsid w:val="00F91219"/>
    <w:rsid w:val="00F91745"/>
    <w:rsid w:val="00F91A80"/>
    <w:rsid w:val="00F92444"/>
    <w:rsid w:val="00F92606"/>
    <w:rsid w:val="00F9393E"/>
    <w:rsid w:val="00F941F6"/>
    <w:rsid w:val="00F94562"/>
    <w:rsid w:val="00F9534E"/>
    <w:rsid w:val="00F96FD0"/>
    <w:rsid w:val="00F9737B"/>
    <w:rsid w:val="00F97A78"/>
    <w:rsid w:val="00FA08B5"/>
    <w:rsid w:val="00FA0B20"/>
    <w:rsid w:val="00FA1493"/>
    <w:rsid w:val="00FA24E7"/>
    <w:rsid w:val="00FA2F4C"/>
    <w:rsid w:val="00FA37CF"/>
    <w:rsid w:val="00FA3803"/>
    <w:rsid w:val="00FA3F31"/>
    <w:rsid w:val="00FA421C"/>
    <w:rsid w:val="00FA53F7"/>
    <w:rsid w:val="00FA5EE6"/>
    <w:rsid w:val="00FA6763"/>
    <w:rsid w:val="00FA7956"/>
    <w:rsid w:val="00FB0275"/>
    <w:rsid w:val="00FB1B3D"/>
    <w:rsid w:val="00FB2543"/>
    <w:rsid w:val="00FB2888"/>
    <w:rsid w:val="00FB2FCB"/>
    <w:rsid w:val="00FB56FD"/>
    <w:rsid w:val="00FB5A4C"/>
    <w:rsid w:val="00FB5AC1"/>
    <w:rsid w:val="00FB5D66"/>
    <w:rsid w:val="00FB6A18"/>
    <w:rsid w:val="00FB7C55"/>
    <w:rsid w:val="00FC1074"/>
    <w:rsid w:val="00FC1884"/>
    <w:rsid w:val="00FC1E04"/>
    <w:rsid w:val="00FC371D"/>
    <w:rsid w:val="00FC38E2"/>
    <w:rsid w:val="00FC4692"/>
    <w:rsid w:val="00FC5D78"/>
    <w:rsid w:val="00FC5F0B"/>
    <w:rsid w:val="00FC796E"/>
    <w:rsid w:val="00FC7E01"/>
    <w:rsid w:val="00FD047C"/>
    <w:rsid w:val="00FD2100"/>
    <w:rsid w:val="00FD229E"/>
    <w:rsid w:val="00FD436C"/>
    <w:rsid w:val="00FD446D"/>
    <w:rsid w:val="00FD4F2C"/>
    <w:rsid w:val="00FD5D72"/>
    <w:rsid w:val="00FD5E15"/>
    <w:rsid w:val="00FD6394"/>
    <w:rsid w:val="00FD6E89"/>
    <w:rsid w:val="00FE0E6C"/>
    <w:rsid w:val="00FE1394"/>
    <w:rsid w:val="00FE1CDC"/>
    <w:rsid w:val="00FE28BD"/>
    <w:rsid w:val="00FE3566"/>
    <w:rsid w:val="00FE54E1"/>
    <w:rsid w:val="00FE6ECF"/>
    <w:rsid w:val="00FE70C3"/>
    <w:rsid w:val="00FF2780"/>
    <w:rsid w:val="00FF2826"/>
    <w:rsid w:val="00FF2AD9"/>
    <w:rsid w:val="00FF3518"/>
    <w:rsid w:val="00FF359F"/>
    <w:rsid w:val="00FF3DCF"/>
    <w:rsid w:val="00FF48D8"/>
    <w:rsid w:val="00FF492C"/>
    <w:rsid w:val="00FF4A21"/>
    <w:rsid w:val="00FF4CDF"/>
    <w:rsid w:val="00FF5AA3"/>
    <w:rsid w:val="00FF5AD8"/>
    <w:rsid w:val="00FF63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79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12"/>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1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HE Table Grid,Lash Style Table,PBAC table,HTAtableplain,MSD Table Grid,new style,Dossier table,Section 3- footnotes,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2207B1"/>
    <w:rPr>
      <w:sz w:val="20"/>
      <w:szCs w:val="20"/>
    </w:rPr>
  </w:style>
  <w:style w:type="character" w:customStyle="1" w:styleId="FootnoteTextChar">
    <w:name w:val="Footnote Text Char"/>
    <w:basedOn w:val="DefaultParagraphFont"/>
    <w:link w:val="FootnoteText"/>
    <w:rsid w:val="002207B1"/>
    <w:rPr>
      <w:rFonts w:ascii="Calibri" w:hAnsi="Calibri" w:cs="Arial"/>
    </w:rPr>
  </w:style>
  <w:style w:type="character" w:styleId="FootnoteReference">
    <w:name w:val="footnote reference"/>
    <w:basedOn w:val="DefaultParagraphFont"/>
    <w:semiHidden/>
    <w:unhideWhenUsed/>
    <w:rsid w:val="002207B1"/>
    <w:rPr>
      <w:vertAlign w:val="superscript"/>
    </w:rPr>
  </w:style>
  <w:style w:type="paragraph" w:customStyle="1" w:styleId="SourceNotes">
    <w:name w:val="SourceNotes"/>
    <w:basedOn w:val="Normal"/>
    <w:next w:val="Normal"/>
    <w:link w:val="SourceNotesChar"/>
    <w:uiPriority w:val="3"/>
    <w:qFormat/>
    <w:rsid w:val="00AF3CD5"/>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3"/>
    <w:rsid w:val="00AF3CD5"/>
    <w:rPr>
      <w:rFonts w:ascii="Calibri" w:eastAsiaTheme="minorEastAsia" w:hAnsi="Calibri" w:cstheme="minorBidi"/>
      <w:sz w:val="18"/>
      <w:szCs w:val="18"/>
      <w:lang w:eastAsia="en-US"/>
    </w:rPr>
  </w:style>
  <w:style w:type="table" w:customStyle="1" w:styleId="TableGrid3">
    <w:name w:val="Table Grid3"/>
    <w:basedOn w:val="TableNormal"/>
    <w:next w:val="TableGrid"/>
    <w:uiPriority w:val="59"/>
    <w:rsid w:val="00656792"/>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1">
    <w:name w:val="TableText"/>
    <w:basedOn w:val="Normal"/>
    <w:link w:val="TableTextChar1"/>
    <w:uiPriority w:val="3"/>
    <w:qFormat/>
    <w:rsid w:val="007333BD"/>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7333BD"/>
    <w:rPr>
      <w:rFonts w:ascii="Calibri" w:hAnsi="Calibri" w:cs="Calibri"/>
      <w:bCs/>
      <w:lang w:eastAsia="zh-CN"/>
    </w:rPr>
  </w:style>
  <w:style w:type="paragraph" w:customStyle="1" w:styleId="ESNormal">
    <w:name w:val="ES_Normal"/>
    <w:basedOn w:val="Normal"/>
    <w:link w:val="ESNormalChar"/>
    <w:qFormat/>
    <w:rsid w:val="007333BD"/>
    <w:pPr>
      <w:spacing w:after="200" w:line="264" w:lineRule="auto"/>
    </w:pPr>
    <w:rPr>
      <w:rFonts w:eastAsiaTheme="minorEastAsia" w:cstheme="minorBidi"/>
      <w:sz w:val="22"/>
      <w:szCs w:val="22"/>
      <w:lang w:eastAsia="zh-CN"/>
    </w:rPr>
  </w:style>
  <w:style w:type="character" w:customStyle="1" w:styleId="ESNormalChar">
    <w:name w:val="ES_Normal Char"/>
    <w:basedOn w:val="DefaultParagraphFont"/>
    <w:link w:val="ESNormal"/>
    <w:rsid w:val="007333BD"/>
    <w:rPr>
      <w:rFonts w:ascii="Calibri" w:eastAsiaTheme="minorEastAsia" w:hAnsi="Calibri" w:cstheme="minorBidi"/>
      <w:sz w:val="22"/>
      <w:szCs w:val="22"/>
      <w:lang w:eastAsia="zh-CN"/>
    </w:rPr>
  </w:style>
  <w:style w:type="paragraph" w:customStyle="1" w:styleId="TableNumbered">
    <w:name w:val="Table Numbered"/>
    <w:basedOn w:val="Normal"/>
    <w:link w:val="TableNumberedChar"/>
    <w:qFormat/>
    <w:rsid w:val="00D16B67"/>
    <w:pPr>
      <w:numPr>
        <w:numId w:val="5"/>
      </w:numPr>
      <w:spacing w:before="40" w:after="40"/>
      <w:jc w:val="left"/>
    </w:pPr>
    <w:rPr>
      <w:rFonts w:asciiTheme="minorHAnsi" w:eastAsiaTheme="minorEastAsia" w:hAnsiTheme="minorHAnsi" w:cstheme="minorHAnsi"/>
      <w:sz w:val="20"/>
      <w:szCs w:val="22"/>
      <w:lang w:eastAsia="zh-CN"/>
    </w:rPr>
  </w:style>
  <w:style w:type="character" w:customStyle="1" w:styleId="TableNumberedChar">
    <w:name w:val="Table Numbered Char"/>
    <w:basedOn w:val="DefaultParagraphFont"/>
    <w:link w:val="TableNumbered"/>
    <w:rsid w:val="00D16B67"/>
    <w:rPr>
      <w:rFonts w:asciiTheme="minorHAnsi" w:eastAsiaTheme="minorEastAsia" w:hAnsiTheme="minorHAnsi" w:cstheme="minorHAnsi"/>
      <w:szCs w:val="22"/>
      <w:lang w:eastAsia="zh-CN"/>
    </w:rPr>
  </w:style>
  <w:style w:type="paragraph" w:customStyle="1" w:styleId="TableTextCA">
    <w:name w:val="Table Text CA"/>
    <w:basedOn w:val="TableText0"/>
    <w:qFormat/>
    <w:rsid w:val="008A43A3"/>
    <w:pPr>
      <w:keepNext w:val="0"/>
      <w:spacing w:before="40" w:after="40"/>
      <w:jc w:val="center"/>
    </w:pPr>
    <w:rPr>
      <w:rFonts w:asciiTheme="minorHAnsi" w:eastAsiaTheme="minorEastAsia" w:hAnsiTheme="minorHAnsi" w:cstheme="minorHAnsi"/>
      <w:bCs w:val="0"/>
      <w:szCs w:val="22"/>
      <w:lang w:eastAsia="zh-CN"/>
    </w:rPr>
  </w:style>
  <w:style w:type="paragraph" w:customStyle="1" w:styleId="TableNotes">
    <w:name w:val="TableNotes"/>
    <w:basedOn w:val="Normal"/>
    <w:next w:val="Normal"/>
    <w:link w:val="TableNotesChar"/>
    <w:uiPriority w:val="3"/>
    <w:qFormat/>
    <w:rsid w:val="006E21D4"/>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6E21D4"/>
    <w:rPr>
      <w:rFonts w:ascii="Calibri" w:eastAsiaTheme="minorEastAsia" w:hAnsi="Calibri" w:cstheme="minorBidi"/>
      <w:sz w:val="18"/>
      <w:szCs w:val="18"/>
      <w:lang w:eastAsia="zh-CN"/>
    </w:rPr>
  </w:style>
  <w:style w:type="paragraph" w:customStyle="1" w:styleId="TableHeadingRow">
    <w:name w:val="TableHeadingRow"/>
    <w:basedOn w:val="TableText1"/>
    <w:uiPriority w:val="3"/>
    <w:qFormat/>
    <w:rsid w:val="00D77DA0"/>
    <w:pPr>
      <w:keepNext/>
      <w:spacing w:before="40" w:after="40"/>
      <w:jc w:val="center"/>
    </w:pPr>
    <w:rPr>
      <w:b/>
      <w:bCs w:val="0"/>
    </w:rPr>
  </w:style>
  <w:style w:type="paragraph" w:customStyle="1" w:styleId="EndNoteBibliographyTitle">
    <w:name w:val="EndNote Bibliography Title"/>
    <w:basedOn w:val="Normal"/>
    <w:link w:val="EndNoteBibliographyTitleChar"/>
    <w:rsid w:val="003103A7"/>
    <w:pPr>
      <w:jc w:val="center"/>
    </w:pPr>
    <w:rPr>
      <w:rFonts w:cs="Calibri"/>
      <w:noProof/>
    </w:rPr>
  </w:style>
  <w:style w:type="character" w:customStyle="1" w:styleId="EndNoteBibliographyTitleChar">
    <w:name w:val="EndNote Bibliography Title Char"/>
    <w:basedOn w:val="ListParagraphChar"/>
    <w:link w:val="EndNoteBibliographyTitle"/>
    <w:rsid w:val="003103A7"/>
    <w:rPr>
      <w:rFonts w:ascii="Calibri" w:hAnsi="Calibri" w:cs="Calibri"/>
      <w:noProof/>
      <w:snapToGrid/>
      <w:sz w:val="24"/>
      <w:szCs w:val="24"/>
    </w:rPr>
  </w:style>
  <w:style w:type="paragraph" w:customStyle="1" w:styleId="EndNoteBibliography">
    <w:name w:val="EndNote Bibliography"/>
    <w:basedOn w:val="Normal"/>
    <w:link w:val="EndNoteBibliographyChar"/>
    <w:rsid w:val="003103A7"/>
    <w:rPr>
      <w:rFonts w:cs="Calibri"/>
      <w:noProof/>
    </w:rPr>
  </w:style>
  <w:style w:type="character" w:customStyle="1" w:styleId="EndNoteBibliographyChar">
    <w:name w:val="EndNote Bibliography Char"/>
    <w:basedOn w:val="ListParagraphChar"/>
    <w:link w:val="EndNoteBibliography"/>
    <w:rsid w:val="003103A7"/>
    <w:rPr>
      <w:rFonts w:ascii="Calibri" w:hAnsi="Calibri" w:cs="Calibri"/>
      <w:noProof/>
      <w:snapToGrid/>
      <w:sz w:val="24"/>
      <w:szCs w:val="24"/>
    </w:rPr>
  </w:style>
  <w:style w:type="paragraph" w:styleId="TableofFigures">
    <w:name w:val="table of figures"/>
    <w:next w:val="Normal"/>
    <w:uiPriority w:val="99"/>
    <w:rsid w:val="00BC2DAC"/>
    <w:pPr>
      <w:tabs>
        <w:tab w:val="left" w:pos="1134"/>
        <w:tab w:val="right" w:leader="dot" w:pos="9923"/>
      </w:tabs>
      <w:spacing w:after="40"/>
      <w:ind w:left="1134" w:right="-2" w:hanging="1134"/>
    </w:pPr>
    <w:rPr>
      <w:rFonts w:asciiTheme="minorHAnsi" w:eastAsiaTheme="minorEastAsia" w:hAnsiTheme="minorHAnsi" w:cstheme="minorBidi"/>
      <w:noProof/>
      <w:sz w:val="22"/>
      <w:szCs w:val="22"/>
      <w:lang w:eastAsia="zh-CN"/>
    </w:rPr>
  </w:style>
  <w:style w:type="paragraph" w:customStyle="1" w:styleId="BulletList">
    <w:name w:val="Bullet List"/>
    <w:basedOn w:val="Normal"/>
    <w:link w:val="BulletListChar"/>
    <w:uiPriority w:val="2"/>
    <w:qFormat/>
    <w:rsid w:val="00BC2DAC"/>
    <w:pPr>
      <w:numPr>
        <w:numId w:val="6"/>
      </w:numPr>
      <w:tabs>
        <w:tab w:val="clear" w:pos="360"/>
        <w:tab w:val="left" w:pos="426"/>
      </w:tabs>
      <w:spacing w:after="200" w:line="264" w:lineRule="auto"/>
      <w:ind w:left="425" w:hanging="425"/>
      <w:contextualSpacing/>
    </w:pPr>
    <w:rPr>
      <w:rFonts w:eastAsiaTheme="minorEastAsia" w:cstheme="minorBidi"/>
      <w:sz w:val="22"/>
      <w:szCs w:val="22"/>
      <w:lang w:val="en-US" w:eastAsia="zh-CN"/>
    </w:rPr>
  </w:style>
  <w:style w:type="character" w:customStyle="1" w:styleId="BulletListChar">
    <w:name w:val="Bullet List Char"/>
    <w:basedOn w:val="DefaultParagraphFont"/>
    <w:link w:val="BulletList"/>
    <w:uiPriority w:val="2"/>
    <w:rsid w:val="00BC2DAC"/>
    <w:rPr>
      <w:rFonts w:ascii="Calibri" w:eastAsiaTheme="minorEastAsia" w:hAnsi="Calibri" w:cstheme="minorBidi"/>
      <w:sz w:val="22"/>
      <w:szCs w:val="22"/>
      <w:lang w:val="en-US" w:eastAsia="zh-CN"/>
    </w:rPr>
  </w:style>
  <w:style w:type="paragraph" w:customStyle="1" w:styleId="Default">
    <w:name w:val="Default"/>
    <w:rsid w:val="00BC2DAC"/>
    <w:pPr>
      <w:autoSpaceDE w:val="0"/>
      <w:autoSpaceDN w:val="0"/>
      <w:adjustRightInd w:val="0"/>
    </w:pPr>
    <w:rPr>
      <w:rFonts w:ascii="Calibri" w:hAnsi="Calibri" w:cs="Calibri"/>
      <w:color w:val="000000"/>
      <w:sz w:val="24"/>
      <w:szCs w:val="24"/>
    </w:rPr>
  </w:style>
  <w:style w:type="paragraph" w:customStyle="1" w:styleId="TableHeading0">
    <w:name w:val="Table Heading"/>
    <w:basedOn w:val="Normal"/>
    <w:qFormat/>
    <w:rsid w:val="00BC2DAC"/>
    <w:pPr>
      <w:keepNext/>
      <w:jc w:val="left"/>
    </w:pPr>
    <w:rPr>
      <w:rFonts w:ascii="Arial Narrow" w:eastAsiaTheme="minorHAnsi" w:hAnsi="Arial Narrow" w:cstheme="minorBidi"/>
      <w:b/>
      <w:bCs/>
      <w:sz w:val="20"/>
      <w:szCs w:val="22"/>
      <w:lang w:eastAsia="en-US"/>
    </w:rPr>
  </w:style>
  <w:style w:type="paragraph" w:customStyle="1" w:styleId="InstructionalText">
    <w:name w:val="Instructional Text"/>
    <w:basedOn w:val="Normal"/>
    <w:link w:val="InstructionalTextChar"/>
    <w:uiPriority w:val="3"/>
    <w:qFormat/>
    <w:rsid w:val="00C14C94"/>
    <w:pPr>
      <w:spacing w:before="120" w:after="160"/>
    </w:pPr>
    <w:rPr>
      <w:rFonts w:asciiTheme="minorHAnsi" w:eastAsiaTheme="minorHAnsi" w:hAnsiTheme="minorHAnsi" w:cstheme="minorBidi"/>
      <w:color w:val="000000" w:themeColor="text1"/>
      <w:szCs w:val="22"/>
      <w:lang w:eastAsia="en-US"/>
    </w:rPr>
  </w:style>
  <w:style w:type="character" w:customStyle="1" w:styleId="InstructionalTextChar">
    <w:name w:val="Instructional Text Char"/>
    <w:basedOn w:val="DefaultParagraphFont"/>
    <w:link w:val="InstructionalText"/>
    <w:uiPriority w:val="3"/>
    <w:rsid w:val="00C14C94"/>
    <w:rPr>
      <w:rFonts w:asciiTheme="minorHAnsi" w:eastAsiaTheme="minorHAnsi" w:hAnsiTheme="minorHAnsi" w:cstheme="minorBidi"/>
      <w:color w:val="000000" w:themeColor="text1"/>
      <w:sz w:val="24"/>
      <w:szCs w:val="22"/>
      <w:lang w:eastAsia="en-US"/>
    </w:rPr>
  </w:style>
  <w:style w:type="table" w:customStyle="1" w:styleId="HTAtableplain1">
    <w:name w:val="HTAtableplain1"/>
    <w:basedOn w:val="TableNormal"/>
    <w:next w:val="TableGrid"/>
    <w:uiPriority w:val="59"/>
    <w:rsid w:val="00C14C94"/>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mmarybox16">
    <w:name w:val="Summary box16"/>
    <w:basedOn w:val="TableNormal"/>
    <w:next w:val="TableGrid"/>
    <w:uiPriority w:val="59"/>
    <w:rsid w:val="00C14C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F7E61"/>
    <w:rPr>
      <w:b/>
      <w:bCs/>
    </w:rPr>
  </w:style>
  <w:style w:type="character" w:customStyle="1" w:styleId="UnresolvedMention1">
    <w:name w:val="Unresolved Mention1"/>
    <w:basedOn w:val="DefaultParagraphFont"/>
    <w:uiPriority w:val="99"/>
    <w:semiHidden/>
    <w:unhideWhenUsed/>
    <w:rsid w:val="008F7E61"/>
    <w:rPr>
      <w:color w:val="605E5C"/>
      <w:shd w:val="clear" w:color="auto" w:fill="E1DFDD"/>
    </w:rPr>
  </w:style>
  <w:style w:type="paragraph" w:customStyle="1" w:styleId="PBACESHeading1">
    <w:name w:val="PBAC ES Heading 1"/>
    <w:basedOn w:val="Heading1"/>
    <w:next w:val="ListParagraph"/>
    <w:uiPriority w:val="1"/>
    <w:qFormat/>
    <w:rsid w:val="00017CF1"/>
    <w:pPr>
      <w:keepNext/>
      <w:keepLines/>
      <w:tabs>
        <w:tab w:val="left" w:pos="1077"/>
      </w:tabs>
      <w:spacing w:before="240"/>
      <w:jc w:val="left"/>
    </w:pPr>
    <w:rPr>
      <w:rFonts w:asciiTheme="minorHAnsi" w:hAnsiTheme="minorHAnsi" w:cstheme="minorHAnsi"/>
      <w:caps w:val="0"/>
      <w:snapToGrid w:val="0"/>
      <w:szCs w:val="32"/>
    </w:rPr>
  </w:style>
  <w:style w:type="paragraph" w:customStyle="1" w:styleId="PBACESHeading2">
    <w:name w:val="PBAC ES Heading 2"/>
    <w:basedOn w:val="Heading2"/>
    <w:uiPriority w:val="1"/>
    <w:qFormat/>
    <w:rsid w:val="00017CF1"/>
    <w:pPr>
      <w:keepNext/>
      <w:keepLines/>
      <w:spacing w:before="360" w:after="120"/>
      <w:ind w:left="720" w:hanging="720"/>
      <w:jc w:val="left"/>
    </w:pPr>
    <w:rPr>
      <w:rFonts w:asciiTheme="majorHAnsi" w:eastAsiaTheme="majorEastAsia" w:hAnsiTheme="majorHAnsi" w:cstheme="majorBidi"/>
      <w:snapToGrid w:val="0"/>
      <w:color w:val="000000" w:themeColor="text1"/>
      <w:szCs w:val="28"/>
      <w:lang w:eastAsia="en-US"/>
    </w:rPr>
  </w:style>
  <w:style w:type="paragraph" w:customStyle="1" w:styleId="PBACESHeadingCAPS">
    <w:name w:val="PBAC ES Heading CAPS"/>
    <w:basedOn w:val="PBACESHeading2"/>
    <w:uiPriority w:val="1"/>
    <w:qFormat/>
    <w:rsid w:val="00017CF1"/>
    <w:rPr>
      <w:i w:val="0"/>
      <w:smallCaps/>
      <w:sz w:val="32"/>
    </w:rPr>
  </w:style>
  <w:style w:type="paragraph" w:customStyle="1" w:styleId="PBACESHeading3">
    <w:name w:val="PBAC ES Heading 3"/>
    <w:basedOn w:val="PBACESHeading2"/>
    <w:uiPriority w:val="1"/>
    <w:qFormat/>
    <w:rsid w:val="00017CF1"/>
    <w:pPr>
      <w:ind w:left="1080" w:hanging="1080"/>
    </w:pPr>
    <w:rPr>
      <w:i w:val="0"/>
      <w:sz w:val="24"/>
    </w:rPr>
  </w:style>
  <w:style w:type="paragraph" w:customStyle="1" w:styleId="MSACHeading1">
    <w:name w:val="MSAC Heading 1"/>
    <w:basedOn w:val="Heading1"/>
    <w:next w:val="Normal"/>
    <w:uiPriority w:val="1"/>
    <w:qFormat/>
    <w:rsid w:val="00017CF1"/>
    <w:pPr>
      <w:keepNext/>
      <w:keepLines/>
      <w:spacing w:before="160" w:after="240" w:line="259" w:lineRule="auto"/>
      <w:jc w:val="left"/>
    </w:pPr>
    <w:rPr>
      <w:rFonts w:ascii="Arial" w:eastAsiaTheme="majorEastAsia" w:hAnsi="Arial" w:cs="Times New Roman"/>
      <w:caps w:val="0"/>
      <w:sz w:val="24"/>
    </w:rPr>
  </w:style>
  <w:style w:type="paragraph" w:customStyle="1" w:styleId="MSACESHeading2">
    <w:name w:val="MSAC ES Heading 2"/>
    <w:basedOn w:val="Heading2"/>
    <w:next w:val="Normal"/>
    <w:uiPriority w:val="1"/>
    <w:qFormat/>
    <w:rsid w:val="00017CF1"/>
    <w:pPr>
      <w:keepNext/>
      <w:keepLines/>
      <w:spacing w:before="360" w:after="120"/>
      <w:ind w:left="720" w:hanging="720"/>
      <w:jc w:val="left"/>
    </w:pPr>
    <w:rPr>
      <w:rFonts w:ascii="Cambria" w:eastAsiaTheme="majorEastAsia" w:hAnsi="Cambria" w:cstheme="majorBidi"/>
      <w:i w:val="0"/>
      <w:snapToGrid w:val="0"/>
      <w:color w:val="000000" w:themeColor="text1"/>
      <w:sz w:val="24"/>
      <w:szCs w:val="28"/>
      <w:lang w:eastAsia="en-US"/>
    </w:rPr>
  </w:style>
  <w:style w:type="paragraph" w:customStyle="1" w:styleId="3-SubsectionHeading">
    <w:name w:val="3-Subsection Heading"/>
    <w:basedOn w:val="Heading2"/>
    <w:next w:val="Normal"/>
    <w:link w:val="3-SubsectionHeadingChar"/>
    <w:qFormat/>
    <w:rsid w:val="00F71AB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71ABE"/>
    <w:rPr>
      <w:rFonts w:asciiTheme="minorHAnsi" w:eastAsiaTheme="majorEastAsia" w:hAnsiTheme="minorHAnsi" w:cstheme="majorBidi"/>
      <w:b/>
      <w:i/>
      <w:snapToGrid/>
      <w:spacing w:val="5"/>
      <w:kern w:val="28"/>
      <w:sz w:val="28"/>
      <w:szCs w:val="36"/>
      <w:lang w:eastAsia="en-US"/>
    </w:rPr>
  </w:style>
  <w:style w:type="paragraph" w:customStyle="1" w:styleId="PBACheading10">
    <w:name w:val="PBAC heading 1"/>
    <w:qFormat/>
    <w:rsid w:val="0025403A"/>
    <w:pPr>
      <w:ind w:left="720" w:hanging="720"/>
      <w:outlineLvl w:val="0"/>
    </w:pPr>
    <w:rPr>
      <w:rFonts w:ascii="Arial" w:hAnsi="Arial" w:cs="Arial"/>
      <w:b/>
      <w:snapToGrid w:val="0"/>
      <w:sz w:val="22"/>
      <w:szCs w:val="22"/>
      <w:lang w:eastAsia="en-US"/>
    </w:rPr>
  </w:style>
  <w:style w:type="character" w:customStyle="1" w:styleId="UnresolvedMention2">
    <w:name w:val="Unresolved Mention2"/>
    <w:basedOn w:val="DefaultParagraphFont"/>
    <w:uiPriority w:val="99"/>
    <w:semiHidden/>
    <w:unhideWhenUsed/>
    <w:rsid w:val="005C0B0B"/>
    <w:rPr>
      <w:color w:val="605E5C"/>
      <w:shd w:val="clear" w:color="auto" w:fill="E1DFDD"/>
    </w:rPr>
  </w:style>
  <w:style w:type="character" w:customStyle="1" w:styleId="jpfdse">
    <w:name w:val="jpfdse"/>
    <w:basedOn w:val="DefaultParagraphFont"/>
    <w:rsid w:val="008527A2"/>
  </w:style>
  <w:style w:type="table" w:customStyle="1" w:styleId="RTIAMCPTable1">
    <w:name w:val="RTI AMCP Table1"/>
    <w:basedOn w:val="TableNormal"/>
    <w:next w:val="TableGrid"/>
    <w:uiPriority w:val="39"/>
    <w:rsid w:val="003D6B8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8222">
      <w:bodyDiv w:val="1"/>
      <w:marLeft w:val="0"/>
      <w:marRight w:val="0"/>
      <w:marTop w:val="0"/>
      <w:marBottom w:val="0"/>
      <w:divBdr>
        <w:top w:val="none" w:sz="0" w:space="0" w:color="auto"/>
        <w:left w:val="none" w:sz="0" w:space="0" w:color="auto"/>
        <w:bottom w:val="none" w:sz="0" w:space="0" w:color="auto"/>
        <w:right w:val="none" w:sz="0" w:space="0" w:color="auto"/>
      </w:divBdr>
      <w:divsChild>
        <w:div w:id="1500998618">
          <w:marLeft w:val="360"/>
          <w:marRight w:val="0"/>
          <w:marTop w:val="200"/>
          <w:marBottom w:val="0"/>
          <w:divBdr>
            <w:top w:val="none" w:sz="0" w:space="0" w:color="auto"/>
            <w:left w:val="none" w:sz="0" w:space="0" w:color="auto"/>
            <w:bottom w:val="none" w:sz="0" w:space="0" w:color="auto"/>
            <w:right w:val="none" w:sz="0" w:space="0" w:color="auto"/>
          </w:divBdr>
        </w:div>
        <w:div w:id="2139563533">
          <w:marLeft w:val="360"/>
          <w:marRight w:val="0"/>
          <w:marTop w:val="200"/>
          <w:marBottom w:val="0"/>
          <w:divBdr>
            <w:top w:val="none" w:sz="0" w:space="0" w:color="auto"/>
            <w:left w:val="none" w:sz="0" w:space="0" w:color="auto"/>
            <w:bottom w:val="none" w:sz="0" w:space="0" w:color="auto"/>
            <w:right w:val="none" w:sz="0" w:space="0" w:color="auto"/>
          </w:divBdr>
        </w:div>
        <w:div w:id="560600970">
          <w:marLeft w:val="1080"/>
          <w:marRight w:val="0"/>
          <w:marTop w:val="100"/>
          <w:marBottom w:val="0"/>
          <w:divBdr>
            <w:top w:val="none" w:sz="0" w:space="0" w:color="auto"/>
            <w:left w:val="none" w:sz="0" w:space="0" w:color="auto"/>
            <w:bottom w:val="none" w:sz="0" w:space="0" w:color="auto"/>
            <w:right w:val="none" w:sz="0" w:space="0" w:color="auto"/>
          </w:divBdr>
        </w:div>
        <w:div w:id="830952021">
          <w:marLeft w:val="360"/>
          <w:marRight w:val="0"/>
          <w:marTop w:val="200"/>
          <w:marBottom w:val="0"/>
          <w:divBdr>
            <w:top w:val="none" w:sz="0" w:space="0" w:color="auto"/>
            <w:left w:val="none" w:sz="0" w:space="0" w:color="auto"/>
            <w:bottom w:val="none" w:sz="0" w:space="0" w:color="auto"/>
            <w:right w:val="none" w:sz="0" w:space="0" w:color="auto"/>
          </w:divBdr>
        </w:div>
        <w:div w:id="1973289350">
          <w:marLeft w:val="360"/>
          <w:marRight w:val="0"/>
          <w:marTop w:val="200"/>
          <w:marBottom w:val="0"/>
          <w:divBdr>
            <w:top w:val="none" w:sz="0" w:space="0" w:color="auto"/>
            <w:left w:val="none" w:sz="0" w:space="0" w:color="auto"/>
            <w:bottom w:val="none" w:sz="0" w:space="0" w:color="auto"/>
            <w:right w:val="none" w:sz="0" w:space="0" w:color="auto"/>
          </w:divBdr>
        </w:div>
        <w:div w:id="759985462">
          <w:marLeft w:val="360"/>
          <w:marRight w:val="0"/>
          <w:marTop w:val="200"/>
          <w:marBottom w:val="0"/>
          <w:divBdr>
            <w:top w:val="none" w:sz="0" w:space="0" w:color="auto"/>
            <w:left w:val="none" w:sz="0" w:space="0" w:color="auto"/>
            <w:bottom w:val="none" w:sz="0" w:space="0" w:color="auto"/>
            <w:right w:val="none" w:sz="0" w:space="0" w:color="auto"/>
          </w:divBdr>
        </w:div>
        <w:div w:id="1222867883">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2991262">
      <w:bodyDiv w:val="1"/>
      <w:marLeft w:val="0"/>
      <w:marRight w:val="0"/>
      <w:marTop w:val="0"/>
      <w:marBottom w:val="0"/>
      <w:divBdr>
        <w:top w:val="none" w:sz="0" w:space="0" w:color="auto"/>
        <w:left w:val="none" w:sz="0" w:space="0" w:color="auto"/>
        <w:bottom w:val="none" w:sz="0" w:space="0" w:color="auto"/>
        <w:right w:val="none" w:sz="0" w:space="0" w:color="auto"/>
      </w:divBdr>
    </w:div>
    <w:div w:id="192497890">
      <w:bodyDiv w:val="1"/>
      <w:marLeft w:val="0"/>
      <w:marRight w:val="0"/>
      <w:marTop w:val="0"/>
      <w:marBottom w:val="0"/>
      <w:divBdr>
        <w:top w:val="none" w:sz="0" w:space="0" w:color="auto"/>
        <w:left w:val="none" w:sz="0" w:space="0" w:color="auto"/>
        <w:bottom w:val="none" w:sz="0" w:space="0" w:color="auto"/>
        <w:right w:val="none" w:sz="0" w:space="0" w:color="auto"/>
      </w:divBdr>
    </w:div>
    <w:div w:id="206188072">
      <w:bodyDiv w:val="1"/>
      <w:marLeft w:val="0"/>
      <w:marRight w:val="0"/>
      <w:marTop w:val="0"/>
      <w:marBottom w:val="0"/>
      <w:divBdr>
        <w:top w:val="none" w:sz="0" w:space="0" w:color="auto"/>
        <w:left w:val="none" w:sz="0" w:space="0" w:color="auto"/>
        <w:bottom w:val="none" w:sz="0" w:space="0" w:color="auto"/>
        <w:right w:val="none" w:sz="0" w:space="0" w:color="auto"/>
      </w:divBdr>
    </w:div>
    <w:div w:id="276061496">
      <w:bodyDiv w:val="1"/>
      <w:marLeft w:val="0"/>
      <w:marRight w:val="0"/>
      <w:marTop w:val="0"/>
      <w:marBottom w:val="0"/>
      <w:divBdr>
        <w:top w:val="none" w:sz="0" w:space="0" w:color="auto"/>
        <w:left w:val="none" w:sz="0" w:space="0" w:color="auto"/>
        <w:bottom w:val="none" w:sz="0" w:space="0" w:color="auto"/>
        <w:right w:val="none" w:sz="0" w:space="0" w:color="auto"/>
      </w:divBdr>
    </w:div>
    <w:div w:id="293341105">
      <w:bodyDiv w:val="1"/>
      <w:marLeft w:val="0"/>
      <w:marRight w:val="0"/>
      <w:marTop w:val="0"/>
      <w:marBottom w:val="0"/>
      <w:divBdr>
        <w:top w:val="none" w:sz="0" w:space="0" w:color="auto"/>
        <w:left w:val="none" w:sz="0" w:space="0" w:color="auto"/>
        <w:bottom w:val="none" w:sz="0" w:space="0" w:color="auto"/>
        <w:right w:val="none" w:sz="0" w:space="0" w:color="auto"/>
      </w:divBdr>
    </w:div>
    <w:div w:id="31438486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694520">
      <w:bodyDiv w:val="1"/>
      <w:marLeft w:val="0"/>
      <w:marRight w:val="0"/>
      <w:marTop w:val="0"/>
      <w:marBottom w:val="0"/>
      <w:divBdr>
        <w:top w:val="none" w:sz="0" w:space="0" w:color="auto"/>
        <w:left w:val="none" w:sz="0" w:space="0" w:color="auto"/>
        <w:bottom w:val="none" w:sz="0" w:space="0" w:color="auto"/>
        <w:right w:val="none" w:sz="0" w:space="0" w:color="auto"/>
      </w:divBdr>
    </w:div>
    <w:div w:id="525364780">
      <w:bodyDiv w:val="1"/>
      <w:marLeft w:val="0"/>
      <w:marRight w:val="0"/>
      <w:marTop w:val="0"/>
      <w:marBottom w:val="0"/>
      <w:divBdr>
        <w:top w:val="none" w:sz="0" w:space="0" w:color="auto"/>
        <w:left w:val="none" w:sz="0" w:space="0" w:color="auto"/>
        <w:bottom w:val="none" w:sz="0" w:space="0" w:color="auto"/>
        <w:right w:val="none" w:sz="0" w:space="0" w:color="auto"/>
      </w:divBdr>
    </w:div>
    <w:div w:id="595986017">
      <w:bodyDiv w:val="1"/>
      <w:marLeft w:val="0"/>
      <w:marRight w:val="0"/>
      <w:marTop w:val="0"/>
      <w:marBottom w:val="0"/>
      <w:divBdr>
        <w:top w:val="none" w:sz="0" w:space="0" w:color="auto"/>
        <w:left w:val="none" w:sz="0" w:space="0" w:color="auto"/>
        <w:bottom w:val="none" w:sz="0" w:space="0" w:color="auto"/>
        <w:right w:val="none" w:sz="0" w:space="0" w:color="auto"/>
      </w:divBdr>
    </w:div>
    <w:div w:id="685328810">
      <w:bodyDiv w:val="1"/>
      <w:marLeft w:val="0"/>
      <w:marRight w:val="0"/>
      <w:marTop w:val="0"/>
      <w:marBottom w:val="0"/>
      <w:divBdr>
        <w:top w:val="none" w:sz="0" w:space="0" w:color="auto"/>
        <w:left w:val="none" w:sz="0" w:space="0" w:color="auto"/>
        <w:bottom w:val="none" w:sz="0" w:space="0" w:color="auto"/>
        <w:right w:val="none" w:sz="0" w:space="0" w:color="auto"/>
      </w:divBdr>
    </w:div>
    <w:div w:id="807361536">
      <w:bodyDiv w:val="1"/>
      <w:marLeft w:val="0"/>
      <w:marRight w:val="0"/>
      <w:marTop w:val="0"/>
      <w:marBottom w:val="0"/>
      <w:divBdr>
        <w:top w:val="none" w:sz="0" w:space="0" w:color="auto"/>
        <w:left w:val="none" w:sz="0" w:space="0" w:color="auto"/>
        <w:bottom w:val="none" w:sz="0" w:space="0" w:color="auto"/>
        <w:right w:val="none" w:sz="0" w:space="0" w:color="auto"/>
      </w:divBdr>
    </w:div>
    <w:div w:id="839928980">
      <w:bodyDiv w:val="1"/>
      <w:marLeft w:val="0"/>
      <w:marRight w:val="0"/>
      <w:marTop w:val="0"/>
      <w:marBottom w:val="0"/>
      <w:divBdr>
        <w:top w:val="none" w:sz="0" w:space="0" w:color="auto"/>
        <w:left w:val="none" w:sz="0" w:space="0" w:color="auto"/>
        <w:bottom w:val="none" w:sz="0" w:space="0" w:color="auto"/>
        <w:right w:val="none" w:sz="0" w:space="0" w:color="auto"/>
      </w:divBdr>
      <w:divsChild>
        <w:div w:id="812873511">
          <w:marLeft w:val="360"/>
          <w:marRight w:val="0"/>
          <w:marTop w:val="200"/>
          <w:marBottom w:val="0"/>
          <w:divBdr>
            <w:top w:val="none" w:sz="0" w:space="0" w:color="auto"/>
            <w:left w:val="none" w:sz="0" w:space="0" w:color="auto"/>
            <w:bottom w:val="none" w:sz="0" w:space="0" w:color="auto"/>
            <w:right w:val="none" w:sz="0" w:space="0" w:color="auto"/>
          </w:divBdr>
        </w:div>
        <w:div w:id="945771821">
          <w:marLeft w:val="1080"/>
          <w:marRight w:val="0"/>
          <w:marTop w:val="100"/>
          <w:marBottom w:val="0"/>
          <w:divBdr>
            <w:top w:val="none" w:sz="0" w:space="0" w:color="auto"/>
            <w:left w:val="none" w:sz="0" w:space="0" w:color="auto"/>
            <w:bottom w:val="none" w:sz="0" w:space="0" w:color="auto"/>
            <w:right w:val="none" w:sz="0" w:space="0" w:color="auto"/>
          </w:divBdr>
        </w:div>
      </w:divsChild>
    </w:div>
    <w:div w:id="915211968">
      <w:bodyDiv w:val="1"/>
      <w:marLeft w:val="0"/>
      <w:marRight w:val="0"/>
      <w:marTop w:val="0"/>
      <w:marBottom w:val="0"/>
      <w:divBdr>
        <w:top w:val="none" w:sz="0" w:space="0" w:color="auto"/>
        <w:left w:val="none" w:sz="0" w:space="0" w:color="auto"/>
        <w:bottom w:val="none" w:sz="0" w:space="0" w:color="auto"/>
        <w:right w:val="none" w:sz="0" w:space="0" w:color="auto"/>
      </w:divBdr>
    </w:div>
    <w:div w:id="926428632">
      <w:bodyDiv w:val="1"/>
      <w:marLeft w:val="0"/>
      <w:marRight w:val="0"/>
      <w:marTop w:val="0"/>
      <w:marBottom w:val="0"/>
      <w:divBdr>
        <w:top w:val="none" w:sz="0" w:space="0" w:color="auto"/>
        <w:left w:val="none" w:sz="0" w:space="0" w:color="auto"/>
        <w:bottom w:val="none" w:sz="0" w:space="0" w:color="auto"/>
        <w:right w:val="none" w:sz="0" w:space="0" w:color="auto"/>
      </w:divBdr>
    </w:div>
    <w:div w:id="927270720">
      <w:bodyDiv w:val="1"/>
      <w:marLeft w:val="0"/>
      <w:marRight w:val="0"/>
      <w:marTop w:val="0"/>
      <w:marBottom w:val="0"/>
      <w:divBdr>
        <w:top w:val="none" w:sz="0" w:space="0" w:color="auto"/>
        <w:left w:val="none" w:sz="0" w:space="0" w:color="auto"/>
        <w:bottom w:val="none" w:sz="0" w:space="0" w:color="auto"/>
        <w:right w:val="none" w:sz="0" w:space="0" w:color="auto"/>
      </w:divBdr>
      <w:divsChild>
        <w:div w:id="1023361126">
          <w:marLeft w:val="360"/>
          <w:marRight w:val="0"/>
          <w:marTop w:val="200"/>
          <w:marBottom w:val="0"/>
          <w:divBdr>
            <w:top w:val="none" w:sz="0" w:space="0" w:color="auto"/>
            <w:left w:val="none" w:sz="0" w:space="0" w:color="auto"/>
            <w:bottom w:val="none" w:sz="0" w:space="0" w:color="auto"/>
            <w:right w:val="none" w:sz="0" w:space="0" w:color="auto"/>
          </w:divBdr>
        </w:div>
      </w:divsChild>
    </w:div>
    <w:div w:id="968511290">
      <w:bodyDiv w:val="1"/>
      <w:marLeft w:val="0"/>
      <w:marRight w:val="0"/>
      <w:marTop w:val="0"/>
      <w:marBottom w:val="0"/>
      <w:divBdr>
        <w:top w:val="none" w:sz="0" w:space="0" w:color="auto"/>
        <w:left w:val="none" w:sz="0" w:space="0" w:color="auto"/>
        <w:bottom w:val="none" w:sz="0" w:space="0" w:color="auto"/>
        <w:right w:val="none" w:sz="0" w:space="0" w:color="auto"/>
      </w:divBdr>
    </w:div>
    <w:div w:id="1018432314">
      <w:bodyDiv w:val="1"/>
      <w:marLeft w:val="0"/>
      <w:marRight w:val="0"/>
      <w:marTop w:val="0"/>
      <w:marBottom w:val="0"/>
      <w:divBdr>
        <w:top w:val="none" w:sz="0" w:space="0" w:color="auto"/>
        <w:left w:val="none" w:sz="0" w:space="0" w:color="auto"/>
        <w:bottom w:val="none" w:sz="0" w:space="0" w:color="auto"/>
        <w:right w:val="none" w:sz="0" w:space="0" w:color="auto"/>
      </w:divBdr>
    </w:div>
    <w:div w:id="1041901452">
      <w:bodyDiv w:val="1"/>
      <w:marLeft w:val="0"/>
      <w:marRight w:val="0"/>
      <w:marTop w:val="0"/>
      <w:marBottom w:val="0"/>
      <w:divBdr>
        <w:top w:val="none" w:sz="0" w:space="0" w:color="auto"/>
        <w:left w:val="none" w:sz="0" w:space="0" w:color="auto"/>
        <w:bottom w:val="none" w:sz="0" w:space="0" w:color="auto"/>
        <w:right w:val="none" w:sz="0" w:space="0" w:color="auto"/>
      </w:divBdr>
      <w:divsChild>
        <w:div w:id="800808212">
          <w:marLeft w:val="360"/>
          <w:marRight w:val="0"/>
          <w:marTop w:val="200"/>
          <w:marBottom w:val="0"/>
          <w:divBdr>
            <w:top w:val="none" w:sz="0" w:space="0" w:color="auto"/>
            <w:left w:val="none" w:sz="0" w:space="0" w:color="auto"/>
            <w:bottom w:val="none" w:sz="0" w:space="0" w:color="auto"/>
            <w:right w:val="none" w:sz="0" w:space="0" w:color="auto"/>
          </w:divBdr>
        </w:div>
        <w:div w:id="104466888">
          <w:marLeft w:val="1080"/>
          <w:marRight w:val="0"/>
          <w:marTop w:val="100"/>
          <w:marBottom w:val="0"/>
          <w:divBdr>
            <w:top w:val="none" w:sz="0" w:space="0" w:color="auto"/>
            <w:left w:val="none" w:sz="0" w:space="0" w:color="auto"/>
            <w:bottom w:val="none" w:sz="0" w:space="0" w:color="auto"/>
            <w:right w:val="none" w:sz="0" w:space="0" w:color="auto"/>
          </w:divBdr>
        </w:div>
        <w:div w:id="374886567">
          <w:marLeft w:val="360"/>
          <w:marRight w:val="0"/>
          <w:marTop w:val="200"/>
          <w:marBottom w:val="0"/>
          <w:divBdr>
            <w:top w:val="none" w:sz="0" w:space="0" w:color="auto"/>
            <w:left w:val="none" w:sz="0" w:space="0" w:color="auto"/>
            <w:bottom w:val="none" w:sz="0" w:space="0" w:color="auto"/>
            <w:right w:val="none" w:sz="0" w:space="0" w:color="auto"/>
          </w:divBdr>
        </w:div>
        <w:div w:id="266812305">
          <w:marLeft w:val="1080"/>
          <w:marRight w:val="0"/>
          <w:marTop w:val="100"/>
          <w:marBottom w:val="0"/>
          <w:divBdr>
            <w:top w:val="none" w:sz="0" w:space="0" w:color="auto"/>
            <w:left w:val="none" w:sz="0" w:space="0" w:color="auto"/>
            <w:bottom w:val="none" w:sz="0" w:space="0" w:color="auto"/>
            <w:right w:val="none" w:sz="0" w:space="0" w:color="auto"/>
          </w:divBdr>
        </w:div>
        <w:div w:id="2061828789">
          <w:marLeft w:val="360"/>
          <w:marRight w:val="0"/>
          <w:marTop w:val="200"/>
          <w:marBottom w:val="0"/>
          <w:divBdr>
            <w:top w:val="none" w:sz="0" w:space="0" w:color="auto"/>
            <w:left w:val="none" w:sz="0" w:space="0" w:color="auto"/>
            <w:bottom w:val="none" w:sz="0" w:space="0" w:color="auto"/>
            <w:right w:val="none" w:sz="0" w:space="0" w:color="auto"/>
          </w:divBdr>
        </w:div>
        <w:div w:id="1704089510">
          <w:marLeft w:val="1080"/>
          <w:marRight w:val="0"/>
          <w:marTop w:val="100"/>
          <w:marBottom w:val="0"/>
          <w:divBdr>
            <w:top w:val="none" w:sz="0" w:space="0" w:color="auto"/>
            <w:left w:val="none" w:sz="0" w:space="0" w:color="auto"/>
            <w:bottom w:val="none" w:sz="0" w:space="0" w:color="auto"/>
            <w:right w:val="none" w:sz="0" w:space="0" w:color="auto"/>
          </w:divBdr>
        </w:div>
        <w:div w:id="1039476205">
          <w:marLeft w:val="1080"/>
          <w:marRight w:val="0"/>
          <w:marTop w:val="100"/>
          <w:marBottom w:val="0"/>
          <w:divBdr>
            <w:top w:val="none" w:sz="0" w:space="0" w:color="auto"/>
            <w:left w:val="none" w:sz="0" w:space="0" w:color="auto"/>
            <w:bottom w:val="none" w:sz="0" w:space="0" w:color="auto"/>
            <w:right w:val="none" w:sz="0" w:space="0" w:color="auto"/>
          </w:divBdr>
        </w:div>
        <w:div w:id="2102294737">
          <w:marLeft w:val="1080"/>
          <w:marRight w:val="0"/>
          <w:marTop w:val="100"/>
          <w:marBottom w:val="0"/>
          <w:divBdr>
            <w:top w:val="none" w:sz="0" w:space="0" w:color="auto"/>
            <w:left w:val="none" w:sz="0" w:space="0" w:color="auto"/>
            <w:bottom w:val="none" w:sz="0" w:space="0" w:color="auto"/>
            <w:right w:val="none" w:sz="0" w:space="0" w:color="auto"/>
          </w:divBdr>
        </w:div>
        <w:div w:id="548541307">
          <w:marLeft w:val="360"/>
          <w:marRight w:val="0"/>
          <w:marTop w:val="200"/>
          <w:marBottom w:val="0"/>
          <w:divBdr>
            <w:top w:val="none" w:sz="0" w:space="0" w:color="auto"/>
            <w:left w:val="none" w:sz="0" w:space="0" w:color="auto"/>
            <w:bottom w:val="none" w:sz="0" w:space="0" w:color="auto"/>
            <w:right w:val="none" w:sz="0" w:space="0" w:color="auto"/>
          </w:divBdr>
        </w:div>
        <w:div w:id="2045519771">
          <w:marLeft w:val="1080"/>
          <w:marRight w:val="0"/>
          <w:marTop w:val="100"/>
          <w:marBottom w:val="0"/>
          <w:divBdr>
            <w:top w:val="none" w:sz="0" w:space="0" w:color="auto"/>
            <w:left w:val="none" w:sz="0" w:space="0" w:color="auto"/>
            <w:bottom w:val="none" w:sz="0" w:space="0" w:color="auto"/>
            <w:right w:val="none" w:sz="0" w:space="0" w:color="auto"/>
          </w:divBdr>
        </w:div>
        <w:div w:id="788548128">
          <w:marLeft w:val="1080"/>
          <w:marRight w:val="0"/>
          <w:marTop w:val="100"/>
          <w:marBottom w:val="0"/>
          <w:divBdr>
            <w:top w:val="none" w:sz="0" w:space="0" w:color="auto"/>
            <w:left w:val="none" w:sz="0" w:space="0" w:color="auto"/>
            <w:bottom w:val="none" w:sz="0" w:space="0" w:color="auto"/>
            <w:right w:val="none" w:sz="0" w:space="0" w:color="auto"/>
          </w:divBdr>
        </w:div>
        <w:div w:id="1121071199">
          <w:marLeft w:val="1080"/>
          <w:marRight w:val="0"/>
          <w:marTop w:val="100"/>
          <w:marBottom w:val="0"/>
          <w:divBdr>
            <w:top w:val="none" w:sz="0" w:space="0" w:color="auto"/>
            <w:left w:val="none" w:sz="0" w:space="0" w:color="auto"/>
            <w:bottom w:val="none" w:sz="0" w:space="0" w:color="auto"/>
            <w:right w:val="none" w:sz="0" w:space="0" w:color="auto"/>
          </w:divBdr>
        </w:div>
        <w:div w:id="1225877065">
          <w:marLeft w:val="1080"/>
          <w:marRight w:val="0"/>
          <w:marTop w:val="100"/>
          <w:marBottom w:val="0"/>
          <w:divBdr>
            <w:top w:val="none" w:sz="0" w:space="0" w:color="auto"/>
            <w:left w:val="none" w:sz="0" w:space="0" w:color="auto"/>
            <w:bottom w:val="none" w:sz="0" w:space="0" w:color="auto"/>
            <w:right w:val="none" w:sz="0" w:space="0" w:color="auto"/>
          </w:divBdr>
        </w:div>
        <w:div w:id="905455752">
          <w:marLeft w:val="1080"/>
          <w:marRight w:val="0"/>
          <w:marTop w:val="100"/>
          <w:marBottom w:val="0"/>
          <w:divBdr>
            <w:top w:val="none" w:sz="0" w:space="0" w:color="auto"/>
            <w:left w:val="none" w:sz="0" w:space="0" w:color="auto"/>
            <w:bottom w:val="none" w:sz="0" w:space="0" w:color="auto"/>
            <w:right w:val="none" w:sz="0" w:space="0" w:color="auto"/>
          </w:divBdr>
        </w:div>
        <w:div w:id="1834909009">
          <w:marLeft w:val="1080"/>
          <w:marRight w:val="0"/>
          <w:marTop w:val="100"/>
          <w:marBottom w:val="0"/>
          <w:divBdr>
            <w:top w:val="none" w:sz="0" w:space="0" w:color="auto"/>
            <w:left w:val="none" w:sz="0" w:space="0" w:color="auto"/>
            <w:bottom w:val="none" w:sz="0" w:space="0" w:color="auto"/>
            <w:right w:val="none" w:sz="0" w:space="0" w:color="auto"/>
          </w:divBdr>
        </w:div>
        <w:div w:id="1158037062">
          <w:marLeft w:val="360"/>
          <w:marRight w:val="0"/>
          <w:marTop w:val="200"/>
          <w:marBottom w:val="0"/>
          <w:divBdr>
            <w:top w:val="none" w:sz="0" w:space="0" w:color="auto"/>
            <w:left w:val="none" w:sz="0" w:space="0" w:color="auto"/>
            <w:bottom w:val="none" w:sz="0" w:space="0" w:color="auto"/>
            <w:right w:val="none" w:sz="0" w:space="0" w:color="auto"/>
          </w:divBdr>
        </w:div>
        <w:div w:id="1765761137">
          <w:marLeft w:val="1080"/>
          <w:marRight w:val="0"/>
          <w:marTop w:val="100"/>
          <w:marBottom w:val="0"/>
          <w:divBdr>
            <w:top w:val="none" w:sz="0" w:space="0" w:color="auto"/>
            <w:left w:val="none" w:sz="0" w:space="0" w:color="auto"/>
            <w:bottom w:val="none" w:sz="0" w:space="0" w:color="auto"/>
            <w:right w:val="none" w:sz="0" w:space="0" w:color="auto"/>
          </w:divBdr>
        </w:div>
        <w:div w:id="159661572">
          <w:marLeft w:val="360"/>
          <w:marRight w:val="0"/>
          <w:marTop w:val="200"/>
          <w:marBottom w:val="0"/>
          <w:divBdr>
            <w:top w:val="none" w:sz="0" w:space="0" w:color="auto"/>
            <w:left w:val="none" w:sz="0" w:space="0" w:color="auto"/>
            <w:bottom w:val="none" w:sz="0" w:space="0" w:color="auto"/>
            <w:right w:val="none" w:sz="0" w:space="0" w:color="auto"/>
          </w:divBdr>
        </w:div>
        <w:div w:id="309217210">
          <w:marLeft w:val="360"/>
          <w:marRight w:val="0"/>
          <w:marTop w:val="200"/>
          <w:marBottom w:val="0"/>
          <w:divBdr>
            <w:top w:val="none" w:sz="0" w:space="0" w:color="auto"/>
            <w:left w:val="none" w:sz="0" w:space="0" w:color="auto"/>
            <w:bottom w:val="none" w:sz="0" w:space="0" w:color="auto"/>
            <w:right w:val="none" w:sz="0" w:space="0" w:color="auto"/>
          </w:divBdr>
        </w:div>
      </w:divsChild>
    </w:div>
    <w:div w:id="1103379146">
      <w:bodyDiv w:val="1"/>
      <w:marLeft w:val="0"/>
      <w:marRight w:val="0"/>
      <w:marTop w:val="0"/>
      <w:marBottom w:val="0"/>
      <w:divBdr>
        <w:top w:val="none" w:sz="0" w:space="0" w:color="auto"/>
        <w:left w:val="none" w:sz="0" w:space="0" w:color="auto"/>
        <w:bottom w:val="none" w:sz="0" w:space="0" w:color="auto"/>
        <w:right w:val="none" w:sz="0" w:space="0" w:color="auto"/>
      </w:divBdr>
    </w:div>
    <w:div w:id="1166213905">
      <w:bodyDiv w:val="1"/>
      <w:marLeft w:val="0"/>
      <w:marRight w:val="0"/>
      <w:marTop w:val="0"/>
      <w:marBottom w:val="0"/>
      <w:divBdr>
        <w:top w:val="none" w:sz="0" w:space="0" w:color="auto"/>
        <w:left w:val="none" w:sz="0" w:space="0" w:color="auto"/>
        <w:bottom w:val="none" w:sz="0" w:space="0" w:color="auto"/>
        <w:right w:val="none" w:sz="0" w:space="0" w:color="auto"/>
      </w:divBdr>
      <w:divsChild>
        <w:div w:id="717124071">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4068">
      <w:bodyDiv w:val="1"/>
      <w:marLeft w:val="0"/>
      <w:marRight w:val="0"/>
      <w:marTop w:val="0"/>
      <w:marBottom w:val="0"/>
      <w:divBdr>
        <w:top w:val="none" w:sz="0" w:space="0" w:color="auto"/>
        <w:left w:val="none" w:sz="0" w:space="0" w:color="auto"/>
        <w:bottom w:val="none" w:sz="0" w:space="0" w:color="auto"/>
        <w:right w:val="none" w:sz="0" w:space="0" w:color="auto"/>
      </w:divBdr>
      <w:divsChild>
        <w:div w:id="933630677">
          <w:marLeft w:val="360"/>
          <w:marRight w:val="0"/>
          <w:marTop w:val="200"/>
          <w:marBottom w:val="0"/>
          <w:divBdr>
            <w:top w:val="none" w:sz="0" w:space="0" w:color="auto"/>
            <w:left w:val="none" w:sz="0" w:space="0" w:color="auto"/>
            <w:bottom w:val="none" w:sz="0" w:space="0" w:color="auto"/>
            <w:right w:val="none" w:sz="0" w:space="0" w:color="auto"/>
          </w:divBdr>
        </w:div>
        <w:div w:id="1587807394">
          <w:marLeft w:val="360"/>
          <w:marRight w:val="0"/>
          <w:marTop w:val="200"/>
          <w:marBottom w:val="0"/>
          <w:divBdr>
            <w:top w:val="none" w:sz="0" w:space="0" w:color="auto"/>
            <w:left w:val="none" w:sz="0" w:space="0" w:color="auto"/>
            <w:bottom w:val="none" w:sz="0" w:space="0" w:color="auto"/>
            <w:right w:val="none" w:sz="0" w:space="0" w:color="auto"/>
          </w:divBdr>
        </w:div>
        <w:div w:id="327102199">
          <w:marLeft w:val="360"/>
          <w:marRight w:val="0"/>
          <w:marTop w:val="200"/>
          <w:marBottom w:val="0"/>
          <w:divBdr>
            <w:top w:val="none" w:sz="0" w:space="0" w:color="auto"/>
            <w:left w:val="none" w:sz="0" w:space="0" w:color="auto"/>
            <w:bottom w:val="none" w:sz="0" w:space="0" w:color="auto"/>
            <w:right w:val="none" w:sz="0" w:space="0" w:color="auto"/>
          </w:divBdr>
        </w:div>
      </w:divsChild>
    </w:div>
    <w:div w:id="1236741271">
      <w:bodyDiv w:val="1"/>
      <w:marLeft w:val="0"/>
      <w:marRight w:val="0"/>
      <w:marTop w:val="0"/>
      <w:marBottom w:val="0"/>
      <w:divBdr>
        <w:top w:val="none" w:sz="0" w:space="0" w:color="auto"/>
        <w:left w:val="none" w:sz="0" w:space="0" w:color="auto"/>
        <w:bottom w:val="none" w:sz="0" w:space="0" w:color="auto"/>
        <w:right w:val="none" w:sz="0" w:space="0" w:color="auto"/>
      </w:divBdr>
    </w:div>
    <w:div w:id="1258447165">
      <w:bodyDiv w:val="1"/>
      <w:marLeft w:val="0"/>
      <w:marRight w:val="0"/>
      <w:marTop w:val="0"/>
      <w:marBottom w:val="0"/>
      <w:divBdr>
        <w:top w:val="none" w:sz="0" w:space="0" w:color="auto"/>
        <w:left w:val="none" w:sz="0" w:space="0" w:color="auto"/>
        <w:bottom w:val="none" w:sz="0" w:space="0" w:color="auto"/>
        <w:right w:val="none" w:sz="0" w:space="0" w:color="auto"/>
      </w:divBdr>
    </w:div>
    <w:div w:id="1272281204">
      <w:bodyDiv w:val="1"/>
      <w:marLeft w:val="0"/>
      <w:marRight w:val="0"/>
      <w:marTop w:val="0"/>
      <w:marBottom w:val="0"/>
      <w:divBdr>
        <w:top w:val="none" w:sz="0" w:space="0" w:color="auto"/>
        <w:left w:val="none" w:sz="0" w:space="0" w:color="auto"/>
        <w:bottom w:val="none" w:sz="0" w:space="0" w:color="auto"/>
        <w:right w:val="none" w:sz="0" w:space="0" w:color="auto"/>
      </w:divBdr>
      <w:divsChild>
        <w:div w:id="1680932876">
          <w:marLeft w:val="360"/>
          <w:marRight w:val="0"/>
          <w:marTop w:val="200"/>
          <w:marBottom w:val="0"/>
          <w:divBdr>
            <w:top w:val="none" w:sz="0" w:space="0" w:color="auto"/>
            <w:left w:val="none" w:sz="0" w:space="0" w:color="auto"/>
            <w:bottom w:val="none" w:sz="0" w:space="0" w:color="auto"/>
            <w:right w:val="none" w:sz="0" w:space="0" w:color="auto"/>
          </w:divBdr>
        </w:div>
      </w:divsChild>
    </w:div>
    <w:div w:id="1309046984">
      <w:bodyDiv w:val="1"/>
      <w:marLeft w:val="0"/>
      <w:marRight w:val="0"/>
      <w:marTop w:val="0"/>
      <w:marBottom w:val="0"/>
      <w:divBdr>
        <w:top w:val="none" w:sz="0" w:space="0" w:color="auto"/>
        <w:left w:val="none" w:sz="0" w:space="0" w:color="auto"/>
        <w:bottom w:val="none" w:sz="0" w:space="0" w:color="auto"/>
        <w:right w:val="none" w:sz="0" w:space="0" w:color="auto"/>
      </w:divBdr>
      <w:divsChild>
        <w:div w:id="218441219">
          <w:marLeft w:val="360"/>
          <w:marRight w:val="0"/>
          <w:marTop w:val="200"/>
          <w:marBottom w:val="0"/>
          <w:divBdr>
            <w:top w:val="none" w:sz="0" w:space="0" w:color="auto"/>
            <w:left w:val="none" w:sz="0" w:space="0" w:color="auto"/>
            <w:bottom w:val="none" w:sz="0" w:space="0" w:color="auto"/>
            <w:right w:val="none" w:sz="0" w:space="0" w:color="auto"/>
          </w:divBdr>
        </w:div>
      </w:divsChild>
    </w:div>
    <w:div w:id="1357581422">
      <w:bodyDiv w:val="1"/>
      <w:marLeft w:val="0"/>
      <w:marRight w:val="0"/>
      <w:marTop w:val="0"/>
      <w:marBottom w:val="0"/>
      <w:divBdr>
        <w:top w:val="none" w:sz="0" w:space="0" w:color="auto"/>
        <w:left w:val="none" w:sz="0" w:space="0" w:color="auto"/>
        <w:bottom w:val="none" w:sz="0" w:space="0" w:color="auto"/>
        <w:right w:val="none" w:sz="0" w:space="0" w:color="auto"/>
      </w:divBdr>
    </w:div>
    <w:div w:id="1473715664">
      <w:bodyDiv w:val="1"/>
      <w:marLeft w:val="0"/>
      <w:marRight w:val="0"/>
      <w:marTop w:val="0"/>
      <w:marBottom w:val="0"/>
      <w:divBdr>
        <w:top w:val="none" w:sz="0" w:space="0" w:color="auto"/>
        <w:left w:val="none" w:sz="0" w:space="0" w:color="auto"/>
        <w:bottom w:val="none" w:sz="0" w:space="0" w:color="auto"/>
        <w:right w:val="none" w:sz="0" w:space="0" w:color="auto"/>
      </w:divBdr>
      <w:divsChild>
        <w:div w:id="1220097718">
          <w:marLeft w:val="360"/>
          <w:marRight w:val="0"/>
          <w:marTop w:val="200"/>
          <w:marBottom w:val="0"/>
          <w:divBdr>
            <w:top w:val="none" w:sz="0" w:space="0" w:color="auto"/>
            <w:left w:val="none" w:sz="0" w:space="0" w:color="auto"/>
            <w:bottom w:val="none" w:sz="0" w:space="0" w:color="auto"/>
            <w:right w:val="none" w:sz="0" w:space="0" w:color="auto"/>
          </w:divBdr>
        </w:div>
        <w:div w:id="1144467642">
          <w:marLeft w:val="1080"/>
          <w:marRight w:val="0"/>
          <w:marTop w:val="100"/>
          <w:marBottom w:val="0"/>
          <w:divBdr>
            <w:top w:val="none" w:sz="0" w:space="0" w:color="auto"/>
            <w:left w:val="none" w:sz="0" w:space="0" w:color="auto"/>
            <w:bottom w:val="none" w:sz="0" w:space="0" w:color="auto"/>
            <w:right w:val="none" w:sz="0" w:space="0" w:color="auto"/>
          </w:divBdr>
        </w:div>
        <w:div w:id="887687814">
          <w:marLeft w:val="1080"/>
          <w:marRight w:val="0"/>
          <w:marTop w:val="100"/>
          <w:marBottom w:val="0"/>
          <w:divBdr>
            <w:top w:val="none" w:sz="0" w:space="0" w:color="auto"/>
            <w:left w:val="none" w:sz="0" w:space="0" w:color="auto"/>
            <w:bottom w:val="none" w:sz="0" w:space="0" w:color="auto"/>
            <w:right w:val="none" w:sz="0" w:space="0" w:color="auto"/>
          </w:divBdr>
        </w:div>
        <w:div w:id="1057435338">
          <w:marLeft w:val="1080"/>
          <w:marRight w:val="0"/>
          <w:marTop w:val="100"/>
          <w:marBottom w:val="0"/>
          <w:divBdr>
            <w:top w:val="none" w:sz="0" w:space="0" w:color="auto"/>
            <w:left w:val="none" w:sz="0" w:space="0" w:color="auto"/>
            <w:bottom w:val="none" w:sz="0" w:space="0" w:color="auto"/>
            <w:right w:val="none" w:sz="0" w:space="0" w:color="auto"/>
          </w:divBdr>
        </w:div>
        <w:div w:id="1004209849">
          <w:marLeft w:val="1080"/>
          <w:marRight w:val="0"/>
          <w:marTop w:val="100"/>
          <w:marBottom w:val="0"/>
          <w:divBdr>
            <w:top w:val="none" w:sz="0" w:space="0" w:color="auto"/>
            <w:left w:val="none" w:sz="0" w:space="0" w:color="auto"/>
            <w:bottom w:val="none" w:sz="0" w:space="0" w:color="auto"/>
            <w:right w:val="none" w:sz="0" w:space="0" w:color="auto"/>
          </w:divBdr>
        </w:div>
        <w:div w:id="456685049">
          <w:marLeft w:val="1080"/>
          <w:marRight w:val="0"/>
          <w:marTop w:val="100"/>
          <w:marBottom w:val="0"/>
          <w:divBdr>
            <w:top w:val="none" w:sz="0" w:space="0" w:color="auto"/>
            <w:left w:val="none" w:sz="0" w:space="0" w:color="auto"/>
            <w:bottom w:val="none" w:sz="0" w:space="0" w:color="auto"/>
            <w:right w:val="none" w:sz="0" w:space="0" w:color="auto"/>
          </w:divBdr>
        </w:div>
        <w:div w:id="1880971973">
          <w:marLeft w:val="1080"/>
          <w:marRight w:val="0"/>
          <w:marTop w:val="100"/>
          <w:marBottom w:val="0"/>
          <w:divBdr>
            <w:top w:val="none" w:sz="0" w:space="0" w:color="auto"/>
            <w:left w:val="none" w:sz="0" w:space="0" w:color="auto"/>
            <w:bottom w:val="none" w:sz="0" w:space="0" w:color="auto"/>
            <w:right w:val="none" w:sz="0" w:space="0" w:color="auto"/>
          </w:divBdr>
        </w:div>
      </w:divsChild>
    </w:div>
    <w:div w:id="1539274756">
      <w:bodyDiv w:val="1"/>
      <w:marLeft w:val="0"/>
      <w:marRight w:val="0"/>
      <w:marTop w:val="0"/>
      <w:marBottom w:val="0"/>
      <w:divBdr>
        <w:top w:val="none" w:sz="0" w:space="0" w:color="auto"/>
        <w:left w:val="none" w:sz="0" w:space="0" w:color="auto"/>
        <w:bottom w:val="none" w:sz="0" w:space="0" w:color="auto"/>
        <w:right w:val="none" w:sz="0" w:space="0" w:color="auto"/>
      </w:divBdr>
      <w:divsChild>
        <w:div w:id="1106314418">
          <w:marLeft w:val="446"/>
          <w:marRight w:val="0"/>
          <w:marTop w:val="0"/>
          <w:marBottom w:val="0"/>
          <w:divBdr>
            <w:top w:val="none" w:sz="0" w:space="0" w:color="auto"/>
            <w:left w:val="none" w:sz="0" w:space="0" w:color="auto"/>
            <w:bottom w:val="none" w:sz="0" w:space="0" w:color="auto"/>
            <w:right w:val="none" w:sz="0" w:space="0" w:color="auto"/>
          </w:divBdr>
        </w:div>
        <w:div w:id="144126954">
          <w:marLeft w:val="446"/>
          <w:marRight w:val="0"/>
          <w:marTop w:val="0"/>
          <w:marBottom w:val="0"/>
          <w:divBdr>
            <w:top w:val="none" w:sz="0" w:space="0" w:color="auto"/>
            <w:left w:val="none" w:sz="0" w:space="0" w:color="auto"/>
            <w:bottom w:val="none" w:sz="0" w:space="0" w:color="auto"/>
            <w:right w:val="none" w:sz="0" w:space="0" w:color="auto"/>
          </w:divBdr>
        </w:div>
        <w:div w:id="1566840074">
          <w:marLeft w:val="446"/>
          <w:marRight w:val="0"/>
          <w:marTop w:val="0"/>
          <w:marBottom w:val="0"/>
          <w:divBdr>
            <w:top w:val="none" w:sz="0" w:space="0" w:color="auto"/>
            <w:left w:val="none" w:sz="0" w:space="0" w:color="auto"/>
            <w:bottom w:val="none" w:sz="0" w:space="0" w:color="auto"/>
            <w:right w:val="none" w:sz="0" w:space="0" w:color="auto"/>
          </w:divBdr>
        </w:div>
        <w:div w:id="1568031729">
          <w:marLeft w:val="446"/>
          <w:marRight w:val="0"/>
          <w:marTop w:val="0"/>
          <w:marBottom w:val="0"/>
          <w:divBdr>
            <w:top w:val="none" w:sz="0" w:space="0" w:color="auto"/>
            <w:left w:val="none" w:sz="0" w:space="0" w:color="auto"/>
            <w:bottom w:val="none" w:sz="0" w:space="0" w:color="auto"/>
            <w:right w:val="none" w:sz="0" w:space="0" w:color="auto"/>
          </w:divBdr>
        </w:div>
        <w:div w:id="435446073">
          <w:marLeft w:val="446"/>
          <w:marRight w:val="0"/>
          <w:marTop w:val="0"/>
          <w:marBottom w:val="0"/>
          <w:divBdr>
            <w:top w:val="none" w:sz="0" w:space="0" w:color="auto"/>
            <w:left w:val="none" w:sz="0" w:space="0" w:color="auto"/>
            <w:bottom w:val="none" w:sz="0" w:space="0" w:color="auto"/>
            <w:right w:val="none" w:sz="0" w:space="0" w:color="auto"/>
          </w:divBdr>
        </w:div>
      </w:divsChild>
    </w:div>
    <w:div w:id="1581594883">
      <w:bodyDiv w:val="1"/>
      <w:marLeft w:val="0"/>
      <w:marRight w:val="0"/>
      <w:marTop w:val="0"/>
      <w:marBottom w:val="0"/>
      <w:divBdr>
        <w:top w:val="none" w:sz="0" w:space="0" w:color="auto"/>
        <w:left w:val="none" w:sz="0" w:space="0" w:color="auto"/>
        <w:bottom w:val="none" w:sz="0" w:space="0" w:color="auto"/>
        <w:right w:val="none" w:sz="0" w:space="0" w:color="auto"/>
      </w:divBdr>
      <w:divsChild>
        <w:div w:id="125050383">
          <w:marLeft w:val="360"/>
          <w:marRight w:val="0"/>
          <w:marTop w:val="200"/>
          <w:marBottom w:val="0"/>
          <w:divBdr>
            <w:top w:val="none" w:sz="0" w:space="0" w:color="auto"/>
            <w:left w:val="none" w:sz="0" w:space="0" w:color="auto"/>
            <w:bottom w:val="none" w:sz="0" w:space="0" w:color="auto"/>
            <w:right w:val="none" w:sz="0" w:space="0" w:color="auto"/>
          </w:divBdr>
        </w:div>
        <w:div w:id="845755851">
          <w:marLeft w:val="360"/>
          <w:marRight w:val="0"/>
          <w:marTop w:val="200"/>
          <w:marBottom w:val="0"/>
          <w:divBdr>
            <w:top w:val="none" w:sz="0" w:space="0" w:color="auto"/>
            <w:left w:val="none" w:sz="0" w:space="0" w:color="auto"/>
            <w:bottom w:val="none" w:sz="0" w:space="0" w:color="auto"/>
            <w:right w:val="none" w:sz="0" w:space="0" w:color="auto"/>
          </w:divBdr>
        </w:div>
        <w:div w:id="1312367745">
          <w:marLeft w:val="1080"/>
          <w:marRight w:val="0"/>
          <w:marTop w:val="100"/>
          <w:marBottom w:val="0"/>
          <w:divBdr>
            <w:top w:val="none" w:sz="0" w:space="0" w:color="auto"/>
            <w:left w:val="none" w:sz="0" w:space="0" w:color="auto"/>
            <w:bottom w:val="none" w:sz="0" w:space="0" w:color="auto"/>
            <w:right w:val="none" w:sz="0" w:space="0" w:color="auto"/>
          </w:divBdr>
        </w:div>
        <w:div w:id="1104375997">
          <w:marLeft w:val="360"/>
          <w:marRight w:val="0"/>
          <w:marTop w:val="200"/>
          <w:marBottom w:val="0"/>
          <w:divBdr>
            <w:top w:val="none" w:sz="0" w:space="0" w:color="auto"/>
            <w:left w:val="none" w:sz="0" w:space="0" w:color="auto"/>
            <w:bottom w:val="none" w:sz="0" w:space="0" w:color="auto"/>
            <w:right w:val="none" w:sz="0" w:space="0" w:color="auto"/>
          </w:divBdr>
        </w:div>
        <w:div w:id="1733652536">
          <w:marLeft w:val="360"/>
          <w:marRight w:val="0"/>
          <w:marTop w:val="200"/>
          <w:marBottom w:val="0"/>
          <w:divBdr>
            <w:top w:val="none" w:sz="0" w:space="0" w:color="auto"/>
            <w:left w:val="none" w:sz="0" w:space="0" w:color="auto"/>
            <w:bottom w:val="none" w:sz="0" w:space="0" w:color="auto"/>
            <w:right w:val="none" w:sz="0" w:space="0" w:color="auto"/>
          </w:divBdr>
        </w:div>
        <w:div w:id="214700762">
          <w:marLeft w:val="360"/>
          <w:marRight w:val="0"/>
          <w:marTop w:val="200"/>
          <w:marBottom w:val="0"/>
          <w:divBdr>
            <w:top w:val="none" w:sz="0" w:space="0" w:color="auto"/>
            <w:left w:val="none" w:sz="0" w:space="0" w:color="auto"/>
            <w:bottom w:val="none" w:sz="0" w:space="0" w:color="auto"/>
            <w:right w:val="none" w:sz="0" w:space="0" w:color="auto"/>
          </w:divBdr>
        </w:div>
        <w:div w:id="1498764386">
          <w:marLeft w:val="360"/>
          <w:marRight w:val="0"/>
          <w:marTop w:val="200"/>
          <w:marBottom w:val="0"/>
          <w:divBdr>
            <w:top w:val="none" w:sz="0" w:space="0" w:color="auto"/>
            <w:left w:val="none" w:sz="0" w:space="0" w:color="auto"/>
            <w:bottom w:val="none" w:sz="0" w:space="0" w:color="auto"/>
            <w:right w:val="none" w:sz="0" w:space="0" w:color="auto"/>
          </w:divBdr>
        </w:div>
      </w:divsChild>
    </w:div>
    <w:div w:id="195339191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6324010">
      <w:bodyDiv w:val="1"/>
      <w:marLeft w:val="0"/>
      <w:marRight w:val="0"/>
      <w:marTop w:val="0"/>
      <w:marBottom w:val="0"/>
      <w:divBdr>
        <w:top w:val="none" w:sz="0" w:space="0" w:color="auto"/>
        <w:left w:val="none" w:sz="0" w:space="0" w:color="auto"/>
        <w:bottom w:val="none" w:sz="0" w:space="0" w:color="auto"/>
        <w:right w:val="none" w:sz="0" w:space="0" w:color="auto"/>
      </w:divBdr>
    </w:div>
    <w:div w:id="2072656648">
      <w:bodyDiv w:val="1"/>
      <w:marLeft w:val="0"/>
      <w:marRight w:val="0"/>
      <w:marTop w:val="0"/>
      <w:marBottom w:val="0"/>
      <w:divBdr>
        <w:top w:val="none" w:sz="0" w:space="0" w:color="auto"/>
        <w:left w:val="none" w:sz="0" w:space="0" w:color="auto"/>
        <w:bottom w:val="none" w:sz="0" w:space="0" w:color="auto"/>
        <w:right w:val="none" w:sz="0" w:space="0" w:color="auto"/>
      </w:divBdr>
    </w:div>
    <w:div w:id="2107578385">
      <w:bodyDiv w:val="1"/>
      <w:marLeft w:val="0"/>
      <w:marRight w:val="0"/>
      <w:marTop w:val="0"/>
      <w:marBottom w:val="0"/>
      <w:divBdr>
        <w:top w:val="none" w:sz="0" w:space="0" w:color="auto"/>
        <w:left w:val="none" w:sz="0" w:space="0" w:color="auto"/>
        <w:bottom w:val="none" w:sz="0" w:space="0" w:color="auto"/>
        <w:right w:val="none" w:sz="0" w:space="0" w:color="auto"/>
      </w:divBdr>
      <w:divsChild>
        <w:div w:id="1812552471">
          <w:marLeft w:val="360"/>
          <w:marRight w:val="0"/>
          <w:marTop w:val="200"/>
          <w:marBottom w:val="0"/>
          <w:divBdr>
            <w:top w:val="none" w:sz="0" w:space="0" w:color="auto"/>
            <w:left w:val="none" w:sz="0" w:space="0" w:color="auto"/>
            <w:bottom w:val="none" w:sz="0" w:space="0" w:color="auto"/>
            <w:right w:val="none" w:sz="0" w:space="0" w:color="auto"/>
          </w:divBdr>
        </w:div>
        <w:div w:id="791024004">
          <w:marLeft w:val="1080"/>
          <w:marRight w:val="0"/>
          <w:marTop w:val="100"/>
          <w:marBottom w:val="0"/>
          <w:divBdr>
            <w:top w:val="none" w:sz="0" w:space="0" w:color="auto"/>
            <w:left w:val="none" w:sz="0" w:space="0" w:color="auto"/>
            <w:bottom w:val="none" w:sz="0" w:space="0" w:color="auto"/>
            <w:right w:val="none" w:sz="0" w:space="0" w:color="auto"/>
          </w:divBdr>
        </w:div>
        <w:div w:id="126800351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cid:image001.png@01D879A5.F709D0D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contents/cancer-incidence-and-survival-by-stage-data-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A543D-1924-401D-9BEC-E286DD25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17575</Words>
  <Characters>94455</Characters>
  <Application>Microsoft Office Word</Application>
  <DocSecurity>0</DocSecurity>
  <Lines>787</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2022-10-20T05:02:00Z</dcterms:created>
  <dcterms:modified xsi:type="dcterms:W3CDTF">2022-10-20T05:02:00Z</dcterms:modified>
</cp:coreProperties>
</file>